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media/image7.jpg" ContentType="image/png"/>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13A758" w14:textId="259A2250" w:rsidR="0041395B" w:rsidRDefault="0020214C" w:rsidP="005668D6">
      <w:pPr>
        <w:spacing w:after="0" w:line="240" w:lineRule="auto"/>
        <w:jc w:val="both"/>
        <w:rPr>
          <w:rFonts w:ascii="Cambria" w:eastAsia="Cambria" w:hAnsi="Cambria" w:cs="Cambria"/>
          <w:b/>
          <w:i/>
          <w:color w:val="000000"/>
          <w:u w:val="single"/>
        </w:rPr>
      </w:pPr>
      <w:r>
        <w:rPr>
          <w:rFonts w:ascii="Cambria" w:eastAsia="Cambria" w:hAnsi="Cambria" w:cs="Cambria"/>
          <w:b/>
          <w:i/>
          <w:color w:val="000000"/>
          <w:u w:val="single"/>
        </w:rPr>
        <w:t>Carta No</w:t>
      </w:r>
      <w:r w:rsidR="005A3F22">
        <w:rPr>
          <w:rFonts w:ascii="Cambria" w:eastAsia="Cambria" w:hAnsi="Cambria" w:cs="Cambria"/>
          <w:b/>
          <w:i/>
          <w:color w:val="000000"/>
          <w:u w:val="single"/>
        </w:rPr>
        <w:t xml:space="preserve">. </w:t>
      </w:r>
      <w:r w:rsidR="000F3036">
        <w:rPr>
          <w:rFonts w:ascii="Cambria" w:eastAsia="Cambria" w:hAnsi="Cambria" w:cs="Cambria"/>
          <w:b/>
          <w:i/>
          <w:color w:val="000000"/>
          <w:u w:val="single"/>
        </w:rPr>
        <w:t>325-2024</w:t>
      </w:r>
      <w:r w:rsidR="00A07270">
        <w:rPr>
          <w:rFonts w:ascii="Cambria" w:eastAsia="Cambria" w:hAnsi="Cambria" w:cs="Cambria"/>
          <w:b/>
          <w:i/>
          <w:color w:val="000000"/>
          <w:u w:val="single"/>
        </w:rPr>
        <w:t xml:space="preserve"> </w:t>
      </w:r>
      <w:r w:rsidR="000F3036">
        <w:rPr>
          <w:rFonts w:ascii="Cambria" w:eastAsia="Cambria" w:hAnsi="Cambria" w:cs="Cambria"/>
          <w:b/>
          <w:i/>
          <w:color w:val="000000"/>
          <w:u w:val="single"/>
        </w:rPr>
        <w:t>Promsex</w:t>
      </w:r>
      <w:r>
        <w:rPr>
          <w:rFonts w:ascii="Cambria" w:eastAsia="Cambria" w:hAnsi="Cambria" w:cs="Cambria"/>
          <w:b/>
          <w:i/>
          <w:color w:val="000000"/>
          <w:u w:val="single"/>
        </w:rPr>
        <w:t xml:space="preserve"> </w:t>
      </w:r>
    </w:p>
    <w:p w14:paraId="46079EA1" w14:textId="1EBADA31" w:rsidR="0041395B" w:rsidRDefault="0020214C" w:rsidP="005668D6">
      <w:pPr>
        <w:spacing w:after="0" w:line="240" w:lineRule="auto"/>
        <w:jc w:val="right"/>
        <w:rPr>
          <w:rFonts w:ascii="Cambria" w:eastAsia="Cambria" w:hAnsi="Cambria" w:cs="Cambria"/>
          <w:b/>
          <w:i/>
          <w:color w:val="000000"/>
          <w:u w:val="single"/>
        </w:rPr>
      </w:pPr>
      <w:r>
        <w:rPr>
          <w:rFonts w:ascii="Cambria" w:eastAsia="Cambria" w:hAnsi="Cambria" w:cs="Cambria"/>
        </w:rPr>
        <w:t xml:space="preserve">Lima, </w:t>
      </w:r>
      <w:r w:rsidR="00C40752">
        <w:rPr>
          <w:rFonts w:ascii="Cambria" w:eastAsia="Cambria" w:hAnsi="Cambria" w:cs="Cambria"/>
        </w:rPr>
        <w:t>30</w:t>
      </w:r>
      <w:r>
        <w:rPr>
          <w:rFonts w:ascii="Cambria" w:eastAsia="Cambria" w:hAnsi="Cambria" w:cs="Cambria"/>
        </w:rPr>
        <w:t xml:space="preserve"> de </w:t>
      </w:r>
      <w:r w:rsidR="00521D76">
        <w:rPr>
          <w:rFonts w:ascii="Cambria" w:eastAsia="Cambria" w:hAnsi="Cambria" w:cs="Cambria"/>
        </w:rPr>
        <w:t>octubre</w:t>
      </w:r>
      <w:r>
        <w:rPr>
          <w:rFonts w:ascii="Cambria" w:eastAsia="Cambria" w:hAnsi="Cambria" w:cs="Cambria"/>
        </w:rPr>
        <w:t xml:space="preserve"> de 2024</w:t>
      </w:r>
    </w:p>
    <w:p w14:paraId="2D5D6127" w14:textId="77777777" w:rsidR="0041395B" w:rsidRDefault="0041395B" w:rsidP="005668D6">
      <w:pPr>
        <w:tabs>
          <w:tab w:val="left" w:pos="2127"/>
        </w:tabs>
        <w:spacing w:after="0" w:line="240" w:lineRule="auto"/>
        <w:ind w:left="720"/>
        <w:jc w:val="right"/>
        <w:rPr>
          <w:rFonts w:ascii="Cambria" w:eastAsia="Cambria" w:hAnsi="Cambria" w:cs="Cambria"/>
          <w:color w:val="000000"/>
        </w:rPr>
      </w:pPr>
    </w:p>
    <w:p w14:paraId="7264E6C3" w14:textId="77777777" w:rsidR="0041395B" w:rsidRDefault="0041395B" w:rsidP="005668D6">
      <w:pPr>
        <w:widowControl/>
        <w:pBdr>
          <w:top w:val="nil"/>
          <w:left w:val="nil"/>
          <w:bottom w:val="nil"/>
          <w:right w:val="nil"/>
          <w:between w:val="nil"/>
        </w:pBdr>
        <w:tabs>
          <w:tab w:val="left" w:pos="2127"/>
        </w:tabs>
        <w:spacing w:after="0" w:line="240" w:lineRule="auto"/>
        <w:jc w:val="both"/>
        <w:rPr>
          <w:rFonts w:ascii="Cambria" w:eastAsia="Cambria" w:hAnsi="Cambria" w:cs="Cambria"/>
          <w:b/>
          <w:color w:val="000000"/>
        </w:rPr>
      </w:pPr>
    </w:p>
    <w:p w14:paraId="23F5BFA0" w14:textId="77777777" w:rsidR="0041395B" w:rsidRDefault="0041395B" w:rsidP="005668D6">
      <w:pPr>
        <w:widowControl/>
        <w:pBdr>
          <w:top w:val="nil"/>
          <w:left w:val="nil"/>
          <w:bottom w:val="nil"/>
          <w:right w:val="nil"/>
          <w:between w:val="nil"/>
        </w:pBdr>
        <w:tabs>
          <w:tab w:val="left" w:pos="2127"/>
        </w:tabs>
        <w:spacing w:after="0" w:line="240" w:lineRule="auto"/>
        <w:jc w:val="both"/>
        <w:rPr>
          <w:rFonts w:ascii="Cambria" w:eastAsia="Cambria" w:hAnsi="Cambria" w:cs="Cambria"/>
          <w:b/>
          <w:color w:val="000000"/>
        </w:rPr>
      </w:pPr>
    </w:p>
    <w:p w14:paraId="25C52F79" w14:textId="77777777" w:rsidR="0041395B" w:rsidRDefault="0020214C" w:rsidP="005668D6">
      <w:pPr>
        <w:widowControl/>
        <w:pBdr>
          <w:top w:val="nil"/>
          <w:left w:val="nil"/>
          <w:bottom w:val="nil"/>
          <w:right w:val="nil"/>
          <w:between w:val="nil"/>
        </w:pBdr>
        <w:tabs>
          <w:tab w:val="left" w:pos="2127"/>
        </w:tabs>
        <w:spacing w:after="0" w:line="240" w:lineRule="auto"/>
        <w:ind w:right="44"/>
        <w:jc w:val="both"/>
        <w:rPr>
          <w:rFonts w:ascii="Cambria" w:eastAsia="Cambria" w:hAnsi="Cambria" w:cs="Cambria"/>
          <w:b/>
          <w:color w:val="000000"/>
        </w:rPr>
      </w:pPr>
      <w:r>
        <w:rPr>
          <w:rFonts w:ascii="Cambria" w:eastAsia="Cambria" w:hAnsi="Cambria" w:cs="Cambria"/>
          <w:b/>
          <w:color w:val="000000"/>
        </w:rPr>
        <w:t>Comité para la Protección de los Derechos de todos los Trabajadores Migratorios y de sus Familiares</w:t>
      </w:r>
    </w:p>
    <w:p w14:paraId="18BB0056" w14:textId="77777777" w:rsidR="0041395B" w:rsidRDefault="0020214C" w:rsidP="005668D6">
      <w:pPr>
        <w:widowControl/>
        <w:pBdr>
          <w:top w:val="nil"/>
          <w:left w:val="nil"/>
          <w:bottom w:val="nil"/>
          <w:right w:val="nil"/>
          <w:between w:val="nil"/>
        </w:pBd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Oficina del Alto Comisionado para los Derechos Humanos</w:t>
      </w:r>
    </w:p>
    <w:p w14:paraId="5908B2BD" w14:textId="77777777" w:rsidR="0041395B" w:rsidRDefault="0020214C" w:rsidP="005668D6">
      <w:pPr>
        <w:widowControl/>
        <w:pBdr>
          <w:top w:val="nil"/>
          <w:left w:val="nil"/>
          <w:bottom w:val="nil"/>
          <w:right w:val="nil"/>
          <w:between w:val="nil"/>
        </w:pBd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Palais Wilson</w:t>
      </w:r>
    </w:p>
    <w:p w14:paraId="3DBDF226" w14:textId="77777777" w:rsidR="0041395B" w:rsidRDefault="0020214C" w:rsidP="005668D6">
      <w:pPr>
        <w:widowControl/>
        <w:pBdr>
          <w:top w:val="nil"/>
          <w:left w:val="nil"/>
          <w:bottom w:val="nil"/>
          <w:right w:val="nil"/>
          <w:between w:val="nil"/>
        </w:pBd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52, rue des Pâquis</w:t>
      </w:r>
    </w:p>
    <w:p w14:paraId="3AFF6E74" w14:textId="77777777" w:rsidR="0041395B" w:rsidRDefault="0020214C" w:rsidP="005668D6">
      <w:pPr>
        <w:widowControl/>
        <w:pBdr>
          <w:top w:val="nil"/>
          <w:left w:val="nil"/>
          <w:bottom w:val="nil"/>
          <w:right w:val="nil"/>
          <w:between w:val="nil"/>
        </w:pBd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CH-1201 Geneva, Switzerland</w:t>
      </w:r>
    </w:p>
    <w:p w14:paraId="743D1907" w14:textId="77777777" w:rsidR="0041395B" w:rsidRDefault="0041395B" w:rsidP="005668D6">
      <w:pPr>
        <w:widowControl/>
        <w:tabs>
          <w:tab w:val="left" w:pos="2127"/>
        </w:tabs>
        <w:spacing w:after="0" w:line="240" w:lineRule="auto"/>
        <w:ind w:hanging="720"/>
        <w:jc w:val="both"/>
        <w:rPr>
          <w:rFonts w:ascii="Cambria" w:eastAsia="Cambria" w:hAnsi="Cambria" w:cs="Cambria"/>
          <w:b/>
          <w:color w:val="000000"/>
        </w:rPr>
      </w:pPr>
    </w:p>
    <w:p w14:paraId="66F606EB" w14:textId="77777777" w:rsidR="0041395B" w:rsidRDefault="0041395B" w:rsidP="005668D6">
      <w:pPr>
        <w:widowControl/>
        <w:tabs>
          <w:tab w:val="left" w:pos="2127"/>
        </w:tabs>
        <w:spacing w:after="0" w:line="240" w:lineRule="auto"/>
        <w:ind w:hanging="720"/>
        <w:jc w:val="both"/>
        <w:rPr>
          <w:rFonts w:ascii="Cambria" w:eastAsia="Cambria" w:hAnsi="Cambria" w:cs="Cambria"/>
          <w:b/>
          <w:color w:val="000000"/>
        </w:rPr>
      </w:pPr>
    </w:p>
    <w:p w14:paraId="07745C70" w14:textId="261D2C7B" w:rsidR="0041395B" w:rsidRDefault="0020214C" w:rsidP="008E3590">
      <w:pPr>
        <w:tabs>
          <w:tab w:val="left" w:pos="2127"/>
        </w:tabs>
        <w:spacing w:after="0" w:line="240" w:lineRule="auto"/>
        <w:ind w:left="4228" w:hanging="420"/>
        <w:jc w:val="both"/>
        <w:rPr>
          <w:rFonts w:ascii="Cambria" w:eastAsia="Cambria" w:hAnsi="Cambria" w:cs="Cambria"/>
          <w:b/>
          <w:color w:val="000000"/>
        </w:rPr>
      </w:pPr>
      <w:r>
        <w:rPr>
          <w:rFonts w:ascii="Cambria" w:eastAsia="Cambria" w:hAnsi="Cambria" w:cs="Cambria"/>
          <w:b/>
          <w:color w:val="000000"/>
        </w:rPr>
        <w:t>Re: Informe alternativo para la evaluación del Estado peruano en el 3</w:t>
      </w:r>
      <w:r w:rsidR="00AD6CCC">
        <w:rPr>
          <w:rFonts w:ascii="Cambria" w:eastAsia="Cambria" w:hAnsi="Cambria" w:cs="Cambria"/>
          <w:b/>
          <w:color w:val="000000"/>
        </w:rPr>
        <w:t>9</w:t>
      </w:r>
      <w:r>
        <w:rPr>
          <w:rFonts w:ascii="Cambria" w:eastAsia="Cambria" w:hAnsi="Cambria" w:cs="Cambria"/>
          <w:b/>
          <w:color w:val="000000"/>
        </w:rPr>
        <w:t>° período de sesiones</w:t>
      </w:r>
    </w:p>
    <w:p w14:paraId="160AD9DB" w14:textId="77777777" w:rsidR="0041395B" w:rsidRDefault="0041395B" w:rsidP="005668D6">
      <w:pPr>
        <w:tabs>
          <w:tab w:val="left" w:pos="2127"/>
        </w:tabs>
        <w:spacing w:after="0" w:line="240" w:lineRule="auto"/>
        <w:jc w:val="both"/>
        <w:rPr>
          <w:rFonts w:ascii="Cambria" w:eastAsia="Cambria" w:hAnsi="Cambria" w:cs="Cambria"/>
          <w:b/>
          <w:color w:val="000000"/>
        </w:rPr>
      </w:pPr>
    </w:p>
    <w:p w14:paraId="39545DA2" w14:textId="77777777" w:rsidR="0041395B" w:rsidRDefault="0041395B" w:rsidP="005668D6">
      <w:pPr>
        <w:widowControl/>
        <w:pBdr>
          <w:top w:val="nil"/>
          <w:left w:val="nil"/>
          <w:bottom w:val="nil"/>
          <w:right w:val="nil"/>
          <w:between w:val="nil"/>
        </w:pBdr>
        <w:tabs>
          <w:tab w:val="left" w:pos="2127"/>
        </w:tabs>
        <w:spacing w:after="0" w:line="240" w:lineRule="auto"/>
        <w:jc w:val="both"/>
        <w:rPr>
          <w:rFonts w:ascii="Cambria" w:eastAsia="Cambria" w:hAnsi="Cambria" w:cs="Cambria"/>
          <w:color w:val="000000"/>
        </w:rPr>
      </w:pPr>
    </w:p>
    <w:p w14:paraId="7498D6BB" w14:textId="77777777" w:rsidR="0041395B" w:rsidRDefault="0020214C" w:rsidP="005668D6">
      <w:pPr>
        <w:widowControl/>
        <w:pBdr>
          <w:top w:val="nil"/>
          <w:left w:val="nil"/>
          <w:bottom w:val="nil"/>
          <w:right w:val="nil"/>
          <w:between w:val="nil"/>
        </w:pBd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 xml:space="preserve">Distinguidos/as Miembros del </w:t>
      </w:r>
      <w:r>
        <w:rPr>
          <w:rFonts w:ascii="Cambria" w:eastAsia="Cambria" w:hAnsi="Cambria" w:cs="Cambria"/>
          <w:b/>
          <w:color w:val="000000"/>
        </w:rPr>
        <w:t xml:space="preserve">Comité para la Protección de los Derechos de todos los Trabajadores </w:t>
      </w:r>
      <w:r>
        <w:rPr>
          <w:rFonts w:ascii="Cambria" w:eastAsia="Cambria" w:hAnsi="Cambria" w:cs="Cambria"/>
          <w:b/>
          <w:color w:val="000000"/>
        </w:rPr>
        <w:t>Migratorios y de sus Familiares:</w:t>
      </w:r>
    </w:p>
    <w:p w14:paraId="2672BDB2" w14:textId="77777777" w:rsidR="0041395B" w:rsidRDefault="0041395B" w:rsidP="005668D6">
      <w:pPr>
        <w:widowControl/>
        <w:pBdr>
          <w:top w:val="nil"/>
          <w:left w:val="nil"/>
          <w:bottom w:val="nil"/>
          <w:right w:val="nil"/>
          <w:between w:val="nil"/>
        </w:pBdr>
        <w:tabs>
          <w:tab w:val="left" w:pos="2127"/>
        </w:tabs>
        <w:spacing w:after="0" w:line="240" w:lineRule="auto"/>
        <w:jc w:val="both"/>
        <w:rPr>
          <w:rFonts w:ascii="Cambria" w:eastAsia="Cambria" w:hAnsi="Cambria" w:cs="Cambria"/>
          <w:b/>
          <w:color w:val="000000"/>
        </w:rPr>
      </w:pPr>
    </w:p>
    <w:p w14:paraId="1AE40F96" w14:textId="1442C4CC" w:rsidR="0041395B" w:rsidRDefault="0020214C" w:rsidP="005668D6">
      <w:pPr>
        <w:widowControl/>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El</w:t>
      </w:r>
      <w:r>
        <w:rPr>
          <w:rFonts w:ascii="Cambria" w:eastAsia="Cambria" w:hAnsi="Cambria" w:cs="Cambria"/>
          <w:b/>
          <w:color w:val="000000"/>
        </w:rPr>
        <w:t xml:space="preserve"> Centro de Promoción y Defensa de los Derechos Sexuales y Reproductivos</w:t>
      </w:r>
      <w:r>
        <w:rPr>
          <w:rFonts w:ascii="Cambria" w:eastAsia="Cambria" w:hAnsi="Cambria" w:cs="Cambria"/>
          <w:color w:val="000000"/>
        </w:rPr>
        <w:t>(</w:t>
      </w:r>
      <w:r>
        <w:rPr>
          <w:rFonts w:ascii="Cambria" w:eastAsia="Cambria" w:hAnsi="Cambria" w:cs="Cambria"/>
          <w:b/>
          <w:color w:val="000000"/>
        </w:rPr>
        <w:t>Promsex</w:t>
      </w:r>
      <w:r w:rsidR="00907530">
        <w:rPr>
          <w:rStyle w:val="EndnoteReference"/>
          <w:rFonts w:ascii="Cambria" w:eastAsia="Cambria" w:hAnsi="Cambria" w:cs="Cambria"/>
          <w:b/>
          <w:color w:val="000000"/>
        </w:rPr>
        <w:endnoteReference w:id="1"/>
      </w:r>
      <w:r>
        <w:rPr>
          <w:rFonts w:ascii="Cambria" w:eastAsia="Cambria" w:hAnsi="Cambria" w:cs="Cambria"/>
          <w:b/>
          <w:color w:val="000000"/>
        </w:rPr>
        <w:t>), el Centro de Atención Multidisciplinario para personas Vulnerables (CAMPV)</w:t>
      </w:r>
      <w:r w:rsidR="00907530">
        <w:rPr>
          <w:rStyle w:val="EndnoteReference"/>
          <w:rFonts w:ascii="Cambria" w:eastAsia="Cambria" w:hAnsi="Cambria" w:cs="Cambria"/>
          <w:b/>
          <w:color w:val="000000"/>
        </w:rPr>
        <w:endnoteReference w:id="2"/>
      </w:r>
      <w:r w:rsidR="00907530">
        <w:rPr>
          <w:rFonts w:ascii="Cambria" w:eastAsia="Cambria" w:hAnsi="Cambria" w:cs="Cambria"/>
          <w:b/>
        </w:rPr>
        <w:t xml:space="preserve"> </w:t>
      </w:r>
      <w:r>
        <w:rPr>
          <w:rFonts w:ascii="Cambria" w:eastAsia="Cambria" w:hAnsi="Cambria" w:cs="Cambria"/>
          <w:b/>
        </w:rPr>
        <w:t>y, la Iniciativa por los Derechos Sexuales (SRI)</w:t>
      </w:r>
      <w:r w:rsidR="00907530">
        <w:rPr>
          <w:rStyle w:val="EndnoteReference"/>
          <w:rFonts w:ascii="Cambria" w:eastAsia="Cambria" w:hAnsi="Cambria" w:cs="Cambria"/>
          <w:b/>
        </w:rPr>
        <w:endnoteReference w:id="3"/>
      </w:r>
      <w:r>
        <w:rPr>
          <w:rFonts w:ascii="Cambria" w:eastAsia="Cambria" w:hAnsi="Cambria" w:cs="Cambria"/>
          <w:b/>
          <w:color w:val="000000"/>
        </w:rPr>
        <w:t>,</w:t>
      </w:r>
      <w:r>
        <w:rPr>
          <w:rFonts w:ascii="Cambria" w:eastAsia="Cambria" w:hAnsi="Cambria" w:cs="Cambria"/>
          <w:color w:val="000000"/>
        </w:rPr>
        <w:t xml:space="preserve"> en el m</w:t>
      </w:r>
      <w:r>
        <w:rPr>
          <w:rFonts w:ascii="Cambria" w:eastAsia="Cambria" w:hAnsi="Cambria" w:cs="Cambria"/>
          <w:color w:val="000000"/>
        </w:rPr>
        <w:t>arco de la evaluación del Estado peruano, que será considerado durante el 3</w:t>
      </w:r>
      <w:r w:rsidR="006A2726">
        <w:rPr>
          <w:rFonts w:ascii="Cambria" w:eastAsia="Cambria" w:hAnsi="Cambria" w:cs="Cambria"/>
          <w:color w:val="000000"/>
        </w:rPr>
        <w:t>9</w:t>
      </w:r>
      <w:r>
        <w:rPr>
          <w:rFonts w:ascii="Cambria" w:eastAsia="Cambria" w:hAnsi="Cambria" w:cs="Cambria"/>
          <w:color w:val="000000"/>
        </w:rPr>
        <w:t xml:space="preserve">° período de sesiones que se celebrará entre el </w:t>
      </w:r>
      <w:r w:rsidR="006A2726">
        <w:rPr>
          <w:rFonts w:ascii="Cambria" w:eastAsia="Cambria" w:hAnsi="Cambria" w:cs="Cambria"/>
          <w:color w:val="000000"/>
        </w:rPr>
        <w:t>02</w:t>
      </w:r>
      <w:r>
        <w:rPr>
          <w:rFonts w:ascii="Cambria" w:eastAsia="Cambria" w:hAnsi="Cambria" w:cs="Cambria"/>
          <w:color w:val="000000"/>
        </w:rPr>
        <w:t xml:space="preserve"> al 1</w:t>
      </w:r>
      <w:r w:rsidR="006A2726">
        <w:rPr>
          <w:rFonts w:ascii="Cambria" w:eastAsia="Cambria" w:hAnsi="Cambria" w:cs="Cambria"/>
          <w:color w:val="000000"/>
        </w:rPr>
        <w:t>3</w:t>
      </w:r>
      <w:r>
        <w:rPr>
          <w:rFonts w:ascii="Cambria" w:eastAsia="Cambria" w:hAnsi="Cambria" w:cs="Cambria"/>
          <w:color w:val="000000"/>
        </w:rPr>
        <w:t xml:space="preserve"> de </w:t>
      </w:r>
      <w:r w:rsidR="006A2726">
        <w:rPr>
          <w:rFonts w:ascii="Cambria" w:eastAsia="Cambria" w:hAnsi="Cambria" w:cs="Cambria"/>
          <w:color w:val="000000"/>
        </w:rPr>
        <w:t>diciembre</w:t>
      </w:r>
      <w:r>
        <w:rPr>
          <w:rFonts w:ascii="Cambria" w:eastAsia="Cambria" w:hAnsi="Cambria" w:cs="Cambria"/>
          <w:color w:val="000000"/>
        </w:rPr>
        <w:t xml:space="preserve"> de 2024, presentamos esta comunicación con la finalidad de aportar información respecto a las </w:t>
      </w:r>
      <w:r>
        <w:rPr>
          <w:rFonts w:ascii="Cambria" w:eastAsia="Cambria" w:hAnsi="Cambria" w:cs="Cambria"/>
          <w:color w:val="000000"/>
        </w:rPr>
        <w:t>obligaciones de Perú para garantizar el derecho a la salud de los derechos de los trabajadores migratorios y sus familias, protegido por el artículo 28 de la Convención Internacional sobre la Protección de los Derechos de todos los Trabajadores Migratorios</w:t>
      </w:r>
      <w:r>
        <w:rPr>
          <w:rFonts w:ascii="Cambria" w:eastAsia="Cambria" w:hAnsi="Cambria" w:cs="Cambria"/>
          <w:color w:val="000000"/>
        </w:rPr>
        <w:t xml:space="preserve"> y de sus familiares (en adelante, </w:t>
      </w:r>
      <w:r>
        <w:rPr>
          <w:rFonts w:ascii="Cambria" w:eastAsia="Cambria" w:hAnsi="Cambria" w:cs="Cambria"/>
          <w:i/>
          <w:color w:val="000000"/>
        </w:rPr>
        <w:t>“Convención”</w:t>
      </w:r>
      <w:r>
        <w:rPr>
          <w:rFonts w:ascii="Cambria" w:eastAsia="Cambria" w:hAnsi="Cambria" w:cs="Cambria"/>
          <w:color w:val="000000"/>
        </w:rPr>
        <w:t xml:space="preserve">). </w:t>
      </w:r>
    </w:p>
    <w:p w14:paraId="3A36B0A1" w14:textId="77777777" w:rsidR="0041395B" w:rsidRDefault="0041395B" w:rsidP="005668D6">
      <w:pPr>
        <w:widowControl/>
        <w:tabs>
          <w:tab w:val="left" w:pos="2127"/>
        </w:tabs>
        <w:spacing w:after="0" w:line="240" w:lineRule="auto"/>
        <w:jc w:val="both"/>
        <w:rPr>
          <w:rFonts w:ascii="Cambria" w:eastAsia="Cambria" w:hAnsi="Cambria" w:cs="Cambria"/>
          <w:color w:val="000000"/>
        </w:rPr>
      </w:pPr>
    </w:p>
    <w:p w14:paraId="5F22E0BC" w14:textId="77777777" w:rsidR="0041395B" w:rsidRDefault="0020214C" w:rsidP="005668D6">
      <w:pPr>
        <w:widowControl/>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En el presente informe, abordaremos la situación de los derechos sexuales y reproductivos en el Perú; con especial énfasis en: (i) situación de los migrantes y el acceso a los servicios de salud; (ii)  lo</w:t>
      </w:r>
      <w:r>
        <w:rPr>
          <w:rFonts w:ascii="Cambria" w:eastAsia="Cambria" w:hAnsi="Cambria" w:cs="Cambria"/>
          <w:color w:val="000000"/>
        </w:rPr>
        <w:t>s obstáculos para el acceso a los servicios de salud sexual y reproductiva; (iii) el acceso a métodos de anticoncepción modernos y gama completa de información; (iv) embarazos adolescentes y mortalidad materna; (v) las barreras persistentes en el acceso al</w:t>
      </w:r>
      <w:r>
        <w:rPr>
          <w:rFonts w:ascii="Cambria" w:eastAsia="Cambria" w:hAnsi="Cambria" w:cs="Cambria"/>
          <w:color w:val="000000"/>
        </w:rPr>
        <w:t xml:space="preserve"> aborto terapéutico; y (vi) la criminalización de las mujeres por aborto. Por último, formulamos algunas recomendaciones dirigidas al Estado peruano.</w:t>
      </w:r>
    </w:p>
    <w:p w14:paraId="710737CC" w14:textId="77777777" w:rsidR="004D1385" w:rsidRDefault="004D1385" w:rsidP="005668D6">
      <w:pPr>
        <w:widowControl/>
        <w:tabs>
          <w:tab w:val="left" w:pos="2127"/>
        </w:tabs>
        <w:spacing w:after="0" w:line="240" w:lineRule="auto"/>
        <w:jc w:val="both"/>
        <w:rPr>
          <w:rFonts w:ascii="Cambria" w:eastAsia="Cambria" w:hAnsi="Cambria" w:cs="Cambria"/>
          <w:b/>
          <w:color w:val="000000"/>
        </w:rPr>
      </w:pPr>
    </w:p>
    <w:p w14:paraId="5C31BA0B" w14:textId="6B6099C1" w:rsidR="0041395B" w:rsidRDefault="0020214C" w:rsidP="005668D6">
      <w:pPr>
        <w:pStyle w:val="Heading1"/>
        <w:numPr>
          <w:ilvl w:val="0"/>
          <w:numId w:val="1"/>
        </w:numPr>
        <w:spacing w:before="0" w:after="0" w:line="240" w:lineRule="auto"/>
        <w:jc w:val="both"/>
        <w:rPr>
          <w:rFonts w:ascii="Cambria" w:eastAsia="Cambria" w:hAnsi="Cambria" w:cs="Cambria"/>
          <w:b/>
          <w:color w:val="000000"/>
          <w:sz w:val="22"/>
          <w:szCs w:val="22"/>
        </w:rPr>
      </w:pPr>
      <w:bookmarkStart w:id="0" w:name="_heading=h.gjdgxs" w:colFirst="0" w:colLast="0"/>
      <w:bookmarkEnd w:id="0"/>
      <w:r>
        <w:rPr>
          <w:rFonts w:ascii="Cambria" w:eastAsia="Cambria" w:hAnsi="Cambria" w:cs="Cambria"/>
          <w:b/>
          <w:color w:val="000000"/>
          <w:sz w:val="22"/>
          <w:szCs w:val="22"/>
        </w:rPr>
        <w:t xml:space="preserve">Situación de los migrantes y el acceso a los servicios de salud  </w:t>
      </w:r>
    </w:p>
    <w:p w14:paraId="28A34ACA" w14:textId="77777777" w:rsidR="006A2726" w:rsidRPr="006A2726" w:rsidRDefault="006A2726" w:rsidP="006A2726"/>
    <w:p w14:paraId="7ABB20BE" w14:textId="1B345BAF" w:rsidR="0041395B" w:rsidRPr="00C33716" w:rsidRDefault="0020214C" w:rsidP="00C33716">
      <w:pPr>
        <w:pStyle w:val="ListParagraph"/>
        <w:numPr>
          <w:ilvl w:val="0"/>
          <w:numId w:val="2"/>
        </w:numPr>
        <w:spacing w:after="0" w:line="240" w:lineRule="auto"/>
        <w:jc w:val="both"/>
        <w:rPr>
          <w:rFonts w:ascii="Cambria" w:eastAsia="Cambria" w:hAnsi="Cambria" w:cs="Cambria"/>
          <w:i/>
          <w:color w:val="000000"/>
        </w:rPr>
      </w:pPr>
      <w:r w:rsidRPr="00C33716">
        <w:rPr>
          <w:rFonts w:ascii="Cambria" w:eastAsia="Cambria" w:hAnsi="Cambria" w:cs="Cambria"/>
          <w:i/>
          <w:color w:val="000000"/>
        </w:rPr>
        <w:t xml:space="preserve">En el párrafo 39 de las </w:t>
      </w:r>
      <w:r w:rsidRPr="00C33716">
        <w:rPr>
          <w:rFonts w:ascii="Cambria" w:eastAsia="Cambria" w:hAnsi="Cambria" w:cs="Cambria"/>
          <w:i/>
          <w:color w:val="000000"/>
        </w:rPr>
        <w:t>Observaciones Finales, el Comité para la Protección de los Derechos de todos los Trabajadores Migratorios y de sus Familiares</w:t>
      </w:r>
      <w:r w:rsidRPr="00C33716">
        <w:rPr>
          <w:rFonts w:ascii="Cambria" w:eastAsia="Cambria" w:hAnsi="Cambria" w:cs="Cambria"/>
          <w:b/>
          <w:i/>
          <w:color w:val="000000"/>
        </w:rPr>
        <w:t xml:space="preserve"> “recomienda que el Estado parte adopte medidas concretas y eficientes para asegurar el acceso a la asistencia médica a todos los t</w:t>
      </w:r>
      <w:r w:rsidRPr="00C33716">
        <w:rPr>
          <w:rFonts w:ascii="Cambria" w:eastAsia="Cambria" w:hAnsi="Cambria" w:cs="Cambria"/>
          <w:b/>
          <w:i/>
          <w:color w:val="000000"/>
        </w:rPr>
        <w:t>rabajadores migratorios y sus familiares”</w:t>
      </w:r>
      <w:r w:rsidR="00907530">
        <w:rPr>
          <w:rStyle w:val="EndnoteReference"/>
          <w:rFonts w:ascii="Cambria" w:eastAsia="Cambria" w:hAnsi="Cambria" w:cs="Cambria"/>
          <w:b/>
          <w:i/>
          <w:color w:val="000000"/>
        </w:rPr>
        <w:endnoteReference w:id="4"/>
      </w:r>
      <w:r w:rsidRPr="00C33716">
        <w:rPr>
          <w:rFonts w:ascii="Cambria" w:eastAsia="Cambria" w:hAnsi="Cambria" w:cs="Cambria"/>
          <w:i/>
          <w:color w:val="000000"/>
        </w:rPr>
        <w:t xml:space="preserve">. </w:t>
      </w:r>
    </w:p>
    <w:p w14:paraId="109492F6" w14:textId="77777777" w:rsidR="0081144D" w:rsidRDefault="0081144D" w:rsidP="005668D6">
      <w:pPr>
        <w:spacing w:after="0" w:line="240" w:lineRule="auto"/>
        <w:jc w:val="both"/>
        <w:rPr>
          <w:rFonts w:ascii="Cambria" w:eastAsia="Cambria" w:hAnsi="Cambria" w:cs="Cambria"/>
          <w:i/>
          <w:color w:val="000000"/>
        </w:rPr>
      </w:pPr>
    </w:p>
    <w:p w14:paraId="77E416AD" w14:textId="4C61AE9B" w:rsidR="0041395B" w:rsidRDefault="0020214C" w:rsidP="005668D6">
      <w:pPr>
        <w:widowControl/>
        <w:numPr>
          <w:ilvl w:val="0"/>
          <w:numId w:val="2"/>
        </w:numP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En Perú, las personas venezolanas son la principal población migrante</w:t>
      </w:r>
      <w:r w:rsidR="00907530">
        <w:rPr>
          <w:rStyle w:val="EndnoteReference"/>
          <w:rFonts w:ascii="Cambria" w:eastAsia="Cambria" w:hAnsi="Cambria" w:cs="Cambria"/>
          <w:color w:val="000000"/>
        </w:rPr>
        <w:endnoteReference w:id="5"/>
      </w:r>
      <w:r>
        <w:rPr>
          <w:rFonts w:ascii="Cambria" w:eastAsia="Cambria" w:hAnsi="Cambria" w:cs="Cambria"/>
          <w:color w:val="000000"/>
        </w:rPr>
        <w:t>, solicitante de asilo y refugio caracterizadas por ser, mayoritariamente, jóvenes cuya edad oscila entre los 16 y 35 años</w:t>
      </w:r>
      <w:r w:rsidR="00907530">
        <w:rPr>
          <w:rStyle w:val="EndnoteReference"/>
          <w:rFonts w:ascii="Cambria" w:eastAsia="Cambria" w:hAnsi="Cambria" w:cs="Cambria"/>
          <w:color w:val="000000"/>
        </w:rPr>
        <w:endnoteReference w:id="6"/>
      </w:r>
      <w:r>
        <w:rPr>
          <w:rFonts w:ascii="Cambria" w:eastAsia="Cambria" w:hAnsi="Cambria" w:cs="Cambria"/>
          <w:color w:val="000000"/>
        </w:rPr>
        <w:t>. Según</w:t>
      </w:r>
      <w:r>
        <w:rPr>
          <w:rFonts w:ascii="Cambria" w:eastAsia="Cambria" w:hAnsi="Cambria" w:cs="Cambria"/>
          <w:color w:val="000000"/>
        </w:rPr>
        <w:t xml:space="preserve"> la Superintendencia Nacional de Migraciones, entre enero de 2016 y mayo de 2021, 1’533.449 personas venezolanas ingresaron por puntos de control migratorio y, de ellas, 788.295 permanecen en el Perú</w:t>
      </w:r>
      <w:r w:rsidR="00907530">
        <w:rPr>
          <w:rStyle w:val="EndnoteReference"/>
          <w:rFonts w:ascii="Cambria" w:eastAsia="Cambria" w:hAnsi="Cambria" w:cs="Cambria"/>
          <w:color w:val="000000"/>
        </w:rPr>
        <w:endnoteReference w:id="7"/>
      </w:r>
      <w:r>
        <w:rPr>
          <w:rFonts w:ascii="Cambria" w:eastAsia="Cambria" w:hAnsi="Cambria" w:cs="Cambria"/>
          <w:color w:val="000000"/>
        </w:rPr>
        <w:t>. No obstante, la Agencia de la ONU para los Refugiados</w:t>
      </w:r>
      <w:r>
        <w:rPr>
          <w:rFonts w:ascii="Cambria" w:eastAsia="Cambria" w:hAnsi="Cambria" w:cs="Cambria"/>
          <w:color w:val="000000"/>
        </w:rPr>
        <w:t xml:space="preserve"> (ACNUR) estima que más de 1,5 </w:t>
      </w:r>
      <w:r>
        <w:rPr>
          <w:rFonts w:ascii="Cambria" w:eastAsia="Cambria" w:hAnsi="Cambria" w:cs="Cambria"/>
          <w:color w:val="000000"/>
        </w:rPr>
        <w:lastRenderedPageBreak/>
        <w:t>millones de personas venezolanas han llegado al Perú y más de 532 mil han solicitado la condición de refugiado</w:t>
      </w:r>
      <w:r w:rsidR="00907530">
        <w:rPr>
          <w:rStyle w:val="EndnoteReference"/>
          <w:rFonts w:ascii="Cambria" w:eastAsia="Cambria" w:hAnsi="Cambria" w:cs="Cambria"/>
          <w:color w:val="000000"/>
        </w:rPr>
        <w:endnoteReference w:id="8"/>
      </w:r>
      <w:r>
        <w:rPr>
          <w:rFonts w:ascii="Cambria" w:eastAsia="Cambria" w:hAnsi="Cambria" w:cs="Cambria"/>
          <w:color w:val="000000"/>
        </w:rPr>
        <w:t>. Mientras la encuesta del Instituto Nacional de Estadística e Informática (INEI), reporta actualmente 1,4 millon</w:t>
      </w:r>
      <w:r>
        <w:rPr>
          <w:rFonts w:ascii="Cambria" w:eastAsia="Cambria" w:hAnsi="Cambria" w:cs="Cambria"/>
          <w:color w:val="000000"/>
        </w:rPr>
        <w:t>es de personas extranjeras en el Perú, de las cuales 86,8% son venezolanas</w:t>
      </w:r>
      <w:r w:rsidR="00907530">
        <w:rPr>
          <w:rStyle w:val="EndnoteReference"/>
          <w:rFonts w:ascii="Cambria" w:eastAsia="Cambria" w:hAnsi="Cambria" w:cs="Cambria"/>
          <w:color w:val="000000"/>
        </w:rPr>
        <w:endnoteReference w:id="9"/>
      </w:r>
      <w:r>
        <w:rPr>
          <w:rFonts w:ascii="Cambria" w:eastAsia="Cambria" w:hAnsi="Cambria" w:cs="Cambria"/>
          <w:color w:val="000000"/>
        </w:rPr>
        <w:t>.</w:t>
      </w:r>
    </w:p>
    <w:p w14:paraId="0446DC38" w14:textId="77777777" w:rsidR="0041395B" w:rsidRDefault="0041395B" w:rsidP="005668D6">
      <w:pPr>
        <w:widowControl/>
        <w:tabs>
          <w:tab w:val="left" w:pos="2127"/>
        </w:tabs>
        <w:spacing w:after="0" w:line="240" w:lineRule="auto"/>
        <w:jc w:val="both"/>
        <w:rPr>
          <w:rFonts w:ascii="Cambria" w:eastAsia="Cambria" w:hAnsi="Cambria" w:cs="Cambria"/>
          <w:color w:val="000000"/>
        </w:rPr>
      </w:pPr>
    </w:p>
    <w:p w14:paraId="2D7AFD14" w14:textId="3A2874B5" w:rsidR="0041395B" w:rsidRDefault="0020214C" w:rsidP="005668D6">
      <w:pPr>
        <w:widowControl/>
        <w:numPr>
          <w:ilvl w:val="0"/>
          <w:numId w:val="2"/>
        </w:numPr>
        <w:tabs>
          <w:tab w:val="left" w:pos="2127"/>
        </w:tabs>
        <w:spacing w:after="0" w:line="240" w:lineRule="auto"/>
        <w:jc w:val="both"/>
        <w:rPr>
          <w:rFonts w:ascii="Cambria" w:eastAsia="Cambria" w:hAnsi="Cambria" w:cs="Cambria"/>
          <w:color w:val="000000"/>
        </w:rPr>
      </w:pPr>
      <w:r w:rsidRPr="0020214C">
        <w:rPr>
          <w:rFonts w:ascii="Cambria" w:eastAsia="Cambria" w:hAnsi="Cambria" w:cs="Cambria"/>
          <w:color w:val="000000"/>
          <w:lang w:val="es-ES"/>
        </w:rPr>
        <w:t>Gran parte de las personas migrantes no ven garantizado su derecho a la salud en las mismas condiciones que una persona de nacionalidad peruana. Esto se ve agravado especialment</w:t>
      </w:r>
      <w:r w:rsidRPr="0020214C">
        <w:rPr>
          <w:rFonts w:ascii="Cambria" w:eastAsia="Cambria" w:hAnsi="Cambria" w:cs="Cambria"/>
          <w:color w:val="000000"/>
          <w:lang w:val="es-ES"/>
        </w:rPr>
        <w:t>e en el caso de aquellas personas solicitantes de asilo y refugio, dada su condición migratoria irregular más aún si pertenecen a otros grupos en situación de vulnerabilidad como el ser LGBTI</w:t>
      </w:r>
      <w:r w:rsidR="006A2726" w:rsidRPr="0020214C">
        <w:rPr>
          <w:rFonts w:ascii="Cambria" w:eastAsia="Cambria" w:hAnsi="Cambria" w:cs="Cambria"/>
          <w:color w:val="000000"/>
          <w:lang w:val="es-ES"/>
        </w:rPr>
        <w:t>Q+</w:t>
      </w:r>
      <w:r w:rsidR="00907530">
        <w:rPr>
          <w:rStyle w:val="EndnoteReference"/>
          <w:rFonts w:ascii="Cambria" w:eastAsia="Cambria" w:hAnsi="Cambria" w:cs="Cambria"/>
          <w:color w:val="000000"/>
        </w:rPr>
        <w:endnoteReference w:id="10"/>
      </w:r>
      <w:r w:rsidRPr="0020214C">
        <w:rPr>
          <w:rFonts w:ascii="Cambria" w:eastAsia="Cambria" w:hAnsi="Cambria" w:cs="Cambria"/>
          <w:color w:val="000000"/>
          <w:lang w:val="es-ES"/>
        </w:rPr>
        <w:t xml:space="preserve">, persona con discapacidad, etcétera. </w:t>
      </w:r>
      <w:r>
        <w:rPr>
          <w:rFonts w:ascii="Cambria" w:eastAsia="Cambria" w:hAnsi="Cambria" w:cs="Cambria"/>
          <w:color w:val="000000"/>
        </w:rPr>
        <w:t>Lamentablemente, el Est</w:t>
      </w:r>
      <w:r>
        <w:rPr>
          <w:rFonts w:ascii="Cambria" w:eastAsia="Cambria" w:hAnsi="Cambria" w:cs="Cambria"/>
          <w:color w:val="000000"/>
        </w:rPr>
        <w:t>ado peruano no cuenta con información pública y desagregada por variables como nacionalidad, situación migratoria, orientación sexual, identidad de género, origen étnico, discapacidad, entre otras, que permitan dimensionar el grado de vulneración de su der</w:t>
      </w:r>
      <w:r>
        <w:rPr>
          <w:rFonts w:ascii="Cambria" w:eastAsia="Cambria" w:hAnsi="Cambria" w:cs="Cambria"/>
          <w:color w:val="000000"/>
        </w:rPr>
        <w:t>echo a la salud, especialmente, de sus derechos sexuales y reproductivos. Esto fue reafirmado por el Estado</w:t>
      </w:r>
      <w:r w:rsidR="006A2726">
        <w:rPr>
          <w:rFonts w:ascii="Cambria" w:eastAsia="Cambria" w:hAnsi="Cambria" w:cs="Cambria"/>
          <w:color w:val="000000"/>
        </w:rPr>
        <w:t xml:space="preserve"> peruano</w:t>
      </w:r>
      <w:r>
        <w:rPr>
          <w:rFonts w:ascii="Cambria" w:eastAsia="Cambria" w:hAnsi="Cambria" w:cs="Cambria"/>
          <w:color w:val="000000"/>
        </w:rPr>
        <w:t>, el mismo señaló que “es necesario contar con más información desagregada en áreas tales como materia de discriminación, niños y adolescente</w:t>
      </w:r>
      <w:r>
        <w:rPr>
          <w:rFonts w:ascii="Cambria" w:eastAsia="Cambria" w:hAnsi="Cambria" w:cs="Cambria"/>
          <w:color w:val="000000"/>
        </w:rPr>
        <w:t xml:space="preserve">s migrantes, e información relevante de grupos poblacionales poco estudiados (discapacitados, pueblos indigenas, </w:t>
      </w:r>
      <w:r>
        <w:rPr>
          <w:rFonts w:ascii="Cambria" w:eastAsia="Cambria" w:hAnsi="Cambria" w:cs="Cambria"/>
        </w:rPr>
        <w:t>L</w:t>
      </w:r>
      <w:r>
        <w:rPr>
          <w:rFonts w:ascii="Cambria" w:eastAsia="Cambria" w:hAnsi="Cambria" w:cs="Cambria"/>
          <w:color w:val="000000"/>
        </w:rPr>
        <w:t>GBT</w:t>
      </w:r>
      <w:r>
        <w:rPr>
          <w:rFonts w:ascii="Cambria" w:eastAsia="Cambria" w:hAnsi="Cambria" w:cs="Cambria"/>
        </w:rPr>
        <w:t>I</w:t>
      </w:r>
      <w:r w:rsidR="006A2726">
        <w:rPr>
          <w:rFonts w:ascii="Cambria" w:eastAsia="Cambria" w:hAnsi="Cambria" w:cs="Cambria"/>
        </w:rPr>
        <w:t>Q+</w:t>
      </w:r>
      <w:r>
        <w:rPr>
          <w:rFonts w:ascii="Cambria" w:eastAsia="Cambria" w:hAnsi="Cambria" w:cs="Cambria"/>
          <w:color w:val="000000"/>
        </w:rPr>
        <w:t>, etc)”</w:t>
      </w:r>
      <w:r w:rsidR="00907530">
        <w:rPr>
          <w:rStyle w:val="EndnoteReference"/>
          <w:rFonts w:ascii="Cambria" w:eastAsia="Cambria" w:hAnsi="Cambria" w:cs="Cambria"/>
          <w:color w:val="000000"/>
        </w:rPr>
        <w:endnoteReference w:id="11"/>
      </w:r>
      <w:r w:rsidR="00907530">
        <w:rPr>
          <w:rFonts w:ascii="Cambria" w:eastAsia="Cambria" w:hAnsi="Cambria" w:cs="Cambria"/>
          <w:color w:val="000000"/>
        </w:rPr>
        <w:t>.</w:t>
      </w:r>
    </w:p>
    <w:p w14:paraId="624BAC99" w14:textId="77777777" w:rsidR="0041395B" w:rsidRDefault="0041395B" w:rsidP="005668D6">
      <w:pPr>
        <w:pBdr>
          <w:top w:val="nil"/>
          <w:left w:val="nil"/>
          <w:bottom w:val="nil"/>
          <w:right w:val="nil"/>
          <w:between w:val="nil"/>
        </w:pBdr>
        <w:spacing w:after="0" w:line="240" w:lineRule="auto"/>
        <w:ind w:left="720"/>
        <w:jc w:val="both"/>
        <w:rPr>
          <w:rFonts w:ascii="Cambria" w:eastAsia="Cambria" w:hAnsi="Cambria" w:cs="Cambria"/>
          <w:color w:val="000000"/>
        </w:rPr>
      </w:pPr>
    </w:p>
    <w:p w14:paraId="0C295C9A" w14:textId="7B34F43B"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 xml:space="preserve">Al haber exiguas iniciativas de sensibilización y capacitación sobre los derechos de las personas migrantes, </w:t>
      </w:r>
      <w:r>
        <w:rPr>
          <w:rFonts w:ascii="Cambria" w:eastAsia="Cambria" w:hAnsi="Cambria" w:cs="Cambria"/>
          <w:color w:val="000000"/>
        </w:rPr>
        <w:t>organismos internacionales</w:t>
      </w:r>
      <w:r w:rsidR="00B07882">
        <w:rPr>
          <w:rStyle w:val="EndnoteReference"/>
          <w:rFonts w:ascii="Cambria" w:eastAsia="Cambria" w:hAnsi="Cambria" w:cs="Cambria"/>
          <w:color w:val="000000"/>
        </w:rPr>
        <w:endnoteReference w:id="12"/>
      </w:r>
      <w:r>
        <w:rPr>
          <w:rFonts w:ascii="Cambria" w:eastAsia="Cambria" w:hAnsi="Cambria" w:cs="Cambria"/>
          <w:color w:val="000000"/>
          <w:sz w:val="16"/>
          <w:szCs w:val="16"/>
        </w:rPr>
        <w:t xml:space="preserve"> y </w:t>
      </w:r>
      <w:r>
        <w:rPr>
          <w:rFonts w:ascii="Cambria" w:eastAsia="Cambria" w:hAnsi="Cambria" w:cs="Cambria"/>
          <w:color w:val="000000"/>
        </w:rPr>
        <w:t>organizaciones de sociedad civil han realizado esfuerzos para llevar a cabo proyectos de capacitación sobre los derechos que les asiste a las personas migrantes en el país. Una muestra de iniciativas de sociedad</w:t>
      </w:r>
      <w:r>
        <w:rPr>
          <w:rFonts w:ascii="Cambria" w:eastAsia="Cambria" w:hAnsi="Cambria" w:cs="Cambria"/>
          <w:color w:val="000000"/>
        </w:rPr>
        <w:t xml:space="preserve"> civil son el Proyecto VinculArte y Proyecto EscuchaArte, ambas desarrolladas por Promsex y organizaciones aliadas</w:t>
      </w:r>
      <w:r w:rsidR="00B07882">
        <w:rPr>
          <w:rStyle w:val="EndnoteReference"/>
          <w:rFonts w:ascii="Cambria" w:eastAsia="Cambria" w:hAnsi="Cambria" w:cs="Cambria"/>
          <w:color w:val="000000"/>
        </w:rPr>
        <w:endnoteReference w:id="13"/>
      </w:r>
      <w:r>
        <w:rPr>
          <w:rFonts w:ascii="Cambria" w:eastAsia="Cambria" w:hAnsi="Cambria" w:cs="Cambria"/>
          <w:color w:val="000000"/>
        </w:rPr>
        <w:t>.</w:t>
      </w:r>
    </w:p>
    <w:p w14:paraId="7C9A0422" w14:textId="77777777" w:rsidR="0081144D" w:rsidRDefault="0081144D" w:rsidP="0081144D">
      <w:pPr>
        <w:pBdr>
          <w:top w:val="nil"/>
          <w:left w:val="nil"/>
          <w:bottom w:val="nil"/>
          <w:right w:val="nil"/>
          <w:between w:val="nil"/>
        </w:pBdr>
        <w:spacing w:after="0" w:line="240" w:lineRule="auto"/>
        <w:jc w:val="both"/>
        <w:rPr>
          <w:rFonts w:ascii="Cambria" w:eastAsia="Cambria" w:hAnsi="Cambria" w:cs="Cambria"/>
          <w:color w:val="000000"/>
        </w:rPr>
      </w:pPr>
    </w:p>
    <w:p w14:paraId="29D22C74" w14:textId="517B016E" w:rsidR="0041395B" w:rsidRDefault="0020214C" w:rsidP="005668D6">
      <w:pPr>
        <w:widowControl/>
        <w:numPr>
          <w:ilvl w:val="0"/>
          <w:numId w:val="2"/>
        </w:numP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En la “Encuesta dirigida a la población venezolana residente en el Perú” (ENPOVE) reveló que, para 2023, un 55.8% considera que su primer</w:t>
      </w:r>
      <w:r>
        <w:rPr>
          <w:rFonts w:ascii="Cambria" w:eastAsia="Cambria" w:hAnsi="Cambria" w:cs="Cambria"/>
          <w:color w:val="000000"/>
        </w:rPr>
        <w:t>a necesidad a cubrir es el acceso a la salud</w:t>
      </w:r>
      <w:r w:rsidR="00B07882">
        <w:rPr>
          <w:rStyle w:val="EndnoteReference"/>
          <w:rFonts w:ascii="Cambria" w:eastAsia="Cambria" w:hAnsi="Cambria" w:cs="Cambria"/>
          <w:color w:val="000000"/>
        </w:rPr>
        <w:endnoteReference w:id="14"/>
      </w:r>
      <w:r>
        <w:rPr>
          <w:rFonts w:ascii="Cambria" w:eastAsia="Cambria" w:hAnsi="Cambria" w:cs="Cambria"/>
          <w:color w:val="000000"/>
        </w:rPr>
        <w:t>, sin embargo el 73% no accede a un seguro de salud (Essalud, SIS</w:t>
      </w:r>
      <w:r w:rsidR="00B07882">
        <w:rPr>
          <w:rStyle w:val="EndnoteReference"/>
          <w:rFonts w:ascii="Cambria" w:eastAsia="Cambria" w:hAnsi="Cambria" w:cs="Cambria"/>
          <w:color w:val="000000"/>
        </w:rPr>
        <w:endnoteReference w:id="15"/>
      </w:r>
      <w:r>
        <w:rPr>
          <w:rFonts w:ascii="Cambria" w:eastAsia="Cambria" w:hAnsi="Cambria" w:cs="Cambria"/>
          <w:color w:val="000000"/>
        </w:rPr>
        <w:t xml:space="preserve"> o seguro privado), mientras que el 27% si lo hace</w:t>
      </w:r>
      <w:r w:rsidR="00B07882">
        <w:rPr>
          <w:rStyle w:val="EndnoteReference"/>
          <w:rFonts w:ascii="Cambria" w:eastAsia="Cambria" w:hAnsi="Cambria" w:cs="Cambria"/>
          <w:color w:val="000000"/>
        </w:rPr>
        <w:endnoteReference w:id="16"/>
      </w:r>
      <w:r>
        <w:rPr>
          <w:rFonts w:ascii="Cambria" w:eastAsia="Cambria" w:hAnsi="Cambria" w:cs="Cambria"/>
          <w:color w:val="000000"/>
        </w:rPr>
        <w:t xml:space="preserve">. Las personas migrantes venezolanas que residen en Perú identificaron que las razones más </w:t>
      </w:r>
      <w:r>
        <w:rPr>
          <w:rFonts w:ascii="Cambria" w:eastAsia="Cambria" w:hAnsi="Cambria" w:cs="Cambria"/>
          <w:color w:val="000000"/>
        </w:rPr>
        <w:t>importantes para no buscar atención de salud formal son la falta de recursos y de un seguro médico</w:t>
      </w:r>
      <w:r w:rsidR="00B07882">
        <w:rPr>
          <w:rStyle w:val="EndnoteReference"/>
          <w:rFonts w:ascii="Cambria" w:eastAsia="Cambria" w:hAnsi="Cambria" w:cs="Cambria"/>
          <w:color w:val="000000"/>
        </w:rPr>
        <w:endnoteReference w:id="17"/>
      </w:r>
      <w:r>
        <w:rPr>
          <w:rFonts w:ascii="Cambria" w:eastAsia="Cambria" w:hAnsi="Cambria" w:cs="Cambria"/>
          <w:color w:val="000000"/>
        </w:rPr>
        <w:t>.</w:t>
      </w:r>
    </w:p>
    <w:p w14:paraId="3E9BAE85" w14:textId="77777777" w:rsidR="0081144D" w:rsidRDefault="0081144D" w:rsidP="0081144D">
      <w:pPr>
        <w:widowControl/>
        <w:tabs>
          <w:tab w:val="left" w:pos="2127"/>
        </w:tabs>
        <w:spacing w:after="0" w:line="240" w:lineRule="auto"/>
        <w:jc w:val="both"/>
        <w:rPr>
          <w:rFonts w:ascii="Cambria" w:eastAsia="Cambria" w:hAnsi="Cambria" w:cs="Cambria"/>
          <w:color w:val="000000"/>
        </w:rPr>
      </w:pPr>
    </w:p>
    <w:p w14:paraId="7F0033EE" w14:textId="5BC95708" w:rsidR="0041395B" w:rsidRDefault="0020214C" w:rsidP="005668D6">
      <w:pPr>
        <w:widowControl/>
        <w:numPr>
          <w:ilvl w:val="0"/>
          <w:numId w:val="2"/>
        </w:numPr>
        <w:tabs>
          <w:tab w:val="left" w:pos="2127"/>
        </w:tabs>
        <w:spacing w:after="0" w:line="240" w:lineRule="auto"/>
        <w:jc w:val="both"/>
        <w:rPr>
          <w:rFonts w:ascii="Cambria" w:eastAsia="Cambria" w:hAnsi="Cambria" w:cs="Cambria"/>
          <w:color w:val="000000"/>
        </w:rPr>
      </w:pPr>
      <w:r w:rsidRPr="0020214C">
        <w:rPr>
          <w:rFonts w:ascii="Cambria" w:eastAsia="Cambria" w:hAnsi="Cambria" w:cs="Cambria"/>
          <w:color w:val="000000"/>
          <w:lang w:val="es-ES"/>
        </w:rPr>
        <w:t xml:space="preserve">Asimismo, en la encuesta ENPOVE se señaló que </w:t>
      </w:r>
      <w:r w:rsidR="006A2726" w:rsidRPr="0020214C">
        <w:rPr>
          <w:rFonts w:ascii="Cambria" w:eastAsia="Cambria" w:hAnsi="Cambria" w:cs="Cambria"/>
          <w:color w:val="000000"/>
          <w:lang w:val="es-ES"/>
        </w:rPr>
        <w:t xml:space="preserve">el </w:t>
      </w:r>
      <w:r w:rsidRPr="0020214C">
        <w:rPr>
          <w:rFonts w:ascii="Cambria" w:eastAsia="Cambria" w:hAnsi="Cambria" w:cs="Cambria"/>
          <w:color w:val="000000"/>
          <w:lang w:val="es-ES"/>
        </w:rPr>
        <w:t>35,6% de la población venezolana se sintió discriminado en lugares públicos y en sus centros de trabajo</w:t>
      </w:r>
      <w:r w:rsidR="001B1527">
        <w:rPr>
          <w:rStyle w:val="EndnoteReference"/>
          <w:rFonts w:ascii="Cambria" w:eastAsia="Cambria" w:hAnsi="Cambria" w:cs="Cambria"/>
          <w:color w:val="000000"/>
        </w:rPr>
        <w:endnoteReference w:id="18"/>
      </w:r>
      <w:r w:rsidRPr="0020214C">
        <w:rPr>
          <w:rFonts w:ascii="Cambria" w:eastAsia="Cambria" w:hAnsi="Cambria" w:cs="Cambria"/>
          <w:color w:val="000000"/>
          <w:lang w:val="es-ES"/>
        </w:rPr>
        <w:t>. Al respecto, la organización CAMPV ha reportado la discriminación por nacionalidad, siendo que en algunos casos las personas venezolanas sufrieron discriminación por su orientaci</w:t>
      </w:r>
      <w:r w:rsidRPr="0020214C">
        <w:rPr>
          <w:rFonts w:ascii="Cambria" w:eastAsia="Cambria" w:hAnsi="Cambria" w:cs="Cambria"/>
          <w:lang w:val="es-ES"/>
        </w:rPr>
        <w:t xml:space="preserve">ón sexual e identidad de género (en adelante, </w:t>
      </w:r>
      <w:r w:rsidRPr="0020214C">
        <w:rPr>
          <w:rFonts w:ascii="Cambria" w:eastAsia="Cambria" w:hAnsi="Cambria" w:cs="Cambria"/>
          <w:i/>
          <w:lang w:val="es-ES"/>
        </w:rPr>
        <w:t>“OSIG”</w:t>
      </w:r>
      <w:r w:rsidRPr="0020214C">
        <w:rPr>
          <w:rFonts w:ascii="Cambria" w:eastAsia="Cambria" w:hAnsi="Cambria" w:cs="Cambria"/>
          <w:lang w:val="es-ES"/>
        </w:rPr>
        <w:t>)</w:t>
      </w:r>
      <w:r w:rsidRPr="0020214C">
        <w:rPr>
          <w:rFonts w:ascii="Cambria" w:eastAsia="Cambria" w:hAnsi="Cambria" w:cs="Cambria"/>
          <w:color w:val="000000"/>
          <w:lang w:val="es-ES"/>
        </w:rPr>
        <w:t xml:space="preserve"> y se han</w:t>
      </w:r>
      <w:r w:rsidRPr="0020214C">
        <w:rPr>
          <w:rFonts w:ascii="Cambria" w:eastAsia="Cambria" w:hAnsi="Cambria" w:cs="Cambria"/>
          <w:color w:val="000000"/>
          <w:lang w:val="es-ES"/>
        </w:rPr>
        <w:t xml:space="preserve"> visto coaccionados a la hora de un diagnóstico positivo en VIH,  incluso profiriendo frases como “ustedes los venezolanos han sido los que han propagado el sida en Perú”. </w:t>
      </w:r>
      <w:r>
        <w:rPr>
          <w:rFonts w:ascii="Cambria" w:eastAsia="Cambria" w:hAnsi="Cambria" w:cs="Cambria"/>
          <w:color w:val="000000"/>
        </w:rPr>
        <w:t>Para evitar este tipo de situaciones, algunos prefier</w:t>
      </w:r>
      <w:r>
        <w:rPr>
          <w:rFonts w:ascii="Cambria" w:eastAsia="Cambria" w:hAnsi="Cambria" w:cs="Cambria"/>
        </w:rPr>
        <w:t>e</w:t>
      </w:r>
      <w:r>
        <w:rPr>
          <w:rFonts w:ascii="Cambria" w:eastAsia="Cambria" w:hAnsi="Cambria" w:cs="Cambria"/>
          <w:color w:val="000000"/>
        </w:rPr>
        <w:t>n evadir los servicios de salu</w:t>
      </w:r>
      <w:r>
        <w:rPr>
          <w:rFonts w:ascii="Cambria" w:eastAsia="Cambria" w:hAnsi="Cambria" w:cs="Cambria"/>
          <w:color w:val="000000"/>
        </w:rPr>
        <w:t xml:space="preserve">d y automedicarse. </w:t>
      </w:r>
    </w:p>
    <w:p w14:paraId="30C786DF" w14:textId="77777777" w:rsidR="006A2726" w:rsidRDefault="006A2726" w:rsidP="006A2726">
      <w:pPr>
        <w:widowControl/>
        <w:tabs>
          <w:tab w:val="left" w:pos="2127"/>
        </w:tabs>
        <w:spacing w:after="0" w:line="240" w:lineRule="auto"/>
        <w:jc w:val="both"/>
        <w:rPr>
          <w:rFonts w:ascii="Cambria" w:eastAsia="Cambria" w:hAnsi="Cambria" w:cs="Cambria"/>
          <w:color w:val="000000"/>
        </w:rPr>
      </w:pPr>
    </w:p>
    <w:p w14:paraId="1EBF79DB" w14:textId="5DF66B30" w:rsidR="0041395B" w:rsidRDefault="0020214C" w:rsidP="005668D6">
      <w:pPr>
        <w:widowControl/>
        <w:numPr>
          <w:ilvl w:val="0"/>
          <w:numId w:val="2"/>
        </w:numPr>
        <w:tabs>
          <w:tab w:val="left" w:pos="2127"/>
        </w:tabs>
        <w:spacing w:after="0" w:line="240" w:lineRule="auto"/>
        <w:jc w:val="both"/>
        <w:rPr>
          <w:rFonts w:ascii="Cambria" w:eastAsia="Cambria" w:hAnsi="Cambria" w:cs="Cambria"/>
          <w:color w:val="000000"/>
        </w:rPr>
      </w:pPr>
      <w:r w:rsidRPr="0020214C">
        <w:rPr>
          <w:rFonts w:ascii="Cambria" w:eastAsia="Cambria" w:hAnsi="Cambria" w:cs="Cambria"/>
          <w:color w:val="000000"/>
          <w:lang w:val="es-ES"/>
        </w:rPr>
        <w:t>A esto se suma que el Estado peruano reconoció que es necesario la “emisión de normativa que desarolle la garantía de aseguramiento universal de salud de todos los migrantes, residentes o no, que se encuentren en el territorio peruano”</w:t>
      </w:r>
      <w:r w:rsidR="001B1527">
        <w:rPr>
          <w:rStyle w:val="EndnoteReference"/>
          <w:rFonts w:ascii="Cambria" w:eastAsia="Cambria" w:hAnsi="Cambria" w:cs="Cambria"/>
          <w:color w:val="000000"/>
        </w:rPr>
        <w:endnoteReference w:id="19"/>
      </w:r>
      <w:r w:rsidRPr="0020214C">
        <w:rPr>
          <w:rFonts w:ascii="Cambria" w:eastAsia="Cambria" w:hAnsi="Cambria" w:cs="Cambria"/>
          <w:color w:val="000000"/>
          <w:lang w:val="es-ES"/>
        </w:rPr>
        <w:t xml:space="preserve">. </w:t>
      </w:r>
      <w:r>
        <w:rPr>
          <w:rFonts w:ascii="Cambria" w:eastAsia="Cambria" w:hAnsi="Cambria" w:cs="Cambria"/>
          <w:color w:val="000000"/>
        </w:rPr>
        <w:t>Esto debido a que en los art</w:t>
      </w:r>
      <w:r>
        <w:rPr>
          <w:rFonts w:ascii="Cambria" w:eastAsia="Cambria" w:hAnsi="Cambria" w:cs="Cambria"/>
        </w:rPr>
        <w:t>í</w:t>
      </w:r>
      <w:r>
        <w:rPr>
          <w:rFonts w:ascii="Cambria" w:eastAsia="Cambria" w:hAnsi="Cambria" w:cs="Cambria"/>
          <w:color w:val="000000"/>
        </w:rPr>
        <w:t>culos 76 y 143 del Reglamento de la Ley 29344, señala que en el caso de los extranjeros residentes, el documento de identificación a partir del cual se reconoce la condición de asegurado bajo el Aseguramiento Universal en S</w:t>
      </w:r>
      <w:r>
        <w:rPr>
          <w:rFonts w:ascii="Cambria" w:eastAsia="Cambria" w:hAnsi="Cambria" w:cs="Cambria"/>
          <w:color w:val="000000"/>
        </w:rPr>
        <w:t>alud (SIS) es el Carnet de Extranjería, en caso que no lo tuvieran estarían exceptuados de tener la cobertura de salud. Según la organización CAMPV, a la gran mayor</w:t>
      </w:r>
      <w:r>
        <w:rPr>
          <w:rFonts w:ascii="Cambria" w:eastAsia="Cambria" w:hAnsi="Cambria" w:cs="Cambria"/>
        </w:rPr>
        <w:t>í</w:t>
      </w:r>
      <w:r>
        <w:rPr>
          <w:rFonts w:ascii="Cambria" w:eastAsia="Cambria" w:hAnsi="Cambria" w:cs="Cambria"/>
          <w:color w:val="000000"/>
        </w:rPr>
        <w:t xml:space="preserve">a de personas venezolanas les dificulta acceder a los servicios de salud, ya </w:t>
      </w:r>
      <w:r>
        <w:rPr>
          <w:rFonts w:ascii="Cambria" w:eastAsia="Cambria" w:hAnsi="Cambria" w:cs="Cambria"/>
          <w:color w:val="000000"/>
        </w:rPr>
        <w:lastRenderedPageBreak/>
        <w:t>que la atenció</w:t>
      </w:r>
      <w:r>
        <w:rPr>
          <w:rFonts w:ascii="Cambria" w:eastAsia="Cambria" w:hAnsi="Cambria" w:cs="Cambria"/>
          <w:color w:val="000000"/>
        </w:rPr>
        <w:t xml:space="preserve">n </w:t>
      </w:r>
      <w:r>
        <w:rPr>
          <w:rFonts w:ascii="Cambria" w:eastAsia="Cambria" w:hAnsi="Cambria" w:cs="Cambria"/>
        </w:rPr>
        <w:t>está</w:t>
      </w:r>
      <w:r>
        <w:rPr>
          <w:rFonts w:ascii="Cambria" w:eastAsia="Cambria" w:hAnsi="Cambria" w:cs="Cambria"/>
          <w:color w:val="000000"/>
        </w:rPr>
        <w:t xml:space="preserve"> condicionada a contar con un carnet de extranjería, y para la tramitación del mismo deben lidiar con la dilación en la entrega y burocracia. </w:t>
      </w:r>
    </w:p>
    <w:p w14:paraId="32B2808E" w14:textId="77777777" w:rsidR="0041395B" w:rsidRDefault="0041395B" w:rsidP="005668D6">
      <w:pPr>
        <w:widowControl/>
        <w:tabs>
          <w:tab w:val="left" w:pos="2127"/>
        </w:tabs>
        <w:spacing w:after="0" w:line="240" w:lineRule="auto"/>
        <w:jc w:val="both"/>
        <w:rPr>
          <w:rFonts w:ascii="Cambria" w:eastAsia="Cambria" w:hAnsi="Cambria" w:cs="Cambria"/>
          <w:color w:val="000000"/>
        </w:rPr>
      </w:pPr>
    </w:p>
    <w:p w14:paraId="04FA91B2" w14:textId="165DAFF8" w:rsidR="0041395B" w:rsidRDefault="0020214C" w:rsidP="005668D6">
      <w:pPr>
        <w:widowControl/>
        <w:numPr>
          <w:ilvl w:val="0"/>
          <w:numId w:val="2"/>
        </w:numP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 xml:space="preserve">Al respecto, la Defensoría del Pueblo publicó un Informe (2020), en el que alertó sobre las </w:t>
      </w:r>
      <w:r>
        <w:rPr>
          <w:rFonts w:ascii="Cambria" w:eastAsia="Cambria" w:hAnsi="Cambria" w:cs="Cambria"/>
          <w:color w:val="000000"/>
        </w:rPr>
        <w:t>profundas restricciones que sufre la población venezolana en el acceso SIS al exigirles contar con carné de extranjería, cuando la mayoría de ellos cuenta únicamente con un permiso temporal de permanencia (PTP)</w:t>
      </w:r>
      <w:r w:rsidR="001B1527">
        <w:rPr>
          <w:rStyle w:val="EndnoteReference"/>
          <w:rFonts w:ascii="Cambria" w:eastAsia="Cambria" w:hAnsi="Cambria" w:cs="Cambria"/>
          <w:color w:val="000000"/>
        </w:rPr>
        <w:endnoteReference w:id="20"/>
      </w:r>
      <w:r>
        <w:rPr>
          <w:rFonts w:ascii="Cambria" w:eastAsia="Cambria" w:hAnsi="Cambria" w:cs="Cambria"/>
          <w:color w:val="000000"/>
        </w:rPr>
        <w:t xml:space="preserve">. La Defensoría ha solicitado al Ministerio </w:t>
      </w:r>
      <w:r>
        <w:rPr>
          <w:rFonts w:ascii="Cambria" w:eastAsia="Cambria" w:hAnsi="Cambria" w:cs="Cambria"/>
          <w:color w:val="000000"/>
        </w:rPr>
        <w:t xml:space="preserve">de Salud (en adelante, </w:t>
      </w:r>
      <w:r>
        <w:rPr>
          <w:rFonts w:ascii="Cambria" w:eastAsia="Cambria" w:hAnsi="Cambria" w:cs="Cambria"/>
          <w:i/>
          <w:color w:val="000000"/>
        </w:rPr>
        <w:t>“Minsa”</w:t>
      </w:r>
      <w:r>
        <w:rPr>
          <w:rFonts w:ascii="Cambria" w:eastAsia="Cambria" w:hAnsi="Cambria" w:cs="Cambria"/>
          <w:color w:val="000000"/>
        </w:rPr>
        <w:t>) que permita la afiliación directa temporal de migrantes, en particular a grupos específicos como las mujeres gestantes, niñas y niños menores de 5 años</w:t>
      </w:r>
      <w:r w:rsidR="001B1527">
        <w:rPr>
          <w:rStyle w:val="EndnoteReference"/>
          <w:rFonts w:ascii="Cambria" w:eastAsia="Cambria" w:hAnsi="Cambria" w:cs="Cambria"/>
          <w:color w:val="000000"/>
        </w:rPr>
        <w:endnoteReference w:id="21"/>
      </w:r>
      <w:r>
        <w:rPr>
          <w:rFonts w:ascii="Cambria" w:eastAsia="Cambria" w:hAnsi="Cambria" w:cs="Cambria"/>
          <w:color w:val="000000"/>
        </w:rPr>
        <w:t>.</w:t>
      </w:r>
    </w:p>
    <w:p w14:paraId="1BB3FF6E" w14:textId="77777777" w:rsidR="0041395B" w:rsidRDefault="0041395B" w:rsidP="005668D6">
      <w:pPr>
        <w:widowControl/>
        <w:tabs>
          <w:tab w:val="left" w:pos="2127"/>
        </w:tabs>
        <w:spacing w:after="0" w:line="240" w:lineRule="auto"/>
        <w:jc w:val="both"/>
        <w:rPr>
          <w:rFonts w:ascii="Cambria" w:eastAsia="Cambria" w:hAnsi="Cambria" w:cs="Cambria"/>
          <w:color w:val="000000"/>
        </w:rPr>
      </w:pPr>
    </w:p>
    <w:p w14:paraId="635AE76A" w14:textId="1A78F2B5" w:rsidR="0041395B" w:rsidRDefault="0020214C" w:rsidP="005668D6">
      <w:pPr>
        <w:widowControl/>
        <w:numPr>
          <w:ilvl w:val="0"/>
          <w:numId w:val="2"/>
        </w:numP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Si la falta de medidas y acciones para garantizar el derecho a la sa</w:t>
      </w:r>
      <w:r>
        <w:rPr>
          <w:rFonts w:ascii="Cambria" w:eastAsia="Cambria" w:hAnsi="Cambria" w:cs="Cambria"/>
          <w:color w:val="000000"/>
        </w:rPr>
        <w:t>lud de las personas migrantes es alarmante</w:t>
      </w:r>
      <w:r w:rsidR="001B1527">
        <w:rPr>
          <w:rStyle w:val="EndnoteReference"/>
          <w:rFonts w:ascii="Cambria" w:eastAsia="Cambria" w:hAnsi="Cambria" w:cs="Cambria"/>
          <w:color w:val="000000"/>
        </w:rPr>
        <w:endnoteReference w:id="22"/>
      </w:r>
      <w:r>
        <w:rPr>
          <w:rFonts w:ascii="Cambria" w:eastAsia="Cambria" w:hAnsi="Cambria" w:cs="Cambria"/>
          <w:color w:val="000000"/>
        </w:rPr>
        <w:t>, estas son especialmente graves en el caso de sus derechos sexuales y reproductivos. Según la Organización Panamericana de la Salud, entre las principales necesidades de salud para la atención de la población mi</w:t>
      </w:r>
      <w:r>
        <w:rPr>
          <w:rFonts w:ascii="Cambria" w:eastAsia="Cambria" w:hAnsi="Cambria" w:cs="Cambria"/>
          <w:color w:val="000000"/>
        </w:rPr>
        <w:t>grante están asociadas a la falta de información con respecto a la existencia servicios de salud -en países de tránsito y acogida- y en la provisión de servicios de salud sexual y reproductiva incluyendo atención de infecciones de transmisión sexual y para</w:t>
      </w:r>
      <w:r>
        <w:rPr>
          <w:rFonts w:ascii="Cambria" w:eastAsia="Cambria" w:hAnsi="Cambria" w:cs="Cambria"/>
          <w:color w:val="000000"/>
        </w:rPr>
        <w:t xml:space="preserve"> mejorar su bienestar y seguridad, incluyendo la provisión de exámenes ginecológicos, pruebas de laboratorio y atención prenatal</w:t>
      </w:r>
      <w:r w:rsidR="001B1527">
        <w:rPr>
          <w:rStyle w:val="EndnoteReference"/>
          <w:rFonts w:ascii="Cambria" w:eastAsia="Cambria" w:hAnsi="Cambria" w:cs="Cambria"/>
          <w:color w:val="000000"/>
        </w:rPr>
        <w:endnoteReference w:id="23"/>
      </w:r>
      <w:r>
        <w:rPr>
          <w:rFonts w:ascii="Cambria" w:eastAsia="Cambria" w:hAnsi="Cambria" w:cs="Cambria"/>
          <w:color w:val="000000"/>
        </w:rPr>
        <w:t>.</w:t>
      </w:r>
    </w:p>
    <w:p w14:paraId="316CC026" w14:textId="77777777" w:rsidR="0041395B" w:rsidRDefault="0041395B" w:rsidP="005668D6">
      <w:pPr>
        <w:pBdr>
          <w:top w:val="nil"/>
          <w:left w:val="nil"/>
          <w:bottom w:val="nil"/>
          <w:right w:val="nil"/>
          <w:between w:val="nil"/>
        </w:pBdr>
        <w:spacing w:after="0" w:line="240" w:lineRule="auto"/>
        <w:ind w:left="720"/>
        <w:rPr>
          <w:rFonts w:ascii="Cambria" w:eastAsia="Cambria" w:hAnsi="Cambria" w:cs="Cambria"/>
          <w:color w:val="000000"/>
        </w:rPr>
      </w:pPr>
    </w:p>
    <w:p w14:paraId="34144833" w14:textId="04EC6868" w:rsidR="0041395B" w:rsidRPr="001B1527" w:rsidRDefault="0020214C" w:rsidP="005668D6">
      <w:pPr>
        <w:widowControl/>
        <w:numPr>
          <w:ilvl w:val="0"/>
          <w:numId w:val="2"/>
        </w:numPr>
        <w:tabs>
          <w:tab w:val="left" w:pos="2127"/>
        </w:tabs>
        <w:spacing w:after="0" w:line="240" w:lineRule="auto"/>
        <w:jc w:val="both"/>
        <w:rPr>
          <w:rFonts w:ascii="Cambria" w:eastAsia="Cambria" w:hAnsi="Cambria" w:cs="Cambria"/>
          <w:color w:val="000000"/>
        </w:rPr>
      </w:pPr>
      <w:r w:rsidRPr="0020214C">
        <w:rPr>
          <w:rFonts w:ascii="Cambria" w:eastAsia="Cambria" w:hAnsi="Cambria" w:cs="Cambria"/>
          <w:lang w:val="es-ES"/>
        </w:rPr>
        <w:t>A esto se suma las estrategias de embate de parte de sectores fundamentalistas y conservadores, quiénes están promoviendo u</w:t>
      </w:r>
      <w:r w:rsidRPr="0020214C">
        <w:rPr>
          <w:rFonts w:ascii="Cambria" w:eastAsia="Cambria" w:hAnsi="Cambria" w:cs="Cambria"/>
          <w:lang w:val="es-ES"/>
        </w:rPr>
        <w:t>na agenda adversa a los derechos humanos en el sector legislativo, judicial y ejecutivo</w:t>
      </w:r>
      <w:r w:rsidR="001B1527">
        <w:rPr>
          <w:rStyle w:val="EndnoteReference"/>
          <w:rFonts w:ascii="Cambria" w:eastAsia="Cambria" w:hAnsi="Cambria" w:cs="Cambria"/>
        </w:rPr>
        <w:endnoteReference w:id="24"/>
      </w:r>
      <w:r w:rsidRPr="0020214C">
        <w:rPr>
          <w:rFonts w:ascii="Cambria" w:eastAsia="Cambria" w:hAnsi="Cambria" w:cs="Cambria"/>
          <w:lang w:val="es-ES"/>
        </w:rPr>
        <w:t xml:space="preserve">. </w:t>
      </w:r>
      <w:r>
        <w:rPr>
          <w:rFonts w:ascii="Cambria" w:eastAsia="Cambria" w:hAnsi="Cambria" w:cs="Cambria"/>
        </w:rPr>
        <w:t>En el ámbito legislativo, se promueven varias iniciativas legislativas atentatorias</w:t>
      </w:r>
      <w:r w:rsidR="001B1527">
        <w:rPr>
          <w:rStyle w:val="EndnoteReference"/>
          <w:rFonts w:ascii="Cambria" w:eastAsia="Cambria" w:hAnsi="Cambria" w:cs="Cambria"/>
        </w:rPr>
        <w:endnoteReference w:id="25"/>
      </w:r>
      <w:r>
        <w:rPr>
          <w:rFonts w:ascii="Cambria" w:eastAsia="Cambria" w:hAnsi="Cambria" w:cs="Cambria"/>
        </w:rPr>
        <w:t xml:space="preserve"> y archivan proyectos de leyes que garantizan los </w:t>
      </w:r>
      <w:r w:rsidR="00A07270">
        <w:rPr>
          <w:rFonts w:ascii="Cambria" w:eastAsia="Cambria" w:hAnsi="Cambria" w:cs="Cambria"/>
        </w:rPr>
        <w:t>derechos sexuales y reproductivos (</w:t>
      </w:r>
      <w:r>
        <w:rPr>
          <w:rFonts w:ascii="Cambria" w:eastAsia="Cambria" w:hAnsi="Cambria" w:cs="Cambria"/>
        </w:rPr>
        <w:t>DDSSyRR</w:t>
      </w:r>
      <w:r w:rsidR="00A07270">
        <w:rPr>
          <w:rFonts w:ascii="Cambria" w:eastAsia="Cambria" w:hAnsi="Cambria" w:cs="Cambria"/>
        </w:rPr>
        <w:t>)</w:t>
      </w:r>
      <w:r>
        <w:rPr>
          <w:rFonts w:ascii="Cambria" w:eastAsia="Cambria" w:hAnsi="Cambria" w:cs="Cambria"/>
        </w:rPr>
        <w:t xml:space="preserve"> y derechos de las personas LGBTI</w:t>
      </w:r>
      <w:r w:rsidR="006A2726">
        <w:rPr>
          <w:rFonts w:ascii="Cambria" w:eastAsia="Cambria" w:hAnsi="Cambria" w:cs="Cambria"/>
        </w:rPr>
        <w:t>Q+</w:t>
      </w:r>
      <w:r>
        <w:rPr>
          <w:rFonts w:ascii="Cambria" w:eastAsia="Cambria" w:hAnsi="Cambria" w:cs="Cambria"/>
        </w:rPr>
        <w:t xml:space="preserve">. </w:t>
      </w:r>
    </w:p>
    <w:p w14:paraId="2FC79761" w14:textId="77777777" w:rsidR="001B1527" w:rsidRDefault="001B1527" w:rsidP="001B1527">
      <w:pPr>
        <w:widowControl/>
        <w:tabs>
          <w:tab w:val="left" w:pos="2127"/>
        </w:tabs>
        <w:spacing w:after="0" w:line="240" w:lineRule="auto"/>
        <w:jc w:val="both"/>
        <w:rPr>
          <w:rFonts w:ascii="Cambria" w:eastAsia="Cambria" w:hAnsi="Cambria" w:cs="Cambria"/>
          <w:color w:val="000000"/>
        </w:rPr>
      </w:pPr>
    </w:p>
    <w:p w14:paraId="09229091" w14:textId="49777E35" w:rsidR="0041395B" w:rsidRDefault="0020214C" w:rsidP="005668D6">
      <w:pPr>
        <w:pStyle w:val="Heading1"/>
        <w:numPr>
          <w:ilvl w:val="0"/>
          <w:numId w:val="9"/>
        </w:numPr>
        <w:spacing w:before="0" w:after="0" w:line="240" w:lineRule="auto"/>
        <w:jc w:val="both"/>
        <w:rPr>
          <w:rFonts w:ascii="Cambria" w:eastAsia="Cambria" w:hAnsi="Cambria" w:cs="Cambria"/>
          <w:b/>
          <w:color w:val="000000"/>
          <w:sz w:val="22"/>
          <w:szCs w:val="22"/>
        </w:rPr>
      </w:pPr>
      <w:r>
        <w:rPr>
          <w:rFonts w:ascii="Cambria" w:eastAsia="Cambria" w:hAnsi="Cambria" w:cs="Cambria"/>
          <w:b/>
          <w:color w:val="000000"/>
          <w:sz w:val="22"/>
          <w:szCs w:val="22"/>
        </w:rPr>
        <w:t xml:space="preserve">Obstáculos para el acceso a los servicios de salud sexual y </w:t>
      </w:r>
      <w:r w:rsidR="006A2726">
        <w:rPr>
          <w:rFonts w:ascii="Cambria" w:eastAsia="Cambria" w:hAnsi="Cambria" w:cs="Cambria"/>
          <w:b/>
          <w:color w:val="000000"/>
          <w:sz w:val="22"/>
          <w:szCs w:val="22"/>
        </w:rPr>
        <w:t>reproductiv</w:t>
      </w:r>
      <w:r w:rsidR="00350525">
        <w:rPr>
          <w:rFonts w:ascii="Cambria" w:eastAsia="Cambria" w:hAnsi="Cambria" w:cs="Cambria"/>
          <w:b/>
          <w:color w:val="000000"/>
          <w:sz w:val="22"/>
          <w:szCs w:val="22"/>
        </w:rPr>
        <w:t>a</w:t>
      </w:r>
    </w:p>
    <w:p w14:paraId="06CA1797" w14:textId="77777777" w:rsidR="006A2726" w:rsidRPr="006A2726" w:rsidRDefault="006A2726" w:rsidP="006A2726"/>
    <w:p w14:paraId="586A19B4" w14:textId="3645EB8F" w:rsidR="00235DEA" w:rsidRPr="00A07270" w:rsidRDefault="0020214C" w:rsidP="00235DEA">
      <w:pPr>
        <w:pStyle w:val="Heading1"/>
        <w:numPr>
          <w:ilvl w:val="0"/>
          <w:numId w:val="2"/>
        </w:numPr>
        <w:spacing w:before="0" w:after="0" w:line="240" w:lineRule="auto"/>
        <w:jc w:val="both"/>
        <w:rPr>
          <w:rFonts w:ascii="Cambria" w:eastAsia="Cambria" w:hAnsi="Cambria" w:cs="Cambria"/>
          <w:b/>
          <w:i/>
          <w:color w:val="000000"/>
          <w:sz w:val="22"/>
          <w:szCs w:val="22"/>
        </w:rPr>
      </w:pPr>
      <w:r>
        <w:rPr>
          <w:rFonts w:ascii="Cambria" w:eastAsia="Cambria" w:hAnsi="Cambria" w:cs="Cambria"/>
          <w:color w:val="000000"/>
          <w:sz w:val="22"/>
          <w:szCs w:val="22"/>
        </w:rPr>
        <w:t>En la lista de cuestiones previas, el Comité hizo el llamado al Estado peruano para que proporcione información “</w:t>
      </w:r>
      <w:r>
        <w:rPr>
          <w:rFonts w:ascii="Cambria" w:eastAsia="Cambria" w:hAnsi="Cambria" w:cs="Cambria"/>
          <w:b/>
          <w:i/>
          <w:color w:val="000000"/>
          <w:sz w:val="22"/>
          <w:szCs w:val="22"/>
        </w:rPr>
        <w:t xml:space="preserve">sobre las </w:t>
      </w:r>
      <w:r>
        <w:rPr>
          <w:rFonts w:ascii="Cambria" w:eastAsia="Cambria" w:hAnsi="Cambria" w:cs="Cambria"/>
          <w:b/>
          <w:i/>
          <w:color w:val="000000"/>
          <w:sz w:val="22"/>
          <w:szCs w:val="22"/>
        </w:rPr>
        <w:t xml:space="preserve">medidas adoptadas por el Estado parte para garantizar, en la legislación y en la práctica, que todos los trabajadores migratorios y sus familiares, independientemente de su situación migratoria, </w:t>
      </w:r>
      <w:r w:rsidRPr="00A07270">
        <w:rPr>
          <w:rFonts w:ascii="Cambria" w:eastAsia="Cambria" w:hAnsi="Cambria" w:cs="Cambria"/>
          <w:b/>
          <w:i/>
          <w:color w:val="000000"/>
          <w:sz w:val="22"/>
          <w:szCs w:val="22"/>
        </w:rPr>
        <w:t>tengan acceso adecuado en todo el Estado parte a los servicio</w:t>
      </w:r>
      <w:r w:rsidRPr="00A07270">
        <w:rPr>
          <w:rFonts w:ascii="Cambria" w:eastAsia="Cambria" w:hAnsi="Cambria" w:cs="Cambria"/>
          <w:b/>
          <w:i/>
          <w:color w:val="000000"/>
          <w:sz w:val="22"/>
          <w:szCs w:val="22"/>
        </w:rPr>
        <w:t>s de atención de la salud, especialmente la atención médica urgente, los servicios de salud sexual y reproductiva, el tratamiento antiretroviral para las personas migrantes que viven con el VIH/sida y la atención de la salud mental […]”</w:t>
      </w:r>
      <w:r w:rsidR="001B1527" w:rsidRPr="00A07270">
        <w:rPr>
          <w:rStyle w:val="EndnoteReference"/>
          <w:rFonts w:ascii="Cambria" w:eastAsia="Cambria" w:hAnsi="Cambria" w:cs="Cambria"/>
          <w:b/>
          <w:i/>
          <w:color w:val="000000"/>
          <w:sz w:val="22"/>
          <w:szCs w:val="22"/>
        </w:rPr>
        <w:endnoteReference w:id="26"/>
      </w:r>
      <w:r w:rsidR="001B1527" w:rsidRPr="00A07270">
        <w:rPr>
          <w:rFonts w:ascii="Cambria" w:eastAsia="Cambria" w:hAnsi="Cambria" w:cs="Cambria"/>
          <w:color w:val="000000"/>
          <w:sz w:val="22"/>
          <w:szCs w:val="22"/>
          <w:vertAlign w:val="superscript"/>
        </w:rPr>
        <w:t xml:space="preserve"> </w:t>
      </w:r>
      <w:r w:rsidR="00235DEA" w:rsidRPr="00A07270">
        <w:rPr>
          <w:rFonts w:ascii="Cambria" w:eastAsia="Cambria" w:hAnsi="Cambria" w:cs="Cambria"/>
          <w:b/>
          <w:i/>
          <w:color w:val="000000"/>
          <w:sz w:val="22"/>
          <w:szCs w:val="22"/>
        </w:rPr>
        <w:t>.</w:t>
      </w:r>
    </w:p>
    <w:p w14:paraId="1E0EBF3D" w14:textId="77777777" w:rsidR="00235DEA" w:rsidRPr="00235DEA" w:rsidRDefault="00235DEA" w:rsidP="00235DEA"/>
    <w:p w14:paraId="32F4347F" w14:textId="6EE23CC6" w:rsidR="0041395B" w:rsidRDefault="0020214C" w:rsidP="005668D6">
      <w:pPr>
        <w:widowControl/>
        <w:numPr>
          <w:ilvl w:val="0"/>
          <w:numId w:val="2"/>
        </w:numPr>
        <w:pBdr>
          <w:top w:val="nil"/>
          <w:left w:val="nil"/>
          <w:bottom w:val="nil"/>
          <w:right w:val="nil"/>
          <w:between w:val="nil"/>
        </w:pBdr>
        <w:tabs>
          <w:tab w:val="left" w:pos="2127"/>
        </w:tabs>
        <w:spacing w:after="0" w:line="240" w:lineRule="auto"/>
        <w:jc w:val="both"/>
        <w:rPr>
          <w:rFonts w:ascii="Cambria" w:eastAsia="Cambria" w:hAnsi="Cambria" w:cs="Cambria"/>
          <w:color w:val="000000"/>
        </w:rPr>
      </w:pPr>
      <w:r w:rsidRPr="0020214C">
        <w:rPr>
          <w:rFonts w:ascii="Cambria" w:eastAsia="Cambria" w:hAnsi="Cambria" w:cs="Cambria"/>
          <w:color w:val="000000"/>
          <w:lang w:val="es-ES"/>
        </w:rPr>
        <w:t xml:space="preserve">La </w:t>
      </w:r>
      <w:r w:rsidRPr="0020214C">
        <w:rPr>
          <w:rFonts w:ascii="Cambria" w:eastAsia="Cambria" w:hAnsi="Cambria" w:cs="Cambria"/>
          <w:color w:val="000000"/>
          <w:lang w:val="es-ES"/>
        </w:rPr>
        <w:t>situación de la salud sexual y reproductiva de la población venezolana es grave, especialmente para aquellas personas que no cuentan con una condición migratoria regular y, más aún, si además pertenecen a otro grupo en situación de vulnerabilidad como el s</w:t>
      </w:r>
      <w:r w:rsidRPr="0020214C">
        <w:rPr>
          <w:rFonts w:ascii="Cambria" w:eastAsia="Cambria" w:hAnsi="Cambria" w:cs="Cambria"/>
          <w:color w:val="000000"/>
          <w:lang w:val="es-ES"/>
        </w:rPr>
        <w:t>er LGBTI</w:t>
      </w:r>
      <w:r w:rsidR="006A2726" w:rsidRPr="0020214C">
        <w:rPr>
          <w:rFonts w:ascii="Cambria" w:eastAsia="Cambria" w:hAnsi="Cambria" w:cs="Cambria"/>
          <w:color w:val="000000"/>
          <w:lang w:val="es-ES"/>
        </w:rPr>
        <w:t>Q+</w:t>
      </w:r>
      <w:r w:rsidRPr="0020214C">
        <w:rPr>
          <w:rFonts w:ascii="Cambria" w:eastAsia="Cambria" w:hAnsi="Cambria" w:cs="Cambria"/>
          <w:color w:val="000000"/>
          <w:lang w:val="es-ES"/>
        </w:rPr>
        <w:t>. De acuerdo con la ENVOPE, sólo el 26.5% de la población venezolana de 15 años a más recibió algún servicio referido a la salud reproductiva y/o sexual; en tanto el 66.7% no accedió a estos servicios y el 6.8% no tiene conocimiento de su existen</w:t>
      </w:r>
      <w:r w:rsidRPr="0020214C">
        <w:rPr>
          <w:rFonts w:ascii="Cambria" w:eastAsia="Cambria" w:hAnsi="Cambria" w:cs="Cambria"/>
          <w:color w:val="000000"/>
          <w:lang w:val="es-ES"/>
        </w:rPr>
        <w:t>cia</w:t>
      </w:r>
      <w:r w:rsidR="001B1527">
        <w:rPr>
          <w:rStyle w:val="EndnoteReference"/>
          <w:rFonts w:ascii="Cambria" w:eastAsia="Cambria" w:hAnsi="Cambria" w:cs="Cambria"/>
          <w:color w:val="000000"/>
        </w:rPr>
        <w:endnoteReference w:id="27"/>
      </w:r>
      <w:r w:rsidRPr="0020214C">
        <w:rPr>
          <w:rFonts w:ascii="Cambria" w:eastAsia="Cambria" w:hAnsi="Cambria" w:cs="Cambria"/>
          <w:color w:val="000000"/>
          <w:lang w:val="es-ES"/>
        </w:rPr>
        <w:t xml:space="preserve">. </w:t>
      </w:r>
      <w:r>
        <w:rPr>
          <w:rFonts w:ascii="Cambria" w:eastAsia="Cambria" w:hAnsi="Cambria" w:cs="Cambria"/>
          <w:color w:val="000000"/>
        </w:rPr>
        <w:t>Asimismo, es preocupante que, desde que llegaron a residir al Perú, el 97.2% de esta población no haya accedido a una prueba de VIH o para detectar si padece de alguna infección de transmisión sexual</w:t>
      </w:r>
      <w:r w:rsidR="001B1527">
        <w:rPr>
          <w:rStyle w:val="EndnoteReference"/>
          <w:rFonts w:ascii="Cambria" w:eastAsia="Cambria" w:hAnsi="Cambria" w:cs="Cambria"/>
          <w:color w:val="000000"/>
        </w:rPr>
        <w:endnoteReference w:id="28"/>
      </w:r>
      <w:r>
        <w:rPr>
          <w:rFonts w:ascii="Cambria" w:eastAsia="Cambria" w:hAnsi="Cambria" w:cs="Cambria"/>
          <w:color w:val="000000"/>
        </w:rPr>
        <w:t xml:space="preserve">.  </w:t>
      </w:r>
    </w:p>
    <w:p w14:paraId="5D8EC06E" w14:textId="77777777" w:rsidR="0041395B" w:rsidRDefault="0041395B" w:rsidP="005668D6">
      <w:pPr>
        <w:widowControl/>
        <w:tabs>
          <w:tab w:val="left" w:pos="2127"/>
        </w:tabs>
        <w:spacing w:after="0" w:line="240" w:lineRule="auto"/>
        <w:jc w:val="both"/>
        <w:rPr>
          <w:rFonts w:ascii="Cambria" w:eastAsia="Cambria" w:hAnsi="Cambria" w:cs="Cambria"/>
          <w:color w:val="000000"/>
        </w:rPr>
      </w:pPr>
    </w:p>
    <w:p w14:paraId="48792310" w14:textId="3836CF4B" w:rsidR="0041395B" w:rsidRDefault="0020214C" w:rsidP="005668D6">
      <w:pPr>
        <w:widowControl/>
        <w:numPr>
          <w:ilvl w:val="0"/>
          <w:numId w:val="2"/>
        </w:numP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Durante la pandemia se suspendieron las consultas externas en 8 mil establecimientos de salud</w:t>
      </w:r>
      <w:r w:rsidR="001B1527">
        <w:rPr>
          <w:rStyle w:val="EndnoteReference"/>
          <w:rFonts w:ascii="Cambria" w:eastAsia="Cambria" w:hAnsi="Cambria" w:cs="Cambria"/>
          <w:color w:val="000000"/>
        </w:rPr>
        <w:endnoteReference w:id="29"/>
      </w:r>
      <w:r>
        <w:rPr>
          <w:rFonts w:ascii="Cambria" w:eastAsia="Cambria" w:hAnsi="Cambria" w:cs="Cambria"/>
          <w:b/>
          <w:color w:val="000000"/>
        </w:rPr>
        <w:t xml:space="preserve">, </w:t>
      </w:r>
      <w:r>
        <w:rPr>
          <w:rFonts w:ascii="Cambria" w:eastAsia="Cambria" w:hAnsi="Cambria" w:cs="Cambria"/>
          <w:color w:val="000000"/>
        </w:rPr>
        <w:t>implicando la desatención de las mujeres gestantes, de aquellas que requerían acceder al kit de emergencia</w:t>
      </w:r>
      <w:r w:rsidR="001B1527">
        <w:rPr>
          <w:rStyle w:val="EndnoteReference"/>
          <w:rFonts w:ascii="Cambria" w:eastAsia="Cambria" w:hAnsi="Cambria" w:cs="Cambria"/>
          <w:color w:val="000000"/>
        </w:rPr>
        <w:endnoteReference w:id="30"/>
      </w:r>
      <w:r>
        <w:rPr>
          <w:rFonts w:ascii="Cambria" w:eastAsia="Cambria" w:hAnsi="Cambria" w:cs="Cambria"/>
          <w:color w:val="000000"/>
        </w:rPr>
        <w:t xml:space="preserve"> ante violencia sexual y la </w:t>
      </w:r>
      <w:r>
        <w:rPr>
          <w:rFonts w:ascii="Cambria" w:eastAsia="Cambria" w:hAnsi="Cambria" w:cs="Cambria"/>
          <w:color w:val="000000"/>
        </w:rPr>
        <w:lastRenderedPageBreak/>
        <w:t>Anticoncepci</w:t>
      </w:r>
      <w:r>
        <w:rPr>
          <w:rFonts w:ascii="Cambria" w:eastAsia="Cambria" w:hAnsi="Cambria" w:cs="Cambria"/>
        </w:rPr>
        <w:t xml:space="preserve">ón Oral de </w:t>
      </w:r>
      <w:r>
        <w:rPr>
          <w:rFonts w:ascii="Cambria" w:eastAsia="Cambria" w:hAnsi="Cambria" w:cs="Cambria"/>
        </w:rPr>
        <w:t>Emergencia (</w:t>
      </w:r>
      <w:r>
        <w:rPr>
          <w:rFonts w:ascii="Cambria" w:eastAsia="Cambria" w:hAnsi="Cambria" w:cs="Cambria"/>
          <w:color w:val="000000"/>
        </w:rPr>
        <w:t>AOE), así como los servicios de planificación familiar. Según el Fondo de Población de las Naciones Unidas (UNFPA), entre 2020 y 2021, en el Perú se incrementarán entre 50 mil y 100 mil nacimientos no planificados</w:t>
      </w:r>
      <w:r w:rsidR="001B1527">
        <w:rPr>
          <w:rStyle w:val="EndnoteReference"/>
          <w:rFonts w:ascii="Cambria" w:eastAsia="Cambria" w:hAnsi="Cambria" w:cs="Cambria"/>
          <w:color w:val="000000"/>
        </w:rPr>
        <w:endnoteReference w:id="31"/>
      </w:r>
      <w:r>
        <w:rPr>
          <w:rFonts w:ascii="Cambria" w:eastAsia="Cambria" w:hAnsi="Cambria" w:cs="Cambria"/>
          <w:color w:val="000000"/>
        </w:rPr>
        <w:t>. Al respecto, ACNUR ha manif</w:t>
      </w:r>
      <w:r>
        <w:rPr>
          <w:rFonts w:ascii="Cambria" w:eastAsia="Cambria" w:hAnsi="Cambria" w:cs="Cambria"/>
          <w:color w:val="000000"/>
        </w:rPr>
        <w:t>estado que “en en país donde el acceso a salud es a veces limitado incluso para la población local, la COVID-19 exacerbó la necesidad de expandir la capacidad del sector de salud para proporcionar cobertura tanto a la población refugiada, migrante y solici</w:t>
      </w:r>
      <w:r>
        <w:rPr>
          <w:rFonts w:ascii="Cambria" w:eastAsia="Cambria" w:hAnsi="Cambria" w:cs="Cambria"/>
          <w:color w:val="000000"/>
        </w:rPr>
        <w:t>tante de asilo”</w:t>
      </w:r>
      <w:r w:rsidR="001B1527">
        <w:rPr>
          <w:rStyle w:val="EndnoteReference"/>
          <w:rFonts w:ascii="Cambria" w:eastAsia="Cambria" w:hAnsi="Cambria" w:cs="Cambria"/>
          <w:color w:val="000000"/>
        </w:rPr>
        <w:endnoteReference w:id="32"/>
      </w:r>
      <w:r>
        <w:rPr>
          <w:rFonts w:ascii="Cambria" w:eastAsia="Cambria" w:hAnsi="Cambria" w:cs="Cambria"/>
          <w:color w:val="000000"/>
        </w:rPr>
        <w:t xml:space="preserve">. </w:t>
      </w:r>
    </w:p>
    <w:p w14:paraId="6A42F440" w14:textId="77777777" w:rsidR="0041395B" w:rsidRDefault="0041395B" w:rsidP="005668D6">
      <w:pPr>
        <w:pBdr>
          <w:top w:val="nil"/>
          <w:left w:val="nil"/>
          <w:bottom w:val="nil"/>
          <w:right w:val="nil"/>
          <w:between w:val="nil"/>
        </w:pBdr>
        <w:tabs>
          <w:tab w:val="left" w:pos="2127"/>
        </w:tabs>
        <w:spacing w:after="0" w:line="240" w:lineRule="auto"/>
        <w:jc w:val="both"/>
        <w:rPr>
          <w:rFonts w:ascii="Cambria" w:eastAsia="Cambria" w:hAnsi="Cambria" w:cs="Cambria"/>
          <w:color w:val="000000"/>
        </w:rPr>
      </w:pPr>
    </w:p>
    <w:p w14:paraId="25A13A7B" w14:textId="77777777" w:rsidR="0041395B" w:rsidRDefault="0020214C" w:rsidP="005668D6">
      <w:pPr>
        <w:pStyle w:val="Heading1"/>
        <w:numPr>
          <w:ilvl w:val="0"/>
          <w:numId w:val="4"/>
        </w:numPr>
        <w:spacing w:before="0" w:after="0" w:line="240" w:lineRule="auto"/>
        <w:jc w:val="both"/>
        <w:rPr>
          <w:rFonts w:ascii="Cambria" w:eastAsia="Cambria" w:hAnsi="Cambria" w:cs="Cambria"/>
          <w:b/>
          <w:color w:val="000000"/>
          <w:sz w:val="22"/>
          <w:szCs w:val="22"/>
        </w:rPr>
      </w:pPr>
      <w:bookmarkStart w:id="1" w:name="_heading=h.30j0zll" w:colFirst="0" w:colLast="0"/>
      <w:bookmarkEnd w:id="1"/>
      <w:r>
        <w:rPr>
          <w:rFonts w:ascii="Cambria" w:eastAsia="Cambria" w:hAnsi="Cambria" w:cs="Cambria"/>
          <w:b/>
          <w:color w:val="000000"/>
          <w:sz w:val="22"/>
          <w:szCs w:val="22"/>
        </w:rPr>
        <w:t>El acceso a métodos de anticoncepción modernos y gama completa de información</w:t>
      </w:r>
    </w:p>
    <w:p w14:paraId="39C71B90" w14:textId="77777777" w:rsidR="0081144D" w:rsidRPr="0081144D" w:rsidRDefault="0081144D" w:rsidP="0081144D">
      <w:pPr>
        <w:rPr>
          <w:sz w:val="2"/>
          <w:szCs w:val="2"/>
        </w:rPr>
      </w:pPr>
    </w:p>
    <w:p w14:paraId="354D447F" w14:textId="41346DBF"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sidRPr="0020214C">
        <w:rPr>
          <w:rFonts w:ascii="Cambria" w:eastAsia="Cambria" w:hAnsi="Cambria" w:cs="Cambria"/>
          <w:color w:val="000000"/>
          <w:lang w:val="es-ES"/>
        </w:rPr>
        <w:t>El acceso a métodos de planificación familiar y asistencia a controles de embarazo entre las mujeres venezolanas es limitado, en comparación</w:t>
      </w:r>
      <w:r w:rsidRPr="0020214C">
        <w:rPr>
          <w:rFonts w:ascii="Cambria" w:eastAsia="Cambria" w:hAnsi="Cambria" w:cs="Cambria"/>
          <w:color w:val="000000"/>
          <w:lang w:val="es-ES"/>
        </w:rPr>
        <w:t xml:space="preserve"> al de la población nacional. Hay organizaciones que realizan intervenciones en áreas de mayor presencia territorial de población migrante y refugiada venezolana,  distribuyendo  kits de salud sexual y reproductiva a centros de salud. </w:t>
      </w:r>
      <w:r>
        <w:rPr>
          <w:rFonts w:ascii="Cambria" w:eastAsia="Cambria" w:hAnsi="Cambria" w:cs="Cambria"/>
          <w:color w:val="000000"/>
        </w:rPr>
        <w:t>El UNFPA atendió a 31</w:t>
      </w:r>
      <w:r>
        <w:rPr>
          <w:rFonts w:ascii="Cambria" w:eastAsia="Cambria" w:hAnsi="Cambria" w:cs="Cambria"/>
          <w:color w:val="000000"/>
        </w:rPr>
        <w:t>10 mujeres en servicios esenciales de salud sexual y reproductiva, informó a 3289 mujeres en edad fértil sobre los derechos y servicios en salud sexual y reproductiva y entregaron 2055 kits de higiene y bioseguridad a mujeres venezolanas</w:t>
      </w:r>
      <w:r w:rsidR="009D39CD">
        <w:rPr>
          <w:rStyle w:val="EndnoteReference"/>
          <w:rFonts w:ascii="Cambria" w:eastAsia="Cambria" w:hAnsi="Cambria" w:cs="Cambria"/>
          <w:color w:val="000000"/>
        </w:rPr>
        <w:endnoteReference w:id="33"/>
      </w:r>
      <w:r>
        <w:rPr>
          <w:rFonts w:ascii="Cambria" w:eastAsia="Cambria" w:hAnsi="Cambria" w:cs="Cambria"/>
          <w:color w:val="000000"/>
        </w:rPr>
        <w:t xml:space="preserve">. </w:t>
      </w:r>
    </w:p>
    <w:p w14:paraId="70497E5F" w14:textId="77777777" w:rsidR="0041395B" w:rsidRDefault="0041395B" w:rsidP="005668D6">
      <w:pPr>
        <w:pBdr>
          <w:top w:val="nil"/>
          <w:left w:val="nil"/>
          <w:bottom w:val="nil"/>
          <w:right w:val="nil"/>
          <w:between w:val="nil"/>
        </w:pBdr>
        <w:spacing w:after="0" w:line="240" w:lineRule="auto"/>
        <w:ind w:left="720"/>
        <w:jc w:val="both"/>
        <w:rPr>
          <w:rFonts w:ascii="Cambria" w:eastAsia="Cambria" w:hAnsi="Cambria" w:cs="Cambria"/>
          <w:color w:val="000000"/>
        </w:rPr>
      </w:pPr>
    </w:p>
    <w:p w14:paraId="4E81F23B" w14:textId="28225DA3"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Según</w:t>
      </w:r>
      <w:r>
        <w:rPr>
          <w:rFonts w:ascii="Cambria" w:eastAsia="Cambria" w:hAnsi="Cambria" w:cs="Cambria"/>
          <w:color w:val="000000"/>
        </w:rPr>
        <w:t xml:space="preserve"> la ENVOPE, solo el 27.2% de las mujeres venezolanas en edad fértil (de 15 a 49 años) accedieron a un método de planificación familiar, de las cuales el 17% usaba un método moderno y únicamente el 2.3% accedió al anticonceptivo oral de emergencia (AOE)</w:t>
      </w:r>
      <w:r w:rsidR="009D39CD">
        <w:rPr>
          <w:rStyle w:val="EndnoteReference"/>
          <w:rFonts w:ascii="Cambria" w:eastAsia="Cambria" w:hAnsi="Cambria" w:cs="Cambria"/>
          <w:color w:val="000000"/>
        </w:rPr>
        <w:endnoteReference w:id="34"/>
      </w:r>
      <w:r>
        <w:rPr>
          <w:rFonts w:ascii="Cambria" w:eastAsia="Cambria" w:hAnsi="Cambria" w:cs="Cambria"/>
          <w:color w:val="000000"/>
        </w:rPr>
        <w:t xml:space="preserve">. </w:t>
      </w:r>
      <w:r>
        <w:rPr>
          <w:rFonts w:ascii="Cambria" w:eastAsia="Cambria" w:hAnsi="Cambria" w:cs="Cambria"/>
          <w:color w:val="000000"/>
        </w:rPr>
        <w:t>Esto difiere de la población peruana, según la Dirección de Salud Sexual y Reproductiva del Minsa, en los últimos tres años en el Perú, la prevalencia en el uso de métodos anticonceptivos subió de 55% a 57%, pero por debajo del 70 % del promedio en la regi</w:t>
      </w:r>
      <w:r>
        <w:rPr>
          <w:rFonts w:ascii="Cambria" w:eastAsia="Cambria" w:hAnsi="Cambria" w:cs="Cambria"/>
          <w:color w:val="000000"/>
        </w:rPr>
        <w:t>ón</w:t>
      </w:r>
      <w:r w:rsidR="009D39CD">
        <w:rPr>
          <w:rStyle w:val="EndnoteReference"/>
          <w:rFonts w:ascii="Cambria" w:eastAsia="Cambria" w:hAnsi="Cambria" w:cs="Cambria"/>
          <w:color w:val="000000"/>
        </w:rPr>
        <w:endnoteReference w:id="35"/>
      </w:r>
      <w:r>
        <w:rPr>
          <w:rFonts w:ascii="Cambria" w:eastAsia="Cambria" w:hAnsi="Cambria" w:cs="Cambria"/>
          <w:color w:val="000000"/>
        </w:rPr>
        <w:t xml:space="preserve">. </w:t>
      </w:r>
    </w:p>
    <w:p w14:paraId="6A3694AD" w14:textId="77777777" w:rsidR="0041395B" w:rsidRDefault="0041395B" w:rsidP="005668D6">
      <w:pPr>
        <w:pBdr>
          <w:top w:val="nil"/>
          <w:left w:val="nil"/>
          <w:bottom w:val="nil"/>
          <w:right w:val="nil"/>
          <w:between w:val="nil"/>
        </w:pBdr>
        <w:spacing w:after="0" w:line="240" w:lineRule="auto"/>
        <w:ind w:left="720"/>
        <w:jc w:val="both"/>
        <w:rPr>
          <w:rFonts w:ascii="Cambria" w:eastAsia="Cambria" w:hAnsi="Cambria" w:cs="Cambria"/>
          <w:color w:val="000000"/>
        </w:rPr>
      </w:pPr>
    </w:p>
    <w:p w14:paraId="4AF2A97B" w14:textId="727663B3" w:rsidR="0041395B" w:rsidRDefault="0020214C" w:rsidP="005668D6">
      <w:pPr>
        <w:widowControl/>
        <w:numPr>
          <w:ilvl w:val="0"/>
          <w:numId w:val="2"/>
        </w:numPr>
        <w:pBdr>
          <w:top w:val="nil"/>
          <w:left w:val="nil"/>
          <w:bottom w:val="nil"/>
          <w:right w:val="nil"/>
          <w:between w:val="nil"/>
        </w:pBdr>
        <w:tabs>
          <w:tab w:val="left" w:pos="2127"/>
        </w:tabs>
        <w:spacing w:after="0" w:line="240" w:lineRule="auto"/>
        <w:jc w:val="both"/>
        <w:rPr>
          <w:rFonts w:ascii="Cambria" w:eastAsia="Cambria" w:hAnsi="Cambria" w:cs="Cambria"/>
          <w:b/>
          <w:color w:val="000000"/>
        </w:rPr>
      </w:pPr>
      <w:r w:rsidRPr="0020214C">
        <w:rPr>
          <w:rFonts w:ascii="Cambria" w:eastAsia="Cambria" w:hAnsi="Cambria" w:cs="Cambria"/>
          <w:color w:val="000000"/>
          <w:lang w:val="es-ES"/>
        </w:rPr>
        <w:t xml:space="preserve">La falta de la distribución de la AOE afecta los derechos </w:t>
      </w:r>
      <w:r w:rsidRPr="0020214C">
        <w:rPr>
          <w:rFonts w:ascii="Cambria" w:eastAsia="Cambria" w:hAnsi="Cambria" w:cs="Cambria"/>
          <w:lang w:val="es-ES"/>
        </w:rPr>
        <w:t xml:space="preserve">humanos </w:t>
      </w:r>
      <w:r w:rsidRPr="0020214C">
        <w:rPr>
          <w:rFonts w:ascii="Cambria" w:eastAsia="Cambria" w:hAnsi="Cambria" w:cs="Cambria"/>
          <w:color w:val="000000"/>
          <w:lang w:val="es-ES"/>
        </w:rPr>
        <w:t>de las mujeres más pobres y de las víctimas de violación sexual, que son –en su mayoría- menores de edad (71%) y muchas de ellas migrantes, encontrándose expuestas a embarazos forzad</w:t>
      </w:r>
      <w:r w:rsidRPr="0020214C">
        <w:rPr>
          <w:rFonts w:ascii="Cambria" w:eastAsia="Cambria" w:hAnsi="Cambria" w:cs="Cambria"/>
          <w:color w:val="000000"/>
          <w:lang w:val="es-ES"/>
        </w:rPr>
        <w:t>os producto de esta violencia</w:t>
      </w:r>
      <w:r w:rsidR="009D39CD">
        <w:rPr>
          <w:rStyle w:val="EndnoteReference"/>
          <w:rFonts w:ascii="Cambria" w:eastAsia="Cambria" w:hAnsi="Cambria" w:cs="Cambria"/>
          <w:color w:val="000000"/>
        </w:rPr>
        <w:endnoteReference w:id="36"/>
      </w:r>
      <w:r w:rsidRPr="0020214C">
        <w:rPr>
          <w:rFonts w:ascii="Cambria" w:eastAsia="Cambria" w:hAnsi="Cambria" w:cs="Cambria"/>
          <w:color w:val="000000"/>
          <w:lang w:val="es-ES"/>
        </w:rPr>
        <w:t xml:space="preserve">. </w:t>
      </w:r>
      <w:r>
        <w:rPr>
          <w:rFonts w:ascii="Cambria" w:eastAsia="Cambria" w:hAnsi="Cambria" w:cs="Cambria"/>
          <w:color w:val="000000"/>
        </w:rPr>
        <w:t>La Defensoría “reconoce la importancia de la AOE para no revictimizar a las mujeres victimas de violación sexual”</w:t>
      </w:r>
      <w:r w:rsidR="009D39CD">
        <w:rPr>
          <w:rStyle w:val="EndnoteReference"/>
          <w:rFonts w:ascii="Cambria" w:eastAsia="Cambria" w:hAnsi="Cambria" w:cs="Cambria"/>
          <w:color w:val="000000"/>
        </w:rPr>
        <w:endnoteReference w:id="37"/>
      </w:r>
      <w:r>
        <w:rPr>
          <w:rFonts w:ascii="Cambria" w:eastAsia="Cambria" w:hAnsi="Cambria" w:cs="Cambria"/>
          <w:color w:val="000000"/>
        </w:rPr>
        <w:t>, e hizo un llamado al Minsa a adoptar las medidas necesarias para garantizar su distribución gratuita</w:t>
      </w:r>
      <w:r w:rsidR="009D39CD">
        <w:rPr>
          <w:rStyle w:val="EndnoteReference"/>
          <w:rFonts w:ascii="Cambria" w:eastAsia="Cambria" w:hAnsi="Cambria" w:cs="Cambria"/>
          <w:color w:val="000000"/>
        </w:rPr>
        <w:endnoteReference w:id="38"/>
      </w:r>
      <w:r>
        <w:rPr>
          <w:rFonts w:ascii="Cambria" w:eastAsia="Cambria" w:hAnsi="Cambria" w:cs="Cambria"/>
          <w:color w:val="000000"/>
        </w:rPr>
        <w:t>.</w:t>
      </w:r>
    </w:p>
    <w:p w14:paraId="5A5CBE75" w14:textId="77777777" w:rsidR="0041395B" w:rsidRDefault="0041395B" w:rsidP="005668D6">
      <w:pPr>
        <w:pBdr>
          <w:top w:val="nil"/>
          <w:left w:val="nil"/>
          <w:bottom w:val="nil"/>
          <w:right w:val="nil"/>
          <w:between w:val="nil"/>
        </w:pBdr>
        <w:spacing w:after="0" w:line="240" w:lineRule="auto"/>
        <w:ind w:left="720"/>
        <w:jc w:val="both"/>
        <w:rPr>
          <w:rFonts w:ascii="Cambria" w:eastAsia="Cambria" w:hAnsi="Cambria" w:cs="Cambria"/>
          <w:color w:val="000000"/>
        </w:rPr>
      </w:pPr>
    </w:p>
    <w:p w14:paraId="33036220" w14:textId="7A2EC6F1"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Es importante recordar que desde octubre de 2009 la AOE no estuvo disponible en el sector público por una Sentencia del Tribunal Constitucional</w:t>
      </w:r>
      <w:r w:rsidR="009D39CD">
        <w:rPr>
          <w:rStyle w:val="EndnoteReference"/>
          <w:rFonts w:ascii="Cambria" w:eastAsia="Cambria" w:hAnsi="Cambria" w:cs="Cambria"/>
          <w:color w:val="000000"/>
        </w:rPr>
        <w:endnoteReference w:id="39"/>
      </w:r>
      <w:r>
        <w:rPr>
          <w:rFonts w:ascii="Cambria" w:eastAsia="Cambria" w:hAnsi="Cambria" w:cs="Cambria"/>
          <w:color w:val="000000"/>
        </w:rPr>
        <w:t>en un proceso promovido por la ONG “Ala Sin Componenda”. En agosto de 2016, se aprobó una medida cautelar que g</w:t>
      </w:r>
      <w:r>
        <w:rPr>
          <w:rFonts w:ascii="Cambria" w:eastAsia="Cambria" w:hAnsi="Cambria" w:cs="Cambria"/>
          <w:color w:val="000000"/>
        </w:rPr>
        <w:t>arantizó la distribución gratuita del AOE dictada por el 1er Juzgado Constitucional de Lima</w:t>
      </w:r>
      <w:r w:rsidR="009D39CD">
        <w:rPr>
          <w:rStyle w:val="EndnoteReference"/>
          <w:rFonts w:ascii="Cambria" w:eastAsia="Cambria" w:hAnsi="Cambria" w:cs="Cambria"/>
          <w:color w:val="000000"/>
        </w:rPr>
        <w:endnoteReference w:id="40"/>
      </w:r>
      <w:r>
        <w:rPr>
          <w:rFonts w:ascii="Cambria" w:eastAsia="Cambria" w:hAnsi="Cambria" w:cs="Cambria"/>
          <w:color w:val="000000"/>
        </w:rPr>
        <w:t>; sin embargo, la Primera Sala Civil solicita que el Tribunal Constitucional (TC) sea qui</w:t>
      </w:r>
      <w:r w:rsidR="006A2726">
        <w:rPr>
          <w:rFonts w:ascii="Cambria" w:eastAsia="Cambria" w:hAnsi="Cambria" w:cs="Cambria"/>
          <w:color w:val="000000"/>
        </w:rPr>
        <w:t>é</w:t>
      </w:r>
      <w:r>
        <w:rPr>
          <w:rFonts w:ascii="Cambria" w:eastAsia="Cambria" w:hAnsi="Cambria" w:cs="Cambria"/>
          <w:color w:val="000000"/>
        </w:rPr>
        <w:t>n se pronuncie sobre el fondo. El 27 de marzo de 2023, el TC reconoció la</w:t>
      </w:r>
      <w:r>
        <w:rPr>
          <w:rFonts w:ascii="Cambria" w:eastAsia="Cambria" w:hAnsi="Cambria" w:cs="Cambria"/>
          <w:color w:val="000000"/>
        </w:rPr>
        <w:t xml:space="preserve"> importancia de que el AOE sea utilizado como método de planificación familiar y parte del kit de emergencia a víctimas de violencia sexual, asimismo ordenó al Minsa la distribución gratuita del AOE a nivel nacional. Ahora estamos vigilantes de la provisió</w:t>
      </w:r>
      <w:r>
        <w:rPr>
          <w:rFonts w:ascii="Cambria" w:eastAsia="Cambria" w:hAnsi="Cambria" w:cs="Cambria"/>
          <w:color w:val="000000"/>
        </w:rPr>
        <w:t xml:space="preserve">n y distribución en los establecimientos de salud. </w:t>
      </w:r>
    </w:p>
    <w:p w14:paraId="23D83460" w14:textId="77777777" w:rsidR="0041395B" w:rsidRDefault="0041395B" w:rsidP="005668D6">
      <w:pPr>
        <w:pBdr>
          <w:top w:val="nil"/>
          <w:left w:val="nil"/>
          <w:bottom w:val="nil"/>
          <w:right w:val="nil"/>
          <w:between w:val="nil"/>
        </w:pBdr>
        <w:spacing w:after="0" w:line="240" w:lineRule="auto"/>
        <w:ind w:left="720"/>
        <w:jc w:val="both"/>
        <w:rPr>
          <w:rFonts w:ascii="Cambria" w:eastAsia="Cambria" w:hAnsi="Cambria" w:cs="Cambria"/>
          <w:color w:val="000000"/>
        </w:rPr>
      </w:pPr>
    </w:p>
    <w:p w14:paraId="385E1D0B" w14:textId="77777777" w:rsidR="0041395B" w:rsidRDefault="0020214C" w:rsidP="005668D6">
      <w:pPr>
        <w:numPr>
          <w:ilvl w:val="0"/>
          <w:numId w:val="5"/>
        </w:numPr>
        <w:pBdr>
          <w:top w:val="nil"/>
          <w:left w:val="nil"/>
          <w:bottom w:val="nil"/>
          <w:right w:val="nil"/>
          <w:between w:val="nil"/>
        </w:pBdr>
        <w:spacing w:after="0" w:line="240" w:lineRule="auto"/>
        <w:jc w:val="both"/>
        <w:rPr>
          <w:rFonts w:ascii="Cambria" w:eastAsia="Cambria" w:hAnsi="Cambria" w:cs="Cambria"/>
          <w:b/>
          <w:color w:val="000000"/>
        </w:rPr>
      </w:pPr>
      <w:r>
        <w:rPr>
          <w:rFonts w:ascii="Cambria" w:eastAsia="Cambria" w:hAnsi="Cambria" w:cs="Cambria"/>
          <w:b/>
          <w:color w:val="000000"/>
        </w:rPr>
        <w:t>Acceso a la educación sexual integral</w:t>
      </w:r>
    </w:p>
    <w:p w14:paraId="0D8D047E" w14:textId="77777777" w:rsidR="0041395B" w:rsidRDefault="0041395B" w:rsidP="005668D6">
      <w:pPr>
        <w:widowControl/>
        <w:pBdr>
          <w:top w:val="nil"/>
          <w:left w:val="nil"/>
          <w:bottom w:val="nil"/>
          <w:right w:val="nil"/>
          <w:between w:val="nil"/>
        </w:pBdr>
        <w:tabs>
          <w:tab w:val="left" w:pos="2127"/>
        </w:tabs>
        <w:spacing w:after="0" w:line="240" w:lineRule="auto"/>
        <w:jc w:val="both"/>
        <w:rPr>
          <w:rFonts w:ascii="Cambria" w:eastAsia="Cambria" w:hAnsi="Cambria" w:cs="Cambria"/>
          <w:color w:val="000000"/>
        </w:rPr>
      </w:pPr>
    </w:p>
    <w:p w14:paraId="75F212E9" w14:textId="664D6B0F" w:rsidR="0041395B" w:rsidRPr="0020214C"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lang w:val="es-ES"/>
        </w:rPr>
      </w:pPr>
      <w:r w:rsidRPr="0020214C">
        <w:rPr>
          <w:rFonts w:ascii="Cambria" w:eastAsia="Cambria" w:hAnsi="Cambria" w:cs="Cambria"/>
          <w:color w:val="000000"/>
          <w:lang w:val="es-ES"/>
        </w:rPr>
        <w:t>A pesar de ser una recomendación reiterativa de diferentes órganos en virtud de los tratados como el Comité de los</w:t>
      </w:r>
      <w:r w:rsidRPr="0020214C">
        <w:rPr>
          <w:rFonts w:ascii="Cambria" w:eastAsia="Cambria" w:hAnsi="Cambria" w:cs="Cambria"/>
          <w:color w:val="000000"/>
          <w:lang w:val="es-ES"/>
        </w:rPr>
        <w:t xml:space="preserve"> Derechos del Niño, CEDAW, entre otros</w:t>
      </w:r>
      <w:r w:rsidR="009D39CD">
        <w:rPr>
          <w:rStyle w:val="EndnoteReference"/>
          <w:rFonts w:ascii="Cambria" w:eastAsia="Cambria" w:hAnsi="Cambria" w:cs="Cambria"/>
          <w:color w:val="000000"/>
        </w:rPr>
        <w:endnoteReference w:id="41"/>
      </w:r>
      <w:r w:rsidRPr="0020214C">
        <w:rPr>
          <w:rFonts w:ascii="Cambria" w:eastAsia="Cambria" w:hAnsi="Cambria" w:cs="Cambria"/>
          <w:color w:val="000000"/>
          <w:lang w:val="es-ES"/>
        </w:rPr>
        <w:t>, quienes hicieron un llamado para que el Estado peruano garantice el acceso a la educación sexual integral (ESI), todavía representa un desaf</w:t>
      </w:r>
      <w:r w:rsidRPr="0020214C">
        <w:rPr>
          <w:rFonts w:ascii="Cambria" w:eastAsia="Cambria" w:hAnsi="Cambria" w:cs="Cambria"/>
          <w:lang w:val="es-ES"/>
        </w:rPr>
        <w:t>í</w:t>
      </w:r>
      <w:r w:rsidRPr="0020214C">
        <w:rPr>
          <w:rFonts w:ascii="Cambria" w:eastAsia="Cambria" w:hAnsi="Cambria" w:cs="Cambria"/>
          <w:color w:val="000000"/>
          <w:lang w:val="es-ES"/>
        </w:rPr>
        <w:t xml:space="preserve">o. De acuerdo con la ENVOPE el 5% de mujeres migrantes </w:t>
      </w:r>
      <w:r w:rsidRPr="0020214C">
        <w:rPr>
          <w:rFonts w:ascii="Cambria" w:eastAsia="Cambria" w:hAnsi="Cambria" w:cs="Cambria"/>
          <w:color w:val="000000"/>
          <w:lang w:val="es-ES"/>
        </w:rPr>
        <w:t xml:space="preserve">encuestadas se encontraban embarazadas, de las cuales </w:t>
      </w:r>
      <w:r w:rsidRPr="0020214C">
        <w:rPr>
          <w:rFonts w:ascii="Cambria" w:eastAsia="Cambria" w:hAnsi="Cambria" w:cs="Cambria"/>
          <w:color w:val="000000"/>
          <w:lang w:val="es-ES"/>
        </w:rPr>
        <w:lastRenderedPageBreak/>
        <w:t xml:space="preserve">el 19% no asistió a un control de embarazo. A ello se suma que únicamente el 4.6% de la población venezolana de 15 años y más recibió educación sobre educación sexual y/o </w:t>
      </w:r>
      <w:r w:rsidR="009D39CD" w:rsidRPr="0020214C">
        <w:rPr>
          <w:rFonts w:ascii="Cambria" w:eastAsia="Cambria" w:hAnsi="Cambria" w:cs="Cambria"/>
          <w:color w:val="000000"/>
          <w:lang w:val="es-ES"/>
        </w:rPr>
        <w:t>reproductiv</w:t>
      </w:r>
      <w:r w:rsidR="00F42B89" w:rsidRPr="0020214C">
        <w:rPr>
          <w:rFonts w:ascii="Cambria" w:eastAsia="Cambria" w:hAnsi="Cambria" w:cs="Cambria"/>
          <w:color w:val="000000"/>
          <w:lang w:val="es-ES"/>
        </w:rPr>
        <w:t>a</w:t>
      </w:r>
      <w:r w:rsidR="009D39CD">
        <w:rPr>
          <w:rStyle w:val="EndnoteReference"/>
          <w:rFonts w:ascii="Cambria" w:eastAsia="Cambria" w:hAnsi="Cambria" w:cs="Cambria"/>
          <w:color w:val="000000"/>
        </w:rPr>
        <w:endnoteReference w:id="42"/>
      </w:r>
      <w:r w:rsidR="009D39CD" w:rsidRPr="0020214C">
        <w:rPr>
          <w:rFonts w:ascii="Cambria" w:eastAsia="Cambria" w:hAnsi="Cambria" w:cs="Cambria"/>
          <w:color w:val="000000"/>
          <w:lang w:val="es-ES"/>
        </w:rPr>
        <w:t>.</w:t>
      </w:r>
    </w:p>
    <w:p w14:paraId="62CC7D3D" w14:textId="77777777" w:rsidR="0041395B" w:rsidRPr="0020214C" w:rsidRDefault="0041395B" w:rsidP="005668D6">
      <w:pPr>
        <w:pBdr>
          <w:top w:val="nil"/>
          <w:left w:val="nil"/>
          <w:bottom w:val="nil"/>
          <w:right w:val="nil"/>
          <w:between w:val="nil"/>
        </w:pBdr>
        <w:spacing w:after="0" w:line="240" w:lineRule="auto"/>
        <w:ind w:left="720"/>
        <w:jc w:val="both"/>
        <w:rPr>
          <w:rFonts w:ascii="Cambria" w:eastAsia="Cambria" w:hAnsi="Cambria" w:cs="Cambria"/>
          <w:color w:val="000000"/>
          <w:lang w:val="es-ES"/>
        </w:rPr>
      </w:pPr>
    </w:p>
    <w:p w14:paraId="59ED6C18" w14:textId="5E4E581F"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sidRPr="0020214C">
        <w:rPr>
          <w:rFonts w:ascii="Cambria" w:eastAsia="Cambria" w:hAnsi="Cambria" w:cs="Cambria"/>
          <w:color w:val="000000"/>
          <w:lang w:val="es-ES"/>
        </w:rPr>
        <w:t>Aunque la impl</w:t>
      </w:r>
      <w:r w:rsidRPr="0020214C">
        <w:rPr>
          <w:rFonts w:ascii="Cambria" w:eastAsia="Cambria" w:hAnsi="Cambria" w:cs="Cambria"/>
          <w:color w:val="000000"/>
          <w:lang w:val="es-ES"/>
        </w:rPr>
        <w:t>ementación de la ESI ha sido principalmente normativa, a nivel curricular y de planes, observamos que todavía hay una precaria situación respecto a esta</w:t>
      </w:r>
      <w:r w:rsidR="009D39CD">
        <w:rPr>
          <w:rStyle w:val="EndnoteReference"/>
          <w:rFonts w:ascii="Cambria" w:eastAsia="Cambria" w:hAnsi="Cambria" w:cs="Cambria"/>
          <w:color w:val="000000"/>
        </w:rPr>
        <w:endnoteReference w:id="43"/>
      </w:r>
      <w:r w:rsidRPr="0020214C">
        <w:rPr>
          <w:rFonts w:ascii="Cambria" w:eastAsia="Cambria" w:hAnsi="Cambria" w:cs="Cambria"/>
          <w:color w:val="000000"/>
          <w:lang w:val="es-ES"/>
        </w:rPr>
        <w:t xml:space="preserve">. </w:t>
      </w:r>
      <w:r>
        <w:rPr>
          <w:rFonts w:ascii="Cambria" w:eastAsia="Cambria" w:hAnsi="Cambria" w:cs="Cambria"/>
          <w:color w:val="000000"/>
        </w:rPr>
        <w:t>Aunque no se tienen cifras desde el Ministerio de Educación (Minedu) sobre el avance de la ESI</w:t>
      </w:r>
      <w:r w:rsidR="00F42B89">
        <w:rPr>
          <w:rFonts w:ascii="Cambria" w:eastAsia="Cambria" w:hAnsi="Cambria" w:cs="Cambria"/>
          <w:color w:val="000000"/>
        </w:rPr>
        <w:t>.</w:t>
      </w:r>
      <w:r>
        <w:rPr>
          <w:rFonts w:ascii="Cambria" w:eastAsia="Cambria" w:hAnsi="Cambria" w:cs="Cambria"/>
          <w:color w:val="000000"/>
        </w:rPr>
        <w:t xml:space="preserve"> </w:t>
      </w:r>
      <w:r w:rsidR="00F42B89">
        <w:rPr>
          <w:rFonts w:ascii="Cambria" w:eastAsia="Cambria" w:hAnsi="Cambria" w:cs="Cambria"/>
          <w:color w:val="000000"/>
        </w:rPr>
        <w:t>U</w:t>
      </w:r>
      <w:r>
        <w:rPr>
          <w:rFonts w:ascii="Cambria" w:eastAsia="Cambria" w:hAnsi="Cambria" w:cs="Cambria"/>
          <w:color w:val="000000"/>
        </w:rPr>
        <w:t>n e</w:t>
      </w:r>
      <w:r>
        <w:rPr>
          <w:rFonts w:ascii="Cambria" w:eastAsia="Cambria" w:hAnsi="Cambria" w:cs="Cambria"/>
          <w:color w:val="000000"/>
        </w:rPr>
        <w:t>studio de la Defensoría</w:t>
      </w:r>
      <w:r w:rsidR="009D39CD">
        <w:rPr>
          <w:rStyle w:val="EndnoteReference"/>
          <w:rFonts w:ascii="Cambria" w:eastAsia="Cambria" w:hAnsi="Cambria" w:cs="Cambria"/>
          <w:color w:val="000000"/>
        </w:rPr>
        <w:endnoteReference w:id="44"/>
      </w:r>
      <w:r>
        <w:rPr>
          <w:rFonts w:ascii="Cambria" w:eastAsia="Cambria" w:hAnsi="Cambria" w:cs="Cambria"/>
          <w:color w:val="000000"/>
        </w:rPr>
        <w:t xml:space="preserve"> sobre una muestra de 70 centros educativos nos da información sobre el nivel de avance de éste, y del total de instituciones educativas supervisadas solo el 35 % (21) indicaron haber recibido capacitación sobre ESI, y el 65 % (39)</w:t>
      </w:r>
      <w:r>
        <w:rPr>
          <w:rFonts w:ascii="Cambria" w:eastAsia="Cambria" w:hAnsi="Cambria" w:cs="Cambria"/>
          <w:color w:val="000000"/>
        </w:rPr>
        <w:t xml:space="preserve"> precisaron que no fueron capacitados en esta área. Del mismo modo, hay estudios que dan cuenta de la persistencia de un currículo oculto que guía a docentes principalmente por las creencias y valores personales que tiene cada docente sobre la sexualidad y</w:t>
      </w:r>
      <w:r>
        <w:rPr>
          <w:rFonts w:ascii="Cambria" w:eastAsia="Cambria" w:hAnsi="Cambria" w:cs="Cambria"/>
          <w:color w:val="000000"/>
        </w:rPr>
        <w:t xml:space="preserve"> el género que son contradictorias con el enfoque de género y la ESI</w:t>
      </w:r>
      <w:r w:rsidR="0014678B">
        <w:rPr>
          <w:rStyle w:val="EndnoteReference"/>
          <w:rFonts w:ascii="Cambria" w:eastAsia="Cambria" w:hAnsi="Cambria" w:cs="Cambria"/>
          <w:color w:val="000000"/>
        </w:rPr>
        <w:endnoteReference w:id="45"/>
      </w:r>
      <w:r>
        <w:rPr>
          <w:rFonts w:ascii="Cambria" w:eastAsia="Cambria" w:hAnsi="Cambria" w:cs="Cambria"/>
          <w:color w:val="000000"/>
        </w:rPr>
        <w:t xml:space="preserve">. </w:t>
      </w:r>
    </w:p>
    <w:p w14:paraId="0458B3E2" w14:textId="77777777" w:rsidR="0041395B" w:rsidRDefault="0041395B" w:rsidP="005668D6">
      <w:pPr>
        <w:pBdr>
          <w:top w:val="nil"/>
          <w:left w:val="nil"/>
          <w:bottom w:val="nil"/>
          <w:right w:val="nil"/>
          <w:between w:val="nil"/>
        </w:pBdr>
        <w:spacing w:after="0" w:line="240" w:lineRule="auto"/>
        <w:ind w:left="720"/>
        <w:jc w:val="both"/>
        <w:rPr>
          <w:rFonts w:ascii="Cambria" w:eastAsia="Cambria" w:hAnsi="Cambria" w:cs="Cambria"/>
          <w:color w:val="000000"/>
        </w:rPr>
      </w:pPr>
    </w:p>
    <w:p w14:paraId="59F98C70" w14:textId="6AFEB0BB"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 xml:space="preserve">A su vez, es necesario resaltar el grave peligro de retroceso normativo, el poder legislativo viene impulsando una agenda ‘antiderechos’ de las niñas, adolescentes y mujeres </w:t>
      </w:r>
      <w:r>
        <w:rPr>
          <w:rFonts w:ascii="Cambria" w:eastAsia="Cambria" w:hAnsi="Cambria" w:cs="Cambria"/>
          <w:i/>
          <w:color w:val="000000"/>
        </w:rPr>
        <w:t xml:space="preserve">(ver </w:t>
      </w:r>
      <w:r>
        <w:rPr>
          <w:rFonts w:ascii="Cambria" w:eastAsia="Cambria" w:hAnsi="Cambria" w:cs="Cambria"/>
          <w:i/>
          <w:color w:val="000000"/>
        </w:rPr>
        <w:t xml:space="preserve">párrafo </w:t>
      </w:r>
      <w:r w:rsidR="00A07270">
        <w:rPr>
          <w:rFonts w:ascii="Cambria" w:eastAsia="Cambria" w:hAnsi="Cambria" w:cs="Cambria"/>
          <w:i/>
          <w:color w:val="000000"/>
        </w:rPr>
        <w:t>10</w:t>
      </w:r>
      <w:r>
        <w:rPr>
          <w:rFonts w:ascii="Cambria" w:eastAsia="Cambria" w:hAnsi="Cambria" w:cs="Cambria"/>
          <w:i/>
          <w:color w:val="000000"/>
        </w:rPr>
        <w:t>),</w:t>
      </w:r>
      <w:r>
        <w:rPr>
          <w:rFonts w:ascii="Cambria" w:eastAsia="Cambria" w:hAnsi="Cambria" w:cs="Cambria"/>
          <w:color w:val="000000"/>
        </w:rPr>
        <w:t xml:space="preserve"> que busca retroceder con el impulso en la ESI aduciendo que no han permitido a los padres participar de esta. Así, el 23 de junio de 2022, se publicó la Ley N° 31498, “Ley que impulsa la calidad de los materiales y recursos educativos en el Pe</w:t>
      </w:r>
      <w:r>
        <w:rPr>
          <w:rFonts w:ascii="Cambria" w:eastAsia="Cambria" w:hAnsi="Cambria" w:cs="Cambria"/>
          <w:color w:val="000000"/>
        </w:rPr>
        <w:t>rú”</w:t>
      </w:r>
      <w:r w:rsidR="0014678B">
        <w:rPr>
          <w:rStyle w:val="EndnoteReference"/>
          <w:rFonts w:ascii="Cambria" w:eastAsia="Cambria" w:hAnsi="Cambria" w:cs="Cambria"/>
          <w:color w:val="000000"/>
        </w:rPr>
        <w:endnoteReference w:id="46"/>
      </w:r>
      <w:r w:rsidR="0014678B">
        <w:rPr>
          <w:rFonts w:ascii="Cambria" w:eastAsia="Cambria" w:hAnsi="Cambria" w:cs="Cambria"/>
          <w:color w:val="000000"/>
        </w:rPr>
        <w:t xml:space="preserve"> </w:t>
      </w:r>
      <w:r>
        <w:rPr>
          <w:rFonts w:ascii="Cambria" w:eastAsia="Cambria" w:hAnsi="Cambria" w:cs="Cambria"/>
          <w:color w:val="000000"/>
        </w:rPr>
        <w:t>y, el 30 de septiembre de 2023, se aprobó su reglamento, una norma ampliamente cuestionada no solo por instituciones de sociedad civil sino también por la Defensoría del Pueblo y el propio Ministerio de Educación; ya que en la práctica busca una mayo</w:t>
      </w:r>
      <w:r>
        <w:rPr>
          <w:rFonts w:ascii="Cambria" w:eastAsia="Cambria" w:hAnsi="Cambria" w:cs="Cambria"/>
          <w:color w:val="000000"/>
        </w:rPr>
        <w:t>r intervención de asociaciones de padres para reelaborar el Currículo Nacional de la Educación Básica y documentos educativos que introducían enfoque de género y educación sexual integral.  Esta ley afecta de manera directa a la implementación de la ESI, p</w:t>
      </w:r>
      <w:r>
        <w:rPr>
          <w:rFonts w:ascii="Cambria" w:eastAsia="Cambria" w:hAnsi="Cambria" w:cs="Cambria"/>
          <w:color w:val="000000"/>
        </w:rPr>
        <w:t>ues si bien aún no ha sido reglamentado, los docentes y directores ya han puesto sus alertas y hay mucho temor en continuar con la implementación de los talleres de ESI, y mucho más cuando estos espacios son de forma presencial. Los temores que se presenta</w:t>
      </w:r>
      <w:r>
        <w:rPr>
          <w:rFonts w:ascii="Cambria" w:eastAsia="Cambria" w:hAnsi="Cambria" w:cs="Cambria"/>
          <w:color w:val="000000"/>
        </w:rPr>
        <w:t>n son básicamente a las consecuencias que pueden tener los docentes o la institución educativa si hubiera alguna denuncia de algún padre de familia conservador</w:t>
      </w:r>
      <w:r w:rsidR="0014678B">
        <w:rPr>
          <w:rStyle w:val="EndnoteReference"/>
          <w:rFonts w:ascii="Cambria" w:eastAsia="Cambria" w:hAnsi="Cambria" w:cs="Cambria"/>
          <w:color w:val="000000"/>
        </w:rPr>
        <w:endnoteReference w:id="47"/>
      </w:r>
      <w:r>
        <w:rPr>
          <w:rFonts w:ascii="Cambria" w:eastAsia="Cambria" w:hAnsi="Cambria" w:cs="Cambria"/>
          <w:color w:val="000000"/>
        </w:rPr>
        <w:t xml:space="preserve">.  </w:t>
      </w:r>
    </w:p>
    <w:p w14:paraId="4F5CAA03" w14:textId="77777777" w:rsidR="0081144D" w:rsidRDefault="0081144D" w:rsidP="0081144D">
      <w:pPr>
        <w:pBdr>
          <w:top w:val="nil"/>
          <w:left w:val="nil"/>
          <w:bottom w:val="nil"/>
          <w:right w:val="nil"/>
          <w:between w:val="nil"/>
        </w:pBdr>
        <w:spacing w:after="0" w:line="240" w:lineRule="auto"/>
        <w:ind w:left="720"/>
        <w:jc w:val="both"/>
        <w:rPr>
          <w:rFonts w:ascii="Cambria" w:eastAsia="Cambria" w:hAnsi="Cambria" w:cs="Cambria"/>
          <w:color w:val="000000"/>
        </w:rPr>
      </w:pPr>
    </w:p>
    <w:p w14:paraId="324F9ACA" w14:textId="43DE2B95" w:rsidR="0041395B" w:rsidRPr="006A2726" w:rsidRDefault="0020214C" w:rsidP="006A2726">
      <w:pPr>
        <w:pStyle w:val="Heading1"/>
        <w:numPr>
          <w:ilvl w:val="0"/>
          <w:numId w:val="4"/>
        </w:numPr>
        <w:spacing w:before="0" w:after="0" w:line="240" w:lineRule="auto"/>
        <w:jc w:val="both"/>
        <w:rPr>
          <w:rFonts w:ascii="Cambria" w:eastAsia="Cambria" w:hAnsi="Cambria" w:cs="Cambria"/>
          <w:b/>
          <w:color w:val="000000"/>
          <w:sz w:val="22"/>
          <w:szCs w:val="22"/>
        </w:rPr>
      </w:pPr>
      <w:r>
        <w:rPr>
          <w:rFonts w:ascii="Cambria" w:eastAsia="Cambria" w:hAnsi="Cambria" w:cs="Cambria"/>
          <w:b/>
          <w:color w:val="000000"/>
          <w:sz w:val="22"/>
          <w:szCs w:val="22"/>
        </w:rPr>
        <w:t>Embarazos forzados y mortalidad materna</w:t>
      </w:r>
    </w:p>
    <w:p w14:paraId="44B08296" w14:textId="77777777" w:rsidR="0081144D" w:rsidRDefault="0081144D" w:rsidP="005668D6">
      <w:pPr>
        <w:tabs>
          <w:tab w:val="left" w:pos="2127"/>
        </w:tabs>
        <w:spacing w:after="0" w:line="240" w:lineRule="auto"/>
        <w:jc w:val="both"/>
        <w:rPr>
          <w:rFonts w:ascii="Cambria" w:eastAsia="Cambria" w:hAnsi="Cambria" w:cs="Cambria"/>
          <w:b/>
          <w:i/>
          <w:color w:val="000000"/>
        </w:rPr>
      </w:pPr>
    </w:p>
    <w:p w14:paraId="32F215A5" w14:textId="3B1E8D56" w:rsidR="0041395B" w:rsidRPr="0081144D" w:rsidRDefault="0020214C" w:rsidP="005668D6">
      <w:pPr>
        <w:numPr>
          <w:ilvl w:val="0"/>
          <w:numId w:val="2"/>
        </w:numPr>
        <w:pBdr>
          <w:top w:val="nil"/>
          <w:left w:val="nil"/>
          <w:bottom w:val="nil"/>
          <w:right w:val="nil"/>
          <w:between w:val="nil"/>
        </w:pBdr>
        <w:tabs>
          <w:tab w:val="left" w:pos="2127"/>
        </w:tabs>
        <w:spacing w:after="0" w:line="240" w:lineRule="auto"/>
        <w:jc w:val="both"/>
        <w:rPr>
          <w:rFonts w:ascii="Cambria" w:eastAsia="Cambria" w:hAnsi="Cambria" w:cs="Cambria"/>
          <w:b/>
          <w:i/>
          <w:color w:val="000000"/>
        </w:rPr>
      </w:pPr>
      <w:r>
        <w:rPr>
          <w:rFonts w:ascii="Cambria" w:eastAsia="Cambria" w:hAnsi="Cambria" w:cs="Cambria"/>
          <w:color w:val="000000"/>
        </w:rPr>
        <w:t xml:space="preserve">La Defensoría advirtió que las cifras sobre </w:t>
      </w:r>
      <w:r>
        <w:rPr>
          <w:rFonts w:ascii="Cambria" w:eastAsia="Cambria" w:hAnsi="Cambria" w:cs="Cambria"/>
          <w:color w:val="000000"/>
        </w:rPr>
        <w:t xml:space="preserve">embarazo adolescente se mantienen altas, </w:t>
      </w:r>
      <w:r>
        <w:rPr>
          <w:rFonts w:ascii="Cambria" w:eastAsia="Cambria" w:hAnsi="Cambria" w:cs="Cambria"/>
        </w:rPr>
        <w:t>“</w:t>
      </w:r>
      <w:r>
        <w:rPr>
          <w:rFonts w:ascii="Cambria" w:eastAsia="Cambria" w:hAnsi="Cambria" w:cs="Cambria"/>
          <w:color w:val="000000"/>
        </w:rPr>
        <w:t>lo que afecta el ejercicio de los derechos fundamentales, el desarrollo integral, las oportunidades y la integridad física y psicológica de niñas y adolescentes menores de 19 años, especialmente, en las regiones de</w:t>
      </w:r>
      <w:r>
        <w:rPr>
          <w:rFonts w:ascii="Cambria" w:eastAsia="Cambria" w:hAnsi="Cambria" w:cs="Cambria"/>
          <w:color w:val="000000"/>
        </w:rPr>
        <w:t xml:space="preserve"> la Amazonía</w:t>
      </w:r>
      <w:r>
        <w:rPr>
          <w:rFonts w:ascii="Cambria" w:eastAsia="Cambria" w:hAnsi="Cambria" w:cs="Cambria"/>
        </w:rPr>
        <w:t>”</w:t>
      </w:r>
      <w:r w:rsidR="0014678B">
        <w:rPr>
          <w:rStyle w:val="EndnoteReference"/>
          <w:rFonts w:ascii="Cambria" w:eastAsia="Cambria" w:hAnsi="Cambria" w:cs="Cambria"/>
        </w:rPr>
        <w:endnoteReference w:id="48"/>
      </w:r>
      <w:r>
        <w:rPr>
          <w:rFonts w:ascii="Cambria" w:eastAsia="Cambria" w:hAnsi="Cambria" w:cs="Cambria"/>
          <w:color w:val="000000"/>
        </w:rPr>
        <w:t>.</w:t>
      </w:r>
    </w:p>
    <w:p w14:paraId="35879368" w14:textId="77777777" w:rsidR="0081144D" w:rsidRDefault="0081144D" w:rsidP="0081144D">
      <w:pPr>
        <w:pBdr>
          <w:top w:val="nil"/>
          <w:left w:val="nil"/>
          <w:bottom w:val="nil"/>
          <w:right w:val="nil"/>
          <w:between w:val="nil"/>
        </w:pBdr>
        <w:tabs>
          <w:tab w:val="left" w:pos="2127"/>
        </w:tabs>
        <w:spacing w:after="0" w:line="240" w:lineRule="auto"/>
        <w:ind w:left="720"/>
        <w:jc w:val="both"/>
        <w:rPr>
          <w:rFonts w:ascii="Cambria" w:eastAsia="Cambria" w:hAnsi="Cambria" w:cs="Cambria"/>
          <w:b/>
          <w:i/>
          <w:color w:val="000000"/>
        </w:rPr>
      </w:pPr>
    </w:p>
    <w:p w14:paraId="6D5C8F2D" w14:textId="0A65A1B8" w:rsidR="0041395B" w:rsidRPr="00ED7B30" w:rsidRDefault="0020214C" w:rsidP="005668D6">
      <w:pPr>
        <w:numPr>
          <w:ilvl w:val="0"/>
          <w:numId w:val="2"/>
        </w:numPr>
        <w:pBdr>
          <w:top w:val="nil"/>
          <w:left w:val="nil"/>
          <w:bottom w:val="nil"/>
          <w:right w:val="nil"/>
          <w:between w:val="nil"/>
        </w:pBdr>
        <w:tabs>
          <w:tab w:val="left" w:pos="2127"/>
        </w:tabs>
        <w:spacing w:after="0" w:line="240" w:lineRule="auto"/>
        <w:jc w:val="both"/>
        <w:rPr>
          <w:rFonts w:ascii="Cambria" w:eastAsia="Cambria" w:hAnsi="Cambria" w:cs="Cambria"/>
          <w:b/>
          <w:i/>
          <w:color w:val="000000"/>
        </w:rPr>
      </w:pPr>
      <w:r w:rsidRPr="00ED7B30">
        <w:rPr>
          <w:rFonts w:ascii="Cambria" w:eastAsia="Cambria" w:hAnsi="Cambria" w:cs="Cambria"/>
          <w:color w:val="000000"/>
        </w:rPr>
        <w:t>Durante los últimos años, en el Perú, según la Encuesta Demográfica y de Salud Familiar (ENDES), 13 de cada 100 adolescentes entre 15 a 19 años ya eran madres o se encontraban embarazadas por primera vez. Asimismo, el embarazo adolescente</w:t>
      </w:r>
      <w:r w:rsidRPr="00ED7B30">
        <w:rPr>
          <w:rFonts w:ascii="Cambria" w:eastAsia="Cambria" w:hAnsi="Cambria" w:cs="Cambria"/>
          <w:color w:val="000000"/>
        </w:rPr>
        <w:t xml:space="preserve"> impacta de manera diferenciada a poblaciones vulnerabilizadas</w:t>
      </w:r>
      <w:r w:rsidR="0014678B">
        <w:rPr>
          <w:rStyle w:val="EndnoteReference"/>
          <w:rFonts w:ascii="Cambria" w:eastAsia="Cambria" w:hAnsi="Cambria" w:cs="Cambria"/>
          <w:color w:val="000000"/>
        </w:rPr>
        <w:endnoteReference w:id="49"/>
      </w:r>
      <w:r w:rsidRPr="00ED7B30">
        <w:rPr>
          <w:rFonts w:ascii="Cambria" w:eastAsia="Cambria" w:hAnsi="Cambria" w:cs="Cambria"/>
          <w:color w:val="000000"/>
        </w:rPr>
        <w:t>. Si bien en el 2020 y 2021 esta cifra se redujo, según la Defensoría del Pueblo, se debió a que “el problema tal vez no se dimensionó correctamente debido al impacto de la pandemia en los ser</w:t>
      </w:r>
      <w:r w:rsidRPr="00ED7B30">
        <w:rPr>
          <w:rFonts w:ascii="Cambria" w:eastAsia="Cambria" w:hAnsi="Cambria" w:cs="Cambria"/>
          <w:color w:val="000000"/>
        </w:rPr>
        <w:t>vicios de primer nivel de atención, los cuales fueron suspendidos durante el momento más difícil de la emergencia”</w:t>
      </w:r>
      <w:r w:rsidR="0019006F">
        <w:rPr>
          <w:rStyle w:val="EndnoteReference"/>
          <w:rFonts w:ascii="Cambria" w:eastAsia="Cambria" w:hAnsi="Cambria" w:cs="Cambria"/>
          <w:color w:val="000000"/>
        </w:rPr>
        <w:endnoteReference w:id="50"/>
      </w:r>
      <w:r w:rsidRPr="00ED7B30">
        <w:rPr>
          <w:rFonts w:ascii="Cambria" w:eastAsia="Cambria" w:hAnsi="Cambria" w:cs="Cambria"/>
          <w:color w:val="000000"/>
        </w:rPr>
        <w:t>. En 2022, el 9,2% de las adolescentes de 15 a 19 años eran madres o estaban embarazadas por primera vez</w:t>
      </w:r>
      <w:r w:rsidR="0019006F">
        <w:rPr>
          <w:rStyle w:val="EndnoteReference"/>
          <w:rFonts w:ascii="Cambria" w:eastAsia="Cambria" w:hAnsi="Cambria" w:cs="Cambria"/>
          <w:color w:val="000000"/>
        </w:rPr>
        <w:endnoteReference w:id="51"/>
      </w:r>
      <w:r w:rsidRPr="00ED7B30">
        <w:rPr>
          <w:rFonts w:ascii="Cambria" w:eastAsia="Cambria" w:hAnsi="Cambria" w:cs="Cambria"/>
          <w:color w:val="000000"/>
        </w:rPr>
        <w:t>; mientras que en el 2021</w:t>
      </w:r>
      <w:r w:rsidR="0019006F">
        <w:rPr>
          <w:rStyle w:val="EndnoteReference"/>
          <w:rFonts w:ascii="Cambria" w:eastAsia="Cambria" w:hAnsi="Cambria" w:cs="Cambria"/>
          <w:color w:val="000000"/>
        </w:rPr>
        <w:endnoteReference w:id="52"/>
      </w:r>
      <w:r w:rsidRPr="00ED7B30">
        <w:rPr>
          <w:rFonts w:ascii="Cambria" w:eastAsia="Cambria" w:hAnsi="Cambria" w:cs="Cambria"/>
          <w:color w:val="000000"/>
        </w:rPr>
        <w:t>, el</w:t>
      </w:r>
      <w:r w:rsidRPr="00ED7B30">
        <w:rPr>
          <w:rFonts w:ascii="Cambria" w:eastAsia="Cambria" w:hAnsi="Cambria" w:cs="Cambria"/>
          <w:color w:val="000000"/>
        </w:rPr>
        <w:t xml:space="preserve"> 8.9 % de las adolescentes entre 15 a 19 años estuvieron alguna vez embarazadas; de estas, 6,6 % ya eran madres</w:t>
      </w:r>
      <w:r w:rsidR="00ED7B30">
        <w:rPr>
          <w:rFonts w:ascii="Cambria" w:eastAsia="Cambria" w:hAnsi="Cambria" w:cs="Cambria"/>
          <w:color w:val="000000"/>
        </w:rPr>
        <w:t>.</w:t>
      </w:r>
    </w:p>
    <w:p w14:paraId="46BDD052" w14:textId="77777777" w:rsidR="00ED7B30" w:rsidRPr="00ED7B30" w:rsidRDefault="00ED7B30" w:rsidP="00ED7B30">
      <w:pPr>
        <w:pBdr>
          <w:top w:val="nil"/>
          <w:left w:val="nil"/>
          <w:bottom w:val="nil"/>
          <w:right w:val="nil"/>
          <w:between w:val="nil"/>
        </w:pBdr>
        <w:tabs>
          <w:tab w:val="left" w:pos="2127"/>
        </w:tabs>
        <w:spacing w:after="0" w:line="240" w:lineRule="auto"/>
        <w:jc w:val="both"/>
        <w:rPr>
          <w:rFonts w:ascii="Cambria" w:eastAsia="Cambria" w:hAnsi="Cambria" w:cs="Cambria"/>
          <w:b/>
          <w:i/>
          <w:color w:val="000000"/>
        </w:rPr>
      </w:pPr>
    </w:p>
    <w:p w14:paraId="305C5210" w14:textId="6A63C5C3" w:rsidR="003B6DB3" w:rsidRPr="006A2726" w:rsidRDefault="0020214C" w:rsidP="009D1EAC">
      <w:pPr>
        <w:numPr>
          <w:ilvl w:val="0"/>
          <w:numId w:val="2"/>
        </w:numPr>
        <w:pBdr>
          <w:top w:val="nil"/>
          <w:left w:val="nil"/>
          <w:bottom w:val="nil"/>
          <w:right w:val="nil"/>
          <w:between w:val="nil"/>
        </w:pBdr>
        <w:tabs>
          <w:tab w:val="left" w:pos="2127"/>
        </w:tabs>
        <w:spacing w:after="0" w:line="240" w:lineRule="auto"/>
        <w:jc w:val="both"/>
        <w:rPr>
          <w:rFonts w:ascii="Cambria" w:eastAsia="Cambria" w:hAnsi="Cambria" w:cs="Cambria"/>
          <w:b/>
          <w:i/>
          <w:color w:val="000000"/>
        </w:rPr>
      </w:pPr>
      <w:r w:rsidRPr="006A2726">
        <w:rPr>
          <w:rFonts w:ascii="Cambria" w:eastAsia="Cambria" w:hAnsi="Cambria" w:cs="Cambria"/>
          <w:color w:val="000000"/>
        </w:rPr>
        <w:t xml:space="preserve">Según el Sistema de Registro del Certificado de Nacido Vivo en Línea, </w:t>
      </w:r>
      <w:r w:rsidR="003B6DB3" w:rsidRPr="006A2726">
        <w:rPr>
          <w:rFonts w:ascii="Cambria" w:eastAsia="Cambria" w:hAnsi="Cambria" w:cstheme="minorHAnsi"/>
          <w:color w:val="000000"/>
        </w:rPr>
        <w:t xml:space="preserve">de enero a </w:t>
      </w:r>
      <w:r w:rsidR="00311D62" w:rsidRPr="006A2726">
        <w:rPr>
          <w:rFonts w:ascii="Cambria" w:eastAsia="Cambria" w:hAnsi="Cambria" w:cstheme="minorHAnsi"/>
        </w:rPr>
        <w:lastRenderedPageBreak/>
        <w:t>septiembre</w:t>
      </w:r>
      <w:r w:rsidR="003B6DB3" w:rsidRPr="006A2726">
        <w:rPr>
          <w:rFonts w:ascii="Cambria" w:eastAsia="Cambria" w:hAnsi="Cambria" w:cstheme="minorHAnsi"/>
        </w:rPr>
        <w:t xml:space="preserve"> de 2024 se registró </w:t>
      </w:r>
      <w:r w:rsidR="00311D62" w:rsidRPr="006A2726">
        <w:rPr>
          <w:rFonts w:ascii="Cambria" w:eastAsia="Cambria" w:hAnsi="Cambria" w:cstheme="minorHAnsi"/>
        </w:rPr>
        <w:t>707</w:t>
      </w:r>
      <w:r w:rsidR="003B6DB3" w:rsidRPr="006A2726">
        <w:rPr>
          <w:rFonts w:ascii="Cambria" w:eastAsia="Cambria" w:hAnsi="Cambria" w:cstheme="minorHAnsi"/>
        </w:rPr>
        <w:t xml:space="preserve"> nacimientos </w:t>
      </w:r>
      <w:r w:rsidR="00311D62" w:rsidRPr="006A2726">
        <w:rPr>
          <w:rFonts w:ascii="Cambria" w:eastAsia="Cambria" w:hAnsi="Cambria" w:cstheme="minorHAnsi"/>
        </w:rPr>
        <w:t>del rango etáreo</w:t>
      </w:r>
      <w:r w:rsidR="003B6DB3" w:rsidRPr="006A2726">
        <w:rPr>
          <w:rFonts w:ascii="Cambria" w:eastAsia="Cambria" w:hAnsi="Cambria" w:cstheme="minorHAnsi"/>
        </w:rPr>
        <w:t xml:space="preserve"> de </w:t>
      </w:r>
      <w:r w:rsidR="00311D62" w:rsidRPr="006A2726">
        <w:rPr>
          <w:rFonts w:ascii="Cambria" w:eastAsia="Cambria" w:hAnsi="Cambria" w:cstheme="minorHAnsi"/>
        </w:rPr>
        <w:t xml:space="preserve">menos </w:t>
      </w:r>
      <w:r w:rsidR="003B6DB3" w:rsidRPr="006A2726">
        <w:rPr>
          <w:rFonts w:ascii="Cambria" w:eastAsia="Cambria" w:hAnsi="Cambria" w:cstheme="minorHAnsi"/>
        </w:rPr>
        <w:t>14 años</w:t>
      </w:r>
      <w:r w:rsidR="00EE44B5" w:rsidRPr="006A2726">
        <w:rPr>
          <w:rStyle w:val="EndnoteReference"/>
          <w:rFonts w:ascii="Cambria" w:eastAsia="Cambria" w:hAnsi="Cambria" w:cstheme="minorHAnsi"/>
        </w:rPr>
        <w:endnoteReference w:id="53"/>
      </w:r>
      <w:r w:rsidR="003B6DB3" w:rsidRPr="006A2726">
        <w:rPr>
          <w:rFonts w:ascii="Cambria" w:eastAsia="Cambria" w:hAnsi="Cambria" w:cstheme="minorHAnsi"/>
        </w:rPr>
        <w:t xml:space="preserve"> y en el año</w:t>
      </w:r>
      <w:r w:rsidRPr="006A2726">
        <w:rPr>
          <w:rFonts w:ascii="Cambria" w:eastAsia="Cambria" w:hAnsi="Cambria" w:cs="Cambria"/>
          <w:color w:val="000000"/>
        </w:rPr>
        <w:t xml:space="preserve"> 2023 se registraron 1 353 nacimientos, de los cuales fueron niñas que tenían menos de 14 años</w:t>
      </w:r>
      <w:r w:rsidR="0019006F" w:rsidRPr="006A2726">
        <w:rPr>
          <w:rStyle w:val="EndnoteReference"/>
          <w:rFonts w:ascii="Cambria" w:eastAsia="Cambria" w:hAnsi="Cambria" w:cs="Cambria"/>
          <w:color w:val="000000"/>
        </w:rPr>
        <w:endnoteReference w:id="54"/>
      </w:r>
      <w:r w:rsidR="0019006F" w:rsidRPr="006A2726">
        <w:rPr>
          <w:rFonts w:ascii="Cambria" w:eastAsia="Cambria" w:hAnsi="Cambria" w:cs="Cambria"/>
          <w:color w:val="000000"/>
          <w:vertAlign w:val="superscript"/>
        </w:rPr>
        <w:t xml:space="preserve"> </w:t>
      </w:r>
      <w:r w:rsidRPr="006A2726">
        <w:rPr>
          <w:rFonts w:ascii="Cambria" w:eastAsia="Cambria" w:hAnsi="Cambria" w:cs="Cambria"/>
          <w:color w:val="000000"/>
        </w:rPr>
        <w:t xml:space="preserve">y en el 2022 se registraron 465 421 nacimientos, de los cuales 48 </w:t>
      </w:r>
      <w:r w:rsidR="00EE44B5" w:rsidRPr="006A2726">
        <w:rPr>
          <w:rFonts w:ascii="Cambria" w:eastAsia="Cambria" w:hAnsi="Cambria" w:cs="Cambria"/>
          <w:color w:val="000000"/>
        </w:rPr>
        <w:t>498</w:t>
      </w:r>
      <w:r w:rsidRPr="006A2726">
        <w:rPr>
          <w:rFonts w:ascii="Cambria" w:eastAsia="Cambria" w:hAnsi="Cambria" w:cs="Cambria"/>
          <w:color w:val="000000"/>
        </w:rPr>
        <w:t xml:space="preserve"> fueron adolescentes que tenían</w:t>
      </w:r>
      <w:r w:rsidRPr="006A2726">
        <w:rPr>
          <w:rFonts w:ascii="Cambria" w:eastAsia="Cambria" w:hAnsi="Cambria" w:cs="Cambria"/>
          <w:color w:val="000000"/>
        </w:rPr>
        <w:t xml:space="preserve"> entre 15 a 19 años de edad, cifra que aumentó en 1,4% al compararse con el año 2021 (4</w:t>
      </w:r>
      <w:r w:rsidR="00EE44B5" w:rsidRPr="006A2726">
        <w:rPr>
          <w:rFonts w:ascii="Cambria" w:eastAsia="Cambria" w:hAnsi="Cambria" w:cs="Cambria"/>
          <w:color w:val="000000"/>
        </w:rPr>
        <w:t>7</w:t>
      </w:r>
      <w:r w:rsidRPr="006A2726">
        <w:rPr>
          <w:rFonts w:ascii="Cambria" w:eastAsia="Cambria" w:hAnsi="Cambria" w:cs="Cambria"/>
          <w:color w:val="000000"/>
        </w:rPr>
        <w:t xml:space="preserve"> </w:t>
      </w:r>
      <w:r w:rsidR="00EE44B5" w:rsidRPr="006A2726">
        <w:rPr>
          <w:rFonts w:ascii="Cambria" w:eastAsia="Cambria" w:hAnsi="Cambria" w:cs="Cambria"/>
          <w:color w:val="000000"/>
        </w:rPr>
        <w:t>691</w:t>
      </w:r>
      <w:r w:rsidRPr="006A2726">
        <w:rPr>
          <w:rFonts w:ascii="Cambria" w:eastAsia="Cambria" w:hAnsi="Cambria" w:cs="Cambria"/>
          <w:color w:val="000000"/>
        </w:rPr>
        <w:t>) y se redujo en 6,2% frente a lo observado en el año 2019 de pre pandemia (5</w:t>
      </w:r>
      <w:r w:rsidR="00EE44B5" w:rsidRPr="006A2726">
        <w:rPr>
          <w:rFonts w:ascii="Cambria" w:eastAsia="Cambria" w:hAnsi="Cambria" w:cs="Cambria"/>
          <w:color w:val="000000"/>
        </w:rPr>
        <w:t>1</w:t>
      </w:r>
      <w:r w:rsidRPr="006A2726">
        <w:rPr>
          <w:rFonts w:ascii="Cambria" w:eastAsia="Cambria" w:hAnsi="Cambria" w:cs="Cambria"/>
          <w:color w:val="000000"/>
        </w:rPr>
        <w:t xml:space="preserve"> </w:t>
      </w:r>
      <w:r w:rsidR="00EE44B5" w:rsidRPr="006A2726">
        <w:rPr>
          <w:rFonts w:ascii="Cambria" w:eastAsia="Cambria" w:hAnsi="Cambria" w:cs="Cambria"/>
          <w:color w:val="000000"/>
        </w:rPr>
        <w:t>494</w:t>
      </w:r>
      <w:r w:rsidRPr="006A2726">
        <w:rPr>
          <w:rFonts w:ascii="Cambria" w:eastAsia="Cambria" w:hAnsi="Cambria" w:cs="Cambria"/>
          <w:color w:val="000000"/>
        </w:rPr>
        <w:t>)</w:t>
      </w:r>
      <w:r w:rsidR="0019006F" w:rsidRPr="006A2726">
        <w:rPr>
          <w:rStyle w:val="EndnoteReference"/>
          <w:rFonts w:ascii="Cambria" w:eastAsia="Cambria" w:hAnsi="Cambria" w:cs="Cambria"/>
          <w:color w:val="000000"/>
        </w:rPr>
        <w:endnoteReference w:id="55"/>
      </w:r>
      <w:r w:rsidRPr="006A2726">
        <w:rPr>
          <w:rFonts w:ascii="Cambria" w:eastAsia="Cambria" w:hAnsi="Cambria" w:cs="Cambria"/>
          <w:color w:val="000000"/>
        </w:rPr>
        <w:t>. Respecto a los nacidos vivos de niñas de 11 a 14 años se reportó 14</w:t>
      </w:r>
      <w:r w:rsidR="009D1EAC" w:rsidRPr="006A2726">
        <w:rPr>
          <w:rFonts w:ascii="Cambria" w:eastAsia="Cambria" w:hAnsi="Cambria" w:cs="Cambria"/>
          <w:color w:val="000000"/>
        </w:rPr>
        <w:t>32</w:t>
      </w:r>
      <w:r w:rsidRPr="006A2726">
        <w:rPr>
          <w:rFonts w:ascii="Cambria" w:eastAsia="Cambria" w:hAnsi="Cambria" w:cs="Cambria"/>
          <w:color w:val="000000"/>
        </w:rPr>
        <w:t xml:space="preserve"> nacimie</w:t>
      </w:r>
      <w:r w:rsidRPr="006A2726">
        <w:rPr>
          <w:rFonts w:ascii="Cambria" w:eastAsia="Cambria" w:hAnsi="Cambria" w:cs="Cambria"/>
          <w:color w:val="000000"/>
        </w:rPr>
        <w:t>nto</w:t>
      </w:r>
      <w:r w:rsidR="009D1EAC" w:rsidRPr="006A2726">
        <w:rPr>
          <w:rFonts w:ascii="Cambria" w:eastAsia="Cambria" w:hAnsi="Cambria" w:cs="Cambria"/>
          <w:color w:val="000000"/>
        </w:rPr>
        <w:t>s</w:t>
      </w:r>
      <w:r w:rsidRPr="006A2726">
        <w:rPr>
          <w:rFonts w:ascii="Cambria" w:eastAsia="Cambria" w:hAnsi="Cambria" w:cs="Cambria"/>
          <w:color w:val="000000"/>
        </w:rPr>
        <w:t xml:space="preserve"> vivos en el 2021</w:t>
      </w:r>
      <w:r w:rsidR="0019006F" w:rsidRPr="006A2726">
        <w:rPr>
          <w:rStyle w:val="EndnoteReference"/>
          <w:rFonts w:ascii="Cambria" w:eastAsia="Cambria" w:hAnsi="Cambria" w:cs="Cambria"/>
          <w:color w:val="000000"/>
        </w:rPr>
        <w:endnoteReference w:id="56"/>
      </w:r>
      <w:r w:rsidRPr="006A2726">
        <w:rPr>
          <w:rFonts w:ascii="Cambria" w:eastAsia="Cambria" w:hAnsi="Cambria" w:cs="Cambria"/>
          <w:color w:val="000000"/>
        </w:rPr>
        <w:t>, 1614 en el 2022</w:t>
      </w:r>
      <w:r w:rsidR="0019006F" w:rsidRPr="006A2726">
        <w:rPr>
          <w:rStyle w:val="EndnoteReference"/>
          <w:rFonts w:ascii="Cambria" w:eastAsia="Cambria" w:hAnsi="Cambria" w:cs="Cambria"/>
          <w:color w:val="000000"/>
        </w:rPr>
        <w:endnoteReference w:id="57"/>
      </w:r>
      <w:r w:rsidRPr="006A2726">
        <w:rPr>
          <w:rFonts w:ascii="Cambria" w:eastAsia="Cambria" w:hAnsi="Cambria" w:cs="Cambria"/>
          <w:color w:val="000000"/>
        </w:rPr>
        <w:t>, 13</w:t>
      </w:r>
      <w:r w:rsidR="00EE44B5" w:rsidRPr="006A2726">
        <w:rPr>
          <w:rFonts w:ascii="Cambria" w:eastAsia="Cambria" w:hAnsi="Cambria" w:cs="Cambria"/>
          <w:color w:val="000000"/>
        </w:rPr>
        <w:t>53</w:t>
      </w:r>
      <w:r w:rsidRPr="006A2726">
        <w:rPr>
          <w:rFonts w:ascii="Cambria" w:eastAsia="Cambria" w:hAnsi="Cambria" w:cs="Cambria"/>
          <w:color w:val="000000"/>
        </w:rPr>
        <w:t xml:space="preserve"> en 2023</w:t>
      </w:r>
      <w:r w:rsidR="0019006F" w:rsidRPr="006A2726">
        <w:rPr>
          <w:rStyle w:val="EndnoteReference"/>
          <w:rFonts w:ascii="Cambria" w:eastAsia="Cambria" w:hAnsi="Cambria" w:cs="Cambria"/>
          <w:color w:val="000000"/>
        </w:rPr>
        <w:endnoteReference w:id="58"/>
      </w:r>
      <w:r w:rsidR="00EE44B5" w:rsidRPr="006A2726">
        <w:rPr>
          <w:rFonts w:ascii="Cambria" w:eastAsia="Cambria" w:hAnsi="Cambria" w:cs="Cambria"/>
          <w:color w:val="000000"/>
        </w:rPr>
        <w:t>.</w:t>
      </w:r>
    </w:p>
    <w:p w14:paraId="3F93F014" w14:textId="77777777" w:rsidR="0041395B" w:rsidRDefault="0041395B" w:rsidP="005668D6">
      <w:pPr>
        <w:pBdr>
          <w:top w:val="nil"/>
          <w:left w:val="nil"/>
          <w:bottom w:val="nil"/>
          <w:right w:val="nil"/>
          <w:between w:val="nil"/>
        </w:pBdr>
        <w:spacing w:after="0" w:line="240" w:lineRule="auto"/>
        <w:ind w:left="720"/>
        <w:rPr>
          <w:rFonts w:ascii="Cambria" w:eastAsia="Cambria" w:hAnsi="Cambria" w:cs="Cambria"/>
          <w:color w:val="000000"/>
        </w:rPr>
      </w:pPr>
    </w:p>
    <w:p w14:paraId="296E0E20" w14:textId="77777777" w:rsidR="0041395B" w:rsidRDefault="0020214C" w:rsidP="005668D6">
      <w:pPr>
        <w:numPr>
          <w:ilvl w:val="0"/>
          <w:numId w:val="2"/>
        </w:numPr>
        <w:pBdr>
          <w:top w:val="nil"/>
          <w:left w:val="nil"/>
          <w:bottom w:val="nil"/>
          <w:right w:val="nil"/>
          <w:between w:val="nil"/>
        </w:pBdr>
        <w:tabs>
          <w:tab w:val="left" w:pos="2127"/>
        </w:tabs>
        <w:spacing w:after="0" w:line="240" w:lineRule="auto"/>
        <w:jc w:val="both"/>
        <w:rPr>
          <w:rFonts w:ascii="Cambria" w:eastAsia="Cambria" w:hAnsi="Cambria" w:cs="Cambria"/>
          <w:b/>
          <w:i/>
          <w:color w:val="000000"/>
        </w:rPr>
      </w:pPr>
      <w:r>
        <w:rPr>
          <w:rFonts w:ascii="Cambria" w:eastAsia="Cambria" w:hAnsi="Cambria" w:cs="Cambria"/>
          <w:color w:val="000000"/>
        </w:rPr>
        <w:t xml:space="preserve">Estos datos son alarmantes considerando que una niña o adolescente menor de 14 años embarazada es una niña víctima de violación sexual con un embarazo forzado y, al no proveerle la </w:t>
      </w:r>
      <w:r>
        <w:rPr>
          <w:rFonts w:ascii="Cambria" w:eastAsia="Cambria" w:hAnsi="Cambria" w:cs="Cambria"/>
          <w:color w:val="000000"/>
        </w:rPr>
        <w:t xml:space="preserve">posibilidad para que decida sobre éste, el Estado impone una maternidad no deseada. </w:t>
      </w:r>
    </w:p>
    <w:p w14:paraId="7E20B9D0" w14:textId="77777777" w:rsidR="0041395B" w:rsidRDefault="0041395B" w:rsidP="005668D6">
      <w:pPr>
        <w:tabs>
          <w:tab w:val="left" w:pos="2127"/>
        </w:tabs>
        <w:spacing w:after="0" w:line="240" w:lineRule="auto"/>
        <w:jc w:val="both"/>
        <w:rPr>
          <w:rFonts w:ascii="Cambria" w:eastAsia="Cambria" w:hAnsi="Cambria" w:cs="Cambria"/>
          <w:color w:val="000000"/>
        </w:rPr>
      </w:pPr>
    </w:p>
    <w:p w14:paraId="488558BF" w14:textId="77777777" w:rsidR="0041395B" w:rsidRDefault="0020214C" w:rsidP="005668D6">
      <w:pPr>
        <w:widowControl/>
        <w:tabs>
          <w:tab w:val="left" w:pos="2127"/>
        </w:tabs>
        <w:spacing w:after="0" w:line="240" w:lineRule="auto"/>
        <w:jc w:val="both"/>
        <w:rPr>
          <w:rFonts w:ascii="Cambria" w:eastAsia="Cambria" w:hAnsi="Cambria" w:cs="Cambria"/>
          <w:b/>
          <w:i/>
          <w:color w:val="000000"/>
        </w:rPr>
      </w:pPr>
      <w:r>
        <w:rPr>
          <w:rFonts w:ascii="Cambria" w:eastAsia="Cambria" w:hAnsi="Cambria" w:cs="Cambria"/>
          <w:b/>
          <w:i/>
          <w:color w:val="000000"/>
        </w:rPr>
        <w:t>Mortalidad materna de niñas y adolescentes</w:t>
      </w:r>
    </w:p>
    <w:p w14:paraId="3EAA7EB7" w14:textId="77777777" w:rsidR="0041395B" w:rsidRDefault="0041395B" w:rsidP="005668D6">
      <w:pPr>
        <w:widowControl/>
        <w:pBdr>
          <w:top w:val="nil"/>
          <w:left w:val="nil"/>
          <w:bottom w:val="nil"/>
          <w:right w:val="nil"/>
          <w:between w:val="nil"/>
        </w:pBdr>
        <w:tabs>
          <w:tab w:val="left" w:pos="2127"/>
        </w:tabs>
        <w:spacing w:after="0" w:line="240" w:lineRule="auto"/>
        <w:ind w:left="720"/>
        <w:jc w:val="both"/>
        <w:rPr>
          <w:rFonts w:ascii="Cambria" w:eastAsia="Cambria" w:hAnsi="Cambria" w:cs="Cambria"/>
          <w:color w:val="000000"/>
        </w:rPr>
      </w:pPr>
    </w:p>
    <w:p w14:paraId="2DCBF877" w14:textId="7073C300"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 xml:space="preserve">La mortalidad materna (MM) en Perú </w:t>
      </w:r>
      <w:r>
        <w:rPr>
          <w:rFonts w:ascii="Cambria" w:eastAsia="Cambria" w:hAnsi="Cambria" w:cs="Cambria"/>
        </w:rPr>
        <w:t>continúa</w:t>
      </w:r>
      <w:r>
        <w:rPr>
          <w:rFonts w:ascii="Cambria" w:eastAsia="Cambria" w:hAnsi="Cambria" w:cs="Cambria"/>
          <w:color w:val="000000"/>
        </w:rPr>
        <w:t xml:space="preserve"> siendo un problema de salud pública</w:t>
      </w:r>
      <w:r w:rsidR="0019006F">
        <w:rPr>
          <w:rStyle w:val="EndnoteReference"/>
          <w:rFonts w:ascii="Cambria" w:eastAsia="Cambria" w:hAnsi="Cambria" w:cs="Cambria"/>
          <w:color w:val="000000"/>
        </w:rPr>
        <w:endnoteReference w:id="59"/>
      </w:r>
      <w:r>
        <w:rPr>
          <w:rFonts w:ascii="Cambria" w:eastAsia="Cambria" w:hAnsi="Cambria" w:cs="Cambria"/>
          <w:color w:val="000000"/>
        </w:rPr>
        <w:t xml:space="preserve"> y se ve afectada por las profundas </w:t>
      </w:r>
      <w:r>
        <w:rPr>
          <w:rFonts w:ascii="Cambria" w:eastAsia="Cambria" w:hAnsi="Cambria" w:cs="Cambria"/>
          <w:color w:val="000000"/>
        </w:rPr>
        <w:t>desigualdades que enfrenta el país por factores territoriales y socioeconómicos y por la ausencia de una respuesta oportuna y de calidad a los servicios de salud. Además, tiene diferencias geográficas marcadas dentro del territorio, la Sierra y la Selva cu</w:t>
      </w:r>
      <w:r>
        <w:rPr>
          <w:rFonts w:ascii="Cambria" w:eastAsia="Cambria" w:hAnsi="Cambria" w:cs="Cambria"/>
          <w:color w:val="000000"/>
        </w:rPr>
        <w:t>adruplican la tasa de muerte materna de la Costa. Según la Dirección General de Epidemiología del Ministerio de Salud en las zonas rurales la hemorragia obstétrica es causante de más de 50% de los casos de MM</w:t>
      </w:r>
      <w:r w:rsidR="0019006F">
        <w:rPr>
          <w:rStyle w:val="EndnoteReference"/>
          <w:rFonts w:ascii="Cambria" w:eastAsia="Cambria" w:hAnsi="Cambria" w:cs="Cambria"/>
          <w:color w:val="000000"/>
        </w:rPr>
        <w:endnoteReference w:id="60"/>
      </w:r>
      <w:r>
        <w:rPr>
          <w:rFonts w:ascii="Cambria" w:eastAsia="Cambria" w:hAnsi="Cambria" w:cs="Cambria"/>
          <w:color w:val="000000"/>
        </w:rPr>
        <w:t>, mientras que en las zonas urbanas representa</w:t>
      </w:r>
      <w:r>
        <w:rPr>
          <w:rFonts w:ascii="Cambria" w:eastAsia="Cambria" w:hAnsi="Cambria" w:cs="Cambria"/>
          <w:color w:val="000000"/>
        </w:rPr>
        <w:t xml:space="preserve"> menos del 20%. Muestra de ello, es lo ocurrido con una niña de 13 años que quedó embarazada producto de una violación y murió tras tener complicaciones en el parto</w:t>
      </w:r>
      <w:r w:rsidR="0019006F">
        <w:rPr>
          <w:rStyle w:val="EndnoteReference"/>
          <w:rFonts w:ascii="Cambria" w:eastAsia="Cambria" w:hAnsi="Cambria" w:cs="Cambria"/>
          <w:color w:val="000000"/>
        </w:rPr>
        <w:endnoteReference w:id="61"/>
      </w:r>
      <w:r>
        <w:rPr>
          <w:rFonts w:ascii="Cambria" w:eastAsia="Cambria" w:hAnsi="Cambria" w:cs="Cambria"/>
          <w:color w:val="000000"/>
        </w:rPr>
        <w:t>.</w:t>
      </w:r>
    </w:p>
    <w:p w14:paraId="0507B9BC" w14:textId="77777777" w:rsidR="0041395B" w:rsidRDefault="0041395B" w:rsidP="005668D6">
      <w:pPr>
        <w:pBdr>
          <w:top w:val="nil"/>
          <w:left w:val="nil"/>
          <w:bottom w:val="nil"/>
          <w:right w:val="nil"/>
          <w:between w:val="nil"/>
        </w:pBdr>
        <w:spacing w:after="0" w:line="240" w:lineRule="auto"/>
        <w:ind w:left="720"/>
        <w:jc w:val="both"/>
        <w:rPr>
          <w:rFonts w:ascii="Cambria" w:eastAsia="Cambria" w:hAnsi="Cambria" w:cs="Cambria"/>
          <w:color w:val="000000"/>
        </w:rPr>
      </w:pPr>
    </w:p>
    <w:p w14:paraId="146D263C" w14:textId="66986C0E"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Dentro de las causas de MM en adolescentes se encuentran: la demora en la atención de l</w:t>
      </w:r>
      <w:r>
        <w:rPr>
          <w:rFonts w:ascii="Cambria" w:eastAsia="Cambria" w:hAnsi="Cambria" w:cs="Cambria"/>
          <w:color w:val="000000"/>
        </w:rPr>
        <w:t>os servicios de salud; la falta de disponibilidad de los servicios por el incumplimiento del horario de atención; la falta de personal capacitado; el incumplimiento de protocolos y, muchas veces, esta demora se impone como “castigo”</w:t>
      </w:r>
      <w:r w:rsidR="0019006F">
        <w:rPr>
          <w:rStyle w:val="EndnoteReference"/>
          <w:rFonts w:ascii="Cambria" w:eastAsia="Cambria" w:hAnsi="Cambria" w:cs="Cambria"/>
          <w:color w:val="000000"/>
        </w:rPr>
        <w:endnoteReference w:id="62"/>
      </w:r>
      <w:r>
        <w:rPr>
          <w:rFonts w:ascii="Cambria" w:eastAsia="Cambria" w:hAnsi="Cambria" w:cs="Cambria"/>
          <w:color w:val="000000"/>
        </w:rPr>
        <w:t>.</w:t>
      </w:r>
    </w:p>
    <w:p w14:paraId="3A608378" w14:textId="77777777" w:rsidR="0041395B" w:rsidRDefault="0041395B" w:rsidP="005668D6">
      <w:pPr>
        <w:pBdr>
          <w:top w:val="nil"/>
          <w:left w:val="nil"/>
          <w:bottom w:val="nil"/>
          <w:right w:val="nil"/>
          <w:between w:val="nil"/>
        </w:pBdr>
        <w:spacing w:after="0" w:line="240" w:lineRule="auto"/>
        <w:ind w:left="720"/>
        <w:rPr>
          <w:rFonts w:ascii="Cambria" w:eastAsia="Cambria" w:hAnsi="Cambria" w:cs="Cambria"/>
          <w:color w:val="000000"/>
        </w:rPr>
      </w:pPr>
    </w:p>
    <w:p w14:paraId="23A06ADD" w14:textId="68C5E186"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En 2022, se reportó 288 muertes maternas, ocurridas hasta los 42 días de culminada la gestación</w:t>
      </w:r>
      <w:r w:rsidR="00FC7C11">
        <w:rPr>
          <w:rStyle w:val="EndnoteReference"/>
          <w:rFonts w:ascii="Cambria" w:eastAsia="Cambria" w:hAnsi="Cambria" w:cs="Cambria"/>
          <w:color w:val="000000"/>
        </w:rPr>
        <w:endnoteReference w:id="63"/>
      </w:r>
      <w:r>
        <w:rPr>
          <w:rFonts w:ascii="Cambria" w:eastAsia="Cambria" w:hAnsi="Cambria" w:cs="Cambria"/>
          <w:color w:val="000000"/>
        </w:rPr>
        <w:t>. Al comparar los resultados de los nacimientos registrados en el Sistema del Certificado del Nacido Vivo en Línea, entre los años 2019 y 2022, los recién naci</w:t>
      </w:r>
      <w:r>
        <w:rPr>
          <w:rFonts w:ascii="Cambria" w:eastAsia="Cambria" w:hAnsi="Cambria" w:cs="Cambria"/>
          <w:color w:val="000000"/>
        </w:rPr>
        <w:t>dos vivos con bajo peso al nacer aumentaron en 53,6% en aquellas madres de 10 a 14 años y 4,3% en el grupo de 15 a 19 años</w:t>
      </w:r>
      <w:r w:rsidR="00FC7C11">
        <w:rPr>
          <w:rStyle w:val="EndnoteReference"/>
          <w:rFonts w:ascii="Cambria" w:eastAsia="Cambria" w:hAnsi="Cambria" w:cs="Cambria"/>
          <w:color w:val="000000"/>
        </w:rPr>
        <w:endnoteReference w:id="64"/>
      </w:r>
      <w:r>
        <w:rPr>
          <w:rFonts w:ascii="Cambria" w:eastAsia="Cambria" w:hAnsi="Cambria" w:cs="Cambria"/>
          <w:color w:val="000000"/>
        </w:rPr>
        <w:t>. Y según condición del parto, en el grupo de nacidos vivos de madres de 10 a 14 años, los partos por cesárea aumentaron en 19,4% en</w:t>
      </w:r>
      <w:r>
        <w:rPr>
          <w:rFonts w:ascii="Cambria" w:eastAsia="Cambria" w:hAnsi="Cambria" w:cs="Cambria"/>
          <w:color w:val="000000"/>
        </w:rPr>
        <w:t xml:space="preserve"> el periodo 2019-2022</w:t>
      </w:r>
      <w:r w:rsidR="00FC7C11">
        <w:rPr>
          <w:rStyle w:val="EndnoteReference"/>
          <w:rFonts w:ascii="Cambria" w:eastAsia="Cambria" w:hAnsi="Cambria" w:cs="Cambria"/>
          <w:color w:val="000000"/>
        </w:rPr>
        <w:endnoteReference w:id="65"/>
      </w:r>
      <w:r>
        <w:rPr>
          <w:rFonts w:ascii="Cambria" w:eastAsia="Cambria" w:hAnsi="Cambria" w:cs="Cambria"/>
          <w:color w:val="000000"/>
        </w:rPr>
        <w:t xml:space="preserve">. </w:t>
      </w:r>
    </w:p>
    <w:p w14:paraId="5C3052B6" w14:textId="77777777" w:rsidR="0041395B" w:rsidRDefault="0041395B" w:rsidP="005668D6">
      <w:pPr>
        <w:pBdr>
          <w:top w:val="nil"/>
          <w:left w:val="nil"/>
          <w:bottom w:val="nil"/>
          <w:right w:val="nil"/>
          <w:between w:val="nil"/>
        </w:pBdr>
        <w:spacing w:after="0" w:line="240" w:lineRule="auto"/>
        <w:ind w:left="720"/>
        <w:rPr>
          <w:rFonts w:ascii="Cambria" w:eastAsia="Cambria" w:hAnsi="Cambria" w:cs="Cambria"/>
          <w:color w:val="000000"/>
        </w:rPr>
      </w:pPr>
    </w:p>
    <w:p w14:paraId="44E1F353" w14:textId="77777777" w:rsidR="0041395B" w:rsidRPr="0020214C"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lang w:val="es-ES"/>
        </w:rPr>
      </w:pPr>
      <w:r w:rsidRPr="0020214C">
        <w:rPr>
          <w:rFonts w:ascii="Cambria" w:eastAsia="Cambria" w:hAnsi="Cambria" w:cs="Cambria"/>
          <w:color w:val="000000"/>
          <w:lang w:val="es-ES"/>
        </w:rPr>
        <w:t>Sumado a esto, se encontró que un factor de riesgo de MM es la realización de un aborto inseguro.  El aborto en el Perú está permitido cuando la vida o salud de la mujer está en riesgo, para los otros casos está penalizado. Aunqu</w:t>
      </w:r>
      <w:r w:rsidRPr="0020214C">
        <w:rPr>
          <w:rFonts w:ascii="Cambria" w:eastAsia="Cambria" w:hAnsi="Cambria" w:cs="Cambria"/>
          <w:color w:val="000000"/>
          <w:lang w:val="es-ES"/>
        </w:rPr>
        <w:t>e la sanción penal es denominada “simbólica”, aun estigmatiza y confina a las mujeres a la ilegalidad y recurrir a abortos clandestinos que implican graves riesgos para su vida y salud y, eventualmente, pueden derivar en la muerte, discapacidad o deterioro</w:t>
      </w:r>
      <w:r w:rsidRPr="0020214C">
        <w:rPr>
          <w:rFonts w:ascii="Cambria" w:eastAsia="Cambria" w:hAnsi="Cambria" w:cs="Cambria"/>
          <w:color w:val="000000"/>
          <w:lang w:val="es-ES"/>
        </w:rPr>
        <w:t xml:space="preserve"> de la salud física y mental con lesiones autoinfligidas, particularmente cuando el origen del embarazo es el abuso sexual y condenan a las niñas y adolescentes a un embarazo forzado.</w:t>
      </w:r>
    </w:p>
    <w:p w14:paraId="2B407D83" w14:textId="77777777" w:rsidR="0041395B" w:rsidRPr="0020214C" w:rsidRDefault="0041395B" w:rsidP="005668D6">
      <w:pPr>
        <w:pBdr>
          <w:top w:val="nil"/>
          <w:left w:val="nil"/>
          <w:bottom w:val="nil"/>
          <w:right w:val="nil"/>
          <w:between w:val="nil"/>
        </w:pBdr>
        <w:spacing w:after="0" w:line="240" w:lineRule="auto"/>
        <w:ind w:left="720"/>
        <w:rPr>
          <w:rFonts w:ascii="Cambria" w:eastAsia="Cambria" w:hAnsi="Cambria" w:cs="Cambria"/>
          <w:color w:val="000000"/>
          <w:lang w:val="es-ES"/>
        </w:rPr>
      </w:pPr>
    </w:p>
    <w:p w14:paraId="641BD391" w14:textId="0B89E34B"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sidRPr="0020214C">
        <w:rPr>
          <w:rFonts w:ascii="Cambria" w:eastAsia="Cambria" w:hAnsi="Cambria" w:cs="Cambria"/>
          <w:color w:val="000000"/>
          <w:lang w:val="es-ES"/>
        </w:rPr>
        <w:t>Recordemos que la maternidad precoz es un factor de riesgo para la salu</w:t>
      </w:r>
      <w:r w:rsidRPr="0020214C">
        <w:rPr>
          <w:rFonts w:ascii="Cambria" w:eastAsia="Cambria" w:hAnsi="Cambria" w:cs="Cambria"/>
          <w:color w:val="000000"/>
          <w:lang w:val="es-ES"/>
        </w:rPr>
        <w:t xml:space="preserve">d de las niñas adolescentes, no sólo en cuanto el aborto figura entre las cinco causas principales de muerte entre las adolescentes de 15 y 19 años, sino también debido </w:t>
      </w:r>
      <w:r w:rsidRPr="0020214C">
        <w:rPr>
          <w:rFonts w:ascii="Cambria" w:eastAsia="Cambria" w:hAnsi="Cambria" w:cs="Cambria"/>
          <w:color w:val="000000"/>
          <w:lang w:val="es-ES"/>
        </w:rPr>
        <w:lastRenderedPageBreak/>
        <w:t>al alza de suicidios en adolescentes embarazadas</w:t>
      </w:r>
      <w:r w:rsidR="00FC7C11">
        <w:rPr>
          <w:rStyle w:val="EndnoteReference"/>
          <w:rFonts w:ascii="Cambria" w:eastAsia="Cambria" w:hAnsi="Cambria" w:cs="Cambria"/>
          <w:color w:val="000000"/>
        </w:rPr>
        <w:endnoteReference w:id="66"/>
      </w:r>
      <w:r w:rsidRPr="0020214C">
        <w:rPr>
          <w:rFonts w:ascii="Cambria" w:eastAsia="Cambria" w:hAnsi="Cambria" w:cs="Cambria"/>
          <w:color w:val="000000"/>
          <w:lang w:val="es-ES"/>
        </w:rPr>
        <w:t>. Al respecto, el Sistema Nacional de</w:t>
      </w:r>
      <w:r w:rsidRPr="0020214C">
        <w:rPr>
          <w:rFonts w:ascii="Cambria" w:eastAsia="Cambria" w:hAnsi="Cambria" w:cs="Cambria"/>
          <w:color w:val="000000"/>
          <w:lang w:val="es-ES"/>
        </w:rPr>
        <w:t xml:space="preserve"> Defunciones (SINADEF), en 2022 registró 686 casos de suicidios, el 37% de estos casos involucraron a adolescentes y jóvenes</w:t>
      </w:r>
      <w:r w:rsidR="00FC7C11">
        <w:rPr>
          <w:rStyle w:val="EndnoteReference"/>
          <w:rFonts w:ascii="Cambria" w:eastAsia="Cambria" w:hAnsi="Cambria" w:cs="Cambria"/>
          <w:color w:val="000000"/>
        </w:rPr>
        <w:endnoteReference w:id="67"/>
      </w:r>
      <w:r w:rsidRPr="0020214C">
        <w:rPr>
          <w:rFonts w:ascii="Cambria" w:eastAsia="Cambria" w:hAnsi="Cambria" w:cs="Cambria"/>
          <w:color w:val="000000"/>
          <w:lang w:val="es-ES"/>
        </w:rPr>
        <w:t xml:space="preserve">. </w:t>
      </w:r>
      <w:r>
        <w:rPr>
          <w:rFonts w:ascii="Cambria" w:eastAsia="Cambria" w:hAnsi="Cambria" w:cs="Cambria"/>
          <w:color w:val="000000"/>
        </w:rPr>
        <w:t xml:space="preserve">No hay data cuántos de esos suicidios corresponden a migrantes. </w:t>
      </w:r>
    </w:p>
    <w:p w14:paraId="786B0940" w14:textId="77777777" w:rsidR="0081144D" w:rsidRDefault="0081144D" w:rsidP="0081144D">
      <w:pPr>
        <w:pBdr>
          <w:top w:val="nil"/>
          <w:left w:val="nil"/>
          <w:bottom w:val="nil"/>
          <w:right w:val="nil"/>
          <w:between w:val="nil"/>
        </w:pBdr>
        <w:spacing w:after="0" w:line="240" w:lineRule="auto"/>
        <w:jc w:val="both"/>
        <w:rPr>
          <w:rFonts w:ascii="Cambria" w:eastAsia="Cambria" w:hAnsi="Cambria" w:cs="Cambria"/>
          <w:color w:val="000000"/>
        </w:rPr>
      </w:pPr>
    </w:p>
    <w:p w14:paraId="1A905EBC" w14:textId="77777777" w:rsidR="0041395B" w:rsidRDefault="0020214C" w:rsidP="005668D6">
      <w:pPr>
        <w:pStyle w:val="Heading1"/>
        <w:numPr>
          <w:ilvl w:val="0"/>
          <w:numId w:val="4"/>
        </w:numPr>
        <w:spacing w:before="0" w:after="0" w:line="240" w:lineRule="auto"/>
        <w:jc w:val="both"/>
        <w:rPr>
          <w:rFonts w:ascii="Cambria" w:eastAsia="Cambria" w:hAnsi="Cambria" w:cs="Cambria"/>
          <w:b/>
          <w:color w:val="000000"/>
          <w:sz w:val="22"/>
          <w:szCs w:val="22"/>
        </w:rPr>
      </w:pPr>
      <w:r>
        <w:rPr>
          <w:rFonts w:ascii="Cambria" w:eastAsia="Cambria" w:hAnsi="Cambria" w:cs="Cambria"/>
          <w:b/>
          <w:color w:val="000000"/>
          <w:sz w:val="22"/>
          <w:szCs w:val="22"/>
        </w:rPr>
        <w:t xml:space="preserve">Barreras persistentes en el acceso al aborto </w:t>
      </w:r>
      <w:r>
        <w:rPr>
          <w:rFonts w:ascii="Cambria" w:eastAsia="Cambria" w:hAnsi="Cambria" w:cs="Cambria"/>
          <w:b/>
          <w:color w:val="000000"/>
          <w:sz w:val="22"/>
          <w:szCs w:val="22"/>
        </w:rPr>
        <w:t>terapéutico</w:t>
      </w:r>
    </w:p>
    <w:p w14:paraId="0DF399DA" w14:textId="77777777" w:rsidR="0081144D" w:rsidRPr="0081144D" w:rsidRDefault="0081144D" w:rsidP="0081144D">
      <w:pPr>
        <w:rPr>
          <w:sz w:val="2"/>
          <w:szCs w:val="2"/>
        </w:rPr>
      </w:pPr>
    </w:p>
    <w:p w14:paraId="2F8F0BD8" w14:textId="75015E1D" w:rsidR="0041395B" w:rsidRPr="0020214C" w:rsidRDefault="0020214C" w:rsidP="005668D6">
      <w:pPr>
        <w:numPr>
          <w:ilvl w:val="0"/>
          <w:numId w:val="2"/>
        </w:numPr>
        <w:tabs>
          <w:tab w:val="left" w:pos="2127"/>
        </w:tabs>
        <w:spacing w:after="0" w:line="240" w:lineRule="auto"/>
        <w:jc w:val="both"/>
        <w:rPr>
          <w:rFonts w:ascii="Cambria" w:eastAsia="Cambria" w:hAnsi="Cambria" w:cs="Cambria"/>
          <w:color w:val="000000"/>
          <w:lang w:val="es-ES"/>
        </w:rPr>
      </w:pPr>
      <w:r w:rsidRPr="0020214C">
        <w:rPr>
          <w:rFonts w:ascii="Cambria" w:eastAsia="Cambria" w:hAnsi="Cambria" w:cs="Cambria"/>
          <w:color w:val="000000"/>
          <w:lang w:val="es-ES"/>
        </w:rPr>
        <w:t>El aborto en el Perú está permitido únicamente cuando la vida o salud de la mujer está en riesgo grave y permanente</w:t>
      </w:r>
      <w:r w:rsidR="00FC7C11">
        <w:rPr>
          <w:rStyle w:val="EndnoteReference"/>
          <w:rFonts w:ascii="Cambria" w:eastAsia="Cambria" w:hAnsi="Cambria" w:cs="Cambria"/>
          <w:color w:val="000000"/>
        </w:rPr>
        <w:endnoteReference w:id="68"/>
      </w:r>
      <w:r w:rsidRPr="0020214C">
        <w:rPr>
          <w:rFonts w:ascii="Cambria" w:eastAsia="Cambria" w:hAnsi="Cambria" w:cs="Cambria"/>
          <w:color w:val="000000"/>
          <w:lang w:val="es-ES"/>
        </w:rPr>
        <w:t xml:space="preserve">, para los casos de malformaciones congénitas y violación sexual está penalizado; aunque la sanción penal es </w:t>
      </w:r>
      <w:r w:rsidRPr="0020214C">
        <w:rPr>
          <w:rFonts w:ascii="Cambria" w:eastAsia="Cambria" w:hAnsi="Cambria" w:cs="Cambria"/>
          <w:color w:val="000000"/>
          <w:lang w:val="es-ES"/>
        </w:rPr>
        <w:t>denominada “simbólica”, aun estigmatiza y confina a las mujeres a la ilegalidad y recurrir a abortos clandestinos que implican graves riesgos para su vida y salud, creando una barrera de acceso al aborto legal.</w:t>
      </w:r>
    </w:p>
    <w:p w14:paraId="1DC62421" w14:textId="77777777" w:rsidR="0041395B" w:rsidRPr="0020214C" w:rsidRDefault="0041395B" w:rsidP="005668D6">
      <w:pPr>
        <w:tabs>
          <w:tab w:val="left" w:pos="2127"/>
        </w:tabs>
        <w:spacing w:after="0" w:line="240" w:lineRule="auto"/>
        <w:ind w:left="720"/>
        <w:jc w:val="both"/>
        <w:rPr>
          <w:rFonts w:ascii="Cambria" w:eastAsia="Cambria" w:hAnsi="Cambria" w:cs="Cambria"/>
          <w:color w:val="000000"/>
          <w:lang w:val="es-ES"/>
        </w:rPr>
      </w:pPr>
    </w:p>
    <w:p w14:paraId="5564C47A" w14:textId="7AFB844F" w:rsidR="0041395B" w:rsidRDefault="0020214C" w:rsidP="005668D6">
      <w:pPr>
        <w:numPr>
          <w:ilvl w:val="0"/>
          <w:numId w:val="2"/>
        </w:numP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 xml:space="preserve">Luego de las decisiones del caso </w:t>
      </w:r>
      <w:r>
        <w:rPr>
          <w:rFonts w:ascii="Cambria" w:eastAsia="Cambria" w:hAnsi="Cambria" w:cs="Cambria"/>
          <w:i/>
          <w:color w:val="000000"/>
        </w:rPr>
        <w:t>K.L c. Perú</w:t>
      </w:r>
      <w:r w:rsidR="00FC7C11">
        <w:rPr>
          <w:rStyle w:val="EndnoteReference"/>
          <w:rFonts w:ascii="Cambria" w:eastAsia="Cambria" w:hAnsi="Cambria" w:cs="Cambria"/>
          <w:i/>
          <w:color w:val="000000"/>
        </w:rPr>
        <w:endnoteReference w:id="69"/>
      </w:r>
      <w:r>
        <w:rPr>
          <w:rFonts w:ascii="Cambria" w:eastAsia="Cambria" w:hAnsi="Cambria" w:cs="Cambria"/>
          <w:color w:val="000000"/>
        </w:rPr>
        <w:t xml:space="preserve"> y el caso </w:t>
      </w:r>
      <w:r>
        <w:rPr>
          <w:rFonts w:ascii="Cambria" w:eastAsia="Cambria" w:hAnsi="Cambria" w:cs="Cambria"/>
          <w:i/>
          <w:color w:val="000000"/>
        </w:rPr>
        <w:t>L.C c. Perú</w:t>
      </w:r>
      <w:r>
        <w:rPr>
          <w:rFonts w:ascii="Cambria" w:eastAsia="Cambria" w:hAnsi="Cambria" w:cs="Cambria"/>
          <w:color w:val="000000"/>
        </w:rPr>
        <w:t xml:space="preserve"> (2011), en 2014 finalmente Perú promulgó la “</w:t>
      </w:r>
      <w:r>
        <w:rPr>
          <w:rFonts w:ascii="Cambria" w:eastAsia="Cambria" w:hAnsi="Cambria" w:cs="Cambria"/>
          <w:i/>
          <w:color w:val="000000"/>
        </w:rPr>
        <w:t>Guía Técnica Nacional para la Estandarización del Procedimiento de la Atención Integral de la Gestante en la Interrupción Voluntaria por Indicación Terapéutica del embarazo menor de 22 s</w:t>
      </w:r>
      <w:r>
        <w:rPr>
          <w:rFonts w:ascii="Cambria" w:eastAsia="Cambria" w:hAnsi="Cambria" w:cs="Cambria"/>
          <w:i/>
          <w:color w:val="000000"/>
        </w:rPr>
        <w:t>emanas con consentimiento informado en el marco de lo dispuesto en el artículo 119 del Código Penal</w:t>
      </w:r>
      <w:r>
        <w:rPr>
          <w:rFonts w:ascii="Cambria" w:eastAsia="Cambria" w:hAnsi="Cambria" w:cs="Cambria"/>
          <w:color w:val="000000"/>
        </w:rPr>
        <w:t>” (en adelante, la “</w:t>
      </w:r>
      <w:r>
        <w:rPr>
          <w:rFonts w:ascii="Cambria" w:eastAsia="Cambria" w:hAnsi="Cambria" w:cs="Cambria"/>
          <w:i/>
          <w:color w:val="000000"/>
        </w:rPr>
        <w:t>Guía Técnica” o “Guía”</w:t>
      </w:r>
      <w:r>
        <w:rPr>
          <w:rFonts w:ascii="Cambria" w:eastAsia="Cambria" w:hAnsi="Cambria" w:cs="Cambria"/>
          <w:color w:val="000000"/>
        </w:rPr>
        <w:t>)</w:t>
      </w:r>
      <w:r w:rsidR="00FC7C11">
        <w:rPr>
          <w:rStyle w:val="EndnoteReference"/>
          <w:rFonts w:ascii="Cambria" w:eastAsia="Cambria" w:hAnsi="Cambria" w:cs="Cambria"/>
          <w:color w:val="000000"/>
        </w:rPr>
        <w:endnoteReference w:id="70"/>
      </w:r>
      <w:r>
        <w:rPr>
          <w:rFonts w:ascii="Cambria" w:eastAsia="Cambria" w:hAnsi="Cambria" w:cs="Cambria"/>
          <w:color w:val="000000"/>
        </w:rPr>
        <w:t>. Sin embargo, la Guía presenta deficiencias, entre ellas destacamos:</w:t>
      </w:r>
    </w:p>
    <w:p w14:paraId="15D268E5" w14:textId="77777777" w:rsidR="0041395B" w:rsidRDefault="0041395B" w:rsidP="005668D6">
      <w:pPr>
        <w:pBdr>
          <w:top w:val="nil"/>
          <w:left w:val="nil"/>
          <w:bottom w:val="nil"/>
          <w:right w:val="nil"/>
          <w:between w:val="nil"/>
        </w:pBdr>
        <w:spacing w:after="0" w:line="240" w:lineRule="auto"/>
        <w:ind w:left="720"/>
        <w:jc w:val="both"/>
        <w:rPr>
          <w:rFonts w:ascii="Cambria" w:eastAsia="Cambria" w:hAnsi="Cambria" w:cs="Cambria"/>
          <w:color w:val="000000"/>
        </w:rPr>
      </w:pPr>
    </w:p>
    <w:p w14:paraId="440ED43C" w14:textId="77777777" w:rsidR="0041395B" w:rsidRDefault="0020214C" w:rsidP="005668D6">
      <w:pPr>
        <w:numPr>
          <w:ilvl w:val="0"/>
          <w:numId w:val="7"/>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 xml:space="preserve">El límite de 22 semanas de </w:t>
      </w:r>
      <w:r>
        <w:rPr>
          <w:rFonts w:ascii="Cambria" w:eastAsia="Cambria" w:hAnsi="Cambria" w:cs="Cambria"/>
          <w:color w:val="000000"/>
        </w:rPr>
        <w:t xml:space="preserve">gestación está incluido en la Guía Técnica, aun cuando el artículo 119 del Código Penal no establece dicho límite temporal. </w:t>
      </w:r>
    </w:p>
    <w:p w14:paraId="07F0E0BC" w14:textId="77777777" w:rsidR="0041395B" w:rsidRDefault="0020214C" w:rsidP="005668D6">
      <w:pPr>
        <w:numPr>
          <w:ilvl w:val="0"/>
          <w:numId w:val="7"/>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La implementación de la Guía Técnica se da bajo una interpretación restrictiva del aborto terapéutico, pues efectivamente no se bri</w:t>
      </w:r>
      <w:r>
        <w:rPr>
          <w:rFonts w:ascii="Cambria" w:eastAsia="Cambria" w:hAnsi="Cambria" w:cs="Cambria"/>
          <w:color w:val="000000"/>
        </w:rPr>
        <w:t xml:space="preserve">nda atención a las posibles afectaciones graves a la salud, tales como la salud mental. </w:t>
      </w:r>
    </w:p>
    <w:p w14:paraId="3EEA4518" w14:textId="77777777" w:rsidR="0041395B" w:rsidRDefault="0020214C" w:rsidP="005668D6">
      <w:pPr>
        <w:numPr>
          <w:ilvl w:val="0"/>
          <w:numId w:val="7"/>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La Guía no contempla el caso específico de las niñas y adolescentes que cursan embarazos en riesgo, ni tiene consideraciones específicas para la atención de casos de e</w:t>
      </w:r>
      <w:r>
        <w:rPr>
          <w:rFonts w:ascii="Cambria" w:eastAsia="Cambria" w:hAnsi="Cambria" w:cs="Cambria"/>
          <w:color w:val="000000"/>
        </w:rPr>
        <w:t xml:space="preserve">mbarazos de riesgo producto de violencia sexual. </w:t>
      </w:r>
    </w:p>
    <w:p w14:paraId="3C69776C" w14:textId="59433C91" w:rsidR="0041395B" w:rsidRDefault="0020214C" w:rsidP="005668D6">
      <w:pPr>
        <w:numPr>
          <w:ilvl w:val="0"/>
          <w:numId w:val="7"/>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La Guía Técnica no cuenta con recursos para impugnar decisiones negativas sobre la procedencia de la interrupción voluntaria del embarazo, ni recursos frente a las vulneraciones del procedimiento estandariz</w:t>
      </w:r>
      <w:r>
        <w:rPr>
          <w:rFonts w:ascii="Cambria" w:eastAsia="Cambria" w:hAnsi="Cambria" w:cs="Cambria"/>
          <w:color w:val="000000"/>
        </w:rPr>
        <w:t>ado</w:t>
      </w:r>
      <w:r w:rsidR="00502D6C">
        <w:rPr>
          <w:rFonts w:ascii="Cambria" w:eastAsia="Cambria" w:hAnsi="Cambria" w:cs="Cambria"/>
          <w:color w:val="000000"/>
        </w:rPr>
        <w:t>.</w:t>
      </w:r>
    </w:p>
    <w:p w14:paraId="35172B93" w14:textId="77777777" w:rsidR="0041395B" w:rsidRDefault="0041395B" w:rsidP="005668D6">
      <w:pPr>
        <w:pBdr>
          <w:top w:val="nil"/>
          <w:left w:val="nil"/>
          <w:bottom w:val="nil"/>
          <w:right w:val="nil"/>
          <w:between w:val="nil"/>
        </w:pBdr>
        <w:spacing w:after="0" w:line="240" w:lineRule="auto"/>
        <w:ind w:left="1080"/>
        <w:jc w:val="both"/>
        <w:rPr>
          <w:rFonts w:ascii="Cambria" w:eastAsia="Cambria" w:hAnsi="Cambria" w:cs="Cambria"/>
          <w:color w:val="000000"/>
        </w:rPr>
      </w:pPr>
    </w:p>
    <w:p w14:paraId="54EF68DD" w14:textId="68529F38"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i/>
          <w:color w:val="000000"/>
        </w:rPr>
      </w:pPr>
      <w:r>
        <w:rPr>
          <w:rFonts w:ascii="Cambria" w:eastAsia="Cambria" w:hAnsi="Cambria" w:cs="Cambria"/>
          <w:color w:val="000000"/>
        </w:rPr>
        <w:t>Justamente, ante esta carencia de un recurso efectivo para acceder al aborto terapéutico, el Comité de los Derechos del Niño (CDN) condenó al Estado peruano por las vulneraciones de los derechos de Camila</w:t>
      </w:r>
      <w:r w:rsidR="00FC7C11">
        <w:rPr>
          <w:rStyle w:val="EndnoteReference"/>
          <w:rFonts w:ascii="Cambria" w:eastAsia="Cambria" w:hAnsi="Cambria" w:cs="Cambria"/>
          <w:color w:val="000000"/>
        </w:rPr>
        <w:endnoteReference w:id="71"/>
      </w:r>
      <w:r>
        <w:rPr>
          <w:rFonts w:ascii="Cambria" w:eastAsia="Cambria" w:hAnsi="Cambria" w:cs="Cambria"/>
          <w:color w:val="000000"/>
        </w:rPr>
        <w:t xml:space="preserve">. En el dictamen dispuso una serie de </w:t>
      </w:r>
      <w:r>
        <w:rPr>
          <w:rFonts w:ascii="Cambria" w:eastAsia="Cambria" w:hAnsi="Cambria" w:cs="Cambria"/>
          <w:color w:val="000000"/>
        </w:rPr>
        <w:t>reparaciones</w:t>
      </w:r>
      <w:r w:rsidR="00FC7C11">
        <w:rPr>
          <w:rStyle w:val="EndnoteReference"/>
          <w:rFonts w:ascii="Cambria" w:eastAsia="Cambria" w:hAnsi="Cambria" w:cs="Cambria"/>
          <w:color w:val="000000"/>
        </w:rPr>
        <w:endnoteReference w:id="72"/>
      </w:r>
      <w:r>
        <w:rPr>
          <w:rFonts w:ascii="Cambria" w:eastAsia="Cambria" w:hAnsi="Cambria" w:cs="Cambria"/>
          <w:color w:val="000000"/>
        </w:rPr>
        <w:t>, entre ellas, resaltamos: “[…]b) asegurar el acceso a servicios de aborto seguro y cuidados postaborto para las niñas gestantes, en particular en los casos de riesgo a la vida y salud de la madre, violación o incesto; c) modificar la normati</w:t>
      </w:r>
      <w:r>
        <w:rPr>
          <w:rFonts w:ascii="Cambria" w:eastAsia="Cambria" w:hAnsi="Cambria" w:cs="Cambria"/>
          <w:color w:val="000000"/>
        </w:rPr>
        <w:t>va reguladora del acceso al aborto terapéutico [Guía Técnica] para prever su aplicación específica en las niñas y asegurar, en particular, la debida consideración al especial riesgo para la salud y la vida que entraña el embarazo infantil; d) establecer un</w:t>
      </w:r>
      <w:r>
        <w:rPr>
          <w:rFonts w:ascii="Cambria" w:eastAsia="Cambria" w:hAnsi="Cambria" w:cs="Cambria"/>
          <w:color w:val="000000"/>
        </w:rPr>
        <w:t xml:space="preserve"> recurso claro y expedito en caso de incumplimiento del procedimiento de la Guía Técnica relativo al acceso a la interrupción voluntaria del embarazo, y asegurar la rendición de cuentas por dicho incumplimiento [...]”. Es lamentable que a </w:t>
      </w:r>
      <w:r w:rsidR="002C68DF">
        <w:rPr>
          <w:rFonts w:ascii="Cambria" w:eastAsia="Cambria" w:hAnsi="Cambria" w:cs="Cambria"/>
          <w:color w:val="000000"/>
        </w:rPr>
        <w:t>más de un año</w:t>
      </w:r>
      <w:r>
        <w:rPr>
          <w:rFonts w:ascii="Cambria" w:eastAsia="Cambria" w:hAnsi="Cambria" w:cs="Cambria"/>
          <w:color w:val="000000"/>
        </w:rPr>
        <w:t xml:space="preserve"> de </w:t>
      </w:r>
      <w:r>
        <w:rPr>
          <w:rFonts w:ascii="Cambria" w:eastAsia="Cambria" w:hAnsi="Cambria" w:cs="Cambria"/>
          <w:color w:val="000000"/>
        </w:rPr>
        <w:t xml:space="preserve">haberse emitido el Dictamen del caso Camila, el Estado </w:t>
      </w:r>
      <w:r w:rsidR="002C68DF">
        <w:rPr>
          <w:rFonts w:ascii="Cambria" w:eastAsia="Cambria" w:hAnsi="Cambria" w:cs="Cambria"/>
          <w:color w:val="000000"/>
        </w:rPr>
        <w:t>solo haya cumplido con publicar el Dictamen traducido en Quechua. Es decir, tiene pendiente implementar de forma efectiva las demás medidas establecidas por el CDN</w:t>
      </w:r>
      <w:r w:rsidR="00FC7C11">
        <w:rPr>
          <w:rStyle w:val="EndnoteReference"/>
          <w:rFonts w:ascii="Cambria" w:eastAsia="Cambria" w:hAnsi="Cambria" w:cs="Cambria"/>
          <w:color w:val="000000"/>
        </w:rPr>
        <w:endnoteReference w:id="73"/>
      </w:r>
      <w:r>
        <w:rPr>
          <w:rFonts w:ascii="Cambria" w:eastAsia="Cambria" w:hAnsi="Cambria" w:cs="Cambria"/>
          <w:color w:val="000000"/>
        </w:rPr>
        <w:t xml:space="preserve"> para evitar situaciones como lo aco</w:t>
      </w:r>
      <w:r>
        <w:rPr>
          <w:rFonts w:ascii="Cambria" w:eastAsia="Cambria" w:hAnsi="Cambria" w:cs="Cambria"/>
          <w:color w:val="000000"/>
        </w:rPr>
        <w:t xml:space="preserve">ntecido con Mila </w:t>
      </w:r>
      <w:r>
        <w:rPr>
          <w:rFonts w:ascii="Cambria" w:eastAsia="Cambria" w:hAnsi="Cambria" w:cs="Cambria"/>
          <w:i/>
          <w:color w:val="000000"/>
        </w:rPr>
        <w:t>(ver el párrafo 3</w:t>
      </w:r>
      <w:r w:rsidR="00A07270">
        <w:rPr>
          <w:rFonts w:ascii="Cambria" w:eastAsia="Cambria" w:hAnsi="Cambria" w:cs="Cambria"/>
          <w:i/>
          <w:color w:val="000000"/>
        </w:rPr>
        <w:t>6</w:t>
      </w:r>
      <w:r>
        <w:rPr>
          <w:rFonts w:ascii="Cambria" w:eastAsia="Cambria" w:hAnsi="Cambria" w:cs="Cambria"/>
          <w:i/>
          <w:color w:val="000000"/>
        </w:rPr>
        <w:t>).</w:t>
      </w:r>
    </w:p>
    <w:p w14:paraId="7F96C48B" w14:textId="77777777" w:rsidR="0041395B" w:rsidRDefault="0041395B" w:rsidP="005668D6">
      <w:pPr>
        <w:pBdr>
          <w:top w:val="nil"/>
          <w:left w:val="nil"/>
          <w:bottom w:val="nil"/>
          <w:right w:val="nil"/>
          <w:between w:val="nil"/>
        </w:pBdr>
        <w:spacing w:after="0" w:line="240" w:lineRule="auto"/>
        <w:ind w:left="720"/>
        <w:jc w:val="both"/>
        <w:rPr>
          <w:rFonts w:ascii="Cambria" w:eastAsia="Cambria" w:hAnsi="Cambria" w:cs="Cambria"/>
          <w:i/>
          <w:color w:val="000000"/>
        </w:rPr>
      </w:pPr>
    </w:p>
    <w:p w14:paraId="6351F24C" w14:textId="26073630" w:rsidR="004846FD" w:rsidRDefault="0020214C" w:rsidP="004846FD">
      <w:pPr>
        <w:widowControl/>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sidRPr="0020214C">
        <w:rPr>
          <w:rFonts w:ascii="Cambria" w:eastAsia="Cambria" w:hAnsi="Cambria" w:cs="Cambria"/>
          <w:color w:val="000000"/>
          <w:lang w:val="es-ES"/>
        </w:rPr>
        <w:t xml:space="preserve">A esto se suma que a la fecha no existe un registro oficial accesible y </w:t>
      </w:r>
      <w:r w:rsidRPr="0020214C">
        <w:rPr>
          <w:rFonts w:ascii="Cambria" w:eastAsia="Cambria" w:hAnsi="Cambria" w:cs="Cambria"/>
          <w:i/>
          <w:color w:val="000000"/>
          <w:lang w:val="es-ES"/>
        </w:rPr>
        <w:t>actualizado</w:t>
      </w:r>
      <w:r w:rsidRPr="0020214C">
        <w:rPr>
          <w:rFonts w:ascii="Cambria" w:eastAsia="Cambria" w:hAnsi="Cambria" w:cs="Cambria"/>
          <w:color w:val="000000"/>
          <w:lang w:val="es-ES"/>
        </w:rPr>
        <w:t xml:space="preserve"> y menos a</w:t>
      </w:r>
      <w:r w:rsidRPr="0020214C">
        <w:rPr>
          <w:rFonts w:ascii="Cambria" w:eastAsia="Cambria" w:hAnsi="Cambria" w:cs="Cambria"/>
          <w:lang w:val="es-ES"/>
        </w:rPr>
        <w:t>ú</w:t>
      </w:r>
      <w:r w:rsidRPr="0020214C">
        <w:rPr>
          <w:rFonts w:ascii="Cambria" w:eastAsia="Cambria" w:hAnsi="Cambria" w:cs="Cambria"/>
          <w:color w:val="000000"/>
          <w:lang w:val="es-ES"/>
        </w:rPr>
        <w:t>n desagregado por variables como nacionalidad y situación migratoria, lo que impide conocer cuántas mujeres migrantes acced</w:t>
      </w:r>
      <w:r w:rsidRPr="0020214C">
        <w:rPr>
          <w:rFonts w:ascii="Cambria" w:eastAsia="Cambria" w:hAnsi="Cambria" w:cs="Cambria"/>
          <w:color w:val="000000"/>
          <w:lang w:val="es-ES"/>
        </w:rPr>
        <w:t xml:space="preserve">ieron o se les negó el acceso a </w:t>
      </w:r>
      <w:r w:rsidRPr="0020214C">
        <w:rPr>
          <w:rFonts w:ascii="Cambria" w:eastAsia="Cambria" w:hAnsi="Cambria" w:cs="Cambria"/>
          <w:color w:val="000000"/>
          <w:lang w:val="es-ES"/>
        </w:rPr>
        <w:lastRenderedPageBreak/>
        <w:t xml:space="preserve">este servicio. </w:t>
      </w:r>
      <w:r>
        <w:rPr>
          <w:rFonts w:ascii="Cambria" w:eastAsia="Cambria" w:hAnsi="Cambria" w:cs="Cambria"/>
          <w:color w:val="000000"/>
        </w:rPr>
        <w:t>Según datos oficiales del Minsa, entre 2018 y 2020, 226 mujeres que accedieron a una interrupción del embarazo por indicación terapéutica, de los cuales 17 fueron practicados a mujeres menores de 20 años</w:t>
      </w:r>
      <w:r w:rsidR="00FC7C11">
        <w:rPr>
          <w:rStyle w:val="EndnoteReference"/>
          <w:rFonts w:ascii="Cambria" w:eastAsia="Cambria" w:hAnsi="Cambria" w:cs="Cambria"/>
          <w:color w:val="000000"/>
        </w:rPr>
        <w:endnoteReference w:id="74"/>
      </w:r>
      <w:r>
        <w:rPr>
          <w:rFonts w:ascii="Cambria" w:eastAsia="Cambria" w:hAnsi="Cambria" w:cs="Cambria"/>
          <w:color w:val="000000"/>
        </w:rPr>
        <w:t>. Ad</w:t>
      </w:r>
      <w:r>
        <w:rPr>
          <w:rFonts w:ascii="Cambria" w:eastAsia="Cambria" w:hAnsi="Cambria" w:cs="Cambria"/>
          <w:color w:val="000000"/>
        </w:rPr>
        <w:t>emás, según el Ministerio de Salud en respuesta a una solicitud de acceso a la información pública, en “2020 se atendieron 27 mil 848 abortos, de ellos cinco fueron a niñas de 0 a 11 años”</w:t>
      </w:r>
      <w:r w:rsidR="00FC7C11">
        <w:rPr>
          <w:rStyle w:val="EndnoteReference"/>
          <w:rFonts w:ascii="Cambria" w:eastAsia="Cambria" w:hAnsi="Cambria" w:cs="Cambria"/>
          <w:color w:val="000000"/>
        </w:rPr>
        <w:endnoteReference w:id="75"/>
      </w:r>
      <w:r>
        <w:rPr>
          <w:rFonts w:ascii="Cambria" w:eastAsia="Cambria" w:hAnsi="Cambria" w:cs="Cambria"/>
          <w:color w:val="000000"/>
        </w:rPr>
        <w:t xml:space="preserve">. </w:t>
      </w:r>
    </w:p>
    <w:p w14:paraId="2E90D187" w14:textId="77777777" w:rsidR="002B7A58" w:rsidRPr="004846FD" w:rsidRDefault="002B7A58" w:rsidP="002B7A58">
      <w:pPr>
        <w:widowControl/>
        <w:pBdr>
          <w:top w:val="nil"/>
          <w:left w:val="nil"/>
          <w:bottom w:val="nil"/>
          <w:right w:val="nil"/>
          <w:between w:val="nil"/>
        </w:pBdr>
        <w:spacing w:after="0" w:line="240" w:lineRule="auto"/>
        <w:jc w:val="both"/>
        <w:rPr>
          <w:rFonts w:ascii="Cambria" w:eastAsia="Cambria" w:hAnsi="Cambria" w:cs="Cambria"/>
          <w:color w:val="000000"/>
        </w:rPr>
      </w:pPr>
    </w:p>
    <w:p w14:paraId="55FEF5AA" w14:textId="31FFC9DE" w:rsidR="0041395B" w:rsidRPr="004846FD" w:rsidRDefault="0020214C" w:rsidP="004846FD">
      <w:pPr>
        <w:widowControl/>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sidRPr="004846FD">
        <w:rPr>
          <w:rFonts w:ascii="Cambria" w:eastAsia="Cambria" w:hAnsi="Cambria" w:cs="Cambria"/>
          <w:color w:val="000000"/>
        </w:rPr>
        <w:t xml:space="preserve">Ninguno de estos fue registrado como un aborto </w:t>
      </w:r>
      <w:r w:rsidRPr="004846FD">
        <w:rPr>
          <w:rFonts w:ascii="Cambria" w:eastAsia="Cambria" w:hAnsi="Cambria" w:cs="Cambria"/>
          <w:color w:val="000000"/>
        </w:rPr>
        <w:t xml:space="preserve">terapéutico, sino como abortos espontáneos o no especificados. </w:t>
      </w:r>
      <w:r w:rsidR="002C68DF" w:rsidRPr="004846FD">
        <w:rPr>
          <w:rFonts w:ascii="Cambria" w:eastAsia="Cambria" w:hAnsi="Cambria" w:cs="Cambria"/>
          <w:color w:val="000000"/>
        </w:rPr>
        <w:t xml:space="preserve">Asimismo, según un estudio exploratorio concluyó que de los 3 846 casos de aborto terapéutico reportados a nivel nacional para al periodo 2014-2023, en 3347 se certifica la práctica del aborto terapéutico. Además, señala que no se observa una tendencia general clara en el </w:t>
      </w:r>
      <w:r w:rsidR="004846FD" w:rsidRPr="004846FD">
        <w:rPr>
          <w:rFonts w:ascii="Cambria" w:eastAsia="Cambria" w:hAnsi="Cambria" w:cs="Cambria"/>
          <w:color w:val="000000"/>
        </w:rPr>
        <w:t xml:space="preserve">índice </w:t>
      </w:r>
      <w:r w:rsidR="002C68DF" w:rsidRPr="004846FD">
        <w:rPr>
          <w:rFonts w:ascii="Cambria" w:eastAsia="Cambria" w:hAnsi="Cambria" w:cs="Cambria"/>
          <w:color w:val="000000"/>
        </w:rPr>
        <w:t xml:space="preserve">de casos </w:t>
      </w:r>
      <w:r w:rsidR="004846FD" w:rsidRPr="004846FD">
        <w:rPr>
          <w:rFonts w:ascii="Cambria" w:eastAsia="Cambria" w:hAnsi="Cambria" w:cs="Cambria"/>
          <w:color w:val="000000"/>
        </w:rPr>
        <w:t xml:space="preserve">de aborto terapeútico </w:t>
      </w:r>
      <w:r w:rsidR="002C68DF" w:rsidRPr="004846FD">
        <w:rPr>
          <w:rFonts w:ascii="Cambria" w:eastAsia="Cambria" w:hAnsi="Cambria" w:cs="Cambria"/>
          <w:color w:val="000000"/>
        </w:rPr>
        <w:t>en el periodo estudiado, se evidencia un aumento de casos pasando de 350 casos en el 2014 a 513 en 2023</w:t>
      </w:r>
      <w:r w:rsidR="002C68DF">
        <w:rPr>
          <w:rStyle w:val="EndnoteReference"/>
          <w:rFonts w:ascii="Cambria" w:eastAsia="Cambria" w:hAnsi="Cambria" w:cs="Cambria"/>
          <w:color w:val="000000"/>
        </w:rPr>
        <w:endnoteReference w:id="76"/>
      </w:r>
      <w:r w:rsidR="002C68DF" w:rsidRPr="004846FD">
        <w:rPr>
          <w:rFonts w:ascii="Cambria" w:eastAsia="Cambria" w:hAnsi="Cambria" w:cs="Cambria"/>
          <w:color w:val="000000"/>
        </w:rPr>
        <w:t xml:space="preserve">. </w:t>
      </w:r>
    </w:p>
    <w:p w14:paraId="31236DA0" w14:textId="77777777" w:rsidR="0041395B" w:rsidRDefault="0041395B" w:rsidP="005668D6">
      <w:pPr>
        <w:widowControl/>
        <w:pBdr>
          <w:top w:val="nil"/>
          <w:left w:val="nil"/>
          <w:bottom w:val="nil"/>
          <w:right w:val="nil"/>
          <w:between w:val="nil"/>
        </w:pBdr>
        <w:spacing w:after="0" w:line="240" w:lineRule="auto"/>
        <w:jc w:val="both"/>
        <w:rPr>
          <w:rFonts w:ascii="Cambria" w:eastAsia="Cambria" w:hAnsi="Cambria" w:cs="Cambria"/>
          <w:color w:val="000000"/>
        </w:rPr>
      </w:pPr>
    </w:p>
    <w:p w14:paraId="3731580F" w14:textId="1219EA1D"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 xml:space="preserve">Ello nos hace </w:t>
      </w:r>
      <w:r>
        <w:rPr>
          <w:rFonts w:ascii="Cambria" w:eastAsia="Cambria" w:hAnsi="Cambria" w:cs="Cambria"/>
          <w:color w:val="000000"/>
        </w:rPr>
        <w:t>concluir que, si se reportan menos abortos terapéuticos que en años anteriores, eso no significa que haya menos mujeres que les solicitan, sino que muchos pedidos han sido negados o los categorizan en abortos espontáneos</w:t>
      </w:r>
      <w:r w:rsidR="004846FD">
        <w:rPr>
          <w:rFonts w:ascii="Cambria" w:eastAsia="Cambria" w:hAnsi="Cambria" w:cs="Cambria"/>
          <w:color w:val="000000"/>
        </w:rPr>
        <w:t>. Asimismo, cabe resaltar que la respuesta obtenida de Susalud respecto de la existencia de una sola denuncia por barreras en el acceso de aborto terapéutico en en un estudio exploratorio sugiere un alto nivel de subregistro</w:t>
      </w:r>
      <w:r w:rsidR="004846FD">
        <w:rPr>
          <w:rStyle w:val="EndnoteReference"/>
          <w:rFonts w:ascii="Cambria" w:eastAsia="Cambria" w:hAnsi="Cambria" w:cs="Cambria"/>
          <w:color w:val="000000"/>
        </w:rPr>
        <w:endnoteReference w:id="77"/>
      </w:r>
      <w:r w:rsidR="004846FD">
        <w:rPr>
          <w:rFonts w:ascii="Cambria" w:eastAsia="Cambria" w:hAnsi="Cambria" w:cs="Cambria"/>
          <w:color w:val="000000"/>
        </w:rPr>
        <w:t>.</w:t>
      </w:r>
      <w:r>
        <w:rPr>
          <w:rFonts w:ascii="Cambria" w:eastAsia="Cambria" w:hAnsi="Cambria" w:cs="Cambria"/>
          <w:color w:val="000000"/>
        </w:rPr>
        <w:t xml:space="preserve"> Por el contrario, vemos que en la práctica sigue denegándose el </w:t>
      </w:r>
      <w:r>
        <w:rPr>
          <w:rFonts w:ascii="Cambria" w:eastAsia="Cambria" w:hAnsi="Cambria" w:cs="Cambria"/>
          <w:color w:val="000000"/>
        </w:rPr>
        <w:t>aborto terapéutico, así lo muestra seis casos de los años recientes (2017, 2018, 2019, 2021 y 2023)</w:t>
      </w:r>
      <w:r w:rsidR="00FC7C11">
        <w:rPr>
          <w:rStyle w:val="EndnoteReference"/>
          <w:rFonts w:ascii="Cambria" w:eastAsia="Cambria" w:hAnsi="Cambria" w:cs="Cambria"/>
          <w:color w:val="000000"/>
        </w:rPr>
        <w:endnoteReference w:id="78"/>
      </w:r>
      <w:r>
        <w:rPr>
          <w:rFonts w:ascii="Cambria" w:eastAsia="Cambria" w:hAnsi="Cambria" w:cs="Cambria"/>
          <w:color w:val="000000"/>
        </w:rPr>
        <w:t xml:space="preserve"> de niñas que fueron violentadas sexualmente y que no pudieron acceder a una interrupción legal del embarazo y estos casos ejemplifican las consecuencias d</w:t>
      </w:r>
      <w:r>
        <w:rPr>
          <w:rFonts w:ascii="Cambria" w:eastAsia="Cambria" w:hAnsi="Cambria" w:cs="Cambria"/>
          <w:color w:val="000000"/>
        </w:rPr>
        <w:t xml:space="preserve">e esta interpretación restrictiva, en el no valorar la afectación a la salud integral, incluyendo la salud mental. </w:t>
      </w:r>
    </w:p>
    <w:p w14:paraId="7B0C157B" w14:textId="77777777" w:rsidR="0041395B" w:rsidRDefault="0041395B" w:rsidP="005668D6">
      <w:pPr>
        <w:pBdr>
          <w:top w:val="nil"/>
          <w:left w:val="nil"/>
          <w:bottom w:val="nil"/>
          <w:right w:val="nil"/>
          <w:between w:val="nil"/>
        </w:pBdr>
        <w:spacing w:after="0" w:line="240" w:lineRule="auto"/>
        <w:ind w:left="720"/>
        <w:rPr>
          <w:rFonts w:ascii="Cambria" w:eastAsia="Cambria" w:hAnsi="Cambria" w:cs="Cambria"/>
          <w:color w:val="000000"/>
        </w:rPr>
      </w:pPr>
    </w:p>
    <w:p w14:paraId="19A10E51" w14:textId="20DCBB77"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Muestra de ello, es lo acontecido con Mila. Ella es una niña de 11 años que nació en la provincia de Maynas, departamento de Loreto. Mila h</w:t>
      </w:r>
      <w:r>
        <w:rPr>
          <w:rFonts w:ascii="Cambria" w:eastAsia="Cambria" w:hAnsi="Cambria" w:cs="Cambria"/>
          <w:color w:val="000000"/>
        </w:rPr>
        <w:t>a sido víctima de abuso sexual mediante tocamientos y violación sexual desde los 6 años por parte de su padrastro. A consecuencia de la violación sexual queda embarazada. El 3 de julio y, posteriormente, el 20 de julio de 2023, los representantes presentar</w:t>
      </w:r>
      <w:r>
        <w:rPr>
          <w:rFonts w:ascii="Cambria" w:eastAsia="Cambria" w:hAnsi="Cambria" w:cs="Cambria"/>
          <w:color w:val="000000"/>
        </w:rPr>
        <w:t>on un escrito a fin de que se aplique el protocolo de aborto terapéutico, sin embargo, la respuesta fue denegatoria. Ante esta respuesta, Promsex en representación de “Mila” presentó una petición y una medida cautelar al Comité de los Derechos del Niño. El</w:t>
      </w:r>
      <w:r>
        <w:rPr>
          <w:rFonts w:ascii="Cambria" w:eastAsia="Cambria" w:hAnsi="Cambria" w:cs="Cambria"/>
          <w:color w:val="000000"/>
        </w:rPr>
        <w:t xml:space="preserve"> 11 de agosto de 2023, el CDN registró el caso</w:t>
      </w:r>
      <w:r w:rsidR="00BA73AC">
        <w:rPr>
          <w:rStyle w:val="EndnoteReference"/>
          <w:rFonts w:ascii="Cambria" w:eastAsia="Cambria" w:hAnsi="Cambria" w:cs="Cambria"/>
          <w:color w:val="000000"/>
        </w:rPr>
        <w:endnoteReference w:id="79"/>
      </w:r>
      <w:r>
        <w:rPr>
          <w:rFonts w:ascii="Cambria" w:eastAsia="Cambria" w:hAnsi="Cambria" w:cs="Cambria"/>
          <w:color w:val="000000"/>
        </w:rPr>
        <w:t xml:space="preserve"> y otorgó la medida cautelar a favor de Mila para que se le practicará la interrupción del embarazo</w:t>
      </w:r>
      <w:r w:rsidR="00BA73AC">
        <w:rPr>
          <w:rStyle w:val="EndnoteReference"/>
          <w:rFonts w:ascii="Cambria" w:eastAsia="Cambria" w:hAnsi="Cambria" w:cs="Cambria"/>
          <w:color w:val="000000"/>
        </w:rPr>
        <w:endnoteReference w:id="80"/>
      </w:r>
      <w:r>
        <w:rPr>
          <w:rFonts w:ascii="Cambria" w:eastAsia="Cambria" w:hAnsi="Cambria" w:cs="Cambria"/>
          <w:color w:val="000000"/>
        </w:rPr>
        <w:t>, y es así como el 12 de agosto el Minsa informó en un comunicado que Mila accedería a la interrupción. Est</w:t>
      </w:r>
      <w:r>
        <w:rPr>
          <w:rFonts w:ascii="Cambria" w:eastAsia="Cambria" w:hAnsi="Cambria" w:cs="Cambria"/>
          <w:color w:val="000000"/>
        </w:rPr>
        <w:t>e caso muestra como la indiferencia del Estado y la constante negación del derecho de las niñas, adolescentes y mujeres víctimas de violencia sexual para acceder la interrupción del aborto.</w:t>
      </w:r>
    </w:p>
    <w:p w14:paraId="52AEEC00" w14:textId="77777777" w:rsidR="0041395B" w:rsidRDefault="0041395B" w:rsidP="005668D6">
      <w:pPr>
        <w:pBdr>
          <w:top w:val="nil"/>
          <w:left w:val="nil"/>
          <w:bottom w:val="nil"/>
          <w:right w:val="nil"/>
          <w:between w:val="nil"/>
        </w:pBdr>
        <w:spacing w:after="0" w:line="240" w:lineRule="auto"/>
        <w:ind w:left="720"/>
        <w:rPr>
          <w:rFonts w:ascii="Cambria" w:eastAsia="Cambria" w:hAnsi="Cambria" w:cs="Cambria"/>
          <w:color w:val="000000"/>
        </w:rPr>
      </w:pPr>
    </w:p>
    <w:p w14:paraId="1BA0AD25" w14:textId="7915C229"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sidRPr="0020214C">
        <w:rPr>
          <w:rFonts w:ascii="Cambria" w:eastAsia="Cambria" w:hAnsi="Cambria" w:cs="Cambria"/>
          <w:color w:val="000000"/>
          <w:lang w:val="es-ES"/>
        </w:rPr>
        <w:t>El 17 de abril de 2019 se aprobó</w:t>
      </w:r>
      <w:r w:rsidR="00BA73AC">
        <w:rPr>
          <w:rStyle w:val="EndnoteReference"/>
          <w:rFonts w:ascii="Cambria" w:eastAsia="Cambria" w:hAnsi="Cambria" w:cs="Cambria"/>
          <w:color w:val="000000"/>
        </w:rPr>
        <w:endnoteReference w:id="81"/>
      </w:r>
      <w:r w:rsidRPr="0020214C">
        <w:rPr>
          <w:rFonts w:ascii="Cambria" w:eastAsia="Cambria" w:hAnsi="Cambria" w:cs="Cambria"/>
          <w:color w:val="000000"/>
          <w:lang w:val="es-ES"/>
        </w:rPr>
        <w:t xml:space="preserve">, el </w:t>
      </w:r>
      <w:r w:rsidRPr="0020214C">
        <w:rPr>
          <w:rFonts w:ascii="Cambria" w:eastAsia="Cambria" w:hAnsi="Cambria" w:cs="Cambria"/>
          <w:i/>
          <w:color w:val="000000"/>
          <w:lang w:val="es-ES"/>
        </w:rPr>
        <w:t>Protocolo de actuación con</w:t>
      </w:r>
      <w:r w:rsidRPr="0020214C">
        <w:rPr>
          <w:rFonts w:ascii="Cambria" w:eastAsia="Cambria" w:hAnsi="Cambria" w:cs="Cambria"/>
          <w:i/>
          <w:color w:val="000000"/>
          <w:lang w:val="es-ES"/>
        </w:rPr>
        <w:t>junta entre los CEM y los establecimientos de salud (EE.SS.) para la atención de las víctimas de violencia contra las mujeres</w:t>
      </w:r>
      <w:r w:rsidRPr="0020214C">
        <w:rPr>
          <w:rFonts w:ascii="Cambria" w:eastAsia="Cambria" w:hAnsi="Cambria" w:cs="Cambria"/>
          <w:color w:val="000000"/>
          <w:lang w:val="es-ES"/>
        </w:rPr>
        <w:t xml:space="preserve">, que incluye la valoración de la afectación que un embarazo producto de violación produce a fin de ofrecer y garantizar un </w:t>
      </w:r>
      <w:r w:rsidRPr="0020214C">
        <w:rPr>
          <w:rFonts w:ascii="Cambria" w:eastAsia="Cambria" w:hAnsi="Cambria" w:cs="Cambria"/>
          <w:color w:val="000000"/>
          <w:lang w:val="es-ES"/>
        </w:rPr>
        <w:t>aborto terapéutico. Sin embargo, la indicación para garantizar el acceso a un aborto terapéutico no es parte integral de la normativa, dejando a discrecionalidad de los funcionarios el acceso a este derecho</w:t>
      </w:r>
      <w:r w:rsidRPr="0020214C">
        <w:rPr>
          <w:rFonts w:ascii="Cambria" w:eastAsia="Cambria" w:hAnsi="Cambria" w:cs="Cambria"/>
          <w:i/>
          <w:color w:val="000000"/>
          <w:lang w:val="es-ES"/>
        </w:rPr>
        <w:t>.</w:t>
      </w:r>
      <w:r w:rsidRPr="0020214C">
        <w:rPr>
          <w:rFonts w:ascii="Cambria" w:eastAsia="Cambria" w:hAnsi="Cambria" w:cs="Cambria"/>
          <w:color w:val="000000"/>
          <w:lang w:val="es-ES"/>
        </w:rPr>
        <w:t xml:space="preserve"> La falta de coordinación entre los Centros de Em</w:t>
      </w:r>
      <w:r w:rsidRPr="0020214C">
        <w:rPr>
          <w:rFonts w:ascii="Cambria" w:eastAsia="Cambria" w:hAnsi="Cambria" w:cs="Cambria"/>
          <w:color w:val="000000"/>
          <w:lang w:val="es-ES"/>
        </w:rPr>
        <w:t xml:space="preserve">ergencia Mujer (CEM) y EE.SS genera episodios de revictimización y dificulta el acceso de las víctimas a su derecho a la salud. </w:t>
      </w:r>
      <w:r>
        <w:rPr>
          <w:rFonts w:ascii="Cambria" w:eastAsia="Cambria" w:hAnsi="Cambria" w:cs="Cambria"/>
          <w:color w:val="000000"/>
        </w:rPr>
        <w:t>Finalmente, la norma no contempla a las mujeres, niñas y adolescentes migrantes como un grupo de especial protección.</w:t>
      </w:r>
    </w:p>
    <w:p w14:paraId="017C365E" w14:textId="77777777" w:rsidR="004D1385" w:rsidRDefault="004D1385" w:rsidP="004D1385">
      <w:pPr>
        <w:pBdr>
          <w:top w:val="nil"/>
          <w:left w:val="nil"/>
          <w:bottom w:val="nil"/>
          <w:right w:val="nil"/>
          <w:between w:val="nil"/>
        </w:pBdr>
        <w:spacing w:after="0" w:line="240" w:lineRule="auto"/>
        <w:jc w:val="both"/>
        <w:rPr>
          <w:rFonts w:ascii="Cambria" w:eastAsia="Cambria" w:hAnsi="Cambria" w:cs="Cambria"/>
          <w:color w:val="000000"/>
        </w:rPr>
      </w:pPr>
    </w:p>
    <w:p w14:paraId="7E1F228E" w14:textId="77777777" w:rsidR="0041395B" w:rsidRDefault="0020214C" w:rsidP="005668D6">
      <w:pPr>
        <w:pStyle w:val="Heading1"/>
        <w:numPr>
          <w:ilvl w:val="0"/>
          <w:numId w:val="4"/>
        </w:numPr>
        <w:spacing w:before="0" w:after="0" w:line="240" w:lineRule="auto"/>
        <w:jc w:val="both"/>
        <w:rPr>
          <w:rFonts w:ascii="Cambria" w:eastAsia="Cambria" w:hAnsi="Cambria" w:cs="Cambria"/>
          <w:b/>
          <w:color w:val="000000"/>
          <w:sz w:val="22"/>
          <w:szCs w:val="22"/>
        </w:rPr>
      </w:pPr>
      <w:bookmarkStart w:id="2" w:name="_heading=h.1fob9te" w:colFirst="0" w:colLast="0"/>
      <w:bookmarkEnd w:id="2"/>
      <w:r>
        <w:rPr>
          <w:rFonts w:ascii="Cambria" w:eastAsia="Cambria" w:hAnsi="Cambria" w:cs="Cambria"/>
          <w:b/>
          <w:color w:val="000000"/>
          <w:sz w:val="22"/>
          <w:szCs w:val="22"/>
        </w:rPr>
        <w:lastRenderedPageBreak/>
        <w:t>Criminalización de las mujeres por aborto: la obligatoriedad de denuncia desde los servicios de salud</w:t>
      </w:r>
    </w:p>
    <w:p w14:paraId="649403DB" w14:textId="77777777" w:rsidR="003D49E3" w:rsidRPr="003D49E3" w:rsidRDefault="003D49E3" w:rsidP="003D49E3"/>
    <w:p w14:paraId="0B7D91AF" w14:textId="6C5B9EEA"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sidRPr="0020214C">
        <w:rPr>
          <w:rFonts w:ascii="Cambria" w:eastAsia="Cambria" w:hAnsi="Cambria" w:cs="Cambria"/>
          <w:color w:val="000000"/>
          <w:lang w:val="es-ES"/>
        </w:rPr>
        <w:t xml:space="preserve">No existe un registro oficial accesible y actualizado de las personas encarceladas por aborto desagregado por edad y ubicación geográfica. El Ministerio </w:t>
      </w:r>
      <w:r w:rsidRPr="0020214C">
        <w:rPr>
          <w:rFonts w:ascii="Cambria" w:eastAsia="Cambria" w:hAnsi="Cambria" w:cs="Cambria"/>
          <w:color w:val="000000"/>
          <w:lang w:val="es-ES"/>
        </w:rPr>
        <w:t xml:space="preserve">Público a través de la Gerencia del Registro Nacional de Detenidos y Sentenciados a Pena Privativa de </w:t>
      </w:r>
      <w:r w:rsidR="00BA73AC" w:rsidRPr="0020214C">
        <w:rPr>
          <w:rFonts w:ascii="Cambria" w:eastAsia="Cambria" w:hAnsi="Cambria" w:cs="Cambria"/>
          <w:color w:val="000000"/>
          <w:lang w:val="es-ES"/>
        </w:rPr>
        <w:t>L</w:t>
      </w:r>
      <w:r w:rsidRPr="0020214C">
        <w:rPr>
          <w:rFonts w:ascii="Cambria" w:eastAsia="Cambria" w:hAnsi="Cambria" w:cs="Cambria"/>
          <w:color w:val="000000"/>
          <w:lang w:val="es-ES"/>
        </w:rPr>
        <w:t>ibertad Efectiva no ha brindado información sobre la existencia de personas ni datos desagregados. Según un reporte periodístico, “entre 2016 y 2021, 908</w:t>
      </w:r>
      <w:r w:rsidRPr="0020214C">
        <w:rPr>
          <w:rFonts w:ascii="Cambria" w:eastAsia="Cambria" w:hAnsi="Cambria" w:cs="Cambria"/>
          <w:color w:val="000000"/>
          <w:lang w:val="es-ES"/>
        </w:rPr>
        <w:t xml:space="preserve"> mujeres fueron denunciadas por el delito de auto aborto[…], y 77 mujeres fueron condenadas”</w:t>
      </w:r>
      <w:r w:rsidR="00BA73AC">
        <w:rPr>
          <w:rStyle w:val="EndnoteReference"/>
          <w:rFonts w:ascii="Cambria" w:eastAsia="Cambria" w:hAnsi="Cambria" w:cs="Cambria"/>
          <w:color w:val="000000"/>
        </w:rPr>
        <w:endnoteReference w:id="82"/>
      </w:r>
      <w:r w:rsidRPr="0020214C">
        <w:rPr>
          <w:rFonts w:ascii="Cambria" w:eastAsia="Cambria" w:hAnsi="Cambria" w:cs="Cambria"/>
          <w:color w:val="000000"/>
          <w:lang w:val="es-ES"/>
        </w:rPr>
        <w:t>.</w:t>
      </w:r>
      <w:r w:rsidR="00BA73AC" w:rsidRPr="0020214C">
        <w:rPr>
          <w:rFonts w:ascii="Cambria" w:eastAsia="Cambria" w:hAnsi="Cambria" w:cs="Cambria"/>
          <w:color w:val="000000"/>
          <w:lang w:val="es-ES"/>
        </w:rPr>
        <w:t xml:space="preserve"> </w:t>
      </w:r>
      <w:r>
        <w:rPr>
          <w:rFonts w:ascii="Cambria" w:eastAsia="Cambria" w:hAnsi="Cambria" w:cs="Cambria"/>
          <w:color w:val="000000"/>
        </w:rPr>
        <w:t>Sin embargo, el Observatorio de Criminalidad del Ministerio Público durante el periodo 2016-2017, registró 1,158 denuncias contra adolescentes por la presunta c</w:t>
      </w:r>
      <w:r>
        <w:rPr>
          <w:rFonts w:ascii="Cambria" w:eastAsia="Cambria" w:hAnsi="Cambria" w:cs="Cambria"/>
          <w:color w:val="000000"/>
        </w:rPr>
        <w:t>omisión del delito de aborto</w:t>
      </w:r>
      <w:r w:rsidR="00E97E72">
        <w:rPr>
          <w:rStyle w:val="EndnoteReference"/>
          <w:rFonts w:ascii="Cambria" w:eastAsia="Cambria" w:hAnsi="Cambria" w:cs="Cambria"/>
          <w:color w:val="000000"/>
        </w:rPr>
        <w:endnoteReference w:id="83"/>
      </w:r>
      <w:r>
        <w:rPr>
          <w:rFonts w:ascii="Cambria" w:eastAsia="Cambria" w:hAnsi="Cambria" w:cs="Cambria"/>
          <w:color w:val="000000"/>
        </w:rPr>
        <w:t>. Mientras el Poder Judicial, durante el 2017 y 2018, reportó que 231 mujeres mayores de 18 años han sido procesadas por este mismo delito</w:t>
      </w:r>
      <w:r w:rsidR="00E97E72">
        <w:rPr>
          <w:rStyle w:val="EndnoteReference"/>
          <w:rFonts w:ascii="Cambria" w:eastAsia="Cambria" w:hAnsi="Cambria" w:cs="Cambria"/>
          <w:color w:val="000000"/>
        </w:rPr>
        <w:endnoteReference w:id="84"/>
      </w:r>
      <w:r>
        <w:rPr>
          <w:rFonts w:ascii="Cambria" w:eastAsia="Cambria" w:hAnsi="Cambria" w:cs="Cambria"/>
          <w:color w:val="000000"/>
        </w:rPr>
        <w:t>. Al respecto, el CDN señaló en el caso de Camila sobre la criminalización por el deli</w:t>
      </w:r>
      <w:r>
        <w:rPr>
          <w:rFonts w:ascii="Cambria" w:eastAsia="Cambria" w:hAnsi="Cambria" w:cs="Cambria"/>
          <w:color w:val="000000"/>
        </w:rPr>
        <w:t>to de aborto “su posterior criminalización por auto aborto constituyeron en si un trato diferencial basado en el género de la autora, pues se le denegó el acceso a un servicio esencial para su salud”</w:t>
      </w:r>
      <w:r w:rsidR="00E97E72">
        <w:rPr>
          <w:rStyle w:val="EndnoteReference"/>
          <w:rFonts w:ascii="Cambria" w:eastAsia="Cambria" w:hAnsi="Cambria" w:cs="Cambria"/>
          <w:color w:val="000000"/>
        </w:rPr>
        <w:endnoteReference w:id="85"/>
      </w:r>
      <w:r>
        <w:rPr>
          <w:rFonts w:ascii="Cambria" w:eastAsia="Cambria" w:hAnsi="Cambria" w:cs="Cambria"/>
          <w:color w:val="000000"/>
        </w:rPr>
        <w:t xml:space="preserve"> y fue castigada por no cumplir con estereotipos de gén</w:t>
      </w:r>
      <w:r>
        <w:rPr>
          <w:rFonts w:ascii="Cambria" w:eastAsia="Cambria" w:hAnsi="Cambria" w:cs="Cambria"/>
          <w:color w:val="000000"/>
        </w:rPr>
        <w:t>ero sobre su función reproductiva</w:t>
      </w:r>
      <w:r w:rsidR="00E97E72">
        <w:rPr>
          <w:rStyle w:val="EndnoteReference"/>
          <w:rFonts w:ascii="Cambria" w:eastAsia="Cambria" w:hAnsi="Cambria" w:cs="Cambria"/>
          <w:color w:val="000000"/>
        </w:rPr>
        <w:endnoteReference w:id="86"/>
      </w:r>
      <w:r>
        <w:rPr>
          <w:rFonts w:ascii="Cambria" w:eastAsia="Cambria" w:hAnsi="Cambria" w:cs="Cambria"/>
          <w:color w:val="000000"/>
        </w:rPr>
        <w:t>, por lo que reiteró que debe proscribirse toda criminalización por el delito de aborto</w:t>
      </w:r>
      <w:r w:rsidR="00E97E72">
        <w:rPr>
          <w:rStyle w:val="EndnoteReference"/>
          <w:rFonts w:ascii="Cambria" w:eastAsia="Cambria" w:hAnsi="Cambria" w:cs="Cambria"/>
          <w:color w:val="000000"/>
        </w:rPr>
        <w:endnoteReference w:id="87"/>
      </w:r>
      <w:r>
        <w:rPr>
          <w:rFonts w:ascii="Cambria" w:eastAsia="Cambria" w:hAnsi="Cambria" w:cs="Cambria"/>
          <w:color w:val="000000"/>
        </w:rPr>
        <w:t>.</w:t>
      </w:r>
    </w:p>
    <w:p w14:paraId="6B4A8FDB" w14:textId="77777777" w:rsidR="0041395B" w:rsidRDefault="0041395B" w:rsidP="005668D6">
      <w:pPr>
        <w:pBdr>
          <w:top w:val="nil"/>
          <w:left w:val="nil"/>
          <w:bottom w:val="nil"/>
          <w:right w:val="nil"/>
          <w:between w:val="nil"/>
        </w:pBdr>
        <w:spacing w:after="0" w:line="240" w:lineRule="auto"/>
        <w:ind w:left="720"/>
        <w:jc w:val="both"/>
        <w:rPr>
          <w:rFonts w:ascii="Cambria" w:eastAsia="Cambria" w:hAnsi="Cambria" w:cs="Cambria"/>
          <w:color w:val="000000"/>
        </w:rPr>
      </w:pPr>
    </w:p>
    <w:p w14:paraId="267DC7FC" w14:textId="25594F31" w:rsidR="0041395B" w:rsidRDefault="0020214C" w:rsidP="005668D6">
      <w:pPr>
        <w:numPr>
          <w:ilvl w:val="0"/>
          <w:numId w:val="2"/>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 xml:space="preserve">A pesar de lo dispuesto por el referido Comité, todavía persisten disposiciones inconstitucionales e </w:t>
      </w:r>
      <w:r>
        <w:rPr>
          <w:rFonts w:ascii="Cambria" w:eastAsia="Cambria" w:hAnsi="Cambria" w:cs="Cambria"/>
          <w:color w:val="000000"/>
        </w:rPr>
        <w:t>inconvencionales, tal como el artículo 30 de la Ley General de Salud (LGS), la cual dispone que los profesionales de la salud deben denunciar aquellas evidencias de delito, violencia o indicio de aborto</w:t>
      </w:r>
      <w:r w:rsidR="00E97E72">
        <w:rPr>
          <w:rStyle w:val="EndnoteReference"/>
          <w:rFonts w:ascii="Cambria" w:eastAsia="Cambria" w:hAnsi="Cambria" w:cs="Cambria"/>
          <w:color w:val="000000"/>
        </w:rPr>
        <w:endnoteReference w:id="88"/>
      </w:r>
      <w:r>
        <w:rPr>
          <w:rFonts w:ascii="Cambria" w:eastAsia="Cambria" w:hAnsi="Cambria" w:cs="Cambria"/>
          <w:color w:val="000000"/>
        </w:rPr>
        <w:t>. Es decir, el personal médico está en la obligación</w:t>
      </w:r>
      <w:r>
        <w:rPr>
          <w:rFonts w:ascii="Cambria" w:eastAsia="Cambria" w:hAnsi="Cambria" w:cs="Cambria"/>
          <w:color w:val="000000"/>
        </w:rPr>
        <w:t xml:space="preserve"> de reportar ante las autoridades si una paciente tiene evidencias de haberse practicado un aborto clandestino, esta obligación de denunciar no es usada con la finalidad de proteger la salud pública o privada, ni guarda concordancia con el secreto profesio</w:t>
      </w:r>
      <w:r>
        <w:rPr>
          <w:rFonts w:ascii="Cambria" w:eastAsia="Cambria" w:hAnsi="Cambria" w:cs="Cambria"/>
          <w:color w:val="000000"/>
        </w:rPr>
        <w:t xml:space="preserve">nal que se da en un ámbito de una relación de confianza e intimidad; o de garantizar a las/los pacientes justicia frente a delitos de acción pública, o de proteger su salud, sino con el fin de perseguirlo penalmente. </w:t>
      </w:r>
    </w:p>
    <w:p w14:paraId="3305D9A6" w14:textId="77777777" w:rsidR="006A2726" w:rsidRDefault="006A2726" w:rsidP="006A2726">
      <w:pPr>
        <w:pBdr>
          <w:top w:val="nil"/>
          <w:left w:val="nil"/>
          <w:bottom w:val="nil"/>
          <w:right w:val="nil"/>
          <w:between w:val="nil"/>
        </w:pBdr>
        <w:spacing w:after="0" w:line="240" w:lineRule="auto"/>
        <w:jc w:val="both"/>
        <w:rPr>
          <w:rFonts w:ascii="Cambria" w:eastAsia="Cambria" w:hAnsi="Cambria" w:cs="Cambria"/>
          <w:color w:val="000000"/>
        </w:rPr>
      </w:pPr>
    </w:p>
    <w:p w14:paraId="426DD91A" w14:textId="398912E5" w:rsidR="0041395B" w:rsidRDefault="0020214C" w:rsidP="005668D6">
      <w:pPr>
        <w:widowControl/>
        <w:numPr>
          <w:ilvl w:val="0"/>
          <w:numId w:val="2"/>
        </w:numPr>
        <w:pBdr>
          <w:top w:val="nil"/>
          <w:left w:val="nil"/>
          <w:bottom w:val="nil"/>
          <w:right w:val="nil"/>
          <w:between w:val="nil"/>
        </w:pBdr>
        <w:spacing w:after="0" w:line="240" w:lineRule="auto"/>
        <w:jc w:val="both"/>
        <w:rPr>
          <w:rFonts w:ascii="Cambria" w:eastAsia="Cambria" w:hAnsi="Cambria" w:cs="Cambria"/>
          <w:i/>
          <w:color w:val="000000"/>
        </w:rPr>
      </w:pPr>
      <w:r>
        <w:rPr>
          <w:rFonts w:ascii="Cambria" w:eastAsia="Cambria" w:hAnsi="Cambria" w:cs="Cambria"/>
          <w:color w:val="000000"/>
        </w:rPr>
        <w:t xml:space="preserve">La amenaza de denuncia a las </w:t>
      </w:r>
      <w:r>
        <w:rPr>
          <w:rFonts w:ascii="Cambria" w:eastAsia="Cambria" w:hAnsi="Cambria" w:cs="Cambria"/>
          <w:color w:val="000000"/>
        </w:rPr>
        <w:t>mujeres que acuden al servicio público de salud por quienes las atiendan, se convierte en una barrera para el acceso -sin discriminación- a los servicios necesarios para salvar sus vidas. Asimismo, evita que personal médico atienda a mujeres, niñas y adole</w:t>
      </w:r>
      <w:r>
        <w:rPr>
          <w:rFonts w:ascii="Cambria" w:eastAsia="Cambria" w:hAnsi="Cambria" w:cs="Cambria"/>
          <w:color w:val="000000"/>
        </w:rPr>
        <w:t>scentes por el temor de ser aprehendid</w:t>
      </w:r>
      <w:r>
        <w:rPr>
          <w:rFonts w:ascii="Cambria" w:eastAsia="Cambria" w:hAnsi="Cambria" w:cs="Cambria"/>
        </w:rPr>
        <w:t>a</w:t>
      </w:r>
      <w:r>
        <w:rPr>
          <w:rFonts w:ascii="Cambria" w:eastAsia="Cambria" w:hAnsi="Cambria" w:cs="Cambria"/>
          <w:color w:val="000000"/>
        </w:rPr>
        <w:t>s</w:t>
      </w:r>
      <w:r w:rsidR="00E97E72">
        <w:rPr>
          <w:rStyle w:val="EndnoteReference"/>
          <w:rFonts w:ascii="Cambria" w:eastAsia="Cambria" w:hAnsi="Cambria" w:cs="Cambria"/>
          <w:color w:val="000000"/>
        </w:rPr>
        <w:endnoteReference w:id="89"/>
      </w:r>
      <w:r>
        <w:rPr>
          <w:rFonts w:ascii="Cambria" w:eastAsia="Cambria" w:hAnsi="Cambria" w:cs="Cambria"/>
          <w:color w:val="000000"/>
        </w:rPr>
        <w:t>. La Corte Interamericana de Derechos Humanos (Corte IDH) ha señalado que estas situaciones colocan en riesgo los derechos a la salud, integridad personal y a la vida de las mujeres</w:t>
      </w:r>
      <w:r w:rsidR="00E97E72">
        <w:rPr>
          <w:rStyle w:val="EndnoteReference"/>
          <w:rFonts w:ascii="Cambria" w:eastAsia="Cambria" w:hAnsi="Cambria" w:cs="Cambria"/>
          <w:color w:val="000000"/>
        </w:rPr>
        <w:endnoteReference w:id="90"/>
      </w:r>
      <w:r>
        <w:rPr>
          <w:rFonts w:ascii="Cambria" w:eastAsia="Cambria" w:hAnsi="Cambria" w:cs="Cambria"/>
          <w:color w:val="000000"/>
        </w:rPr>
        <w:t>.</w:t>
      </w:r>
    </w:p>
    <w:p w14:paraId="0B2E8A06" w14:textId="77777777" w:rsidR="0041395B" w:rsidRDefault="0041395B" w:rsidP="005668D6">
      <w:pPr>
        <w:widowControl/>
        <w:pBdr>
          <w:top w:val="nil"/>
          <w:left w:val="nil"/>
          <w:bottom w:val="nil"/>
          <w:right w:val="nil"/>
          <w:between w:val="nil"/>
        </w:pBdr>
        <w:spacing w:after="0" w:line="240" w:lineRule="auto"/>
        <w:ind w:left="720"/>
        <w:jc w:val="both"/>
        <w:rPr>
          <w:rFonts w:ascii="Cambria" w:eastAsia="Cambria" w:hAnsi="Cambria" w:cs="Cambria"/>
          <w:i/>
          <w:color w:val="000000"/>
        </w:rPr>
      </w:pPr>
    </w:p>
    <w:p w14:paraId="1371B7E9" w14:textId="7B0C23C6" w:rsidR="0041395B" w:rsidRDefault="0020214C" w:rsidP="005668D6">
      <w:pPr>
        <w:widowControl/>
        <w:numPr>
          <w:ilvl w:val="0"/>
          <w:numId w:val="2"/>
        </w:numPr>
        <w:pBdr>
          <w:top w:val="nil"/>
          <w:left w:val="nil"/>
          <w:bottom w:val="nil"/>
          <w:right w:val="nil"/>
          <w:between w:val="nil"/>
        </w:pBdr>
        <w:spacing w:after="0" w:line="240" w:lineRule="auto"/>
        <w:jc w:val="both"/>
        <w:rPr>
          <w:rFonts w:ascii="Cambria" w:eastAsia="Cambria" w:hAnsi="Cambria" w:cs="Cambria"/>
          <w:i/>
          <w:color w:val="000000"/>
        </w:rPr>
      </w:pPr>
      <w:r>
        <w:rPr>
          <w:rFonts w:ascii="Cambria" w:eastAsia="Cambria" w:hAnsi="Cambria" w:cs="Cambria"/>
          <w:b/>
          <w:color w:val="000000"/>
        </w:rPr>
        <w:t>Una muestra de la criminaliz</w:t>
      </w:r>
      <w:r>
        <w:rPr>
          <w:rFonts w:ascii="Cambria" w:eastAsia="Cambria" w:hAnsi="Cambria" w:cs="Cambria"/>
          <w:b/>
          <w:color w:val="000000"/>
        </w:rPr>
        <w:t>ación por aborto es lo acontecido con Diana Alemán</w:t>
      </w:r>
      <w:r w:rsidR="00E97E72">
        <w:rPr>
          <w:rStyle w:val="EndnoteReference"/>
          <w:rFonts w:ascii="Cambria" w:eastAsia="Cambria" w:hAnsi="Cambria" w:cs="Cambria"/>
          <w:b/>
          <w:color w:val="000000"/>
        </w:rPr>
        <w:endnoteReference w:id="91"/>
      </w:r>
      <w:r>
        <w:rPr>
          <w:rFonts w:ascii="Cambria" w:eastAsia="Cambria" w:hAnsi="Cambria" w:cs="Cambria"/>
          <w:b/>
          <w:color w:val="000000"/>
        </w:rPr>
        <w:t>, migrante venezolana</w:t>
      </w:r>
      <w:r>
        <w:rPr>
          <w:rFonts w:ascii="Cambria" w:eastAsia="Cambria" w:hAnsi="Cambria" w:cs="Cambria"/>
          <w:color w:val="000000"/>
        </w:rPr>
        <w:t>. El 3 de julio de 2020 fue internada en el área de ginecología del hospital María Auxiliadora por presentar una hemorragia a consecuencia de un aborto incompleto, dos días después fu</w:t>
      </w:r>
      <w:r>
        <w:rPr>
          <w:rFonts w:ascii="Cambria" w:eastAsia="Cambria" w:hAnsi="Cambria" w:cs="Cambria"/>
          <w:color w:val="000000"/>
        </w:rPr>
        <w:t>e hallada muerta en el piso del hospital, al parecer a causa de un suicidio provocado por el amedrentamiento del personal de salud de ser conducida a la comisaria por el aborto que tuvo. El personal médico habría expuesto al peligro a Diana al afectar su s</w:t>
      </w:r>
      <w:r>
        <w:rPr>
          <w:rFonts w:ascii="Cambria" w:eastAsia="Cambria" w:hAnsi="Cambria" w:cs="Cambria"/>
          <w:color w:val="000000"/>
        </w:rPr>
        <w:t>alud mental. No se priorizo su vida, aun cuando el aborto incompleto es la una de las principales causas de internamiento de mujeres, después del parto.</w:t>
      </w:r>
    </w:p>
    <w:p w14:paraId="0CA9342C" w14:textId="77777777" w:rsidR="0041395B" w:rsidRDefault="0041395B" w:rsidP="005668D6">
      <w:pPr>
        <w:widowControl/>
        <w:pBdr>
          <w:top w:val="nil"/>
          <w:left w:val="nil"/>
          <w:bottom w:val="nil"/>
          <w:right w:val="nil"/>
          <w:between w:val="nil"/>
        </w:pBdr>
        <w:spacing w:after="0" w:line="240" w:lineRule="auto"/>
        <w:ind w:left="720"/>
        <w:jc w:val="both"/>
        <w:rPr>
          <w:rFonts w:ascii="Cambria" w:eastAsia="Cambria" w:hAnsi="Cambria" w:cs="Cambria"/>
          <w:i/>
        </w:rPr>
      </w:pPr>
    </w:p>
    <w:p w14:paraId="52433D3F" w14:textId="571FD3C5" w:rsidR="0041395B" w:rsidRPr="0020214C" w:rsidRDefault="0020214C" w:rsidP="005668D6">
      <w:pPr>
        <w:widowControl/>
        <w:numPr>
          <w:ilvl w:val="0"/>
          <w:numId w:val="2"/>
        </w:numPr>
        <w:pBdr>
          <w:top w:val="nil"/>
          <w:left w:val="nil"/>
          <w:bottom w:val="nil"/>
          <w:right w:val="nil"/>
          <w:between w:val="nil"/>
        </w:pBdr>
        <w:spacing w:after="0" w:line="240" w:lineRule="auto"/>
        <w:jc w:val="both"/>
        <w:rPr>
          <w:rFonts w:ascii="Cambria" w:eastAsia="Cambria" w:hAnsi="Cambria" w:cs="Cambria"/>
          <w:i/>
          <w:color w:val="000000"/>
          <w:lang w:val="es-ES"/>
        </w:rPr>
      </w:pPr>
      <w:r w:rsidRPr="0020214C">
        <w:rPr>
          <w:rFonts w:ascii="Cambria" w:eastAsia="Cambria" w:hAnsi="Cambria" w:cs="Cambria"/>
          <w:b/>
          <w:color w:val="000000"/>
          <w:lang w:val="es-ES"/>
        </w:rPr>
        <w:t>Por lo expuesto, todavía persisten las barreras estructurales que impiden el acceso efectivo a este de</w:t>
      </w:r>
      <w:r w:rsidRPr="0020214C">
        <w:rPr>
          <w:rFonts w:ascii="Cambria" w:eastAsia="Cambria" w:hAnsi="Cambria" w:cs="Cambria"/>
          <w:b/>
          <w:color w:val="000000"/>
          <w:lang w:val="es-ES"/>
        </w:rPr>
        <w:t xml:space="preserve">recho para las mujeres, y “la alarmante persecución y </w:t>
      </w:r>
      <w:r w:rsidRPr="0020214C">
        <w:rPr>
          <w:rFonts w:ascii="Cambria" w:eastAsia="Cambria" w:hAnsi="Cambria" w:cs="Cambria"/>
          <w:b/>
          <w:color w:val="000000"/>
          <w:lang w:val="es-ES"/>
        </w:rPr>
        <w:lastRenderedPageBreak/>
        <w:t>criminalización de mujeres que desean ver satisfecho su derecho a decidir sobre sus cuerpos”</w:t>
      </w:r>
      <w:r w:rsidR="00E97E72">
        <w:rPr>
          <w:rStyle w:val="EndnoteReference"/>
          <w:rFonts w:ascii="Cambria" w:eastAsia="Cambria" w:hAnsi="Cambria" w:cs="Cambria"/>
          <w:b/>
          <w:color w:val="000000"/>
        </w:rPr>
        <w:endnoteReference w:id="92"/>
      </w:r>
      <w:r w:rsidRPr="0020214C">
        <w:rPr>
          <w:rFonts w:ascii="Cambria" w:eastAsia="Cambria" w:hAnsi="Cambria" w:cs="Cambria"/>
          <w:b/>
          <w:color w:val="000000"/>
          <w:lang w:val="es-ES"/>
        </w:rPr>
        <w:t xml:space="preserve">. </w:t>
      </w:r>
    </w:p>
    <w:p w14:paraId="78917BBD" w14:textId="77777777" w:rsidR="0041395B" w:rsidRPr="0020214C" w:rsidRDefault="0041395B" w:rsidP="005668D6">
      <w:pPr>
        <w:widowControl/>
        <w:tabs>
          <w:tab w:val="left" w:pos="2127"/>
        </w:tabs>
        <w:spacing w:after="0" w:line="240" w:lineRule="auto"/>
        <w:ind w:left="720"/>
        <w:jc w:val="both"/>
        <w:rPr>
          <w:rFonts w:ascii="Cambria" w:eastAsia="Cambria" w:hAnsi="Cambria" w:cs="Cambria"/>
          <w:b/>
          <w:lang w:val="es-ES"/>
        </w:rPr>
      </w:pPr>
    </w:p>
    <w:p w14:paraId="00450A69" w14:textId="77777777" w:rsidR="0041395B" w:rsidRDefault="0020214C" w:rsidP="005668D6">
      <w:pPr>
        <w:pStyle w:val="Heading1"/>
        <w:numPr>
          <w:ilvl w:val="0"/>
          <w:numId w:val="4"/>
        </w:numPr>
        <w:spacing w:before="0" w:after="0" w:line="240" w:lineRule="auto"/>
        <w:jc w:val="both"/>
        <w:rPr>
          <w:rFonts w:ascii="Cambria" w:eastAsia="Cambria" w:hAnsi="Cambria" w:cs="Cambria"/>
          <w:b/>
          <w:color w:val="000000"/>
          <w:sz w:val="22"/>
          <w:szCs w:val="22"/>
        </w:rPr>
      </w:pPr>
      <w:r w:rsidRPr="0020214C">
        <w:rPr>
          <w:rFonts w:ascii="Cambria" w:eastAsia="Cambria" w:hAnsi="Cambria" w:cs="Cambria"/>
          <w:b/>
          <w:color w:val="000000"/>
          <w:sz w:val="22"/>
          <w:szCs w:val="22"/>
          <w:lang w:val="es-ES"/>
        </w:rPr>
        <w:t xml:space="preserve">  </w:t>
      </w:r>
      <w:r>
        <w:rPr>
          <w:rFonts w:ascii="Cambria" w:eastAsia="Cambria" w:hAnsi="Cambria" w:cs="Cambria"/>
          <w:b/>
          <w:color w:val="000000"/>
          <w:sz w:val="22"/>
          <w:szCs w:val="22"/>
        </w:rPr>
        <w:t xml:space="preserve">Recomendaciones sugeridas al Estado peruano </w:t>
      </w:r>
    </w:p>
    <w:p w14:paraId="73ACFE49" w14:textId="77777777" w:rsidR="0041395B" w:rsidRDefault="0041395B" w:rsidP="005668D6">
      <w:pPr>
        <w:widowControl/>
        <w:tabs>
          <w:tab w:val="left" w:pos="2127"/>
        </w:tabs>
        <w:spacing w:after="0" w:line="240" w:lineRule="auto"/>
        <w:jc w:val="both"/>
        <w:rPr>
          <w:rFonts w:ascii="Cambria" w:eastAsia="Cambria" w:hAnsi="Cambria" w:cs="Cambria"/>
          <w:color w:val="000000"/>
        </w:rPr>
      </w:pPr>
    </w:p>
    <w:p w14:paraId="4EA433CD" w14:textId="59497CC0" w:rsidR="0041395B" w:rsidRPr="0020214C" w:rsidRDefault="0020214C" w:rsidP="005668D6">
      <w:pPr>
        <w:widowControl/>
        <w:numPr>
          <w:ilvl w:val="0"/>
          <w:numId w:val="2"/>
        </w:numPr>
        <w:tabs>
          <w:tab w:val="left" w:pos="2127"/>
        </w:tabs>
        <w:spacing w:after="0" w:line="240" w:lineRule="auto"/>
        <w:jc w:val="both"/>
        <w:rPr>
          <w:rFonts w:ascii="Cambria" w:eastAsia="Cambria" w:hAnsi="Cambria" w:cs="Cambria"/>
          <w:b/>
          <w:lang w:val="es-ES"/>
        </w:rPr>
      </w:pPr>
      <w:r w:rsidRPr="0020214C">
        <w:rPr>
          <w:rFonts w:ascii="Cambria" w:eastAsia="Cambria" w:hAnsi="Cambria" w:cs="Cambria"/>
          <w:lang w:val="es-ES"/>
        </w:rPr>
        <w:t>Solicitamos, respetuosamente, a este</w:t>
      </w:r>
      <w:r w:rsidRPr="0020214C">
        <w:rPr>
          <w:rFonts w:ascii="Cambria" w:eastAsia="Cambria" w:hAnsi="Cambria" w:cs="Cambria"/>
          <w:lang w:val="es-ES"/>
        </w:rPr>
        <w:t xml:space="preserve"> honorable Comité que recomiende al Estado peruano, lo siguiente</w:t>
      </w:r>
    </w:p>
    <w:p w14:paraId="2B194C40" w14:textId="77777777" w:rsidR="006A2726" w:rsidRPr="0020214C" w:rsidRDefault="006A2726" w:rsidP="006A2726">
      <w:pPr>
        <w:widowControl/>
        <w:tabs>
          <w:tab w:val="left" w:pos="2127"/>
        </w:tabs>
        <w:spacing w:after="0" w:line="240" w:lineRule="auto"/>
        <w:ind w:left="720"/>
        <w:jc w:val="both"/>
        <w:rPr>
          <w:rFonts w:ascii="Cambria" w:eastAsia="Cambria" w:hAnsi="Cambria" w:cs="Cambria"/>
          <w:b/>
          <w:lang w:val="es-ES"/>
        </w:rPr>
      </w:pPr>
    </w:p>
    <w:p w14:paraId="0C641C50" w14:textId="77777777" w:rsidR="0041395B" w:rsidRDefault="0020214C" w:rsidP="005668D6">
      <w:pPr>
        <w:pStyle w:val="Heading1"/>
        <w:numPr>
          <w:ilvl w:val="0"/>
          <w:numId w:val="8"/>
        </w:numPr>
        <w:spacing w:before="0" w:after="0" w:line="240" w:lineRule="auto"/>
        <w:jc w:val="both"/>
        <w:rPr>
          <w:rFonts w:ascii="Cambria" w:eastAsia="Cambria" w:hAnsi="Cambria" w:cs="Cambria"/>
          <w:b/>
          <w:i/>
          <w:color w:val="000000"/>
          <w:sz w:val="22"/>
          <w:szCs w:val="22"/>
        </w:rPr>
      </w:pPr>
      <w:bookmarkStart w:id="3" w:name="_heading=h.3znysh7" w:colFirst="0" w:colLast="0"/>
      <w:bookmarkEnd w:id="3"/>
      <w:r>
        <w:rPr>
          <w:rFonts w:ascii="Cambria" w:eastAsia="Cambria" w:hAnsi="Cambria" w:cs="Cambria"/>
          <w:b/>
          <w:i/>
          <w:color w:val="000000"/>
          <w:sz w:val="22"/>
          <w:szCs w:val="22"/>
        </w:rPr>
        <w:t xml:space="preserve">Situación de los migrantes y el acceso a los servicios de salud  </w:t>
      </w:r>
    </w:p>
    <w:p w14:paraId="779EDE8F" w14:textId="77777777" w:rsidR="0041395B" w:rsidRDefault="0020214C" w:rsidP="005668D6">
      <w:pPr>
        <w:numPr>
          <w:ilvl w:val="0"/>
          <w:numId w:val="7"/>
        </w:numPr>
        <w:pBdr>
          <w:top w:val="nil"/>
          <w:left w:val="nil"/>
          <w:bottom w:val="nil"/>
          <w:right w:val="nil"/>
          <w:between w:val="nil"/>
        </w:pBdr>
        <w:spacing w:after="0" w:line="240" w:lineRule="auto"/>
        <w:ind w:left="720" w:right="44"/>
        <w:jc w:val="both"/>
        <w:rPr>
          <w:rFonts w:ascii="Cambria" w:eastAsia="Cambria" w:hAnsi="Cambria" w:cs="Cambria"/>
          <w:color w:val="000000"/>
        </w:rPr>
      </w:pPr>
      <w:r>
        <w:rPr>
          <w:rFonts w:ascii="Cambria" w:eastAsia="Cambria" w:hAnsi="Cambria" w:cs="Cambria"/>
          <w:color w:val="000000"/>
        </w:rPr>
        <w:t xml:space="preserve">Los centros de salud deben </w:t>
      </w:r>
      <w:r>
        <w:rPr>
          <w:rFonts w:ascii="Cambria" w:eastAsia="Cambria" w:hAnsi="Cambria" w:cs="Cambria"/>
          <w:i/>
          <w:color w:val="000000"/>
        </w:rPr>
        <w:t>disponer</w:t>
      </w:r>
      <w:r>
        <w:rPr>
          <w:rFonts w:ascii="Cambria" w:eastAsia="Cambria" w:hAnsi="Cambria" w:cs="Cambria"/>
          <w:color w:val="000000"/>
        </w:rPr>
        <w:t xml:space="preserve"> de un entorno seguro y apropiado, con instalaciones seguras y de calidad, con personal c</w:t>
      </w:r>
      <w:r>
        <w:rPr>
          <w:rFonts w:ascii="Cambria" w:eastAsia="Cambria" w:hAnsi="Cambria" w:cs="Cambria"/>
          <w:color w:val="000000"/>
        </w:rPr>
        <w:t>apacitado y sensibilizado con las personas migrantes, manteniendo la empatía en la prestación de servicios.</w:t>
      </w:r>
    </w:p>
    <w:p w14:paraId="237990D4" w14:textId="44544853" w:rsidR="00766F63" w:rsidRPr="00766F63" w:rsidRDefault="0020214C" w:rsidP="00766F63">
      <w:pPr>
        <w:numPr>
          <w:ilvl w:val="0"/>
          <w:numId w:val="7"/>
        </w:numPr>
        <w:pBdr>
          <w:top w:val="nil"/>
          <w:left w:val="nil"/>
          <w:bottom w:val="nil"/>
          <w:right w:val="nil"/>
          <w:between w:val="nil"/>
        </w:pBdr>
        <w:spacing w:after="0" w:line="240" w:lineRule="auto"/>
        <w:ind w:left="720" w:right="44"/>
        <w:jc w:val="both"/>
        <w:rPr>
          <w:rFonts w:ascii="Cambria" w:eastAsia="Cambria" w:hAnsi="Cambria" w:cs="Cambria"/>
          <w:color w:val="000000"/>
        </w:rPr>
      </w:pPr>
      <w:r>
        <w:rPr>
          <w:rFonts w:ascii="Cambria" w:eastAsia="Cambria" w:hAnsi="Cambria" w:cs="Cambria"/>
          <w:color w:val="000000"/>
        </w:rPr>
        <w:t xml:space="preserve">Los establecimientos de salud deben </w:t>
      </w:r>
      <w:r>
        <w:rPr>
          <w:rFonts w:ascii="Cambria" w:eastAsia="Cambria" w:hAnsi="Cambria" w:cs="Cambria"/>
          <w:i/>
          <w:color w:val="000000"/>
        </w:rPr>
        <w:t>disponer</w:t>
      </w:r>
      <w:r>
        <w:rPr>
          <w:rFonts w:ascii="Cambria" w:eastAsia="Cambria" w:hAnsi="Cambria" w:cs="Cambria"/>
          <w:color w:val="000000"/>
        </w:rPr>
        <w:t xml:space="preserve"> de una línea de atención y un procedimiento accesible ante una queja y/o denuncia por </w:t>
      </w:r>
      <w:r>
        <w:rPr>
          <w:rFonts w:ascii="Cambria" w:eastAsia="Cambria" w:hAnsi="Cambria" w:cs="Cambria"/>
          <w:color w:val="000000"/>
        </w:rPr>
        <w:t>discriminación</w:t>
      </w:r>
      <w:r w:rsidR="00766F63">
        <w:rPr>
          <w:rFonts w:ascii="Cambria" w:eastAsia="Cambria" w:hAnsi="Cambria" w:cs="Cambria"/>
          <w:color w:val="000000"/>
        </w:rPr>
        <w:t>.</w:t>
      </w:r>
      <w:r w:rsidR="00766F63" w:rsidRPr="00766F63">
        <w:rPr>
          <w:rFonts w:ascii="Cambria" w:eastAsia="Cambria" w:hAnsi="Cambria" w:cs="Cambria"/>
          <w:iCs/>
          <w:color w:val="000000"/>
        </w:rPr>
        <w:t xml:space="preserve"> Este recurso debe ser un proceso expeditivo.</w:t>
      </w:r>
    </w:p>
    <w:p w14:paraId="68C4C259" w14:textId="77777777" w:rsidR="0041395B" w:rsidRPr="0020214C" w:rsidRDefault="0020214C" w:rsidP="005668D6">
      <w:pPr>
        <w:numPr>
          <w:ilvl w:val="0"/>
          <w:numId w:val="7"/>
        </w:numPr>
        <w:pBdr>
          <w:top w:val="nil"/>
          <w:left w:val="nil"/>
          <w:bottom w:val="nil"/>
          <w:right w:val="nil"/>
          <w:between w:val="nil"/>
        </w:pBdr>
        <w:spacing w:after="0" w:line="240" w:lineRule="auto"/>
        <w:ind w:left="720" w:right="44"/>
        <w:jc w:val="both"/>
        <w:rPr>
          <w:rFonts w:ascii="Cambria" w:eastAsia="Cambria" w:hAnsi="Cambria" w:cs="Cambria"/>
          <w:color w:val="000000"/>
          <w:lang w:val="es-ES"/>
        </w:rPr>
      </w:pPr>
      <w:r w:rsidRPr="0020214C">
        <w:rPr>
          <w:rFonts w:ascii="Cambria" w:eastAsia="Cambria" w:hAnsi="Cambria" w:cs="Cambria"/>
          <w:color w:val="000000"/>
          <w:lang w:val="es-ES"/>
        </w:rPr>
        <w:t xml:space="preserve">Los centros migratorios deben </w:t>
      </w:r>
      <w:r w:rsidRPr="0020214C">
        <w:rPr>
          <w:rFonts w:ascii="Cambria" w:eastAsia="Cambria" w:hAnsi="Cambria" w:cs="Cambria"/>
          <w:i/>
          <w:color w:val="000000"/>
          <w:lang w:val="es-ES"/>
        </w:rPr>
        <w:t xml:space="preserve">contar </w:t>
      </w:r>
      <w:r w:rsidRPr="0020214C">
        <w:rPr>
          <w:rFonts w:ascii="Cambria" w:eastAsia="Cambria" w:hAnsi="Cambria" w:cs="Cambria"/>
          <w:color w:val="000000"/>
          <w:lang w:val="es-ES"/>
        </w:rPr>
        <w:t>con instalaciones seguras y adecuadas que brinden atención a las personas migrantes y prestar especial cuidado en la atención a los solicitantes que presenten</w:t>
      </w:r>
      <w:r w:rsidRPr="0020214C">
        <w:rPr>
          <w:rFonts w:ascii="Cambria" w:eastAsia="Cambria" w:hAnsi="Cambria" w:cs="Cambria"/>
          <w:color w:val="000000"/>
          <w:lang w:val="es-ES"/>
        </w:rPr>
        <w:t xml:space="preserve"> una situación de vulnerabilidad.  </w:t>
      </w:r>
      <w:r w:rsidRPr="0020214C">
        <w:rPr>
          <w:rFonts w:ascii="Cambria" w:eastAsia="Cambria" w:hAnsi="Cambria" w:cs="Cambria"/>
          <w:i/>
          <w:color w:val="000000"/>
          <w:lang w:val="es-ES"/>
        </w:rPr>
        <w:t>Disponer</w:t>
      </w:r>
      <w:r w:rsidRPr="0020214C">
        <w:rPr>
          <w:rFonts w:ascii="Cambria" w:eastAsia="Cambria" w:hAnsi="Cambria" w:cs="Cambria"/>
          <w:color w:val="000000"/>
          <w:lang w:val="es-ES"/>
        </w:rPr>
        <w:t xml:space="preserve"> de espacios en el que se  respete la privacidad y confidencialidad del usuario migrante.</w:t>
      </w:r>
    </w:p>
    <w:p w14:paraId="5F60AFA4" w14:textId="77777777" w:rsidR="0041395B" w:rsidRDefault="0020214C" w:rsidP="005668D6">
      <w:pPr>
        <w:numPr>
          <w:ilvl w:val="0"/>
          <w:numId w:val="7"/>
        </w:numPr>
        <w:pBdr>
          <w:top w:val="nil"/>
          <w:left w:val="nil"/>
          <w:bottom w:val="nil"/>
          <w:right w:val="nil"/>
          <w:between w:val="nil"/>
        </w:pBdr>
        <w:spacing w:after="0" w:line="240" w:lineRule="auto"/>
        <w:ind w:left="720" w:right="44"/>
        <w:jc w:val="both"/>
        <w:rPr>
          <w:rFonts w:ascii="Cambria" w:eastAsia="Cambria" w:hAnsi="Cambria" w:cs="Cambria"/>
          <w:color w:val="000000"/>
        </w:rPr>
      </w:pPr>
      <w:r>
        <w:rPr>
          <w:rFonts w:ascii="Cambria" w:eastAsia="Cambria" w:hAnsi="Cambria" w:cs="Cambria"/>
          <w:i/>
          <w:color w:val="000000"/>
        </w:rPr>
        <w:t>Permitir</w:t>
      </w:r>
      <w:r>
        <w:rPr>
          <w:rFonts w:ascii="Cambria" w:eastAsia="Cambria" w:hAnsi="Cambria" w:cs="Cambria"/>
          <w:color w:val="000000"/>
        </w:rPr>
        <w:t xml:space="preserve"> la afiliación directa temporal de migrantes al SIS, en particular a grupos específicos como las mujeres gestantes,</w:t>
      </w:r>
      <w:r>
        <w:rPr>
          <w:rFonts w:ascii="Cambria" w:eastAsia="Cambria" w:hAnsi="Cambria" w:cs="Cambria"/>
          <w:color w:val="000000"/>
        </w:rPr>
        <w:t xml:space="preserve"> niñas y niños menores de 5 años</w:t>
      </w:r>
    </w:p>
    <w:p w14:paraId="429E79E2" w14:textId="77777777" w:rsidR="003D49E3" w:rsidRDefault="003D49E3" w:rsidP="003D49E3">
      <w:pPr>
        <w:pBdr>
          <w:top w:val="nil"/>
          <w:left w:val="nil"/>
          <w:bottom w:val="nil"/>
          <w:right w:val="nil"/>
          <w:between w:val="nil"/>
        </w:pBdr>
        <w:spacing w:after="0" w:line="240" w:lineRule="auto"/>
        <w:ind w:left="720" w:right="44"/>
        <w:jc w:val="both"/>
        <w:rPr>
          <w:rFonts w:ascii="Cambria" w:eastAsia="Cambria" w:hAnsi="Cambria" w:cs="Cambria"/>
          <w:color w:val="000000"/>
        </w:rPr>
      </w:pPr>
    </w:p>
    <w:p w14:paraId="1B3F0238" w14:textId="77777777" w:rsidR="0041395B" w:rsidRDefault="0020214C" w:rsidP="005668D6">
      <w:pPr>
        <w:widowControl/>
        <w:numPr>
          <w:ilvl w:val="0"/>
          <w:numId w:val="8"/>
        </w:numPr>
        <w:pBdr>
          <w:top w:val="nil"/>
          <w:left w:val="nil"/>
          <w:bottom w:val="nil"/>
          <w:right w:val="nil"/>
          <w:between w:val="nil"/>
        </w:pBdr>
        <w:tabs>
          <w:tab w:val="left" w:pos="2127"/>
        </w:tabs>
        <w:spacing w:after="0" w:line="240" w:lineRule="auto"/>
        <w:jc w:val="both"/>
        <w:rPr>
          <w:rFonts w:ascii="Cambria" w:eastAsia="Cambria" w:hAnsi="Cambria" w:cs="Cambria"/>
          <w:b/>
          <w:i/>
          <w:color w:val="000000"/>
        </w:rPr>
      </w:pPr>
      <w:r>
        <w:rPr>
          <w:rFonts w:ascii="Cambria" w:eastAsia="Cambria" w:hAnsi="Cambria" w:cs="Cambria"/>
          <w:b/>
          <w:i/>
          <w:color w:val="000000"/>
        </w:rPr>
        <w:t>Acceso a los servicios de salud sexual y reproductiva</w:t>
      </w:r>
    </w:p>
    <w:p w14:paraId="5B44D770" w14:textId="77777777" w:rsidR="0041395B" w:rsidRDefault="0041395B" w:rsidP="005668D6">
      <w:pPr>
        <w:widowControl/>
        <w:tabs>
          <w:tab w:val="left" w:pos="2127"/>
        </w:tabs>
        <w:spacing w:after="0" w:line="240" w:lineRule="auto"/>
        <w:jc w:val="both"/>
        <w:rPr>
          <w:rFonts w:ascii="Cambria" w:eastAsia="Cambria" w:hAnsi="Cambria" w:cs="Cambria"/>
          <w:b/>
          <w:color w:val="000000"/>
        </w:rPr>
      </w:pPr>
    </w:p>
    <w:p w14:paraId="7B09CD42" w14:textId="77777777" w:rsidR="0041395B" w:rsidRDefault="0020214C" w:rsidP="005668D6">
      <w:pPr>
        <w:widowControl/>
        <w:numPr>
          <w:ilvl w:val="0"/>
          <w:numId w:val="3"/>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i/>
          <w:color w:val="000000"/>
        </w:rPr>
        <w:t xml:space="preserve">Garantizar </w:t>
      </w:r>
      <w:r>
        <w:rPr>
          <w:rFonts w:ascii="Cambria" w:eastAsia="Cambria" w:hAnsi="Cambria" w:cs="Cambria"/>
          <w:color w:val="000000"/>
        </w:rPr>
        <w:t xml:space="preserve">el acceso a los servicios de salud sexual y reproductiva a todas las niñas, niños y adolescentes migrantes sin distinción geográfica, étnica, </w:t>
      </w:r>
      <w:r>
        <w:rPr>
          <w:rFonts w:ascii="Cambria" w:eastAsia="Cambria" w:hAnsi="Cambria" w:cs="Cambria"/>
          <w:color w:val="000000"/>
        </w:rPr>
        <w:t>discapacidad, orientación sexual, entre otras.</w:t>
      </w:r>
    </w:p>
    <w:p w14:paraId="42145A8E" w14:textId="77777777" w:rsidR="0041395B" w:rsidRDefault="0020214C" w:rsidP="005668D6">
      <w:pPr>
        <w:widowControl/>
        <w:numPr>
          <w:ilvl w:val="0"/>
          <w:numId w:val="3"/>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i/>
          <w:color w:val="000000"/>
        </w:rPr>
        <w:t>Adoptar e implementar</w:t>
      </w:r>
      <w:r>
        <w:rPr>
          <w:rFonts w:ascii="Cambria" w:eastAsia="Cambria" w:hAnsi="Cambria" w:cs="Cambria"/>
          <w:color w:val="000000"/>
        </w:rPr>
        <w:t xml:space="preserve"> una norma técnica sanitaria exclusiva para la atención integral diferenciada de las niñas embarazadas como consecuencia de una violación. </w:t>
      </w:r>
    </w:p>
    <w:p w14:paraId="21E2E3E9" w14:textId="77777777" w:rsidR="0041395B" w:rsidRDefault="0020214C" w:rsidP="005668D6">
      <w:pPr>
        <w:widowControl/>
        <w:numPr>
          <w:ilvl w:val="0"/>
          <w:numId w:val="3"/>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i/>
          <w:color w:val="000000"/>
        </w:rPr>
        <w:t>Adoptar y asignar</w:t>
      </w:r>
      <w:r>
        <w:rPr>
          <w:rFonts w:ascii="Cambria" w:eastAsia="Cambria" w:hAnsi="Cambria" w:cs="Cambria"/>
          <w:color w:val="000000"/>
        </w:rPr>
        <w:t xml:space="preserve"> presupuesto para garantizar qu</w:t>
      </w:r>
      <w:r>
        <w:rPr>
          <w:rFonts w:ascii="Cambria" w:eastAsia="Cambria" w:hAnsi="Cambria" w:cs="Cambria"/>
          <w:color w:val="000000"/>
        </w:rPr>
        <w:t>e en lo establecimientos de salud las personas migrantes puedan recibir atención de salud de calidad sin discriminación</w:t>
      </w:r>
    </w:p>
    <w:p w14:paraId="184E31D2" w14:textId="0B281CE1" w:rsidR="0041395B" w:rsidRPr="0020214C" w:rsidRDefault="0020214C" w:rsidP="005668D6">
      <w:pPr>
        <w:widowControl/>
        <w:numPr>
          <w:ilvl w:val="0"/>
          <w:numId w:val="3"/>
        </w:numPr>
        <w:pBdr>
          <w:top w:val="nil"/>
          <w:left w:val="nil"/>
          <w:bottom w:val="nil"/>
          <w:right w:val="nil"/>
          <w:between w:val="nil"/>
        </w:pBdr>
        <w:spacing w:after="0" w:line="240" w:lineRule="auto"/>
        <w:jc w:val="both"/>
        <w:rPr>
          <w:rFonts w:ascii="Cambria" w:eastAsia="Cambria" w:hAnsi="Cambria" w:cs="Cambria"/>
          <w:color w:val="000000"/>
          <w:lang w:val="es-ES"/>
        </w:rPr>
      </w:pPr>
      <w:r w:rsidRPr="0020214C">
        <w:rPr>
          <w:rFonts w:ascii="Cambria" w:eastAsia="Cambria" w:hAnsi="Cambria" w:cs="Cambria"/>
          <w:i/>
          <w:color w:val="000000"/>
          <w:lang w:val="es-ES"/>
        </w:rPr>
        <w:t>Derogar</w:t>
      </w:r>
      <w:r w:rsidRPr="0020214C">
        <w:rPr>
          <w:rFonts w:ascii="Cambria" w:eastAsia="Cambria" w:hAnsi="Cambria" w:cs="Cambria"/>
          <w:color w:val="000000"/>
          <w:lang w:val="es-ES"/>
        </w:rPr>
        <w:t xml:space="preserve"> la Ley </w:t>
      </w:r>
      <w:r w:rsidR="004846FD" w:rsidRPr="0020214C">
        <w:rPr>
          <w:rFonts w:ascii="Cambria" w:eastAsia="Cambria" w:hAnsi="Cambria" w:cs="Cambria"/>
          <w:color w:val="000000" w:themeColor="text1"/>
          <w:lang w:val="es-ES"/>
        </w:rPr>
        <w:t xml:space="preserve">N.º </w:t>
      </w:r>
      <w:r w:rsidRPr="0020214C">
        <w:rPr>
          <w:rFonts w:ascii="Cambria" w:eastAsia="Cambria" w:hAnsi="Cambria" w:cs="Cambria"/>
          <w:color w:val="000000"/>
          <w:lang w:val="es-ES"/>
        </w:rPr>
        <w:t xml:space="preserve">31935 </w:t>
      </w:r>
      <w:r w:rsidR="006A2726" w:rsidRPr="0020214C">
        <w:rPr>
          <w:rFonts w:ascii="Cambria" w:eastAsia="Cambria" w:hAnsi="Cambria" w:cs="Cambria"/>
          <w:color w:val="000000"/>
          <w:lang w:val="es-ES"/>
        </w:rPr>
        <w:t xml:space="preserve">y </w:t>
      </w:r>
      <w:r w:rsidR="006A2726" w:rsidRPr="0020214C">
        <w:rPr>
          <w:rFonts w:ascii="Cambria" w:eastAsia="Cambria" w:hAnsi="Cambria" w:cs="Cambria"/>
          <w:color w:val="000000" w:themeColor="text1"/>
          <w:lang w:val="es-ES"/>
        </w:rPr>
        <w:t>la ley N.º 32000</w:t>
      </w:r>
      <w:r w:rsidR="004846FD" w:rsidRPr="0020214C">
        <w:rPr>
          <w:rFonts w:ascii="Cambria" w:eastAsia="Cambria" w:hAnsi="Cambria" w:cs="Cambria"/>
          <w:color w:val="000000" w:themeColor="text1"/>
          <w:lang w:val="es-ES"/>
        </w:rPr>
        <w:t xml:space="preserve">, </w:t>
      </w:r>
      <w:r w:rsidRPr="0020214C">
        <w:rPr>
          <w:rFonts w:ascii="Cambria" w:eastAsia="Cambria" w:hAnsi="Cambria" w:cs="Cambria"/>
          <w:color w:val="000000"/>
          <w:lang w:val="es-ES"/>
        </w:rPr>
        <w:t xml:space="preserve">que reconoce derechos al concebido, </w:t>
      </w:r>
      <w:r w:rsidR="004846FD" w:rsidRPr="0020214C">
        <w:rPr>
          <w:rFonts w:ascii="Cambria" w:eastAsia="Cambria" w:hAnsi="Cambria" w:cs="Cambria"/>
          <w:color w:val="000000"/>
          <w:lang w:val="es-ES"/>
        </w:rPr>
        <w:t xml:space="preserve">y la ley </w:t>
      </w:r>
      <w:r w:rsidR="004846FD" w:rsidRPr="0020214C">
        <w:rPr>
          <w:rFonts w:ascii="Cambria" w:eastAsia="Cambria" w:hAnsi="Cambria" w:cs="Cambria"/>
          <w:color w:val="000000" w:themeColor="text1"/>
          <w:lang w:val="es-ES"/>
        </w:rPr>
        <w:t>N.º</w:t>
      </w:r>
      <w:r w:rsidR="004846FD" w:rsidRPr="0020214C">
        <w:rPr>
          <w:rFonts w:ascii="Cambria" w:eastAsia="Cambria" w:hAnsi="Cambria" w:cs="Cambria"/>
          <w:color w:val="000000"/>
          <w:lang w:val="es-ES"/>
        </w:rPr>
        <w:t xml:space="preserve"> 31498 </w:t>
      </w:r>
      <w:r w:rsidRPr="0020214C">
        <w:rPr>
          <w:rFonts w:ascii="Cambria" w:eastAsia="Cambria" w:hAnsi="Cambria" w:cs="Cambria"/>
          <w:color w:val="000000"/>
          <w:lang w:val="es-ES"/>
        </w:rPr>
        <w:t xml:space="preserve">por ser </w:t>
      </w:r>
      <w:r w:rsidR="004846FD" w:rsidRPr="0020214C">
        <w:rPr>
          <w:rFonts w:ascii="Cambria" w:eastAsia="Cambria" w:hAnsi="Cambria" w:cs="Cambria"/>
          <w:color w:val="000000"/>
          <w:lang w:val="es-ES"/>
        </w:rPr>
        <w:t>una disposición</w:t>
      </w:r>
      <w:r w:rsidRPr="0020214C">
        <w:rPr>
          <w:rFonts w:ascii="Cambria" w:eastAsia="Cambria" w:hAnsi="Cambria" w:cs="Cambria"/>
          <w:color w:val="000000"/>
          <w:lang w:val="es-ES"/>
        </w:rPr>
        <w:t xml:space="preserve"> </w:t>
      </w:r>
      <w:r w:rsidRPr="0020214C">
        <w:rPr>
          <w:rFonts w:ascii="Cambria" w:eastAsia="Cambria" w:hAnsi="Cambria" w:cs="Cambria"/>
          <w:color w:val="000000"/>
          <w:lang w:val="es-ES"/>
        </w:rPr>
        <w:t xml:space="preserve">inconvencional. </w:t>
      </w:r>
    </w:p>
    <w:p w14:paraId="0ADA0668" w14:textId="77777777" w:rsidR="0041395B" w:rsidRPr="0020214C" w:rsidRDefault="0041395B" w:rsidP="005668D6">
      <w:pPr>
        <w:widowControl/>
        <w:pBdr>
          <w:top w:val="nil"/>
          <w:left w:val="nil"/>
          <w:bottom w:val="nil"/>
          <w:right w:val="nil"/>
          <w:between w:val="nil"/>
        </w:pBdr>
        <w:tabs>
          <w:tab w:val="left" w:pos="2127"/>
        </w:tabs>
        <w:spacing w:after="0" w:line="240" w:lineRule="auto"/>
        <w:ind w:left="720"/>
        <w:jc w:val="both"/>
        <w:rPr>
          <w:rFonts w:ascii="Cambria" w:eastAsia="Cambria" w:hAnsi="Cambria" w:cs="Cambria"/>
          <w:b/>
          <w:color w:val="000000"/>
          <w:lang w:val="es-ES"/>
        </w:rPr>
      </w:pPr>
    </w:p>
    <w:p w14:paraId="69347156" w14:textId="77777777" w:rsidR="0041395B" w:rsidRDefault="0020214C" w:rsidP="005668D6">
      <w:pPr>
        <w:numPr>
          <w:ilvl w:val="0"/>
          <w:numId w:val="8"/>
        </w:numPr>
        <w:pBdr>
          <w:top w:val="nil"/>
          <w:left w:val="nil"/>
          <w:bottom w:val="nil"/>
          <w:right w:val="nil"/>
          <w:between w:val="nil"/>
        </w:pBdr>
        <w:spacing w:after="0" w:line="240" w:lineRule="auto"/>
        <w:jc w:val="both"/>
        <w:rPr>
          <w:rFonts w:ascii="Cambria" w:eastAsia="Cambria" w:hAnsi="Cambria" w:cs="Cambria"/>
          <w:b/>
          <w:i/>
          <w:color w:val="000000"/>
        </w:rPr>
      </w:pPr>
      <w:r>
        <w:rPr>
          <w:rFonts w:ascii="Cambria" w:eastAsia="Cambria" w:hAnsi="Cambria" w:cs="Cambria"/>
          <w:b/>
          <w:i/>
          <w:color w:val="000000"/>
        </w:rPr>
        <w:t>Acceso a métodos de anticoncepción modernos y gama completa de información</w:t>
      </w:r>
    </w:p>
    <w:p w14:paraId="1BECDADE" w14:textId="77777777" w:rsidR="0041395B" w:rsidRDefault="0041395B" w:rsidP="005668D6">
      <w:pPr>
        <w:widowControl/>
        <w:pBdr>
          <w:top w:val="nil"/>
          <w:left w:val="nil"/>
          <w:bottom w:val="nil"/>
          <w:right w:val="nil"/>
          <w:between w:val="nil"/>
        </w:pBdr>
        <w:tabs>
          <w:tab w:val="left" w:pos="2127"/>
        </w:tabs>
        <w:spacing w:after="0" w:line="240" w:lineRule="auto"/>
        <w:ind w:left="720"/>
        <w:jc w:val="both"/>
        <w:rPr>
          <w:rFonts w:ascii="Cambria" w:eastAsia="Cambria" w:hAnsi="Cambria" w:cs="Cambria"/>
          <w:b/>
          <w:color w:val="000000"/>
        </w:rPr>
      </w:pPr>
    </w:p>
    <w:p w14:paraId="68953C54" w14:textId="77777777" w:rsidR="0041395B" w:rsidRPr="0020214C" w:rsidRDefault="0020214C" w:rsidP="005668D6">
      <w:pPr>
        <w:widowControl/>
        <w:numPr>
          <w:ilvl w:val="0"/>
          <w:numId w:val="3"/>
        </w:numPr>
        <w:pBdr>
          <w:top w:val="nil"/>
          <w:left w:val="nil"/>
          <w:bottom w:val="nil"/>
          <w:right w:val="nil"/>
          <w:between w:val="nil"/>
        </w:pBdr>
        <w:spacing w:after="0" w:line="240" w:lineRule="auto"/>
        <w:jc w:val="both"/>
        <w:rPr>
          <w:rFonts w:ascii="Cambria" w:eastAsia="Cambria" w:hAnsi="Cambria" w:cs="Cambria"/>
          <w:color w:val="000000"/>
          <w:lang w:val="es-ES"/>
        </w:rPr>
      </w:pPr>
      <w:r w:rsidRPr="0020214C">
        <w:rPr>
          <w:rFonts w:ascii="Cambria" w:eastAsia="Cambria" w:hAnsi="Cambria" w:cs="Cambria"/>
          <w:i/>
          <w:color w:val="000000"/>
          <w:lang w:val="es-ES"/>
        </w:rPr>
        <w:t>Garantizar</w:t>
      </w:r>
      <w:r w:rsidRPr="0020214C">
        <w:rPr>
          <w:rFonts w:ascii="Cambria" w:eastAsia="Cambria" w:hAnsi="Cambria" w:cs="Cambria"/>
          <w:color w:val="000000"/>
          <w:lang w:val="es-ES"/>
        </w:rPr>
        <w:t xml:space="preserve"> la accesibilidad y disponibilidad permanente a información y a la distribución de la anticoncepción oral de emergencia en servicios de salud </w:t>
      </w:r>
      <w:r w:rsidRPr="0020214C">
        <w:rPr>
          <w:rFonts w:ascii="Cambria" w:eastAsia="Cambria" w:hAnsi="Cambria" w:cs="Cambria"/>
          <w:color w:val="000000"/>
          <w:lang w:val="es-ES"/>
        </w:rPr>
        <w:t>públicos, incluyendo a las víctimas de violación sexual.</w:t>
      </w:r>
    </w:p>
    <w:p w14:paraId="40385FDF" w14:textId="77777777" w:rsidR="0041395B" w:rsidRDefault="0020214C" w:rsidP="005668D6">
      <w:pPr>
        <w:widowControl/>
        <w:numPr>
          <w:ilvl w:val="0"/>
          <w:numId w:val="3"/>
        </w:numPr>
        <w:pBdr>
          <w:top w:val="nil"/>
          <w:left w:val="nil"/>
          <w:bottom w:val="nil"/>
          <w:right w:val="nil"/>
          <w:between w:val="nil"/>
        </w:pBdr>
        <w:tabs>
          <w:tab w:val="left" w:pos="2127"/>
        </w:tabs>
        <w:spacing w:after="0" w:line="240" w:lineRule="auto"/>
        <w:jc w:val="both"/>
        <w:rPr>
          <w:rFonts w:ascii="Cambria" w:eastAsia="Cambria" w:hAnsi="Cambria" w:cs="Cambria"/>
          <w:color w:val="000000"/>
        </w:rPr>
      </w:pPr>
      <w:r>
        <w:rPr>
          <w:rFonts w:ascii="Cambria" w:eastAsia="Cambria" w:hAnsi="Cambria" w:cs="Cambria"/>
          <w:i/>
          <w:color w:val="000000"/>
        </w:rPr>
        <w:t xml:space="preserve">Vigilar </w:t>
      </w:r>
      <w:r>
        <w:rPr>
          <w:rFonts w:ascii="Cambria" w:eastAsia="Cambria" w:hAnsi="Cambria" w:cs="Cambria"/>
          <w:color w:val="000000"/>
        </w:rPr>
        <w:t xml:space="preserve">la distribución y provisión de la anticoncepción de emergencia de manera gratuita y a nivel nacional, para que sea accesible a todas las mujeres migrantes que acudan a servicios de salud </w:t>
      </w:r>
      <w:r>
        <w:rPr>
          <w:rFonts w:ascii="Cambria" w:eastAsia="Cambria" w:hAnsi="Cambria" w:cs="Cambria"/>
          <w:color w:val="000000"/>
        </w:rPr>
        <w:t>públicos y privados.</w:t>
      </w:r>
    </w:p>
    <w:p w14:paraId="4DC2C36E" w14:textId="77777777" w:rsidR="0041395B" w:rsidRDefault="0020214C" w:rsidP="005668D6">
      <w:pPr>
        <w:widowControl/>
        <w:numPr>
          <w:ilvl w:val="0"/>
          <w:numId w:val="3"/>
        </w:numPr>
        <w:pBdr>
          <w:top w:val="nil"/>
          <w:left w:val="nil"/>
          <w:bottom w:val="nil"/>
          <w:right w:val="nil"/>
          <w:between w:val="nil"/>
        </w:pBdr>
        <w:tabs>
          <w:tab w:val="left" w:pos="2127"/>
        </w:tabs>
        <w:spacing w:after="0" w:line="240" w:lineRule="auto"/>
        <w:jc w:val="both"/>
        <w:rPr>
          <w:rFonts w:ascii="Cambria" w:eastAsia="Cambria" w:hAnsi="Cambria" w:cs="Cambria"/>
          <w:color w:val="000000"/>
        </w:rPr>
      </w:pPr>
      <w:r>
        <w:rPr>
          <w:rFonts w:ascii="Cambria" w:eastAsia="Cambria" w:hAnsi="Cambria" w:cs="Cambria"/>
          <w:i/>
          <w:color w:val="000000"/>
        </w:rPr>
        <w:t xml:space="preserve">Garantizar </w:t>
      </w:r>
      <w:r>
        <w:rPr>
          <w:rFonts w:ascii="Cambria" w:eastAsia="Cambria" w:hAnsi="Cambria" w:cs="Cambria"/>
          <w:color w:val="000000"/>
        </w:rPr>
        <w:t>que en los centros de salud se entregue la AOE a las adolescentes migrantes sin supervisión de adultos y que los proveedores de salud, no discriminen y estigmaticen la entrega de la AOE a las adolescentes.</w:t>
      </w:r>
    </w:p>
    <w:p w14:paraId="43D02F7F" w14:textId="77777777" w:rsidR="0041395B" w:rsidRDefault="0041395B" w:rsidP="005668D6">
      <w:pPr>
        <w:widowControl/>
        <w:pBdr>
          <w:top w:val="nil"/>
          <w:left w:val="nil"/>
          <w:bottom w:val="nil"/>
          <w:right w:val="nil"/>
          <w:between w:val="nil"/>
        </w:pBdr>
        <w:tabs>
          <w:tab w:val="left" w:pos="2127"/>
        </w:tabs>
        <w:spacing w:after="0" w:line="240" w:lineRule="auto"/>
        <w:ind w:left="720"/>
        <w:jc w:val="both"/>
        <w:rPr>
          <w:rFonts w:ascii="Cambria" w:eastAsia="Cambria" w:hAnsi="Cambria" w:cs="Cambria"/>
          <w:b/>
          <w:color w:val="000000"/>
        </w:rPr>
      </w:pPr>
    </w:p>
    <w:p w14:paraId="24BB017E" w14:textId="77777777" w:rsidR="0041395B" w:rsidRDefault="0020214C" w:rsidP="005668D6">
      <w:pPr>
        <w:widowControl/>
        <w:numPr>
          <w:ilvl w:val="0"/>
          <w:numId w:val="8"/>
        </w:numPr>
        <w:pBdr>
          <w:top w:val="nil"/>
          <w:left w:val="nil"/>
          <w:bottom w:val="nil"/>
          <w:right w:val="nil"/>
          <w:between w:val="nil"/>
        </w:pBdr>
        <w:tabs>
          <w:tab w:val="left" w:pos="2127"/>
        </w:tabs>
        <w:spacing w:after="0" w:line="240" w:lineRule="auto"/>
        <w:jc w:val="both"/>
        <w:rPr>
          <w:rFonts w:ascii="Cambria" w:eastAsia="Cambria" w:hAnsi="Cambria" w:cs="Cambria"/>
          <w:b/>
          <w:color w:val="000000"/>
        </w:rPr>
      </w:pPr>
      <w:r>
        <w:rPr>
          <w:rFonts w:ascii="Cambria" w:eastAsia="Cambria" w:hAnsi="Cambria" w:cs="Cambria"/>
          <w:b/>
          <w:color w:val="000000"/>
        </w:rPr>
        <w:t>Prevención de emb</w:t>
      </w:r>
      <w:r>
        <w:rPr>
          <w:rFonts w:ascii="Cambria" w:eastAsia="Cambria" w:hAnsi="Cambria" w:cs="Cambria"/>
          <w:b/>
          <w:color w:val="000000"/>
        </w:rPr>
        <w:t>arazos forzados y mortalidad materna</w:t>
      </w:r>
    </w:p>
    <w:p w14:paraId="3534F6E5" w14:textId="77777777" w:rsidR="0041395B" w:rsidRDefault="0041395B" w:rsidP="005668D6">
      <w:pPr>
        <w:tabs>
          <w:tab w:val="left" w:pos="2127"/>
        </w:tabs>
        <w:spacing w:after="0" w:line="240" w:lineRule="auto"/>
        <w:ind w:left="360"/>
        <w:jc w:val="both"/>
        <w:rPr>
          <w:rFonts w:ascii="Cambria" w:eastAsia="Cambria" w:hAnsi="Cambria" w:cs="Cambria"/>
          <w:color w:val="000000"/>
        </w:rPr>
      </w:pPr>
    </w:p>
    <w:p w14:paraId="4BF08AE7" w14:textId="77777777" w:rsidR="0041395B" w:rsidRPr="0020214C" w:rsidRDefault="0020214C" w:rsidP="005668D6">
      <w:pPr>
        <w:numPr>
          <w:ilvl w:val="0"/>
          <w:numId w:val="3"/>
        </w:numPr>
        <w:pBdr>
          <w:top w:val="nil"/>
          <w:left w:val="nil"/>
          <w:bottom w:val="nil"/>
          <w:right w:val="nil"/>
          <w:between w:val="nil"/>
        </w:pBdr>
        <w:tabs>
          <w:tab w:val="left" w:pos="2127"/>
        </w:tabs>
        <w:spacing w:after="0" w:line="240" w:lineRule="auto"/>
        <w:jc w:val="both"/>
        <w:rPr>
          <w:rFonts w:ascii="Cambria" w:eastAsia="Cambria" w:hAnsi="Cambria" w:cs="Cambria"/>
          <w:color w:val="000000"/>
          <w:lang w:val="es-ES"/>
        </w:rPr>
      </w:pPr>
      <w:r w:rsidRPr="0020214C">
        <w:rPr>
          <w:rFonts w:ascii="Cambria" w:eastAsia="Cambria" w:hAnsi="Cambria" w:cs="Cambria"/>
          <w:i/>
          <w:color w:val="000000"/>
          <w:lang w:val="es-ES"/>
        </w:rPr>
        <w:t>Adoptar</w:t>
      </w:r>
      <w:r w:rsidRPr="0020214C">
        <w:rPr>
          <w:rFonts w:ascii="Cambria" w:eastAsia="Cambria" w:hAnsi="Cambria" w:cs="Cambria"/>
          <w:color w:val="000000"/>
          <w:lang w:val="es-ES"/>
        </w:rPr>
        <w:t xml:space="preserve"> disposiciones  y asignar presupuesto para reducir la tasa de embarazos forzados de mujeres migrantes, especialmente de las niñas y adolescentes, y asegurar la accesibilidad y disponibilidad de los </w:t>
      </w:r>
      <w:r w:rsidRPr="0020214C">
        <w:rPr>
          <w:rFonts w:ascii="Cambria" w:eastAsia="Cambria" w:hAnsi="Cambria" w:cs="Cambria"/>
          <w:color w:val="000000"/>
          <w:lang w:val="es-ES"/>
        </w:rPr>
        <w:t>servicios de salud sexual y reproductiva de forma integral incluyendo la AOE.</w:t>
      </w:r>
    </w:p>
    <w:p w14:paraId="660DA658" w14:textId="77777777" w:rsidR="0041395B" w:rsidRDefault="0020214C" w:rsidP="005668D6">
      <w:pPr>
        <w:numPr>
          <w:ilvl w:val="0"/>
          <w:numId w:val="3"/>
        </w:numPr>
        <w:pBdr>
          <w:top w:val="nil"/>
          <w:left w:val="nil"/>
          <w:bottom w:val="nil"/>
          <w:right w:val="nil"/>
          <w:between w:val="nil"/>
        </w:pBdr>
        <w:tabs>
          <w:tab w:val="left" w:pos="2127"/>
        </w:tabs>
        <w:spacing w:after="0" w:line="240" w:lineRule="auto"/>
        <w:jc w:val="both"/>
        <w:rPr>
          <w:rFonts w:ascii="Cambria" w:eastAsia="Cambria" w:hAnsi="Cambria" w:cs="Cambria"/>
          <w:color w:val="000000"/>
        </w:rPr>
      </w:pPr>
      <w:r>
        <w:rPr>
          <w:rFonts w:ascii="Cambria" w:eastAsia="Cambria" w:hAnsi="Cambria" w:cs="Cambria"/>
          <w:i/>
          <w:color w:val="000000"/>
        </w:rPr>
        <w:t>Garantizar</w:t>
      </w:r>
      <w:r>
        <w:rPr>
          <w:rFonts w:ascii="Cambria" w:eastAsia="Cambria" w:hAnsi="Cambria" w:cs="Cambria"/>
          <w:color w:val="000000"/>
        </w:rPr>
        <w:t xml:space="preserve"> medidas de prevención frente a mortalidad y morbilidad materna en </w:t>
      </w:r>
      <w:r>
        <w:rPr>
          <w:rFonts w:ascii="Cambria" w:eastAsia="Cambria" w:hAnsi="Cambria" w:cs="Cambria"/>
          <w:color w:val="000000"/>
        </w:rPr>
        <w:lastRenderedPageBreak/>
        <w:t>niñas y adolescentes migrantes.</w:t>
      </w:r>
    </w:p>
    <w:p w14:paraId="34B3636C" w14:textId="77777777" w:rsidR="0041395B" w:rsidRDefault="0020214C" w:rsidP="005668D6">
      <w:pPr>
        <w:numPr>
          <w:ilvl w:val="0"/>
          <w:numId w:val="3"/>
        </w:numPr>
        <w:pBdr>
          <w:top w:val="nil"/>
          <w:left w:val="nil"/>
          <w:bottom w:val="nil"/>
          <w:right w:val="nil"/>
          <w:between w:val="nil"/>
        </w:pBdr>
        <w:tabs>
          <w:tab w:val="left" w:pos="2127"/>
        </w:tabs>
        <w:spacing w:after="0" w:line="240" w:lineRule="auto"/>
        <w:jc w:val="both"/>
        <w:rPr>
          <w:rFonts w:ascii="Cambria" w:eastAsia="Cambria" w:hAnsi="Cambria" w:cs="Cambria"/>
          <w:color w:val="000000"/>
        </w:rPr>
      </w:pPr>
      <w:r>
        <w:rPr>
          <w:rFonts w:ascii="Cambria" w:eastAsia="Cambria" w:hAnsi="Cambria" w:cs="Cambria"/>
          <w:i/>
          <w:color w:val="000000"/>
        </w:rPr>
        <w:t>Garantizar</w:t>
      </w:r>
      <w:r>
        <w:rPr>
          <w:rFonts w:ascii="Cambria" w:eastAsia="Cambria" w:hAnsi="Cambria" w:cs="Cambria"/>
          <w:color w:val="000000"/>
        </w:rPr>
        <w:t xml:space="preserve"> la atención de las mujeres migrantes gestantes en sus cont</w:t>
      </w:r>
      <w:r>
        <w:rPr>
          <w:rFonts w:ascii="Cambria" w:eastAsia="Cambria" w:hAnsi="Cambria" w:cs="Cambria"/>
          <w:color w:val="000000"/>
        </w:rPr>
        <w:t>roles prenatales y atención del parto con estándares de calidad, incluido el derecho a interrumpir un embarazo por causal salud.</w:t>
      </w:r>
    </w:p>
    <w:p w14:paraId="60F9FDD3" w14:textId="77777777" w:rsidR="0041395B" w:rsidRDefault="0041395B" w:rsidP="005668D6">
      <w:pPr>
        <w:widowControl/>
        <w:tabs>
          <w:tab w:val="left" w:pos="2127"/>
        </w:tabs>
        <w:spacing w:after="0" w:line="240" w:lineRule="auto"/>
        <w:jc w:val="both"/>
        <w:rPr>
          <w:rFonts w:ascii="Cambria" w:eastAsia="Cambria" w:hAnsi="Cambria" w:cs="Cambria"/>
          <w:b/>
          <w:color w:val="000000"/>
        </w:rPr>
      </w:pPr>
    </w:p>
    <w:p w14:paraId="718B6E74" w14:textId="77777777" w:rsidR="0041395B" w:rsidRDefault="0020214C" w:rsidP="005668D6">
      <w:pPr>
        <w:widowControl/>
        <w:numPr>
          <w:ilvl w:val="0"/>
          <w:numId w:val="8"/>
        </w:numPr>
        <w:pBdr>
          <w:top w:val="nil"/>
          <w:left w:val="nil"/>
          <w:bottom w:val="nil"/>
          <w:right w:val="nil"/>
          <w:between w:val="nil"/>
        </w:pBdr>
        <w:tabs>
          <w:tab w:val="left" w:pos="2127"/>
        </w:tabs>
        <w:spacing w:after="0" w:line="240" w:lineRule="auto"/>
        <w:jc w:val="both"/>
        <w:rPr>
          <w:rFonts w:ascii="Cambria" w:eastAsia="Cambria" w:hAnsi="Cambria" w:cs="Cambria"/>
          <w:b/>
          <w:color w:val="000000"/>
        </w:rPr>
      </w:pPr>
      <w:r>
        <w:rPr>
          <w:rFonts w:ascii="Cambria" w:eastAsia="Cambria" w:hAnsi="Cambria" w:cs="Cambria"/>
          <w:b/>
          <w:color w:val="000000"/>
        </w:rPr>
        <w:t xml:space="preserve"> Acceso al aborto terapéutico y despenalización del aborto</w:t>
      </w:r>
    </w:p>
    <w:p w14:paraId="0D193A13" w14:textId="77777777" w:rsidR="0041395B" w:rsidRDefault="0041395B" w:rsidP="005668D6">
      <w:pPr>
        <w:tabs>
          <w:tab w:val="left" w:pos="2127"/>
        </w:tabs>
        <w:spacing w:after="0" w:line="240" w:lineRule="auto"/>
        <w:jc w:val="both"/>
        <w:rPr>
          <w:rFonts w:ascii="Cambria" w:eastAsia="Cambria" w:hAnsi="Cambria" w:cs="Cambria"/>
          <w:color w:val="000000"/>
        </w:rPr>
      </w:pPr>
    </w:p>
    <w:p w14:paraId="1BD5ADF7" w14:textId="77777777" w:rsidR="0041395B" w:rsidRDefault="0020214C" w:rsidP="005668D6">
      <w:pPr>
        <w:widowControl/>
        <w:numPr>
          <w:ilvl w:val="0"/>
          <w:numId w:val="3"/>
        </w:numPr>
        <w:pBdr>
          <w:top w:val="nil"/>
          <w:left w:val="nil"/>
          <w:bottom w:val="nil"/>
          <w:right w:val="nil"/>
          <w:between w:val="nil"/>
        </w:pBdr>
        <w:spacing w:after="0" w:line="240" w:lineRule="auto"/>
        <w:jc w:val="both"/>
        <w:rPr>
          <w:rFonts w:ascii="Cambria" w:eastAsia="Cambria" w:hAnsi="Cambria" w:cs="Cambria"/>
          <w:i/>
          <w:color w:val="000000"/>
        </w:rPr>
      </w:pPr>
      <w:r>
        <w:rPr>
          <w:rFonts w:ascii="Cambria" w:eastAsia="Cambria" w:hAnsi="Cambria" w:cs="Cambria"/>
          <w:i/>
          <w:color w:val="000000"/>
        </w:rPr>
        <w:t xml:space="preserve">Cumplir </w:t>
      </w:r>
      <w:r>
        <w:rPr>
          <w:rFonts w:ascii="Cambria" w:eastAsia="Cambria" w:hAnsi="Cambria" w:cs="Cambria"/>
          <w:color w:val="000000"/>
        </w:rPr>
        <w:t>con lo dispuesto por el Comité de los</w:t>
      </w:r>
      <w:r>
        <w:rPr>
          <w:rFonts w:ascii="Cambria" w:eastAsia="Cambria" w:hAnsi="Cambria" w:cs="Cambria"/>
          <w:color w:val="000000"/>
        </w:rPr>
        <w:t xml:space="preserve"> Derechos del Niño en el caso Camila </w:t>
      </w:r>
      <w:r>
        <w:rPr>
          <w:rFonts w:ascii="Cambria" w:eastAsia="Cambria" w:hAnsi="Cambria" w:cs="Cambria"/>
          <w:i/>
          <w:color w:val="000000"/>
        </w:rPr>
        <w:t>c.</w:t>
      </w:r>
      <w:r>
        <w:rPr>
          <w:rFonts w:ascii="Cambria" w:eastAsia="Cambria" w:hAnsi="Cambria" w:cs="Cambria"/>
          <w:color w:val="000000"/>
        </w:rPr>
        <w:t xml:space="preserve"> Perú (2023), que fijo como medidas de no repetición la despenalización del aborto en casos de violación sexual.</w:t>
      </w:r>
    </w:p>
    <w:p w14:paraId="6F7FA602" w14:textId="77777777" w:rsidR="0041395B" w:rsidRDefault="0020214C" w:rsidP="005668D6">
      <w:pPr>
        <w:widowControl/>
        <w:numPr>
          <w:ilvl w:val="0"/>
          <w:numId w:val="3"/>
        </w:numPr>
        <w:pBdr>
          <w:top w:val="nil"/>
          <w:left w:val="nil"/>
          <w:bottom w:val="nil"/>
          <w:right w:val="nil"/>
          <w:between w:val="nil"/>
        </w:pBdr>
        <w:spacing w:after="0" w:line="240" w:lineRule="auto"/>
        <w:jc w:val="both"/>
        <w:rPr>
          <w:rFonts w:ascii="Cambria" w:eastAsia="Cambria" w:hAnsi="Cambria" w:cs="Cambria"/>
          <w:i/>
          <w:color w:val="000000"/>
        </w:rPr>
      </w:pPr>
      <w:r>
        <w:rPr>
          <w:rFonts w:ascii="Cambria" w:eastAsia="Cambria" w:hAnsi="Cambria" w:cs="Cambria"/>
          <w:i/>
          <w:color w:val="000000"/>
        </w:rPr>
        <w:t>Aprobar</w:t>
      </w:r>
      <w:r>
        <w:rPr>
          <w:rFonts w:ascii="Cambria" w:eastAsia="Cambria" w:hAnsi="Cambria" w:cs="Cambria"/>
          <w:color w:val="000000"/>
        </w:rPr>
        <w:t xml:space="preserve"> las normas del sector salud referidas a la atención integral de la salud sexual y reproductiva d</w:t>
      </w:r>
      <w:r>
        <w:rPr>
          <w:rFonts w:ascii="Cambria" w:eastAsia="Cambria" w:hAnsi="Cambria" w:cs="Cambria"/>
          <w:color w:val="000000"/>
        </w:rPr>
        <w:t>e los adolescentes y mujeres migrantes. Así como fortalecer las competencias de las y los profesionales de la salud en temas relativos a las necesidades de salud sexual y reproductiva de los y las adolescentes migrantes teniendo en cuenta los enfoques de g</w:t>
      </w:r>
      <w:r>
        <w:rPr>
          <w:rFonts w:ascii="Cambria" w:eastAsia="Cambria" w:hAnsi="Cambria" w:cs="Cambria"/>
          <w:color w:val="000000"/>
        </w:rPr>
        <w:t>énero e interculturalidad</w:t>
      </w:r>
      <w:r>
        <w:rPr>
          <w:rFonts w:ascii="Cambria" w:eastAsia="Cambria" w:hAnsi="Cambria" w:cs="Cambria"/>
          <w:i/>
          <w:color w:val="000000"/>
        </w:rPr>
        <w:t>.</w:t>
      </w:r>
    </w:p>
    <w:p w14:paraId="0F108D4C" w14:textId="77777777" w:rsidR="0041395B" w:rsidRDefault="0020214C" w:rsidP="005668D6">
      <w:pPr>
        <w:widowControl/>
        <w:numPr>
          <w:ilvl w:val="0"/>
          <w:numId w:val="3"/>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i/>
          <w:color w:val="000000"/>
        </w:rPr>
        <w:t>Revisar</w:t>
      </w:r>
      <w:r>
        <w:rPr>
          <w:rFonts w:ascii="Cambria" w:eastAsia="Cambria" w:hAnsi="Cambria" w:cs="Cambria"/>
          <w:color w:val="000000"/>
        </w:rPr>
        <w:t xml:space="preserve"> la Guía Técnica, con la finalidad que se eliminen las barreras que se han impuesto a las mujeres migrantes para acceder al aborto terapéutico y desarrollar directrices específicas para su implementación.</w:t>
      </w:r>
    </w:p>
    <w:p w14:paraId="090945C0" w14:textId="77777777" w:rsidR="0041395B" w:rsidRDefault="0020214C" w:rsidP="005668D6">
      <w:pPr>
        <w:widowControl/>
        <w:numPr>
          <w:ilvl w:val="0"/>
          <w:numId w:val="3"/>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i/>
          <w:color w:val="000000"/>
        </w:rPr>
        <w:t>Derogar</w:t>
      </w:r>
      <w:r>
        <w:rPr>
          <w:rFonts w:ascii="Cambria" w:eastAsia="Cambria" w:hAnsi="Cambria" w:cs="Cambria"/>
          <w:color w:val="000000"/>
        </w:rPr>
        <w:t xml:space="preserve"> el Artícu</w:t>
      </w:r>
      <w:r>
        <w:rPr>
          <w:rFonts w:ascii="Cambria" w:eastAsia="Cambria" w:hAnsi="Cambria" w:cs="Cambria"/>
          <w:color w:val="000000"/>
        </w:rPr>
        <w:t>lo 30 de la Ley General de Salud por ser inconstitucional e inconvencional y estar en contradicción con el derecho al secreto profesional y al derecho a la intimidad, salud y vida de las adolescentes.</w:t>
      </w:r>
    </w:p>
    <w:p w14:paraId="43C57F83" w14:textId="77777777" w:rsidR="0041395B" w:rsidRDefault="0020214C" w:rsidP="005668D6">
      <w:pPr>
        <w:widowControl/>
        <w:numPr>
          <w:ilvl w:val="0"/>
          <w:numId w:val="3"/>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 xml:space="preserve">El Ministerio Público debe </w:t>
      </w:r>
      <w:r>
        <w:rPr>
          <w:rFonts w:ascii="Cambria" w:eastAsia="Cambria" w:hAnsi="Cambria" w:cs="Cambria"/>
          <w:i/>
          <w:color w:val="000000"/>
        </w:rPr>
        <w:t>transparentar</w:t>
      </w:r>
      <w:r>
        <w:rPr>
          <w:rFonts w:ascii="Cambria" w:eastAsia="Cambria" w:hAnsi="Cambria" w:cs="Cambria"/>
          <w:color w:val="000000"/>
        </w:rPr>
        <w:t xml:space="preserve"> la información</w:t>
      </w:r>
      <w:r>
        <w:rPr>
          <w:rFonts w:ascii="Cambria" w:eastAsia="Cambria" w:hAnsi="Cambria" w:cs="Cambria"/>
          <w:color w:val="000000"/>
        </w:rPr>
        <w:t xml:space="preserve"> acerca de las personas encarceladas y sentenciadas por la realización de abortos según las distintas causales. Además, debe </w:t>
      </w:r>
      <w:r>
        <w:rPr>
          <w:rFonts w:ascii="Cambria" w:eastAsia="Cambria" w:hAnsi="Cambria" w:cs="Cambria"/>
          <w:i/>
          <w:color w:val="000000"/>
        </w:rPr>
        <w:t>proveer</w:t>
      </w:r>
      <w:r>
        <w:rPr>
          <w:rFonts w:ascii="Cambria" w:eastAsia="Cambria" w:hAnsi="Cambria" w:cs="Cambria"/>
          <w:color w:val="000000"/>
        </w:rPr>
        <w:t xml:space="preserve"> información del proceso judicial de personas encarceladas que no cuentan con una sentencia y siguen privadas de su libertad</w:t>
      </w:r>
      <w:r>
        <w:rPr>
          <w:rFonts w:ascii="Cambria" w:eastAsia="Cambria" w:hAnsi="Cambria" w:cs="Cambria"/>
          <w:color w:val="000000"/>
        </w:rPr>
        <w:t xml:space="preserve">. </w:t>
      </w:r>
    </w:p>
    <w:p w14:paraId="0AB9973D" w14:textId="6C8E7440" w:rsidR="0041395B" w:rsidRDefault="0020214C" w:rsidP="005668D6">
      <w:pPr>
        <w:widowControl/>
        <w:numPr>
          <w:ilvl w:val="0"/>
          <w:numId w:val="3"/>
        </w:numPr>
        <w:pBdr>
          <w:top w:val="nil"/>
          <w:left w:val="nil"/>
          <w:bottom w:val="nil"/>
          <w:right w:val="nil"/>
          <w:between w:val="nil"/>
        </w:pBdr>
        <w:spacing w:after="0" w:line="240" w:lineRule="auto"/>
        <w:jc w:val="both"/>
        <w:rPr>
          <w:rFonts w:ascii="Cambria" w:eastAsia="Cambria" w:hAnsi="Cambria" w:cs="Cambria"/>
          <w:color w:val="000000"/>
        </w:rPr>
      </w:pPr>
      <w:r>
        <w:rPr>
          <w:rFonts w:ascii="Cambria" w:eastAsia="Cambria" w:hAnsi="Cambria" w:cs="Cambria"/>
          <w:color w:val="000000"/>
        </w:rPr>
        <w:t xml:space="preserve">El Poder Judicial debe </w:t>
      </w:r>
      <w:r>
        <w:rPr>
          <w:rFonts w:ascii="Cambria" w:eastAsia="Cambria" w:hAnsi="Cambria" w:cs="Cambria"/>
          <w:i/>
          <w:color w:val="000000"/>
        </w:rPr>
        <w:t>revisar</w:t>
      </w:r>
      <w:r>
        <w:rPr>
          <w:rFonts w:ascii="Cambria" w:eastAsia="Cambria" w:hAnsi="Cambria" w:cs="Cambria"/>
          <w:color w:val="000000"/>
        </w:rPr>
        <w:t xml:space="preserve"> los casos en que se haya privado de la libertad a personas por realización de un aborto terapéutico y debe </w:t>
      </w:r>
      <w:r>
        <w:rPr>
          <w:rFonts w:ascii="Cambria" w:eastAsia="Cambria" w:hAnsi="Cambria" w:cs="Cambria"/>
          <w:i/>
          <w:color w:val="000000"/>
        </w:rPr>
        <w:t>garantizar</w:t>
      </w:r>
      <w:r>
        <w:rPr>
          <w:rFonts w:ascii="Cambria" w:eastAsia="Cambria" w:hAnsi="Cambria" w:cs="Cambria"/>
          <w:color w:val="000000"/>
        </w:rPr>
        <w:t xml:space="preserve"> un debido proceso a las mujeres, niñas y adolescentes migrantes procesadas por el delito de aborto, que </w:t>
      </w:r>
      <w:r>
        <w:rPr>
          <w:rFonts w:ascii="Cambria" w:eastAsia="Cambria" w:hAnsi="Cambria" w:cs="Cambria"/>
          <w:color w:val="000000"/>
        </w:rPr>
        <w:t>supongan garantizar la imparcialidad de los operadores de justicia.</w:t>
      </w:r>
    </w:p>
    <w:p w14:paraId="0CEBC00D" w14:textId="3A9B9238" w:rsidR="0041395B" w:rsidRDefault="0041395B" w:rsidP="005668D6">
      <w:pPr>
        <w:tabs>
          <w:tab w:val="left" w:pos="2127"/>
        </w:tabs>
        <w:spacing w:after="0" w:line="240" w:lineRule="auto"/>
        <w:jc w:val="both"/>
        <w:rPr>
          <w:rFonts w:ascii="Cambria" w:eastAsia="Cambria" w:hAnsi="Cambria" w:cs="Cambria"/>
          <w:color w:val="000000"/>
        </w:rPr>
      </w:pPr>
    </w:p>
    <w:p w14:paraId="41FDA75D" w14:textId="3CA8D931" w:rsidR="009423D9" w:rsidRDefault="009423D9" w:rsidP="005668D6">
      <w:pPr>
        <w:tabs>
          <w:tab w:val="left" w:pos="2127"/>
        </w:tabs>
        <w:spacing w:after="0" w:line="240" w:lineRule="auto"/>
        <w:jc w:val="both"/>
        <w:rPr>
          <w:rFonts w:ascii="Cambria" w:eastAsia="Cambria" w:hAnsi="Cambria" w:cs="Cambria"/>
          <w:color w:val="000000"/>
        </w:rPr>
      </w:pPr>
    </w:p>
    <w:p w14:paraId="4B3371BD" w14:textId="7D45306D" w:rsidR="0041395B" w:rsidRDefault="009423D9" w:rsidP="005668D6">
      <w:pPr>
        <w:tabs>
          <w:tab w:val="left" w:pos="2127"/>
        </w:tabs>
        <w:spacing w:after="0" w:line="240" w:lineRule="auto"/>
        <w:jc w:val="both"/>
        <w:rPr>
          <w:rFonts w:ascii="Cambria" w:eastAsia="Cambria" w:hAnsi="Cambria" w:cs="Cambria"/>
          <w:color w:val="000000"/>
        </w:rPr>
      </w:pPr>
      <w:r>
        <w:rPr>
          <w:rFonts w:ascii="Cambria" w:eastAsia="Cambria" w:hAnsi="Cambria" w:cs="Cambria"/>
          <w:noProof/>
          <w:color w:val="000000"/>
        </w:rPr>
        <w:drawing>
          <wp:anchor distT="0" distB="0" distL="114300" distR="114300" simplePos="0" relativeHeight="251658240" behindDoc="1" locked="0" layoutInCell="1" allowOverlap="1" wp14:anchorId="0471FF52" wp14:editId="77D3E3EB">
            <wp:simplePos x="0" y="0"/>
            <wp:positionH relativeFrom="column">
              <wp:posOffset>53340</wp:posOffset>
            </wp:positionH>
            <wp:positionV relativeFrom="paragraph">
              <wp:posOffset>59055</wp:posOffset>
            </wp:positionV>
            <wp:extent cx="1538464" cy="933450"/>
            <wp:effectExtent l="0" t="0" r="5080" b="0"/>
            <wp:wrapNone/>
            <wp:docPr id="62518568" name="Imagen 6"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18568" name="Imagen 6" descr="Texto, Carta&#10;&#10;Descripción generada automáticamente"/>
                    <pic:cNvPicPr/>
                  </pic:nvPicPr>
                  <pic:blipFill rotWithShape="1">
                    <a:blip r:embed="rId12">
                      <a:extLst>
                        <a:ext uri="{28A0092B-C50C-407E-A947-70E740481C1C}">
                          <a14:useLocalDpi xmlns:a14="http://schemas.microsoft.com/office/drawing/2010/main" val="0"/>
                        </a:ext>
                      </a:extLst>
                    </a:blip>
                    <a:srcRect l="7744" t="18182" r="2357" b="4306"/>
                    <a:stretch/>
                  </pic:blipFill>
                  <pic:spPr bwMode="auto">
                    <a:xfrm>
                      <a:off x="0" y="0"/>
                      <a:ext cx="1538464" cy="93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mbria" w:eastAsia="Cambria" w:hAnsi="Cambria" w:cs="Cambria"/>
          <w:color w:val="000000"/>
        </w:rPr>
        <w:t xml:space="preserve">Atentamente, </w:t>
      </w:r>
    </w:p>
    <w:p w14:paraId="0F9F3049" w14:textId="6C2D981F" w:rsidR="0041395B" w:rsidRDefault="0041395B" w:rsidP="005668D6">
      <w:pPr>
        <w:tabs>
          <w:tab w:val="left" w:pos="2127"/>
        </w:tabs>
        <w:spacing w:after="0" w:line="240" w:lineRule="auto"/>
        <w:jc w:val="both"/>
        <w:rPr>
          <w:rFonts w:ascii="Cambria" w:eastAsia="Cambria" w:hAnsi="Cambria" w:cs="Cambria"/>
          <w:color w:val="000000"/>
        </w:rPr>
      </w:pPr>
    </w:p>
    <w:p w14:paraId="1064CD84" w14:textId="77777777" w:rsidR="009423D9" w:rsidRDefault="009423D9" w:rsidP="005668D6">
      <w:pPr>
        <w:tabs>
          <w:tab w:val="left" w:pos="2127"/>
        </w:tabs>
        <w:spacing w:after="0" w:line="240" w:lineRule="auto"/>
        <w:jc w:val="both"/>
        <w:rPr>
          <w:rFonts w:ascii="Cambria" w:eastAsia="Cambria" w:hAnsi="Cambria" w:cs="Cambria"/>
          <w:color w:val="000000"/>
        </w:rPr>
      </w:pPr>
    </w:p>
    <w:p w14:paraId="7FB943D9" w14:textId="6FE1B434" w:rsidR="003D49E3" w:rsidRDefault="003D49E3" w:rsidP="005668D6">
      <w:pPr>
        <w:tabs>
          <w:tab w:val="left" w:pos="2127"/>
        </w:tabs>
        <w:spacing w:after="0" w:line="240" w:lineRule="auto"/>
        <w:jc w:val="both"/>
        <w:rPr>
          <w:rFonts w:ascii="Cambria" w:eastAsia="Cambria" w:hAnsi="Cambria" w:cs="Cambria"/>
          <w:color w:val="000000"/>
        </w:rPr>
      </w:pPr>
    </w:p>
    <w:p w14:paraId="477BC004" w14:textId="77777777" w:rsidR="003D49E3" w:rsidRDefault="003D49E3" w:rsidP="005668D6">
      <w:pPr>
        <w:tabs>
          <w:tab w:val="left" w:pos="2127"/>
        </w:tabs>
        <w:spacing w:after="0" w:line="240" w:lineRule="auto"/>
        <w:jc w:val="both"/>
        <w:rPr>
          <w:rFonts w:ascii="Cambria" w:eastAsia="Cambria" w:hAnsi="Cambria" w:cs="Cambria"/>
          <w:color w:val="000000"/>
        </w:rPr>
      </w:pPr>
    </w:p>
    <w:p w14:paraId="299AD108" w14:textId="72BBACA1" w:rsidR="003D49E3" w:rsidRDefault="003D49E3" w:rsidP="005668D6">
      <w:pP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Susana Isabel Chávez Alvarado</w:t>
      </w:r>
    </w:p>
    <w:p w14:paraId="72B9D876" w14:textId="18929710" w:rsidR="003D49E3" w:rsidRDefault="003D49E3" w:rsidP="005668D6">
      <w:pP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 xml:space="preserve">  Directora Ejecutiva Promsex</w:t>
      </w:r>
    </w:p>
    <w:p w14:paraId="690C2514" w14:textId="77777777" w:rsidR="0041395B" w:rsidRDefault="0041395B" w:rsidP="005668D6">
      <w:pPr>
        <w:tabs>
          <w:tab w:val="left" w:pos="2127"/>
        </w:tabs>
        <w:spacing w:after="0" w:line="240" w:lineRule="auto"/>
        <w:jc w:val="both"/>
        <w:rPr>
          <w:rFonts w:ascii="Cambria" w:eastAsia="Cambria" w:hAnsi="Cambria" w:cs="Cambria"/>
          <w:color w:val="000000"/>
        </w:rPr>
      </w:pPr>
    </w:p>
    <w:p w14:paraId="196B056F" w14:textId="77777777" w:rsidR="00B3581E" w:rsidRDefault="00B3581E" w:rsidP="005668D6">
      <w:pPr>
        <w:tabs>
          <w:tab w:val="left" w:pos="2127"/>
        </w:tabs>
        <w:spacing w:after="0" w:line="240" w:lineRule="auto"/>
        <w:jc w:val="both"/>
        <w:rPr>
          <w:rFonts w:ascii="Cambria" w:eastAsia="Cambria" w:hAnsi="Cambria" w:cs="Cambria"/>
          <w:color w:val="000000"/>
        </w:rPr>
      </w:pPr>
    </w:p>
    <w:p w14:paraId="039C2777" w14:textId="77777777" w:rsidR="00B3581E" w:rsidRDefault="00B3581E" w:rsidP="005668D6">
      <w:pPr>
        <w:tabs>
          <w:tab w:val="left" w:pos="2127"/>
        </w:tabs>
        <w:spacing w:after="0" w:line="240" w:lineRule="auto"/>
        <w:jc w:val="both"/>
        <w:rPr>
          <w:rFonts w:ascii="Cambria" w:eastAsia="Cambria" w:hAnsi="Cambria" w:cs="Cambria"/>
          <w:color w:val="000000"/>
        </w:rPr>
      </w:pPr>
    </w:p>
    <w:p w14:paraId="35958FC3" w14:textId="6E9FC5E9" w:rsidR="00B3581E" w:rsidRDefault="00CC16BF" w:rsidP="005668D6">
      <w:pPr>
        <w:tabs>
          <w:tab w:val="left" w:pos="2127"/>
        </w:tabs>
        <w:spacing w:after="0" w:line="240" w:lineRule="auto"/>
        <w:jc w:val="both"/>
        <w:rPr>
          <w:rFonts w:ascii="Cambria" w:eastAsia="Cambria" w:hAnsi="Cambria" w:cs="Cambria"/>
          <w:color w:val="000000"/>
        </w:rPr>
      </w:pPr>
      <w:r>
        <w:rPr>
          <w:rFonts w:ascii="Cambria" w:eastAsia="Cambria" w:hAnsi="Cambria" w:cs="Cambria"/>
          <w:noProof/>
        </w:rPr>
        <w:drawing>
          <wp:inline distT="114300" distB="114300" distL="114300" distR="114300" wp14:anchorId="02787A21" wp14:editId="10418F90">
            <wp:extent cx="2419350" cy="324410"/>
            <wp:effectExtent l="0" t="0" r="0" b="6350"/>
            <wp:docPr id="1947608936" name="image6.png" descr="A blue line with a musical not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947608936" name="image6.png" descr="A blue line with a musical note&#10;&#10;Description automatically generated with medium confidence"/>
                    <pic:cNvPicPr preferRelativeResize="0"/>
                  </pic:nvPicPr>
                  <pic:blipFill>
                    <a:blip r:embed="rId13"/>
                    <a:srcRect/>
                    <a:stretch>
                      <a:fillRect/>
                    </a:stretch>
                  </pic:blipFill>
                  <pic:spPr>
                    <a:xfrm>
                      <a:off x="0" y="0"/>
                      <a:ext cx="2434411" cy="326429"/>
                    </a:xfrm>
                    <a:prstGeom prst="rect">
                      <a:avLst/>
                    </a:prstGeom>
                    <a:ln/>
                  </pic:spPr>
                </pic:pic>
              </a:graphicData>
            </a:graphic>
          </wp:inline>
        </w:drawing>
      </w:r>
    </w:p>
    <w:p w14:paraId="64E823B8" w14:textId="77777777" w:rsidR="00B3581E" w:rsidRDefault="00B3581E" w:rsidP="005668D6">
      <w:pPr>
        <w:tabs>
          <w:tab w:val="left" w:pos="2127"/>
        </w:tabs>
        <w:spacing w:after="0" w:line="240" w:lineRule="auto"/>
        <w:jc w:val="both"/>
        <w:rPr>
          <w:rFonts w:ascii="Cambria" w:eastAsia="Cambria" w:hAnsi="Cambria" w:cs="Cambria"/>
          <w:color w:val="000000"/>
        </w:rPr>
      </w:pPr>
    </w:p>
    <w:p w14:paraId="34BEC24E" w14:textId="58A10399" w:rsidR="00B3581E" w:rsidRDefault="00B3581E" w:rsidP="005668D6">
      <w:pP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 xml:space="preserve">Fernando D’Elio </w:t>
      </w:r>
    </w:p>
    <w:p w14:paraId="7BEC2883" w14:textId="45B280E4" w:rsidR="00B3581E" w:rsidRDefault="00B3581E" w:rsidP="005668D6">
      <w:pP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Representante de la Iniciativa por los Derechos Sexuales (SRI)</w:t>
      </w:r>
    </w:p>
    <w:p w14:paraId="11F751D3" w14:textId="0FF85ACC" w:rsidR="0041395B" w:rsidRDefault="0041395B" w:rsidP="005668D6">
      <w:pPr>
        <w:tabs>
          <w:tab w:val="left" w:pos="2127"/>
        </w:tabs>
        <w:spacing w:after="0" w:line="240" w:lineRule="auto"/>
        <w:jc w:val="both"/>
        <w:rPr>
          <w:rFonts w:ascii="Cambria" w:eastAsia="Cambria" w:hAnsi="Cambria" w:cs="Cambria"/>
          <w:color w:val="000000"/>
        </w:rPr>
      </w:pPr>
    </w:p>
    <w:p w14:paraId="7751279A" w14:textId="581752FF" w:rsidR="00B3581E" w:rsidRDefault="00B3581E" w:rsidP="005668D6">
      <w:pPr>
        <w:tabs>
          <w:tab w:val="left" w:pos="2127"/>
        </w:tabs>
        <w:spacing w:after="0" w:line="240" w:lineRule="auto"/>
        <w:jc w:val="both"/>
        <w:rPr>
          <w:rFonts w:ascii="Cambria" w:eastAsia="Cambria" w:hAnsi="Cambria" w:cs="Cambria"/>
          <w:color w:val="000000"/>
        </w:rPr>
      </w:pPr>
    </w:p>
    <w:p w14:paraId="00BD082E" w14:textId="45BFF723" w:rsidR="00B3581E" w:rsidRDefault="00F30E6A" w:rsidP="005668D6">
      <w:pPr>
        <w:tabs>
          <w:tab w:val="left" w:pos="2127"/>
        </w:tabs>
        <w:spacing w:after="0" w:line="240" w:lineRule="auto"/>
        <w:jc w:val="both"/>
        <w:rPr>
          <w:rFonts w:ascii="Cambria" w:eastAsia="Cambria" w:hAnsi="Cambria" w:cs="Cambria"/>
          <w:color w:val="000000"/>
        </w:rPr>
      </w:pPr>
      <w:r>
        <w:rPr>
          <w:rFonts w:ascii="Cambria" w:eastAsia="Cambria" w:hAnsi="Cambria" w:cs="Cambria"/>
          <w:noProof/>
          <w:color w:val="000000"/>
        </w:rPr>
        <w:drawing>
          <wp:anchor distT="0" distB="0" distL="114300" distR="114300" simplePos="0" relativeHeight="251659264" behindDoc="1" locked="0" layoutInCell="1" allowOverlap="1" wp14:anchorId="7E85BBE1" wp14:editId="18F8B678">
            <wp:simplePos x="0" y="0"/>
            <wp:positionH relativeFrom="column">
              <wp:posOffset>-375285</wp:posOffset>
            </wp:positionH>
            <wp:positionV relativeFrom="paragraph">
              <wp:posOffset>103505</wp:posOffset>
            </wp:positionV>
            <wp:extent cx="1390650" cy="950595"/>
            <wp:effectExtent l="0" t="0" r="0" b="1905"/>
            <wp:wrapNone/>
            <wp:docPr id="684791249" name="Imagen 7"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791249" name="Imagen 7" descr="Texto, Carta&#10;&#10;Descripción generada automáticamente"/>
                    <pic:cNvPicPr/>
                  </pic:nvPicPr>
                  <pic:blipFill rotWithShape="1">
                    <a:blip r:embed="rId14">
                      <a:extLst>
                        <a:ext uri="{28A0092B-C50C-407E-A947-70E740481C1C}">
                          <a14:useLocalDpi xmlns:a14="http://schemas.microsoft.com/office/drawing/2010/main" val="0"/>
                        </a:ext>
                      </a:extLst>
                    </a:blip>
                    <a:srcRect l="17212" r="31503"/>
                    <a:stretch/>
                  </pic:blipFill>
                  <pic:spPr bwMode="auto">
                    <a:xfrm>
                      <a:off x="0" y="0"/>
                      <a:ext cx="1390650" cy="950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AAFC62" w14:textId="2C877B20" w:rsidR="00B3581E" w:rsidRDefault="00B3581E" w:rsidP="005668D6">
      <w:pPr>
        <w:tabs>
          <w:tab w:val="left" w:pos="2127"/>
        </w:tabs>
        <w:spacing w:after="0" w:line="240" w:lineRule="auto"/>
        <w:jc w:val="both"/>
        <w:rPr>
          <w:rFonts w:ascii="Cambria" w:eastAsia="Cambria" w:hAnsi="Cambria" w:cs="Cambria"/>
          <w:color w:val="000000"/>
        </w:rPr>
      </w:pPr>
    </w:p>
    <w:p w14:paraId="24289F5E" w14:textId="77777777" w:rsidR="00F30E6A" w:rsidRDefault="00F30E6A" w:rsidP="005668D6">
      <w:pPr>
        <w:tabs>
          <w:tab w:val="left" w:pos="2127"/>
        </w:tabs>
        <w:spacing w:after="0" w:line="240" w:lineRule="auto"/>
        <w:jc w:val="both"/>
        <w:rPr>
          <w:rFonts w:ascii="Cambria" w:eastAsia="Cambria" w:hAnsi="Cambria" w:cs="Cambria"/>
          <w:color w:val="000000"/>
        </w:rPr>
      </w:pPr>
    </w:p>
    <w:p w14:paraId="31CB333E" w14:textId="77777777" w:rsidR="00B3581E" w:rsidRDefault="00B3581E" w:rsidP="005668D6">
      <w:pPr>
        <w:tabs>
          <w:tab w:val="left" w:pos="2127"/>
        </w:tabs>
        <w:spacing w:after="0" w:line="240" w:lineRule="auto"/>
        <w:jc w:val="both"/>
        <w:rPr>
          <w:rFonts w:ascii="Cambria" w:eastAsia="Cambria" w:hAnsi="Cambria" w:cs="Cambria"/>
          <w:color w:val="000000"/>
        </w:rPr>
      </w:pPr>
    </w:p>
    <w:p w14:paraId="62CD21B1" w14:textId="1626F9F2" w:rsidR="00B3581E" w:rsidRDefault="00B3581E" w:rsidP="005668D6">
      <w:pP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Jesus Batista</w:t>
      </w:r>
    </w:p>
    <w:p w14:paraId="311DD417" w14:textId="000508A8" w:rsidR="00B3581E" w:rsidRDefault="00B3581E" w:rsidP="005668D6">
      <w:pPr>
        <w:tabs>
          <w:tab w:val="left" w:pos="2127"/>
        </w:tabs>
        <w:spacing w:after="0" w:line="240" w:lineRule="auto"/>
        <w:jc w:val="both"/>
        <w:rPr>
          <w:rFonts w:ascii="Cambria" w:eastAsia="Cambria" w:hAnsi="Cambria" w:cs="Cambria"/>
          <w:color w:val="000000"/>
        </w:rPr>
      </w:pPr>
      <w:r>
        <w:rPr>
          <w:rFonts w:ascii="Cambria" w:eastAsia="Cambria" w:hAnsi="Cambria" w:cs="Cambria"/>
          <w:color w:val="000000"/>
        </w:rPr>
        <w:t>Gestor/Director CAMPV</w:t>
      </w:r>
      <w:r w:rsidR="00143067">
        <w:rPr>
          <w:rFonts w:ascii="Cambria" w:eastAsia="Cambria" w:hAnsi="Cambria" w:cs="Cambria"/>
          <w:color w:val="000000"/>
        </w:rPr>
        <w:t xml:space="preserve"> </w:t>
      </w:r>
    </w:p>
    <w:p w14:paraId="521D582A" w14:textId="77777777" w:rsidR="007E6920" w:rsidRDefault="007E6920" w:rsidP="005668D6">
      <w:pPr>
        <w:tabs>
          <w:tab w:val="left" w:pos="2127"/>
        </w:tabs>
        <w:spacing w:after="0" w:line="240" w:lineRule="auto"/>
        <w:jc w:val="both"/>
        <w:rPr>
          <w:rFonts w:ascii="Cambria" w:eastAsia="Cambria" w:hAnsi="Cambria" w:cs="Cambria"/>
          <w:color w:val="000000"/>
        </w:rPr>
      </w:pPr>
    </w:p>
    <w:sectPr w:rsidR="007E6920" w:rsidSect="00B47046">
      <w:headerReference w:type="default" r:id="rId15"/>
      <w:footerReference w:type="default" r:id="rId16"/>
      <w:pgSz w:w="11906" w:h="16838"/>
      <w:pgMar w:top="1985" w:right="1701" w:bottom="851" w:left="1701" w:header="708" w:footer="1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7DBACD" w14:textId="77777777" w:rsidR="00F51CE3" w:rsidRDefault="00F51CE3">
      <w:pPr>
        <w:spacing w:after="0" w:line="240" w:lineRule="auto"/>
      </w:pPr>
      <w:r>
        <w:separator/>
      </w:r>
    </w:p>
  </w:endnote>
  <w:endnote w:type="continuationSeparator" w:id="0">
    <w:p w14:paraId="66B3FB82" w14:textId="77777777" w:rsidR="00F51CE3" w:rsidRDefault="00F51CE3">
      <w:pPr>
        <w:spacing w:after="0" w:line="240" w:lineRule="auto"/>
      </w:pPr>
      <w:r>
        <w:continuationSeparator/>
      </w:r>
    </w:p>
  </w:endnote>
  <w:endnote w:id="1">
    <w:p w14:paraId="7B1D1DE9" w14:textId="1BC562C3" w:rsidR="00907530" w:rsidRPr="00357F51" w:rsidRDefault="00907530"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PROMSEX es una organización no gubernamental feminista que contribuye a la vigencia de la integridad y dignidad de las personas en el acceso a la salud sexual y reproductiva y a que las personas decidan sobre su sexualidad y reproducción con autonomía, dignidad, justicia e igualdad.</w:t>
      </w:r>
    </w:p>
  </w:endnote>
  <w:endnote w:id="2">
    <w:p w14:paraId="5B97BA1D" w14:textId="6AD5F4A1" w:rsidR="00907530" w:rsidRPr="00357F51" w:rsidRDefault="00907530"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CAMPV es una propuesta comunitaria que viene trabajando en proyectos de movilidad humana, salud sexual/VIH, salud mental y violencia basada en género, dirigido a población migrante y no migrante, población LGBTIQ+ y poblaciones vulnerables.</w:t>
      </w:r>
    </w:p>
  </w:endnote>
  <w:endnote w:id="3">
    <w:p w14:paraId="5C67F8C6" w14:textId="2566B496" w:rsidR="00907530" w:rsidRPr="00357F51" w:rsidRDefault="00907530"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sz w:val="16"/>
          <w:szCs w:val="16"/>
        </w:rPr>
        <w:t xml:space="preserve">La Iniciativa por los Derechos Sexuales es una coalición integrada por Action Canada for Population and Development; CREA-India; Akãhatã – Equipo de Trabajo en Sexualidades y Géneros; Polish Federation for Women and Family Planning, y otras. Para mayor información visitar: Website: </w:t>
      </w:r>
      <w:hyperlink r:id="rId1">
        <w:r w:rsidRPr="00357F51">
          <w:rPr>
            <w:rFonts w:ascii="Cambria" w:eastAsia="Cambria" w:hAnsi="Cambria" w:cs="Cambria"/>
            <w:sz w:val="16"/>
            <w:szCs w:val="16"/>
          </w:rPr>
          <w:t>https://sexualrightsinitiative.com/</w:t>
        </w:r>
      </w:hyperlink>
      <w:r w:rsidRPr="00357F51">
        <w:rPr>
          <w:rFonts w:ascii="Cambria" w:eastAsia="Cambria" w:hAnsi="Cambria" w:cs="Cambria"/>
          <w:sz w:val="16"/>
          <w:szCs w:val="16"/>
        </w:rPr>
        <w:t xml:space="preserve"> email: </w:t>
      </w:r>
      <w:hyperlink r:id="rId2">
        <w:r w:rsidRPr="00357F51">
          <w:rPr>
            <w:rFonts w:ascii="Cambria" w:eastAsia="Cambria" w:hAnsi="Cambria" w:cs="Cambria"/>
            <w:sz w:val="16"/>
            <w:szCs w:val="16"/>
          </w:rPr>
          <w:t>info@srigeneva.com</w:t>
        </w:r>
      </w:hyperlink>
      <w:r w:rsidRPr="00357F51">
        <w:rPr>
          <w:rFonts w:ascii="Cambria" w:eastAsia="Cambria" w:hAnsi="Cambria" w:cs="Cambria"/>
          <w:sz w:val="16"/>
          <w:szCs w:val="16"/>
        </w:rPr>
        <w:t>.</w:t>
      </w:r>
    </w:p>
  </w:endnote>
  <w:endnote w:id="4">
    <w:p w14:paraId="63F3B17F" w14:textId="34B7D043" w:rsidR="00907530" w:rsidRPr="00357F51" w:rsidRDefault="00907530"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Comité de Protección de los Derechos de Todos los Trabajadores Migratorios y de sus familiares-CMW. Observaciones Finales del Perú (2015). Fue aprobado en el 22 periodo de sesiones realizado del 13 al 24 de abril de 2015, párr. 39.</w:t>
      </w:r>
    </w:p>
  </w:endnote>
  <w:endnote w:id="5">
    <w:p w14:paraId="11F25273" w14:textId="192126AC" w:rsidR="00907530" w:rsidRPr="0020214C" w:rsidRDefault="00907530" w:rsidP="00357F51">
      <w:pPr>
        <w:pStyle w:val="EndnoteText"/>
        <w:jc w:val="both"/>
        <w:rPr>
          <w:rFonts w:ascii="Cambria" w:hAnsi="Cambria"/>
          <w:lang w:val="es-ES"/>
        </w:rPr>
      </w:pPr>
      <w:r w:rsidRPr="00357F51">
        <w:rPr>
          <w:rStyle w:val="EndnoteReference"/>
          <w:rFonts w:ascii="Cambria" w:hAnsi="Cambria"/>
        </w:rPr>
        <w:endnoteRef/>
      </w:r>
      <w:r w:rsidRPr="0020214C">
        <w:rPr>
          <w:rFonts w:ascii="Cambria" w:hAnsi="Cambria"/>
          <w:lang w:val="es-ES"/>
        </w:rPr>
        <w:t xml:space="preserve"> </w:t>
      </w:r>
      <w:r w:rsidRPr="0020214C">
        <w:rPr>
          <w:rFonts w:ascii="Cambria" w:eastAsia="Cambria" w:hAnsi="Cambria" w:cs="Cambria"/>
          <w:color w:val="000000"/>
          <w:sz w:val="16"/>
          <w:szCs w:val="16"/>
          <w:lang w:val="es-ES"/>
        </w:rPr>
        <w:t xml:space="preserve">La Agencia de la ONU para los Refugiados - UNHCR ACNUR. (7 de marzo de 2024). Página principal [Sitio web].Recuperado de: </w:t>
      </w:r>
      <w:hyperlink r:id="rId3">
        <w:r w:rsidRPr="0020214C">
          <w:rPr>
            <w:rFonts w:ascii="Cambria" w:eastAsia="Cambria" w:hAnsi="Cambria" w:cs="Cambria"/>
            <w:color w:val="000000"/>
            <w:sz w:val="16"/>
            <w:szCs w:val="16"/>
            <w:u w:val="single"/>
            <w:lang w:val="es-ES"/>
          </w:rPr>
          <w:t>https://www.acnur.org/pais/peru</w:t>
        </w:r>
      </w:hyperlink>
      <w:r w:rsidRPr="0020214C">
        <w:rPr>
          <w:rFonts w:ascii="Cambria" w:eastAsia="Cambria" w:hAnsi="Cambria" w:cs="Cambria"/>
          <w:color w:val="000000"/>
          <w:sz w:val="16"/>
          <w:szCs w:val="16"/>
          <w:u w:val="single"/>
          <w:lang w:val="es-ES"/>
        </w:rPr>
        <w:t>.</w:t>
      </w:r>
    </w:p>
  </w:endnote>
  <w:endnote w:id="6">
    <w:p w14:paraId="050B3E1F" w14:textId="328509AB" w:rsidR="00907530" w:rsidRPr="00357F51" w:rsidRDefault="00907530"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Banco Mundial (2019). Una oportunidad para todos. Los migrantes y refugiados venezolanos y el desarrollo del Perú. Perú: Banco Mundial.</w:t>
      </w:r>
    </w:p>
  </w:endnote>
  <w:endnote w:id="7">
    <w:p w14:paraId="3F67C1C2" w14:textId="2C47E825" w:rsidR="00907530" w:rsidRPr="00357F51" w:rsidRDefault="00907530"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Fundación Konrad Adenauer. (7 de marzo de 2024). Página principal. Migración venezolana [Sitio web]. Recuperado de </w:t>
      </w:r>
      <w:hyperlink r:id="rId4">
        <w:r w:rsidRPr="00357F51">
          <w:rPr>
            <w:rFonts w:ascii="Cambria" w:eastAsia="Cambria" w:hAnsi="Cambria" w:cs="Cambria"/>
            <w:color w:val="000000"/>
            <w:sz w:val="16"/>
            <w:szCs w:val="16"/>
            <w:u w:val="single"/>
          </w:rPr>
          <w:t>https://www.kas.de/es/web/peru/statische-inhalte-detail/-/content/especial-migracion-venezolana-1</w:t>
        </w:r>
      </w:hyperlink>
    </w:p>
  </w:endnote>
  <w:endnote w:id="8">
    <w:p w14:paraId="5CF564A6" w14:textId="4F3B4DD9" w:rsidR="00907530" w:rsidRPr="00357F51" w:rsidRDefault="00907530"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La Agencia de la ONU para los Refugiados - UNHCR ACNUR. (7 de marzo de 2024). Página principal [Sitio web].Recuperado de: </w:t>
      </w:r>
      <w:hyperlink r:id="rId5">
        <w:r w:rsidRPr="00357F51">
          <w:rPr>
            <w:rFonts w:ascii="Cambria" w:eastAsia="Cambria" w:hAnsi="Cambria" w:cs="Cambria"/>
            <w:color w:val="000000"/>
            <w:sz w:val="16"/>
            <w:szCs w:val="16"/>
            <w:u w:val="single"/>
          </w:rPr>
          <w:t>https://www.acnur.org/pais/peru</w:t>
        </w:r>
      </w:hyperlink>
    </w:p>
  </w:endnote>
  <w:endnote w:id="9">
    <w:p w14:paraId="54C2D20F" w14:textId="19B12F94" w:rsidR="00907530" w:rsidRPr="00357F51" w:rsidRDefault="00907530"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Instituto Nacional de Estadística e Informática (INEI). </w:t>
      </w:r>
      <w:r w:rsidRPr="00357F51">
        <w:rPr>
          <w:rFonts w:ascii="Cambria" w:eastAsia="Cambria" w:hAnsi="Cambria" w:cs="Cambria"/>
          <w:i/>
          <w:color w:val="000000"/>
          <w:sz w:val="16"/>
          <w:szCs w:val="16"/>
        </w:rPr>
        <w:t>II Encuesta a la Población venezolana residente en el Perú</w:t>
      </w:r>
      <w:r w:rsidRPr="00357F51">
        <w:rPr>
          <w:rFonts w:ascii="Cambria" w:eastAsia="Cambria" w:hAnsi="Cambria" w:cs="Cambria"/>
          <w:color w:val="000000"/>
          <w:sz w:val="16"/>
          <w:szCs w:val="16"/>
        </w:rPr>
        <w:t>, marzo de 2023.</w:t>
      </w:r>
    </w:p>
  </w:endnote>
  <w:endnote w:id="10">
    <w:p w14:paraId="547FE5B6" w14:textId="135F1619" w:rsidR="00907530" w:rsidRPr="00357F51" w:rsidRDefault="00907530" w:rsidP="00357F51">
      <w:pPr>
        <w:pBdr>
          <w:top w:val="nil"/>
          <w:left w:val="nil"/>
          <w:bottom w:val="nil"/>
          <w:right w:val="nil"/>
          <w:between w:val="nil"/>
        </w:pBdr>
        <w:spacing w:after="0" w:line="240" w:lineRule="auto"/>
        <w:jc w:val="both"/>
        <w:rPr>
          <w:rFonts w:ascii="Cambria" w:eastAsia="Cambria" w:hAnsi="Cambria" w:cs="Cambria"/>
          <w:color w:val="000000"/>
          <w:sz w:val="16"/>
          <w:szCs w:val="16"/>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La Defensoría de Pueblo (en adelante, </w:t>
      </w:r>
      <w:r w:rsidRPr="00357F51">
        <w:rPr>
          <w:rFonts w:ascii="Cambria" w:eastAsia="Cambria" w:hAnsi="Cambria" w:cs="Cambria"/>
          <w:i/>
          <w:color w:val="000000"/>
          <w:sz w:val="16"/>
          <w:szCs w:val="16"/>
        </w:rPr>
        <w:t>“Defensoría”</w:t>
      </w:r>
      <w:r w:rsidRPr="00357F51">
        <w:rPr>
          <w:rFonts w:ascii="Cambria" w:eastAsia="Cambria" w:hAnsi="Cambria" w:cs="Cambria"/>
          <w:color w:val="000000"/>
          <w:sz w:val="16"/>
          <w:szCs w:val="16"/>
        </w:rPr>
        <w:t>) destacó que el acceso a la salud  representa un desafio para residentes de nacionalidad  peruana, y esto se ve agravado para personas LGBTI</w:t>
      </w:r>
      <w:r w:rsidR="006A2726">
        <w:rPr>
          <w:rFonts w:ascii="Cambria" w:eastAsia="Cambria" w:hAnsi="Cambria" w:cs="Cambria"/>
          <w:color w:val="000000"/>
          <w:sz w:val="16"/>
          <w:szCs w:val="16"/>
        </w:rPr>
        <w:t>Q+</w:t>
      </w:r>
      <w:r w:rsidRPr="00357F51">
        <w:rPr>
          <w:rFonts w:ascii="Cambria" w:eastAsia="Cambria" w:hAnsi="Cambria" w:cs="Cambria"/>
          <w:color w:val="000000"/>
          <w:sz w:val="16"/>
          <w:szCs w:val="16"/>
        </w:rPr>
        <w:t xml:space="preserve"> migrantes y refugiadas, por lo que reiteró la importancia de “[…]incorporar en las políticas del sector salud servicios específicos referidos a la salud sexual y reproductiva, teniendo en consideración las contingencias o prevalencias médicas específicas de cada uno de los grupos que conforman el colectivo LGBTI”.  Defensoría de Pueblo. </w:t>
      </w:r>
      <w:hyperlink r:id="rId6">
        <w:r w:rsidRPr="00357F51">
          <w:rPr>
            <w:rFonts w:ascii="Cambria" w:eastAsia="Cambria" w:hAnsi="Cambria" w:cs="Cambria"/>
            <w:i/>
            <w:color w:val="467886"/>
            <w:sz w:val="16"/>
            <w:szCs w:val="16"/>
            <w:u w:val="single"/>
          </w:rPr>
          <w:t>“A dos años del Informe Defensorial Nro. 175. Estado actual de los derechos de las personas LGBTI”</w:t>
        </w:r>
      </w:hyperlink>
      <w:r w:rsidRPr="00357F51">
        <w:rPr>
          <w:rFonts w:ascii="Cambria" w:eastAsia="Cambria" w:hAnsi="Cambria" w:cs="Cambria"/>
          <w:color w:val="000000"/>
          <w:sz w:val="16"/>
          <w:szCs w:val="16"/>
        </w:rPr>
        <w:t xml:space="preserve">, diciembre 2018, pag. 25. </w:t>
      </w:r>
    </w:p>
    <w:p w14:paraId="12DB67D9" w14:textId="2FC48E23" w:rsidR="00907530" w:rsidRPr="00357F51" w:rsidRDefault="00907530" w:rsidP="00357F51">
      <w:pPr>
        <w:pStyle w:val="EndnoteText"/>
        <w:jc w:val="both"/>
        <w:rPr>
          <w:rFonts w:ascii="Cambria" w:hAnsi="Cambria"/>
        </w:rPr>
      </w:pPr>
      <w:r w:rsidRPr="00357F51">
        <w:rPr>
          <w:rFonts w:ascii="Cambria" w:eastAsia="Cambria" w:hAnsi="Cambria" w:cs="Cambria"/>
          <w:color w:val="000000"/>
          <w:sz w:val="16"/>
          <w:szCs w:val="16"/>
        </w:rPr>
        <w:t>Cabe anotar que en una encuesta reciente realizada a 761 personas LGBTI</w:t>
      </w:r>
      <w:r w:rsidR="006A2726">
        <w:rPr>
          <w:rFonts w:ascii="Cambria" w:eastAsia="Cambria" w:hAnsi="Cambria" w:cs="Cambria"/>
          <w:color w:val="000000"/>
          <w:sz w:val="16"/>
          <w:szCs w:val="16"/>
        </w:rPr>
        <w:t xml:space="preserve">Q+ </w:t>
      </w:r>
      <w:r w:rsidRPr="00357F51">
        <w:rPr>
          <w:rFonts w:ascii="Cambria" w:eastAsia="Cambria" w:hAnsi="Cambria" w:cs="Cambria"/>
          <w:color w:val="000000"/>
          <w:sz w:val="16"/>
          <w:szCs w:val="16"/>
        </w:rPr>
        <w:t>que migraron al extranjero, da cuenta que ‘</w:t>
      </w:r>
      <w:r w:rsidRPr="00357F51">
        <w:rPr>
          <w:rFonts w:ascii="Cambria" w:eastAsia="Cambria" w:hAnsi="Cambria" w:cs="Cambria"/>
          <w:i/>
          <w:color w:val="000000"/>
          <w:sz w:val="16"/>
          <w:szCs w:val="16"/>
        </w:rPr>
        <w:t>la falta de reconocimiento legal de derechos fue un factor muy importante en su decisión de emigrar</w:t>
      </w:r>
      <w:r w:rsidRPr="00357F51">
        <w:rPr>
          <w:rFonts w:ascii="Cambria" w:eastAsia="Cambria" w:hAnsi="Cambria" w:cs="Cambria"/>
          <w:color w:val="000000"/>
          <w:sz w:val="16"/>
          <w:szCs w:val="16"/>
        </w:rPr>
        <w:t xml:space="preserve">’. Más Igualdad. </w:t>
      </w:r>
      <w:hyperlink r:id="rId7">
        <w:r w:rsidRPr="00357F51">
          <w:rPr>
            <w:rFonts w:ascii="Cambria" w:eastAsia="Cambria" w:hAnsi="Cambria" w:cs="Cambria"/>
            <w:i/>
            <w:color w:val="000000"/>
            <w:sz w:val="16"/>
            <w:szCs w:val="16"/>
            <w:u w:val="single"/>
          </w:rPr>
          <w:t>“Informe Final. Migración Internacional calificada de personas/os LGBTQ+:Discriminación y fuga de talentos’</w:t>
        </w:r>
      </w:hyperlink>
      <w:r w:rsidRPr="00357F51">
        <w:rPr>
          <w:rFonts w:ascii="Cambria" w:eastAsia="Cambria" w:hAnsi="Cambria" w:cs="Cambria"/>
          <w:i/>
          <w:color w:val="000000"/>
          <w:sz w:val="16"/>
          <w:szCs w:val="16"/>
          <w:u w:val="single"/>
        </w:rPr>
        <w:t>’</w:t>
      </w:r>
      <w:r w:rsidRPr="00357F51">
        <w:rPr>
          <w:rFonts w:ascii="Cambria" w:eastAsia="Cambria" w:hAnsi="Cambria" w:cs="Cambria"/>
          <w:color w:val="000000"/>
          <w:sz w:val="16"/>
          <w:szCs w:val="16"/>
        </w:rPr>
        <w:t>, julio 2021, pág 61, 63.</w:t>
      </w:r>
    </w:p>
  </w:endnote>
  <w:endnote w:id="11">
    <w:p w14:paraId="0741D556" w14:textId="5F6AC16F" w:rsidR="00907530" w:rsidRPr="00357F51" w:rsidRDefault="00907530"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Ministerio de Relaciones Exteriores. </w:t>
      </w:r>
      <w:r w:rsidRPr="00357F51">
        <w:rPr>
          <w:rFonts w:ascii="Cambria" w:eastAsia="Cambria" w:hAnsi="Cambria" w:cs="Cambria"/>
          <w:i/>
          <w:color w:val="000000"/>
          <w:sz w:val="16"/>
          <w:szCs w:val="16"/>
        </w:rPr>
        <w:t>“Informe País sobre la implementación del Pacto Mundial para la Migración Segura, Ordenada y Regular en América Latina y el Caribe”,</w:t>
      </w:r>
      <w:r w:rsidRPr="00357F51">
        <w:rPr>
          <w:rFonts w:ascii="Cambria" w:eastAsia="Cambria" w:hAnsi="Cambria" w:cs="Cambria"/>
          <w:color w:val="000000"/>
          <w:sz w:val="16"/>
          <w:szCs w:val="16"/>
        </w:rPr>
        <w:t xml:space="preserve"> 1 de marzo de 2022, pág. 7.</w:t>
      </w:r>
    </w:p>
  </w:endnote>
  <w:endnote w:id="12">
    <w:p w14:paraId="4B8393FA" w14:textId="21025CDC" w:rsidR="00B07882" w:rsidRPr="00357F51" w:rsidRDefault="00B07882"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Agencia de la Onu para los refugiados-ACNUR. </w:t>
      </w:r>
      <w:hyperlink r:id="rId8">
        <w:r w:rsidRPr="00357F51">
          <w:rPr>
            <w:rFonts w:ascii="Cambria" w:eastAsia="Cambria" w:hAnsi="Cambria" w:cs="Cambria"/>
            <w:color w:val="467886"/>
            <w:sz w:val="16"/>
            <w:szCs w:val="16"/>
            <w:u w:val="single"/>
          </w:rPr>
          <w:t>El trabajo de ACNUR Perú en salud</w:t>
        </w:r>
      </w:hyperlink>
      <w:r w:rsidRPr="00357F51">
        <w:rPr>
          <w:rFonts w:ascii="Cambria" w:eastAsia="Cambria" w:hAnsi="Cambria" w:cs="Cambria"/>
          <w:color w:val="000000"/>
          <w:sz w:val="16"/>
          <w:szCs w:val="16"/>
        </w:rPr>
        <w:t>, octubre de 2022 y Save the Children. Nota de prensa.</w:t>
      </w:r>
      <w:r w:rsidRPr="00357F51">
        <w:rPr>
          <w:rFonts w:ascii="Cambria" w:eastAsia="Cambria" w:hAnsi="Cambria" w:cs="Cambria"/>
          <w:i/>
          <w:color w:val="000000"/>
          <w:sz w:val="16"/>
          <w:szCs w:val="16"/>
        </w:rPr>
        <w:t xml:space="preserve"> </w:t>
      </w:r>
      <w:hyperlink r:id="rId9">
        <w:r w:rsidRPr="00357F51">
          <w:rPr>
            <w:rFonts w:ascii="Cambria" w:eastAsia="Cambria" w:hAnsi="Cambria" w:cs="Cambria"/>
            <w:i/>
            <w:color w:val="000000"/>
            <w:sz w:val="16"/>
            <w:szCs w:val="16"/>
            <w:u w:val="single"/>
          </w:rPr>
          <w:t>‘Perú: 113 organizaciones lanzan plan conjunto para responder a las necesidades de personas refugidas, migrantes y comunidad peruana en situación vulnerable’</w:t>
        </w:r>
      </w:hyperlink>
      <w:r w:rsidRPr="00357F51">
        <w:rPr>
          <w:rFonts w:ascii="Cambria" w:eastAsia="Cambria" w:hAnsi="Cambria" w:cs="Cambria"/>
          <w:color w:val="000000"/>
          <w:sz w:val="16"/>
          <w:szCs w:val="16"/>
        </w:rPr>
        <w:t>, 21 de febrero de 2024.</w:t>
      </w:r>
    </w:p>
  </w:endnote>
  <w:endnote w:id="13">
    <w:p w14:paraId="553217FA" w14:textId="77777777" w:rsidR="00B07882" w:rsidRPr="00357F51" w:rsidRDefault="00B07882" w:rsidP="00357F51">
      <w:pPr>
        <w:pBdr>
          <w:top w:val="nil"/>
          <w:left w:val="nil"/>
          <w:bottom w:val="nil"/>
          <w:right w:val="nil"/>
          <w:between w:val="nil"/>
        </w:pBdr>
        <w:spacing w:after="0" w:line="240" w:lineRule="auto"/>
        <w:jc w:val="both"/>
        <w:rPr>
          <w:rFonts w:ascii="Cambria" w:eastAsia="Cambria" w:hAnsi="Cambria" w:cs="Cambria"/>
          <w:color w:val="000000"/>
          <w:sz w:val="16"/>
          <w:szCs w:val="16"/>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En el marco del </w:t>
      </w:r>
      <w:r w:rsidRPr="00357F51">
        <w:rPr>
          <w:rFonts w:ascii="Cambria" w:eastAsia="Cambria" w:hAnsi="Cambria" w:cs="Cambria"/>
          <w:i/>
          <w:color w:val="000000"/>
          <w:sz w:val="16"/>
          <w:szCs w:val="16"/>
        </w:rPr>
        <w:t>“Proyecto VinculARTE: Fortaleciendo las capacidades de 8 organizaciones de base comunitaria (OBC) LGBTQI+ para acoger a población LGBTQI+ migrante y no migrante y vincularlas a servicios de salud, protección de derechos humanos, y atención a la VBG, ubicadas en Lima, Piura y la Libertad en Perú”</w:t>
      </w:r>
      <w:r w:rsidRPr="00357F51">
        <w:rPr>
          <w:rFonts w:ascii="Cambria" w:eastAsia="Cambria" w:hAnsi="Cambria" w:cs="Cambria"/>
          <w:color w:val="000000"/>
          <w:sz w:val="16"/>
          <w:szCs w:val="16"/>
        </w:rPr>
        <w:t xml:space="preserve">, se fortalecieron las capacidades de 8 OBC para acoger a personas LGBTQI+ migrantes y no migrantes y vincularlas a servicios de salud, impartiendo capacitaciones y estrategias de incidencia </w:t>
      </w:r>
      <w:r w:rsidRPr="00357F51">
        <w:rPr>
          <w:rFonts w:ascii="Cambria" w:eastAsia="Cambria" w:hAnsi="Cambria" w:cs="Cambria"/>
          <w:color w:val="000000"/>
          <w:sz w:val="16"/>
          <w:szCs w:val="16"/>
          <w:highlight w:val="white"/>
        </w:rPr>
        <w:t xml:space="preserve"> MICAELA : a) Trabajo con población migrante (VeneActiva); b) Marco normative; c) Proceso de regularización migratoria (Superintendencia de Migraciones); d) Pasos prácticos para desarrollar la estrategia Micaela (Promsex); e) Presentación de denuncia (Defensoría del Pueblo) y f ) Importancia de la Salud Mental en la población LGBTQI+ (Más Igualdad). Como resultado, </w:t>
      </w:r>
      <w:r w:rsidRPr="00357F51">
        <w:rPr>
          <w:rFonts w:ascii="Cambria" w:eastAsia="Cambria" w:hAnsi="Cambria" w:cs="Cambria"/>
          <w:color w:val="000000"/>
          <w:sz w:val="16"/>
          <w:szCs w:val="16"/>
        </w:rPr>
        <w:t>1270 personas fueron beneficiadas de las cuales 180 fueron personas migrantes y se llevaron a cabo 8 talleres de salud mental con 153 participantes en tres regiones, cada uno de estos procesos formativos fueron monitoreados para ver sus resultados de aprehensión. (Producto V: Informe final: 2023/np)</w:t>
      </w:r>
    </w:p>
    <w:p w14:paraId="45C603AA" w14:textId="4C0D33E6" w:rsidR="00B07882" w:rsidRPr="00357F51" w:rsidRDefault="00B07882" w:rsidP="00357F51">
      <w:pPr>
        <w:pStyle w:val="EndnoteText"/>
        <w:jc w:val="both"/>
        <w:rPr>
          <w:rFonts w:ascii="Cambria" w:hAnsi="Cambria"/>
        </w:rPr>
      </w:pPr>
      <w:r w:rsidRPr="00357F51">
        <w:rPr>
          <w:rFonts w:ascii="Cambria" w:eastAsia="Cambria" w:hAnsi="Cambria" w:cs="Cambria"/>
          <w:color w:val="000000"/>
          <w:sz w:val="16"/>
          <w:szCs w:val="16"/>
          <w:highlight w:val="white"/>
        </w:rPr>
        <w:t>“</w:t>
      </w:r>
      <w:r w:rsidRPr="00357F51">
        <w:rPr>
          <w:rFonts w:ascii="Cambria" w:eastAsia="Cambria" w:hAnsi="Cambria" w:cs="Cambria"/>
          <w:i/>
          <w:color w:val="000000"/>
          <w:sz w:val="16"/>
          <w:szCs w:val="16"/>
          <w:highlight w:val="white"/>
        </w:rPr>
        <w:t xml:space="preserve">El Proyecto EscuchArte” </w:t>
      </w:r>
      <w:r w:rsidRPr="00357F51">
        <w:rPr>
          <w:rFonts w:ascii="Cambria" w:eastAsia="Cambria" w:hAnsi="Cambria" w:cs="Cambria"/>
          <w:color w:val="000000"/>
          <w:sz w:val="16"/>
          <w:szCs w:val="16"/>
          <w:highlight w:val="white"/>
        </w:rPr>
        <w:t xml:space="preserve">tuvo por propósito el fortalecimiento de las capacidades de profesionales de la salud mental y la atención de la VBG para atender con calidad a las poblaciones LGBTQI+ migrantes y no migrantes en 5 Redes Integradas de Salud ubicadas en Lima, Piura y La Libertad. </w:t>
      </w:r>
    </w:p>
  </w:endnote>
  <w:endnote w:id="14">
    <w:p w14:paraId="49430B40" w14:textId="70BB200A" w:rsidR="00B07882" w:rsidRPr="00357F51" w:rsidRDefault="00B07882"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Instituto Nacional de Estadística e Informática (INEI). </w:t>
      </w:r>
      <w:r w:rsidRPr="00357F51">
        <w:rPr>
          <w:rFonts w:ascii="Cambria" w:eastAsia="Cambria" w:hAnsi="Cambria" w:cs="Cambria"/>
          <w:i/>
          <w:color w:val="000000"/>
          <w:sz w:val="16"/>
          <w:szCs w:val="16"/>
        </w:rPr>
        <w:t>II Encuesta a la Población venezolana residente en el Perú</w:t>
      </w:r>
      <w:r w:rsidRPr="00357F51">
        <w:rPr>
          <w:rFonts w:ascii="Cambria" w:eastAsia="Cambria" w:hAnsi="Cambria" w:cs="Cambria"/>
          <w:color w:val="000000"/>
          <w:sz w:val="16"/>
          <w:szCs w:val="16"/>
        </w:rPr>
        <w:t>, marzo de 2023.</w:t>
      </w:r>
    </w:p>
  </w:endnote>
  <w:endnote w:id="15">
    <w:p w14:paraId="5CA050AC" w14:textId="37A2CED0" w:rsidR="00B07882" w:rsidRPr="00357F51" w:rsidRDefault="00B07882" w:rsidP="00357F51">
      <w:pPr>
        <w:pBdr>
          <w:top w:val="nil"/>
          <w:left w:val="nil"/>
          <w:bottom w:val="nil"/>
          <w:right w:val="nil"/>
          <w:between w:val="nil"/>
        </w:pBdr>
        <w:spacing w:after="0" w:line="240" w:lineRule="auto"/>
        <w:jc w:val="both"/>
        <w:rPr>
          <w:rFonts w:ascii="Cambria" w:eastAsia="Cambria" w:hAnsi="Cambria" w:cs="Cambria"/>
          <w:color w:val="000000"/>
          <w:sz w:val="16"/>
          <w:szCs w:val="16"/>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El Sistema Integral de Salud (SIS) es una institución administradora de fondos de aseguramiento en salud que gestiona fondos para la cobertura de las atenciones de salud a través de dos tipos de regímenes: (i) subsidiado y (ii) semi contributivo. El primero está destinado a personas de escasos recursos consideradas “pobres” o “extremadamente pobres” y el segundo a personas que puedan aportar económicamente.</w:t>
      </w:r>
    </w:p>
  </w:endnote>
  <w:endnote w:id="16">
    <w:p w14:paraId="71B44440" w14:textId="08927D71" w:rsidR="00B07882" w:rsidRPr="00357F51" w:rsidRDefault="00B07882"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Instituto Nacional de Estadística e Informática (INEI). </w:t>
      </w:r>
      <w:r w:rsidRPr="00357F51">
        <w:rPr>
          <w:rFonts w:ascii="Cambria" w:eastAsia="Cambria" w:hAnsi="Cambria" w:cs="Cambria"/>
          <w:i/>
          <w:color w:val="000000"/>
          <w:sz w:val="16"/>
          <w:szCs w:val="16"/>
        </w:rPr>
        <w:t>II Encuesta a la Población venezolana residente en el Perú</w:t>
      </w:r>
      <w:r w:rsidRPr="00357F51">
        <w:rPr>
          <w:rFonts w:ascii="Cambria" w:eastAsia="Cambria" w:hAnsi="Cambria" w:cs="Cambria"/>
          <w:color w:val="000000"/>
          <w:sz w:val="16"/>
          <w:szCs w:val="16"/>
        </w:rPr>
        <w:t>, marzo de 2023.</w:t>
      </w:r>
    </w:p>
  </w:endnote>
  <w:endnote w:id="17">
    <w:p w14:paraId="7B38A779" w14:textId="684A43D9" w:rsidR="00B07882" w:rsidRPr="00357F51" w:rsidRDefault="00B07882"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Banco Mundial. (2019). </w:t>
      </w:r>
      <w:r w:rsidRPr="00357F51">
        <w:rPr>
          <w:rFonts w:ascii="Cambria" w:eastAsia="Cambria" w:hAnsi="Cambria" w:cs="Cambria"/>
          <w:i/>
          <w:color w:val="000000"/>
          <w:sz w:val="16"/>
          <w:szCs w:val="16"/>
        </w:rPr>
        <w:t>“Una oportunidad para todos. Los migrantes y refugiados venezolanos</w:t>
      </w:r>
      <w:r w:rsidRPr="00357F51">
        <w:rPr>
          <w:rFonts w:ascii="Cambria" w:eastAsia="Cambria" w:hAnsi="Cambria" w:cs="Cambria"/>
          <w:color w:val="000000"/>
          <w:sz w:val="16"/>
          <w:szCs w:val="16"/>
        </w:rPr>
        <w:t>”. Lima: Banco Mundial, pág. 139.</w:t>
      </w:r>
    </w:p>
  </w:endnote>
  <w:endnote w:id="18">
    <w:p w14:paraId="5E70C645" w14:textId="792C02D6"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Instituto Nacional de Estadística e Informática (INEI). </w:t>
      </w:r>
      <w:r w:rsidRPr="00357F51">
        <w:rPr>
          <w:rFonts w:ascii="Cambria" w:eastAsia="Cambria" w:hAnsi="Cambria" w:cs="Cambria"/>
          <w:i/>
          <w:color w:val="000000"/>
          <w:sz w:val="16"/>
          <w:szCs w:val="16"/>
        </w:rPr>
        <w:t>II Encuesta a la Población venezolana residente en el Perú</w:t>
      </w:r>
      <w:r w:rsidRPr="00357F51">
        <w:rPr>
          <w:rFonts w:ascii="Cambria" w:eastAsia="Cambria" w:hAnsi="Cambria" w:cs="Cambria"/>
          <w:color w:val="000000"/>
          <w:sz w:val="16"/>
          <w:szCs w:val="16"/>
        </w:rPr>
        <w:t>, marzo de 2023.</w:t>
      </w:r>
    </w:p>
  </w:endnote>
  <w:endnote w:id="19">
    <w:p w14:paraId="0FD069EC" w14:textId="09843A1E"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Ministerio de Relaciones Exteriores. </w:t>
      </w:r>
      <w:r w:rsidRPr="00357F51">
        <w:rPr>
          <w:rFonts w:ascii="Cambria" w:eastAsia="Cambria" w:hAnsi="Cambria" w:cs="Cambria"/>
          <w:i/>
          <w:color w:val="000000"/>
          <w:sz w:val="16"/>
          <w:szCs w:val="16"/>
        </w:rPr>
        <w:t>Informe País sobre la implementación del Pacto Mundial para la Migración Segura, Ordenada y Regular en América Latina y el Caribe</w:t>
      </w:r>
      <w:r w:rsidRPr="00357F51">
        <w:rPr>
          <w:rFonts w:ascii="Cambria" w:eastAsia="Cambria" w:hAnsi="Cambria" w:cs="Cambria"/>
          <w:color w:val="000000"/>
          <w:sz w:val="16"/>
          <w:szCs w:val="16"/>
        </w:rPr>
        <w:t>, 1 de marzo de 2022, pág. 10.</w:t>
      </w:r>
    </w:p>
  </w:endnote>
  <w:endnote w:id="20">
    <w:p w14:paraId="20FEB636" w14:textId="36B08FB4"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Defensoría del Pueblo. “</w:t>
      </w:r>
      <w:r w:rsidRPr="00357F51">
        <w:rPr>
          <w:rFonts w:ascii="Cambria" w:eastAsia="Cambria" w:hAnsi="Cambria" w:cs="Cambria"/>
          <w:i/>
          <w:color w:val="000000"/>
          <w:sz w:val="16"/>
          <w:szCs w:val="16"/>
        </w:rPr>
        <w:t>Personas venezolanas en el Perú. Análisis de la situación antes y durante la crisis sanitaria generada por el Covid-29”</w:t>
      </w:r>
      <w:r w:rsidRPr="00357F51">
        <w:rPr>
          <w:rFonts w:ascii="Cambria" w:eastAsia="Cambria" w:hAnsi="Cambria" w:cs="Cambria"/>
          <w:color w:val="000000"/>
          <w:sz w:val="16"/>
          <w:szCs w:val="16"/>
        </w:rPr>
        <w:t>. Informe de Adjuntía N° 002-2020-DP/ADHPD. Lima: Defensoría del Pueblo, 2020, pág. 45.</w:t>
      </w:r>
    </w:p>
  </w:endnote>
  <w:endnote w:id="21">
    <w:p w14:paraId="2D84A011" w14:textId="5F568CA0"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i/>
          <w:color w:val="000000"/>
          <w:sz w:val="16"/>
          <w:szCs w:val="16"/>
        </w:rPr>
        <w:t>Ibidem</w:t>
      </w:r>
      <w:r w:rsidRPr="00357F51">
        <w:rPr>
          <w:rFonts w:ascii="Cambria" w:eastAsia="Cambria" w:hAnsi="Cambria" w:cs="Cambria"/>
          <w:color w:val="000000"/>
          <w:sz w:val="16"/>
          <w:szCs w:val="16"/>
        </w:rPr>
        <w:t>, p. 46</w:t>
      </w:r>
    </w:p>
  </w:endnote>
  <w:endnote w:id="22">
    <w:p w14:paraId="36FD585A" w14:textId="236CD5AB"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Las principales enfermedades crónicas que afectan a la población refugiada y migrante venezolana incluyen las alteraciones de salud mental, ubicándose en el octavo lugar con un 1,3%. Instituto Nacional de Estadística e Informática (INEI). </w:t>
      </w:r>
      <w:r w:rsidRPr="00357F51">
        <w:rPr>
          <w:rFonts w:ascii="Cambria" w:eastAsia="Cambria" w:hAnsi="Cambria" w:cs="Cambria"/>
          <w:i/>
          <w:color w:val="000000"/>
          <w:sz w:val="16"/>
          <w:szCs w:val="16"/>
        </w:rPr>
        <w:t>II Encuesta a la Población venezolana residente en el Perú</w:t>
      </w:r>
      <w:r w:rsidRPr="00357F51">
        <w:rPr>
          <w:rFonts w:ascii="Cambria" w:eastAsia="Cambria" w:hAnsi="Cambria" w:cs="Cambria"/>
          <w:color w:val="000000"/>
          <w:sz w:val="16"/>
          <w:szCs w:val="16"/>
        </w:rPr>
        <w:t>, marzo de 2023.</w:t>
      </w:r>
    </w:p>
  </w:endnote>
  <w:endnote w:id="23">
    <w:p w14:paraId="17D3270D" w14:textId="0F0BB9EB"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Organización Panamericana de la Salud. ‘</w:t>
      </w:r>
      <w:hyperlink r:id="rId10">
        <w:r w:rsidRPr="00357F51">
          <w:rPr>
            <w:rFonts w:ascii="Cambria" w:eastAsia="Cambria" w:hAnsi="Cambria" w:cs="Cambria"/>
            <w:i/>
            <w:color w:val="000000"/>
            <w:sz w:val="16"/>
            <w:szCs w:val="16"/>
            <w:u w:val="single"/>
          </w:rPr>
          <w:t>Salud y migración en la región de las Américas</w:t>
        </w:r>
      </w:hyperlink>
      <w:hyperlink r:id="rId11">
        <w:r w:rsidRPr="00357F51">
          <w:rPr>
            <w:rFonts w:ascii="Cambria" w:eastAsia="Cambria" w:hAnsi="Cambria" w:cs="Cambria"/>
            <w:color w:val="000000"/>
            <w:sz w:val="16"/>
            <w:szCs w:val="16"/>
            <w:u w:val="single"/>
          </w:rPr>
          <w:t>’, al 31 de enero de 2024</w:t>
        </w:r>
      </w:hyperlink>
      <w:r w:rsidRPr="00357F51">
        <w:rPr>
          <w:rFonts w:ascii="Cambria" w:eastAsia="Cambria" w:hAnsi="Cambria" w:cs="Cambria"/>
          <w:color w:val="000000"/>
          <w:sz w:val="16"/>
          <w:szCs w:val="16"/>
        </w:rPr>
        <w:t>, pág. 4.</w:t>
      </w:r>
    </w:p>
  </w:endnote>
  <w:endnote w:id="24">
    <w:p w14:paraId="64F934D4" w14:textId="70342F3E"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sz w:val="16"/>
          <w:szCs w:val="16"/>
        </w:rPr>
        <w:t>Ojo Público, “</w:t>
      </w:r>
      <w:hyperlink r:id="rId12">
        <w:r w:rsidRPr="00357F51">
          <w:rPr>
            <w:rFonts w:ascii="Cambria" w:eastAsia="Cambria" w:hAnsi="Cambria" w:cs="Cambria"/>
            <w:i/>
            <w:sz w:val="16"/>
            <w:szCs w:val="16"/>
            <w:u w:val="single"/>
          </w:rPr>
          <w:t>Lobbies y estrategias ultraconservadoras durante la pandemia en América Latina</w:t>
        </w:r>
      </w:hyperlink>
      <w:r w:rsidRPr="00357F51">
        <w:rPr>
          <w:rFonts w:ascii="Cambria" w:eastAsia="Cambria" w:hAnsi="Cambria" w:cs="Cambria"/>
          <w:i/>
          <w:sz w:val="16"/>
          <w:szCs w:val="16"/>
          <w:u w:val="single"/>
        </w:rPr>
        <w:t>”</w:t>
      </w:r>
      <w:r w:rsidRPr="00357F51">
        <w:rPr>
          <w:rFonts w:ascii="Cambria" w:eastAsia="Cambria" w:hAnsi="Cambria" w:cs="Cambria"/>
          <w:i/>
          <w:sz w:val="16"/>
          <w:szCs w:val="16"/>
        </w:rPr>
        <w:t xml:space="preserve">, </w:t>
      </w:r>
      <w:r w:rsidRPr="00357F51">
        <w:rPr>
          <w:rFonts w:ascii="Cambria" w:eastAsia="Cambria" w:hAnsi="Cambria" w:cs="Cambria"/>
          <w:sz w:val="16"/>
          <w:szCs w:val="16"/>
        </w:rPr>
        <w:t>10 de junio de 2020.</w:t>
      </w:r>
    </w:p>
  </w:endnote>
  <w:endnote w:id="25">
    <w:p w14:paraId="14564CFA" w14:textId="77777777" w:rsidR="001B1527" w:rsidRPr="00357F51" w:rsidRDefault="001B1527" w:rsidP="00357F51">
      <w:pPr>
        <w:jc w:val="both"/>
        <w:rPr>
          <w:rFonts w:ascii="Cambria" w:eastAsia="Cambria" w:hAnsi="Cambria" w:cs="Cambria"/>
          <w:color w:val="000000" w:themeColor="text1"/>
          <w:sz w:val="16"/>
          <w:szCs w:val="16"/>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themeColor="text1"/>
          <w:sz w:val="16"/>
          <w:szCs w:val="16"/>
        </w:rPr>
        <w:t>Las estrategias de embate de parte de sectores fundamentalistas están promoviendo una agenda adversa a los derechos humanos de las niñas, niños y adolescentes (NNA) en el sector legislativo (1), judicial y ejecutivo. En el ámbito legislativo, se impulsa iniciativas atentatorias que:</w:t>
      </w:r>
    </w:p>
    <w:p w14:paraId="4DD3CA6B" w14:textId="77777777" w:rsidR="001B1527" w:rsidRPr="00357F51" w:rsidRDefault="001B1527" w:rsidP="00357F51">
      <w:pPr>
        <w:pStyle w:val="ListParagraph"/>
        <w:numPr>
          <w:ilvl w:val="0"/>
          <w:numId w:val="11"/>
        </w:numPr>
        <w:jc w:val="both"/>
        <w:rPr>
          <w:rFonts w:ascii="Cambria" w:eastAsia="Cambria" w:hAnsi="Cambria" w:cs="Cambria"/>
          <w:color w:val="000000" w:themeColor="text1"/>
          <w:sz w:val="16"/>
          <w:szCs w:val="16"/>
        </w:rPr>
      </w:pPr>
      <w:r w:rsidRPr="00357F51">
        <w:rPr>
          <w:rFonts w:ascii="Cambria" w:eastAsia="Cambria" w:hAnsi="Cambria" w:cs="Cambria"/>
          <w:b/>
          <w:bCs/>
          <w:color w:val="000000" w:themeColor="text1"/>
          <w:sz w:val="16"/>
          <w:szCs w:val="16"/>
        </w:rPr>
        <w:t xml:space="preserve">Cuestionan el reconocimiento del Sistema Interamericano de Derechos Humanos (SIDH). </w:t>
      </w:r>
      <w:r w:rsidRPr="00357F51">
        <w:rPr>
          <w:rFonts w:ascii="Cambria" w:eastAsia="Cambria" w:hAnsi="Cambria" w:cs="Cambria"/>
          <w:color w:val="000000" w:themeColor="text1"/>
          <w:sz w:val="16"/>
          <w:szCs w:val="16"/>
        </w:rPr>
        <w:t xml:space="preserve">Muestra de ello es la promoción de iniciativas legislativas, tales como: 1) </w:t>
      </w:r>
      <w:r w:rsidRPr="00357F51">
        <w:rPr>
          <w:rFonts w:ascii="Cambria" w:eastAsia="Cambria" w:hAnsi="Cambria" w:cs="Cambria"/>
          <w:b/>
          <w:bCs/>
          <w:color w:val="000000" w:themeColor="text1"/>
          <w:sz w:val="16"/>
          <w:szCs w:val="16"/>
        </w:rPr>
        <w:t>proyecto de ley N.º 05216/2022-CR</w:t>
      </w:r>
      <w:r w:rsidRPr="00357F51">
        <w:rPr>
          <w:rFonts w:ascii="Cambria" w:eastAsia="Cambria" w:hAnsi="Cambria" w:cs="Cambria"/>
          <w:color w:val="000000" w:themeColor="text1"/>
          <w:sz w:val="16"/>
          <w:szCs w:val="16"/>
        </w:rPr>
        <w:t xml:space="preserve">; 2) </w:t>
      </w:r>
      <w:r w:rsidRPr="00357F51">
        <w:rPr>
          <w:rFonts w:ascii="Cambria" w:eastAsia="Cambria" w:hAnsi="Cambria" w:cs="Cambria"/>
          <w:b/>
          <w:bCs/>
          <w:color w:val="000000" w:themeColor="text1"/>
          <w:sz w:val="16"/>
          <w:szCs w:val="16"/>
        </w:rPr>
        <w:t>proyecto de ley N.º 03494/2022-CR</w:t>
      </w:r>
      <w:r w:rsidRPr="00357F51">
        <w:rPr>
          <w:rFonts w:ascii="Cambria" w:eastAsia="Cambria" w:hAnsi="Cambria" w:cs="Cambria"/>
          <w:color w:val="000000" w:themeColor="text1"/>
          <w:sz w:val="16"/>
          <w:szCs w:val="16"/>
        </w:rPr>
        <w:t xml:space="preserve">; 3) </w:t>
      </w:r>
      <w:r w:rsidRPr="00357F51">
        <w:rPr>
          <w:rFonts w:ascii="Cambria" w:eastAsia="Cambria" w:hAnsi="Cambria" w:cs="Cambria"/>
          <w:b/>
          <w:bCs/>
          <w:color w:val="000000" w:themeColor="text1"/>
          <w:sz w:val="16"/>
          <w:szCs w:val="16"/>
        </w:rPr>
        <w:t>proyecto de ley N.º 05582/2022-CR.</w:t>
      </w:r>
    </w:p>
    <w:p w14:paraId="149E222B" w14:textId="77777777" w:rsidR="00357F51" w:rsidRDefault="001B1527" w:rsidP="00357F51">
      <w:pPr>
        <w:pStyle w:val="ListParagraph"/>
        <w:widowControl/>
        <w:numPr>
          <w:ilvl w:val="0"/>
          <w:numId w:val="11"/>
        </w:numPr>
        <w:spacing w:after="0"/>
        <w:jc w:val="both"/>
        <w:rPr>
          <w:rFonts w:ascii="Cambria" w:eastAsia="Cambria" w:hAnsi="Cambria" w:cs="Cambria"/>
          <w:color w:val="000000" w:themeColor="text1"/>
          <w:sz w:val="16"/>
          <w:szCs w:val="16"/>
        </w:rPr>
      </w:pPr>
      <w:r w:rsidRPr="00357F51">
        <w:rPr>
          <w:rFonts w:ascii="Cambria" w:eastAsia="Cambria" w:hAnsi="Cambria" w:cs="Cambria"/>
          <w:b/>
          <w:bCs/>
          <w:color w:val="000000" w:themeColor="text1"/>
          <w:sz w:val="16"/>
          <w:szCs w:val="16"/>
        </w:rPr>
        <w:t>Obstruyen el trabajo de las organizaciones de sociedad civil.</w:t>
      </w:r>
      <w:r w:rsidRPr="00357F51">
        <w:rPr>
          <w:rFonts w:ascii="Cambria" w:eastAsia="Cambria" w:hAnsi="Cambria" w:cs="Cambria"/>
          <w:color w:val="000000" w:themeColor="text1"/>
          <w:sz w:val="16"/>
          <w:szCs w:val="16"/>
        </w:rPr>
        <w:t xml:space="preserve"> Muestra de ello, tenemos:  1) </w:t>
      </w:r>
      <w:r w:rsidRPr="00357F51">
        <w:rPr>
          <w:rFonts w:ascii="Cambria" w:eastAsia="Cambria" w:hAnsi="Cambria" w:cs="Cambria"/>
          <w:b/>
          <w:bCs/>
          <w:color w:val="000000" w:themeColor="text1"/>
          <w:sz w:val="16"/>
          <w:szCs w:val="16"/>
        </w:rPr>
        <w:t>el proyecto de ley</w:t>
      </w:r>
      <w:r w:rsidRPr="00357F51">
        <w:rPr>
          <w:rFonts w:ascii="Cambria" w:eastAsia="Cambria" w:hAnsi="Cambria" w:cs="Cambria"/>
          <w:color w:val="000000" w:themeColor="text1"/>
          <w:sz w:val="16"/>
          <w:szCs w:val="16"/>
        </w:rPr>
        <w:t xml:space="preserve"> </w:t>
      </w:r>
      <w:r w:rsidRPr="00357F51">
        <w:rPr>
          <w:rFonts w:ascii="Cambria" w:eastAsia="Cambria" w:hAnsi="Cambria" w:cs="Cambria"/>
          <w:b/>
          <w:bCs/>
          <w:color w:val="000000" w:themeColor="text1"/>
          <w:sz w:val="16"/>
          <w:szCs w:val="16"/>
        </w:rPr>
        <w:t>N.º 5909/2023</w:t>
      </w:r>
      <w:r w:rsidRPr="00357F51">
        <w:rPr>
          <w:rFonts w:ascii="Cambria" w:eastAsia="Cambria" w:hAnsi="Cambria" w:cs="Cambria"/>
          <w:color w:val="000000" w:themeColor="text1"/>
          <w:sz w:val="16"/>
          <w:szCs w:val="16"/>
        </w:rPr>
        <w:t xml:space="preserve">; 2) el </w:t>
      </w:r>
      <w:r w:rsidRPr="00357F51">
        <w:rPr>
          <w:rFonts w:ascii="Cambria" w:eastAsia="Cambria" w:hAnsi="Cambria" w:cs="Cambria"/>
          <w:b/>
          <w:bCs/>
          <w:color w:val="000000" w:themeColor="text1"/>
          <w:sz w:val="16"/>
          <w:szCs w:val="16"/>
        </w:rPr>
        <w:t>proyecto de ley N.º 7818/2024</w:t>
      </w:r>
      <w:r w:rsidRPr="00357F51">
        <w:rPr>
          <w:rFonts w:ascii="Cambria" w:eastAsia="Cambria" w:hAnsi="Cambria" w:cs="Cambria"/>
          <w:color w:val="000000" w:themeColor="text1"/>
          <w:sz w:val="16"/>
          <w:szCs w:val="16"/>
        </w:rPr>
        <w:t xml:space="preserve">.Asimismo, el 5 de junio de 2024, la Comisión de Relaciones Exteriores aprobó el dictamen que modifica la Ley N.º 27692. Este dictamen agrupa cuatro iniciativas, entre, ellas, tenemos: 1) </w:t>
      </w:r>
      <w:r w:rsidRPr="00357F51">
        <w:rPr>
          <w:rFonts w:ascii="Cambria" w:eastAsia="Cambria" w:hAnsi="Cambria" w:cs="Cambria"/>
          <w:b/>
          <w:bCs/>
          <w:color w:val="000000" w:themeColor="text1"/>
          <w:sz w:val="16"/>
          <w:szCs w:val="16"/>
        </w:rPr>
        <w:t>proyecto de Ley N.º 6162/2023-CR</w:t>
      </w:r>
      <w:r w:rsidRPr="00357F51">
        <w:rPr>
          <w:rFonts w:ascii="Cambria" w:eastAsia="Cambria" w:hAnsi="Cambria" w:cs="Cambria"/>
          <w:color w:val="000000" w:themeColor="text1"/>
          <w:sz w:val="16"/>
          <w:szCs w:val="16"/>
        </w:rPr>
        <w:t xml:space="preserve">,  ; 2) </w:t>
      </w:r>
      <w:r w:rsidRPr="00357F51">
        <w:rPr>
          <w:rFonts w:ascii="Cambria" w:eastAsia="Cambria" w:hAnsi="Cambria" w:cs="Cambria"/>
          <w:b/>
          <w:bCs/>
          <w:color w:val="000000" w:themeColor="text1"/>
          <w:sz w:val="16"/>
          <w:szCs w:val="16"/>
        </w:rPr>
        <w:t>proyecto de ley N.º 6252/2023-CR</w:t>
      </w:r>
      <w:r w:rsidRPr="00357F51">
        <w:rPr>
          <w:rFonts w:ascii="Cambria" w:eastAsia="Cambria" w:hAnsi="Cambria" w:cs="Cambria"/>
          <w:color w:val="000000" w:themeColor="text1"/>
          <w:sz w:val="16"/>
          <w:szCs w:val="16"/>
        </w:rPr>
        <w:t xml:space="preserve">; 3) </w:t>
      </w:r>
      <w:r w:rsidRPr="00357F51">
        <w:rPr>
          <w:rFonts w:ascii="Cambria" w:eastAsia="Cambria" w:hAnsi="Cambria" w:cs="Cambria"/>
          <w:b/>
          <w:bCs/>
          <w:color w:val="000000" w:themeColor="text1"/>
          <w:sz w:val="16"/>
          <w:szCs w:val="16"/>
        </w:rPr>
        <w:t>proyecto de ley N.º 7140/2023-CR</w:t>
      </w:r>
      <w:r w:rsidRPr="00357F51">
        <w:rPr>
          <w:rFonts w:ascii="Cambria" w:eastAsia="Cambria" w:hAnsi="Cambria" w:cs="Cambria"/>
          <w:color w:val="000000" w:themeColor="text1"/>
          <w:sz w:val="16"/>
          <w:szCs w:val="16"/>
        </w:rPr>
        <w:t xml:space="preserve">; 4) </w:t>
      </w:r>
      <w:r w:rsidRPr="00357F51">
        <w:rPr>
          <w:rFonts w:ascii="Cambria" w:eastAsia="Cambria" w:hAnsi="Cambria" w:cs="Cambria"/>
          <w:b/>
          <w:bCs/>
          <w:color w:val="000000" w:themeColor="text1"/>
          <w:sz w:val="16"/>
          <w:szCs w:val="16"/>
        </w:rPr>
        <w:t>proyecto de ley N.º7367/2023-CR</w:t>
      </w:r>
      <w:r w:rsidRPr="00357F51">
        <w:rPr>
          <w:rFonts w:ascii="Cambria" w:eastAsia="Cambria" w:hAnsi="Cambria" w:cs="Cambria"/>
          <w:color w:val="000000" w:themeColor="text1"/>
          <w:sz w:val="16"/>
          <w:szCs w:val="16"/>
        </w:rPr>
        <w:t xml:space="preserve">. </w:t>
      </w:r>
    </w:p>
    <w:p w14:paraId="6A561A88" w14:textId="3A70CE10" w:rsidR="001B1527" w:rsidRPr="00357F51" w:rsidRDefault="001B1527" w:rsidP="00357F51">
      <w:pPr>
        <w:pStyle w:val="ListParagraph"/>
        <w:widowControl/>
        <w:spacing w:after="0"/>
        <w:jc w:val="both"/>
        <w:rPr>
          <w:rFonts w:ascii="Cambria" w:eastAsia="Cambria" w:hAnsi="Cambria" w:cs="Cambria"/>
          <w:color w:val="000000" w:themeColor="text1"/>
          <w:sz w:val="16"/>
          <w:szCs w:val="16"/>
        </w:rPr>
      </w:pPr>
      <w:r w:rsidRPr="00357F51">
        <w:rPr>
          <w:rFonts w:ascii="Cambria" w:eastAsia="Cambria" w:hAnsi="Cambria" w:cs="Cambria"/>
          <w:color w:val="000000" w:themeColor="text1"/>
          <w:sz w:val="16"/>
          <w:szCs w:val="16"/>
        </w:rPr>
        <w:t xml:space="preserve">Finalmente, el cinco de junio de 2024, el Congreso aprobó el dictamen recaído en el </w:t>
      </w:r>
      <w:r w:rsidRPr="00357F51">
        <w:rPr>
          <w:rFonts w:ascii="Cambria" w:hAnsi="Cambria"/>
          <w:b/>
          <w:bCs/>
          <w:color w:val="000000" w:themeColor="text1"/>
          <w:sz w:val="16"/>
          <w:szCs w:val="16"/>
        </w:rPr>
        <w:t xml:space="preserve">proyecto de ley </w:t>
      </w:r>
      <w:r w:rsidRPr="00357F51">
        <w:rPr>
          <w:rFonts w:ascii="Cambria" w:hAnsi="Cambria" w:cs="Arial"/>
          <w:b/>
          <w:bCs/>
          <w:color w:val="000000" w:themeColor="text1"/>
          <w:sz w:val="16"/>
          <w:szCs w:val="16"/>
        </w:rPr>
        <w:t>N.º</w:t>
      </w:r>
      <w:r w:rsidRPr="00357F51">
        <w:rPr>
          <w:rFonts w:ascii="Cambria" w:hAnsi="Cambria"/>
          <w:b/>
          <w:bCs/>
          <w:color w:val="000000" w:themeColor="text1"/>
          <w:sz w:val="16"/>
          <w:szCs w:val="16"/>
        </w:rPr>
        <w:t xml:space="preserve"> 7032/2023-CR</w:t>
      </w:r>
      <w:r w:rsidRPr="00357F51">
        <w:rPr>
          <w:rFonts w:ascii="Cambria" w:hAnsi="Cambria"/>
          <w:color w:val="000000" w:themeColor="text1"/>
          <w:sz w:val="16"/>
          <w:szCs w:val="16"/>
        </w:rPr>
        <w:t xml:space="preserve"> y </w:t>
      </w:r>
      <w:r w:rsidRPr="00357F51">
        <w:rPr>
          <w:rFonts w:ascii="Cambria" w:hAnsi="Cambria" w:cs="Arial"/>
          <w:b/>
          <w:bCs/>
          <w:color w:val="000000" w:themeColor="text1"/>
          <w:sz w:val="16"/>
          <w:szCs w:val="16"/>
        </w:rPr>
        <w:t>N.º</w:t>
      </w:r>
      <w:r w:rsidRPr="00357F51">
        <w:rPr>
          <w:rFonts w:ascii="Cambria" w:hAnsi="Cambria"/>
          <w:b/>
          <w:bCs/>
          <w:color w:val="000000" w:themeColor="text1"/>
          <w:sz w:val="16"/>
          <w:szCs w:val="16"/>
        </w:rPr>
        <w:t xml:space="preserve"> 7146/2023-CR</w:t>
      </w:r>
      <w:r w:rsidRPr="00357F51">
        <w:rPr>
          <w:rFonts w:ascii="Cambria" w:hAnsi="Cambria"/>
          <w:color w:val="000000" w:themeColor="text1"/>
          <w:sz w:val="16"/>
          <w:szCs w:val="16"/>
        </w:rPr>
        <w:t xml:space="preserve">, ley que promueve las Escuelas de Padres en las instituciones de Educación Básica Regular y Privada. </w:t>
      </w:r>
    </w:p>
    <w:p w14:paraId="5AF9729C" w14:textId="77777777" w:rsidR="00357F51" w:rsidRDefault="001B1527" w:rsidP="00357F51">
      <w:pPr>
        <w:pStyle w:val="ListParagraph"/>
        <w:widowControl/>
        <w:numPr>
          <w:ilvl w:val="0"/>
          <w:numId w:val="11"/>
        </w:numPr>
        <w:spacing w:after="0"/>
        <w:jc w:val="both"/>
        <w:rPr>
          <w:rFonts w:ascii="Cambria" w:eastAsia="Cambria" w:hAnsi="Cambria" w:cs="Cambria"/>
          <w:color w:val="000000" w:themeColor="text1"/>
          <w:sz w:val="16"/>
          <w:szCs w:val="16"/>
        </w:rPr>
      </w:pPr>
      <w:r w:rsidRPr="00357F51">
        <w:rPr>
          <w:rFonts w:ascii="Cambria" w:hAnsi="Cambria" w:cs="Segoe UI"/>
          <w:b/>
          <w:bCs/>
          <w:color w:val="000000" w:themeColor="text1"/>
          <w:sz w:val="16"/>
          <w:szCs w:val="16"/>
        </w:rPr>
        <w:t>Impiden garantizar el derecho a la salud sexual y reproductiva (DDSSyRR).</w:t>
      </w:r>
      <w:r w:rsidRPr="00357F51">
        <w:rPr>
          <w:rFonts w:ascii="Cambria" w:hAnsi="Cambria" w:cs="Segoe UI"/>
          <w:color w:val="000000" w:themeColor="text1"/>
          <w:sz w:val="16"/>
          <w:szCs w:val="16"/>
        </w:rPr>
        <w:t xml:space="preserve"> El Congreso propició dos </w:t>
      </w:r>
      <w:r w:rsidRPr="00357F51">
        <w:rPr>
          <w:rFonts w:ascii="Cambria" w:eastAsia="Cambria" w:hAnsi="Cambria" w:cs="Cambria"/>
          <w:color w:val="000000" w:themeColor="text1"/>
          <w:sz w:val="16"/>
          <w:szCs w:val="16"/>
        </w:rPr>
        <w:t xml:space="preserve">iniciativas legislativas atentatorias que ahora son leyes:  1) </w:t>
      </w:r>
      <w:r w:rsidRPr="00357F51">
        <w:rPr>
          <w:rFonts w:ascii="Cambria" w:eastAsia="Cambria" w:hAnsi="Cambria" w:cs="Cambria"/>
          <w:b/>
          <w:bCs/>
          <w:color w:val="000000" w:themeColor="text1"/>
          <w:sz w:val="16"/>
          <w:szCs w:val="16"/>
        </w:rPr>
        <w:t>la ley N.º 32000</w:t>
      </w:r>
      <w:r w:rsidRPr="00357F51">
        <w:rPr>
          <w:rFonts w:ascii="Cambria" w:eastAsia="Cambria" w:hAnsi="Cambria" w:cs="Cambria"/>
          <w:color w:val="000000" w:themeColor="text1"/>
          <w:sz w:val="16"/>
          <w:szCs w:val="16"/>
        </w:rPr>
        <w:t xml:space="preserve">, que reconoce al concebido como ‘niño por nacer’; 2) </w:t>
      </w:r>
      <w:r w:rsidRPr="00357F51">
        <w:rPr>
          <w:rFonts w:ascii="Cambria" w:eastAsia="Cambria" w:hAnsi="Cambria" w:cs="Cambria"/>
          <w:b/>
          <w:bCs/>
          <w:color w:val="000000" w:themeColor="text1"/>
          <w:sz w:val="16"/>
          <w:szCs w:val="16"/>
        </w:rPr>
        <w:t>la ley N.º 31935</w:t>
      </w:r>
      <w:r w:rsidRPr="00357F51">
        <w:rPr>
          <w:rFonts w:ascii="Cambria" w:eastAsia="Cambria" w:hAnsi="Cambria" w:cs="Cambria"/>
          <w:color w:val="000000" w:themeColor="text1"/>
          <w:sz w:val="16"/>
          <w:szCs w:val="16"/>
        </w:rPr>
        <w:t xml:space="preserve">, la cual establece que la vida humana comienza con la concepción y, por lo tanto, es sujeta de derecho desde ese momento. </w:t>
      </w:r>
    </w:p>
    <w:p w14:paraId="11AAB939" w14:textId="6C6432B0" w:rsidR="001B1527" w:rsidRPr="00357F51" w:rsidRDefault="001B1527" w:rsidP="00357F51">
      <w:pPr>
        <w:pStyle w:val="ListParagraph"/>
        <w:widowControl/>
        <w:spacing w:after="0"/>
        <w:jc w:val="both"/>
        <w:rPr>
          <w:rFonts w:ascii="Cambria" w:eastAsia="Cambria" w:hAnsi="Cambria" w:cs="Cambria"/>
          <w:color w:val="000000" w:themeColor="text1"/>
          <w:sz w:val="16"/>
          <w:szCs w:val="16"/>
        </w:rPr>
      </w:pPr>
      <w:r w:rsidRPr="00357F51">
        <w:rPr>
          <w:rFonts w:ascii="Cambria" w:eastAsia="Cambria" w:hAnsi="Cambria" w:cs="Cambria"/>
          <w:color w:val="000000" w:themeColor="text1"/>
          <w:sz w:val="16"/>
          <w:szCs w:val="16"/>
        </w:rPr>
        <w:t xml:space="preserve">A esto se suma, la presentación de proyectos de ley que representan medidas regresivas para los derechos sexuales y reproductivos de las NNA. Entre ellos, destacan: 1) </w:t>
      </w:r>
      <w:r w:rsidRPr="00357F51">
        <w:rPr>
          <w:rFonts w:ascii="Cambria" w:eastAsia="Cambria" w:hAnsi="Cambria" w:cs="Cambria"/>
          <w:b/>
          <w:bCs/>
          <w:color w:val="000000" w:themeColor="text1"/>
          <w:sz w:val="16"/>
          <w:szCs w:val="16"/>
        </w:rPr>
        <w:t>proyecto de ley N.º 07427/2023</w:t>
      </w:r>
      <w:r w:rsidRPr="00357F51">
        <w:rPr>
          <w:rFonts w:ascii="Cambria" w:hAnsi="Cambria"/>
          <w:color w:val="000000" w:themeColor="text1"/>
          <w:sz w:val="16"/>
          <w:szCs w:val="16"/>
        </w:rPr>
        <w:t xml:space="preserve">; 2) </w:t>
      </w:r>
      <w:r w:rsidRPr="00357F51">
        <w:rPr>
          <w:rFonts w:ascii="Cambria" w:hAnsi="Cambria"/>
          <w:b/>
          <w:bCs/>
          <w:color w:val="000000" w:themeColor="text1"/>
          <w:sz w:val="16"/>
          <w:szCs w:val="16"/>
        </w:rPr>
        <w:t xml:space="preserve">proyecto de ley </w:t>
      </w:r>
      <w:r w:rsidRPr="00357F51">
        <w:rPr>
          <w:rFonts w:ascii="Cambria" w:eastAsia="Cambria" w:hAnsi="Cambria" w:cs="Cambria"/>
          <w:b/>
          <w:bCs/>
          <w:color w:val="000000" w:themeColor="text1"/>
          <w:sz w:val="16"/>
          <w:szCs w:val="16"/>
        </w:rPr>
        <w:t>N.º</w:t>
      </w:r>
      <w:r w:rsidRPr="00357F51">
        <w:rPr>
          <w:rFonts w:ascii="Cambria" w:hAnsi="Cambria"/>
          <w:b/>
          <w:bCs/>
          <w:color w:val="000000" w:themeColor="text1"/>
          <w:sz w:val="16"/>
          <w:szCs w:val="16"/>
        </w:rPr>
        <w:t xml:space="preserve"> 7349/2024</w:t>
      </w:r>
      <w:r w:rsidRPr="00357F51">
        <w:rPr>
          <w:rFonts w:ascii="Cambria" w:hAnsi="Cambria"/>
          <w:color w:val="000000" w:themeColor="text1"/>
          <w:sz w:val="16"/>
          <w:szCs w:val="16"/>
        </w:rPr>
        <w:t xml:space="preserve">; 3) </w:t>
      </w:r>
      <w:r w:rsidRPr="00357F51">
        <w:rPr>
          <w:rFonts w:ascii="Cambria" w:hAnsi="Cambria"/>
          <w:b/>
          <w:bCs/>
          <w:color w:val="000000" w:themeColor="text1"/>
          <w:sz w:val="16"/>
          <w:szCs w:val="16"/>
        </w:rPr>
        <w:t xml:space="preserve">proyecto de ley </w:t>
      </w:r>
      <w:r w:rsidRPr="00357F51">
        <w:rPr>
          <w:rFonts w:ascii="Cambria" w:eastAsia="Cambria" w:hAnsi="Cambria" w:cs="Cambria"/>
          <w:b/>
          <w:bCs/>
          <w:color w:val="000000" w:themeColor="text1"/>
          <w:sz w:val="16"/>
          <w:szCs w:val="16"/>
        </w:rPr>
        <w:t xml:space="preserve">N.º </w:t>
      </w:r>
      <w:r w:rsidRPr="00357F51">
        <w:rPr>
          <w:rFonts w:ascii="Cambria" w:hAnsi="Cambria"/>
          <w:b/>
          <w:bCs/>
          <w:color w:val="000000" w:themeColor="text1"/>
          <w:sz w:val="16"/>
          <w:szCs w:val="16"/>
        </w:rPr>
        <w:t>01520/2023</w:t>
      </w:r>
      <w:r w:rsidRPr="00357F51">
        <w:rPr>
          <w:rFonts w:ascii="Cambria" w:hAnsi="Cambria"/>
          <w:color w:val="000000" w:themeColor="text1"/>
          <w:sz w:val="16"/>
          <w:szCs w:val="16"/>
        </w:rPr>
        <w:t xml:space="preserve">; 4) </w:t>
      </w:r>
      <w:r w:rsidRPr="00357F51">
        <w:rPr>
          <w:rFonts w:ascii="Cambria" w:hAnsi="Cambria"/>
          <w:b/>
          <w:bCs/>
          <w:color w:val="000000" w:themeColor="text1"/>
          <w:sz w:val="16"/>
          <w:szCs w:val="16"/>
        </w:rPr>
        <w:t xml:space="preserve">proyecto de ley </w:t>
      </w:r>
      <w:r w:rsidRPr="00357F51">
        <w:rPr>
          <w:rFonts w:ascii="Cambria" w:eastAsia="Cambria" w:hAnsi="Cambria" w:cs="Cambria"/>
          <w:b/>
          <w:bCs/>
          <w:color w:val="000000" w:themeColor="text1"/>
          <w:sz w:val="16"/>
          <w:szCs w:val="16"/>
        </w:rPr>
        <w:t xml:space="preserve">N.º </w:t>
      </w:r>
      <w:r w:rsidRPr="00357F51">
        <w:rPr>
          <w:rFonts w:ascii="Cambria" w:hAnsi="Cambria"/>
          <w:b/>
          <w:bCs/>
          <w:color w:val="000000" w:themeColor="text1"/>
          <w:sz w:val="16"/>
          <w:szCs w:val="16"/>
        </w:rPr>
        <w:t>03464/2022</w:t>
      </w:r>
      <w:r w:rsidRPr="00357F51">
        <w:rPr>
          <w:rFonts w:ascii="Cambria" w:hAnsi="Cambria"/>
          <w:color w:val="000000" w:themeColor="text1"/>
          <w:sz w:val="16"/>
          <w:szCs w:val="16"/>
        </w:rPr>
        <w:t xml:space="preserve">; 5) </w:t>
      </w:r>
      <w:r w:rsidRPr="00357F51">
        <w:rPr>
          <w:rFonts w:ascii="Cambria" w:hAnsi="Cambria"/>
          <w:b/>
          <w:bCs/>
          <w:color w:val="000000" w:themeColor="text1"/>
          <w:sz w:val="16"/>
          <w:szCs w:val="16"/>
        </w:rPr>
        <w:t xml:space="preserve">proyecto de ley </w:t>
      </w:r>
      <w:r w:rsidRPr="00357F51">
        <w:rPr>
          <w:rFonts w:ascii="Cambria" w:eastAsia="Cambria" w:hAnsi="Cambria" w:cs="Cambria"/>
          <w:b/>
          <w:bCs/>
          <w:color w:val="000000" w:themeColor="text1"/>
          <w:sz w:val="16"/>
          <w:szCs w:val="16"/>
        </w:rPr>
        <w:t xml:space="preserve">N.º </w:t>
      </w:r>
      <w:r w:rsidRPr="00357F51">
        <w:rPr>
          <w:rFonts w:ascii="Cambria" w:hAnsi="Cambria"/>
          <w:b/>
          <w:bCs/>
          <w:color w:val="000000" w:themeColor="text1"/>
          <w:sz w:val="16"/>
          <w:szCs w:val="16"/>
        </w:rPr>
        <w:t>3038/2022</w:t>
      </w:r>
      <w:r w:rsidRPr="00357F51">
        <w:rPr>
          <w:rFonts w:ascii="Cambria" w:hAnsi="Cambria"/>
          <w:color w:val="000000" w:themeColor="text1"/>
          <w:sz w:val="16"/>
          <w:szCs w:val="16"/>
        </w:rPr>
        <w:t xml:space="preserve">; 6) </w:t>
      </w:r>
      <w:r w:rsidRPr="00357F51">
        <w:rPr>
          <w:rFonts w:ascii="Cambria" w:hAnsi="Cambria"/>
          <w:b/>
          <w:bCs/>
          <w:color w:val="000000" w:themeColor="text1"/>
          <w:sz w:val="16"/>
          <w:szCs w:val="16"/>
        </w:rPr>
        <w:t xml:space="preserve">proyecto de ley </w:t>
      </w:r>
      <w:r w:rsidRPr="00357F51">
        <w:rPr>
          <w:rFonts w:ascii="Cambria" w:eastAsia="Cambria" w:hAnsi="Cambria" w:cs="Cambria"/>
          <w:b/>
          <w:bCs/>
          <w:color w:val="000000" w:themeColor="text1"/>
          <w:sz w:val="16"/>
          <w:szCs w:val="16"/>
        </w:rPr>
        <w:t xml:space="preserve">N.º </w:t>
      </w:r>
      <w:r w:rsidRPr="00357F51">
        <w:rPr>
          <w:rFonts w:ascii="Cambria" w:hAnsi="Cambria"/>
          <w:b/>
          <w:bCs/>
          <w:color w:val="000000" w:themeColor="text1"/>
          <w:sz w:val="16"/>
          <w:szCs w:val="16"/>
        </w:rPr>
        <w:t>785/2021</w:t>
      </w:r>
      <w:r w:rsidRPr="00357F51">
        <w:rPr>
          <w:rFonts w:ascii="Cambria" w:hAnsi="Cambria"/>
          <w:color w:val="000000" w:themeColor="text1"/>
          <w:sz w:val="16"/>
          <w:szCs w:val="16"/>
        </w:rPr>
        <w:t xml:space="preserve">; 7) </w:t>
      </w:r>
      <w:r w:rsidRPr="00357F51">
        <w:rPr>
          <w:rFonts w:ascii="Cambria" w:hAnsi="Cambria"/>
          <w:b/>
          <w:bCs/>
          <w:color w:val="000000" w:themeColor="text1"/>
          <w:sz w:val="16"/>
          <w:szCs w:val="16"/>
        </w:rPr>
        <w:t xml:space="preserve">proyecto de ley </w:t>
      </w:r>
      <w:r w:rsidRPr="00357F51">
        <w:rPr>
          <w:rFonts w:ascii="Cambria" w:eastAsia="Cambria" w:hAnsi="Cambria" w:cs="Cambria"/>
          <w:b/>
          <w:bCs/>
          <w:color w:val="000000" w:themeColor="text1"/>
          <w:sz w:val="16"/>
          <w:szCs w:val="16"/>
        </w:rPr>
        <w:t xml:space="preserve">N.º </w:t>
      </w:r>
      <w:r w:rsidRPr="00357F51">
        <w:rPr>
          <w:rFonts w:ascii="Cambria" w:hAnsi="Cambria"/>
          <w:b/>
          <w:bCs/>
          <w:color w:val="000000" w:themeColor="text1"/>
          <w:sz w:val="16"/>
          <w:szCs w:val="16"/>
        </w:rPr>
        <w:t>8731/2024</w:t>
      </w:r>
      <w:r w:rsidRPr="00357F51">
        <w:rPr>
          <w:rFonts w:ascii="Cambria" w:hAnsi="Cambria"/>
          <w:color w:val="000000" w:themeColor="text1"/>
          <w:sz w:val="16"/>
          <w:szCs w:val="16"/>
        </w:rPr>
        <w:t xml:space="preserve"> </w:t>
      </w:r>
      <w:r w:rsidRPr="00357F51">
        <w:rPr>
          <w:rFonts w:ascii="Cambria" w:eastAsia="Arial" w:hAnsi="Cambria" w:cs="Arial"/>
          <w:color w:val="000000"/>
          <w:sz w:val="16"/>
          <w:szCs w:val="16"/>
        </w:rPr>
        <w:t>.</w:t>
      </w:r>
    </w:p>
    <w:p w14:paraId="4672B6E8" w14:textId="371E6FFE" w:rsidR="00357F51" w:rsidRDefault="001B1527" w:rsidP="00357F51">
      <w:pPr>
        <w:pStyle w:val="ListParagraph"/>
        <w:widowControl/>
        <w:numPr>
          <w:ilvl w:val="0"/>
          <w:numId w:val="11"/>
        </w:numPr>
        <w:spacing w:after="0"/>
        <w:jc w:val="both"/>
        <w:rPr>
          <w:rFonts w:ascii="Cambria" w:hAnsi="Cambria"/>
          <w:color w:val="000000" w:themeColor="text1"/>
          <w:sz w:val="16"/>
          <w:szCs w:val="16"/>
        </w:rPr>
      </w:pPr>
      <w:r w:rsidRPr="00357F51">
        <w:rPr>
          <w:rFonts w:ascii="Cambria" w:eastAsia="Cambria" w:hAnsi="Cambria" w:cs="Cambria"/>
          <w:b/>
          <w:bCs/>
          <w:color w:val="000000" w:themeColor="text1"/>
          <w:sz w:val="16"/>
          <w:szCs w:val="16"/>
        </w:rPr>
        <w:t>Pretenden retroceder con el impulso en la Educación Sexual Integral (ESI)</w:t>
      </w:r>
      <w:r w:rsidR="004E3891">
        <w:rPr>
          <w:rFonts w:ascii="Cambria" w:eastAsia="Cambria" w:hAnsi="Cambria" w:cs="Cambria"/>
          <w:b/>
          <w:bCs/>
          <w:color w:val="000000" w:themeColor="text1"/>
          <w:sz w:val="16"/>
          <w:szCs w:val="16"/>
        </w:rPr>
        <w:t xml:space="preserve">. </w:t>
      </w:r>
      <w:r w:rsidRPr="00357F51">
        <w:rPr>
          <w:rFonts w:ascii="Cambria" w:eastAsia="Cambria" w:hAnsi="Cambria" w:cs="Cambria"/>
          <w:color w:val="000000" w:themeColor="text1"/>
          <w:sz w:val="16"/>
          <w:szCs w:val="16"/>
        </w:rPr>
        <w:t xml:space="preserve">El Congreso ha promovido la </w:t>
      </w:r>
      <w:r w:rsidRPr="00357F51">
        <w:rPr>
          <w:rFonts w:ascii="Cambria" w:eastAsia="Cambria" w:hAnsi="Cambria" w:cs="Cambria"/>
          <w:b/>
          <w:bCs/>
          <w:color w:val="000000" w:themeColor="text1"/>
          <w:sz w:val="16"/>
          <w:szCs w:val="16"/>
        </w:rPr>
        <w:t>iniciativa legislativa N.º 7579/2023</w:t>
      </w:r>
      <w:r w:rsidR="00966800">
        <w:rPr>
          <w:rFonts w:ascii="Cambria" w:eastAsia="Cambria" w:hAnsi="Cambria" w:cs="Cambria"/>
          <w:b/>
          <w:bCs/>
          <w:color w:val="000000" w:themeColor="text1"/>
          <w:sz w:val="16"/>
          <w:szCs w:val="16"/>
        </w:rPr>
        <w:t>, e</w:t>
      </w:r>
      <w:r w:rsidR="00966800" w:rsidRPr="00357F51">
        <w:rPr>
          <w:rFonts w:ascii="Cambria" w:eastAsia="Arial" w:hAnsi="Cambria" w:cs="Arial"/>
          <w:color w:val="000000"/>
          <w:sz w:val="16"/>
          <w:szCs w:val="16"/>
        </w:rPr>
        <w:t>l 27 de agosto del 2024, se presentó el Proyecto de Ley Nº 8731/2024-CR.</w:t>
      </w:r>
      <w:r w:rsidRPr="00357F51">
        <w:rPr>
          <w:rFonts w:ascii="Cambria" w:eastAsia="Cambria" w:hAnsi="Cambria" w:cs="Cambria"/>
          <w:color w:val="000000" w:themeColor="text1"/>
          <w:sz w:val="16"/>
          <w:szCs w:val="16"/>
        </w:rPr>
        <w:t xml:space="preserve">. Y, el cinco de junio de 2024, el Congreso aprobó el dictamen recaído en el </w:t>
      </w:r>
      <w:r w:rsidRPr="00357F51">
        <w:rPr>
          <w:rFonts w:ascii="Cambria" w:hAnsi="Cambria"/>
          <w:b/>
          <w:bCs/>
          <w:color w:val="000000" w:themeColor="text1"/>
          <w:sz w:val="16"/>
          <w:szCs w:val="16"/>
        </w:rPr>
        <w:t xml:space="preserve">proyecto de ley </w:t>
      </w:r>
      <w:r w:rsidRPr="00357F51">
        <w:rPr>
          <w:rFonts w:ascii="Cambria" w:hAnsi="Cambria" w:cs="Arial"/>
          <w:b/>
          <w:bCs/>
          <w:color w:val="000000" w:themeColor="text1"/>
          <w:sz w:val="16"/>
          <w:szCs w:val="16"/>
        </w:rPr>
        <w:t>N.º</w:t>
      </w:r>
      <w:r w:rsidRPr="00357F51">
        <w:rPr>
          <w:rFonts w:ascii="Cambria" w:hAnsi="Cambria"/>
          <w:b/>
          <w:bCs/>
          <w:color w:val="000000" w:themeColor="text1"/>
          <w:sz w:val="16"/>
          <w:szCs w:val="16"/>
        </w:rPr>
        <w:t xml:space="preserve"> 7032/2023-CR</w:t>
      </w:r>
      <w:r w:rsidRPr="00357F51">
        <w:rPr>
          <w:rFonts w:ascii="Cambria" w:hAnsi="Cambria"/>
          <w:color w:val="000000" w:themeColor="text1"/>
          <w:sz w:val="16"/>
          <w:szCs w:val="16"/>
        </w:rPr>
        <w:t xml:space="preserve"> y </w:t>
      </w:r>
      <w:r w:rsidRPr="00357F51">
        <w:rPr>
          <w:rFonts w:ascii="Cambria" w:hAnsi="Cambria" w:cs="Arial"/>
          <w:b/>
          <w:bCs/>
          <w:color w:val="000000" w:themeColor="text1"/>
          <w:sz w:val="16"/>
          <w:szCs w:val="16"/>
        </w:rPr>
        <w:t>N.º</w:t>
      </w:r>
      <w:r w:rsidRPr="00357F51">
        <w:rPr>
          <w:rFonts w:ascii="Cambria" w:hAnsi="Cambria"/>
          <w:b/>
          <w:bCs/>
          <w:color w:val="000000" w:themeColor="text1"/>
          <w:sz w:val="16"/>
          <w:szCs w:val="16"/>
        </w:rPr>
        <w:t xml:space="preserve"> 7146/2023-CR</w:t>
      </w:r>
      <w:r w:rsidRPr="00357F51">
        <w:rPr>
          <w:rFonts w:ascii="Cambria" w:hAnsi="Cambria"/>
          <w:color w:val="000000" w:themeColor="text1"/>
          <w:sz w:val="16"/>
          <w:szCs w:val="16"/>
        </w:rPr>
        <w:t>.</w:t>
      </w:r>
    </w:p>
    <w:p w14:paraId="08DF0C6A" w14:textId="65551C29" w:rsidR="001B1527" w:rsidRPr="00357F51" w:rsidRDefault="001B1527" w:rsidP="00357F51">
      <w:pPr>
        <w:pStyle w:val="ListParagraph"/>
        <w:widowControl/>
        <w:spacing w:after="0"/>
        <w:jc w:val="both"/>
        <w:rPr>
          <w:rFonts w:ascii="Cambria" w:hAnsi="Cambria"/>
          <w:color w:val="000000" w:themeColor="text1"/>
          <w:sz w:val="16"/>
          <w:szCs w:val="16"/>
        </w:rPr>
      </w:pPr>
      <w:r w:rsidRPr="00357F51">
        <w:rPr>
          <w:rFonts w:ascii="Cambria" w:eastAsia="Cambria" w:hAnsi="Cambria" w:cs="Cambria"/>
          <w:color w:val="000000" w:themeColor="text1"/>
          <w:sz w:val="16"/>
          <w:szCs w:val="16"/>
        </w:rPr>
        <w:t xml:space="preserve">Además, el 23 de junio de 2022, se publicó la Ley N.º 31498, “Ley que impulsa la calidad de los materiales y recursos educativos en el Perú”(10) y el 30 de septiembre de 2023, se aprobó su reglamento.  </w:t>
      </w:r>
    </w:p>
    <w:p w14:paraId="4E57DBFA" w14:textId="6B4165A2" w:rsidR="001B1527" w:rsidRPr="00357F51" w:rsidRDefault="001B1527" w:rsidP="00357F51">
      <w:pPr>
        <w:pStyle w:val="ListParagraph"/>
        <w:numPr>
          <w:ilvl w:val="0"/>
          <w:numId w:val="11"/>
        </w:numPr>
        <w:jc w:val="both"/>
        <w:rPr>
          <w:rFonts w:ascii="Cambria" w:eastAsia="Cambria" w:hAnsi="Cambria" w:cs="Cambria"/>
          <w:color w:val="000000" w:themeColor="text1"/>
          <w:sz w:val="16"/>
          <w:szCs w:val="16"/>
        </w:rPr>
      </w:pPr>
      <w:r w:rsidRPr="00357F51">
        <w:rPr>
          <w:rFonts w:ascii="Cambria" w:eastAsia="Cambria" w:hAnsi="Cambria" w:cs="Cambria"/>
          <w:b/>
          <w:bCs/>
          <w:color w:val="000000" w:themeColor="text1"/>
          <w:sz w:val="16"/>
          <w:szCs w:val="16"/>
        </w:rPr>
        <w:t>Plantean el cambio de denominación del Ministerio de la Mujer y Poblaciones Vulnerables (MIMP).</w:t>
      </w:r>
      <w:r w:rsidRPr="00357F51">
        <w:rPr>
          <w:rFonts w:ascii="Cambria" w:eastAsia="Cambria" w:hAnsi="Cambria" w:cs="Cambria"/>
          <w:color w:val="000000" w:themeColor="text1"/>
          <w:sz w:val="16"/>
          <w:szCs w:val="16"/>
        </w:rPr>
        <w:t xml:space="preserve"> El Congreso ha presentado, recientemente, la </w:t>
      </w:r>
      <w:r w:rsidRPr="00357F51">
        <w:rPr>
          <w:rFonts w:ascii="Cambria" w:eastAsia="Cambria" w:hAnsi="Cambria" w:cs="Cambria"/>
          <w:b/>
          <w:bCs/>
          <w:color w:val="000000" w:themeColor="text1"/>
          <w:sz w:val="16"/>
          <w:szCs w:val="16"/>
        </w:rPr>
        <w:t xml:space="preserve">iniciativa legislativa N.º 8434/2023-CR </w:t>
      </w:r>
      <w:r w:rsidRPr="00357F51">
        <w:rPr>
          <w:rFonts w:ascii="Cambria" w:eastAsia="Cambria" w:hAnsi="Cambria" w:cs="Cambria"/>
          <w:color w:val="000000" w:themeColor="text1"/>
          <w:sz w:val="16"/>
          <w:szCs w:val="16"/>
        </w:rPr>
        <w:t xml:space="preserve">que pretende el cambio de denominación del Ministerio de la Mujer y Poblaciones Vulnerables por el Ministerio de la Familia y Poblaciones Vulnerables. </w:t>
      </w:r>
    </w:p>
  </w:endnote>
  <w:endnote w:id="26">
    <w:p w14:paraId="0FC49ADC" w14:textId="33B77A64"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Comité de Protección de los Derechos de Todos los Trabajadores Migratorios y de sus familiares-CMW. Lista de cuestiones previa (2022). Fue aprobado en el 34 periodo de sesiones realizado del 28 de marzo al 8 de abril de 2022, párr. 21.</w:t>
      </w:r>
    </w:p>
  </w:endnote>
  <w:endnote w:id="27">
    <w:p w14:paraId="4992B894" w14:textId="6030A2A7"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INEI. </w:t>
      </w:r>
      <w:r w:rsidRPr="00357F51">
        <w:rPr>
          <w:rFonts w:ascii="Cambria" w:eastAsia="Cambria" w:hAnsi="Cambria" w:cs="Cambria"/>
          <w:i/>
          <w:color w:val="000000"/>
          <w:sz w:val="16"/>
          <w:szCs w:val="16"/>
        </w:rPr>
        <w:t>Condiciones de vida de la población venezolana que reside en Perú</w:t>
      </w:r>
      <w:r w:rsidRPr="00357F51">
        <w:rPr>
          <w:rFonts w:ascii="Cambria" w:eastAsia="Cambria" w:hAnsi="Cambria" w:cs="Cambria"/>
          <w:color w:val="000000"/>
          <w:sz w:val="16"/>
          <w:szCs w:val="16"/>
        </w:rPr>
        <w:t>. Lima: INEI, 2019, pág. 73.</w:t>
      </w:r>
    </w:p>
  </w:endnote>
  <w:endnote w:id="28">
    <w:p w14:paraId="01DAFABE" w14:textId="78C188F8"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i/>
          <w:color w:val="000000"/>
          <w:sz w:val="16"/>
          <w:szCs w:val="16"/>
        </w:rPr>
        <w:t>Ibídem</w:t>
      </w:r>
      <w:r w:rsidRPr="00357F51">
        <w:rPr>
          <w:rFonts w:ascii="Cambria" w:eastAsia="Cambria" w:hAnsi="Cambria" w:cs="Cambria"/>
          <w:color w:val="000000"/>
          <w:sz w:val="16"/>
          <w:szCs w:val="16"/>
        </w:rPr>
        <w:t>, p. 75.</w:t>
      </w:r>
    </w:p>
  </w:endnote>
  <w:endnote w:id="29">
    <w:p w14:paraId="6DE631C5" w14:textId="091747D4"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Salud con Lupa. </w:t>
      </w:r>
      <w:hyperlink r:id="rId13">
        <w:r w:rsidRPr="00357F51">
          <w:rPr>
            <w:rFonts w:ascii="Cambria" w:eastAsia="Cambria" w:hAnsi="Cambria" w:cs="Cambria"/>
            <w:i/>
            <w:color w:val="000000"/>
            <w:sz w:val="16"/>
            <w:szCs w:val="16"/>
            <w:u w:val="single"/>
          </w:rPr>
          <w:t>El desconcierto de las embarazadas que se quedaron sin controles prenatales</w:t>
        </w:r>
      </w:hyperlink>
      <w:r w:rsidRPr="00357F51">
        <w:rPr>
          <w:rFonts w:ascii="Cambria" w:eastAsia="Cambria" w:hAnsi="Cambria" w:cs="Cambria"/>
          <w:i/>
          <w:color w:val="000000"/>
          <w:sz w:val="16"/>
          <w:szCs w:val="16"/>
        </w:rPr>
        <w:t>.</w:t>
      </w:r>
      <w:r w:rsidRPr="00357F51">
        <w:rPr>
          <w:rFonts w:ascii="Cambria" w:eastAsia="Cambria" w:hAnsi="Cambria" w:cs="Cambria"/>
          <w:color w:val="000000"/>
          <w:sz w:val="16"/>
          <w:szCs w:val="16"/>
        </w:rPr>
        <w:t xml:space="preserve"> (2 de mayo de 2020).</w:t>
      </w:r>
    </w:p>
  </w:endnote>
  <w:endnote w:id="30">
    <w:p w14:paraId="5771E31B" w14:textId="59F8EBC7"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Se encuentra compuesto por un conjunto de medicamentos que están enfocados en salvaguardar la salud de una víctima de violencia sexual. Los medicamentos que lo componen son: Levonorgestrel (anticonceptivo oral de emergencia), prueba rápida para hepatitis B y para la detección de VIH/Sífilis, vacuna contra la difteria y tétano, azitromicina, gonadotropina coriónica, entre otros.</w:t>
      </w:r>
    </w:p>
  </w:endnote>
  <w:endnote w:id="31">
    <w:p w14:paraId="1FA914B3" w14:textId="11D982A8"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Diario Oficial El Peruano. </w:t>
      </w:r>
      <w:hyperlink r:id="rId14">
        <w:r w:rsidRPr="00357F51">
          <w:rPr>
            <w:rFonts w:ascii="Cambria" w:eastAsia="Cambria" w:hAnsi="Cambria" w:cs="Cambria"/>
            <w:i/>
            <w:color w:val="000000"/>
            <w:sz w:val="16"/>
            <w:szCs w:val="16"/>
            <w:u w:val="single"/>
          </w:rPr>
          <w:t>UNFPA: Pandemia incrementaría en 40% nacimientos no planificados en el país durante 2020-2021</w:t>
        </w:r>
      </w:hyperlink>
      <w:r w:rsidRPr="00357F51">
        <w:rPr>
          <w:rFonts w:ascii="Cambria" w:eastAsia="Cambria" w:hAnsi="Cambria" w:cs="Cambria"/>
          <w:color w:val="000000"/>
          <w:sz w:val="16"/>
          <w:szCs w:val="16"/>
        </w:rPr>
        <w:t>, 6 de mayo 2020.</w:t>
      </w:r>
    </w:p>
  </w:endnote>
  <w:endnote w:id="32">
    <w:p w14:paraId="5FD103C2" w14:textId="7CF83473" w:rsidR="001B1527" w:rsidRPr="00357F51" w:rsidRDefault="001B1527"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Agencia de la Onu para los refugiados-ACNUR. </w:t>
      </w:r>
      <w:hyperlink r:id="rId15">
        <w:r w:rsidRPr="00357F51">
          <w:rPr>
            <w:rFonts w:ascii="Cambria" w:eastAsia="Cambria" w:hAnsi="Cambria" w:cs="Cambria"/>
            <w:i/>
            <w:color w:val="467886"/>
            <w:sz w:val="16"/>
            <w:szCs w:val="16"/>
            <w:u w:val="single"/>
          </w:rPr>
          <w:t>El trabajo de ACNUR Perú en salud</w:t>
        </w:r>
      </w:hyperlink>
      <w:r w:rsidRPr="00357F51">
        <w:rPr>
          <w:rFonts w:ascii="Cambria" w:eastAsia="Cambria" w:hAnsi="Cambria" w:cs="Cambria"/>
          <w:i/>
          <w:color w:val="000000"/>
          <w:sz w:val="16"/>
          <w:szCs w:val="16"/>
        </w:rPr>
        <w:t>.</w:t>
      </w:r>
      <w:r w:rsidRPr="00357F51">
        <w:rPr>
          <w:rFonts w:ascii="Cambria" w:eastAsia="Cambria" w:hAnsi="Cambria" w:cs="Cambria"/>
          <w:color w:val="000000"/>
          <w:sz w:val="16"/>
          <w:szCs w:val="16"/>
        </w:rPr>
        <w:t xml:space="preserve"> Octubre de 2022.</w:t>
      </w:r>
    </w:p>
  </w:endnote>
  <w:endnote w:id="33">
    <w:p w14:paraId="274ED78B" w14:textId="0E251F74" w:rsidR="009D39CD" w:rsidRPr="00357F51" w:rsidRDefault="009D39CD"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Ministerio de Relaciones Exteriores. </w:t>
      </w:r>
      <w:r w:rsidRPr="00357F51">
        <w:rPr>
          <w:rFonts w:ascii="Cambria" w:eastAsia="Cambria" w:hAnsi="Cambria" w:cs="Cambria"/>
          <w:i/>
          <w:color w:val="000000"/>
          <w:sz w:val="16"/>
          <w:szCs w:val="16"/>
        </w:rPr>
        <w:t>Informe País sobre la implementación del Pacto Mundial para la Migración Segura, Ordenada y Regular en América Latina y el Caribe,</w:t>
      </w:r>
      <w:r w:rsidRPr="00357F51">
        <w:rPr>
          <w:rFonts w:ascii="Cambria" w:eastAsia="Cambria" w:hAnsi="Cambria" w:cs="Cambria"/>
          <w:color w:val="000000"/>
          <w:sz w:val="16"/>
          <w:szCs w:val="16"/>
        </w:rPr>
        <w:t xml:space="preserve"> 1 de marzo de 2022, pág. 9, 10.</w:t>
      </w:r>
    </w:p>
  </w:endnote>
  <w:endnote w:id="34">
    <w:p w14:paraId="6BA577BF" w14:textId="26D8B0AF" w:rsidR="009D39CD" w:rsidRPr="00357F51" w:rsidRDefault="009D39CD"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INEI. (2019). </w:t>
      </w:r>
      <w:r w:rsidRPr="00357F51">
        <w:rPr>
          <w:rFonts w:ascii="Cambria" w:eastAsia="Cambria" w:hAnsi="Cambria" w:cs="Cambria"/>
          <w:i/>
          <w:color w:val="000000"/>
          <w:sz w:val="16"/>
          <w:szCs w:val="16"/>
        </w:rPr>
        <w:t>Condiciones de vida de la población venezolana que reside en Perú</w:t>
      </w:r>
      <w:r w:rsidRPr="00357F51">
        <w:rPr>
          <w:rFonts w:ascii="Cambria" w:eastAsia="Cambria" w:hAnsi="Cambria" w:cs="Cambria"/>
          <w:color w:val="000000"/>
          <w:sz w:val="16"/>
          <w:szCs w:val="16"/>
        </w:rPr>
        <w:t>. Lima: INEI, pág. 74.</w:t>
      </w:r>
    </w:p>
  </w:endnote>
  <w:endnote w:id="35">
    <w:p w14:paraId="0EAAFA53" w14:textId="1F98131F" w:rsidR="009D39CD" w:rsidRPr="00357F51" w:rsidRDefault="009D39CD"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Esto afirmó el director de la Dirección de Salud Sexual y Reproductiva (DSARE) del MINSA, Guillermo Atencio. Nota de prensa El Peruano, </w:t>
      </w:r>
      <w:hyperlink r:id="rId16">
        <w:r w:rsidRPr="00357F51">
          <w:rPr>
            <w:rFonts w:ascii="Cambria" w:eastAsia="Cambria" w:hAnsi="Cambria" w:cs="Cambria"/>
            <w:i/>
            <w:color w:val="000000"/>
            <w:sz w:val="16"/>
            <w:szCs w:val="16"/>
            <w:u w:val="single"/>
          </w:rPr>
          <w:t>“Prevalencia en el uso de anticonceptivos aumentó al 57 en los últimos tres años”</w:t>
        </w:r>
      </w:hyperlink>
      <w:r w:rsidRPr="00357F51">
        <w:rPr>
          <w:rFonts w:ascii="Cambria" w:eastAsia="Cambria" w:hAnsi="Cambria" w:cs="Cambria"/>
          <w:color w:val="000000"/>
          <w:sz w:val="16"/>
          <w:szCs w:val="16"/>
        </w:rPr>
        <w:t xml:space="preserve">, 3 de agosto de 2022.  </w:t>
      </w:r>
    </w:p>
  </w:endnote>
  <w:endnote w:id="36">
    <w:p w14:paraId="0EBF0F3B" w14:textId="57593F3A" w:rsidR="009D39CD" w:rsidRPr="00357F51" w:rsidRDefault="009D39CD"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Defensoría del Pueblo, Pronunciamiento 05/DP/2016, </w:t>
      </w:r>
      <w:r w:rsidRPr="00357F51">
        <w:rPr>
          <w:rFonts w:ascii="Cambria" w:eastAsia="Cambria" w:hAnsi="Cambria" w:cs="Cambria"/>
          <w:i/>
          <w:color w:val="000000"/>
          <w:sz w:val="16"/>
          <w:szCs w:val="16"/>
        </w:rPr>
        <w:t>Defensoría del Pueblo reitera su posición institucional sobre la distribución de la AOE</w:t>
      </w:r>
      <w:r w:rsidRPr="00357F51">
        <w:rPr>
          <w:rFonts w:ascii="Cambria" w:eastAsia="Cambria" w:hAnsi="Cambria" w:cs="Cambria"/>
          <w:color w:val="000000"/>
          <w:sz w:val="16"/>
          <w:szCs w:val="16"/>
        </w:rPr>
        <w:t xml:space="preserve">, 16 de agosto de 2016. Disponible: </w:t>
      </w:r>
      <w:hyperlink r:id="rId17">
        <w:r w:rsidRPr="00357F51">
          <w:rPr>
            <w:rFonts w:ascii="Cambria" w:eastAsia="Cambria" w:hAnsi="Cambria" w:cs="Cambria"/>
            <w:color w:val="000000"/>
            <w:sz w:val="16"/>
            <w:szCs w:val="16"/>
            <w:u w:val="single"/>
          </w:rPr>
          <w:t>https://www.defensoria.gob.pe/wp-content/uploads/2018/05/05.-Distribucion-de-AOE-26-08-16.pdf</w:t>
        </w:r>
      </w:hyperlink>
      <w:r w:rsidRPr="00357F51">
        <w:rPr>
          <w:rFonts w:ascii="Cambria" w:eastAsia="Cambria" w:hAnsi="Cambria" w:cs="Cambria"/>
          <w:color w:val="000000"/>
          <w:sz w:val="16"/>
          <w:szCs w:val="16"/>
          <w:u w:val="single"/>
        </w:rPr>
        <w:t>.</w:t>
      </w:r>
    </w:p>
  </w:endnote>
  <w:endnote w:id="37">
    <w:p w14:paraId="0EEC94D2" w14:textId="149F6260" w:rsidR="009D39CD" w:rsidRPr="00357F51" w:rsidRDefault="009D39CD"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Defensoría del Pueblo [@Defensoría_Perú]. (30 de junio de 2023). Twitter. URL </w:t>
      </w:r>
      <w:hyperlink r:id="rId18">
        <w:r w:rsidRPr="00357F51">
          <w:rPr>
            <w:rFonts w:ascii="Cambria" w:eastAsia="Cambria" w:hAnsi="Cambria" w:cs="Cambria"/>
            <w:color w:val="000000"/>
            <w:sz w:val="16"/>
            <w:szCs w:val="16"/>
            <w:u w:val="single"/>
          </w:rPr>
          <w:t>https://twitter.com/Defensoria_Peru/status/1641569862513463296</w:t>
        </w:r>
      </w:hyperlink>
    </w:p>
  </w:endnote>
  <w:endnote w:id="38">
    <w:p w14:paraId="7ECCAECF" w14:textId="09C8ABE0" w:rsidR="009D39CD" w:rsidRPr="00357F51" w:rsidRDefault="009D39CD"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Defensoría del Pueblo. Nota de Prensa No. 202/OCII/DP/2019, </w:t>
      </w:r>
      <w:r w:rsidRPr="00357F51">
        <w:rPr>
          <w:rFonts w:ascii="Cambria" w:eastAsia="Cambria" w:hAnsi="Cambria" w:cs="Cambria"/>
          <w:i/>
          <w:color w:val="000000"/>
          <w:sz w:val="16"/>
          <w:szCs w:val="16"/>
        </w:rPr>
        <w:t>Defensoría del Pueblo: ministerio de salud debe ejecutar fallo que le ordena distribuir gratis “píldora del día siguiente</w:t>
      </w:r>
      <w:r w:rsidRPr="00357F51">
        <w:rPr>
          <w:rFonts w:ascii="Cambria" w:eastAsia="Cambria" w:hAnsi="Cambria" w:cs="Cambria"/>
          <w:color w:val="000000"/>
          <w:sz w:val="16"/>
          <w:szCs w:val="16"/>
        </w:rPr>
        <w:t xml:space="preserve">”, 4 de julio de 2019. Disponible en: </w:t>
      </w:r>
      <w:hyperlink r:id="rId19">
        <w:r w:rsidRPr="00357F51">
          <w:rPr>
            <w:rFonts w:ascii="Cambria" w:eastAsia="Cambria" w:hAnsi="Cambria" w:cs="Cambria"/>
            <w:color w:val="000000"/>
            <w:sz w:val="16"/>
            <w:szCs w:val="16"/>
            <w:u w:val="single"/>
          </w:rPr>
          <w:t>https://www.defensoria.gob.pe/wp-content/uploads/2019/07/NP-202-19.pdf</w:t>
        </w:r>
      </w:hyperlink>
      <w:r w:rsidRPr="00357F51">
        <w:rPr>
          <w:rFonts w:ascii="Cambria" w:eastAsia="Cambria" w:hAnsi="Cambria" w:cs="Cambria"/>
          <w:color w:val="000000"/>
          <w:sz w:val="16"/>
          <w:szCs w:val="16"/>
          <w:u w:val="single"/>
        </w:rPr>
        <w:t>.</w:t>
      </w:r>
    </w:p>
  </w:endnote>
  <w:endnote w:id="39">
    <w:p w14:paraId="718C2702" w14:textId="36EF7FE9" w:rsidR="009D39CD" w:rsidRPr="00357F51" w:rsidRDefault="009D39CD"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Tribunal Constitucional, Sentencia, </w:t>
      </w:r>
      <w:hyperlink r:id="rId20">
        <w:r w:rsidRPr="00357F51">
          <w:rPr>
            <w:rFonts w:ascii="Cambria" w:eastAsia="Cambria" w:hAnsi="Cambria" w:cs="Cambria"/>
            <w:color w:val="000000"/>
            <w:sz w:val="16"/>
            <w:szCs w:val="16"/>
            <w:u w:val="single"/>
          </w:rPr>
          <w:t>Expediente No. 02005-2009-PA/TC (2009)</w:t>
        </w:r>
      </w:hyperlink>
      <w:r w:rsidRPr="00357F51">
        <w:rPr>
          <w:rFonts w:ascii="Cambria" w:eastAsia="Cambria" w:hAnsi="Cambria" w:cs="Cambria"/>
          <w:color w:val="000000"/>
          <w:sz w:val="16"/>
          <w:szCs w:val="16"/>
        </w:rPr>
        <w:t>, Lima, 16 de octubre de 2009.</w:t>
      </w:r>
    </w:p>
  </w:endnote>
  <w:endnote w:id="40">
    <w:p w14:paraId="331C243B" w14:textId="2BE1CD6C" w:rsidR="009D39CD" w:rsidRPr="00357F51" w:rsidRDefault="009D39CD"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Primer Juzgado Especializado en lo Constitucional de Lima, </w:t>
      </w:r>
      <w:hyperlink r:id="rId21">
        <w:r w:rsidRPr="00357F51">
          <w:rPr>
            <w:rFonts w:ascii="Cambria" w:eastAsia="Cambria" w:hAnsi="Cambria" w:cs="Cambria"/>
            <w:color w:val="000000"/>
            <w:sz w:val="16"/>
            <w:szCs w:val="16"/>
            <w:u w:val="single"/>
          </w:rPr>
          <w:t>Expediente No. 30541-2014-0-1801-JR-CI-01</w:t>
        </w:r>
      </w:hyperlink>
      <w:r w:rsidRPr="00357F51">
        <w:rPr>
          <w:rFonts w:ascii="Cambria" w:eastAsia="Cambria" w:hAnsi="Cambria" w:cs="Cambria"/>
          <w:color w:val="000000"/>
          <w:sz w:val="16"/>
          <w:szCs w:val="16"/>
        </w:rPr>
        <w:t xml:space="preserve">, Acción de Amparo, Resolución No. 47, Lima, 02 de julio de 2019.  </w:t>
      </w:r>
    </w:p>
  </w:endnote>
  <w:endnote w:id="41">
    <w:p w14:paraId="1A9E79F2" w14:textId="39DFBA06" w:rsidR="009D39CD" w:rsidRPr="00357F51" w:rsidRDefault="009D39CD"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El Comité de los Derechos del Niño, Observaciones Finales (2016) (Perú), UN Doc. No. CRC/C/PER/CO/4-5, párr. 56(a). As</w:t>
      </w:r>
      <w:r w:rsidRPr="00357F51">
        <w:rPr>
          <w:rFonts w:ascii="Cambria" w:eastAsia="Cambria" w:hAnsi="Cambria" w:cs="Cambria"/>
          <w:sz w:val="16"/>
          <w:szCs w:val="16"/>
        </w:rPr>
        <w:t xml:space="preserve">í mismo, en 2023, el Estado peruano ha sido evaluado en el marco del IV Ciclo del  Examen Periódico Universal. El Estado aceptó varias recomendaciones sobre ESI.  Consejo de Derechos Humanos (2023). </w:t>
      </w:r>
      <w:hyperlink r:id="rId22">
        <w:r w:rsidRPr="00357F51">
          <w:rPr>
            <w:rFonts w:ascii="Cambria" w:eastAsia="Cambria" w:hAnsi="Cambria" w:cs="Cambria"/>
            <w:color w:val="1155CC"/>
            <w:sz w:val="16"/>
            <w:szCs w:val="16"/>
            <w:u w:val="single"/>
          </w:rPr>
          <w:t>A/HRC/53/8</w:t>
        </w:r>
      </w:hyperlink>
      <w:r w:rsidRPr="00357F51">
        <w:rPr>
          <w:rFonts w:ascii="Cambria" w:eastAsia="Cambria" w:hAnsi="Cambria" w:cs="Cambria"/>
          <w:sz w:val="16"/>
          <w:szCs w:val="16"/>
        </w:rPr>
        <w:t>, 53 periodo de sesiones.</w:t>
      </w:r>
    </w:p>
  </w:endnote>
  <w:endnote w:id="42">
    <w:p w14:paraId="02CECCE9" w14:textId="56F0468E" w:rsidR="009D39CD" w:rsidRPr="00357F51" w:rsidRDefault="009D39CD"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i/>
          <w:iCs/>
          <w:color w:val="000000"/>
          <w:sz w:val="16"/>
          <w:szCs w:val="16"/>
        </w:rPr>
        <w:t>Ibídem</w:t>
      </w:r>
      <w:r w:rsidR="00357F51">
        <w:rPr>
          <w:rFonts w:ascii="Cambria" w:eastAsia="Cambria" w:hAnsi="Cambria" w:cs="Cambria"/>
          <w:i/>
          <w:iCs/>
          <w:color w:val="000000"/>
          <w:sz w:val="16"/>
          <w:szCs w:val="16"/>
        </w:rPr>
        <w:t>.</w:t>
      </w:r>
      <w:r w:rsidRPr="00357F51">
        <w:rPr>
          <w:rFonts w:ascii="Cambria" w:eastAsia="Cambria" w:hAnsi="Cambria" w:cs="Cambria"/>
          <w:color w:val="000000"/>
          <w:sz w:val="16"/>
          <w:szCs w:val="16"/>
        </w:rPr>
        <w:t>, p. 76.</w:t>
      </w:r>
    </w:p>
  </w:endnote>
  <w:endnote w:id="43">
    <w:p w14:paraId="74922566" w14:textId="0FC7B168" w:rsidR="009D39CD" w:rsidRPr="00357F51" w:rsidRDefault="009D39CD"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A esto se suma las estrategias de embate de sectores opositores a la ESI. A raíz de la aprobación del Currículo Nacional de Educación Básica Regular, se han formado colectivos como “Con mis hijos no te metas” que se muestran en contra del enfoque de género aduciendo que se pretende “homosexualizar” a sus hijos a través de lo que han denominado “la ideología de género”. Las campañas mediáticas que este grupo ha llevado a cabo en espacios públicos han tenido un gran impacto en la población, pues han contado con el soporte económico y logístico de las iglesias cristianas y evangélicas, las cuales hacen </w:t>
      </w:r>
      <w:r w:rsidRPr="00357F51">
        <w:rPr>
          <w:rFonts w:ascii="Cambria" w:eastAsia="Cambria" w:hAnsi="Cambria" w:cs="Cambria"/>
          <w:i/>
          <w:color w:val="000000"/>
          <w:sz w:val="16"/>
          <w:szCs w:val="16"/>
        </w:rPr>
        <w:t>lobbies</w:t>
      </w:r>
      <w:r w:rsidRPr="00357F51">
        <w:rPr>
          <w:rFonts w:ascii="Cambria" w:eastAsia="Cambria" w:hAnsi="Cambria" w:cs="Cambria"/>
          <w:color w:val="000000"/>
          <w:sz w:val="16"/>
          <w:szCs w:val="16"/>
        </w:rPr>
        <w:t xml:space="preserve"> dentro del Congreso de la República a través de representantes legislativos que mueven una permanente agenda antiderechos. Una forma en que se ha materializado este rechazo a todos los materiales y políticas públicas que incluyan la palabra “género” (independientemente de su significado y contexto) es la demanda interpuesta por un colectivo recientemente formado llamado “Padres en Acción” contra el Ministerio de Educación para derogar la Resolución Ministerial N°281-2016-MINEDU mediante la cual se aprobó el Currículo Nacional de Educación Básica Regular. </w:t>
      </w:r>
      <w:hyperlink r:id="rId23">
        <w:r w:rsidRPr="00357F51">
          <w:rPr>
            <w:rFonts w:ascii="Cambria" w:eastAsia="Cambria" w:hAnsi="Cambria" w:cs="Cambria"/>
            <w:color w:val="000000"/>
            <w:sz w:val="16"/>
            <w:szCs w:val="16"/>
            <w:u w:val="single"/>
          </w:rPr>
          <w:t>Sentencia de la Corte Superior de Justicia de Lima Primera Sala Civil</w:t>
        </w:r>
      </w:hyperlink>
      <w:r w:rsidRPr="00357F51">
        <w:rPr>
          <w:rFonts w:ascii="Cambria" w:eastAsia="Cambria" w:hAnsi="Cambria" w:cs="Cambria"/>
          <w:color w:val="000000"/>
          <w:sz w:val="16"/>
          <w:szCs w:val="16"/>
        </w:rPr>
        <w:t xml:space="preserve">, de fecha 13 de julio de 2017.  </w:t>
      </w:r>
    </w:p>
  </w:endnote>
  <w:endnote w:id="44">
    <w:p w14:paraId="1993CA7F" w14:textId="7E06C9E1" w:rsidR="009D39CD" w:rsidRPr="00357F51" w:rsidRDefault="009D39CD"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Defensoría del Pueblo. </w:t>
      </w:r>
      <w:hyperlink r:id="rId24">
        <w:r w:rsidRPr="00357F51">
          <w:rPr>
            <w:rFonts w:ascii="Cambria" w:eastAsia="Cambria" w:hAnsi="Cambria" w:cs="Cambria"/>
            <w:i/>
            <w:color w:val="000000"/>
            <w:sz w:val="16"/>
            <w:szCs w:val="16"/>
            <w:u w:val="single"/>
          </w:rPr>
          <w:t>“Informe sobre la supervisión de intervenciones efectivas para la prevención del embarazo no planeado en adolescentes: educación sexual integral y acceso a anticoncepción moderna para quienes lo requieren”</w:t>
        </w:r>
      </w:hyperlink>
      <w:r w:rsidRPr="00357F51">
        <w:rPr>
          <w:rFonts w:ascii="Cambria" w:eastAsia="Cambria" w:hAnsi="Cambria" w:cs="Cambria"/>
          <w:color w:val="000000"/>
          <w:sz w:val="16"/>
          <w:szCs w:val="16"/>
        </w:rPr>
        <w:t>. Adjuntía para la Niñez y la Adolescencia, Serie Informes Especiales N° 007-2021-DP, julio de 2021.</w:t>
      </w:r>
    </w:p>
  </w:endnote>
  <w:endnote w:id="45">
    <w:p w14:paraId="3C19EAA8" w14:textId="77777777" w:rsidR="0014678B" w:rsidRPr="00357F51" w:rsidRDefault="0014678B" w:rsidP="00357F51">
      <w:pPr>
        <w:pBdr>
          <w:top w:val="nil"/>
          <w:left w:val="nil"/>
          <w:bottom w:val="nil"/>
          <w:right w:val="nil"/>
          <w:between w:val="nil"/>
        </w:pBdr>
        <w:spacing w:after="0" w:line="240" w:lineRule="auto"/>
        <w:jc w:val="both"/>
        <w:rPr>
          <w:rFonts w:ascii="Cambria" w:eastAsia="Cambria" w:hAnsi="Cambria" w:cs="Cambria"/>
          <w:color w:val="000000"/>
          <w:sz w:val="16"/>
          <w:szCs w:val="16"/>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Motta, A., Keogh, S. C., Prada, E., Núnez-Curto, A., Konda, K., Stillman, M., y Cáceres, C. F., </w:t>
      </w:r>
      <w:hyperlink r:id="rId25">
        <w:r w:rsidRPr="00357F51">
          <w:rPr>
            <w:rFonts w:ascii="Cambria" w:eastAsia="Cambria" w:hAnsi="Cambria" w:cs="Cambria"/>
            <w:i/>
            <w:color w:val="000000"/>
            <w:sz w:val="16"/>
            <w:szCs w:val="16"/>
            <w:u w:val="single"/>
          </w:rPr>
          <w:t>“De la normativa a la práctica: La política de educación sexual y su implementación en el Perú”</w:t>
        </w:r>
      </w:hyperlink>
      <w:r w:rsidRPr="00357F51">
        <w:rPr>
          <w:rFonts w:ascii="Cambria" w:eastAsia="Cambria" w:hAnsi="Cambria" w:cs="Cambria"/>
          <w:color w:val="000000"/>
          <w:sz w:val="16"/>
          <w:szCs w:val="16"/>
        </w:rPr>
        <w:t xml:space="preserve">. Guttmacher Institute y Centro de Investigación Interdisciplinaria en Sexualidad, Sida y Sociedad, Lima, 2017 y Rodríguez Reyes, Andrea. </w:t>
      </w:r>
      <w:r w:rsidRPr="00357F51">
        <w:rPr>
          <w:rFonts w:ascii="Cambria" w:eastAsia="Cambria" w:hAnsi="Cambria" w:cs="Cambria"/>
          <w:i/>
          <w:color w:val="000000"/>
          <w:sz w:val="16"/>
          <w:szCs w:val="16"/>
        </w:rPr>
        <w:t>“Creencias Docentes: El enfoque de género en la educación y la educación sexual en secundaria”</w:t>
      </w:r>
      <w:r w:rsidRPr="00357F51">
        <w:rPr>
          <w:rFonts w:ascii="Cambria" w:eastAsia="Cambria" w:hAnsi="Cambria" w:cs="Cambria"/>
          <w:color w:val="000000"/>
          <w:sz w:val="16"/>
          <w:szCs w:val="16"/>
        </w:rPr>
        <w:t>. Tesis para optar al título profesional en Psicología Educacional, Lima, 2018.Se encuentra en:</w:t>
      </w:r>
    </w:p>
    <w:p w14:paraId="5ED41DF7" w14:textId="494BFA8F" w:rsidR="0014678B" w:rsidRPr="00357F51" w:rsidRDefault="0020214C" w:rsidP="00357F51">
      <w:pPr>
        <w:pStyle w:val="EndnoteText"/>
        <w:jc w:val="both"/>
        <w:rPr>
          <w:rFonts w:ascii="Cambria" w:hAnsi="Cambria"/>
        </w:rPr>
      </w:pPr>
      <w:hyperlink r:id="rId26">
        <w:r w:rsidR="0014678B" w:rsidRPr="00357F51">
          <w:rPr>
            <w:rFonts w:ascii="Cambria" w:eastAsia="Cambria" w:hAnsi="Cambria" w:cs="Cambria"/>
            <w:color w:val="000000"/>
            <w:sz w:val="16"/>
            <w:szCs w:val="16"/>
            <w:u w:val="single"/>
          </w:rPr>
          <w:t>https://tesis.pucp.edu.pe/repositorio/bitstream/handle/20.500.12404/13039/RODRIGUEZ_REYES_CREENCIAS_DOCENTES_EL_ENFOQUE_DE_GENERO_EN_LA_EDUCACION_Y_LA_EDUCACION_SEXUAL_EN_SECUNDARIA.pdf?sequence=1&amp;isAllowed=y</w:t>
        </w:r>
      </w:hyperlink>
      <w:r w:rsidR="0014678B" w:rsidRPr="00357F51">
        <w:rPr>
          <w:rFonts w:ascii="Cambria" w:eastAsia="Cambria" w:hAnsi="Cambria" w:cs="Cambria"/>
          <w:color w:val="000000"/>
          <w:sz w:val="16"/>
          <w:szCs w:val="16"/>
        </w:rPr>
        <w:t xml:space="preserve"> (revisado el 15 de septiembre de 2023). Mesa de Vigilancia Ciudadana en Derechos Sexuales y Reproductivos, </w:t>
      </w:r>
      <w:hyperlink r:id="rId27">
        <w:r w:rsidR="0014678B" w:rsidRPr="00357F51">
          <w:rPr>
            <w:rFonts w:ascii="Cambria" w:eastAsia="Cambria" w:hAnsi="Cambria" w:cs="Cambria"/>
            <w:i/>
            <w:color w:val="000000"/>
            <w:sz w:val="16"/>
            <w:szCs w:val="16"/>
            <w:u w:val="single"/>
          </w:rPr>
          <w:t>“Informe sobre el progreso y las brechas en la implementación de derechos, salud y justicia sexual y reproductiva en el 10 aniversario del Consenso de Montevideo en Perú”</w:t>
        </w:r>
      </w:hyperlink>
      <w:r w:rsidR="0014678B" w:rsidRPr="00357F51">
        <w:rPr>
          <w:rFonts w:ascii="Cambria" w:eastAsia="Cambria" w:hAnsi="Cambria" w:cs="Cambria"/>
          <w:color w:val="000000"/>
          <w:sz w:val="16"/>
          <w:szCs w:val="16"/>
        </w:rPr>
        <w:t>, noviembre 2023, pág. 40.</w:t>
      </w:r>
    </w:p>
  </w:endnote>
  <w:endnote w:id="46">
    <w:p w14:paraId="699FE573" w14:textId="3E7FF19B" w:rsidR="0014678B" w:rsidRPr="00357F51" w:rsidRDefault="0014678B"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El Peruano. Ley N° 31498, </w:t>
      </w:r>
      <w:hyperlink r:id="rId28">
        <w:r w:rsidRPr="00357F51">
          <w:rPr>
            <w:rFonts w:ascii="Cambria" w:eastAsia="Cambria" w:hAnsi="Cambria" w:cs="Cambria"/>
            <w:i/>
            <w:color w:val="000000"/>
            <w:sz w:val="16"/>
            <w:szCs w:val="16"/>
            <w:u w:val="single"/>
          </w:rPr>
          <w:t>“Ley que impulsa la calidad de los materiales y recursos educativos en el Perú”</w:t>
        </w:r>
      </w:hyperlink>
      <w:r w:rsidRPr="00357F51">
        <w:rPr>
          <w:rFonts w:ascii="Cambria" w:eastAsia="Cambria" w:hAnsi="Cambria" w:cs="Cambria"/>
          <w:color w:val="000000"/>
          <w:sz w:val="16"/>
          <w:szCs w:val="16"/>
        </w:rPr>
        <w:t>, 25 de mayo de 2022.</w:t>
      </w:r>
    </w:p>
  </w:endnote>
  <w:endnote w:id="47">
    <w:p w14:paraId="07601CBA" w14:textId="71378C25" w:rsidR="0014678B" w:rsidRPr="00357F51" w:rsidRDefault="0014678B"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Dentro de este adverso escenario, cabe destacar el activismo de las organizaciones de sociedad civil, quiénes crearon la ‘Plataforma Educación sin Retrocesos’ para plantear acciones respecto de esta ley y otras de regresividad al sistema educativo en el Perú. Es una articulación de sociedad civil para la defensa de la política educativa, con estándares de calidad y derechos humanos, que está compuesta con varias organizaciones de sociedad civil. Ver portal web: </w:t>
      </w:r>
      <w:hyperlink r:id="rId29">
        <w:r w:rsidRPr="00357F51">
          <w:rPr>
            <w:rFonts w:ascii="Cambria" w:eastAsia="Cambria" w:hAnsi="Cambria" w:cs="Cambria"/>
            <w:color w:val="000000"/>
            <w:sz w:val="16"/>
            <w:szCs w:val="16"/>
            <w:u w:val="single"/>
          </w:rPr>
          <w:t>https://educacionsinretroceso.com</w:t>
        </w:r>
      </w:hyperlink>
    </w:p>
  </w:endnote>
  <w:endnote w:id="48">
    <w:p w14:paraId="67AAF400" w14:textId="752C2F46" w:rsidR="0014678B" w:rsidRPr="00357F51" w:rsidRDefault="0014678B"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Nota de Prensa Nro. 622/OCII/DP/2022, </w:t>
      </w:r>
      <w:hyperlink r:id="rId30">
        <w:r w:rsidRPr="00357F51">
          <w:rPr>
            <w:rFonts w:ascii="Cambria" w:eastAsia="Cambria" w:hAnsi="Cambria" w:cs="Cambria"/>
            <w:i/>
            <w:color w:val="000000"/>
            <w:sz w:val="16"/>
            <w:szCs w:val="16"/>
            <w:u w:val="single"/>
          </w:rPr>
          <w:t>“Defensoría del Pueblo: situación actual del embarazo en adolescentes exige un mayor acceso a salud sexual y reproductiva y educación sexual integral</w:t>
        </w:r>
      </w:hyperlink>
      <w:r w:rsidRPr="00357F51">
        <w:rPr>
          <w:rFonts w:ascii="Cambria" w:eastAsia="Cambria" w:hAnsi="Cambria" w:cs="Cambria"/>
          <w:i/>
          <w:color w:val="000000"/>
          <w:sz w:val="16"/>
          <w:szCs w:val="16"/>
        </w:rPr>
        <w:t>”</w:t>
      </w:r>
      <w:r w:rsidRPr="00357F51">
        <w:rPr>
          <w:rFonts w:ascii="Cambria" w:eastAsia="Cambria" w:hAnsi="Cambria" w:cs="Cambria"/>
          <w:color w:val="000000"/>
          <w:sz w:val="16"/>
          <w:szCs w:val="16"/>
        </w:rPr>
        <w:t>, 26 de septiembre de 2022.</w:t>
      </w:r>
    </w:p>
  </w:endnote>
  <w:endnote w:id="49">
    <w:p w14:paraId="2560DD00" w14:textId="7CC3606F" w:rsidR="0014678B" w:rsidRPr="00357F51" w:rsidRDefault="0014678B"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Como la población indígena. De acuerdo con el reporte de Chirapaq se registraron 5013 casos de niñas madres de 12 a 14 años en 2017, de las cuales 540 eran indígenas; mientras que, en el 2019, se reportaron más de 370 denuncias por violación sexual a mujeres indígenas, siendo el 70% de los casos referentes a niñas y adolescentes. La variación de casos reportados no representa necesariamente una disminución de la violencia sexual, sino muchos de los casos no son reportados y a la ausencia de un registro unificado. Chirapaq</w:t>
      </w:r>
      <w:r w:rsidRPr="00357F51">
        <w:rPr>
          <w:rFonts w:ascii="Cambria" w:eastAsia="Cambria" w:hAnsi="Cambria" w:cs="Cambria"/>
          <w:i/>
          <w:color w:val="000000"/>
          <w:sz w:val="16"/>
          <w:szCs w:val="16"/>
        </w:rPr>
        <w:t xml:space="preserve">. </w:t>
      </w:r>
      <w:hyperlink r:id="rId31">
        <w:r w:rsidRPr="00357F51">
          <w:rPr>
            <w:rFonts w:ascii="Cambria" w:eastAsia="Cambria" w:hAnsi="Cambria" w:cs="Cambria"/>
            <w:i/>
            <w:color w:val="000000"/>
            <w:sz w:val="16"/>
            <w:szCs w:val="16"/>
            <w:u w:val="single"/>
          </w:rPr>
          <w:t>“Violencia sexual contra niñas y jóvenes indígenas. Reporte Nacional”</w:t>
        </w:r>
      </w:hyperlink>
      <w:r w:rsidRPr="00357F51">
        <w:rPr>
          <w:rFonts w:ascii="Cambria" w:eastAsia="Cambria" w:hAnsi="Cambria" w:cs="Cambria"/>
          <w:i/>
          <w:color w:val="000000"/>
          <w:sz w:val="16"/>
          <w:szCs w:val="16"/>
        </w:rPr>
        <w:t>,</w:t>
      </w:r>
      <w:r w:rsidRPr="00357F51">
        <w:rPr>
          <w:rFonts w:ascii="Cambria" w:eastAsia="Cambria" w:hAnsi="Cambria" w:cs="Cambria"/>
          <w:color w:val="000000"/>
          <w:sz w:val="16"/>
          <w:szCs w:val="16"/>
        </w:rPr>
        <w:t xml:space="preserve"> febrero de 2021, pág. 7.  Defensoría del Pueblo.</w:t>
      </w:r>
      <w:r w:rsidRPr="00357F51">
        <w:rPr>
          <w:rFonts w:ascii="Cambria" w:eastAsia="Cambria" w:hAnsi="Cambria" w:cs="Cambria"/>
          <w:i/>
          <w:color w:val="000000"/>
          <w:sz w:val="16"/>
          <w:szCs w:val="16"/>
        </w:rPr>
        <w:t xml:space="preserve"> </w:t>
      </w:r>
      <w:hyperlink r:id="rId32">
        <w:r w:rsidRPr="00357F51">
          <w:rPr>
            <w:rFonts w:ascii="Cambria" w:eastAsia="Cambria" w:hAnsi="Cambria" w:cs="Cambria"/>
            <w:i/>
            <w:color w:val="000000"/>
            <w:sz w:val="16"/>
            <w:szCs w:val="16"/>
            <w:u w:val="single"/>
          </w:rPr>
          <w:t xml:space="preserve">“Situación de los derechos de las mujeres indígenas en el Perú”. </w:t>
        </w:r>
      </w:hyperlink>
      <w:r w:rsidRPr="00357F51">
        <w:rPr>
          <w:rFonts w:ascii="Cambria" w:eastAsia="Cambria" w:hAnsi="Cambria" w:cs="Cambria"/>
          <w:color w:val="000000"/>
          <w:sz w:val="16"/>
          <w:szCs w:val="16"/>
        </w:rPr>
        <w:t>Lima. Informe de Adjuntía Nro. 002-2019-DP/AMASPPI/PPI, diciembre de 2019.</w:t>
      </w:r>
    </w:p>
  </w:endnote>
  <w:endnote w:id="50">
    <w:p w14:paraId="56DB563B" w14:textId="1CD59FD6" w:rsidR="0019006F" w:rsidRPr="00357F51" w:rsidRDefault="0019006F"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i/>
          <w:color w:val="000000"/>
          <w:sz w:val="16"/>
          <w:szCs w:val="16"/>
        </w:rPr>
        <w:t>Ibídem.</w:t>
      </w:r>
    </w:p>
  </w:endnote>
  <w:endnote w:id="51">
    <w:p w14:paraId="454D4D14" w14:textId="2DD0880A" w:rsidR="0019006F" w:rsidRPr="00357F51" w:rsidRDefault="0019006F"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Encuesta Demográfica de Estadística e Informática -ENDES (2022).  Instituto Nacional de Estadística e Informática -INEI, corresponde al gráfico 3.7.  Adolescentes de 15 a 19 años que son madres o que están embarazadas por primera vez, según área de residencia, 1996-2022.</w:t>
      </w:r>
    </w:p>
  </w:endnote>
  <w:endnote w:id="52">
    <w:p w14:paraId="5F4C5AED" w14:textId="1DE09669" w:rsidR="0019006F" w:rsidRPr="00357F51" w:rsidRDefault="0019006F"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Instituto Nacional de Estadística e Informática -INEI. Se encuentra en: </w:t>
      </w:r>
      <w:hyperlink r:id="rId33">
        <w:r w:rsidRPr="00357F51">
          <w:rPr>
            <w:rFonts w:ascii="Cambria" w:eastAsia="Cambria" w:hAnsi="Cambria" w:cs="Cambria"/>
            <w:color w:val="000000"/>
            <w:sz w:val="16"/>
            <w:szCs w:val="16"/>
            <w:u w:val="single"/>
          </w:rPr>
          <w:t>https://www.gob.pe/inei/</w:t>
        </w:r>
      </w:hyperlink>
      <w:r w:rsidRPr="00357F51">
        <w:rPr>
          <w:rFonts w:ascii="Cambria" w:eastAsia="Cambria" w:hAnsi="Cambria" w:cs="Cambria"/>
          <w:color w:val="000000"/>
          <w:sz w:val="16"/>
          <w:szCs w:val="16"/>
        </w:rPr>
        <w:t xml:space="preserve"> (revisado el 20 de marzo de 2024).</w:t>
      </w:r>
    </w:p>
  </w:endnote>
  <w:endnote w:id="53">
    <w:p w14:paraId="02B98E43" w14:textId="18D5ABDC" w:rsidR="00EE44B5" w:rsidRPr="00357F51" w:rsidRDefault="00EE44B5"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Ministerio de Salud – MINSA. </w:t>
      </w:r>
      <w:r w:rsidRPr="00357F51">
        <w:rPr>
          <w:rFonts w:ascii="Cambria" w:eastAsia="Cambria" w:hAnsi="Cambria" w:cs="Cambria"/>
          <w:i/>
          <w:color w:val="000000"/>
          <w:sz w:val="16"/>
          <w:szCs w:val="16"/>
        </w:rPr>
        <w:t xml:space="preserve">Consultas dinámicas del Sistema de registro del Certificado de Nacido Vivo en Línea. </w:t>
      </w:r>
      <w:hyperlink r:id="rId34">
        <w:r w:rsidRPr="00357F51">
          <w:rPr>
            <w:rFonts w:ascii="Cambria" w:eastAsia="Cambria" w:hAnsi="Cambria" w:cs="Cambria"/>
            <w:i/>
            <w:color w:val="000000"/>
            <w:sz w:val="16"/>
            <w:szCs w:val="16"/>
            <w:u w:val="single"/>
          </w:rPr>
          <w:t>Características según la madre y el rango de edad entre 11 a 14 años,</w:t>
        </w:r>
      </w:hyperlink>
      <w:r w:rsidRPr="00357F51">
        <w:rPr>
          <w:rFonts w:ascii="Cambria" w:eastAsia="Cambria" w:hAnsi="Cambria" w:cs="Cambria"/>
          <w:color w:val="000000"/>
          <w:sz w:val="16"/>
          <w:szCs w:val="16"/>
        </w:rPr>
        <w:t xml:space="preserve"> 2024.</w:t>
      </w:r>
    </w:p>
  </w:endnote>
  <w:endnote w:id="54">
    <w:p w14:paraId="558D5203" w14:textId="3834C3C5" w:rsidR="0019006F" w:rsidRPr="00357F51" w:rsidRDefault="0019006F"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Ministerio de Salud – MINSA. </w:t>
      </w:r>
      <w:r w:rsidRPr="00357F51">
        <w:rPr>
          <w:rFonts w:ascii="Cambria" w:eastAsia="Cambria" w:hAnsi="Cambria" w:cs="Cambria"/>
          <w:i/>
          <w:color w:val="000000"/>
          <w:sz w:val="16"/>
          <w:szCs w:val="16"/>
        </w:rPr>
        <w:t xml:space="preserve">Consultas dinámicas del Sistema de registro del Certificado de Nacido Vivo en Línea. </w:t>
      </w:r>
      <w:hyperlink r:id="rId35">
        <w:r w:rsidRPr="00357F51">
          <w:rPr>
            <w:rFonts w:ascii="Cambria" w:eastAsia="Cambria" w:hAnsi="Cambria" w:cs="Cambria"/>
            <w:i/>
            <w:color w:val="000000"/>
            <w:sz w:val="16"/>
            <w:szCs w:val="16"/>
            <w:u w:val="single"/>
          </w:rPr>
          <w:t>Características según la madre</w:t>
        </w:r>
      </w:hyperlink>
      <w:r w:rsidRPr="00357F51">
        <w:rPr>
          <w:rFonts w:ascii="Cambria" w:eastAsia="Cambria" w:hAnsi="Cambria" w:cs="Cambria"/>
          <w:color w:val="000000"/>
          <w:sz w:val="16"/>
          <w:szCs w:val="16"/>
        </w:rPr>
        <w:t>. 2023.</w:t>
      </w:r>
    </w:p>
  </w:endnote>
  <w:endnote w:id="55">
    <w:p w14:paraId="4B64BA55" w14:textId="35C3005F" w:rsidR="0019006F" w:rsidRPr="00357F51" w:rsidRDefault="0019006F"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Ministerio de Salud – MINSA. Informe estadístico del nacido vivo del INEI, corresponde al gráfico 3.11 Perú: nacidos vivos de niñas y adolescentes, 2015 -2022</w:t>
      </w:r>
    </w:p>
  </w:endnote>
  <w:endnote w:id="56">
    <w:p w14:paraId="1DFAE116" w14:textId="41FB2AA3" w:rsidR="0019006F" w:rsidRPr="00357F51" w:rsidRDefault="0019006F"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Ministerio de Salud – MINSA. </w:t>
      </w:r>
      <w:r w:rsidRPr="00357F51">
        <w:rPr>
          <w:rFonts w:ascii="Cambria" w:eastAsia="Cambria" w:hAnsi="Cambria" w:cs="Cambria"/>
          <w:i/>
          <w:color w:val="000000"/>
          <w:sz w:val="16"/>
          <w:szCs w:val="16"/>
        </w:rPr>
        <w:t xml:space="preserve">Consultas dinámicas del Sistema de registro del Certificado de Nacido Vivo en Línea.  </w:t>
      </w:r>
      <w:hyperlink r:id="rId36">
        <w:r w:rsidRPr="00357F51">
          <w:rPr>
            <w:rFonts w:ascii="Cambria" w:eastAsia="Cambria" w:hAnsi="Cambria" w:cs="Cambria"/>
            <w:i/>
            <w:color w:val="000000"/>
            <w:sz w:val="16"/>
            <w:szCs w:val="16"/>
            <w:u w:val="single"/>
          </w:rPr>
          <w:t>Características según la madre y el rango de edad entre 11 y 14 años,</w:t>
        </w:r>
      </w:hyperlink>
      <w:r w:rsidRPr="00357F51">
        <w:rPr>
          <w:rFonts w:ascii="Cambria" w:eastAsia="Cambria" w:hAnsi="Cambria" w:cs="Cambria"/>
          <w:color w:val="000000"/>
          <w:sz w:val="16"/>
          <w:szCs w:val="16"/>
        </w:rPr>
        <w:t xml:space="preserve"> 2021.</w:t>
      </w:r>
    </w:p>
  </w:endnote>
  <w:endnote w:id="57">
    <w:p w14:paraId="40CF2E82" w14:textId="3CE6A492" w:rsidR="0019006F" w:rsidRPr="005A3F22" w:rsidRDefault="0019006F" w:rsidP="00357F51">
      <w:pPr>
        <w:pStyle w:val="EndnoteText"/>
        <w:jc w:val="both"/>
        <w:rPr>
          <w:rFonts w:ascii="Cambria" w:eastAsia="Cambria" w:hAnsi="Cambria" w:cs="Cambria"/>
          <w:color w:val="000000"/>
          <w:sz w:val="16"/>
          <w:szCs w:val="16"/>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Nota de prensa del UNFPA. </w:t>
      </w:r>
      <w:hyperlink r:id="rId37">
        <w:r w:rsidRPr="00357F51">
          <w:rPr>
            <w:rFonts w:ascii="Cambria" w:eastAsia="Cambria" w:hAnsi="Cambria" w:cs="Cambria"/>
            <w:i/>
            <w:color w:val="000000"/>
            <w:sz w:val="16"/>
            <w:szCs w:val="16"/>
            <w:u w:val="single"/>
          </w:rPr>
          <w:t>“Perú: maternidad en niñas entre 10 y 14 años creció 14% en 2022”</w:t>
        </w:r>
      </w:hyperlink>
      <w:r w:rsidRPr="00357F51">
        <w:rPr>
          <w:rFonts w:ascii="Cambria" w:eastAsia="Cambria" w:hAnsi="Cambria" w:cs="Cambria"/>
          <w:color w:val="000000"/>
          <w:sz w:val="16"/>
          <w:szCs w:val="16"/>
        </w:rPr>
        <w:t xml:space="preserve">, 2 de marzo de 2023.En la Nota de prensa de la Defensoría del Pueblo, </w:t>
      </w:r>
      <w:hyperlink r:id="rId38">
        <w:r w:rsidRPr="00357F51">
          <w:rPr>
            <w:rFonts w:ascii="Cambria" w:eastAsia="Cambria" w:hAnsi="Cambria" w:cs="Cambria"/>
            <w:i/>
            <w:color w:val="000000"/>
            <w:sz w:val="16"/>
            <w:szCs w:val="16"/>
            <w:u w:val="single"/>
          </w:rPr>
          <w:t>“El Estado debe fortalecer servicios de salud sexual y reproductiva”</w:t>
        </w:r>
      </w:hyperlink>
      <w:r w:rsidRPr="00357F51">
        <w:rPr>
          <w:rFonts w:ascii="Cambria" w:eastAsia="Cambria" w:hAnsi="Cambria" w:cs="Cambria"/>
          <w:color w:val="000000"/>
          <w:sz w:val="16"/>
          <w:szCs w:val="16"/>
        </w:rPr>
        <w:t>, 13 de junio de 2023 se informa de 1624 nacimientos vivos.</w:t>
      </w:r>
    </w:p>
  </w:endnote>
  <w:endnote w:id="58">
    <w:p w14:paraId="69ABF843" w14:textId="76F6D459" w:rsidR="0019006F" w:rsidRPr="00357F51" w:rsidRDefault="0019006F"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Ministerio de Salud – MINSA. </w:t>
      </w:r>
      <w:r w:rsidRPr="00357F51">
        <w:rPr>
          <w:rFonts w:ascii="Cambria" w:eastAsia="Cambria" w:hAnsi="Cambria" w:cs="Cambria"/>
          <w:i/>
          <w:color w:val="000000"/>
          <w:sz w:val="16"/>
          <w:szCs w:val="16"/>
        </w:rPr>
        <w:t xml:space="preserve">Consultas dinámicas del Sistema de registro del Certificado de Nacido Vivo en Línea. </w:t>
      </w:r>
      <w:hyperlink r:id="rId39">
        <w:r w:rsidRPr="00357F51">
          <w:rPr>
            <w:rFonts w:ascii="Cambria" w:eastAsia="Cambria" w:hAnsi="Cambria" w:cs="Cambria"/>
            <w:i/>
            <w:color w:val="000000"/>
            <w:sz w:val="16"/>
            <w:szCs w:val="16"/>
            <w:u w:val="single"/>
          </w:rPr>
          <w:t>Características según la madre y el rango de edad entre 11 a 14 años,</w:t>
        </w:r>
      </w:hyperlink>
      <w:r w:rsidRPr="00357F51">
        <w:rPr>
          <w:rFonts w:ascii="Cambria" w:eastAsia="Cambria" w:hAnsi="Cambria" w:cs="Cambria"/>
          <w:color w:val="000000"/>
          <w:sz w:val="16"/>
          <w:szCs w:val="16"/>
        </w:rPr>
        <w:t xml:space="preserve"> 2023.</w:t>
      </w:r>
    </w:p>
  </w:endnote>
  <w:endnote w:id="59">
    <w:p w14:paraId="74E1BF41" w14:textId="28C5F2A1" w:rsidR="0019006F" w:rsidRPr="00357F51" w:rsidRDefault="0019006F"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Ministerio de Salud (MINSA).Boletín Epidemiológico SE: 01-39/2023. Boletín Nro. 3, pág. 4  </w:t>
      </w:r>
    </w:p>
  </w:endnote>
  <w:endnote w:id="60">
    <w:p w14:paraId="2465D947" w14:textId="170369F9" w:rsidR="0019006F" w:rsidRPr="00357F51" w:rsidRDefault="0019006F"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Dirección General de Epidemiología: “</w:t>
      </w:r>
      <w:hyperlink r:id="rId40">
        <w:r w:rsidRPr="00357F51">
          <w:rPr>
            <w:rFonts w:ascii="Cambria" w:eastAsia="Cambria" w:hAnsi="Cambria" w:cs="Cambria"/>
            <w:i/>
            <w:color w:val="000000"/>
            <w:sz w:val="16"/>
            <w:szCs w:val="16"/>
            <w:u w:val="single"/>
          </w:rPr>
          <w:t>Muerte materna en el Perú 2001-2011</w:t>
        </w:r>
      </w:hyperlink>
      <w:r w:rsidRPr="00357F51">
        <w:rPr>
          <w:rFonts w:ascii="Cambria" w:eastAsia="Cambria" w:hAnsi="Cambria" w:cs="Cambria"/>
          <w:i/>
          <w:color w:val="000000"/>
          <w:sz w:val="16"/>
          <w:szCs w:val="16"/>
        </w:rPr>
        <w:t>”</w:t>
      </w:r>
      <w:r w:rsidRPr="00357F51">
        <w:rPr>
          <w:rFonts w:ascii="Cambria" w:eastAsia="Cambria" w:hAnsi="Cambria" w:cs="Cambria"/>
          <w:color w:val="000000"/>
          <w:sz w:val="16"/>
          <w:szCs w:val="16"/>
        </w:rPr>
        <w:t>. Lima MINSA-UNFPA, 2013.</w:t>
      </w:r>
    </w:p>
  </w:endnote>
  <w:endnote w:id="61">
    <w:p w14:paraId="0AA64635" w14:textId="5E694762" w:rsidR="0019006F" w:rsidRPr="00357F51" w:rsidRDefault="0019006F"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La República, </w:t>
      </w:r>
      <w:r w:rsidRPr="00357F51">
        <w:rPr>
          <w:rFonts w:ascii="Cambria" w:eastAsia="Cambria" w:hAnsi="Cambria" w:cs="Cambria"/>
          <w:i/>
          <w:color w:val="000000"/>
          <w:sz w:val="16"/>
          <w:szCs w:val="16"/>
        </w:rPr>
        <w:t>“</w:t>
      </w:r>
      <w:hyperlink r:id="rId41">
        <w:r w:rsidRPr="00357F51">
          <w:rPr>
            <w:rFonts w:ascii="Cambria" w:eastAsia="Cambria" w:hAnsi="Cambria" w:cs="Cambria"/>
            <w:i/>
            <w:color w:val="000000"/>
            <w:sz w:val="16"/>
            <w:szCs w:val="16"/>
            <w:u w:val="single"/>
          </w:rPr>
          <w:t>Junín:niña de 13 años fallece tras tener complicaciones en labor de parto</w:t>
        </w:r>
      </w:hyperlink>
      <w:r w:rsidRPr="00357F51">
        <w:rPr>
          <w:rFonts w:ascii="Cambria" w:eastAsia="Cambria" w:hAnsi="Cambria" w:cs="Cambria"/>
          <w:color w:val="000000"/>
          <w:sz w:val="16"/>
          <w:szCs w:val="16"/>
          <w:u w:val="single"/>
        </w:rPr>
        <w:t>”</w:t>
      </w:r>
      <w:r w:rsidRPr="00357F51">
        <w:rPr>
          <w:rFonts w:ascii="Cambria" w:eastAsia="Cambria" w:hAnsi="Cambria" w:cs="Cambria"/>
          <w:color w:val="000000"/>
          <w:sz w:val="16"/>
          <w:szCs w:val="16"/>
        </w:rPr>
        <w:t>, 29 de septiembre de 2023.</w:t>
      </w:r>
    </w:p>
  </w:endnote>
  <w:endnote w:id="62">
    <w:p w14:paraId="4B838194" w14:textId="64E6669F" w:rsidR="0019006F" w:rsidRPr="00357F51" w:rsidRDefault="0019006F"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00357F51" w:rsidRPr="00357F51">
        <w:rPr>
          <w:rFonts w:ascii="Cambria" w:eastAsia="Cambria" w:hAnsi="Cambria" w:cs="Cambria"/>
          <w:color w:val="000000"/>
          <w:sz w:val="16"/>
          <w:szCs w:val="16"/>
        </w:rPr>
        <w:t>PROMSE</w:t>
      </w:r>
      <w:hyperlink r:id="rId42">
        <w:r w:rsidR="00357F51" w:rsidRPr="00357F51">
          <w:rPr>
            <w:rFonts w:ascii="Cambria" w:eastAsia="Cambria" w:hAnsi="Cambria" w:cs="Cambria"/>
            <w:color w:val="000000"/>
            <w:sz w:val="16"/>
            <w:szCs w:val="16"/>
            <w:highlight w:val="white"/>
            <w:u w:val="single"/>
          </w:rPr>
          <w:t>X</w:t>
        </w:r>
      </w:hyperlink>
      <w:r w:rsidR="00357F51" w:rsidRPr="00357F51">
        <w:rPr>
          <w:rFonts w:ascii="Cambria" w:eastAsia="Cambria" w:hAnsi="Cambria" w:cs="Cambria"/>
          <w:color w:val="000000"/>
          <w:sz w:val="16"/>
          <w:szCs w:val="16"/>
        </w:rPr>
        <w:t xml:space="preserve">. </w:t>
      </w:r>
      <w:hyperlink r:id="rId43" w:history="1">
        <w:r w:rsidR="00357F51" w:rsidRPr="00357F51">
          <w:rPr>
            <w:rStyle w:val="Hyperlink"/>
            <w:rFonts w:ascii="Cambria" w:eastAsia="Cambria" w:hAnsi="Cambria" w:cs="Cambria"/>
            <w:i/>
            <w:sz w:val="16"/>
            <w:szCs w:val="16"/>
          </w:rPr>
          <w:t xml:space="preserve">Historias para no </w:t>
        </w:r>
        <w:r w:rsidR="00357F51" w:rsidRPr="00357F51">
          <w:rPr>
            <w:rStyle w:val="Hyperlink"/>
            <w:rFonts w:ascii="Cambria" w:eastAsia="Cambria" w:hAnsi="Cambria" w:cs="Cambria"/>
            <w:sz w:val="16"/>
            <w:szCs w:val="16"/>
          </w:rPr>
          <w:t>olvidar</w:t>
        </w:r>
      </w:hyperlink>
      <w:r w:rsidR="00357F51" w:rsidRPr="00357F51">
        <w:rPr>
          <w:rFonts w:ascii="Cambria" w:eastAsia="Cambria" w:hAnsi="Cambria" w:cs="Cambria"/>
          <w:color w:val="000000"/>
          <w:sz w:val="16"/>
          <w:szCs w:val="16"/>
        </w:rPr>
        <w:t>. Un estudio cualitativo. Perú 2012-2014, septiembre 2015.</w:t>
      </w:r>
    </w:p>
  </w:endnote>
  <w:endnote w:id="63">
    <w:p w14:paraId="6F8D47F5" w14:textId="088A97C7" w:rsidR="00FC7C11" w:rsidRPr="00357F51" w:rsidRDefault="00FC7C11"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Ministerio de Salud (MINSA). </w:t>
      </w:r>
      <w:hyperlink r:id="rId44">
        <w:r w:rsidRPr="00357F51">
          <w:rPr>
            <w:rFonts w:ascii="Cambria" w:eastAsia="Cambria" w:hAnsi="Cambria" w:cs="Cambria"/>
            <w:i/>
            <w:color w:val="000000"/>
            <w:sz w:val="16"/>
            <w:szCs w:val="16"/>
            <w:u w:val="single"/>
          </w:rPr>
          <w:t>“Boletín Epidemiológico Volumen 31-SE 52</w:t>
        </w:r>
      </w:hyperlink>
      <w:r w:rsidRPr="00357F51">
        <w:rPr>
          <w:rFonts w:ascii="Cambria" w:eastAsia="Cambria" w:hAnsi="Cambria" w:cs="Cambria"/>
          <w:i/>
          <w:color w:val="000000"/>
          <w:sz w:val="16"/>
          <w:szCs w:val="16"/>
        </w:rPr>
        <w:t>”.</w:t>
      </w:r>
      <w:r w:rsidRPr="00357F51">
        <w:rPr>
          <w:rFonts w:ascii="Cambria" w:eastAsia="Cambria" w:hAnsi="Cambria" w:cs="Cambria"/>
          <w:color w:val="000000"/>
          <w:sz w:val="16"/>
          <w:szCs w:val="16"/>
        </w:rPr>
        <w:t xml:space="preserve"> Semana Epidemiológica (25 al 31 de diciembre de 2022), pág. 21.</w:t>
      </w:r>
    </w:p>
  </w:endnote>
  <w:endnote w:id="64">
    <w:p w14:paraId="2EE2729A" w14:textId="78A5AA93" w:rsidR="00FC7C11" w:rsidRPr="00357F51" w:rsidRDefault="00FC7C11"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Ministerio de Salud (MINSA)</w:t>
      </w:r>
      <w:r w:rsidR="00B83501">
        <w:rPr>
          <w:rFonts w:ascii="Cambria" w:eastAsia="Cambria" w:hAnsi="Cambria" w:cs="Cambria"/>
          <w:color w:val="000000"/>
          <w:sz w:val="16"/>
          <w:szCs w:val="16"/>
        </w:rPr>
        <w:t xml:space="preserve">; </w:t>
      </w:r>
      <w:r w:rsidR="00B83501" w:rsidRPr="00357F51">
        <w:rPr>
          <w:rFonts w:ascii="Cambria" w:eastAsia="Cambria" w:hAnsi="Cambria" w:cs="Cambria"/>
          <w:color w:val="000000"/>
          <w:sz w:val="16"/>
          <w:szCs w:val="16"/>
        </w:rPr>
        <w:t>Instituto Nacional de Estadística e Informática (INEI)</w:t>
      </w:r>
      <w:r w:rsidRPr="00357F51">
        <w:rPr>
          <w:rFonts w:ascii="Cambria" w:eastAsia="Cambria" w:hAnsi="Cambria" w:cs="Cambria"/>
          <w:color w:val="000000"/>
          <w:sz w:val="16"/>
          <w:szCs w:val="16"/>
        </w:rPr>
        <w:t>. Informe estadístico del nacido vivo. Ver el Gráfico N. 3.7</w:t>
      </w:r>
      <w:r w:rsidR="00B83501">
        <w:rPr>
          <w:rFonts w:ascii="Cambria" w:eastAsia="Cambria" w:hAnsi="Cambria" w:cs="Cambria"/>
          <w:color w:val="000000"/>
          <w:sz w:val="16"/>
          <w:szCs w:val="16"/>
        </w:rPr>
        <w:t>.</w:t>
      </w:r>
    </w:p>
  </w:endnote>
  <w:endnote w:id="65">
    <w:p w14:paraId="627CDAF8" w14:textId="66FF3CA1" w:rsidR="00FC7C11" w:rsidRPr="00357F51" w:rsidRDefault="00FC7C11"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i/>
          <w:color w:val="000000"/>
          <w:sz w:val="16"/>
          <w:szCs w:val="16"/>
        </w:rPr>
        <w:t>Ibídem.</w:t>
      </w:r>
    </w:p>
  </w:endnote>
  <w:endnote w:id="66">
    <w:p w14:paraId="77286838" w14:textId="64274508" w:rsidR="00FC7C11" w:rsidRPr="00357F51" w:rsidRDefault="00FC7C11"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Instituto Nacional de Estadística e Informática (INEI). </w:t>
      </w:r>
      <w:r w:rsidRPr="00357F51">
        <w:rPr>
          <w:rFonts w:ascii="Cambria" w:eastAsia="Cambria" w:hAnsi="Cambria" w:cs="Cambria"/>
          <w:i/>
          <w:color w:val="000000"/>
          <w:sz w:val="16"/>
          <w:szCs w:val="16"/>
        </w:rPr>
        <w:t>Perú: ‘</w:t>
      </w:r>
      <w:hyperlink r:id="rId45">
        <w:r w:rsidRPr="00357F51">
          <w:rPr>
            <w:rFonts w:ascii="Cambria" w:eastAsia="Cambria" w:hAnsi="Cambria" w:cs="Cambria"/>
            <w:i/>
            <w:color w:val="000000"/>
            <w:sz w:val="16"/>
            <w:szCs w:val="16"/>
            <w:u w:val="single"/>
          </w:rPr>
          <w:t>Situación Social de las Madres Adolescentes</w:t>
        </w:r>
      </w:hyperlink>
      <w:hyperlink r:id="rId46">
        <w:r w:rsidRPr="00357F51">
          <w:rPr>
            <w:rFonts w:ascii="Cambria" w:eastAsia="Cambria" w:hAnsi="Cambria" w:cs="Cambria"/>
            <w:color w:val="000000"/>
            <w:sz w:val="16"/>
            <w:szCs w:val="16"/>
            <w:u w:val="single"/>
          </w:rPr>
          <w:t>, 2007</w:t>
        </w:r>
      </w:hyperlink>
      <w:r w:rsidRPr="00357F51">
        <w:rPr>
          <w:rFonts w:ascii="Cambria" w:eastAsia="Cambria" w:hAnsi="Cambria" w:cs="Cambria"/>
          <w:i/>
          <w:color w:val="000000"/>
          <w:sz w:val="16"/>
          <w:szCs w:val="16"/>
        </w:rPr>
        <w:t>’</w:t>
      </w:r>
      <w:r w:rsidRPr="00357F51">
        <w:rPr>
          <w:rFonts w:ascii="Cambria" w:eastAsia="Cambria" w:hAnsi="Cambria" w:cs="Cambria"/>
          <w:color w:val="000000"/>
          <w:sz w:val="16"/>
          <w:szCs w:val="16"/>
        </w:rPr>
        <w:t>. Lima: INEI, 2010.</w:t>
      </w:r>
    </w:p>
  </w:endnote>
  <w:endnote w:id="67">
    <w:p w14:paraId="47AD4DF7" w14:textId="7A32D7B3" w:rsidR="00FC7C11" w:rsidRPr="00357F51" w:rsidRDefault="00FC7C11"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Infobae. </w:t>
      </w:r>
      <w:hyperlink r:id="rId47">
        <w:r w:rsidRPr="00357F51">
          <w:rPr>
            <w:rFonts w:ascii="Cambria" w:eastAsia="Cambria" w:hAnsi="Cambria" w:cs="Cambria"/>
            <w:i/>
            <w:color w:val="000000"/>
            <w:sz w:val="16"/>
            <w:szCs w:val="16"/>
            <w:u w:val="single"/>
          </w:rPr>
          <w:t>“Día Mundial para la Prevención del Suicidio: un tema tabú y el preocupante aumento de suicios en adolescentes”,</w:t>
        </w:r>
      </w:hyperlink>
      <w:r w:rsidRPr="00357F51">
        <w:rPr>
          <w:rFonts w:ascii="Cambria" w:eastAsia="Cambria" w:hAnsi="Cambria" w:cs="Cambria"/>
          <w:color w:val="000000"/>
          <w:sz w:val="16"/>
          <w:szCs w:val="16"/>
        </w:rPr>
        <w:t xml:space="preserve"> 10 de septiembre 2023.</w:t>
      </w:r>
    </w:p>
  </w:endnote>
  <w:endnote w:id="68">
    <w:p w14:paraId="333B0632" w14:textId="75214319" w:rsidR="00FC7C11" w:rsidRPr="00357F51" w:rsidRDefault="00FC7C11"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Código Penal, 1991, artículo 119 el cual establece que “</w:t>
      </w:r>
      <w:r w:rsidRPr="00357F51">
        <w:rPr>
          <w:rFonts w:ascii="Cambria" w:eastAsia="Cambria" w:hAnsi="Cambria" w:cs="Cambria"/>
          <w:i/>
          <w:color w:val="000000"/>
          <w:sz w:val="16"/>
          <w:szCs w:val="16"/>
        </w:rPr>
        <w:t>No es punible el aborto practicado por un médico con el consentimiento de la mujer embarazada o de su representante legal, si lo tuviere, cuando es el único medio para salvar la vida de la gestante o para evitar en su salud un mal grave y permanente”</w:t>
      </w:r>
      <w:r w:rsidRPr="00357F51">
        <w:rPr>
          <w:rFonts w:ascii="Cambria" w:eastAsia="Cambria" w:hAnsi="Cambria" w:cs="Cambria"/>
          <w:color w:val="000000"/>
          <w:sz w:val="16"/>
          <w:szCs w:val="16"/>
        </w:rPr>
        <w:t>.</w:t>
      </w:r>
    </w:p>
  </w:endnote>
  <w:endnote w:id="69">
    <w:p w14:paraId="73233BD3" w14:textId="18181995" w:rsidR="00FC7C11" w:rsidRPr="00357F51" w:rsidRDefault="00FC7C11"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Comité de Derechos Humanos, </w:t>
      </w:r>
      <w:r w:rsidRPr="00357F51">
        <w:rPr>
          <w:rFonts w:ascii="Cambria" w:eastAsia="Cambria" w:hAnsi="Cambria" w:cs="Cambria"/>
          <w:i/>
          <w:color w:val="000000"/>
          <w:sz w:val="16"/>
          <w:szCs w:val="16"/>
        </w:rPr>
        <w:t>K.L. vs. Perú</w:t>
      </w:r>
      <w:r w:rsidRPr="00357F51">
        <w:rPr>
          <w:rFonts w:ascii="Cambria" w:eastAsia="Cambria" w:hAnsi="Cambria" w:cs="Cambria"/>
          <w:color w:val="000000"/>
          <w:sz w:val="16"/>
          <w:szCs w:val="16"/>
        </w:rPr>
        <w:t>, Comunicación No. 1153/2003, U.N. Doc. CCPR/ C/85/D/1153/2003 (2005),</w:t>
      </w:r>
      <w:r w:rsidR="00357F51">
        <w:rPr>
          <w:rFonts w:ascii="Cambria" w:eastAsia="Cambria" w:hAnsi="Cambria" w:cs="Cambria"/>
          <w:color w:val="000000"/>
          <w:sz w:val="16"/>
          <w:szCs w:val="16"/>
        </w:rPr>
        <w:t xml:space="preserve"> </w:t>
      </w:r>
      <w:r w:rsidRPr="00357F51">
        <w:rPr>
          <w:rFonts w:ascii="Cambria" w:eastAsia="Cambria" w:hAnsi="Cambria" w:cs="Cambria"/>
          <w:color w:val="000000"/>
          <w:sz w:val="16"/>
          <w:szCs w:val="16"/>
        </w:rPr>
        <w:t>pág. 8.</w:t>
      </w:r>
    </w:p>
  </w:endnote>
  <w:endnote w:id="70">
    <w:p w14:paraId="42D27D09" w14:textId="27F1552B" w:rsidR="00FC7C11" w:rsidRPr="00357F51" w:rsidRDefault="00FC7C11"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Ministerio de Salud</w:t>
      </w:r>
      <w:r w:rsidRPr="00357F51">
        <w:rPr>
          <w:rFonts w:ascii="Cambria" w:eastAsia="Cambria" w:hAnsi="Cambria" w:cs="Cambria"/>
          <w:i/>
          <w:color w:val="000000"/>
          <w:sz w:val="16"/>
          <w:szCs w:val="16"/>
        </w:rPr>
        <w:t xml:space="preserve">, </w:t>
      </w:r>
      <w:hyperlink r:id="rId48">
        <w:r w:rsidRPr="00357F51">
          <w:rPr>
            <w:rFonts w:ascii="Cambria" w:eastAsia="Cambria" w:hAnsi="Cambria" w:cs="Cambria"/>
            <w:i/>
            <w:color w:val="000000"/>
            <w:sz w:val="16"/>
            <w:szCs w:val="16"/>
            <w:u w:val="single"/>
          </w:rPr>
          <w:t>Guía Técnica Nacional para la Estandarización del Procedimiento de la Atención Integral de la Gestante en la Interrupción Voluntaria por Indicación Terapéutica del embarazo menor de 22 semanas con consentimiento informado en el marco de lo dispuesto en el</w:t>
        </w:r>
      </w:hyperlink>
      <w:r w:rsidRPr="00357F51">
        <w:rPr>
          <w:rFonts w:ascii="Cambria" w:eastAsia="Cambria" w:hAnsi="Cambria" w:cs="Cambria"/>
          <w:i/>
          <w:color w:val="000000"/>
          <w:sz w:val="16"/>
          <w:szCs w:val="16"/>
        </w:rPr>
        <w:t>,</w:t>
      </w:r>
      <w:r w:rsidRPr="00357F51">
        <w:rPr>
          <w:rFonts w:ascii="Cambria" w:eastAsia="Cambria" w:hAnsi="Cambria" w:cs="Cambria"/>
          <w:color w:val="000000"/>
          <w:sz w:val="16"/>
          <w:szCs w:val="16"/>
        </w:rPr>
        <w:t xml:space="preserve"> aprobada mediante Resolución No. 486-2014/MINSA, de fecha 27 de junio del 2014.</w:t>
      </w:r>
    </w:p>
  </w:endnote>
  <w:endnote w:id="71">
    <w:p w14:paraId="20F86BEF" w14:textId="77777777" w:rsidR="00FC7C11" w:rsidRPr="00357F51" w:rsidRDefault="00FC7C11" w:rsidP="00357F51">
      <w:pPr>
        <w:pBdr>
          <w:top w:val="nil"/>
          <w:left w:val="nil"/>
          <w:bottom w:val="nil"/>
          <w:right w:val="nil"/>
          <w:between w:val="nil"/>
        </w:pBdr>
        <w:spacing w:after="0" w:line="240" w:lineRule="auto"/>
        <w:jc w:val="both"/>
        <w:rPr>
          <w:rFonts w:ascii="Cambria" w:eastAsia="Cambria" w:hAnsi="Cambria" w:cs="Cambria"/>
          <w:color w:val="000000"/>
          <w:sz w:val="16"/>
          <w:szCs w:val="16"/>
          <w:u w:val="single"/>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Camila es una niña indígena que fue víctima de violación sexual por parte de su progenitor. En 2017, cuándo tenía 13 años, quedó embarazada producto de los reiterados abusos. Su madre solicitó el aborto terapéutico, sin embargo, los funcionarios del hospital no respondieron a tiempo y a las 13 semanas de gestación, Camila tuvo una pérdida espontánea. Posterior a ello, la Fiscalía le apertura una investigación por el delito de autoaborto y fue condenada en primera instancia, luego de apelar fue absuelta en segunda instancia. Ante la ausencia de mecanismos de reparación a nivel nacional, se presenta una Comunicación al Comité de Derechos del Niño. En junio de 2023, el CDN declaró responsable al Estado peruano por las violaciones cometidas en agravio de Camila y ordenó una serie de reparaciones. </w:t>
      </w:r>
    </w:p>
    <w:p w14:paraId="1FABCB56" w14:textId="75517EB9" w:rsidR="00FC7C11" w:rsidRPr="00357F51" w:rsidRDefault="00FC7C11" w:rsidP="00357F51">
      <w:pPr>
        <w:pStyle w:val="EndnoteText"/>
        <w:jc w:val="both"/>
        <w:rPr>
          <w:rFonts w:ascii="Cambria" w:hAnsi="Cambria"/>
        </w:rPr>
      </w:pPr>
      <w:r w:rsidRPr="00357F51">
        <w:rPr>
          <w:rFonts w:ascii="Cambria" w:eastAsia="Cambria" w:hAnsi="Cambria" w:cs="Cambria"/>
          <w:color w:val="000000"/>
          <w:sz w:val="16"/>
          <w:szCs w:val="16"/>
        </w:rPr>
        <w:t>Comité de los Derechos del Niño</w:t>
      </w:r>
      <w:r w:rsidRPr="00357F51">
        <w:rPr>
          <w:rFonts w:ascii="Cambria" w:eastAsia="Cambria" w:hAnsi="Cambria" w:cs="Cambria"/>
          <w:i/>
          <w:color w:val="000000"/>
          <w:sz w:val="16"/>
          <w:szCs w:val="16"/>
        </w:rPr>
        <w:t>, Camila. c. Perú</w:t>
      </w:r>
      <w:r w:rsidRPr="00357F51">
        <w:rPr>
          <w:rFonts w:ascii="Cambria" w:eastAsia="Cambria" w:hAnsi="Cambria" w:cs="Cambria"/>
          <w:color w:val="000000"/>
          <w:sz w:val="16"/>
          <w:szCs w:val="16"/>
        </w:rPr>
        <w:t>, Comunicación No. 136/2021, U.N.Doc. RC/C/93/D/136/2021.</w:t>
      </w:r>
    </w:p>
  </w:endnote>
  <w:endnote w:id="72">
    <w:p w14:paraId="0A0B5515" w14:textId="1B297DA2" w:rsidR="00FC7C11" w:rsidRPr="00357F51" w:rsidRDefault="00FC7C11"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Comité de los Derechos del Niño</w:t>
      </w:r>
      <w:r w:rsidRPr="00357F51">
        <w:rPr>
          <w:rFonts w:ascii="Cambria" w:eastAsia="Cambria" w:hAnsi="Cambria" w:cs="Cambria"/>
          <w:i/>
          <w:color w:val="000000"/>
          <w:sz w:val="16"/>
          <w:szCs w:val="16"/>
        </w:rPr>
        <w:t>, Camila. c. Perú</w:t>
      </w:r>
      <w:r w:rsidRPr="00357F51">
        <w:rPr>
          <w:rFonts w:ascii="Cambria" w:eastAsia="Cambria" w:hAnsi="Cambria" w:cs="Cambria"/>
          <w:color w:val="000000"/>
          <w:sz w:val="16"/>
          <w:szCs w:val="16"/>
        </w:rPr>
        <w:t>, Comunicación No. 136/2021, U.N.Doc. RC/C/93/D/136/2021, párr. 9.</w:t>
      </w:r>
    </w:p>
  </w:endnote>
  <w:endnote w:id="73">
    <w:p w14:paraId="30792DF9" w14:textId="53D12FF4" w:rsidR="00FC7C11" w:rsidRPr="00357F51" w:rsidRDefault="00FC7C11"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Cabe anotar que Perú no cuenta con un mecanismo nacional efectivo de cumplimiento de las decisiones de órganos supranacionales, esto conlleva la a dilación innecesaria y a un proceso burocrático que no consigue reparar a las victimas.</w:t>
      </w:r>
    </w:p>
  </w:endnote>
  <w:endnote w:id="74">
    <w:p w14:paraId="33E79970" w14:textId="64FB903B" w:rsidR="00FC7C11" w:rsidRPr="00357F51" w:rsidRDefault="00FC7C11"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Memorando N° 464-2021-DEOG/INMP, 29 de abril de 2021.</w:t>
      </w:r>
    </w:p>
  </w:endnote>
  <w:endnote w:id="75">
    <w:p w14:paraId="5653B52E" w14:textId="4FBF6D3C" w:rsidR="00FC7C11" w:rsidRPr="00357F51" w:rsidRDefault="00FC7C11"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Salud Con Lupa. </w:t>
      </w:r>
      <w:hyperlink r:id="rId49">
        <w:r w:rsidRPr="00357F51">
          <w:rPr>
            <w:rFonts w:ascii="Cambria" w:eastAsia="Cambria" w:hAnsi="Cambria" w:cs="Cambria"/>
            <w:i/>
            <w:color w:val="000000"/>
            <w:sz w:val="16"/>
            <w:szCs w:val="16"/>
            <w:u w:val="single"/>
          </w:rPr>
          <w:t>“Aumentan las niñas madres ante las barreras para el aborto terapéutico”</w:t>
        </w:r>
      </w:hyperlink>
      <w:r w:rsidRPr="00357F51">
        <w:rPr>
          <w:rFonts w:ascii="Cambria" w:eastAsia="Cambria" w:hAnsi="Cambria" w:cs="Cambria"/>
          <w:i/>
          <w:color w:val="000000"/>
          <w:sz w:val="16"/>
          <w:szCs w:val="16"/>
        </w:rPr>
        <w:t>,</w:t>
      </w:r>
      <w:r w:rsidRPr="00357F51">
        <w:rPr>
          <w:rFonts w:ascii="Cambria" w:eastAsia="Cambria" w:hAnsi="Cambria" w:cs="Cambria"/>
          <w:color w:val="000000"/>
          <w:sz w:val="16"/>
          <w:szCs w:val="16"/>
        </w:rPr>
        <w:t xml:space="preserve"> 14 de julio de 2021.</w:t>
      </w:r>
    </w:p>
  </w:endnote>
  <w:endnote w:id="76">
    <w:p w14:paraId="697A0306" w14:textId="20A126F2" w:rsidR="002C68DF" w:rsidRDefault="002C68DF">
      <w:pPr>
        <w:pStyle w:val="EndnoteText"/>
      </w:pPr>
      <w:r>
        <w:rPr>
          <w:rStyle w:val="EndnoteReference"/>
        </w:rPr>
        <w:endnoteRef/>
      </w:r>
      <w:r>
        <w:t xml:space="preserve"> </w:t>
      </w:r>
      <w:r w:rsidRPr="004846FD">
        <w:rPr>
          <w:rFonts w:ascii="Cambria" w:hAnsi="Cambria"/>
          <w:sz w:val="16"/>
          <w:szCs w:val="16"/>
        </w:rPr>
        <w:t xml:space="preserve">Promsex. </w:t>
      </w:r>
      <w:hyperlink r:id="rId50" w:history="1">
        <w:r w:rsidR="004846FD" w:rsidRPr="004846FD">
          <w:rPr>
            <w:rStyle w:val="Hyperlink"/>
            <w:rFonts w:ascii="Cambria" w:hAnsi="Cambria"/>
            <w:i/>
            <w:iCs/>
            <w:sz w:val="16"/>
            <w:szCs w:val="16"/>
          </w:rPr>
          <w:t>“</w:t>
        </w:r>
        <w:r w:rsidRPr="004846FD">
          <w:rPr>
            <w:rStyle w:val="Hyperlink"/>
            <w:rFonts w:ascii="Cambria" w:hAnsi="Cambria"/>
            <w:i/>
            <w:iCs/>
            <w:sz w:val="16"/>
            <w:szCs w:val="16"/>
          </w:rPr>
          <w:t>Abortos terapéuticos. Realizados en el Perú entre el 2014 y 2023</w:t>
        </w:r>
        <w:r w:rsidR="004846FD" w:rsidRPr="004846FD">
          <w:rPr>
            <w:rStyle w:val="Hyperlink"/>
            <w:rFonts w:ascii="Cambria" w:hAnsi="Cambria"/>
            <w:i/>
            <w:iCs/>
            <w:sz w:val="16"/>
            <w:szCs w:val="16"/>
          </w:rPr>
          <w:t>”</w:t>
        </w:r>
      </w:hyperlink>
      <w:r w:rsidR="004846FD" w:rsidRPr="004846FD">
        <w:rPr>
          <w:rFonts w:ascii="Cambria" w:hAnsi="Cambria"/>
          <w:i/>
          <w:iCs/>
          <w:sz w:val="16"/>
          <w:szCs w:val="16"/>
        </w:rPr>
        <w:t>,</w:t>
      </w:r>
      <w:r w:rsidR="004846FD" w:rsidRPr="004846FD">
        <w:rPr>
          <w:rFonts w:ascii="Cambria" w:hAnsi="Cambria"/>
          <w:sz w:val="16"/>
          <w:szCs w:val="16"/>
        </w:rPr>
        <w:t xml:space="preserve"> julio de 2024</w:t>
      </w:r>
      <w:r w:rsidR="004846FD">
        <w:rPr>
          <w:rFonts w:ascii="Cambria" w:hAnsi="Cambria"/>
          <w:sz w:val="16"/>
          <w:szCs w:val="16"/>
        </w:rPr>
        <w:t xml:space="preserve">, pág. 35. </w:t>
      </w:r>
    </w:p>
  </w:endnote>
  <w:endnote w:id="77">
    <w:p w14:paraId="07370878" w14:textId="47A3E14E" w:rsidR="004846FD" w:rsidRDefault="004846FD">
      <w:pPr>
        <w:pStyle w:val="EndnoteText"/>
      </w:pPr>
      <w:r>
        <w:rPr>
          <w:rStyle w:val="EndnoteReference"/>
        </w:rPr>
        <w:endnoteRef/>
      </w:r>
      <w:r>
        <w:t xml:space="preserve"> </w:t>
      </w:r>
      <w:r w:rsidRPr="004846FD">
        <w:rPr>
          <w:rFonts w:ascii="Cambria" w:hAnsi="Cambria"/>
          <w:i/>
          <w:iCs/>
          <w:sz w:val="16"/>
          <w:szCs w:val="16"/>
        </w:rPr>
        <w:t>Ibídem.</w:t>
      </w:r>
    </w:p>
  </w:endnote>
  <w:endnote w:id="78">
    <w:p w14:paraId="53F52FE0" w14:textId="7F042C25" w:rsidR="00FC7C11" w:rsidRPr="00357F51" w:rsidRDefault="00FC7C11"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Diario Correo, </w:t>
      </w:r>
      <w:hyperlink r:id="rId51">
        <w:r w:rsidRPr="00357F51">
          <w:rPr>
            <w:rFonts w:ascii="Cambria" w:eastAsia="Cambria" w:hAnsi="Cambria" w:cs="Cambria"/>
            <w:i/>
            <w:color w:val="000000"/>
            <w:sz w:val="16"/>
            <w:szCs w:val="16"/>
            <w:u w:val="single"/>
          </w:rPr>
          <w:t>El drama de la niña N.G.R.H</w:t>
        </w:r>
      </w:hyperlink>
      <w:hyperlink r:id="rId52">
        <w:r w:rsidRPr="00357F51">
          <w:rPr>
            <w:rFonts w:ascii="Cambria" w:eastAsia="Cambria" w:hAnsi="Cambria" w:cs="Cambria"/>
            <w:color w:val="000000"/>
            <w:sz w:val="16"/>
            <w:szCs w:val="16"/>
            <w:u w:val="single"/>
          </w:rPr>
          <w:t>.: Tantas veces ultrajada</w:t>
        </w:r>
      </w:hyperlink>
      <w:r w:rsidRPr="00357F51">
        <w:rPr>
          <w:rFonts w:ascii="Cambria" w:eastAsia="Cambria" w:hAnsi="Cambria" w:cs="Cambria"/>
          <w:i/>
          <w:color w:val="000000"/>
          <w:sz w:val="16"/>
          <w:szCs w:val="16"/>
        </w:rPr>
        <w:t xml:space="preserve">, </w:t>
      </w:r>
      <w:r w:rsidRPr="00357F51">
        <w:rPr>
          <w:rFonts w:ascii="Cambria" w:eastAsia="Cambria" w:hAnsi="Cambria" w:cs="Cambria"/>
          <w:color w:val="000000"/>
          <w:sz w:val="16"/>
          <w:szCs w:val="16"/>
        </w:rPr>
        <w:t xml:space="preserve">31 de marzo de 2019; La Mula, </w:t>
      </w:r>
      <w:hyperlink r:id="rId53">
        <w:r w:rsidRPr="00357F51">
          <w:rPr>
            <w:rFonts w:ascii="Cambria" w:eastAsia="Cambria" w:hAnsi="Cambria" w:cs="Cambria"/>
            <w:i/>
            <w:color w:val="000000"/>
            <w:sz w:val="16"/>
            <w:szCs w:val="16"/>
            <w:u w:val="single"/>
          </w:rPr>
          <w:t>Una niña muere por parir “su bendición”</w:t>
        </w:r>
      </w:hyperlink>
      <w:r w:rsidRPr="00357F51">
        <w:rPr>
          <w:rFonts w:ascii="Cambria" w:eastAsia="Cambria" w:hAnsi="Cambria" w:cs="Cambria"/>
          <w:color w:val="000000"/>
          <w:sz w:val="16"/>
          <w:szCs w:val="16"/>
        </w:rPr>
        <w:t xml:space="preserve">, 7 de marzo de 2019; Saludconlupa, </w:t>
      </w:r>
      <w:r w:rsidRPr="00357F51">
        <w:rPr>
          <w:rFonts w:ascii="Cambria" w:eastAsia="Cambria" w:hAnsi="Cambria" w:cs="Cambria"/>
          <w:i/>
          <w:color w:val="000000"/>
          <w:sz w:val="16"/>
          <w:szCs w:val="16"/>
        </w:rPr>
        <w:t>“</w:t>
      </w:r>
      <w:hyperlink r:id="rId54">
        <w:r w:rsidRPr="00357F51">
          <w:rPr>
            <w:rFonts w:ascii="Cambria" w:eastAsia="Cambria" w:hAnsi="Cambria" w:cs="Cambria"/>
            <w:i/>
            <w:color w:val="000000"/>
            <w:sz w:val="16"/>
            <w:szCs w:val="16"/>
            <w:u w:val="single"/>
          </w:rPr>
          <w:t>Aumentan las niñas madres antes las barreras para el aborto terapéutico</w:t>
        </w:r>
      </w:hyperlink>
      <w:r w:rsidRPr="00357F51">
        <w:rPr>
          <w:rFonts w:ascii="Cambria" w:eastAsia="Cambria" w:hAnsi="Cambria" w:cs="Cambria"/>
          <w:i/>
          <w:color w:val="000000"/>
          <w:sz w:val="16"/>
          <w:szCs w:val="16"/>
          <w:u w:val="single"/>
        </w:rPr>
        <w:t>”</w:t>
      </w:r>
      <w:r w:rsidRPr="00357F51">
        <w:rPr>
          <w:rFonts w:ascii="Cambria" w:eastAsia="Cambria" w:hAnsi="Cambria" w:cs="Cambria"/>
          <w:i/>
          <w:color w:val="000000"/>
          <w:sz w:val="16"/>
          <w:szCs w:val="16"/>
        </w:rPr>
        <w:t>,</w:t>
      </w:r>
      <w:r w:rsidRPr="00357F51">
        <w:rPr>
          <w:rFonts w:ascii="Cambria" w:eastAsia="Cambria" w:hAnsi="Cambria" w:cs="Cambria"/>
          <w:color w:val="000000"/>
          <w:sz w:val="16"/>
          <w:szCs w:val="16"/>
        </w:rPr>
        <w:t xml:space="preserve">14 de julio de 2021; La República, </w:t>
      </w:r>
      <w:r w:rsidRPr="00357F51">
        <w:rPr>
          <w:rFonts w:ascii="Cambria" w:eastAsia="Cambria" w:hAnsi="Cambria" w:cs="Cambria"/>
          <w:i/>
          <w:color w:val="000000"/>
          <w:sz w:val="16"/>
          <w:szCs w:val="16"/>
        </w:rPr>
        <w:t>“</w:t>
      </w:r>
      <w:hyperlink r:id="rId55">
        <w:r w:rsidRPr="00357F51">
          <w:rPr>
            <w:rFonts w:ascii="Cambria" w:eastAsia="Cambria" w:hAnsi="Cambria" w:cs="Cambria"/>
            <w:i/>
            <w:color w:val="000000"/>
            <w:sz w:val="16"/>
            <w:szCs w:val="16"/>
            <w:u w:val="single"/>
          </w:rPr>
          <w:t>Junín:niña de 13 años fallece tras tener complicaciones en labor de parto</w:t>
        </w:r>
      </w:hyperlink>
      <w:r w:rsidRPr="00357F51">
        <w:rPr>
          <w:rFonts w:ascii="Cambria" w:eastAsia="Cambria" w:hAnsi="Cambria" w:cs="Cambria"/>
          <w:i/>
          <w:color w:val="000000"/>
          <w:sz w:val="16"/>
          <w:szCs w:val="16"/>
          <w:u w:val="single"/>
        </w:rPr>
        <w:t>”</w:t>
      </w:r>
      <w:r w:rsidRPr="00357F51">
        <w:rPr>
          <w:rFonts w:ascii="Cambria" w:eastAsia="Cambria" w:hAnsi="Cambria" w:cs="Cambria"/>
          <w:i/>
          <w:color w:val="000000"/>
          <w:sz w:val="16"/>
          <w:szCs w:val="16"/>
        </w:rPr>
        <w:t>,</w:t>
      </w:r>
      <w:r w:rsidRPr="00357F51">
        <w:rPr>
          <w:rFonts w:ascii="Cambria" w:eastAsia="Cambria" w:hAnsi="Cambria" w:cs="Cambria"/>
          <w:color w:val="000000"/>
          <w:sz w:val="16"/>
          <w:szCs w:val="16"/>
        </w:rPr>
        <w:t xml:space="preserve"> 29 de septiembre de 2023.</w:t>
      </w:r>
    </w:p>
  </w:endnote>
  <w:endnote w:id="79">
    <w:p w14:paraId="0156AE52" w14:textId="54B74F3C" w:rsidR="00BA73AC" w:rsidRPr="00357F51" w:rsidRDefault="00BA73AC"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Comité de los Derechos del Niño, </w:t>
      </w:r>
      <w:r w:rsidRPr="00357F51">
        <w:rPr>
          <w:rFonts w:ascii="Cambria" w:eastAsia="Cambria" w:hAnsi="Cambria" w:cs="Cambria"/>
          <w:i/>
          <w:color w:val="000000"/>
          <w:sz w:val="16"/>
          <w:szCs w:val="16"/>
        </w:rPr>
        <w:t>Mila. c. Perú,</w:t>
      </w:r>
      <w:r w:rsidRPr="00357F51">
        <w:rPr>
          <w:rFonts w:ascii="Cambria" w:eastAsia="Cambria" w:hAnsi="Cambria" w:cs="Cambria"/>
          <w:color w:val="000000"/>
          <w:sz w:val="16"/>
          <w:szCs w:val="16"/>
        </w:rPr>
        <w:t xml:space="preserve"> Comunicación No. 233/2023</w:t>
      </w:r>
    </w:p>
  </w:endnote>
  <w:endnote w:id="80">
    <w:p w14:paraId="6E66DEA0" w14:textId="7AD3EE0D" w:rsidR="00BA73AC" w:rsidRPr="00357F51" w:rsidRDefault="00BA73AC"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Comité de los Derechos del Niño, </w:t>
      </w:r>
      <w:r w:rsidRPr="00357F51">
        <w:rPr>
          <w:rFonts w:ascii="Cambria" w:eastAsia="Cambria" w:hAnsi="Cambria" w:cs="Cambria"/>
          <w:i/>
          <w:color w:val="000000"/>
          <w:sz w:val="16"/>
          <w:szCs w:val="16"/>
        </w:rPr>
        <w:t>Mila. c. Perú,</w:t>
      </w:r>
      <w:r w:rsidRPr="00357F51">
        <w:rPr>
          <w:rFonts w:ascii="Cambria" w:eastAsia="Cambria" w:hAnsi="Cambria" w:cs="Cambria"/>
          <w:color w:val="000000"/>
          <w:sz w:val="16"/>
          <w:szCs w:val="16"/>
        </w:rPr>
        <w:t xml:space="preserve"> Referencia G/SO CRC-IC PER(2).</w:t>
      </w:r>
    </w:p>
  </w:endnote>
  <w:endnote w:id="81">
    <w:p w14:paraId="7199CA5F" w14:textId="24A3E139" w:rsidR="00BA73AC" w:rsidRPr="00357F51" w:rsidRDefault="00BA73AC"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Ministerio de Salud. (2019). Decreto Supremo N°008-2019-SA </w:t>
      </w:r>
      <w:hyperlink r:id="rId56">
        <w:r w:rsidRPr="00357F51">
          <w:rPr>
            <w:rFonts w:ascii="Cambria" w:eastAsia="Cambria" w:hAnsi="Cambria" w:cs="Cambria"/>
            <w:i/>
            <w:color w:val="000000"/>
            <w:sz w:val="16"/>
            <w:szCs w:val="16"/>
            <w:u w:val="single"/>
          </w:rPr>
          <w:t>“Protocolo de actuación conjunta entre los Centros de Emergencia Mujer -CEM y los Establecimientos de Salud – EE.SS. para la atención de las personas víctimas de violencia contra las mujeres y los integrantes del grupo familiar, en el marco de la Ley N°30</w:t>
        </w:r>
      </w:hyperlink>
      <w:r w:rsidRPr="00357F51">
        <w:rPr>
          <w:rFonts w:ascii="Cambria" w:eastAsia="Cambria" w:hAnsi="Cambria" w:cs="Cambria"/>
          <w:i/>
          <w:color w:val="000000"/>
          <w:sz w:val="16"/>
          <w:szCs w:val="16"/>
          <w:u w:val="single"/>
        </w:rPr>
        <w:t>364</w:t>
      </w:r>
      <w:r w:rsidRPr="00357F51">
        <w:rPr>
          <w:rFonts w:ascii="Cambria" w:eastAsia="Cambria" w:hAnsi="Cambria" w:cs="Cambria"/>
          <w:color w:val="000000"/>
          <w:sz w:val="16"/>
          <w:szCs w:val="16"/>
        </w:rPr>
        <w:t>.</w:t>
      </w:r>
      <w:r w:rsidRPr="00357F51">
        <w:rPr>
          <w:rFonts w:ascii="Cambria" w:eastAsia="Cambria" w:hAnsi="Cambria" w:cs="Cambria"/>
          <w:i/>
          <w:color w:val="000000"/>
          <w:sz w:val="16"/>
          <w:szCs w:val="16"/>
        </w:rPr>
        <w:t xml:space="preserve"> </w:t>
      </w:r>
      <w:r w:rsidRPr="00357F51">
        <w:rPr>
          <w:rFonts w:ascii="Cambria" w:eastAsia="Cambria" w:hAnsi="Cambria" w:cs="Cambria"/>
          <w:color w:val="000000"/>
          <w:sz w:val="16"/>
          <w:szCs w:val="16"/>
        </w:rPr>
        <w:t>Nota al pie 58.</w:t>
      </w:r>
    </w:p>
  </w:endnote>
  <w:endnote w:id="82">
    <w:p w14:paraId="4D99F4F8" w14:textId="5ACF8F46" w:rsidR="00BA73AC" w:rsidRPr="00357F51" w:rsidRDefault="00BA73AC" w:rsidP="00357F51">
      <w:pPr>
        <w:pBdr>
          <w:top w:val="nil"/>
          <w:left w:val="nil"/>
          <w:bottom w:val="nil"/>
          <w:right w:val="nil"/>
          <w:between w:val="nil"/>
        </w:pBdr>
        <w:spacing w:after="0" w:line="240" w:lineRule="auto"/>
        <w:jc w:val="both"/>
        <w:rPr>
          <w:rFonts w:ascii="Cambria" w:eastAsia="Cambria" w:hAnsi="Cambria" w:cs="Cambria"/>
          <w:color w:val="000000"/>
          <w:sz w:val="16"/>
          <w:szCs w:val="16"/>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Salud con Lupa. </w:t>
      </w:r>
      <w:r w:rsidRPr="00357F51">
        <w:rPr>
          <w:rFonts w:ascii="Cambria" w:eastAsia="Cambria" w:hAnsi="Cambria" w:cs="Cambria"/>
          <w:i/>
          <w:color w:val="000000"/>
          <w:sz w:val="16"/>
          <w:szCs w:val="16"/>
        </w:rPr>
        <w:t>“</w:t>
      </w:r>
      <w:hyperlink r:id="rId57">
        <w:r w:rsidRPr="00357F51">
          <w:rPr>
            <w:rFonts w:ascii="Cambria" w:eastAsia="Cambria" w:hAnsi="Cambria" w:cs="Cambria"/>
            <w:i/>
            <w:color w:val="000000"/>
            <w:sz w:val="16"/>
            <w:szCs w:val="16"/>
            <w:u w:val="single"/>
          </w:rPr>
          <w:t>De la sala de emergencias al juzgado por un aborto’</w:t>
        </w:r>
      </w:hyperlink>
      <w:r w:rsidRPr="00357F51">
        <w:rPr>
          <w:rFonts w:ascii="Cambria" w:eastAsia="Cambria" w:hAnsi="Cambria" w:cs="Cambria"/>
          <w:i/>
          <w:color w:val="000000"/>
          <w:sz w:val="16"/>
          <w:szCs w:val="16"/>
        </w:rPr>
        <w:t>’.</w:t>
      </w:r>
      <w:r w:rsidRPr="00357F51">
        <w:rPr>
          <w:rFonts w:ascii="Cambria" w:eastAsia="Cambria" w:hAnsi="Cambria" w:cs="Cambria"/>
          <w:color w:val="000000"/>
          <w:sz w:val="16"/>
          <w:szCs w:val="16"/>
        </w:rPr>
        <w:t xml:space="preserve"> 28 de noviembre de 2022. Este medio revisó 131 sentencias sobre delitos de aborto enviadas por 11 cortes del Poder Judicial e identificaron que 42 mujeres fueron sometidas a un proceso de investigación por abortar. </w:t>
      </w:r>
    </w:p>
  </w:endnote>
  <w:endnote w:id="83">
    <w:p w14:paraId="5DC8738F" w14:textId="1A5E9843" w:rsidR="00E97E72" w:rsidRPr="00357F51" w:rsidRDefault="00E97E72"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Respuesta a la solicitud de acceso a la información del Ministerio Público Oficio Nº810-2017-MP-FN-GG-OCPLAP/03 de fecha 16 de mayo de 2017.</w:t>
      </w:r>
    </w:p>
  </w:endnote>
  <w:endnote w:id="84">
    <w:p w14:paraId="3C06745F" w14:textId="6DC8F4D6" w:rsidR="00E97E72" w:rsidRPr="00357F51" w:rsidRDefault="00E97E72"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Gerencia General del Poder Judicial, Oficio No. 323-2019-SG-GG-PJ. Solicitud de acceso a información pública sobre denuncias por el delito de aborto y el estado de estas, reporte de cantidad de procesos ingresados en los años 2017 y 2018 (21 de marzo de 2019). Solo se registra 73 sentencias condenatorias por el delito de aborto y sus modalidades a nivel nacional</w:t>
      </w:r>
      <w:r w:rsidRPr="00357F51">
        <w:rPr>
          <w:rFonts w:ascii="Cambria" w:eastAsia="Cambria" w:hAnsi="Cambria" w:cs="Cambria"/>
          <w:color w:val="000000"/>
          <w:sz w:val="16"/>
          <w:szCs w:val="16"/>
          <w:vertAlign w:val="superscript"/>
        </w:rPr>
        <w:t xml:space="preserve">, </w:t>
      </w:r>
      <w:r w:rsidRPr="00357F51">
        <w:rPr>
          <w:rFonts w:ascii="Cambria" w:eastAsia="Cambria" w:hAnsi="Cambria" w:cs="Cambria"/>
          <w:color w:val="000000"/>
          <w:sz w:val="16"/>
          <w:szCs w:val="16"/>
        </w:rPr>
        <w:t>por lo que, las demás mujeres continúan enfrentando un proceso penal en sus diferentes etapas.</w:t>
      </w:r>
    </w:p>
  </w:endnote>
  <w:endnote w:id="85">
    <w:p w14:paraId="1F02B515" w14:textId="6D2A06B2" w:rsidR="00E97E72" w:rsidRPr="00357F51" w:rsidRDefault="00E97E72"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Comité de los Derechos del Niño, Camila. c. Perú, Comunicación No. 136/2021, U.N.Doc. RC/C/93/D/136/2021, párr. 8.5</w:t>
      </w:r>
    </w:p>
  </w:endnote>
  <w:endnote w:id="86">
    <w:p w14:paraId="1C1E196E" w14:textId="2DD959BA" w:rsidR="00E97E72" w:rsidRPr="00357F51" w:rsidRDefault="00E97E72"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i/>
          <w:color w:val="000000"/>
          <w:sz w:val="16"/>
          <w:szCs w:val="16"/>
        </w:rPr>
        <w:t>Ibídem.</w:t>
      </w:r>
    </w:p>
  </w:endnote>
  <w:endnote w:id="87">
    <w:p w14:paraId="7F12C5E5" w14:textId="67B85A87" w:rsidR="00E97E72" w:rsidRPr="00357F51" w:rsidRDefault="00E97E72"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i/>
          <w:color w:val="000000"/>
          <w:sz w:val="16"/>
          <w:szCs w:val="16"/>
        </w:rPr>
        <w:t>Ibídem</w:t>
      </w:r>
      <w:r w:rsidR="00357F51">
        <w:rPr>
          <w:rFonts w:ascii="Cambria" w:eastAsia="Cambria" w:hAnsi="Cambria" w:cs="Cambria"/>
          <w:i/>
          <w:color w:val="000000"/>
          <w:sz w:val="16"/>
          <w:szCs w:val="16"/>
        </w:rPr>
        <w:t>.</w:t>
      </w:r>
      <w:r w:rsidRPr="00357F51">
        <w:rPr>
          <w:rFonts w:ascii="Cambria" w:eastAsia="Cambria" w:hAnsi="Cambria" w:cs="Cambria"/>
          <w:i/>
          <w:color w:val="000000"/>
          <w:sz w:val="16"/>
          <w:szCs w:val="16"/>
        </w:rPr>
        <w:t>, párr. 8. 16.</w:t>
      </w:r>
    </w:p>
  </w:endnote>
  <w:endnote w:id="88">
    <w:p w14:paraId="201AA83D" w14:textId="565C1332" w:rsidR="00E97E72" w:rsidRPr="00357F51" w:rsidRDefault="00E97E72"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Ley General de Salud, Ley Nº 26842. Artículo 30, “El médico que brinda atención médica a un apersona herida por un arma blanca, herida de bala, accidente de tránsito o por causa de otro tipo de violencia que constituya delito perseguible de oficio o cuando existan indicios de aborto criminal, está obligado a poner el hecho en conocimiento de la autoridad competente”.</w:t>
      </w:r>
    </w:p>
  </w:endnote>
  <w:endnote w:id="89">
    <w:p w14:paraId="16E2BD17" w14:textId="7A0E663E" w:rsidR="00E97E72" w:rsidRPr="00357F51" w:rsidRDefault="00E97E72"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 xml:space="preserve">O’Neil Institute for National and Global Health Law &amp; IPAS (2016), </w:t>
      </w:r>
      <w:hyperlink r:id="rId58">
        <w:r w:rsidRPr="00357F51">
          <w:rPr>
            <w:rFonts w:ascii="Cambria" w:eastAsia="Cambria" w:hAnsi="Cambria" w:cs="Cambria"/>
            <w:i/>
            <w:color w:val="000000"/>
            <w:sz w:val="16"/>
            <w:szCs w:val="16"/>
            <w:u w:val="single"/>
          </w:rPr>
          <w:t>Delatando a las mujeres: el deber de cada prestador/a de servicios de denunciar: implicaciones jurídicas y derechos humanos para los servicios de salud reproductiva en Latinoamérica</w:t>
        </w:r>
      </w:hyperlink>
      <w:r w:rsidRPr="00357F51">
        <w:rPr>
          <w:rFonts w:ascii="Cambria" w:eastAsia="Cambria" w:hAnsi="Cambria" w:cs="Cambria"/>
          <w:color w:val="000000"/>
          <w:sz w:val="16"/>
          <w:szCs w:val="16"/>
        </w:rPr>
        <w:t>. CLACAI, octubre de 2018, pp. 15.</w:t>
      </w:r>
    </w:p>
  </w:endnote>
  <w:endnote w:id="90">
    <w:p w14:paraId="66AB3393" w14:textId="268C338E" w:rsidR="00E97E72" w:rsidRPr="00357F51" w:rsidRDefault="00E97E72"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Corte Interamericana de Derechos Humanos</w:t>
      </w:r>
      <w:r w:rsidRPr="00357F51">
        <w:rPr>
          <w:rFonts w:ascii="Cambria" w:eastAsia="Cambria" w:hAnsi="Cambria" w:cs="Cambria"/>
          <w:i/>
          <w:color w:val="000000"/>
          <w:sz w:val="16"/>
          <w:szCs w:val="16"/>
        </w:rPr>
        <w:t xml:space="preserve">. </w:t>
      </w:r>
      <w:hyperlink r:id="rId59">
        <w:r w:rsidRPr="00357F51">
          <w:rPr>
            <w:rFonts w:ascii="Cambria" w:eastAsia="Cambria" w:hAnsi="Cambria" w:cs="Cambria"/>
            <w:i/>
            <w:color w:val="000000"/>
            <w:sz w:val="16"/>
            <w:szCs w:val="16"/>
            <w:u w:val="single"/>
          </w:rPr>
          <w:t xml:space="preserve">Caso Manuela y otros </w:t>
        </w:r>
        <w:r w:rsidR="00A07270">
          <w:rPr>
            <w:rFonts w:ascii="Cambria" w:eastAsia="Cambria" w:hAnsi="Cambria" w:cs="Cambria"/>
            <w:i/>
            <w:color w:val="000000"/>
            <w:sz w:val="16"/>
            <w:szCs w:val="16"/>
            <w:u w:val="single"/>
          </w:rPr>
          <w:t>c</w:t>
        </w:r>
        <w:r w:rsidRPr="00357F51">
          <w:rPr>
            <w:rFonts w:ascii="Cambria" w:eastAsia="Cambria" w:hAnsi="Cambria" w:cs="Cambria"/>
            <w:i/>
            <w:color w:val="000000"/>
            <w:sz w:val="16"/>
            <w:szCs w:val="16"/>
            <w:u w:val="single"/>
          </w:rPr>
          <w:t>. Salvador.</w:t>
        </w:r>
      </w:hyperlink>
      <w:r w:rsidRPr="00357F51">
        <w:rPr>
          <w:rFonts w:ascii="Cambria" w:eastAsia="Cambria" w:hAnsi="Cambria" w:cs="Cambria"/>
          <w:color w:val="000000"/>
          <w:sz w:val="16"/>
          <w:szCs w:val="16"/>
        </w:rPr>
        <w:t xml:space="preserve"> Serie C 441, sentencia 2 de noviembre de 2021. párr. 223.</w:t>
      </w:r>
    </w:p>
  </w:endnote>
  <w:endnote w:id="91">
    <w:p w14:paraId="306B48D0" w14:textId="03F8391F" w:rsidR="00E97E72" w:rsidRPr="00357F51" w:rsidRDefault="00E97E72" w:rsidP="00357F51">
      <w:pPr>
        <w:pStyle w:val="EndnoteText"/>
        <w:jc w:val="both"/>
        <w:rPr>
          <w:rFonts w:ascii="Cambria" w:hAnsi="Cambria"/>
        </w:rPr>
      </w:pPr>
      <w:r w:rsidRPr="00357F51">
        <w:rPr>
          <w:rStyle w:val="EndnoteReference"/>
          <w:rFonts w:ascii="Cambria" w:hAnsi="Cambria"/>
        </w:rPr>
        <w:endnoteRef/>
      </w:r>
      <w:r w:rsidRPr="00357F51">
        <w:rPr>
          <w:rFonts w:ascii="Cambria" w:hAnsi="Cambria"/>
        </w:rPr>
        <w:t xml:space="preserve"> </w:t>
      </w:r>
      <w:r w:rsidRPr="00357F51">
        <w:rPr>
          <w:rFonts w:ascii="Cambria" w:eastAsia="Cambria" w:hAnsi="Cambria" w:cs="Cambria"/>
          <w:color w:val="000000"/>
          <w:sz w:val="16"/>
          <w:szCs w:val="16"/>
        </w:rPr>
        <w:t>El Comercio. ¿</w:t>
      </w:r>
      <w:hyperlink r:id="rId60">
        <w:r w:rsidRPr="00357F51">
          <w:rPr>
            <w:rFonts w:ascii="Cambria" w:eastAsia="Cambria" w:hAnsi="Cambria" w:cs="Cambria"/>
            <w:i/>
            <w:color w:val="000000"/>
            <w:sz w:val="16"/>
            <w:szCs w:val="16"/>
            <w:u w:val="single"/>
          </w:rPr>
          <w:t>Qué paso con Diana Aleman?</w:t>
        </w:r>
      </w:hyperlink>
      <w:r w:rsidRPr="00357F51">
        <w:rPr>
          <w:rFonts w:ascii="Cambria" w:eastAsia="Cambria" w:hAnsi="Cambria" w:cs="Cambria"/>
          <w:color w:val="000000"/>
          <w:sz w:val="16"/>
          <w:szCs w:val="16"/>
        </w:rPr>
        <w:t>, 10 de agosto de 2020.</w:t>
      </w:r>
    </w:p>
  </w:endnote>
  <w:endnote w:id="92">
    <w:p w14:paraId="10E96772" w14:textId="0DF74EF6" w:rsidR="00E97E72" w:rsidRDefault="00E97E72" w:rsidP="00357F51">
      <w:pPr>
        <w:pStyle w:val="EndnoteText"/>
        <w:jc w:val="both"/>
      </w:pPr>
      <w:r w:rsidRPr="00357F51">
        <w:rPr>
          <w:rStyle w:val="EndnoteReference"/>
          <w:rFonts w:ascii="Cambria" w:hAnsi="Cambria"/>
        </w:rPr>
        <w:endnoteRef/>
      </w:r>
      <w:r w:rsidRPr="00357F51">
        <w:rPr>
          <w:rFonts w:ascii="Cambria" w:hAnsi="Cambria"/>
        </w:rPr>
        <w:t xml:space="preserve"> </w:t>
      </w:r>
      <w:r w:rsidR="00894285" w:rsidRPr="00FA7FC5">
        <w:rPr>
          <w:rFonts w:ascii="Cambria" w:eastAsia="Cambria" w:hAnsi="Cambria" w:cs="Cambria"/>
          <w:color w:val="000000"/>
          <w:sz w:val="16"/>
          <w:szCs w:val="16"/>
        </w:rPr>
        <w:t xml:space="preserve">CEDAW, </w:t>
      </w:r>
      <w:r w:rsidR="00894285" w:rsidRPr="00894285">
        <w:rPr>
          <w:rFonts w:ascii="Cambria" w:eastAsia="Cambria" w:hAnsi="Cambria" w:cs="Cambria"/>
          <w:i/>
          <w:iCs/>
          <w:color w:val="000000"/>
          <w:sz w:val="16"/>
          <w:szCs w:val="16"/>
        </w:rPr>
        <w:t>L.C. c. Perú</w:t>
      </w:r>
      <w:r w:rsidR="00894285" w:rsidRPr="00FA7FC5">
        <w:rPr>
          <w:rFonts w:ascii="Cambria" w:eastAsia="Cambria" w:hAnsi="Cambria" w:cs="Cambria"/>
          <w:color w:val="000000"/>
          <w:sz w:val="16"/>
          <w:szCs w:val="16"/>
        </w:rPr>
        <w:t>, Comunica</w:t>
      </w:r>
      <w:r w:rsidR="00894285">
        <w:rPr>
          <w:rFonts w:ascii="Cambria" w:eastAsia="Cambria" w:hAnsi="Cambria" w:cs="Cambria"/>
          <w:color w:val="000000"/>
          <w:sz w:val="16"/>
          <w:szCs w:val="16"/>
        </w:rPr>
        <w:t>ción</w:t>
      </w:r>
      <w:r w:rsidR="00894285" w:rsidRPr="00FA7FC5">
        <w:rPr>
          <w:rFonts w:ascii="Cambria" w:eastAsia="Cambria" w:hAnsi="Cambria" w:cs="Cambria"/>
          <w:color w:val="000000"/>
          <w:sz w:val="16"/>
          <w:szCs w:val="16"/>
        </w:rPr>
        <w:t>. No. 22/2009. U.N.Doc. CEDAW/C/50/D/22/2009 (2011</w:t>
      </w:r>
      <w:r w:rsidR="00894285">
        <w:rPr>
          <w:rFonts w:ascii="Cambria" w:eastAsia="Cambria" w:hAnsi="Cambria" w:cs="Cambria"/>
          <w:color w:val="000000"/>
          <w:sz w:val="16"/>
          <w:szCs w:val="16"/>
        </w:rPr>
        <w:t>)</w:t>
      </w:r>
      <w:r w:rsidR="00894285" w:rsidRPr="00FA7FC5">
        <w:rPr>
          <w:rFonts w:ascii="Cambria" w:eastAsia="Cambria" w:hAnsi="Cambria" w:cs="Cambria"/>
          <w:color w:val="000000"/>
          <w:sz w:val="16"/>
          <w:szCs w:val="16"/>
        </w:rPr>
        <w:t>, p</w:t>
      </w:r>
      <w:r w:rsidR="00894285">
        <w:rPr>
          <w:rFonts w:ascii="Cambria" w:eastAsia="Cambria" w:hAnsi="Cambria" w:cs="Cambria"/>
          <w:color w:val="000000"/>
          <w:sz w:val="16"/>
          <w:szCs w:val="16"/>
        </w:rPr>
        <w:t>árrafos</w:t>
      </w:r>
      <w:r w:rsidR="00894285" w:rsidRPr="00FA7FC5">
        <w:rPr>
          <w:rFonts w:ascii="Cambria" w:eastAsia="Cambria" w:hAnsi="Cambria" w:cs="Cambria"/>
          <w:color w:val="000000"/>
          <w:sz w:val="16"/>
          <w:szCs w:val="16"/>
        </w:rPr>
        <w:t xml:space="preserve"> 12 b.ii; 12.b.iii.</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89497C95-2F27-4C33-9CEB-0A6B7568EE8E}"/>
    <w:embedBold r:id="rId2" w:fontKey="{FA6A83E4-884D-46B2-96CB-79AE68843CB3}"/>
    <w:embedItalic r:id="rId3" w:fontKey="{AB3CB7AF-1C20-4CC2-90EE-BBE6244CF74D}"/>
    <w:embedBoldItalic r:id="rId4" w:fontKey="{EEA3F02B-F766-4087-A88A-C2E53BA19F71}"/>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embedRegular r:id="rId5" w:fontKey="{42853124-40D3-42D5-9455-F3D662D03486}"/>
  </w:font>
  <w:font w:name="Calibri">
    <w:panose1 w:val="020F0502020204030204"/>
    <w:charset w:val="00"/>
    <w:family w:val="swiss"/>
    <w:pitch w:val="variable"/>
    <w:sig w:usb0="E4002EFF" w:usb1="C000247B" w:usb2="00000009" w:usb3="00000000" w:csb0="000001FF" w:csb1="00000000"/>
    <w:embedRegular r:id="rId6" w:fontKey="{AEFE9EC4-BDD5-4B0A-B0A9-3D687B5603B4}"/>
    <w:embedBold r:id="rId7" w:fontKey="{69330A24-12A9-4E92-8899-447E6A8E0D58}"/>
    <w:embedItalic r:id="rId8" w:fontKey="{D14AC933-B007-497C-BDA9-952FB0735A76}"/>
  </w:font>
  <w:font w:name="Aptos Display">
    <w:charset w:val="00"/>
    <w:family w:val="swiss"/>
    <w:pitch w:val="variable"/>
    <w:sig w:usb0="20000287" w:usb1="00000003" w:usb2="00000000" w:usb3="00000000" w:csb0="0000019F" w:csb1="00000000"/>
    <w:embedRegular r:id="rId9" w:fontKey="{1EA4ADE5-E592-45F1-92A4-2CBA564B5EF6}"/>
  </w:font>
  <w:font w:name="Aptos">
    <w:charset w:val="00"/>
    <w:family w:val="swiss"/>
    <w:pitch w:val="variable"/>
    <w:sig w:usb0="20000287" w:usb1="00000003" w:usb2="00000000" w:usb3="00000000" w:csb0="0000019F" w:csb1="00000000"/>
    <w:embedRegular r:id="rId10" w:fontKey="{AF1AE851-C701-44B6-841A-ABE7F0C233A1}"/>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1" w:fontKey="{BA821F1D-A422-43FC-AA1A-81D8362C94CE}"/>
    <w:embedBold r:id="rId12" w:fontKey="{E59F7DE8-469C-4192-B0EC-5827A801C8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E54AC" w14:textId="77777777" w:rsidR="0041395B" w:rsidRDefault="0020214C">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50CC1">
      <w:rPr>
        <w:noProof/>
        <w:color w:val="000000"/>
      </w:rPr>
      <w:t>1</w:t>
    </w:r>
    <w:r>
      <w:rPr>
        <w:color w:val="000000"/>
      </w:rPr>
      <w:fldChar w:fldCharType="end"/>
    </w:r>
  </w:p>
  <w:p w14:paraId="74932226" w14:textId="77777777" w:rsidR="0041395B" w:rsidRDefault="0041395B">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C554C3" w14:textId="77777777" w:rsidR="00F51CE3" w:rsidRDefault="00F51CE3">
      <w:pPr>
        <w:spacing w:after="0" w:line="240" w:lineRule="auto"/>
      </w:pPr>
      <w:r>
        <w:separator/>
      </w:r>
    </w:p>
  </w:footnote>
  <w:footnote w:type="continuationSeparator" w:id="0">
    <w:p w14:paraId="45EE41DA" w14:textId="77777777" w:rsidR="00F51CE3" w:rsidRDefault="00F51C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F71F9E" w14:textId="413A6F0C" w:rsidR="0041395B" w:rsidRDefault="006A7FF0" w:rsidP="006A7FF0">
    <w:pPr>
      <w:pBdr>
        <w:top w:val="nil"/>
        <w:left w:val="nil"/>
        <w:bottom w:val="nil"/>
        <w:right w:val="nil"/>
        <w:between w:val="nil"/>
      </w:pBdr>
      <w:tabs>
        <w:tab w:val="center" w:pos="4252"/>
        <w:tab w:val="right" w:pos="8504"/>
      </w:tabs>
      <w:spacing w:after="0" w:line="240" w:lineRule="auto"/>
      <w:jc w:val="right"/>
      <w:rPr>
        <w:color w:val="000000"/>
      </w:rPr>
    </w:pPr>
    <w:r>
      <w:rPr>
        <w:noProof/>
        <w:color w:val="000000"/>
      </w:rPr>
      <w:drawing>
        <wp:anchor distT="0" distB="0" distL="114300" distR="114300" simplePos="0" relativeHeight="251661312" behindDoc="0" locked="0" layoutInCell="1" allowOverlap="1" wp14:anchorId="5A5089E5" wp14:editId="1F910F43">
          <wp:simplePos x="0" y="0"/>
          <wp:positionH relativeFrom="margin">
            <wp:posOffset>1720215</wp:posOffset>
          </wp:positionH>
          <wp:positionV relativeFrom="paragraph">
            <wp:posOffset>-363855</wp:posOffset>
          </wp:positionV>
          <wp:extent cx="1143000" cy="1143000"/>
          <wp:effectExtent l="0" t="0" r="0" b="0"/>
          <wp:wrapSquare wrapText="bothSides"/>
          <wp:docPr id="1947608932"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642260"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60288" behindDoc="0" locked="0" layoutInCell="1" allowOverlap="1" wp14:anchorId="584581A5" wp14:editId="4569C99B">
          <wp:simplePos x="0" y="0"/>
          <wp:positionH relativeFrom="column">
            <wp:posOffset>3034665</wp:posOffset>
          </wp:positionH>
          <wp:positionV relativeFrom="paragraph">
            <wp:posOffset>-278130</wp:posOffset>
          </wp:positionV>
          <wp:extent cx="1247775" cy="995680"/>
          <wp:effectExtent l="0" t="0" r="9525" b="0"/>
          <wp:wrapSquare wrapText="bothSides"/>
          <wp:docPr id="1316768385"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23743" name="Imagen 3" descr="Logotipo, nombre de la empres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247775" cy="995680"/>
                  </a:xfrm>
                  <a:prstGeom prst="rect">
                    <a:avLst/>
                  </a:prstGeom>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59264" behindDoc="0" locked="0" layoutInCell="1" allowOverlap="1" wp14:anchorId="0460898B" wp14:editId="6038CFBA">
          <wp:simplePos x="0" y="0"/>
          <wp:positionH relativeFrom="margin">
            <wp:posOffset>4406265</wp:posOffset>
          </wp:positionH>
          <wp:positionV relativeFrom="paragraph">
            <wp:posOffset>-335280</wp:posOffset>
          </wp:positionV>
          <wp:extent cx="1085850" cy="883285"/>
          <wp:effectExtent l="0" t="0" r="0" b="0"/>
          <wp:wrapSquare wrapText="bothSides"/>
          <wp:docPr id="197786456"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85454" name="Imagen 2" descr="Logotip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1085850" cy="883285"/>
                  </a:xfrm>
                  <a:prstGeom prst="rect">
                    <a:avLst/>
                  </a:prstGeom>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58240" behindDoc="0" locked="0" layoutInCell="1" allowOverlap="1" wp14:anchorId="6B1EA26B" wp14:editId="6466F8B8">
          <wp:simplePos x="0" y="0"/>
          <wp:positionH relativeFrom="margin">
            <wp:posOffset>-184785</wp:posOffset>
          </wp:positionH>
          <wp:positionV relativeFrom="paragraph">
            <wp:posOffset>-316230</wp:posOffset>
          </wp:positionV>
          <wp:extent cx="1581150" cy="894080"/>
          <wp:effectExtent l="0" t="0" r="0" b="1270"/>
          <wp:wrapSquare wrapText="bothSides"/>
          <wp:docPr id="1115709039"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072721" name="Imagen 1" descr="Logotipo, nombre de la empresa&#10;&#10;Descripción generada automáticamente"/>
                  <pic:cNvPicPr/>
                </pic:nvPicPr>
                <pic:blipFill>
                  <a:blip r:embed="rId4">
                    <a:extLst>
                      <a:ext uri="{28A0092B-C50C-407E-A947-70E740481C1C}">
                        <a14:useLocalDpi xmlns:a14="http://schemas.microsoft.com/office/drawing/2010/main" val="0"/>
                      </a:ext>
                    </a:extLst>
                  </a:blip>
                  <a:stretch>
                    <a:fillRect/>
                  </a:stretch>
                </pic:blipFill>
                <pic:spPr>
                  <a:xfrm>
                    <a:off x="0" y="0"/>
                    <a:ext cx="1581150" cy="8940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585A"/>
    <w:multiLevelType w:val="multilevel"/>
    <w:tmpl w:val="9ACAA0E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F3B4AC9"/>
    <w:multiLevelType w:val="multilevel"/>
    <w:tmpl w:val="7B0E41B4"/>
    <w:lvl w:ilvl="0">
      <w:start w:val="3"/>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5C44CE5"/>
    <w:multiLevelType w:val="hybridMultilevel"/>
    <w:tmpl w:val="830253D8"/>
    <w:lvl w:ilvl="0" w:tplc="AFF24514">
      <w:numFmt w:val="bullet"/>
      <w:lvlText w:val="-"/>
      <w:lvlJc w:val="left"/>
      <w:pPr>
        <w:ind w:left="720" w:hanging="360"/>
      </w:pPr>
      <w:rPr>
        <w:rFonts w:ascii="Cambria" w:eastAsia="Cambria" w:hAnsi="Cambria" w:cs="Cambri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3E014C"/>
    <w:multiLevelType w:val="multilevel"/>
    <w:tmpl w:val="FF5282CC"/>
    <w:lvl w:ilvl="0">
      <w:start w:val="3"/>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E811E8B"/>
    <w:multiLevelType w:val="multilevel"/>
    <w:tmpl w:val="FD76623A"/>
    <w:lvl w:ilvl="0">
      <w:start w:val="1"/>
      <w:numFmt w:val="decimal"/>
      <w:lvlText w:val="%1."/>
      <w:lvlJc w:val="left"/>
      <w:pPr>
        <w:ind w:left="720" w:hanging="360"/>
      </w:pPr>
      <w:rPr>
        <w:b w:val="0"/>
        <w:i w:val="0"/>
        <w:color w:val="00000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38517BE"/>
    <w:multiLevelType w:val="multilevel"/>
    <w:tmpl w:val="2938BFD8"/>
    <w:lvl w:ilvl="0">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91D08FD"/>
    <w:multiLevelType w:val="hybridMultilevel"/>
    <w:tmpl w:val="EB70C274"/>
    <w:lvl w:ilvl="0" w:tplc="7E38CFEA">
      <w:numFmt w:val="bullet"/>
      <w:lvlText w:val="-"/>
      <w:lvlJc w:val="left"/>
      <w:pPr>
        <w:ind w:left="720" w:hanging="360"/>
      </w:pPr>
      <w:rPr>
        <w:rFonts w:ascii="Cambria" w:eastAsia="Cambria" w:hAnsi="Cambria" w:cs="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431899"/>
    <w:multiLevelType w:val="multilevel"/>
    <w:tmpl w:val="D98A0FF2"/>
    <w:lvl w:ilvl="0">
      <w:start w:val="2"/>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C7239AD"/>
    <w:multiLevelType w:val="multilevel"/>
    <w:tmpl w:val="D608ABE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7DA61B63"/>
    <w:multiLevelType w:val="multilevel"/>
    <w:tmpl w:val="965260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DB31EAB"/>
    <w:multiLevelType w:val="multilevel"/>
    <w:tmpl w:val="8C041FBA"/>
    <w:lvl w:ilvl="0">
      <w:numFmt w:val="bullet"/>
      <w:lvlText w:val="-"/>
      <w:lvlJc w:val="left"/>
      <w:pPr>
        <w:ind w:left="1080" w:hanging="360"/>
      </w:pPr>
      <w:rPr>
        <w:rFonts w:ascii="Cambria" w:eastAsia="Cambria" w:hAnsi="Cambria" w:cs="Cambria"/>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0"/>
  </w:num>
  <w:num w:numId="2">
    <w:abstractNumId w:val="4"/>
  </w:num>
  <w:num w:numId="3">
    <w:abstractNumId w:val="3"/>
  </w:num>
  <w:num w:numId="4">
    <w:abstractNumId w:val="1"/>
  </w:num>
  <w:num w:numId="5">
    <w:abstractNumId w:val="8"/>
  </w:num>
  <w:num w:numId="6">
    <w:abstractNumId w:val="5"/>
  </w:num>
  <w:num w:numId="7">
    <w:abstractNumId w:val="10"/>
  </w:num>
  <w:num w:numId="8">
    <w:abstractNumId w:val="9"/>
  </w:num>
  <w:num w:numId="9">
    <w:abstractNumId w:val="7"/>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embedTrueTypeFonts/>
  <w:documentProtection w:edit="readOnly" w:formatting="1" w:enforcement="1" w:cryptProviderType="rsaAES" w:cryptAlgorithmClass="hash" w:cryptAlgorithmType="typeAny" w:cryptAlgorithmSid="14" w:cryptSpinCount="100000" w:hash="picjw04Y+ELidi91vD5NeKRe4uoEdoUko15kMQpzY11xDy64AV4IBYB4B7rsGXHaIuzkvuwadqt9PvKjytFuQw==" w:salt="291TKs9nK6nqZfEo9zqxC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95B"/>
    <w:rsid w:val="00052A64"/>
    <w:rsid w:val="000D078C"/>
    <w:rsid w:val="000D23E5"/>
    <w:rsid w:val="000F3036"/>
    <w:rsid w:val="00143067"/>
    <w:rsid w:val="0014678B"/>
    <w:rsid w:val="00147F33"/>
    <w:rsid w:val="0019006F"/>
    <w:rsid w:val="001B1527"/>
    <w:rsid w:val="0020214C"/>
    <w:rsid w:val="00235DEA"/>
    <w:rsid w:val="00244EC9"/>
    <w:rsid w:val="002B7A58"/>
    <w:rsid w:val="002C68DF"/>
    <w:rsid w:val="00311D62"/>
    <w:rsid w:val="003165D4"/>
    <w:rsid w:val="0033521C"/>
    <w:rsid w:val="003419FB"/>
    <w:rsid w:val="00350525"/>
    <w:rsid w:val="00357F51"/>
    <w:rsid w:val="003B6DB3"/>
    <w:rsid w:val="003D0B2B"/>
    <w:rsid w:val="003D49E3"/>
    <w:rsid w:val="0041395B"/>
    <w:rsid w:val="00420231"/>
    <w:rsid w:val="004846FD"/>
    <w:rsid w:val="004D1385"/>
    <w:rsid w:val="004E3891"/>
    <w:rsid w:val="00502D6C"/>
    <w:rsid w:val="00521D76"/>
    <w:rsid w:val="00545461"/>
    <w:rsid w:val="005668D6"/>
    <w:rsid w:val="005A3F22"/>
    <w:rsid w:val="005B2EF8"/>
    <w:rsid w:val="005F386D"/>
    <w:rsid w:val="006A2726"/>
    <w:rsid w:val="006A31E3"/>
    <w:rsid w:val="006A7FF0"/>
    <w:rsid w:val="006E1B4C"/>
    <w:rsid w:val="00712A55"/>
    <w:rsid w:val="00766F63"/>
    <w:rsid w:val="00790CBC"/>
    <w:rsid w:val="007C053C"/>
    <w:rsid w:val="007E47DC"/>
    <w:rsid w:val="007E6920"/>
    <w:rsid w:val="00810BB1"/>
    <w:rsid w:val="0081144D"/>
    <w:rsid w:val="00894285"/>
    <w:rsid w:val="008E3590"/>
    <w:rsid w:val="00907530"/>
    <w:rsid w:val="00931226"/>
    <w:rsid w:val="009423D9"/>
    <w:rsid w:val="00946786"/>
    <w:rsid w:val="00966800"/>
    <w:rsid w:val="009D1EAC"/>
    <w:rsid w:val="009D39CD"/>
    <w:rsid w:val="00A07270"/>
    <w:rsid w:val="00A20E26"/>
    <w:rsid w:val="00A26996"/>
    <w:rsid w:val="00A42B42"/>
    <w:rsid w:val="00A455A9"/>
    <w:rsid w:val="00A554A7"/>
    <w:rsid w:val="00AD6CCC"/>
    <w:rsid w:val="00B07882"/>
    <w:rsid w:val="00B257DE"/>
    <w:rsid w:val="00B3581E"/>
    <w:rsid w:val="00B47046"/>
    <w:rsid w:val="00B64788"/>
    <w:rsid w:val="00B754F0"/>
    <w:rsid w:val="00B83501"/>
    <w:rsid w:val="00BA73AC"/>
    <w:rsid w:val="00BB622D"/>
    <w:rsid w:val="00BF1033"/>
    <w:rsid w:val="00C00D21"/>
    <w:rsid w:val="00C33716"/>
    <w:rsid w:val="00C40752"/>
    <w:rsid w:val="00C74CC6"/>
    <w:rsid w:val="00CC16BF"/>
    <w:rsid w:val="00DE76CB"/>
    <w:rsid w:val="00E242DD"/>
    <w:rsid w:val="00E50CC1"/>
    <w:rsid w:val="00E972C0"/>
    <w:rsid w:val="00E97E72"/>
    <w:rsid w:val="00EC283F"/>
    <w:rsid w:val="00ED7B30"/>
    <w:rsid w:val="00EE44B5"/>
    <w:rsid w:val="00F30E6A"/>
    <w:rsid w:val="00F42B89"/>
    <w:rsid w:val="00F51CE3"/>
    <w:rsid w:val="00F91CAE"/>
    <w:rsid w:val="00FC7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9740B"/>
  <w15:docId w15:val="{FA25A59E-EE8C-714F-A018-1E30288F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7DF"/>
    <w:rPr>
      <w:lang w:eastAsia="es-PE"/>
    </w:rPr>
  </w:style>
  <w:style w:type="paragraph" w:styleId="Heading1">
    <w:name w:val="heading 1"/>
    <w:basedOn w:val="Normal"/>
    <w:next w:val="Normal"/>
    <w:link w:val="Heading1Char"/>
    <w:uiPriority w:val="9"/>
    <w:qFormat/>
    <w:rsid w:val="00EA67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67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67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67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7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7D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7D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7D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7D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A67DF"/>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A67DF"/>
    <w:rPr>
      <w:rFonts w:asciiTheme="majorHAnsi" w:eastAsiaTheme="majorEastAsia" w:hAnsiTheme="majorHAnsi" w:cstheme="majorBidi"/>
      <w:color w:val="0F4761" w:themeColor="accent1" w:themeShade="BF"/>
      <w:sz w:val="40"/>
      <w:szCs w:val="40"/>
      <w:lang w:val="es-ES"/>
    </w:rPr>
  </w:style>
  <w:style w:type="character" w:customStyle="1" w:styleId="Heading2Char">
    <w:name w:val="Heading 2 Char"/>
    <w:basedOn w:val="DefaultParagraphFont"/>
    <w:link w:val="Heading2"/>
    <w:uiPriority w:val="9"/>
    <w:semiHidden/>
    <w:rsid w:val="00EA67DF"/>
    <w:rPr>
      <w:rFonts w:asciiTheme="majorHAnsi" w:eastAsiaTheme="majorEastAsia" w:hAnsiTheme="majorHAnsi" w:cstheme="majorBidi"/>
      <w:color w:val="0F4761" w:themeColor="accent1" w:themeShade="BF"/>
      <w:sz w:val="32"/>
      <w:szCs w:val="32"/>
      <w:lang w:val="es-ES"/>
    </w:rPr>
  </w:style>
  <w:style w:type="character" w:customStyle="1" w:styleId="Heading3Char">
    <w:name w:val="Heading 3 Char"/>
    <w:basedOn w:val="DefaultParagraphFont"/>
    <w:link w:val="Heading3"/>
    <w:uiPriority w:val="9"/>
    <w:semiHidden/>
    <w:rsid w:val="00EA67DF"/>
    <w:rPr>
      <w:rFonts w:eastAsiaTheme="majorEastAsia" w:cstheme="majorBidi"/>
      <w:color w:val="0F4761" w:themeColor="accent1" w:themeShade="BF"/>
      <w:sz w:val="28"/>
      <w:szCs w:val="28"/>
      <w:lang w:val="es-ES"/>
    </w:rPr>
  </w:style>
  <w:style w:type="character" w:customStyle="1" w:styleId="Heading4Char">
    <w:name w:val="Heading 4 Char"/>
    <w:basedOn w:val="DefaultParagraphFont"/>
    <w:link w:val="Heading4"/>
    <w:uiPriority w:val="9"/>
    <w:semiHidden/>
    <w:rsid w:val="00EA67DF"/>
    <w:rPr>
      <w:rFonts w:eastAsiaTheme="majorEastAsia" w:cstheme="majorBidi"/>
      <w:i/>
      <w:iCs/>
      <w:color w:val="0F4761" w:themeColor="accent1" w:themeShade="BF"/>
      <w:lang w:val="es-ES"/>
    </w:rPr>
  </w:style>
  <w:style w:type="character" w:customStyle="1" w:styleId="Heading5Char">
    <w:name w:val="Heading 5 Char"/>
    <w:basedOn w:val="DefaultParagraphFont"/>
    <w:link w:val="Heading5"/>
    <w:uiPriority w:val="9"/>
    <w:semiHidden/>
    <w:rsid w:val="00EA67DF"/>
    <w:rPr>
      <w:rFonts w:eastAsiaTheme="majorEastAsia" w:cstheme="majorBidi"/>
      <w:color w:val="0F4761" w:themeColor="accent1" w:themeShade="BF"/>
      <w:lang w:val="es-ES"/>
    </w:rPr>
  </w:style>
  <w:style w:type="character" w:customStyle="1" w:styleId="Heading6Char">
    <w:name w:val="Heading 6 Char"/>
    <w:basedOn w:val="DefaultParagraphFont"/>
    <w:link w:val="Heading6"/>
    <w:uiPriority w:val="9"/>
    <w:semiHidden/>
    <w:rsid w:val="00EA67DF"/>
    <w:rPr>
      <w:rFonts w:eastAsiaTheme="majorEastAsia" w:cstheme="majorBidi"/>
      <w:i/>
      <w:iCs/>
      <w:color w:val="595959" w:themeColor="text1" w:themeTint="A6"/>
      <w:lang w:val="es-ES"/>
    </w:rPr>
  </w:style>
  <w:style w:type="character" w:customStyle="1" w:styleId="Heading7Char">
    <w:name w:val="Heading 7 Char"/>
    <w:basedOn w:val="DefaultParagraphFont"/>
    <w:link w:val="Heading7"/>
    <w:uiPriority w:val="9"/>
    <w:semiHidden/>
    <w:rsid w:val="00EA67DF"/>
    <w:rPr>
      <w:rFonts w:eastAsiaTheme="majorEastAsia" w:cstheme="majorBidi"/>
      <w:color w:val="595959" w:themeColor="text1" w:themeTint="A6"/>
      <w:lang w:val="es-ES"/>
    </w:rPr>
  </w:style>
  <w:style w:type="character" w:customStyle="1" w:styleId="Heading8Char">
    <w:name w:val="Heading 8 Char"/>
    <w:basedOn w:val="DefaultParagraphFont"/>
    <w:link w:val="Heading8"/>
    <w:uiPriority w:val="9"/>
    <w:semiHidden/>
    <w:rsid w:val="00EA67DF"/>
    <w:rPr>
      <w:rFonts w:eastAsiaTheme="majorEastAsia" w:cstheme="majorBidi"/>
      <w:i/>
      <w:iCs/>
      <w:color w:val="272727" w:themeColor="text1" w:themeTint="D8"/>
      <w:lang w:val="es-ES"/>
    </w:rPr>
  </w:style>
  <w:style w:type="character" w:customStyle="1" w:styleId="Heading9Char">
    <w:name w:val="Heading 9 Char"/>
    <w:basedOn w:val="DefaultParagraphFont"/>
    <w:link w:val="Heading9"/>
    <w:uiPriority w:val="9"/>
    <w:semiHidden/>
    <w:rsid w:val="00EA67DF"/>
    <w:rPr>
      <w:rFonts w:eastAsiaTheme="majorEastAsia" w:cstheme="majorBidi"/>
      <w:color w:val="272727" w:themeColor="text1" w:themeTint="D8"/>
      <w:lang w:val="es-ES"/>
    </w:rPr>
  </w:style>
  <w:style w:type="character" w:customStyle="1" w:styleId="TitleChar">
    <w:name w:val="Title Char"/>
    <w:basedOn w:val="DefaultParagraphFont"/>
    <w:link w:val="Title"/>
    <w:uiPriority w:val="10"/>
    <w:rsid w:val="00EA67DF"/>
    <w:rPr>
      <w:rFonts w:asciiTheme="majorHAnsi" w:eastAsiaTheme="majorEastAsia" w:hAnsiTheme="majorHAnsi" w:cstheme="majorBidi"/>
      <w:spacing w:val="-10"/>
      <w:kern w:val="28"/>
      <w:sz w:val="56"/>
      <w:szCs w:val="56"/>
      <w:lang w:val="es-ES"/>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EA67DF"/>
    <w:rPr>
      <w:rFonts w:eastAsiaTheme="majorEastAsia" w:cstheme="majorBidi"/>
      <w:color w:val="595959" w:themeColor="text1" w:themeTint="A6"/>
      <w:spacing w:val="15"/>
      <w:sz w:val="28"/>
      <w:szCs w:val="28"/>
      <w:lang w:val="es-ES"/>
    </w:rPr>
  </w:style>
  <w:style w:type="paragraph" w:styleId="Quote">
    <w:name w:val="Quote"/>
    <w:basedOn w:val="Normal"/>
    <w:next w:val="Normal"/>
    <w:link w:val="QuoteChar"/>
    <w:uiPriority w:val="29"/>
    <w:qFormat/>
    <w:rsid w:val="00EA67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A67DF"/>
    <w:rPr>
      <w:i/>
      <w:iCs/>
      <w:color w:val="404040" w:themeColor="text1" w:themeTint="BF"/>
      <w:lang w:val="es-ES"/>
    </w:rPr>
  </w:style>
  <w:style w:type="paragraph" w:styleId="ListParagraph">
    <w:name w:val="List Paragraph"/>
    <w:aliases w:val="Párrafo de lista1,List Paragraph2,Lista vistosa - Énfasis 11,List Paragraph1,List Paragraph11,List 100s,Fundamentacion,paul2,Bulleted List,Lista 123,Viñeta normal,Cuadro 2-1,Párrafo de lista2,NIVEL ONE,Párrafo de lista3,Titulo 1,Dot pt"/>
    <w:basedOn w:val="Normal"/>
    <w:link w:val="ListParagraphChar"/>
    <w:uiPriority w:val="34"/>
    <w:qFormat/>
    <w:rsid w:val="00EA67DF"/>
    <w:pPr>
      <w:ind w:left="720"/>
      <w:contextualSpacing/>
    </w:pPr>
  </w:style>
  <w:style w:type="character" w:styleId="IntenseEmphasis">
    <w:name w:val="Intense Emphasis"/>
    <w:basedOn w:val="DefaultParagraphFont"/>
    <w:uiPriority w:val="21"/>
    <w:qFormat/>
    <w:rsid w:val="00EA67DF"/>
    <w:rPr>
      <w:i/>
      <w:iCs/>
      <w:color w:val="0F4761" w:themeColor="accent1" w:themeShade="BF"/>
    </w:rPr>
  </w:style>
  <w:style w:type="paragraph" w:styleId="IntenseQuote">
    <w:name w:val="Intense Quote"/>
    <w:basedOn w:val="Normal"/>
    <w:next w:val="Normal"/>
    <w:link w:val="IntenseQuoteChar"/>
    <w:uiPriority w:val="30"/>
    <w:qFormat/>
    <w:rsid w:val="00EA6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7DF"/>
    <w:rPr>
      <w:i/>
      <w:iCs/>
      <w:color w:val="0F4761" w:themeColor="accent1" w:themeShade="BF"/>
      <w:lang w:val="es-ES"/>
    </w:rPr>
  </w:style>
  <w:style w:type="character" w:styleId="IntenseReference">
    <w:name w:val="Intense Reference"/>
    <w:basedOn w:val="DefaultParagraphFont"/>
    <w:uiPriority w:val="32"/>
    <w:qFormat/>
    <w:rsid w:val="00EA67DF"/>
    <w:rPr>
      <w:b/>
      <w:bCs/>
      <w:smallCaps/>
      <w:color w:val="0F4761" w:themeColor="accent1" w:themeShade="BF"/>
      <w:spacing w:val="5"/>
    </w:rPr>
  </w:style>
  <w:style w:type="character" w:customStyle="1" w:styleId="ListParagraphChar">
    <w:name w:val="List Paragraph Char"/>
    <w:aliases w:val="Párrafo de lista1 Char,List Paragraph2 Char,Lista vistosa - Énfasis 11 Char,List Paragraph1 Char,List Paragraph11 Char,List 100s Char,Fundamentacion Char,paul2 Char,Bulleted List Char,Lista 123 Char,Viñeta normal Char,Cuadro 2-1 Char"/>
    <w:link w:val="ListParagraph"/>
    <w:uiPriority w:val="34"/>
    <w:qFormat/>
    <w:locked/>
    <w:rsid w:val="00EA67DF"/>
    <w:rPr>
      <w:lang w:val="es-ES"/>
    </w:rPr>
  </w:style>
  <w:style w:type="character" w:styleId="Hyperlink">
    <w:name w:val="Hyperlink"/>
    <w:basedOn w:val="DefaultParagraphFont"/>
    <w:uiPriority w:val="99"/>
    <w:unhideWhenUsed/>
    <w:rsid w:val="00EA67DF"/>
    <w:rPr>
      <w:color w:val="467886" w:themeColor="hyperlink"/>
      <w:u w:val="single"/>
    </w:rPr>
  </w:style>
  <w:style w:type="paragraph" w:styleId="NormalWeb">
    <w:name w:val="Normal (Web)"/>
    <w:basedOn w:val="Normal"/>
    <w:uiPriority w:val="99"/>
    <w:semiHidden/>
    <w:unhideWhenUsed/>
    <w:rsid w:val="00EA67DF"/>
    <w:pPr>
      <w:widowControl/>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EA67DF"/>
  </w:style>
  <w:style w:type="paragraph" w:styleId="FootnoteText">
    <w:name w:val="footnote text"/>
    <w:basedOn w:val="Normal"/>
    <w:link w:val="FootnoteTextChar"/>
    <w:uiPriority w:val="99"/>
    <w:semiHidden/>
    <w:unhideWhenUsed/>
    <w:rsid w:val="00EA67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67DF"/>
    <w:rPr>
      <w:rFonts w:ascii="Calibri" w:eastAsia="Calibri" w:hAnsi="Calibri" w:cs="Calibri"/>
      <w:sz w:val="20"/>
      <w:szCs w:val="20"/>
      <w:lang w:eastAsia="es-PE"/>
    </w:rPr>
  </w:style>
  <w:style w:type="character" w:styleId="FootnoteReference">
    <w:name w:val="footnote reference"/>
    <w:aliases w:val="4_G,Footnotes refss,Footnote Refernece,Appel note de bas de p.,Footnote Ref,16 Point,Superscript 6 Point,Ref,de nota al pie,Footnote number,ftref,BVI fnr,BVI fnr Car Car,BVI fnr Car,BVI fnr Car Car Car Car,Texto de nota al pie,f,f1,n"/>
    <w:basedOn w:val="DefaultParagraphFont"/>
    <w:link w:val="BVIfnrCar1CarCarCarCar"/>
    <w:uiPriority w:val="99"/>
    <w:unhideWhenUsed/>
    <w:qFormat/>
    <w:rsid w:val="00EA67DF"/>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EA67DF"/>
    <w:pPr>
      <w:widowControl/>
      <w:spacing w:before="200" w:after="160" w:line="240" w:lineRule="exact"/>
    </w:pPr>
    <w:rPr>
      <w:rFonts w:asciiTheme="minorHAnsi" w:eastAsiaTheme="minorHAnsi" w:hAnsiTheme="minorHAnsi" w:cstheme="minorBidi"/>
      <w:sz w:val="24"/>
      <w:szCs w:val="24"/>
      <w:vertAlign w:val="superscript"/>
      <w:lang w:eastAsia="en-US"/>
    </w:rPr>
  </w:style>
  <w:style w:type="paragraph" w:styleId="NoSpacing">
    <w:name w:val="No Spacing"/>
    <w:uiPriority w:val="1"/>
    <w:qFormat/>
    <w:rsid w:val="00EA67DF"/>
    <w:rPr>
      <w:lang w:eastAsia="es-PE"/>
    </w:rPr>
  </w:style>
  <w:style w:type="character" w:styleId="UnresolvedMention">
    <w:name w:val="Unresolved Mention"/>
    <w:basedOn w:val="DefaultParagraphFont"/>
    <w:uiPriority w:val="99"/>
    <w:rsid w:val="00EA67DF"/>
    <w:rPr>
      <w:color w:val="605E5C"/>
      <w:shd w:val="clear" w:color="auto" w:fill="E1DFDD"/>
    </w:rPr>
  </w:style>
  <w:style w:type="character" w:styleId="FollowedHyperlink">
    <w:name w:val="FollowedHyperlink"/>
    <w:basedOn w:val="DefaultParagraphFont"/>
    <w:uiPriority w:val="99"/>
    <w:semiHidden/>
    <w:unhideWhenUsed/>
    <w:rsid w:val="007C6001"/>
    <w:rPr>
      <w:color w:val="96607D" w:themeColor="followedHyperlink"/>
      <w:u w:val="single"/>
    </w:rPr>
  </w:style>
  <w:style w:type="paragraph" w:styleId="Header">
    <w:name w:val="header"/>
    <w:basedOn w:val="Normal"/>
    <w:link w:val="HeaderChar"/>
    <w:uiPriority w:val="99"/>
    <w:unhideWhenUsed/>
    <w:rsid w:val="006A7FF0"/>
    <w:pPr>
      <w:tabs>
        <w:tab w:val="center" w:pos="4252"/>
        <w:tab w:val="right" w:pos="8504"/>
      </w:tabs>
      <w:spacing w:after="0" w:line="240" w:lineRule="auto"/>
    </w:pPr>
  </w:style>
  <w:style w:type="character" w:customStyle="1" w:styleId="HeaderChar">
    <w:name w:val="Header Char"/>
    <w:basedOn w:val="DefaultParagraphFont"/>
    <w:link w:val="Header"/>
    <w:uiPriority w:val="99"/>
    <w:rsid w:val="006A7FF0"/>
    <w:rPr>
      <w:lang w:eastAsia="es-PE"/>
    </w:rPr>
  </w:style>
  <w:style w:type="paragraph" w:styleId="Footer">
    <w:name w:val="footer"/>
    <w:basedOn w:val="Normal"/>
    <w:link w:val="FooterChar"/>
    <w:uiPriority w:val="99"/>
    <w:unhideWhenUsed/>
    <w:rsid w:val="006A7FF0"/>
    <w:pPr>
      <w:tabs>
        <w:tab w:val="center" w:pos="4252"/>
        <w:tab w:val="right" w:pos="8504"/>
      </w:tabs>
      <w:spacing w:after="0" w:line="240" w:lineRule="auto"/>
    </w:pPr>
  </w:style>
  <w:style w:type="character" w:customStyle="1" w:styleId="FooterChar">
    <w:name w:val="Footer Char"/>
    <w:basedOn w:val="DefaultParagraphFont"/>
    <w:link w:val="Footer"/>
    <w:uiPriority w:val="99"/>
    <w:rsid w:val="006A7FF0"/>
    <w:rPr>
      <w:lang w:eastAsia="es-PE"/>
    </w:rPr>
  </w:style>
  <w:style w:type="paragraph" w:styleId="EndnoteText">
    <w:name w:val="endnote text"/>
    <w:basedOn w:val="Normal"/>
    <w:link w:val="EndnoteTextChar"/>
    <w:uiPriority w:val="99"/>
    <w:semiHidden/>
    <w:unhideWhenUsed/>
    <w:rsid w:val="007E692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6920"/>
    <w:rPr>
      <w:sz w:val="20"/>
      <w:szCs w:val="20"/>
      <w:lang w:eastAsia="es-PE"/>
    </w:rPr>
  </w:style>
  <w:style w:type="character" w:styleId="EndnoteReference">
    <w:name w:val="endnote reference"/>
    <w:basedOn w:val="DefaultParagraphFont"/>
    <w:uiPriority w:val="99"/>
    <w:semiHidden/>
    <w:unhideWhenUsed/>
    <w:rsid w:val="007E69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endnotes.xml.rels><?xml version="1.0" encoding="UTF-8" standalone="yes"?>
<Relationships xmlns="http://schemas.openxmlformats.org/package/2006/relationships"><Relationship Id="rId13" Type="http://schemas.openxmlformats.org/officeDocument/2006/relationships/hyperlink" Target="https://saludconlupa.com/entrevistas/el-desconcierto-de-las-embarazadas-que-se-quedaron-sin-controles-prenatales/" TargetMode="External"/><Relationship Id="rId18" Type="http://schemas.openxmlformats.org/officeDocument/2006/relationships/hyperlink" Target="https://twitter.com/Defensoria_Peru/status/1641569862513463296" TargetMode="External"/><Relationship Id="rId26" Type="http://schemas.openxmlformats.org/officeDocument/2006/relationships/hyperlink" Target="https://tesis.pucp.edu.pe/repositorio/bitstream/handle/20.500.12404/13039/RODRIGUEZ_REYES_CREENCIAS_DOCENTES_EL_ENFOQUE_DE_GENERO_EN_LA_EDUCACION_Y_LA_EDUCACION_SEXUAL_EN_SECUNDARIA.pdf?sequence=1&amp;isAllowed=y" TargetMode="External"/><Relationship Id="rId39" Type="http://schemas.openxmlformats.org/officeDocument/2006/relationships/hyperlink" Target="https://webapp.minsa.gob.pe/dwcnv/dwmadrenew.aspx" TargetMode="External"/><Relationship Id="rId21" Type="http://schemas.openxmlformats.org/officeDocument/2006/relationships/hyperlink" Target="https://www.pj.gob.pe/wps/wcm/connect/d90141004a809643af1cefd1306a5ccd/D_Sentencia_P%C3%ADldora_040719.pdf?MOD=AJPERES&amp;CACHEID=d90141004a809643af1cefd1306a5ccd" TargetMode="External"/><Relationship Id="rId34" Type="http://schemas.openxmlformats.org/officeDocument/2006/relationships/hyperlink" Target="https://webapp.minsa.gob.pe/dwcnv/dwmadrenew.aspx" TargetMode="External"/><Relationship Id="rId42" Type="http://schemas.openxmlformats.org/officeDocument/2006/relationships/hyperlink" Target="https://www.google.com/search?rlz=1C1CHBF_esPE859PE859&amp;sxsrf=ALeKk00gkQ3qIjj_Ne988zRyBCZaQ1v8IA:1591274922571&amp;q=J+Balvin+X&amp;stick=H4sIAAAAAAAAAOPgE-LVT9c3NEwzKTLKK7Q0VYJw0w3LCyyLipK11LOTrfRzS4szk_WLUpPzi1Iy89Ljk3NKi0tSi6zSMouKSxQSc5JKcxexcnkpOCXmlGXmKUTsYGUEALtyb0hZAAAA&amp;sa=X&amp;ved=2ahUKEwj9rv-DmejpAhXnGrkGHVmDB8YQmxMoATAFegQIChAD" TargetMode="External"/><Relationship Id="rId47" Type="http://schemas.openxmlformats.org/officeDocument/2006/relationships/hyperlink" Target="https://www.infobae.com/peru/2023/09/10/dia-mundial-para-la-prevencion-del-suicidio-un-tema-tabu-y-el-preocupante-aumento-de-suicidios-en-adolescentes/" TargetMode="External"/><Relationship Id="rId50" Type="http://schemas.openxmlformats.org/officeDocument/2006/relationships/hyperlink" Target="https://promsex.org/wp-content/uploads/2024/07/AbortosTerapeuticosRealizadosEnElPeruEntreEl2014y2023.pdf" TargetMode="External"/><Relationship Id="rId55" Type="http://schemas.openxmlformats.org/officeDocument/2006/relationships/hyperlink" Target="https://larepublica.pe/sociedad/2023/09/27/junin-nina-de-13-anos-fallece-tras-tener-complicaciones-en-labor-de-parto-hospital-manuel-angel-higa-arakaki-satipo-concepcion-lrsd-2592135" TargetMode="External"/><Relationship Id="rId7" Type="http://schemas.openxmlformats.org/officeDocument/2006/relationships/hyperlink" Target="https://www.masigualdad.pe/_files/ugd/4aec54_0c9076de39fb485d9ec1589854b9c624.pdf?index=true" TargetMode="External"/><Relationship Id="rId2" Type="http://schemas.openxmlformats.org/officeDocument/2006/relationships/hyperlink" Target="mailto:info@srigeneva.com" TargetMode="External"/><Relationship Id="rId16" Type="http://schemas.openxmlformats.org/officeDocument/2006/relationships/hyperlink" Target="https://www.elperuano.pe/noticia/174981-prevalencia-en-el-uso-de-anticonceptivos-aumento-al-57-en-los-ultimos-tres-anos" TargetMode="External"/><Relationship Id="rId29" Type="http://schemas.openxmlformats.org/officeDocument/2006/relationships/hyperlink" Target="https://educacionsinretroceso.com" TargetMode="External"/><Relationship Id="rId11" Type="http://schemas.openxmlformats.org/officeDocument/2006/relationships/hyperlink" Target="https://www.paho.org/es/documentos/informe-situacion-salud-migracion-region-americas-enero-2024" TargetMode="External"/><Relationship Id="rId24" Type="http://schemas.openxmlformats.org/officeDocument/2006/relationships/hyperlink" Target="https://www.defensoria.gob.pe/informes/serie-informes-especiales-n-007-2021-dp/" TargetMode="External"/><Relationship Id="rId32" Type="http://schemas.openxmlformats.org/officeDocument/2006/relationships/hyperlink" Target="https://www.defensoria.gob.pe/wp-content/uploads/2019/12/Informe-de-adjuntia-002-2019-PPI-Digital.pdf" TargetMode="External"/><Relationship Id="rId37" Type="http://schemas.openxmlformats.org/officeDocument/2006/relationships/hyperlink" Target="https://peru.unfpa.org/es/news/per%C3%BA-maternidad-en-ni%C3%B1as-entre-10-y-14-a%C3%B1os-creci%C3%B3-14-en-2022" TargetMode="External"/><Relationship Id="rId40" Type="http://schemas.openxmlformats.org/officeDocument/2006/relationships/hyperlink" Target="http://bvs.minsa.gob.pe/local/MINSA/2896.pdf." TargetMode="External"/><Relationship Id="rId45" Type="http://schemas.openxmlformats.org/officeDocument/2006/relationships/hyperlink" Target="http://repositorio.minedu.gob.pe/bitstream/handle/123456789/869/504.%20Per%C3%BA%20Situaci%C3%B3n%20social%20de%20las%20madres%20adolescentes%2C%202007..pdf?sequence=1&amp;isAllowed=y." TargetMode="External"/><Relationship Id="rId53" Type="http://schemas.openxmlformats.org/officeDocument/2006/relationships/hyperlink" Target="https://teleoleo.lamula.pe/2019/03/07/una-nina-muere-por-parir-su-bendicion/leoperezdurand/" TargetMode="External"/><Relationship Id="rId58" Type="http://schemas.openxmlformats.org/officeDocument/2006/relationships/hyperlink" Target="https://clacaidigital.info/bitstream/handle/123456789/790/CRIPPCS16.pdf?sequence=5&amp;isAllowed=y" TargetMode="External"/><Relationship Id="rId5" Type="http://schemas.openxmlformats.org/officeDocument/2006/relationships/hyperlink" Target="https://www.acnur.org/pais/peru" TargetMode="External"/><Relationship Id="rId19" Type="http://schemas.openxmlformats.org/officeDocument/2006/relationships/hyperlink" Target="https://www.defensoria.gob.pe/wp-content/uploads/2019/07/NP-202-19.pdf" TargetMode="External"/><Relationship Id="rId4" Type="http://schemas.openxmlformats.org/officeDocument/2006/relationships/hyperlink" Target="https://www.kas.de/es/web/peru/statische-inhalte-detail/-/content/especial-migracion-venezolana-1" TargetMode="External"/><Relationship Id="rId9" Type="http://schemas.openxmlformats.org/officeDocument/2006/relationships/hyperlink" Target="https://www.savethechildren.org.pe/noticias/peru-113-organizaciones-lanzan-plan-conjunto-para-responder-a-las-necesidades-de-personas-refugiadas-migrantes-y-comunidad-peruana-en-situacion-vulnerable/" TargetMode="External"/><Relationship Id="rId14" Type="http://schemas.openxmlformats.org/officeDocument/2006/relationships/hyperlink" Target="http://www.elperuano.pe/noticia-unfpa-pandemia-incrementaria-40-nacimientos-no-planificados-el-pais-durante-20202021-95439.aspx" TargetMode="External"/><Relationship Id="rId22" Type="http://schemas.openxmlformats.org/officeDocument/2006/relationships/hyperlink" Target="https://ap.ohchr.org/Documents/dpage_e.aspx?si=A/HRC/53/8" TargetMode="External"/><Relationship Id="rId27" Type="http://schemas.openxmlformats.org/officeDocument/2006/relationships/hyperlink" Target="https://promsex.org/wp-content/uploads/2023/11/Progreso-y-Brechas-Cosenso-de-Montevideo.pdf" TargetMode="External"/><Relationship Id="rId30" Type="http://schemas.openxmlformats.org/officeDocument/2006/relationships/hyperlink" Target="https://www.defensoria.gob.pe/defensoria-del-pueblo-situacion-actual-de-embarazo-en-adolescentes-exige-un-mayor-acceso-a-salud-sexual-y-reproductiva-y-educacion-sexual-integral/" TargetMode="External"/><Relationship Id="rId35" Type="http://schemas.openxmlformats.org/officeDocument/2006/relationships/hyperlink" Target="https://webapp.minsa.gob.pe/dwcnv/dwmadrenew.aspx" TargetMode="External"/><Relationship Id="rId43" Type="http://schemas.openxmlformats.org/officeDocument/2006/relationships/hyperlink" Target="https://promsex.org/wp-content/uploads/2015/10/HistoriasParaNoOlvidarSChavez.pdf" TargetMode="External"/><Relationship Id="rId48" Type="http://schemas.openxmlformats.org/officeDocument/2006/relationships/hyperlink" Target="http://bvs.minsa.gob.pe/local/MINSA/3795.pdf." TargetMode="External"/><Relationship Id="rId56" Type="http://schemas.openxmlformats.org/officeDocument/2006/relationships/hyperlink" Target="https://cdn.www.gob.pe/uploads/document/file/309605/Decreto_Supremo_008-2019-SA.PDF" TargetMode="External"/><Relationship Id="rId8" Type="http://schemas.openxmlformats.org/officeDocument/2006/relationships/hyperlink" Target="https://www.acnur.org/sites/default/files/legacy-pdf/636c5ed34.pdf" TargetMode="External"/><Relationship Id="rId51" Type="http://schemas.openxmlformats.org/officeDocument/2006/relationships/hyperlink" Target="https://diariocorreo.pe/edicion/lima/el-drama-de-la-nina-ngrh-tantas-veces-ultrajada-878936/" TargetMode="External"/><Relationship Id="rId3" Type="http://schemas.openxmlformats.org/officeDocument/2006/relationships/hyperlink" Target="https://www.acnur.org/pais/peru" TargetMode="External"/><Relationship Id="rId12" Type="http://schemas.openxmlformats.org/officeDocument/2006/relationships/hyperlink" Target="https://ojo-publico.com/1861/poderes-no-santos" TargetMode="External"/><Relationship Id="rId17" Type="http://schemas.openxmlformats.org/officeDocument/2006/relationships/hyperlink" Target="https://www.defensoria.gob.pe/wp-content/uploads/2018/05/05.-Distribucion-de-AOE-26-08-16.pdf" TargetMode="External"/><Relationship Id="rId25" Type="http://schemas.openxmlformats.org/officeDocument/2006/relationships/hyperlink" Target="https://www.guttmacher.org/sites/default/files/report_pdf/de-la-normativa-a-la-practica-educacion-sexual-peru.pdf" TargetMode="External"/><Relationship Id="rId33" Type="http://schemas.openxmlformats.org/officeDocument/2006/relationships/hyperlink" Target="https://www.gob.pe/inei/" TargetMode="External"/><Relationship Id="rId38" Type="http://schemas.openxmlformats.org/officeDocument/2006/relationships/hyperlink" Target="https://www.defensoria.gob.pe/defensoria-del-pueblo-estado-debe-fortalecer-servicios-de-salud-sexual-y-reproductiva/" TargetMode="External"/><Relationship Id="rId46" Type="http://schemas.openxmlformats.org/officeDocument/2006/relationships/hyperlink" Target="http://repositorio.minedu.gob.pe/bitstream/handle/123456789/869/504.%20Per%C3%BA%20Situaci%C3%B3n%20social%20de%20las%20madres%20adolescentes%2C%202007..pdf?sequence=1&amp;isAllowed=y." TargetMode="External"/><Relationship Id="rId59" Type="http://schemas.openxmlformats.org/officeDocument/2006/relationships/hyperlink" Target="https://www.corteidh.or.cr/docs/casos/articulos/seriec_441_esp.pdf" TargetMode="External"/><Relationship Id="rId20" Type="http://schemas.openxmlformats.org/officeDocument/2006/relationships/hyperlink" Target="https://tc.gob.pe/jurisprudencia/2009/02005-2009-AA.pdf" TargetMode="External"/><Relationship Id="rId41" Type="http://schemas.openxmlformats.org/officeDocument/2006/relationships/hyperlink" Target="https://larepublica.pe/sociedad/2023/09/27/junin-nina-de-13-anos-fallece-tras-tener-complicaciones-en-labor-de-parto-hospital-manuel-angel-higa-arakaki-satipo-concepcion-lrsd-2592135" TargetMode="External"/><Relationship Id="rId54" Type="http://schemas.openxmlformats.org/officeDocument/2006/relationships/hyperlink" Target="https://saludconlupa.com/genero/aumentan-las-nias-madres-ante-las-barreras-para-el-aborto-teraputico/" TargetMode="External"/><Relationship Id="rId1" Type="http://schemas.openxmlformats.org/officeDocument/2006/relationships/hyperlink" Target="https://sexualrightsinitiative.com/" TargetMode="External"/><Relationship Id="rId6" Type="http://schemas.openxmlformats.org/officeDocument/2006/relationships/hyperlink" Target="https://www.defensoria.gob.pe/wp-content/uploads/2018/12/Informe-Defensorial-N%C2%B0-007-2018-DPADHPD-" TargetMode="External"/><Relationship Id="rId15" Type="http://schemas.openxmlformats.org/officeDocument/2006/relationships/hyperlink" Target="https://www.acnur.org/sites/default/files/legacy-pdf/636c5ed34.pdf" TargetMode="External"/><Relationship Id="rId23" Type="http://schemas.openxmlformats.org/officeDocument/2006/relationships/hyperlink" Target="https://legis.pe/wp-content/uploads/2017/08/PJ-anula-en-parte-enfoque-de-igualdad-de-g%C3%A9nero-del-curr%C3%ADculo-escolar-Legis.pe_.pdf" TargetMode="External"/><Relationship Id="rId28" Type="http://schemas.openxmlformats.org/officeDocument/2006/relationships/hyperlink" Target="https://busquedas.elperuano.pe/normaslegales/ley-que-impulsa-la-calidad-de-los-materiales-y-recursos-educ-ley-n-31498-2080217-1/" TargetMode="External"/><Relationship Id="rId36" Type="http://schemas.openxmlformats.org/officeDocument/2006/relationships/hyperlink" Target="https://webapp.minsa.gob.pe/dwcnv/dwmadrenew.aspx" TargetMode="External"/><Relationship Id="rId49" Type="http://schemas.openxmlformats.org/officeDocument/2006/relationships/hyperlink" Target="https://saludconlupa.com/genero/aumentan-las-nias-madres-ante-las-barreras-para-el-aborto-teraputico/" TargetMode="External"/><Relationship Id="rId57" Type="http://schemas.openxmlformats.org/officeDocument/2006/relationships/hyperlink" Target="https://saludconlupa.com/series/perseguidas-por-abortar/de-la-sala-de-emergencias-al-juzgado-por-un-aborto/" TargetMode="External"/><Relationship Id="rId10" Type="http://schemas.openxmlformats.org/officeDocument/2006/relationships/hyperlink" Target="https://www.paho.org/es/documentos/informe-situacion-salud-migracion-region-americas-enero-2024" TargetMode="External"/><Relationship Id="rId31" Type="http://schemas.openxmlformats.org/officeDocument/2006/relationships/hyperlink" Target="http://chirapaq.org.pe/es/wp-content/uploads/sites/3/2021/04/reporte-nacional-violencia.pdf" TargetMode="External"/><Relationship Id="rId44" Type="http://schemas.openxmlformats.org/officeDocument/2006/relationships/hyperlink" Target="https://www.dge.gob.pe/epipublic/uploads/boletin/boletin_202252_31_153743.pdf" TargetMode="External"/><Relationship Id="rId52" Type="http://schemas.openxmlformats.org/officeDocument/2006/relationships/hyperlink" Target="https://diariocorreo.pe/edicion/lima/el-drama-de-la-nina-ngrh-tantas-veces-ultrajada-878936/" TargetMode="External"/><Relationship Id="rId60" Type="http://schemas.openxmlformats.org/officeDocument/2006/relationships/hyperlink" Target="https://elcomercio.pe/lima/sucesos/que-paso-con-diana-aleman-piden-esclarecer-muerte-de-mujer-en-hospital-maria-auxiliadora-noticia/"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jpg"/><Relationship Id="rId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2024-11-06T15:55:40Z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35FPUUxzmfSRcpHAzZZB/xgZeQ==">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</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CAE09-ED16-4B33-A2EA-D161726BFDAA}">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60B42C00-FC2C-429F-90B9-C2EE8BD2304A}">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C59016C4-860B-4709-ABF1-50C8F0AE5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81BD0F2-39C7-8F45-9BF4-BA23421A7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5514</Words>
  <Characters>31433</Characters>
  <Application>Microsoft Office Word</Application>
  <DocSecurity>8</DocSecurity>
  <Lines>261</Lines>
  <Paragraphs>73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elida guerra V.</dc:creator>
  <cp:lastModifiedBy>CMW</cp:lastModifiedBy>
  <cp:revision>3</cp:revision>
  <dcterms:created xsi:type="dcterms:W3CDTF">2024-10-31T03:49:00Z</dcterms:created>
  <dcterms:modified xsi:type="dcterms:W3CDTF">2024-11-07T10:00:00Z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