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7B44C" w14:textId="0B1B9C48" w:rsidR="00BC622E" w:rsidRPr="00D134EB" w:rsidRDefault="00BC622E" w:rsidP="00BC622E">
      <w:pPr>
        <w:pStyle w:val="Ttulo1"/>
        <w:spacing w:line="360" w:lineRule="auto"/>
        <w:rPr>
          <w:rFonts w:ascii="Times New Roman" w:hAnsi="Times New Roman" w:cs="Times New Roman"/>
          <w:b/>
          <w:bCs/>
          <w:color w:val="auto"/>
          <w:sz w:val="36"/>
          <w:szCs w:val="36"/>
        </w:rPr>
      </w:pPr>
    </w:p>
    <w:p w14:paraId="3D471BB2" w14:textId="77777777" w:rsidR="00301CCD" w:rsidRPr="00D134EB" w:rsidRDefault="00301CCD" w:rsidP="00301CCD">
      <w:pPr>
        <w:rPr>
          <w:rFonts w:ascii="Times New Roman" w:hAnsi="Times New Roman" w:cs="Times New Roman"/>
        </w:rPr>
      </w:pPr>
    </w:p>
    <w:p w14:paraId="2A0E9FE1" w14:textId="0C22ABDB" w:rsidR="00BC622E" w:rsidRPr="00D134EB" w:rsidRDefault="00BC622E" w:rsidP="00BC622E">
      <w:pPr>
        <w:jc w:val="center"/>
        <w:rPr>
          <w:rFonts w:ascii="Times New Roman" w:hAnsi="Times New Roman" w:cs="Times New Roman"/>
          <w:b/>
          <w:bCs/>
          <w:sz w:val="36"/>
          <w:szCs w:val="36"/>
          <w:lang w:val="es-ES"/>
        </w:rPr>
      </w:pPr>
      <w:bookmarkStart w:id="0" w:name="_Toc116679731"/>
      <w:r w:rsidRPr="00D134EB">
        <w:rPr>
          <w:rFonts w:ascii="Times New Roman" w:hAnsi="Times New Roman" w:cs="Times New Roman"/>
          <w:b/>
          <w:bCs/>
          <w:sz w:val="36"/>
          <w:szCs w:val="36"/>
          <w:lang w:val="es-ES"/>
        </w:rPr>
        <w:t>DOCUMENTO DE ANEXOS</w:t>
      </w:r>
      <w:bookmarkEnd w:id="0"/>
    </w:p>
    <w:p w14:paraId="52F94B66"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4999B3D6"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75282FED"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017461B6" w14:textId="733C82E0" w:rsidR="00BC622E" w:rsidRPr="00D134EB" w:rsidRDefault="00BC622E" w:rsidP="00BC622E">
      <w:pPr>
        <w:jc w:val="center"/>
        <w:rPr>
          <w:rFonts w:ascii="Times New Roman" w:hAnsi="Times New Roman" w:cs="Times New Roman"/>
          <w:b/>
          <w:bCs/>
          <w:sz w:val="36"/>
          <w:szCs w:val="36"/>
          <w:lang w:val="es-ES"/>
        </w:rPr>
      </w:pPr>
      <w:r w:rsidRPr="00D134EB">
        <w:rPr>
          <w:rFonts w:ascii="Times New Roman" w:hAnsi="Times New Roman" w:cs="Times New Roman"/>
          <w:b/>
          <w:bCs/>
          <w:sz w:val="36"/>
          <w:szCs w:val="36"/>
          <w:lang w:val="es-ES"/>
        </w:rPr>
        <w:t>SÉPTIMO INFORME PERIÓDICO CONVENCIONAL DE LA REPÚBLICA DE COLOMBIA</w:t>
      </w:r>
    </w:p>
    <w:p w14:paraId="542F52D3"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4D9A2CFC"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147A9AF5" w14:textId="77777777" w:rsidR="00BC622E" w:rsidRPr="00D134EB" w:rsidRDefault="00BC622E" w:rsidP="00C1215B">
      <w:pPr>
        <w:pStyle w:val="Ttulo1"/>
        <w:spacing w:line="360" w:lineRule="auto"/>
        <w:jc w:val="center"/>
        <w:rPr>
          <w:rFonts w:ascii="Times New Roman" w:hAnsi="Times New Roman" w:cs="Times New Roman"/>
          <w:b/>
          <w:bCs/>
          <w:color w:val="auto"/>
          <w:sz w:val="24"/>
          <w:szCs w:val="24"/>
        </w:rPr>
      </w:pPr>
    </w:p>
    <w:p w14:paraId="79F26431" w14:textId="77777777" w:rsidR="00BC622E" w:rsidRPr="00D134EB" w:rsidRDefault="00BC622E" w:rsidP="00BC622E">
      <w:pPr>
        <w:pStyle w:val="Ttulo1"/>
        <w:spacing w:line="360" w:lineRule="auto"/>
        <w:rPr>
          <w:rFonts w:ascii="Times New Roman" w:hAnsi="Times New Roman" w:cs="Times New Roman"/>
          <w:b/>
          <w:bCs/>
          <w:color w:val="auto"/>
          <w:sz w:val="24"/>
          <w:szCs w:val="24"/>
        </w:rPr>
      </w:pPr>
    </w:p>
    <w:p w14:paraId="3243ED60" w14:textId="7EACA9DC" w:rsidR="00BC622E" w:rsidRPr="00D134EB" w:rsidRDefault="00BC622E" w:rsidP="00BC622E">
      <w:pPr>
        <w:pStyle w:val="Ttulo1"/>
        <w:spacing w:line="360" w:lineRule="auto"/>
        <w:rPr>
          <w:rFonts w:ascii="Times New Roman" w:hAnsi="Times New Roman" w:cs="Times New Roman"/>
          <w:b/>
          <w:bCs/>
          <w:color w:val="auto"/>
          <w:sz w:val="24"/>
          <w:szCs w:val="24"/>
        </w:rPr>
      </w:pPr>
    </w:p>
    <w:p w14:paraId="40FD4A05" w14:textId="500D6746" w:rsidR="00BC622E" w:rsidRPr="00D134EB" w:rsidRDefault="00BC622E" w:rsidP="00BC622E">
      <w:pPr>
        <w:rPr>
          <w:rFonts w:ascii="Times New Roman" w:hAnsi="Times New Roman" w:cs="Times New Roman"/>
        </w:rPr>
      </w:pPr>
    </w:p>
    <w:p w14:paraId="2D3FD0E2" w14:textId="043D2986" w:rsidR="00BC622E" w:rsidRPr="00D134EB" w:rsidRDefault="00BC622E" w:rsidP="00BC622E">
      <w:pPr>
        <w:rPr>
          <w:rFonts w:ascii="Times New Roman" w:hAnsi="Times New Roman" w:cs="Times New Roman"/>
        </w:rPr>
      </w:pPr>
    </w:p>
    <w:p w14:paraId="396EAEBB" w14:textId="6632067C" w:rsidR="00BC622E" w:rsidRPr="00D134EB" w:rsidRDefault="00BC622E" w:rsidP="00BC622E">
      <w:pPr>
        <w:rPr>
          <w:rFonts w:ascii="Times New Roman" w:hAnsi="Times New Roman" w:cs="Times New Roman"/>
        </w:rPr>
      </w:pPr>
    </w:p>
    <w:p w14:paraId="282FB8FC" w14:textId="49D871A4" w:rsidR="00BC622E" w:rsidRPr="00D134EB" w:rsidRDefault="00BC622E" w:rsidP="00BC622E">
      <w:pPr>
        <w:rPr>
          <w:rFonts w:ascii="Times New Roman" w:hAnsi="Times New Roman" w:cs="Times New Roman"/>
        </w:rPr>
      </w:pPr>
    </w:p>
    <w:p w14:paraId="0F8C6F1B" w14:textId="198F2013" w:rsidR="00BC622E" w:rsidRPr="00D134EB" w:rsidRDefault="00BC622E" w:rsidP="00BC622E">
      <w:pPr>
        <w:rPr>
          <w:rFonts w:ascii="Times New Roman" w:hAnsi="Times New Roman" w:cs="Times New Roman"/>
        </w:rPr>
      </w:pPr>
    </w:p>
    <w:p w14:paraId="22CE3466" w14:textId="5BBCE912" w:rsidR="00BC622E" w:rsidRPr="00D134EB" w:rsidRDefault="00BC622E" w:rsidP="00BC622E">
      <w:pPr>
        <w:rPr>
          <w:rFonts w:ascii="Times New Roman" w:hAnsi="Times New Roman" w:cs="Times New Roman"/>
        </w:rPr>
      </w:pPr>
    </w:p>
    <w:p w14:paraId="79464455" w14:textId="048FA779" w:rsidR="00BC622E" w:rsidRPr="00D134EB" w:rsidRDefault="00BC622E" w:rsidP="00BC622E">
      <w:pPr>
        <w:rPr>
          <w:rFonts w:ascii="Times New Roman" w:hAnsi="Times New Roman" w:cs="Times New Roman"/>
        </w:rPr>
      </w:pPr>
    </w:p>
    <w:p w14:paraId="16188156" w14:textId="45267272" w:rsidR="001A2269" w:rsidRPr="00D134EB" w:rsidRDefault="001A2269" w:rsidP="00BC622E">
      <w:pPr>
        <w:rPr>
          <w:rFonts w:ascii="Times New Roman" w:hAnsi="Times New Roman" w:cs="Times New Roman"/>
        </w:rPr>
      </w:pPr>
    </w:p>
    <w:p w14:paraId="6F014DB6" w14:textId="200F3834" w:rsidR="001A2269" w:rsidRPr="00D134EB" w:rsidRDefault="001A2269" w:rsidP="00BC622E">
      <w:pPr>
        <w:rPr>
          <w:rFonts w:ascii="Times New Roman" w:hAnsi="Times New Roman" w:cs="Times New Roman"/>
        </w:rPr>
      </w:pPr>
    </w:p>
    <w:p w14:paraId="02EBEAC0" w14:textId="77777777" w:rsidR="001A2269" w:rsidRPr="00D134EB" w:rsidRDefault="001A2269" w:rsidP="00BC622E">
      <w:pPr>
        <w:rPr>
          <w:rFonts w:ascii="Times New Roman" w:hAnsi="Times New Roman" w:cs="Times New Roman"/>
        </w:rPr>
      </w:pPr>
    </w:p>
    <w:p w14:paraId="78E93590" w14:textId="77777777" w:rsidR="007F7C8A" w:rsidRPr="00D134EB" w:rsidRDefault="007F7C8A" w:rsidP="00BC622E">
      <w:pPr>
        <w:rPr>
          <w:rFonts w:ascii="Times New Roman" w:hAnsi="Times New Roman" w:cs="Times New Roman"/>
        </w:rPr>
      </w:pPr>
    </w:p>
    <w:p w14:paraId="0E181C64" w14:textId="77777777" w:rsidR="007F7C8A" w:rsidRPr="00D134EB" w:rsidRDefault="007F7C8A" w:rsidP="007F7C8A">
      <w:pPr>
        <w:jc w:val="center"/>
        <w:rPr>
          <w:rFonts w:ascii="Times New Roman" w:hAnsi="Times New Roman" w:cs="Times New Roman"/>
          <w:b/>
          <w:bCs/>
          <w:sz w:val="28"/>
          <w:szCs w:val="28"/>
        </w:rPr>
      </w:pPr>
      <w:r w:rsidRPr="00D134EB">
        <w:rPr>
          <w:rFonts w:ascii="Times New Roman" w:hAnsi="Times New Roman" w:cs="Times New Roman"/>
          <w:b/>
          <w:bCs/>
          <w:sz w:val="28"/>
          <w:szCs w:val="28"/>
        </w:rPr>
        <w:t>Bogotá D.C. 31 de octubre de 2022</w:t>
      </w:r>
    </w:p>
    <w:sdt>
      <w:sdtPr>
        <w:rPr>
          <w:rFonts w:ascii="Times New Roman" w:eastAsiaTheme="minorHAnsi" w:hAnsi="Times New Roman" w:cs="Times New Roman"/>
          <w:b w:val="0"/>
          <w:bCs w:val="0"/>
          <w:color w:val="auto"/>
          <w:sz w:val="22"/>
          <w:szCs w:val="22"/>
          <w:lang w:val="es-ES" w:eastAsia="en-US"/>
        </w:rPr>
        <w:id w:val="-465501786"/>
        <w:docPartObj>
          <w:docPartGallery w:val="Table of Contents"/>
          <w:docPartUnique/>
        </w:docPartObj>
      </w:sdtPr>
      <w:sdtEndPr>
        <w:rPr>
          <w:noProof/>
          <w:lang w:val="es-CO"/>
        </w:rPr>
      </w:sdtEndPr>
      <w:sdtContent>
        <w:p w14:paraId="6BFE5593" w14:textId="55A18840" w:rsidR="00301CCD" w:rsidRPr="00D134EB" w:rsidRDefault="00301CCD" w:rsidP="0041647A">
          <w:pPr>
            <w:pStyle w:val="TtuloTDC"/>
            <w:jc w:val="center"/>
            <w:rPr>
              <w:rFonts w:ascii="Times New Roman" w:hAnsi="Times New Roman" w:cs="Times New Roman"/>
              <w:color w:val="auto"/>
              <w:lang w:val="es-ES"/>
            </w:rPr>
          </w:pPr>
          <w:r w:rsidRPr="00D134EB">
            <w:rPr>
              <w:rFonts w:ascii="Times New Roman" w:hAnsi="Times New Roman" w:cs="Times New Roman"/>
              <w:color w:val="auto"/>
              <w:lang w:val="es-ES"/>
            </w:rPr>
            <w:t>Tabla de contenido</w:t>
          </w:r>
        </w:p>
        <w:p w14:paraId="30F4E275" w14:textId="77777777" w:rsidR="0041647A" w:rsidRPr="00D134EB" w:rsidRDefault="0041647A" w:rsidP="0041647A">
          <w:pPr>
            <w:rPr>
              <w:rFonts w:ascii="Times New Roman" w:hAnsi="Times New Roman" w:cs="Times New Roman"/>
              <w:lang w:val="es-ES" w:eastAsia="es-ES_tradnl"/>
            </w:rPr>
          </w:pPr>
        </w:p>
        <w:p w14:paraId="6F532337" w14:textId="0DB6DE4D" w:rsidR="00392009" w:rsidRPr="00D134EB" w:rsidRDefault="00301CCD">
          <w:pPr>
            <w:pStyle w:val="TDC1"/>
            <w:tabs>
              <w:tab w:val="right" w:leader="dot" w:pos="8828"/>
            </w:tabs>
            <w:rPr>
              <w:rFonts w:ascii="Times New Roman" w:eastAsiaTheme="minorEastAsia" w:hAnsi="Times New Roman" w:cs="Times New Roman"/>
              <w:b w:val="0"/>
              <w:bCs w:val="0"/>
              <w:i w:val="0"/>
              <w:iCs w:val="0"/>
              <w:noProof/>
              <w:lang w:eastAsia="es-ES_tradnl"/>
            </w:rPr>
          </w:pPr>
          <w:r w:rsidRPr="00D134EB">
            <w:rPr>
              <w:rFonts w:ascii="Times New Roman" w:hAnsi="Times New Roman" w:cs="Times New Roman"/>
              <w:b w:val="0"/>
              <w:bCs w:val="0"/>
              <w:i w:val="0"/>
              <w:iCs w:val="0"/>
            </w:rPr>
            <w:fldChar w:fldCharType="begin"/>
          </w:r>
          <w:r w:rsidRPr="00D134EB">
            <w:rPr>
              <w:rFonts w:ascii="Times New Roman" w:hAnsi="Times New Roman" w:cs="Times New Roman"/>
              <w:i w:val="0"/>
              <w:iCs w:val="0"/>
            </w:rPr>
            <w:instrText>TOC \o "1-3" \h \z \u</w:instrText>
          </w:r>
          <w:r w:rsidRPr="00D134EB">
            <w:rPr>
              <w:rFonts w:ascii="Times New Roman" w:hAnsi="Times New Roman" w:cs="Times New Roman"/>
              <w:b w:val="0"/>
              <w:bCs w:val="0"/>
              <w:i w:val="0"/>
              <w:iCs w:val="0"/>
            </w:rPr>
            <w:fldChar w:fldCharType="separate"/>
          </w:r>
          <w:hyperlink w:anchor="_Toc116977708" w:history="1">
            <w:r w:rsidR="00392009" w:rsidRPr="00D134EB">
              <w:rPr>
                <w:rStyle w:val="Hipervnculo"/>
                <w:rFonts w:ascii="Times New Roman" w:hAnsi="Times New Roman" w:cs="Times New Roman"/>
                <w:i w:val="0"/>
                <w:iCs w:val="0"/>
                <w:noProof/>
              </w:rPr>
              <w:t>Anexo 1. Ministerio de Trabajo</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_Toc116977708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3</w:t>
            </w:r>
            <w:r w:rsidR="00392009" w:rsidRPr="00D134EB">
              <w:rPr>
                <w:rFonts w:ascii="Times New Roman" w:hAnsi="Times New Roman" w:cs="Times New Roman"/>
                <w:i w:val="0"/>
                <w:iCs w:val="0"/>
                <w:noProof/>
                <w:webHidden/>
              </w:rPr>
              <w:fldChar w:fldCharType="end"/>
            </w:r>
          </w:hyperlink>
        </w:p>
        <w:p w14:paraId="637ADF27" w14:textId="26F285E2"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09" w:history="1">
            <w:r w:rsidR="00392009" w:rsidRPr="00D134EB">
              <w:rPr>
                <w:rStyle w:val="Hipervnculo"/>
                <w:rFonts w:ascii="Times New Roman" w:hAnsi="Times New Roman" w:cs="Times New Roman"/>
                <w:i w:val="0"/>
                <w:iCs w:val="0"/>
                <w:noProof/>
              </w:rPr>
              <w:t>Anexo 2. Instituto Colombiano de Bienestar Familiar – ICBF.</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_Toc116977709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6</w:t>
            </w:r>
            <w:r w:rsidR="00392009" w:rsidRPr="00D134EB">
              <w:rPr>
                <w:rFonts w:ascii="Times New Roman" w:hAnsi="Times New Roman" w:cs="Times New Roman"/>
                <w:i w:val="0"/>
                <w:iCs w:val="0"/>
                <w:noProof/>
                <w:webHidden/>
              </w:rPr>
              <w:fldChar w:fldCharType="end"/>
            </w:r>
          </w:hyperlink>
        </w:p>
        <w:p w14:paraId="7BCFC3D7" w14:textId="43B2D0F5"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0" w:history="1">
            <w:r w:rsidR="00392009" w:rsidRPr="00D134EB">
              <w:rPr>
                <w:rStyle w:val="Hipervnculo"/>
                <w:rFonts w:ascii="Times New Roman" w:hAnsi="Times New Roman" w:cs="Times New Roman"/>
                <w:i w:val="0"/>
                <w:iCs w:val="0"/>
                <w:noProof/>
              </w:rPr>
              <w:t>Anexo 3. Departamento para la Prosperidad Social</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_Toc116977710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10</w:t>
            </w:r>
            <w:r w:rsidR="00392009" w:rsidRPr="00D134EB">
              <w:rPr>
                <w:rFonts w:ascii="Times New Roman" w:hAnsi="Times New Roman" w:cs="Times New Roman"/>
                <w:i w:val="0"/>
                <w:iCs w:val="0"/>
                <w:noProof/>
                <w:webHidden/>
              </w:rPr>
              <w:fldChar w:fldCharType="end"/>
            </w:r>
          </w:hyperlink>
        </w:p>
        <w:p w14:paraId="6C9905CA" w14:textId="349D57F5"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1" w:history="1">
            <w:r w:rsidR="00392009" w:rsidRPr="00D134EB">
              <w:rPr>
                <w:rStyle w:val="Hipervnculo"/>
                <w:rFonts w:ascii="Times New Roman" w:hAnsi="Times New Roman" w:cs="Times New Roman"/>
                <w:i w:val="0"/>
                <w:iCs w:val="0"/>
                <w:noProof/>
              </w:rPr>
              <w:t>Anexo 4. Ministerio de Ciencia, Tecnología e Innovación</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_Toc116977711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11</w:t>
            </w:r>
            <w:r w:rsidR="00392009" w:rsidRPr="00D134EB">
              <w:rPr>
                <w:rFonts w:ascii="Times New Roman" w:hAnsi="Times New Roman" w:cs="Times New Roman"/>
                <w:i w:val="0"/>
                <w:iCs w:val="0"/>
                <w:noProof/>
                <w:webHidden/>
              </w:rPr>
              <w:fldChar w:fldCharType="end"/>
            </w:r>
          </w:hyperlink>
        </w:p>
        <w:p w14:paraId="45800BCC" w14:textId="38C035BD"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2" w:history="1">
            <w:r w:rsidR="00392009" w:rsidRPr="00D134EB">
              <w:rPr>
                <w:rStyle w:val="Hipervnculo"/>
                <w:rFonts w:ascii="Times New Roman" w:hAnsi="Times New Roman" w:cs="Times New Roman"/>
                <w:i w:val="0"/>
                <w:iCs w:val="0"/>
                <w:noProof/>
              </w:rPr>
              <w:t>Anexo 5. Comisión Intersectorial de Seguridad Alimentaria y Nutricional (CISAN)</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_Toc116977712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15</w:t>
            </w:r>
            <w:r w:rsidR="00392009" w:rsidRPr="00D134EB">
              <w:rPr>
                <w:rFonts w:ascii="Times New Roman" w:hAnsi="Times New Roman" w:cs="Times New Roman"/>
                <w:i w:val="0"/>
                <w:iCs w:val="0"/>
                <w:noProof/>
                <w:webHidden/>
              </w:rPr>
              <w:fldChar w:fldCharType="end"/>
            </w:r>
          </w:hyperlink>
        </w:p>
        <w:p w14:paraId="5C515CDC" w14:textId="1396DC7B"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3" w:history="1">
            <w:r w:rsidR="00392009" w:rsidRPr="00D134EB">
              <w:rPr>
                <w:rStyle w:val="Hipervnculo"/>
                <w:rFonts w:ascii="Times New Roman" w:hAnsi="Times New Roman" w:cs="Times New Roman"/>
                <w:i w:val="0"/>
                <w:iCs w:val="0"/>
                <w:noProof/>
              </w:rPr>
              <w:t>Anexo 6. Departamento Administrativo Nacional de Estadística</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_Toc116977713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17</w:t>
            </w:r>
            <w:r w:rsidR="00392009" w:rsidRPr="00D134EB">
              <w:rPr>
                <w:rFonts w:ascii="Times New Roman" w:hAnsi="Times New Roman" w:cs="Times New Roman"/>
                <w:i w:val="0"/>
                <w:iCs w:val="0"/>
                <w:noProof/>
                <w:webHidden/>
              </w:rPr>
              <w:fldChar w:fldCharType="end"/>
            </w:r>
          </w:hyperlink>
        </w:p>
        <w:p w14:paraId="38645643" w14:textId="7C1BD7BE"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4" w:history="1">
            <w:r w:rsidR="00392009" w:rsidRPr="00D134EB">
              <w:rPr>
                <w:rStyle w:val="Hipervnculo"/>
                <w:rFonts w:ascii="Times New Roman" w:hAnsi="Times New Roman" w:cs="Times New Roman"/>
                <w:i w:val="0"/>
                <w:iCs w:val="0"/>
                <w:noProof/>
              </w:rPr>
              <w:t>Anexo 7. Ministerio de Vivienda, Ciudad y Territorio</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_Toc116977714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17</w:t>
            </w:r>
            <w:r w:rsidR="00392009" w:rsidRPr="00D134EB">
              <w:rPr>
                <w:rFonts w:ascii="Times New Roman" w:hAnsi="Times New Roman" w:cs="Times New Roman"/>
                <w:i w:val="0"/>
                <w:iCs w:val="0"/>
                <w:noProof/>
                <w:webHidden/>
              </w:rPr>
              <w:fldChar w:fldCharType="end"/>
            </w:r>
          </w:hyperlink>
        </w:p>
        <w:p w14:paraId="7C4E2938" w14:textId="07EFFB33"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5" w:history="1">
            <w:r w:rsidR="00392009" w:rsidRPr="00D134EB">
              <w:rPr>
                <w:rStyle w:val="Hipervnculo"/>
                <w:rFonts w:ascii="Times New Roman" w:hAnsi="Times New Roman" w:cs="Times New Roman"/>
                <w:i w:val="0"/>
                <w:iCs w:val="0"/>
                <w:noProof/>
              </w:rPr>
              <w:t>Anexo 8. Ministerio de Ambiente y Desarrollo Sostenible</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_Toc116977715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19</w:t>
            </w:r>
            <w:r w:rsidR="00392009" w:rsidRPr="00D134EB">
              <w:rPr>
                <w:rFonts w:ascii="Times New Roman" w:hAnsi="Times New Roman" w:cs="Times New Roman"/>
                <w:i w:val="0"/>
                <w:iCs w:val="0"/>
                <w:noProof/>
                <w:webHidden/>
              </w:rPr>
              <w:fldChar w:fldCharType="end"/>
            </w:r>
          </w:hyperlink>
        </w:p>
        <w:p w14:paraId="5D90443A" w14:textId="247B14AF"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6" w:history="1">
            <w:r w:rsidR="00392009" w:rsidRPr="00D134EB">
              <w:rPr>
                <w:rStyle w:val="Hipervnculo"/>
                <w:rFonts w:ascii="Times New Roman" w:hAnsi="Times New Roman" w:cs="Times New Roman"/>
                <w:i w:val="0"/>
                <w:iCs w:val="0"/>
                <w:noProof/>
              </w:rPr>
              <w:t>Anexo 9. Ministerio de Salud y Protección Social</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_Toc116977716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19</w:t>
            </w:r>
            <w:r w:rsidR="00392009" w:rsidRPr="00D134EB">
              <w:rPr>
                <w:rFonts w:ascii="Times New Roman" w:hAnsi="Times New Roman" w:cs="Times New Roman"/>
                <w:i w:val="0"/>
                <w:iCs w:val="0"/>
                <w:noProof/>
                <w:webHidden/>
              </w:rPr>
              <w:fldChar w:fldCharType="end"/>
            </w:r>
          </w:hyperlink>
        </w:p>
        <w:p w14:paraId="02963AB8" w14:textId="2E266D21"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7" w:history="1">
            <w:r w:rsidR="00392009" w:rsidRPr="00D134EB">
              <w:rPr>
                <w:rStyle w:val="Hipervnculo"/>
                <w:rFonts w:ascii="Times New Roman" w:hAnsi="Times New Roman" w:cs="Times New Roman"/>
                <w:i w:val="0"/>
                <w:iCs w:val="0"/>
                <w:noProof/>
              </w:rPr>
              <w:t>Anexo 10. Ministerio de Educación Nacional</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_Toc116977717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23</w:t>
            </w:r>
            <w:r w:rsidR="00392009" w:rsidRPr="00D134EB">
              <w:rPr>
                <w:rFonts w:ascii="Times New Roman" w:hAnsi="Times New Roman" w:cs="Times New Roman"/>
                <w:i w:val="0"/>
                <w:iCs w:val="0"/>
                <w:noProof/>
                <w:webHidden/>
              </w:rPr>
              <w:fldChar w:fldCharType="end"/>
            </w:r>
          </w:hyperlink>
        </w:p>
        <w:p w14:paraId="5857498F" w14:textId="7F36AF8B"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8" w:history="1">
            <w:r w:rsidR="00392009" w:rsidRPr="00D134EB">
              <w:rPr>
                <w:rStyle w:val="Hipervnculo"/>
                <w:rFonts w:ascii="Times New Roman" w:hAnsi="Times New Roman" w:cs="Times New Roman"/>
                <w:i w:val="0"/>
                <w:iCs w:val="0"/>
                <w:noProof/>
              </w:rPr>
              <w:t>Anexo 11. Procuraduría General de la Nación</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_Toc116977718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24</w:t>
            </w:r>
            <w:r w:rsidR="00392009" w:rsidRPr="00D134EB">
              <w:rPr>
                <w:rFonts w:ascii="Times New Roman" w:hAnsi="Times New Roman" w:cs="Times New Roman"/>
                <w:i w:val="0"/>
                <w:iCs w:val="0"/>
                <w:noProof/>
                <w:webHidden/>
              </w:rPr>
              <w:fldChar w:fldCharType="end"/>
            </w:r>
          </w:hyperlink>
        </w:p>
        <w:p w14:paraId="27ADCCF1" w14:textId="4BC489F4" w:rsidR="00392009" w:rsidRPr="00D134EB" w:rsidRDefault="00000000">
          <w:pPr>
            <w:pStyle w:val="TDC1"/>
            <w:tabs>
              <w:tab w:val="right" w:leader="dot" w:pos="8828"/>
            </w:tabs>
            <w:rPr>
              <w:rFonts w:ascii="Times New Roman" w:eastAsiaTheme="minorEastAsia" w:hAnsi="Times New Roman" w:cs="Times New Roman"/>
              <w:b w:val="0"/>
              <w:bCs w:val="0"/>
              <w:i w:val="0"/>
              <w:iCs w:val="0"/>
              <w:noProof/>
              <w:lang w:eastAsia="es-ES_tradnl"/>
            </w:rPr>
          </w:pPr>
          <w:hyperlink w:anchor="_Toc116977719" w:history="1">
            <w:r w:rsidR="00392009" w:rsidRPr="00D134EB">
              <w:rPr>
                <w:rStyle w:val="Hipervnculo"/>
                <w:rFonts w:ascii="Times New Roman" w:hAnsi="Times New Roman" w:cs="Times New Roman"/>
                <w:i w:val="0"/>
                <w:iCs w:val="0"/>
                <w:noProof/>
              </w:rPr>
              <w:t>Anexo 12. Ministerio de Hacienda y Crédito Público</w:t>
            </w:r>
            <w:r w:rsidR="00392009" w:rsidRPr="00D134EB">
              <w:rPr>
                <w:rFonts w:ascii="Times New Roman" w:hAnsi="Times New Roman" w:cs="Times New Roman"/>
                <w:i w:val="0"/>
                <w:iCs w:val="0"/>
                <w:noProof/>
                <w:webHidden/>
              </w:rPr>
              <w:tab/>
            </w:r>
            <w:r w:rsidR="00392009" w:rsidRPr="00D134EB">
              <w:rPr>
                <w:rFonts w:ascii="Times New Roman" w:hAnsi="Times New Roman" w:cs="Times New Roman"/>
                <w:i w:val="0"/>
                <w:iCs w:val="0"/>
                <w:noProof/>
                <w:webHidden/>
              </w:rPr>
              <w:fldChar w:fldCharType="begin"/>
            </w:r>
            <w:r w:rsidR="00392009" w:rsidRPr="00D134EB">
              <w:rPr>
                <w:rFonts w:ascii="Times New Roman" w:hAnsi="Times New Roman" w:cs="Times New Roman"/>
                <w:i w:val="0"/>
                <w:iCs w:val="0"/>
                <w:noProof/>
                <w:webHidden/>
              </w:rPr>
              <w:instrText xml:space="preserve"> PAGEREF _Toc116977719 \h </w:instrText>
            </w:r>
            <w:r w:rsidR="00392009" w:rsidRPr="00D134EB">
              <w:rPr>
                <w:rFonts w:ascii="Times New Roman" w:hAnsi="Times New Roman" w:cs="Times New Roman"/>
                <w:i w:val="0"/>
                <w:iCs w:val="0"/>
                <w:noProof/>
                <w:webHidden/>
              </w:rPr>
            </w:r>
            <w:r w:rsidR="00392009" w:rsidRPr="00D134EB">
              <w:rPr>
                <w:rFonts w:ascii="Times New Roman" w:hAnsi="Times New Roman" w:cs="Times New Roman"/>
                <w:i w:val="0"/>
                <w:iCs w:val="0"/>
                <w:noProof/>
                <w:webHidden/>
              </w:rPr>
              <w:fldChar w:fldCharType="separate"/>
            </w:r>
            <w:r w:rsidR="00D134EB">
              <w:rPr>
                <w:rFonts w:ascii="Times New Roman" w:hAnsi="Times New Roman" w:cs="Times New Roman"/>
                <w:i w:val="0"/>
                <w:iCs w:val="0"/>
                <w:noProof/>
                <w:webHidden/>
              </w:rPr>
              <w:t>25</w:t>
            </w:r>
            <w:r w:rsidR="00392009" w:rsidRPr="00D134EB">
              <w:rPr>
                <w:rFonts w:ascii="Times New Roman" w:hAnsi="Times New Roman" w:cs="Times New Roman"/>
                <w:i w:val="0"/>
                <w:iCs w:val="0"/>
                <w:noProof/>
                <w:webHidden/>
              </w:rPr>
              <w:fldChar w:fldCharType="end"/>
            </w:r>
          </w:hyperlink>
        </w:p>
        <w:p w14:paraId="1725E769" w14:textId="519C09CC" w:rsidR="00301CCD" w:rsidRPr="00D134EB" w:rsidRDefault="00301CCD">
          <w:pPr>
            <w:rPr>
              <w:rFonts w:ascii="Times New Roman" w:hAnsi="Times New Roman" w:cs="Times New Roman"/>
            </w:rPr>
          </w:pPr>
          <w:r w:rsidRPr="00D134EB">
            <w:rPr>
              <w:rFonts w:ascii="Times New Roman" w:hAnsi="Times New Roman" w:cs="Times New Roman"/>
              <w:b/>
              <w:bCs/>
              <w:noProof/>
              <w:sz w:val="24"/>
              <w:szCs w:val="24"/>
            </w:rPr>
            <w:fldChar w:fldCharType="end"/>
          </w:r>
        </w:p>
      </w:sdtContent>
    </w:sdt>
    <w:p w14:paraId="59D6CA6A" w14:textId="492D3CD3" w:rsidR="00BC622E" w:rsidRPr="00D134EB" w:rsidRDefault="00BC622E">
      <w:pPr>
        <w:rPr>
          <w:rFonts w:ascii="Times New Roman" w:hAnsi="Times New Roman" w:cs="Times New Roman"/>
        </w:rPr>
      </w:pPr>
    </w:p>
    <w:p w14:paraId="2954692B" w14:textId="47EA88DE" w:rsidR="00BC622E" w:rsidRPr="00D134EB" w:rsidRDefault="00BC622E" w:rsidP="00BC622E">
      <w:pPr>
        <w:rPr>
          <w:rFonts w:ascii="Times New Roman" w:hAnsi="Times New Roman" w:cs="Times New Roman"/>
        </w:rPr>
      </w:pPr>
    </w:p>
    <w:p w14:paraId="0B9184EB" w14:textId="18F0390F" w:rsidR="00301CCD" w:rsidRPr="00D134EB" w:rsidRDefault="00301CCD" w:rsidP="00BC622E">
      <w:pPr>
        <w:rPr>
          <w:rFonts w:ascii="Times New Roman" w:hAnsi="Times New Roman" w:cs="Times New Roman"/>
        </w:rPr>
      </w:pPr>
    </w:p>
    <w:p w14:paraId="52C9AA06" w14:textId="5FFE70E8" w:rsidR="00301CCD" w:rsidRPr="00D134EB" w:rsidRDefault="00301CCD" w:rsidP="00BC622E">
      <w:pPr>
        <w:rPr>
          <w:rFonts w:ascii="Times New Roman" w:hAnsi="Times New Roman" w:cs="Times New Roman"/>
        </w:rPr>
      </w:pPr>
    </w:p>
    <w:p w14:paraId="3F3E5085" w14:textId="008400B3" w:rsidR="00301CCD" w:rsidRPr="00D134EB" w:rsidRDefault="00301CCD" w:rsidP="00BC622E">
      <w:pPr>
        <w:rPr>
          <w:rFonts w:ascii="Times New Roman" w:hAnsi="Times New Roman" w:cs="Times New Roman"/>
        </w:rPr>
      </w:pPr>
    </w:p>
    <w:p w14:paraId="631B7AD0" w14:textId="2E5590B4" w:rsidR="00301CCD" w:rsidRPr="00D134EB" w:rsidRDefault="00301CCD" w:rsidP="00BC622E">
      <w:pPr>
        <w:rPr>
          <w:rFonts w:ascii="Times New Roman" w:hAnsi="Times New Roman" w:cs="Times New Roman"/>
        </w:rPr>
      </w:pPr>
    </w:p>
    <w:p w14:paraId="239D10B9" w14:textId="6AC4A1AB" w:rsidR="00301CCD" w:rsidRPr="00D134EB" w:rsidRDefault="00301CCD" w:rsidP="00BC622E">
      <w:pPr>
        <w:rPr>
          <w:rFonts w:ascii="Times New Roman" w:hAnsi="Times New Roman" w:cs="Times New Roman"/>
        </w:rPr>
      </w:pPr>
    </w:p>
    <w:p w14:paraId="147B02BA" w14:textId="68136E3D" w:rsidR="00301CCD" w:rsidRPr="00D134EB" w:rsidRDefault="00301CCD" w:rsidP="00BC622E">
      <w:pPr>
        <w:rPr>
          <w:rFonts w:ascii="Times New Roman" w:hAnsi="Times New Roman" w:cs="Times New Roman"/>
        </w:rPr>
      </w:pPr>
    </w:p>
    <w:p w14:paraId="4C78FC77" w14:textId="63D96683" w:rsidR="00301CCD" w:rsidRPr="00D134EB" w:rsidRDefault="00301CCD" w:rsidP="00BC622E">
      <w:pPr>
        <w:rPr>
          <w:rFonts w:ascii="Times New Roman" w:hAnsi="Times New Roman" w:cs="Times New Roman"/>
        </w:rPr>
      </w:pPr>
    </w:p>
    <w:p w14:paraId="263E9365" w14:textId="151385B8" w:rsidR="00301CCD" w:rsidRPr="00D134EB" w:rsidRDefault="00301CCD" w:rsidP="00BC622E">
      <w:pPr>
        <w:rPr>
          <w:rFonts w:ascii="Times New Roman" w:hAnsi="Times New Roman" w:cs="Times New Roman"/>
        </w:rPr>
      </w:pPr>
    </w:p>
    <w:p w14:paraId="28FDA795" w14:textId="5C1038A2" w:rsidR="00301CCD" w:rsidRPr="00D134EB" w:rsidRDefault="00301CCD" w:rsidP="00BC622E">
      <w:pPr>
        <w:rPr>
          <w:rFonts w:ascii="Times New Roman" w:hAnsi="Times New Roman" w:cs="Times New Roman"/>
        </w:rPr>
      </w:pPr>
    </w:p>
    <w:p w14:paraId="755993F6" w14:textId="7DA1A89A" w:rsidR="00301CCD" w:rsidRPr="00D134EB" w:rsidRDefault="00301CCD" w:rsidP="00BC622E">
      <w:pPr>
        <w:rPr>
          <w:rFonts w:ascii="Times New Roman" w:hAnsi="Times New Roman" w:cs="Times New Roman"/>
        </w:rPr>
      </w:pPr>
    </w:p>
    <w:p w14:paraId="3DCE1C4C" w14:textId="016282A5" w:rsidR="00301CCD" w:rsidRPr="00D134EB" w:rsidRDefault="00301CCD" w:rsidP="00BC622E">
      <w:pPr>
        <w:rPr>
          <w:rFonts w:ascii="Times New Roman" w:hAnsi="Times New Roman" w:cs="Times New Roman"/>
        </w:rPr>
      </w:pPr>
    </w:p>
    <w:p w14:paraId="3B3A92AA" w14:textId="42741CBD" w:rsidR="00301CCD" w:rsidRPr="00D134EB" w:rsidRDefault="00301CCD" w:rsidP="00BC622E">
      <w:pPr>
        <w:rPr>
          <w:rFonts w:ascii="Times New Roman" w:hAnsi="Times New Roman" w:cs="Times New Roman"/>
        </w:rPr>
      </w:pPr>
    </w:p>
    <w:p w14:paraId="7B7F4A1C" w14:textId="77777777" w:rsidR="00301CCD" w:rsidRPr="00D134EB" w:rsidRDefault="00301CCD" w:rsidP="00BC622E">
      <w:pPr>
        <w:rPr>
          <w:rFonts w:ascii="Times New Roman" w:hAnsi="Times New Roman" w:cs="Times New Roman"/>
        </w:rPr>
      </w:pPr>
    </w:p>
    <w:p w14:paraId="38EFA764" w14:textId="7A9E9EED" w:rsidR="00C1215B" w:rsidRPr="00D134EB" w:rsidRDefault="00BF5352" w:rsidP="00C1215B">
      <w:pPr>
        <w:pStyle w:val="Ttulo1"/>
        <w:spacing w:line="360" w:lineRule="auto"/>
        <w:jc w:val="center"/>
        <w:rPr>
          <w:rFonts w:ascii="Times New Roman" w:hAnsi="Times New Roman" w:cs="Times New Roman"/>
          <w:b/>
          <w:bCs/>
          <w:color w:val="auto"/>
          <w:sz w:val="24"/>
          <w:szCs w:val="24"/>
        </w:rPr>
      </w:pPr>
      <w:bookmarkStart w:id="1" w:name="_Toc116679732"/>
      <w:bookmarkStart w:id="2" w:name="_Toc116977708"/>
      <w:r w:rsidRPr="00D134EB">
        <w:rPr>
          <w:rFonts w:ascii="Times New Roman" w:hAnsi="Times New Roman" w:cs="Times New Roman"/>
          <w:b/>
          <w:bCs/>
          <w:color w:val="auto"/>
          <w:sz w:val="24"/>
          <w:szCs w:val="24"/>
        </w:rPr>
        <w:lastRenderedPageBreak/>
        <w:t>Anexo 1. Ministerio de Trabajo</w:t>
      </w:r>
      <w:bookmarkEnd w:id="1"/>
      <w:bookmarkEnd w:id="2"/>
    </w:p>
    <w:p w14:paraId="54F6FD70" w14:textId="5CF582E4" w:rsidR="00BF5352" w:rsidRPr="00D134EB" w:rsidRDefault="00BF535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Gráfico 1. Último reporte del Boletín consolidado de la Unidad de Gestión Pensional y Parafiscales -UGPP</w:t>
      </w:r>
      <w:r w:rsidR="00C1215B" w:rsidRPr="00D134EB">
        <w:rPr>
          <w:rFonts w:ascii="Times New Roman" w:hAnsi="Times New Roman" w:cs="Times New Roman"/>
          <w:b/>
          <w:bCs/>
          <w:sz w:val="20"/>
          <w:szCs w:val="20"/>
        </w:rPr>
        <w:t>.</w:t>
      </w:r>
    </w:p>
    <w:p w14:paraId="22B978DA" w14:textId="16886EC0" w:rsidR="00BF5352" w:rsidRPr="00D134EB" w:rsidRDefault="00BF5352" w:rsidP="00BF5352">
      <w:pPr>
        <w:jc w:val="center"/>
        <w:rPr>
          <w:rFonts w:ascii="Times New Roman" w:hAnsi="Times New Roman" w:cs="Times New Roman"/>
          <w:sz w:val="20"/>
          <w:szCs w:val="20"/>
        </w:rPr>
      </w:pPr>
      <w:r w:rsidRPr="00D134EB">
        <w:rPr>
          <w:rFonts w:ascii="Times New Roman" w:hAnsi="Times New Roman" w:cs="Times New Roman"/>
          <w:noProof/>
          <w:color w:val="000000"/>
          <w:sz w:val="20"/>
          <w:szCs w:val="20"/>
          <w:bdr w:val="none" w:sz="0" w:space="0" w:color="auto" w:frame="1"/>
        </w:rPr>
        <w:drawing>
          <wp:inline distT="0" distB="0" distL="0" distR="0" wp14:anchorId="2C4A4047" wp14:editId="0543D67F">
            <wp:extent cx="5332172" cy="1499190"/>
            <wp:effectExtent l="0" t="0" r="1905" b="6350"/>
            <wp:docPr id="1" name="Imagen 1"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tura de pantalla de un celular&#10;&#10;Descripción generada automáticamente"/>
                    <pic:cNvPicPr>
                      <a:picLocks noChangeAspect="1" noChangeArrowheads="1"/>
                    </pic:cNvPicPr>
                  </pic:nvPicPr>
                  <pic:blipFill rotWithShape="1">
                    <a:blip r:embed="rId8">
                      <a:extLst>
                        <a:ext uri="{28A0092B-C50C-407E-A947-70E740481C1C}">
                          <a14:useLocalDpi xmlns:a14="http://schemas.microsoft.com/office/drawing/2010/main" val="0"/>
                        </a:ext>
                      </a:extLst>
                    </a:blip>
                    <a:srcRect l="16862" t="15472" r="17764" b="51894"/>
                    <a:stretch/>
                  </pic:blipFill>
                  <pic:spPr bwMode="auto">
                    <a:xfrm>
                      <a:off x="0" y="0"/>
                      <a:ext cx="5366728" cy="1508906"/>
                    </a:xfrm>
                    <a:prstGeom prst="rect">
                      <a:avLst/>
                    </a:prstGeom>
                    <a:noFill/>
                    <a:ln>
                      <a:noFill/>
                    </a:ln>
                    <a:extLst>
                      <a:ext uri="{53640926-AAD7-44D8-BBD7-CCE9431645EC}">
                        <a14:shadowObscured xmlns:a14="http://schemas.microsoft.com/office/drawing/2010/main"/>
                      </a:ext>
                    </a:extLst>
                  </pic:spPr>
                </pic:pic>
              </a:graphicData>
            </a:graphic>
          </wp:inline>
        </w:drawing>
      </w:r>
    </w:p>
    <w:p w14:paraId="0B0D8076" w14:textId="7CD12A5E" w:rsidR="00BF5352" w:rsidRPr="00D134EB" w:rsidRDefault="004B5E7A"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Estadísticas de trabajadores ocupados tanto formales como informales de enero a abril de 2022</w:t>
      </w:r>
    </w:p>
    <w:p w14:paraId="7F535DBE" w14:textId="64DFB4C7" w:rsidR="004B5E7A" w:rsidRPr="00D134EB" w:rsidRDefault="004B5E7A" w:rsidP="00BF5352">
      <w:pPr>
        <w:jc w:val="center"/>
        <w:rPr>
          <w:rFonts w:ascii="Times New Roman" w:hAnsi="Times New Roman" w:cs="Times New Roman"/>
          <w:b/>
          <w:bCs/>
          <w:sz w:val="20"/>
          <w:szCs w:val="20"/>
        </w:rPr>
      </w:pPr>
      <w:r w:rsidRPr="00D134EB">
        <w:rPr>
          <w:rFonts w:ascii="Times New Roman" w:hAnsi="Times New Roman" w:cs="Times New Roman"/>
          <w:noProof/>
        </w:rPr>
        <w:lastRenderedPageBreak/>
        <w:drawing>
          <wp:inline distT="0" distB="0" distL="0" distR="0" wp14:anchorId="752717B2" wp14:editId="73AE859A">
            <wp:extent cx="5612130" cy="6810375"/>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810375"/>
                    </a:xfrm>
                    <a:prstGeom prst="rect">
                      <a:avLst/>
                    </a:prstGeom>
                    <a:noFill/>
                    <a:ln>
                      <a:noFill/>
                    </a:ln>
                  </pic:spPr>
                </pic:pic>
              </a:graphicData>
            </a:graphic>
          </wp:inline>
        </w:drawing>
      </w:r>
    </w:p>
    <w:p w14:paraId="1B88CEB3" w14:textId="0BE69F19" w:rsidR="0084350B" w:rsidRPr="00D134EB" w:rsidRDefault="0084350B" w:rsidP="0084350B">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2. Principales salvaguardias jurídicas para proteger a los trabajadores frente al despido improcedente</w:t>
      </w:r>
    </w:p>
    <w:tbl>
      <w:tblPr>
        <w:tblStyle w:val="Tablaconcuadrcula"/>
        <w:tblW w:w="0" w:type="auto"/>
        <w:tblLook w:val="04A0" w:firstRow="1" w:lastRow="0" w:firstColumn="1" w:lastColumn="0" w:noHBand="0" w:noVBand="1"/>
      </w:tblPr>
      <w:tblGrid>
        <w:gridCol w:w="1668"/>
        <w:gridCol w:w="6820"/>
      </w:tblGrid>
      <w:tr w:rsidR="0084350B" w:rsidRPr="00D134EB" w14:paraId="6E105F9A" w14:textId="77777777" w:rsidTr="00A948B5">
        <w:tc>
          <w:tcPr>
            <w:tcW w:w="1696" w:type="dxa"/>
          </w:tcPr>
          <w:p w14:paraId="6A6E56CE" w14:textId="77777777" w:rsidR="0084350B" w:rsidRPr="00D134EB" w:rsidRDefault="0084350B" w:rsidP="00A948B5">
            <w:pPr>
              <w:jc w:val="center"/>
              <w:rPr>
                <w:rFonts w:ascii="Times New Roman" w:hAnsi="Times New Roman" w:cs="Times New Roman"/>
                <w:b/>
                <w:bCs/>
                <w:sz w:val="20"/>
                <w:szCs w:val="20"/>
              </w:rPr>
            </w:pPr>
          </w:p>
          <w:p w14:paraId="26051C5E" w14:textId="77777777" w:rsidR="0084350B" w:rsidRPr="00D134EB" w:rsidRDefault="0084350B" w:rsidP="00A948B5">
            <w:pPr>
              <w:jc w:val="center"/>
              <w:rPr>
                <w:rFonts w:ascii="Times New Roman" w:hAnsi="Times New Roman" w:cs="Times New Roman"/>
                <w:b/>
                <w:bCs/>
                <w:sz w:val="20"/>
                <w:szCs w:val="20"/>
              </w:rPr>
            </w:pPr>
          </w:p>
          <w:p w14:paraId="2D1DFB78" w14:textId="77777777" w:rsidR="0084350B" w:rsidRPr="00D134EB" w:rsidRDefault="0084350B" w:rsidP="00A948B5">
            <w:pPr>
              <w:jc w:val="center"/>
              <w:rPr>
                <w:rFonts w:ascii="Times New Roman" w:hAnsi="Times New Roman" w:cs="Times New Roman"/>
                <w:b/>
                <w:bCs/>
                <w:sz w:val="20"/>
                <w:szCs w:val="20"/>
              </w:rPr>
            </w:pPr>
          </w:p>
          <w:p w14:paraId="724502B5" w14:textId="77777777" w:rsidR="0084350B" w:rsidRPr="00D134EB" w:rsidRDefault="0084350B" w:rsidP="00A948B5">
            <w:pPr>
              <w:jc w:val="center"/>
              <w:rPr>
                <w:rFonts w:ascii="Times New Roman" w:hAnsi="Times New Roman" w:cs="Times New Roman"/>
                <w:b/>
                <w:bCs/>
                <w:sz w:val="20"/>
                <w:szCs w:val="20"/>
              </w:rPr>
            </w:pPr>
          </w:p>
          <w:p w14:paraId="5C85CAF8" w14:textId="77777777" w:rsidR="0084350B" w:rsidRPr="00D134EB" w:rsidRDefault="0084350B" w:rsidP="00A948B5">
            <w:pPr>
              <w:jc w:val="center"/>
              <w:rPr>
                <w:rFonts w:ascii="Times New Roman" w:hAnsi="Times New Roman" w:cs="Times New Roman"/>
                <w:b/>
                <w:bCs/>
                <w:sz w:val="20"/>
                <w:szCs w:val="20"/>
              </w:rPr>
            </w:pPr>
          </w:p>
          <w:p w14:paraId="13C8779E" w14:textId="77777777" w:rsidR="0084350B" w:rsidRPr="00D134EB" w:rsidRDefault="0084350B" w:rsidP="00A948B5">
            <w:pPr>
              <w:jc w:val="center"/>
              <w:rPr>
                <w:rFonts w:ascii="Times New Roman" w:hAnsi="Times New Roman" w:cs="Times New Roman"/>
                <w:b/>
                <w:bCs/>
                <w:sz w:val="20"/>
                <w:szCs w:val="20"/>
              </w:rPr>
            </w:pPr>
          </w:p>
          <w:p w14:paraId="0CA1B4FB" w14:textId="77777777" w:rsidR="0084350B" w:rsidRPr="00D134EB" w:rsidRDefault="0084350B" w:rsidP="00A948B5">
            <w:pPr>
              <w:jc w:val="center"/>
              <w:rPr>
                <w:rFonts w:ascii="Times New Roman" w:hAnsi="Times New Roman" w:cs="Times New Roman"/>
                <w:b/>
                <w:bCs/>
                <w:sz w:val="20"/>
                <w:szCs w:val="20"/>
              </w:rPr>
            </w:pPr>
          </w:p>
          <w:p w14:paraId="32A8A6B9" w14:textId="77777777" w:rsidR="0084350B" w:rsidRPr="00D134EB" w:rsidRDefault="0084350B" w:rsidP="00A948B5">
            <w:pPr>
              <w:jc w:val="center"/>
              <w:rPr>
                <w:rFonts w:ascii="Times New Roman" w:hAnsi="Times New Roman" w:cs="Times New Roman"/>
                <w:b/>
                <w:bCs/>
                <w:sz w:val="20"/>
                <w:szCs w:val="20"/>
              </w:rPr>
            </w:pPr>
          </w:p>
          <w:p w14:paraId="0B10E120" w14:textId="77777777" w:rsidR="0084350B" w:rsidRPr="00D134EB" w:rsidRDefault="0084350B" w:rsidP="00A948B5">
            <w:pPr>
              <w:jc w:val="center"/>
              <w:rPr>
                <w:rFonts w:ascii="Times New Roman" w:hAnsi="Times New Roman" w:cs="Times New Roman"/>
                <w:b/>
                <w:bCs/>
                <w:sz w:val="20"/>
                <w:szCs w:val="20"/>
              </w:rPr>
            </w:pPr>
          </w:p>
          <w:p w14:paraId="21993AE7" w14:textId="77777777" w:rsidR="0084350B" w:rsidRPr="00D134EB" w:rsidRDefault="0084350B" w:rsidP="00A948B5">
            <w:pPr>
              <w:jc w:val="center"/>
              <w:rPr>
                <w:rFonts w:ascii="Times New Roman" w:hAnsi="Times New Roman" w:cs="Times New Roman"/>
                <w:b/>
                <w:bCs/>
                <w:sz w:val="20"/>
                <w:szCs w:val="20"/>
              </w:rPr>
            </w:pPr>
            <w:r w:rsidRPr="00D134EB">
              <w:rPr>
                <w:rFonts w:ascii="Times New Roman" w:hAnsi="Times New Roman" w:cs="Times New Roman"/>
                <w:b/>
                <w:bCs/>
                <w:sz w:val="20"/>
                <w:szCs w:val="20"/>
              </w:rPr>
              <w:lastRenderedPageBreak/>
              <w:t>Principales salvaguardias jurídicas para proteger a los trabajadores frente al despido improcedente</w:t>
            </w:r>
          </w:p>
        </w:tc>
        <w:tc>
          <w:tcPr>
            <w:tcW w:w="7132" w:type="dxa"/>
          </w:tcPr>
          <w:p w14:paraId="0E758531" w14:textId="77777777" w:rsidR="0084350B" w:rsidRPr="00D134EB" w:rsidRDefault="0084350B" w:rsidP="00A948B5">
            <w:pPr>
              <w:pStyle w:val="Prrafodelista"/>
              <w:numPr>
                <w:ilvl w:val="0"/>
                <w:numId w:val="7"/>
              </w:numPr>
              <w:ind w:left="323"/>
              <w:jc w:val="both"/>
              <w:rPr>
                <w:rFonts w:ascii="Times New Roman" w:hAnsi="Times New Roman" w:cs="Times New Roman"/>
                <w:sz w:val="20"/>
                <w:szCs w:val="20"/>
              </w:rPr>
            </w:pPr>
            <w:r w:rsidRPr="00D134EB">
              <w:rPr>
                <w:rFonts w:ascii="Times New Roman" w:hAnsi="Times New Roman" w:cs="Times New Roman"/>
                <w:sz w:val="20"/>
                <w:szCs w:val="20"/>
              </w:rPr>
              <w:lastRenderedPageBreak/>
              <w:t>Circular 049 de 2019, lineamientos institucionales, respecto de los criterios para autorizar la terminación de la relación laboral de trabajadores que se encuentren en condición de discapacidad o de debilidad manifiesta por razones de salud.</w:t>
            </w:r>
          </w:p>
          <w:p w14:paraId="4D835109" w14:textId="77777777" w:rsidR="0084350B" w:rsidRPr="00D134EB" w:rsidRDefault="0084350B" w:rsidP="00A948B5">
            <w:pPr>
              <w:ind w:left="-37"/>
              <w:jc w:val="both"/>
              <w:rPr>
                <w:rFonts w:ascii="Times New Roman" w:hAnsi="Times New Roman" w:cs="Times New Roman"/>
                <w:sz w:val="20"/>
                <w:szCs w:val="20"/>
              </w:rPr>
            </w:pPr>
          </w:p>
          <w:p w14:paraId="41C8B4DD" w14:textId="77777777" w:rsidR="0084350B" w:rsidRPr="00D134EB" w:rsidRDefault="0084350B" w:rsidP="00A948B5">
            <w:pPr>
              <w:pStyle w:val="Prrafodelista"/>
              <w:numPr>
                <w:ilvl w:val="0"/>
                <w:numId w:val="7"/>
              </w:numPr>
              <w:ind w:left="323"/>
              <w:jc w:val="both"/>
              <w:rPr>
                <w:rFonts w:ascii="Times New Roman" w:hAnsi="Times New Roman" w:cs="Times New Roman"/>
                <w:sz w:val="20"/>
                <w:szCs w:val="20"/>
              </w:rPr>
            </w:pPr>
            <w:r w:rsidRPr="00D134EB">
              <w:rPr>
                <w:rFonts w:ascii="Times New Roman" w:hAnsi="Times New Roman" w:cs="Times New Roman"/>
                <w:sz w:val="20"/>
                <w:szCs w:val="20"/>
              </w:rPr>
              <w:t xml:space="preserve">A través del memorando O8SI202133000000013399 del 8 de septiembre de 2021, Lineamientos generales relacionados con el trámite denominado “Autorización para la terminación de un contrato a una trabajadora durante el período de embarazo o a las dieciocho (18) semanas posteriores al parto o del </w:t>
            </w:r>
            <w:r w:rsidRPr="00D134EB">
              <w:rPr>
                <w:rFonts w:ascii="Times New Roman" w:hAnsi="Times New Roman" w:cs="Times New Roman"/>
                <w:sz w:val="20"/>
                <w:szCs w:val="20"/>
              </w:rPr>
              <w:lastRenderedPageBreak/>
              <w:t>trabajador cuya cónyuge, pareja o compañera permanente se encuentre en estado de embarazo o dentro de las 18 semanas posteriores al parto”.</w:t>
            </w:r>
          </w:p>
          <w:p w14:paraId="4BCF6005" w14:textId="77777777" w:rsidR="0084350B" w:rsidRPr="00D134EB" w:rsidRDefault="0084350B" w:rsidP="00A948B5">
            <w:pPr>
              <w:jc w:val="both"/>
              <w:rPr>
                <w:rFonts w:ascii="Times New Roman" w:hAnsi="Times New Roman" w:cs="Times New Roman"/>
                <w:sz w:val="20"/>
                <w:szCs w:val="20"/>
              </w:rPr>
            </w:pPr>
          </w:p>
          <w:p w14:paraId="6DA38292" w14:textId="77777777" w:rsidR="0084350B" w:rsidRPr="00D134EB" w:rsidRDefault="0084350B" w:rsidP="00A948B5">
            <w:pPr>
              <w:pStyle w:val="Prrafodelista"/>
              <w:numPr>
                <w:ilvl w:val="0"/>
                <w:numId w:val="7"/>
              </w:numPr>
              <w:ind w:left="323"/>
              <w:jc w:val="both"/>
              <w:rPr>
                <w:rFonts w:ascii="Times New Roman" w:hAnsi="Times New Roman" w:cs="Times New Roman"/>
                <w:sz w:val="20"/>
                <w:szCs w:val="20"/>
              </w:rPr>
            </w:pPr>
            <w:r w:rsidRPr="00D134EB">
              <w:rPr>
                <w:rFonts w:ascii="Times New Roman" w:hAnsi="Times New Roman" w:cs="Times New Roman"/>
                <w:sz w:val="20"/>
                <w:szCs w:val="20"/>
              </w:rPr>
              <w:t>Resolución 1043 de 2021, funciones a las Direcciones Territoriales, Oficinas Especiales e Inspecciones de Trabajo en materia de la atención al ciudadano y trámites y se otorga competencia a los inspectores de los Grupos de Atención al Ciudadano y Trámites para decidir sobre las solicitudes de Autorizaciones para la terminación de un contrato a una trabajadora durante el período de embarazo o a las dieciocho (18) semanas posteriores al parto o del trabajador cuya cónyuge, pareja o compañera permanente se encuentre en estado de embarazo o dentro de las 18 semanas posteriores al parto y para decidir sobre las solicitudes de autorización para dar por terminado un contrato a un trabajador en condición de discapacidad o en debilidad manifiesta por razones de salud.</w:t>
            </w:r>
          </w:p>
          <w:p w14:paraId="34D50450" w14:textId="77777777" w:rsidR="0084350B" w:rsidRPr="00D134EB" w:rsidRDefault="0084350B" w:rsidP="00A948B5">
            <w:pPr>
              <w:jc w:val="both"/>
              <w:rPr>
                <w:rFonts w:ascii="Times New Roman" w:hAnsi="Times New Roman" w:cs="Times New Roman"/>
                <w:sz w:val="20"/>
                <w:szCs w:val="20"/>
              </w:rPr>
            </w:pPr>
          </w:p>
          <w:p w14:paraId="6B1352D7" w14:textId="77777777" w:rsidR="0084350B" w:rsidRPr="00D134EB" w:rsidRDefault="0084350B" w:rsidP="00A948B5">
            <w:pPr>
              <w:pStyle w:val="Prrafodelista"/>
              <w:numPr>
                <w:ilvl w:val="0"/>
                <w:numId w:val="7"/>
              </w:numPr>
              <w:ind w:left="323"/>
              <w:jc w:val="both"/>
              <w:rPr>
                <w:rFonts w:ascii="Times New Roman" w:hAnsi="Times New Roman" w:cs="Times New Roman"/>
                <w:sz w:val="20"/>
                <w:szCs w:val="20"/>
              </w:rPr>
            </w:pPr>
            <w:r w:rsidRPr="00D134EB">
              <w:rPr>
                <w:rFonts w:ascii="Times New Roman" w:hAnsi="Times New Roman" w:cs="Times New Roman"/>
                <w:sz w:val="20"/>
                <w:szCs w:val="20"/>
              </w:rPr>
              <w:t>A través del memorando O8SI202133000000004823 del 7 de abril de 2021 lineamientos para trámites de solicitud de despido colectivo de trabajadores, suspensión temporal de actividades hasta por 120 días, entre otros.</w:t>
            </w:r>
          </w:p>
          <w:p w14:paraId="5F5E03E1" w14:textId="77777777" w:rsidR="0084350B" w:rsidRPr="00D134EB" w:rsidRDefault="0084350B" w:rsidP="00A948B5">
            <w:pPr>
              <w:jc w:val="both"/>
              <w:rPr>
                <w:rFonts w:ascii="Times New Roman" w:hAnsi="Times New Roman" w:cs="Times New Roman"/>
                <w:sz w:val="20"/>
                <w:szCs w:val="20"/>
              </w:rPr>
            </w:pPr>
          </w:p>
          <w:p w14:paraId="34C7BFA8" w14:textId="77777777" w:rsidR="0084350B" w:rsidRPr="00D134EB" w:rsidRDefault="0084350B" w:rsidP="00A948B5">
            <w:pPr>
              <w:pStyle w:val="Prrafodelista"/>
              <w:numPr>
                <w:ilvl w:val="0"/>
                <w:numId w:val="7"/>
              </w:numPr>
              <w:ind w:left="323"/>
              <w:jc w:val="both"/>
              <w:rPr>
                <w:rFonts w:ascii="Times New Roman" w:hAnsi="Times New Roman" w:cs="Times New Roman"/>
                <w:sz w:val="20"/>
                <w:szCs w:val="20"/>
              </w:rPr>
            </w:pPr>
            <w:r w:rsidRPr="00D134EB">
              <w:rPr>
                <w:rFonts w:ascii="Times New Roman" w:hAnsi="Times New Roman" w:cs="Times New Roman"/>
                <w:sz w:val="20"/>
                <w:szCs w:val="20"/>
              </w:rPr>
              <w:t>Circular 22 de 2021 referente a la Fiscalización rigurosa a las decisiones laborales de empleadores durante la emergencia sanitaria.</w:t>
            </w:r>
          </w:p>
        </w:tc>
      </w:tr>
    </w:tbl>
    <w:p w14:paraId="70919187" w14:textId="77777777" w:rsidR="0084350B" w:rsidRPr="00D134EB" w:rsidRDefault="0084350B" w:rsidP="0084350B">
      <w:pPr>
        <w:rPr>
          <w:rFonts w:ascii="Times New Roman" w:hAnsi="Times New Roman" w:cs="Times New Roman"/>
          <w:b/>
          <w:bCs/>
          <w:sz w:val="20"/>
          <w:szCs w:val="20"/>
        </w:rPr>
      </w:pPr>
    </w:p>
    <w:p w14:paraId="2B41E09E" w14:textId="3393A505" w:rsidR="0078756B" w:rsidRPr="00D134EB" w:rsidRDefault="0078756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84350B" w:rsidRPr="00D134EB">
        <w:rPr>
          <w:rFonts w:ascii="Times New Roman" w:hAnsi="Times New Roman" w:cs="Times New Roman"/>
          <w:b/>
          <w:bCs/>
          <w:sz w:val="20"/>
          <w:szCs w:val="20"/>
        </w:rPr>
        <w:t>3</w:t>
      </w:r>
      <w:r w:rsidRPr="00D134EB">
        <w:rPr>
          <w:rFonts w:ascii="Times New Roman" w:hAnsi="Times New Roman" w:cs="Times New Roman"/>
          <w:b/>
          <w:bCs/>
          <w:sz w:val="20"/>
          <w:szCs w:val="20"/>
        </w:rPr>
        <w:t>. resultados de la Inspección Móvil en el periodo comprendido entre el 1 de enero de 2016 al 31 de marzo de 2022</w:t>
      </w:r>
    </w:p>
    <w:tbl>
      <w:tblPr>
        <w:tblW w:w="0" w:type="auto"/>
        <w:jc w:val="center"/>
        <w:tblCellMar>
          <w:top w:w="15" w:type="dxa"/>
          <w:left w:w="15" w:type="dxa"/>
          <w:bottom w:w="15" w:type="dxa"/>
          <w:right w:w="15" w:type="dxa"/>
        </w:tblCellMar>
        <w:tblLook w:val="04A0" w:firstRow="1" w:lastRow="0" w:firstColumn="1" w:lastColumn="0" w:noHBand="0" w:noVBand="1"/>
      </w:tblPr>
      <w:tblGrid>
        <w:gridCol w:w="1698"/>
        <w:gridCol w:w="1409"/>
        <w:gridCol w:w="1799"/>
        <w:gridCol w:w="1578"/>
      </w:tblGrid>
      <w:tr w:rsidR="0078756B" w:rsidRPr="00D134EB" w14:paraId="178A9409" w14:textId="77777777" w:rsidTr="001C28AB">
        <w:trPr>
          <w:trHeight w:val="303"/>
          <w:jc w:val="center"/>
        </w:trPr>
        <w:tc>
          <w:tcPr>
            <w:tcW w:w="6483" w:type="dxa"/>
            <w:gridSpan w:val="4"/>
            <w:tcBorders>
              <w:top w:val="single" w:sz="8" w:space="0" w:color="auto"/>
              <w:left w:val="single" w:sz="8" w:space="0" w:color="auto"/>
              <w:bottom w:val="single" w:sz="8" w:space="0" w:color="auto"/>
              <w:right w:val="single" w:sz="8" w:space="0" w:color="000000"/>
            </w:tcBorders>
            <w:shd w:val="clear" w:color="auto" w:fill="002060"/>
            <w:vAlign w:val="center"/>
            <w:hideMark/>
          </w:tcPr>
          <w:p w14:paraId="5C17C918" w14:textId="77777777" w:rsidR="0078756B" w:rsidRPr="00D134EB" w:rsidRDefault="0078756B" w:rsidP="0078756B">
            <w:pPr>
              <w:spacing w:after="0" w:line="240" w:lineRule="auto"/>
              <w:jc w:val="center"/>
              <w:rPr>
                <w:rFonts w:ascii="Times New Roman" w:eastAsia="Times New Roman" w:hAnsi="Times New Roman" w:cs="Times New Roman"/>
                <w:b/>
                <w:bCs/>
                <w:color w:val="FFFFFF"/>
                <w:sz w:val="20"/>
                <w:szCs w:val="20"/>
                <w:lang w:eastAsia="es-CO"/>
              </w:rPr>
            </w:pPr>
            <w:r w:rsidRPr="00D134EB">
              <w:rPr>
                <w:rFonts w:ascii="Times New Roman" w:eastAsia="Times New Roman" w:hAnsi="Times New Roman" w:cs="Times New Roman"/>
                <w:b/>
                <w:bCs/>
                <w:color w:val="FFFFFF"/>
                <w:sz w:val="20"/>
                <w:szCs w:val="20"/>
                <w:lang w:eastAsia="es-CO"/>
              </w:rPr>
              <w:t>INSPECCIÓN MOVIL</w:t>
            </w:r>
          </w:p>
        </w:tc>
      </w:tr>
      <w:tr w:rsidR="0078756B" w:rsidRPr="00D134EB" w14:paraId="6256F8D6" w14:textId="77777777" w:rsidTr="0078756B">
        <w:trPr>
          <w:trHeight w:val="662"/>
          <w:jc w:val="center"/>
        </w:trPr>
        <w:tc>
          <w:tcPr>
            <w:tcW w:w="1698" w:type="dxa"/>
            <w:tcBorders>
              <w:top w:val="nil"/>
              <w:left w:val="single" w:sz="8" w:space="0" w:color="auto"/>
              <w:bottom w:val="single" w:sz="8" w:space="0" w:color="auto"/>
              <w:right w:val="single" w:sz="4" w:space="0" w:color="auto"/>
            </w:tcBorders>
            <w:shd w:val="clear" w:color="auto" w:fill="DBDBDB"/>
            <w:vAlign w:val="center"/>
            <w:hideMark/>
          </w:tcPr>
          <w:p w14:paraId="3A5DC97A"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MODO DE OPERAR</w:t>
            </w:r>
          </w:p>
        </w:tc>
        <w:tc>
          <w:tcPr>
            <w:tcW w:w="1409" w:type="dxa"/>
            <w:tcBorders>
              <w:top w:val="nil"/>
              <w:left w:val="nil"/>
              <w:bottom w:val="single" w:sz="8" w:space="0" w:color="auto"/>
              <w:right w:val="single" w:sz="4" w:space="0" w:color="auto"/>
            </w:tcBorders>
            <w:shd w:val="clear" w:color="auto" w:fill="DBDBDB"/>
            <w:vAlign w:val="center"/>
            <w:hideMark/>
          </w:tcPr>
          <w:p w14:paraId="3B072D9B"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AÑO</w:t>
            </w:r>
          </w:p>
        </w:tc>
        <w:tc>
          <w:tcPr>
            <w:tcW w:w="1799" w:type="dxa"/>
            <w:tcBorders>
              <w:top w:val="nil"/>
              <w:left w:val="nil"/>
              <w:bottom w:val="single" w:sz="8" w:space="0" w:color="auto"/>
              <w:right w:val="single" w:sz="4" w:space="0" w:color="auto"/>
            </w:tcBorders>
            <w:shd w:val="clear" w:color="auto" w:fill="DBDBDB"/>
            <w:vAlign w:val="center"/>
            <w:hideMark/>
          </w:tcPr>
          <w:p w14:paraId="1D6D5672"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No. MUNICIPIOS INTERVENIDOS</w:t>
            </w:r>
          </w:p>
        </w:tc>
        <w:tc>
          <w:tcPr>
            <w:tcW w:w="1578" w:type="dxa"/>
            <w:tcBorders>
              <w:top w:val="nil"/>
              <w:left w:val="nil"/>
              <w:bottom w:val="single" w:sz="8" w:space="0" w:color="auto"/>
              <w:right w:val="single" w:sz="8" w:space="0" w:color="auto"/>
            </w:tcBorders>
            <w:shd w:val="clear" w:color="auto" w:fill="DBDBDB"/>
            <w:vAlign w:val="center"/>
            <w:hideMark/>
          </w:tcPr>
          <w:p w14:paraId="069A23AB"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No. PERSONAS ATENDIDAS</w:t>
            </w:r>
          </w:p>
        </w:tc>
      </w:tr>
      <w:tr w:rsidR="0078756B" w:rsidRPr="00D134EB" w14:paraId="5A0B2FD2" w14:textId="77777777" w:rsidTr="0078756B">
        <w:trPr>
          <w:jc w:val="center"/>
        </w:trPr>
        <w:tc>
          <w:tcPr>
            <w:tcW w:w="1698" w:type="dxa"/>
            <w:vMerge w:val="restart"/>
            <w:tcBorders>
              <w:top w:val="nil"/>
              <w:left w:val="single" w:sz="8" w:space="0" w:color="auto"/>
              <w:bottom w:val="single" w:sz="8" w:space="0" w:color="000000"/>
              <w:right w:val="single" w:sz="4" w:space="0" w:color="auto"/>
            </w:tcBorders>
            <w:vAlign w:val="center"/>
            <w:hideMark/>
          </w:tcPr>
          <w:p w14:paraId="3D951FE8"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INTERVENCIÓN INTEGRAL</w:t>
            </w:r>
          </w:p>
        </w:tc>
        <w:tc>
          <w:tcPr>
            <w:tcW w:w="1409" w:type="dxa"/>
            <w:tcBorders>
              <w:top w:val="nil"/>
              <w:left w:val="nil"/>
              <w:bottom w:val="single" w:sz="4" w:space="0" w:color="auto"/>
              <w:right w:val="single" w:sz="4" w:space="0" w:color="auto"/>
            </w:tcBorders>
            <w:shd w:val="clear" w:color="auto" w:fill="FFFFFF"/>
            <w:vAlign w:val="center"/>
            <w:hideMark/>
          </w:tcPr>
          <w:p w14:paraId="1CF5CBEB"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2016</w:t>
            </w:r>
          </w:p>
        </w:tc>
        <w:tc>
          <w:tcPr>
            <w:tcW w:w="1799" w:type="dxa"/>
            <w:tcBorders>
              <w:top w:val="nil"/>
              <w:left w:val="nil"/>
              <w:bottom w:val="single" w:sz="4" w:space="0" w:color="auto"/>
              <w:right w:val="single" w:sz="4" w:space="0" w:color="auto"/>
            </w:tcBorders>
            <w:shd w:val="clear" w:color="auto" w:fill="FFFFFF"/>
            <w:vAlign w:val="center"/>
            <w:hideMark/>
          </w:tcPr>
          <w:p w14:paraId="1C9CB889"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c>
          <w:tcPr>
            <w:tcW w:w="1578" w:type="dxa"/>
            <w:tcBorders>
              <w:top w:val="nil"/>
              <w:left w:val="nil"/>
              <w:bottom w:val="single" w:sz="4" w:space="0" w:color="auto"/>
              <w:right w:val="single" w:sz="8" w:space="0" w:color="auto"/>
            </w:tcBorders>
            <w:shd w:val="clear" w:color="auto" w:fill="FFFFFF"/>
            <w:vAlign w:val="center"/>
            <w:hideMark/>
          </w:tcPr>
          <w:p w14:paraId="43602228"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r>
      <w:tr w:rsidR="0078756B" w:rsidRPr="00D134EB" w14:paraId="1EFAE207"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7A367C94"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4" w:space="0" w:color="auto"/>
              <w:right w:val="single" w:sz="4" w:space="0" w:color="auto"/>
            </w:tcBorders>
            <w:vAlign w:val="bottom"/>
            <w:hideMark/>
          </w:tcPr>
          <w:p w14:paraId="17562C2F"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2017</w:t>
            </w:r>
          </w:p>
        </w:tc>
        <w:tc>
          <w:tcPr>
            <w:tcW w:w="1799" w:type="dxa"/>
            <w:tcBorders>
              <w:top w:val="nil"/>
              <w:left w:val="nil"/>
              <w:bottom w:val="single" w:sz="4" w:space="0" w:color="auto"/>
              <w:right w:val="single" w:sz="4" w:space="0" w:color="auto"/>
            </w:tcBorders>
            <w:vAlign w:val="center"/>
            <w:hideMark/>
          </w:tcPr>
          <w:p w14:paraId="5FE9C8A3"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6</w:t>
            </w:r>
          </w:p>
        </w:tc>
        <w:tc>
          <w:tcPr>
            <w:tcW w:w="1578" w:type="dxa"/>
            <w:tcBorders>
              <w:top w:val="nil"/>
              <w:left w:val="nil"/>
              <w:bottom w:val="single" w:sz="4" w:space="0" w:color="auto"/>
              <w:right w:val="single" w:sz="8" w:space="0" w:color="auto"/>
            </w:tcBorders>
            <w:vAlign w:val="center"/>
            <w:hideMark/>
          </w:tcPr>
          <w:p w14:paraId="26C2EC95"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1.695</w:t>
            </w:r>
          </w:p>
        </w:tc>
      </w:tr>
      <w:tr w:rsidR="0078756B" w:rsidRPr="00D134EB" w14:paraId="53B0FB84"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19BDEE7A"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4" w:space="0" w:color="auto"/>
              <w:right w:val="single" w:sz="4" w:space="0" w:color="auto"/>
            </w:tcBorders>
            <w:vAlign w:val="bottom"/>
            <w:hideMark/>
          </w:tcPr>
          <w:p w14:paraId="2672802F"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2018</w:t>
            </w:r>
          </w:p>
        </w:tc>
        <w:tc>
          <w:tcPr>
            <w:tcW w:w="1799" w:type="dxa"/>
            <w:tcBorders>
              <w:top w:val="nil"/>
              <w:left w:val="nil"/>
              <w:bottom w:val="single" w:sz="4" w:space="0" w:color="auto"/>
              <w:right w:val="single" w:sz="4" w:space="0" w:color="auto"/>
            </w:tcBorders>
            <w:vAlign w:val="center"/>
            <w:hideMark/>
          </w:tcPr>
          <w:p w14:paraId="11AC57F4"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21</w:t>
            </w:r>
          </w:p>
        </w:tc>
        <w:tc>
          <w:tcPr>
            <w:tcW w:w="1578" w:type="dxa"/>
            <w:tcBorders>
              <w:top w:val="nil"/>
              <w:left w:val="nil"/>
              <w:bottom w:val="single" w:sz="4" w:space="0" w:color="auto"/>
              <w:right w:val="single" w:sz="8" w:space="0" w:color="auto"/>
            </w:tcBorders>
            <w:vAlign w:val="center"/>
            <w:hideMark/>
          </w:tcPr>
          <w:p w14:paraId="1BB6ED0E"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7.105</w:t>
            </w:r>
          </w:p>
        </w:tc>
      </w:tr>
      <w:tr w:rsidR="0078756B" w:rsidRPr="00D134EB" w14:paraId="35A3AEC7"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47ADD117"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4" w:space="0" w:color="auto"/>
              <w:right w:val="single" w:sz="4" w:space="0" w:color="auto"/>
            </w:tcBorders>
            <w:vAlign w:val="bottom"/>
            <w:hideMark/>
          </w:tcPr>
          <w:p w14:paraId="723B4CE6"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2019</w:t>
            </w:r>
          </w:p>
        </w:tc>
        <w:tc>
          <w:tcPr>
            <w:tcW w:w="1799" w:type="dxa"/>
            <w:tcBorders>
              <w:top w:val="nil"/>
              <w:left w:val="nil"/>
              <w:bottom w:val="single" w:sz="4" w:space="0" w:color="auto"/>
              <w:right w:val="single" w:sz="4" w:space="0" w:color="auto"/>
            </w:tcBorders>
            <w:vAlign w:val="center"/>
            <w:hideMark/>
          </w:tcPr>
          <w:p w14:paraId="680202D2"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33</w:t>
            </w:r>
          </w:p>
        </w:tc>
        <w:tc>
          <w:tcPr>
            <w:tcW w:w="1578" w:type="dxa"/>
            <w:tcBorders>
              <w:top w:val="nil"/>
              <w:left w:val="nil"/>
              <w:bottom w:val="single" w:sz="4" w:space="0" w:color="auto"/>
              <w:right w:val="single" w:sz="8" w:space="0" w:color="auto"/>
            </w:tcBorders>
            <w:vAlign w:val="center"/>
            <w:hideMark/>
          </w:tcPr>
          <w:p w14:paraId="30332874"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9.081</w:t>
            </w:r>
          </w:p>
        </w:tc>
      </w:tr>
      <w:tr w:rsidR="0078756B" w:rsidRPr="00D134EB" w14:paraId="3072C1DB"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6374CA74"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4" w:space="0" w:color="auto"/>
              <w:right w:val="single" w:sz="4" w:space="0" w:color="auto"/>
            </w:tcBorders>
            <w:vAlign w:val="bottom"/>
            <w:hideMark/>
          </w:tcPr>
          <w:p w14:paraId="1287ACE5"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2020</w:t>
            </w:r>
          </w:p>
        </w:tc>
        <w:tc>
          <w:tcPr>
            <w:tcW w:w="1799" w:type="dxa"/>
            <w:tcBorders>
              <w:top w:val="nil"/>
              <w:left w:val="nil"/>
              <w:bottom w:val="single" w:sz="4" w:space="0" w:color="auto"/>
              <w:right w:val="single" w:sz="4" w:space="0" w:color="auto"/>
            </w:tcBorders>
            <w:vAlign w:val="center"/>
            <w:hideMark/>
          </w:tcPr>
          <w:p w14:paraId="7A007E1E"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18</w:t>
            </w:r>
          </w:p>
        </w:tc>
        <w:tc>
          <w:tcPr>
            <w:tcW w:w="1578" w:type="dxa"/>
            <w:tcBorders>
              <w:top w:val="nil"/>
              <w:left w:val="nil"/>
              <w:bottom w:val="single" w:sz="4" w:space="0" w:color="auto"/>
              <w:right w:val="single" w:sz="8" w:space="0" w:color="auto"/>
            </w:tcBorders>
            <w:vAlign w:val="center"/>
            <w:hideMark/>
          </w:tcPr>
          <w:p w14:paraId="7FF33630"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1.787</w:t>
            </w:r>
          </w:p>
        </w:tc>
      </w:tr>
      <w:tr w:rsidR="0078756B" w:rsidRPr="00D134EB" w14:paraId="4ABB6E0E"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3D83B01F"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4" w:space="0" w:color="auto"/>
              <w:right w:val="single" w:sz="4" w:space="0" w:color="auto"/>
            </w:tcBorders>
            <w:vAlign w:val="bottom"/>
            <w:hideMark/>
          </w:tcPr>
          <w:p w14:paraId="00086CA2"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2021</w:t>
            </w:r>
          </w:p>
        </w:tc>
        <w:tc>
          <w:tcPr>
            <w:tcW w:w="1799" w:type="dxa"/>
            <w:tcBorders>
              <w:top w:val="nil"/>
              <w:left w:val="nil"/>
              <w:bottom w:val="single" w:sz="4" w:space="0" w:color="auto"/>
              <w:right w:val="single" w:sz="4" w:space="0" w:color="auto"/>
            </w:tcBorders>
            <w:vAlign w:val="center"/>
            <w:hideMark/>
          </w:tcPr>
          <w:p w14:paraId="5E3C2E62"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17</w:t>
            </w:r>
          </w:p>
        </w:tc>
        <w:tc>
          <w:tcPr>
            <w:tcW w:w="1578" w:type="dxa"/>
            <w:tcBorders>
              <w:top w:val="nil"/>
              <w:left w:val="nil"/>
              <w:bottom w:val="single" w:sz="4" w:space="0" w:color="auto"/>
              <w:right w:val="single" w:sz="8" w:space="0" w:color="auto"/>
            </w:tcBorders>
            <w:vAlign w:val="center"/>
            <w:hideMark/>
          </w:tcPr>
          <w:p w14:paraId="45CC53E6"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6.844</w:t>
            </w:r>
          </w:p>
        </w:tc>
      </w:tr>
      <w:tr w:rsidR="0078756B" w:rsidRPr="00D134EB" w14:paraId="2BDA857F"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1379DE37"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09" w:type="dxa"/>
            <w:tcBorders>
              <w:top w:val="nil"/>
              <w:left w:val="nil"/>
              <w:bottom w:val="single" w:sz="8" w:space="0" w:color="auto"/>
              <w:right w:val="single" w:sz="4" w:space="0" w:color="auto"/>
            </w:tcBorders>
            <w:vAlign w:val="bottom"/>
            <w:hideMark/>
          </w:tcPr>
          <w:p w14:paraId="454E9043"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A marzo 2022</w:t>
            </w:r>
          </w:p>
        </w:tc>
        <w:tc>
          <w:tcPr>
            <w:tcW w:w="1799" w:type="dxa"/>
            <w:tcBorders>
              <w:top w:val="nil"/>
              <w:left w:val="nil"/>
              <w:bottom w:val="single" w:sz="8" w:space="0" w:color="auto"/>
              <w:right w:val="single" w:sz="4" w:space="0" w:color="auto"/>
            </w:tcBorders>
            <w:vAlign w:val="center"/>
            <w:hideMark/>
          </w:tcPr>
          <w:p w14:paraId="72014197"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w:t>
            </w:r>
          </w:p>
        </w:tc>
        <w:tc>
          <w:tcPr>
            <w:tcW w:w="1578" w:type="dxa"/>
            <w:tcBorders>
              <w:top w:val="nil"/>
              <w:left w:val="nil"/>
              <w:bottom w:val="single" w:sz="8" w:space="0" w:color="auto"/>
              <w:right w:val="single" w:sz="8" w:space="0" w:color="auto"/>
            </w:tcBorders>
            <w:vAlign w:val="center"/>
            <w:hideMark/>
          </w:tcPr>
          <w:p w14:paraId="353E233C"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675</w:t>
            </w:r>
          </w:p>
        </w:tc>
      </w:tr>
      <w:tr w:rsidR="0078756B" w:rsidRPr="00D134EB" w14:paraId="226293A1" w14:textId="77777777" w:rsidTr="00A77871">
        <w:trPr>
          <w:trHeight w:val="118"/>
          <w:jc w:val="center"/>
        </w:trPr>
        <w:tc>
          <w:tcPr>
            <w:tcW w:w="3107" w:type="dxa"/>
            <w:gridSpan w:val="2"/>
            <w:tcBorders>
              <w:top w:val="single" w:sz="8" w:space="0" w:color="auto"/>
              <w:left w:val="single" w:sz="8" w:space="0" w:color="auto"/>
              <w:bottom w:val="single" w:sz="8" w:space="0" w:color="auto"/>
              <w:right w:val="single" w:sz="4" w:space="0" w:color="000000"/>
            </w:tcBorders>
            <w:shd w:val="clear" w:color="auto" w:fill="DBDBDB"/>
            <w:vAlign w:val="center"/>
            <w:hideMark/>
          </w:tcPr>
          <w:p w14:paraId="794024A9"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TOTAL</w:t>
            </w:r>
          </w:p>
        </w:tc>
        <w:tc>
          <w:tcPr>
            <w:tcW w:w="1799" w:type="dxa"/>
            <w:tcBorders>
              <w:top w:val="nil"/>
              <w:left w:val="nil"/>
              <w:bottom w:val="single" w:sz="8" w:space="0" w:color="auto"/>
              <w:right w:val="single" w:sz="4" w:space="0" w:color="auto"/>
            </w:tcBorders>
            <w:shd w:val="clear" w:color="auto" w:fill="DBDBDB"/>
            <w:vAlign w:val="center"/>
            <w:hideMark/>
          </w:tcPr>
          <w:p w14:paraId="2CCB6B32"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97</w:t>
            </w:r>
          </w:p>
        </w:tc>
        <w:tc>
          <w:tcPr>
            <w:tcW w:w="1578" w:type="dxa"/>
            <w:tcBorders>
              <w:top w:val="nil"/>
              <w:left w:val="nil"/>
              <w:bottom w:val="single" w:sz="8" w:space="0" w:color="auto"/>
              <w:right w:val="single" w:sz="8" w:space="0" w:color="auto"/>
            </w:tcBorders>
            <w:shd w:val="clear" w:color="auto" w:fill="DBDBDB"/>
            <w:vAlign w:val="center"/>
            <w:hideMark/>
          </w:tcPr>
          <w:p w14:paraId="12DC2420"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27.187</w:t>
            </w:r>
          </w:p>
        </w:tc>
      </w:tr>
    </w:tbl>
    <w:p w14:paraId="3AC63D36" w14:textId="77777777" w:rsidR="0078756B" w:rsidRPr="00D134EB" w:rsidRDefault="0078756B" w:rsidP="0078756B">
      <w:pPr>
        <w:spacing w:after="0" w:line="240" w:lineRule="auto"/>
        <w:jc w:val="center"/>
        <w:textAlignment w:val="baseline"/>
        <w:rPr>
          <w:rFonts w:ascii="Times New Roman" w:eastAsia="Times New Roman" w:hAnsi="Times New Roman" w:cs="Times New Roman"/>
          <w:color w:val="000000"/>
          <w:sz w:val="20"/>
          <w:szCs w:val="20"/>
          <w:lang w:eastAsia="es-CO"/>
        </w:rPr>
      </w:pPr>
    </w:p>
    <w:p w14:paraId="6AA3C081" w14:textId="77777777" w:rsidR="0078756B" w:rsidRPr="00D134EB" w:rsidRDefault="0078756B" w:rsidP="0078756B">
      <w:pPr>
        <w:spacing w:after="0" w:line="240" w:lineRule="auto"/>
        <w:jc w:val="center"/>
        <w:textAlignment w:val="baseline"/>
        <w:rPr>
          <w:rFonts w:ascii="Times New Roman" w:eastAsia="Times New Roman" w:hAnsi="Times New Roman" w:cs="Times New Roman"/>
          <w:vanish/>
          <w:color w:val="000000"/>
          <w:sz w:val="20"/>
          <w:szCs w:val="20"/>
          <w:lang w:eastAsia="es-CO"/>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671"/>
        <w:gridCol w:w="1416"/>
        <w:gridCol w:w="1820"/>
        <w:gridCol w:w="1606"/>
      </w:tblGrid>
      <w:tr w:rsidR="0078756B" w:rsidRPr="00D134EB" w14:paraId="210BC6DE" w14:textId="77777777" w:rsidTr="001C28AB">
        <w:trPr>
          <w:trHeight w:val="388"/>
          <w:jc w:val="center"/>
        </w:trPr>
        <w:tc>
          <w:tcPr>
            <w:tcW w:w="6513" w:type="dxa"/>
            <w:gridSpan w:val="4"/>
            <w:tcBorders>
              <w:top w:val="nil"/>
              <w:left w:val="single" w:sz="8" w:space="0" w:color="auto"/>
              <w:bottom w:val="single" w:sz="8" w:space="0" w:color="auto"/>
              <w:right w:val="single" w:sz="8" w:space="0" w:color="000000"/>
            </w:tcBorders>
            <w:shd w:val="clear" w:color="auto" w:fill="002060"/>
            <w:vAlign w:val="center"/>
            <w:hideMark/>
          </w:tcPr>
          <w:p w14:paraId="271D106C" w14:textId="77777777" w:rsidR="0078756B" w:rsidRPr="00D134EB" w:rsidRDefault="0078756B" w:rsidP="0078756B">
            <w:pPr>
              <w:spacing w:after="0" w:line="240" w:lineRule="auto"/>
              <w:jc w:val="center"/>
              <w:rPr>
                <w:rFonts w:ascii="Times New Roman" w:eastAsia="Times New Roman" w:hAnsi="Times New Roman" w:cs="Times New Roman"/>
                <w:b/>
                <w:bCs/>
                <w:color w:val="FFFFFF"/>
                <w:sz w:val="20"/>
                <w:szCs w:val="20"/>
                <w:lang w:eastAsia="es-CO"/>
              </w:rPr>
            </w:pPr>
            <w:r w:rsidRPr="00D134EB">
              <w:rPr>
                <w:rFonts w:ascii="Times New Roman" w:eastAsia="Times New Roman" w:hAnsi="Times New Roman" w:cs="Times New Roman"/>
                <w:b/>
                <w:bCs/>
                <w:color w:val="FFFFFF"/>
                <w:sz w:val="20"/>
                <w:szCs w:val="20"/>
                <w:lang w:eastAsia="es-CO"/>
              </w:rPr>
              <w:t>INSPECCIÓN MOVIL</w:t>
            </w:r>
          </w:p>
        </w:tc>
      </w:tr>
      <w:tr w:rsidR="0078756B" w:rsidRPr="00D134EB" w14:paraId="4D965D54" w14:textId="77777777" w:rsidTr="0078756B">
        <w:trPr>
          <w:trHeight w:val="597"/>
          <w:jc w:val="center"/>
        </w:trPr>
        <w:tc>
          <w:tcPr>
            <w:tcW w:w="1671" w:type="dxa"/>
            <w:tcBorders>
              <w:top w:val="nil"/>
              <w:left w:val="single" w:sz="8" w:space="0" w:color="auto"/>
              <w:bottom w:val="single" w:sz="8" w:space="0" w:color="auto"/>
              <w:right w:val="single" w:sz="4" w:space="0" w:color="auto"/>
            </w:tcBorders>
            <w:shd w:val="clear" w:color="auto" w:fill="DBDBDB"/>
            <w:vAlign w:val="center"/>
            <w:hideMark/>
          </w:tcPr>
          <w:p w14:paraId="5BD8FF00"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MODO DE OPERAR</w:t>
            </w:r>
          </w:p>
        </w:tc>
        <w:tc>
          <w:tcPr>
            <w:tcW w:w="1416" w:type="dxa"/>
            <w:tcBorders>
              <w:top w:val="nil"/>
              <w:left w:val="nil"/>
              <w:bottom w:val="single" w:sz="8" w:space="0" w:color="auto"/>
              <w:right w:val="single" w:sz="4" w:space="0" w:color="auto"/>
            </w:tcBorders>
            <w:shd w:val="clear" w:color="auto" w:fill="DBDBDB"/>
            <w:vAlign w:val="center"/>
            <w:hideMark/>
          </w:tcPr>
          <w:p w14:paraId="2EBB805D"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AÑO</w:t>
            </w:r>
          </w:p>
        </w:tc>
        <w:tc>
          <w:tcPr>
            <w:tcW w:w="1820" w:type="dxa"/>
            <w:tcBorders>
              <w:top w:val="nil"/>
              <w:left w:val="nil"/>
              <w:bottom w:val="single" w:sz="8" w:space="0" w:color="auto"/>
              <w:right w:val="single" w:sz="4" w:space="0" w:color="auto"/>
            </w:tcBorders>
            <w:shd w:val="clear" w:color="auto" w:fill="DBDBDB"/>
            <w:vAlign w:val="center"/>
            <w:hideMark/>
          </w:tcPr>
          <w:p w14:paraId="6A382FB2"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No. MUNICIPIOS INTERVENIDOS</w:t>
            </w:r>
          </w:p>
        </w:tc>
        <w:tc>
          <w:tcPr>
            <w:tcW w:w="1605" w:type="dxa"/>
            <w:tcBorders>
              <w:top w:val="nil"/>
              <w:left w:val="nil"/>
              <w:bottom w:val="single" w:sz="8" w:space="0" w:color="auto"/>
              <w:right w:val="single" w:sz="8" w:space="0" w:color="auto"/>
            </w:tcBorders>
            <w:shd w:val="clear" w:color="auto" w:fill="DBDBDB"/>
            <w:vAlign w:val="center"/>
            <w:hideMark/>
          </w:tcPr>
          <w:p w14:paraId="088ABD8C"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No. PERSONAS ATENDIDAS</w:t>
            </w:r>
          </w:p>
        </w:tc>
      </w:tr>
      <w:tr w:rsidR="0078756B" w:rsidRPr="00D134EB" w14:paraId="6C16E022" w14:textId="77777777" w:rsidTr="0078756B">
        <w:trPr>
          <w:jc w:val="center"/>
        </w:trPr>
        <w:tc>
          <w:tcPr>
            <w:tcW w:w="1671" w:type="dxa"/>
            <w:vMerge w:val="restart"/>
            <w:tcBorders>
              <w:top w:val="nil"/>
              <w:left w:val="single" w:sz="8" w:space="0" w:color="auto"/>
              <w:bottom w:val="single" w:sz="8" w:space="0" w:color="000000"/>
              <w:right w:val="single" w:sz="4" w:space="0" w:color="auto"/>
            </w:tcBorders>
            <w:vAlign w:val="center"/>
            <w:hideMark/>
          </w:tcPr>
          <w:p w14:paraId="1C874592"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BRIGADAS DE INSPECCIÓN</w:t>
            </w:r>
          </w:p>
        </w:tc>
        <w:tc>
          <w:tcPr>
            <w:tcW w:w="1416" w:type="dxa"/>
            <w:tcBorders>
              <w:top w:val="nil"/>
              <w:left w:val="nil"/>
              <w:bottom w:val="single" w:sz="4" w:space="0" w:color="auto"/>
              <w:right w:val="single" w:sz="4" w:space="0" w:color="auto"/>
            </w:tcBorders>
            <w:shd w:val="clear" w:color="auto" w:fill="FFFFFF"/>
            <w:vAlign w:val="center"/>
            <w:hideMark/>
          </w:tcPr>
          <w:p w14:paraId="0C84B4A7"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2016</w:t>
            </w:r>
          </w:p>
        </w:tc>
        <w:tc>
          <w:tcPr>
            <w:tcW w:w="1820" w:type="dxa"/>
            <w:tcBorders>
              <w:top w:val="nil"/>
              <w:left w:val="nil"/>
              <w:bottom w:val="single" w:sz="4" w:space="0" w:color="auto"/>
              <w:right w:val="single" w:sz="4" w:space="0" w:color="auto"/>
            </w:tcBorders>
            <w:shd w:val="clear" w:color="auto" w:fill="FFFFFF"/>
            <w:vAlign w:val="center"/>
            <w:hideMark/>
          </w:tcPr>
          <w:p w14:paraId="5A133080"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c>
          <w:tcPr>
            <w:tcW w:w="1605" w:type="dxa"/>
            <w:tcBorders>
              <w:top w:val="nil"/>
              <w:left w:val="nil"/>
              <w:bottom w:val="single" w:sz="4" w:space="0" w:color="auto"/>
              <w:right w:val="single" w:sz="8" w:space="0" w:color="auto"/>
            </w:tcBorders>
            <w:shd w:val="clear" w:color="auto" w:fill="FFFFFF"/>
            <w:vAlign w:val="center"/>
            <w:hideMark/>
          </w:tcPr>
          <w:p w14:paraId="2D38836E"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r>
      <w:tr w:rsidR="0078756B" w:rsidRPr="00D134EB" w14:paraId="7C9BF6CE"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44A17C00"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4" w:space="0" w:color="auto"/>
              <w:right w:val="single" w:sz="4" w:space="0" w:color="auto"/>
            </w:tcBorders>
            <w:vAlign w:val="bottom"/>
            <w:hideMark/>
          </w:tcPr>
          <w:p w14:paraId="021EEB63"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2017</w:t>
            </w:r>
          </w:p>
        </w:tc>
        <w:tc>
          <w:tcPr>
            <w:tcW w:w="1820" w:type="dxa"/>
            <w:tcBorders>
              <w:top w:val="nil"/>
              <w:left w:val="nil"/>
              <w:bottom w:val="single" w:sz="4" w:space="0" w:color="auto"/>
              <w:right w:val="single" w:sz="4" w:space="0" w:color="auto"/>
            </w:tcBorders>
            <w:vAlign w:val="center"/>
            <w:hideMark/>
          </w:tcPr>
          <w:p w14:paraId="7738F134"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c>
          <w:tcPr>
            <w:tcW w:w="1605" w:type="dxa"/>
            <w:tcBorders>
              <w:top w:val="nil"/>
              <w:left w:val="nil"/>
              <w:bottom w:val="single" w:sz="4" w:space="0" w:color="auto"/>
              <w:right w:val="single" w:sz="8" w:space="0" w:color="auto"/>
            </w:tcBorders>
            <w:vAlign w:val="center"/>
            <w:hideMark/>
          </w:tcPr>
          <w:p w14:paraId="5E8A5998"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r>
      <w:tr w:rsidR="0078756B" w:rsidRPr="00D134EB" w14:paraId="23A821B3"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06582DD5"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4" w:space="0" w:color="auto"/>
              <w:right w:val="single" w:sz="4" w:space="0" w:color="auto"/>
            </w:tcBorders>
            <w:vAlign w:val="bottom"/>
            <w:hideMark/>
          </w:tcPr>
          <w:p w14:paraId="7FE2F48E"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2018</w:t>
            </w:r>
          </w:p>
        </w:tc>
        <w:tc>
          <w:tcPr>
            <w:tcW w:w="1820" w:type="dxa"/>
            <w:tcBorders>
              <w:top w:val="nil"/>
              <w:left w:val="nil"/>
              <w:bottom w:val="single" w:sz="4" w:space="0" w:color="auto"/>
              <w:right w:val="single" w:sz="4" w:space="0" w:color="auto"/>
            </w:tcBorders>
            <w:vAlign w:val="center"/>
            <w:hideMark/>
          </w:tcPr>
          <w:p w14:paraId="40CCE3EC"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35</w:t>
            </w:r>
          </w:p>
        </w:tc>
        <w:tc>
          <w:tcPr>
            <w:tcW w:w="1605" w:type="dxa"/>
            <w:tcBorders>
              <w:top w:val="nil"/>
              <w:left w:val="nil"/>
              <w:bottom w:val="single" w:sz="4" w:space="0" w:color="auto"/>
              <w:right w:val="single" w:sz="8" w:space="0" w:color="auto"/>
            </w:tcBorders>
            <w:vAlign w:val="center"/>
            <w:hideMark/>
          </w:tcPr>
          <w:p w14:paraId="0F50A3C9"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3.519</w:t>
            </w:r>
          </w:p>
        </w:tc>
      </w:tr>
      <w:tr w:rsidR="0078756B" w:rsidRPr="00D134EB" w14:paraId="533E6E5C"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0421950A"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4" w:space="0" w:color="auto"/>
              <w:right w:val="single" w:sz="4" w:space="0" w:color="auto"/>
            </w:tcBorders>
            <w:vAlign w:val="bottom"/>
            <w:hideMark/>
          </w:tcPr>
          <w:p w14:paraId="175F5F47"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2019</w:t>
            </w:r>
          </w:p>
        </w:tc>
        <w:tc>
          <w:tcPr>
            <w:tcW w:w="1820" w:type="dxa"/>
            <w:tcBorders>
              <w:top w:val="nil"/>
              <w:left w:val="nil"/>
              <w:bottom w:val="single" w:sz="4" w:space="0" w:color="auto"/>
              <w:right w:val="single" w:sz="4" w:space="0" w:color="auto"/>
            </w:tcBorders>
            <w:vAlign w:val="center"/>
            <w:hideMark/>
          </w:tcPr>
          <w:p w14:paraId="40D6D493"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51</w:t>
            </w:r>
          </w:p>
        </w:tc>
        <w:tc>
          <w:tcPr>
            <w:tcW w:w="1605" w:type="dxa"/>
            <w:tcBorders>
              <w:top w:val="nil"/>
              <w:left w:val="nil"/>
              <w:bottom w:val="single" w:sz="4" w:space="0" w:color="auto"/>
              <w:right w:val="single" w:sz="8" w:space="0" w:color="auto"/>
            </w:tcBorders>
            <w:vAlign w:val="center"/>
            <w:hideMark/>
          </w:tcPr>
          <w:p w14:paraId="0CA5E492"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7.110</w:t>
            </w:r>
          </w:p>
        </w:tc>
      </w:tr>
      <w:tr w:rsidR="0078756B" w:rsidRPr="00D134EB" w14:paraId="5FC9C9A6" w14:textId="77777777" w:rsidTr="00A77871">
        <w:trPr>
          <w:trHeight w:val="50"/>
          <w:jc w:val="center"/>
        </w:trPr>
        <w:tc>
          <w:tcPr>
            <w:tcW w:w="0" w:type="auto"/>
            <w:vMerge/>
            <w:tcBorders>
              <w:top w:val="nil"/>
              <w:left w:val="single" w:sz="8" w:space="0" w:color="auto"/>
              <w:bottom w:val="single" w:sz="8" w:space="0" w:color="000000"/>
              <w:right w:val="single" w:sz="4" w:space="0" w:color="auto"/>
            </w:tcBorders>
            <w:vAlign w:val="center"/>
            <w:hideMark/>
          </w:tcPr>
          <w:p w14:paraId="1D1C978A"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4" w:space="0" w:color="auto"/>
              <w:right w:val="single" w:sz="4" w:space="0" w:color="auto"/>
            </w:tcBorders>
            <w:vAlign w:val="bottom"/>
            <w:hideMark/>
          </w:tcPr>
          <w:p w14:paraId="6CEE53FC"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2020</w:t>
            </w:r>
          </w:p>
        </w:tc>
        <w:tc>
          <w:tcPr>
            <w:tcW w:w="1820" w:type="dxa"/>
            <w:tcBorders>
              <w:top w:val="nil"/>
              <w:left w:val="nil"/>
              <w:bottom w:val="single" w:sz="4" w:space="0" w:color="auto"/>
              <w:right w:val="single" w:sz="4" w:space="0" w:color="auto"/>
            </w:tcBorders>
            <w:vAlign w:val="center"/>
            <w:hideMark/>
          </w:tcPr>
          <w:p w14:paraId="0E18D5FF"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25</w:t>
            </w:r>
          </w:p>
        </w:tc>
        <w:tc>
          <w:tcPr>
            <w:tcW w:w="1605" w:type="dxa"/>
            <w:tcBorders>
              <w:top w:val="nil"/>
              <w:left w:val="nil"/>
              <w:bottom w:val="single" w:sz="4" w:space="0" w:color="auto"/>
              <w:right w:val="single" w:sz="8" w:space="0" w:color="auto"/>
            </w:tcBorders>
            <w:vAlign w:val="center"/>
            <w:hideMark/>
          </w:tcPr>
          <w:p w14:paraId="69D65D65"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149.561</w:t>
            </w:r>
          </w:p>
        </w:tc>
      </w:tr>
      <w:tr w:rsidR="0078756B" w:rsidRPr="00D134EB" w14:paraId="10A013C5" w14:textId="77777777" w:rsidTr="00A77871">
        <w:trPr>
          <w:trHeight w:val="128"/>
          <w:jc w:val="center"/>
        </w:trPr>
        <w:tc>
          <w:tcPr>
            <w:tcW w:w="0" w:type="auto"/>
            <w:vMerge/>
            <w:tcBorders>
              <w:top w:val="nil"/>
              <w:left w:val="single" w:sz="8" w:space="0" w:color="auto"/>
              <w:bottom w:val="single" w:sz="8" w:space="0" w:color="000000"/>
              <w:right w:val="single" w:sz="4" w:space="0" w:color="auto"/>
            </w:tcBorders>
            <w:vAlign w:val="center"/>
            <w:hideMark/>
          </w:tcPr>
          <w:p w14:paraId="5B49DCF7"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4" w:space="0" w:color="auto"/>
              <w:right w:val="single" w:sz="4" w:space="0" w:color="auto"/>
            </w:tcBorders>
            <w:vAlign w:val="bottom"/>
            <w:hideMark/>
          </w:tcPr>
          <w:p w14:paraId="3BAECCA4"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2021</w:t>
            </w:r>
          </w:p>
        </w:tc>
        <w:tc>
          <w:tcPr>
            <w:tcW w:w="1820" w:type="dxa"/>
            <w:tcBorders>
              <w:top w:val="nil"/>
              <w:left w:val="nil"/>
              <w:bottom w:val="single" w:sz="4" w:space="0" w:color="auto"/>
              <w:right w:val="single" w:sz="4" w:space="0" w:color="auto"/>
            </w:tcBorders>
            <w:vAlign w:val="center"/>
            <w:hideMark/>
          </w:tcPr>
          <w:p w14:paraId="3BED9269"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38</w:t>
            </w:r>
          </w:p>
        </w:tc>
        <w:tc>
          <w:tcPr>
            <w:tcW w:w="1605" w:type="dxa"/>
            <w:tcBorders>
              <w:top w:val="nil"/>
              <w:left w:val="nil"/>
              <w:bottom w:val="single" w:sz="4" w:space="0" w:color="auto"/>
              <w:right w:val="single" w:sz="8" w:space="0" w:color="auto"/>
            </w:tcBorders>
            <w:vAlign w:val="center"/>
            <w:hideMark/>
          </w:tcPr>
          <w:p w14:paraId="24169007"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1.281.796</w:t>
            </w:r>
          </w:p>
        </w:tc>
      </w:tr>
      <w:tr w:rsidR="0078756B" w:rsidRPr="00D134EB" w14:paraId="19AD86F5" w14:textId="77777777" w:rsidTr="0078756B">
        <w:trPr>
          <w:jc w:val="center"/>
        </w:trPr>
        <w:tc>
          <w:tcPr>
            <w:tcW w:w="0" w:type="auto"/>
            <w:vMerge/>
            <w:tcBorders>
              <w:top w:val="nil"/>
              <w:left w:val="single" w:sz="8" w:space="0" w:color="auto"/>
              <w:bottom w:val="single" w:sz="8" w:space="0" w:color="000000"/>
              <w:right w:val="single" w:sz="4" w:space="0" w:color="auto"/>
            </w:tcBorders>
            <w:vAlign w:val="center"/>
            <w:hideMark/>
          </w:tcPr>
          <w:p w14:paraId="68231B05"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p>
        </w:tc>
        <w:tc>
          <w:tcPr>
            <w:tcW w:w="1416" w:type="dxa"/>
            <w:tcBorders>
              <w:top w:val="nil"/>
              <w:left w:val="nil"/>
              <w:bottom w:val="single" w:sz="8" w:space="0" w:color="auto"/>
              <w:right w:val="single" w:sz="4" w:space="0" w:color="auto"/>
            </w:tcBorders>
            <w:vAlign w:val="bottom"/>
            <w:hideMark/>
          </w:tcPr>
          <w:p w14:paraId="25D08056"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A marzo 2022</w:t>
            </w:r>
          </w:p>
        </w:tc>
        <w:tc>
          <w:tcPr>
            <w:tcW w:w="1820" w:type="dxa"/>
            <w:tcBorders>
              <w:top w:val="nil"/>
              <w:left w:val="nil"/>
              <w:bottom w:val="single" w:sz="8" w:space="0" w:color="auto"/>
              <w:right w:val="single" w:sz="4" w:space="0" w:color="auto"/>
            </w:tcBorders>
            <w:vAlign w:val="center"/>
            <w:hideMark/>
          </w:tcPr>
          <w:p w14:paraId="4AD81DD6"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c>
          <w:tcPr>
            <w:tcW w:w="1605" w:type="dxa"/>
            <w:tcBorders>
              <w:top w:val="nil"/>
              <w:left w:val="nil"/>
              <w:bottom w:val="single" w:sz="8" w:space="0" w:color="auto"/>
              <w:right w:val="single" w:sz="8" w:space="0" w:color="auto"/>
            </w:tcBorders>
            <w:vAlign w:val="center"/>
            <w:hideMark/>
          </w:tcPr>
          <w:p w14:paraId="5FFD763A" w14:textId="77777777" w:rsidR="0078756B" w:rsidRPr="00D134EB" w:rsidRDefault="0078756B" w:rsidP="0078756B">
            <w:pPr>
              <w:spacing w:after="0" w:line="240" w:lineRule="auto"/>
              <w:jc w:val="center"/>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0</w:t>
            </w:r>
          </w:p>
        </w:tc>
      </w:tr>
      <w:tr w:rsidR="0078756B" w:rsidRPr="00D134EB" w14:paraId="27AE0EE4" w14:textId="77777777" w:rsidTr="00A77871">
        <w:trPr>
          <w:trHeight w:val="35"/>
          <w:jc w:val="center"/>
        </w:trPr>
        <w:tc>
          <w:tcPr>
            <w:tcW w:w="3087" w:type="dxa"/>
            <w:gridSpan w:val="2"/>
            <w:tcBorders>
              <w:top w:val="single" w:sz="8" w:space="0" w:color="auto"/>
              <w:left w:val="single" w:sz="8" w:space="0" w:color="auto"/>
              <w:bottom w:val="single" w:sz="8" w:space="0" w:color="auto"/>
              <w:right w:val="single" w:sz="4" w:space="0" w:color="000000"/>
            </w:tcBorders>
            <w:shd w:val="clear" w:color="auto" w:fill="DBDBDB"/>
            <w:vAlign w:val="bottom"/>
            <w:hideMark/>
          </w:tcPr>
          <w:p w14:paraId="311F3075"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TOTAL</w:t>
            </w:r>
          </w:p>
        </w:tc>
        <w:tc>
          <w:tcPr>
            <w:tcW w:w="1820" w:type="dxa"/>
            <w:tcBorders>
              <w:top w:val="nil"/>
              <w:left w:val="nil"/>
              <w:bottom w:val="single" w:sz="8" w:space="0" w:color="auto"/>
              <w:right w:val="single" w:sz="4" w:space="0" w:color="auto"/>
            </w:tcBorders>
            <w:shd w:val="clear" w:color="auto" w:fill="DBDBDB"/>
            <w:vAlign w:val="center"/>
            <w:hideMark/>
          </w:tcPr>
          <w:p w14:paraId="1492CEF9"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149</w:t>
            </w:r>
          </w:p>
        </w:tc>
        <w:tc>
          <w:tcPr>
            <w:tcW w:w="1605" w:type="dxa"/>
            <w:tcBorders>
              <w:top w:val="nil"/>
              <w:left w:val="nil"/>
              <w:bottom w:val="single" w:sz="8" w:space="0" w:color="auto"/>
              <w:right w:val="single" w:sz="8" w:space="0" w:color="auto"/>
            </w:tcBorders>
            <w:shd w:val="clear" w:color="auto" w:fill="DBDBDB"/>
            <w:vAlign w:val="center"/>
            <w:hideMark/>
          </w:tcPr>
          <w:p w14:paraId="5F1AF175" w14:textId="77777777" w:rsidR="0078756B" w:rsidRPr="00D134EB" w:rsidRDefault="0078756B" w:rsidP="0078756B">
            <w:pPr>
              <w:spacing w:after="0" w:line="240" w:lineRule="auto"/>
              <w:jc w:val="center"/>
              <w:rPr>
                <w:rFonts w:ascii="Times New Roman" w:eastAsia="Times New Roman" w:hAnsi="Times New Roman" w:cs="Times New Roman"/>
                <w:b/>
                <w:bCs/>
                <w:color w:val="000000"/>
                <w:sz w:val="20"/>
                <w:szCs w:val="20"/>
                <w:lang w:eastAsia="es-CO"/>
              </w:rPr>
            </w:pPr>
            <w:r w:rsidRPr="00D134EB">
              <w:rPr>
                <w:rFonts w:ascii="Times New Roman" w:eastAsia="Times New Roman" w:hAnsi="Times New Roman" w:cs="Times New Roman"/>
                <w:b/>
                <w:bCs/>
                <w:color w:val="000000"/>
                <w:sz w:val="20"/>
                <w:szCs w:val="20"/>
                <w:lang w:eastAsia="es-CO"/>
              </w:rPr>
              <w:t>1.441.986</w:t>
            </w:r>
          </w:p>
        </w:tc>
      </w:tr>
    </w:tbl>
    <w:p w14:paraId="342DFA60" w14:textId="62EB03EC" w:rsidR="00C1215B" w:rsidRPr="00D134EB" w:rsidRDefault="00BF5352" w:rsidP="00C1215B">
      <w:pPr>
        <w:pStyle w:val="Ttulo1"/>
        <w:spacing w:line="360" w:lineRule="auto"/>
        <w:jc w:val="center"/>
        <w:rPr>
          <w:rFonts w:ascii="Times New Roman" w:hAnsi="Times New Roman" w:cs="Times New Roman"/>
          <w:b/>
          <w:bCs/>
          <w:color w:val="auto"/>
          <w:sz w:val="24"/>
          <w:szCs w:val="24"/>
        </w:rPr>
      </w:pPr>
      <w:bookmarkStart w:id="3" w:name="_Toc116679733"/>
      <w:bookmarkStart w:id="4" w:name="_Toc116977709"/>
      <w:r w:rsidRPr="00D134EB">
        <w:rPr>
          <w:rFonts w:ascii="Times New Roman" w:hAnsi="Times New Roman" w:cs="Times New Roman"/>
          <w:b/>
          <w:bCs/>
          <w:color w:val="auto"/>
          <w:sz w:val="24"/>
          <w:szCs w:val="24"/>
        </w:rPr>
        <w:lastRenderedPageBreak/>
        <w:t xml:space="preserve">Anexo </w:t>
      </w:r>
      <w:r w:rsidR="0084007B" w:rsidRPr="00D134EB">
        <w:rPr>
          <w:rFonts w:ascii="Times New Roman" w:hAnsi="Times New Roman" w:cs="Times New Roman"/>
          <w:b/>
          <w:bCs/>
          <w:color w:val="auto"/>
          <w:sz w:val="24"/>
          <w:szCs w:val="24"/>
        </w:rPr>
        <w:t>2. Instituto Colombiano de Bienestar Familiar</w:t>
      </w:r>
      <w:r w:rsidR="00051B74" w:rsidRPr="00D134EB">
        <w:rPr>
          <w:rFonts w:ascii="Times New Roman" w:hAnsi="Times New Roman" w:cs="Times New Roman"/>
          <w:b/>
          <w:bCs/>
          <w:color w:val="auto"/>
          <w:sz w:val="24"/>
          <w:szCs w:val="24"/>
        </w:rPr>
        <w:t xml:space="preserve"> – ICBF.</w:t>
      </w:r>
      <w:bookmarkEnd w:id="3"/>
      <w:bookmarkEnd w:id="4"/>
    </w:p>
    <w:p w14:paraId="3EC83ED4" w14:textId="1EF9F8F1" w:rsidR="0084007B"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Reporte nacional de las niñas, niños y adolescentes atendidos en un Proceso Administrativo de Restablecimiento de Derechos (PARD), con motivo de ingreso trabajo infantil, en las vigencias 2016 a 2022 (mayo).</w:t>
      </w:r>
    </w:p>
    <w:tbl>
      <w:tblPr>
        <w:tblStyle w:val="Tablaconcuadrcula"/>
        <w:tblW w:w="8359" w:type="dxa"/>
        <w:tblLook w:val="04A0" w:firstRow="1" w:lastRow="0" w:firstColumn="1" w:lastColumn="0" w:noHBand="0" w:noVBand="1"/>
      </w:tblPr>
      <w:tblGrid>
        <w:gridCol w:w="1838"/>
        <w:gridCol w:w="955"/>
        <w:gridCol w:w="941"/>
        <w:gridCol w:w="820"/>
        <w:gridCol w:w="839"/>
        <w:gridCol w:w="788"/>
        <w:gridCol w:w="879"/>
        <w:gridCol w:w="1299"/>
      </w:tblGrid>
      <w:tr w:rsidR="000A3B84" w:rsidRPr="00D134EB" w14:paraId="15876A3F" w14:textId="77777777" w:rsidTr="000A3B84">
        <w:tc>
          <w:tcPr>
            <w:tcW w:w="1838" w:type="dxa"/>
            <w:vMerge w:val="restart"/>
            <w:shd w:val="clear" w:color="auto" w:fill="A8D08D" w:themeFill="accent6" w:themeFillTint="99"/>
          </w:tcPr>
          <w:p w14:paraId="59268546" w14:textId="36EC9709"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REGIONAL</w:t>
            </w:r>
          </w:p>
        </w:tc>
        <w:tc>
          <w:tcPr>
            <w:tcW w:w="6521" w:type="dxa"/>
            <w:gridSpan w:val="7"/>
            <w:shd w:val="clear" w:color="auto" w:fill="A8D08D" w:themeFill="accent6" w:themeFillTint="99"/>
          </w:tcPr>
          <w:p w14:paraId="1778EF77" w14:textId="6F8BFDA9"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NIÑAS, NIÑOS Y ADOLESCENTES ATENDIDOS</w:t>
            </w:r>
          </w:p>
        </w:tc>
      </w:tr>
      <w:tr w:rsidR="000A3B84" w:rsidRPr="00D134EB" w14:paraId="41C18849" w14:textId="77777777" w:rsidTr="000A3B84">
        <w:tc>
          <w:tcPr>
            <w:tcW w:w="1838" w:type="dxa"/>
            <w:vMerge/>
            <w:shd w:val="clear" w:color="auto" w:fill="A8D08D" w:themeFill="accent6" w:themeFillTint="99"/>
          </w:tcPr>
          <w:p w14:paraId="0703A757" w14:textId="77777777" w:rsidR="00F65EE2" w:rsidRPr="00D134EB" w:rsidRDefault="00F65EE2" w:rsidP="00BF5352">
            <w:pPr>
              <w:jc w:val="center"/>
              <w:rPr>
                <w:rFonts w:ascii="Times New Roman" w:hAnsi="Times New Roman" w:cs="Times New Roman"/>
                <w:b/>
                <w:bCs/>
                <w:sz w:val="20"/>
                <w:szCs w:val="20"/>
              </w:rPr>
            </w:pPr>
          </w:p>
        </w:tc>
        <w:tc>
          <w:tcPr>
            <w:tcW w:w="955" w:type="dxa"/>
            <w:shd w:val="clear" w:color="auto" w:fill="A8D08D" w:themeFill="accent6" w:themeFillTint="99"/>
          </w:tcPr>
          <w:p w14:paraId="32376DC7" w14:textId="7011DE9C"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2016</w:t>
            </w:r>
          </w:p>
        </w:tc>
        <w:tc>
          <w:tcPr>
            <w:tcW w:w="941" w:type="dxa"/>
            <w:shd w:val="clear" w:color="auto" w:fill="A8D08D" w:themeFill="accent6" w:themeFillTint="99"/>
          </w:tcPr>
          <w:p w14:paraId="137B357A" w14:textId="6AB432C0"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2017</w:t>
            </w:r>
          </w:p>
        </w:tc>
        <w:tc>
          <w:tcPr>
            <w:tcW w:w="820" w:type="dxa"/>
            <w:shd w:val="clear" w:color="auto" w:fill="A8D08D" w:themeFill="accent6" w:themeFillTint="99"/>
          </w:tcPr>
          <w:p w14:paraId="78BF360D" w14:textId="0A1BDDEA"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2018</w:t>
            </w:r>
          </w:p>
        </w:tc>
        <w:tc>
          <w:tcPr>
            <w:tcW w:w="839" w:type="dxa"/>
            <w:shd w:val="clear" w:color="auto" w:fill="A8D08D" w:themeFill="accent6" w:themeFillTint="99"/>
          </w:tcPr>
          <w:p w14:paraId="5A897B6B" w14:textId="132BC048"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2019</w:t>
            </w:r>
          </w:p>
        </w:tc>
        <w:tc>
          <w:tcPr>
            <w:tcW w:w="788" w:type="dxa"/>
            <w:shd w:val="clear" w:color="auto" w:fill="A8D08D" w:themeFill="accent6" w:themeFillTint="99"/>
          </w:tcPr>
          <w:p w14:paraId="6750AAE2" w14:textId="14CDB7A3"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2020</w:t>
            </w:r>
          </w:p>
        </w:tc>
        <w:tc>
          <w:tcPr>
            <w:tcW w:w="879" w:type="dxa"/>
            <w:shd w:val="clear" w:color="auto" w:fill="A8D08D" w:themeFill="accent6" w:themeFillTint="99"/>
          </w:tcPr>
          <w:p w14:paraId="1CB89957" w14:textId="69DCD7D8"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2021</w:t>
            </w:r>
          </w:p>
        </w:tc>
        <w:tc>
          <w:tcPr>
            <w:tcW w:w="1299" w:type="dxa"/>
            <w:shd w:val="clear" w:color="auto" w:fill="A8D08D" w:themeFill="accent6" w:themeFillTint="99"/>
          </w:tcPr>
          <w:p w14:paraId="70DF4E08" w14:textId="0D97A79D" w:rsidR="00F65EE2" w:rsidRPr="00D134EB" w:rsidRDefault="00F65EE2"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2022 - mayo</w:t>
            </w:r>
          </w:p>
        </w:tc>
      </w:tr>
      <w:tr w:rsidR="000A3B84" w:rsidRPr="00D134EB" w14:paraId="6CD03864" w14:textId="77777777" w:rsidTr="000A3B84">
        <w:tc>
          <w:tcPr>
            <w:tcW w:w="1838" w:type="dxa"/>
          </w:tcPr>
          <w:p w14:paraId="38962A44" w14:textId="792C43CE"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Amazonas</w:t>
            </w:r>
          </w:p>
        </w:tc>
        <w:tc>
          <w:tcPr>
            <w:tcW w:w="955" w:type="dxa"/>
          </w:tcPr>
          <w:p w14:paraId="73E0530F" w14:textId="32323E0F"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941" w:type="dxa"/>
          </w:tcPr>
          <w:p w14:paraId="7FDF56EA" w14:textId="4C83819E"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c>
          <w:tcPr>
            <w:tcW w:w="820" w:type="dxa"/>
          </w:tcPr>
          <w:p w14:paraId="36164193" w14:textId="6C105EC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8</w:t>
            </w:r>
          </w:p>
        </w:tc>
        <w:tc>
          <w:tcPr>
            <w:tcW w:w="839" w:type="dxa"/>
          </w:tcPr>
          <w:p w14:paraId="0EDE73E8" w14:textId="4B107346"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788" w:type="dxa"/>
          </w:tcPr>
          <w:p w14:paraId="0711340C" w14:textId="512317D3"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879" w:type="dxa"/>
          </w:tcPr>
          <w:p w14:paraId="3A065CA5" w14:textId="4A55D9DC"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1299" w:type="dxa"/>
          </w:tcPr>
          <w:p w14:paraId="211CE6D5" w14:textId="5A93AF7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r>
      <w:tr w:rsidR="000A3B84" w:rsidRPr="00D134EB" w14:paraId="3C1465D3" w14:textId="77777777" w:rsidTr="000A3B84">
        <w:tc>
          <w:tcPr>
            <w:tcW w:w="1838" w:type="dxa"/>
          </w:tcPr>
          <w:p w14:paraId="78D54178" w14:textId="641345D4"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Antioquia</w:t>
            </w:r>
          </w:p>
        </w:tc>
        <w:tc>
          <w:tcPr>
            <w:tcW w:w="955" w:type="dxa"/>
          </w:tcPr>
          <w:p w14:paraId="283D82B2" w14:textId="038E9F12"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138</w:t>
            </w:r>
          </w:p>
        </w:tc>
        <w:tc>
          <w:tcPr>
            <w:tcW w:w="941" w:type="dxa"/>
          </w:tcPr>
          <w:p w14:paraId="5ACBA1EE" w14:textId="6C9D9921"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138</w:t>
            </w:r>
          </w:p>
        </w:tc>
        <w:tc>
          <w:tcPr>
            <w:tcW w:w="820" w:type="dxa"/>
          </w:tcPr>
          <w:p w14:paraId="51101B4D" w14:textId="4E2710C2"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109</w:t>
            </w:r>
          </w:p>
        </w:tc>
        <w:tc>
          <w:tcPr>
            <w:tcW w:w="839" w:type="dxa"/>
          </w:tcPr>
          <w:p w14:paraId="71F42BC4" w14:textId="57780E58"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82</w:t>
            </w:r>
          </w:p>
        </w:tc>
        <w:tc>
          <w:tcPr>
            <w:tcW w:w="788" w:type="dxa"/>
          </w:tcPr>
          <w:p w14:paraId="3F3FF364" w14:textId="2146A055"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122</w:t>
            </w:r>
          </w:p>
        </w:tc>
        <w:tc>
          <w:tcPr>
            <w:tcW w:w="879" w:type="dxa"/>
          </w:tcPr>
          <w:p w14:paraId="13692078" w14:textId="55BF90E6"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192</w:t>
            </w:r>
          </w:p>
        </w:tc>
        <w:tc>
          <w:tcPr>
            <w:tcW w:w="1299" w:type="dxa"/>
          </w:tcPr>
          <w:p w14:paraId="430F469A" w14:textId="1828D4F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138</w:t>
            </w:r>
          </w:p>
        </w:tc>
      </w:tr>
      <w:tr w:rsidR="000A3B84" w:rsidRPr="00D134EB" w14:paraId="258D6CD1" w14:textId="77777777" w:rsidTr="000A3B84">
        <w:tc>
          <w:tcPr>
            <w:tcW w:w="1838" w:type="dxa"/>
          </w:tcPr>
          <w:p w14:paraId="64F53C8E" w14:textId="1C1B64AB"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Arauca</w:t>
            </w:r>
          </w:p>
        </w:tc>
        <w:tc>
          <w:tcPr>
            <w:tcW w:w="955" w:type="dxa"/>
          </w:tcPr>
          <w:p w14:paraId="2F210268" w14:textId="61F1AEB7"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941" w:type="dxa"/>
          </w:tcPr>
          <w:p w14:paraId="20661C0F" w14:textId="0FC894F9"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20" w:type="dxa"/>
          </w:tcPr>
          <w:p w14:paraId="084F41D8" w14:textId="1D07DCEA"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839" w:type="dxa"/>
          </w:tcPr>
          <w:p w14:paraId="639DBF80" w14:textId="51B2C949"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788" w:type="dxa"/>
          </w:tcPr>
          <w:p w14:paraId="35C88F01" w14:textId="52E0CBE9"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79" w:type="dxa"/>
          </w:tcPr>
          <w:p w14:paraId="6A22FCB7" w14:textId="14FB940C"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1299" w:type="dxa"/>
          </w:tcPr>
          <w:p w14:paraId="5B45F323" w14:textId="126B412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r>
      <w:tr w:rsidR="000A3B84" w:rsidRPr="00D134EB" w14:paraId="428A409E" w14:textId="77777777" w:rsidTr="000A3B84">
        <w:tc>
          <w:tcPr>
            <w:tcW w:w="1838" w:type="dxa"/>
          </w:tcPr>
          <w:p w14:paraId="25BC6E35" w14:textId="64A90B36"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Atlántico</w:t>
            </w:r>
          </w:p>
        </w:tc>
        <w:tc>
          <w:tcPr>
            <w:tcW w:w="955" w:type="dxa"/>
          </w:tcPr>
          <w:p w14:paraId="48DC9EB3" w14:textId="16B0D62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169</w:t>
            </w:r>
          </w:p>
        </w:tc>
        <w:tc>
          <w:tcPr>
            <w:tcW w:w="941" w:type="dxa"/>
          </w:tcPr>
          <w:p w14:paraId="52C122C0" w14:textId="7D89B693"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179</w:t>
            </w:r>
          </w:p>
        </w:tc>
        <w:tc>
          <w:tcPr>
            <w:tcW w:w="820" w:type="dxa"/>
          </w:tcPr>
          <w:p w14:paraId="565F04E7" w14:textId="391E0C67"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224</w:t>
            </w:r>
          </w:p>
        </w:tc>
        <w:tc>
          <w:tcPr>
            <w:tcW w:w="839" w:type="dxa"/>
          </w:tcPr>
          <w:p w14:paraId="164BF401" w14:textId="7A39D480"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230</w:t>
            </w:r>
          </w:p>
        </w:tc>
        <w:tc>
          <w:tcPr>
            <w:tcW w:w="788" w:type="dxa"/>
          </w:tcPr>
          <w:p w14:paraId="7ADC74EB" w14:textId="114FEB3A"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237</w:t>
            </w:r>
          </w:p>
        </w:tc>
        <w:tc>
          <w:tcPr>
            <w:tcW w:w="879" w:type="dxa"/>
          </w:tcPr>
          <w:p w14:paraId="767E622A" w14:textId="5D6AE3D3"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263</w:t>
            </w:r>
          </w:p>
        </w:tc>
        <w:tc>
          <w:tcPr>
            <w:tcW w:w="1299" w:type="dxa"/>
          </w:tcPr>
          <w:p w14:paraId="6988DCC4" w14:textId="571781EE"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210</w:t>
            </w:r>
          </w:p>
        </w:tc>
      </w:tr>
      <w:tr w:rsidR="000A3B84" w:rsidRPr="00D134EB" w14:paraId="4FC4B230" w14:textId="77777777" w:rsidTr="000A3B84">
        <w:tc>
          <w:tcPr>
            <w:tcW w:w="1838" w:type="dxa"/>
          </w:tcPr>
          <w:p w14:paraId="1AA2A762" w14:textId="727E1763"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Bogotá</w:t>
            </w:r>
          </w:p>
        </w:tc>
        <w:tc>
          <w:tcPr>
            <w:tcW w:w="955" w:type="dxa"/>
          </w:tcPr>
          <w:p w14:paraId="6CFC1E7C" w14:textId="1C0F253C"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145</w:t>
            </w:r>
          </w:p>
        </w:tc>
        <w:tc>
          <w:tcPr>
            <w:tcW w:w="941" w:type="dxa"/>
          </w:tcPr>
          <w:p w14:paraId="1F2A6A9E" w14:textId="1C899122"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134</w:t>
            </w:r>
          </w:p>
        </w:tc>
        <w:tc>
          <w:tcPr>
            <w:tcW w:w="820" w:type="dxa"/>
          </w:tcPr>
          <w:p w14:paraId="3948F4B5" w14:textId="726E069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156</w:t>
            </w:r>
          </w:p>
        </w:tc>
        <w:tc>
          <w:tcPr>
            <w:tcW w:w="839" w:type="dxa"/>
          </w:tcPr>
          <w:p w14:paraId="3EE09E45" w14:textId="60D169C9"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130</w:t>
            </w:r>
          </w:p>
        </w:tc>
        <w:tc>
          <w:tcPr>
            <w:tcW w:w="788" w:type="dxa"/>
          </w:tcPr>
          <w:p w14:paraId="4A2480BA" w14:textId="548104F1"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89</w:t>
            </w:r>
          </w:p>
        </w:tc>
        <w:tc>
          <w:tcPr>
            <w:tcW w:w="879" w:type="dxa"/>
          </w:tcPr>
          <w:p w14:paraId="756B3A3B" w14:textId="56344879"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83</w:t>
            </w:r>
          </w:p>
        </w:tc>
        <w:tc>
          <w:tcPr>
            <w:tcW w:w="1299" w:type="dxa"/>
          </w:tcPr>
          <w:p w14:paraId="2DA5E165" w14:textId="10364B86"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52</w:t>
            </w:r>
          </w:p>
        </w:tc>
      </w:tr>
      <w:tr w:rsidR="000A3B84" w:rsidRPr="00D134EB" w14:paraId="09F4AAFB" w14:textId="77777777" w:rsidTr="000A3B84">
        <w:tc>
          <w:tcPr>
            <w:tcW w:w="1838" w:type="dxa"/>
          </w:tcPr>
          <w:p w14:paraId="6E8CA43B" w14:textId="4F5B5F87" w:rsidR="00F65EE2" w:rsidRPr="00D134EB" w:rsidRDefault="00F65EE2" w:rsidP="00F65EE2">
            <w:pPr>
              <w:rPr>
                <w:rFonts w:ascii="Times New Roman" w:hAnsi="Times New Roman" w:cs="Times New Roman"/>
                <w:sz w:val="20"/>
                <w:szCs w:val="20"/>
              </w:rPr>
            </w:pPr>
            <w:r w:rsidRPr="00D134EB">
              <w:rPr>
                <w:rFonts w:ascii="Times New Roman" w:hAnsi="Times New Roman" w:cs="Times New Roman"/>
                <w:sz w:val="20"/>
                <w:szCs w:val="20"/>
              </w:rPr>
              <w:t>Bolívar</w:t>
            </w:r>
          </w:p>
        </w:tc>
        <w:tc>
          <w:tcPr>
            <w:tcW w:w="955" w:type="dxa"/>
          </w:tcPr>
          <w:p w14:paraId="24855F46" w14:textId="030C5E25"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301</w:t>
            </w:r>
          </w:p>
        </w:tc>
        <w:tc>
          <w:tcPr>
            <w:tcW w:w="941" w:type="dxa"/>
          </w:tcPr>
          <w:p w14:paraId="2BA4D360" w14:textId="0560B0CC"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368</w:t>
            </w:r>
          </w:p>
        </w:tc>
        <w:tc>
          <w:tcPr>
            <w:tcW w:w="820" w:type="dxa"/>
          </w:tcPr>
          <w:p w14:paraId="6D4DE6A2" w14:textId="1E2204E4"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417</w:t>
            </w:r>
          </w:p>
        </w:tc>
        <w:tc>
          <w:tcPr>
            <w:tcW w:w="839" w:type="dxa"/>
          </w:tcPr>
          <w:p w14:paraId="6095D01B" w14:textId="5E2DBE8C"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329</w:t>
            </w:r>
          </w:p>
        </w:tc>
        <w:tc>
          <w:tcPr>
            <w:tcW w:w="788" w:type="dxa"/>
          </w:tcPr>
          <w:p w14:paraId="6E5D945E" w14:textId="5539AB7E"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272</w:t>
            </w:r>
          </w:p>
        </w:tc>
        <w:tc>
          <w:tcPr>
            <w:tcW w:w="879" w:type="dxa"/>
          </w:tcPr>
          <w:p w14:paraId="1711BDF5" w14:textId="07DE554F"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344</w:t>
            </w:r>
          </w:p>
        </w:tc>
        <w:tc>
          <w:tcPr>
            <w:tcW w:w="1299" w:type="dxa"/>
          </w:tcPr>
          <w:p w14:paraId="1EB11162" w14:textId="21BF2A02" w:rsidR="00F65EE2" w:rsidRPr="00D134EB" w:rsidRDefault="00F65EE2" w:rsidP="00BF5352">
            <w:pPr>
              <w:jc w:val="center"/>
              <w:rPr>
                <w:rFonts w:ascii="Times New Roman" w:hAnsi="Times New Roman" w:cs="Times New Roman"/>
                <w:sz w:val="20"/>
                <w:szCs w:val="20"/>
              </w:rPr>
            </w:pPr>
            <w:r w:rsidRPr="00D134EB">
              <w:rPr>
                <w:rFonts w:ascii="Times New Roman" w:hAnsi="Times New Roman" w:cs="Times New Roman"/>
                <w:sz w:val="20"/>
                <w:szCs w:val="20"/>
              </w:rPr>
              <w:t>230</w:t>
            </w:r>
          </w:p>
        </w:tc>
      </w:tr>
      <w:tr w:rsidR="000A3B84" w:rsidRPr="00D134EB" w14:paraId="470AB43C" w14:textId="77777777" w:rsidTr="000A3B84">
        <w:tc>
          <w:tcPr>
            <w:tcW w:w="1838" w:type="dxa"/>
          </w:tcPr>
          <w:p w14:paraId="64F07CE6" w14:textId="689423CD"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Boyacá</w:t>
            </w:r>
          </w:p>
        </w:tc>
        <w:tc>
          <w:tcPr>
            <w:tcW w:w="955" w:type="dxa"/>
          </w:tcPr>
          <w:p w14:paraId="78F47452" w14:textId="0B09B95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37</w:t>
            </w:r>
          </w:p>
        </w:tc>
        <w:tc>
          <w:tcPr>
            <w:tcW w:w="941" w:type="dxa"/>
          </w:tcPr>
          <w:p w14:paraId="551F55CA" w14:textId="3C1B138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23</w:t>
            </w:r>
          </w:p>
        </w:tc>
        <w:tc>
          <w:tcPr>
            <w:tcW w:w="820" w:type="dxa"/>
          </w:tcPr>
          <w:p w14:paraId="2E2B04B8" w14:textId="39E9E4F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17</w:t>
            </w:r>
          </w:p>
        </w:tc>
        <w:tc>
          <w:tcPr>
            <w:tcW w:w="839" w:type="dxa"/>
          </w:tcPr>
          <w:p w14:paraId="4360D49F" w14:textId="5D0250B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6</w:t>
            </w:r>
          </w:p>
        </w:tc>
        <w:tc>
          <w:tcPr>
            <w:tcW w:w="788" w:type="dxa"/>
          </w:tcPr>
          <w:p w14:paraId="74C9A011" w14:textId="3CDF6D0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w:t>
            </w:r>
          </w:p>
        </w:tc>
        <w:tc>
          <w:tcPr>
            <w:tcW w:w="879" w:type="dxa"/>
          </w:tcPr>
          <w:p w14:paraId="760E90E0" w14:textId="6266524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6</w:t>
            </w:r>
          </w:p>
        </w:tc>
        <w:tc>
          <w:tcPr>
            <w:tcW w:w="1299" w:type="dxa"/>
          </w:tcPr>
          <w:p w14:paraId="27D8E660" w14:textId="0A6F3222"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r>
      <w:tr w:rsidR="000A3B84" w:rsidRPr="00D134EB" w14:paraId="15BA0C9D" w14:textId="77777777" w:rsidTr="000A3B84">
        <w:tc>
          <w:tcPr>
            <w:tcW w:w="1838" w:type="dxa"/>
          </w:tcPr>
          <w:p w14:paraId="085A5248" w14:textId="3EEED48A"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Caldas</w:t>
            </w:r>
          </w:p>
        </w:tc>
        <w:tc>
          <w:tcPr>
            <w:tcW w:w="955" w:type="dxa"/>
          </w:tcPr>
          <w:p w14:paraId="0C1354AC" w14:textId="40DA829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104</w:t>
            </w:r>
          </w:p>
        </w:tc>
        <w:tc>
          <w:tcPr>
            <w:tcW w:w="941" w:type="dxa"/>
          </w:tcPr>
          <w:p w14:paraId="5CA40D05" w14:textId="7926660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99</w:t>
            </w:r>
          </w:p>
        </w:tc>
        <w:tc>
          <w:tcPr>
            <w:tcW w:w="820" w:type="dxa"/>
          </w:tcPr>
          <w:p w14:paraId="1C945E0C" w14:textId="7D6A6F7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91</w:t>
            </w:r>
          </w:p>
        </w:tc>
        <w:tc>
          <w:tcPr>
            <w:tcW w:w="839" w:type="dxa"/>
          </w:tcPr>
          <w:p w14:paraId="02E8B50D" w14:textId="7ABD327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20</w:t>
            </w:r>
          </w:p>
        </w:tc>
        <w:tc>
          <w:tcPr>
            <w:tcW w:w="788" w:type="dxa"/>
          </w:tcPr>
          <w:p w14:paraId="34765A29" w14:textId="4DCA8FE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c>
          <w:tcPr>
            <w:tcW w:w="879" w:type="dxa"/>
          </w:tcPr>
          <w:p w14:paraId="3B6DB7B4" w14:textId="4B52948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17</w:t>
            </w:r>
          </w:p>
        </w:tc>
        <w:tc>
          <w:tcPr>
            <w:tcW w:w="1299" w:type="dxa"/>
          </w:tcPr>
          <w:p w14:paraId="7B2D58F1" w14:textId="7345D20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r>
      <w:tr w:rsidR="000A3B84" w:rsidRPr="00D134EB" w14:paraId="2A8BC02E" w14:textId="77777777" w:rsidTr="000A3B84">
        <w:tc>
          <w:tcPr>
            <w:tcW w:w="1838" w:type="dxa"/>
          </w:tcPr>
          <w:p w14:paraId="383CCF4F" w14:textId="61CB7B54"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Caquetá</w:t>
            </w:r>
          </w:p>
        </w:tc>
        <w:tc>
          <w:tcPr>
            <w:tcW w:w="955" w:type="dxa"/>
          </w:tcPr>
          <w:p w14:paraId="0FE9E0FE" w14:textId="0508AF8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46</w:t>
            </w:r>
          </w:p>
        </w:tc>
        <w:tc>
          <w:tcPr>
            <w:tcW w:w="941" w:type="dxa"/>
          </w:tcPr>
          <w:p w14:paraId="1A693B34" w14:textId="33C65F7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51</w:t>
            </w:r>
          </w:p>
        </w:tc>
        <w:tc>
          <w:tcPr>
            <w:tcW w:w="820" w:type="dxa"/>
          </w:tcPr>
          <w:p w14:paraId="521105F1" w14:textId="5750182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45</w:t>
            </w:r>
          </w:p>
        </w:tc>
        <w:tc>
          <w:tcPr>
            <w:tcW w:w="839" w:type="dxa"/>
          </w:tcPr>
          <w:p w14:paraId="721DD666" w14:textId="50FDE7F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25</w:t>
            </w:r>
          </w:p>
        </w:tc>
        <w:tc>
          <w:tcPr>
            <w:tcW w:w="788" w:type="dxa"/>
          </w:tcPr>
          <w:p w14:paraId="7DB6FDD0" w14:textId="39A513F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26</w:t>
            </w:r>
          </w:p>
        </w:tc>
        <w:tc>
          <w:tcPr>
            <w:tcW w:w="879" w:type="dxa"/>
          </w:tcPr>
          <w:p w14:paraId="70341104" w14:textId="2D91F62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17</w:t>
            </w:r>
          </w:p>
        </w:tc>
        <w:tc>
          <w:tcPr>
            <w:tcW w:w="1299" w:type="dxa"/>
          </w:tcPr>
          <w:p w14:paraId="187DBB6B" w14:textId="539DDFA2"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8</w:t>
            </w:r>
          </w:p>
        </w:tc>
      </w:tr>
      <w:tr w:rsidR="000A3B84" w:rsidRPr="00D134EB" w14:paraId="709290CB" w14:textId="77777777" w:rsidTr="000A3B84">
        <w:tc>
          <w:tcPr>
            <w:tcW w:w="1838" w:type="dxa"/>
          </w:tcPr>
          <w:p w14:paraId="0B0C9F2B" w14:textId="2A86A99C"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Casanare</w:t>
            </w:r>
          </w:p>
        </w:tc>
        <w:tc>
          <w:tcPr>
            <w:tcW w:w="955" w:type="dxa"/>
          </w:tcPr>
          <w:p w14:paraId="7E42ED6A" w14:textId="388B6E22"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941" w:type="dxa"/>
          </w:tcPr>
          <w:p w14:paraId="689AEF92" w14:textId="7EB9598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20" w:type="dxa"/>
          </w:tcPr>
          <w:p w14:paraId="1AE59BD1" w14:textId="51CDEDC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39" w:type="dxa"/>
          </w:tcPr>
          <w:p w14:paraId="75976A5A" w14:textId="6427A92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w:t>
            </w:r>
          </w:p>
        </w:tc>
        <w:tc>
          <w:tcPr>
            <w:tcW w:w="788" w:type="dxa"/>
          </w:tcPr>
          <w:p w14:paraId="4CD7FF32" w14:textId="675E255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79" w:type="dxa"/>
          </w:tcPr>
          <w:p w14:paraId="15660EC9" w14:textId="220320D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12</w:t>
            </w:r>
          </w:p>
        </w:tc>
        <w:tc>
          <w:tcPr>
            <w:tcW w:w="1299" w:type="dxa"/>
          </w:tcPr>
          <w:p w14:paraId="075204E6" w14:textId="714EEEF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r>
      <w:tr w:rsidR="000A3B84" w:rsidRPr="00D134EB" w14:paraId="26F9ABE5" w14:textId="77777777" w:rsidTr="000A3B84">
        <w:tc>
          <w:tcPr>
            <w:tcW w:w="1838" w:type="dxa"/>
          </w:tcPr>
          <w:p w14:paraId="6054E063" w14:textId="4EC0BD29"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Cauca</w:t>
            </w:r>
          </w:p>
        </w:tc>
        <w:tc>
          <w:tcPr>
            <w:tcW w:w="955" w:type="dxa"/>
          </w:tcPr>
          <w:p w14:paraId="33311AAB" w14:textId="6866D48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16</w:t>
            </w:r>
          </w:p>
        </w:tc>
        <w:tc>
          <w:tcPr>
            <w:tcW w:w="941" w:type="dxa"/>
          </w:tcPr>
          <w:p w14:paraId="7DD8F0C1" w14:textId="7A01E24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20" w:type="dxa"/>
          </w:tcPr>
          <w:p w14:paraId="069905C4" w14:textId="6B4B995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c>
          <w:tcPr>
            <w:tcW w:w="839" w:type="dxa"/>
          </w:tcPr>
          <w:p w14:paraId="377EE82D" w14:textId="06BD179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13</w:t>
            </w:r>
          </w:p>
        </w:tc>
        <w:tc>
          <w:tcPr>
            <w:tcW w:w="788" w:type="dxa"/>
          </w:tcPr>
          <w:p w14:paraId="1A9DD420" w14:textId="2975E5F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12</w:t>
            </w:r>
          </w:p>
        </w:tc>
        <w:tc>
          <w:tcPr>
            <w:tcW w:w="879" w:type="dxa"/>
          </w:tcPr>
          <w:p w14:paraId="33DF97EF" w14:textId="24BFC73C"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1299" w:type="dxa"/>
          </w:tcPr>
          <w:p w14:paraId="23D46A2B" w14:textId="5D9E80C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r>
      <w:tr w:rsidR="000A3B84" w:rsidRPr="00D134EB" w14:paraId="7919328B" w14:textId="77777777" w:rsidTr="000A3B84">
        <w:tc>
          <w:tcPr>
            <w:tcW w:w="1838" w:type="dxa"/>
          </w:tcPr>
          <w:p w14:paraId="20FD3189" w14:textId="215B3E9E"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Cesar</w:t>
            </w:r>
          </w:p>
        </w:tc>
        <w:tc>
          <w:tcPr>
            <w:tcW w:w="955" w:type="dxa"/>
          </w:tcPr>
          <w:p w14:paraId="2C620A6B" w14:textId="6B8379E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963</w:t>
            </w:r>
          </w:p>
        </w:tc>
        <w:tc>
          <w:tcPr>
            <w:tcW w:w="941" w:type="dxa"/>
          </w:tcPr>
          <w:p w14:paraId="483686CF" w14:textId="2903790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1,115</w:t>
            </w:r>
          </w:p>
        </w:tc>
        <w:tc>
          <w:tcPr>
            <w:tcW w:w="820" w:type="dxa"/>
          </w:tcPr>
          <w:p w14:paraId="6EDE882A" w14:textId="642B059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947</w:t>
            </w:r>
          </w:p>
        </w:tc>
        <w:tc>
          <w:tcPr>
            <w:tcW w:w="839" w:type="dxa"/>
          </w:tcPr>
          <w:p w14:paraId="6A1AB2B5" w14:textId="1E7DCD7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523</w:t>
            </w:r>
          </w:p>
        </w:tc>
        <w:tc>
          <w:tcPr>
            <w:tcW w:w="788" w:type="dxa"/>
          </w:tcPr>
          <w:p w14:paraId="1D46C8E9" w14:textId="0FB8AF31"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757</w:t>
            </w:r>
          </w:p>
        </w:tc>
        <w:tc>
          <w:tcPr>
            <w:tcW w:w="879" w:type="dxa"/>
          </w:tcPr>
          <w:p w14:paraId="3F964F7D" w14:textId="7DFA1BD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973</w:t>
            </w:r>
          </w:p>
        </w:tc>
        <w:tc>
          <w:tcPr>
            <w:tcW w:w="1299" w:type="dxa"/>
          </w:tcPr>
          <w:p w14:paraId="047434C6" w14:textId="0AFDCEC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619</w:t>
            </w:r>
          </w:p>
        </w:tc>
      </w:tr>
      <w:tr w:rsidR="000A3B84" w:rsidRPr="00D134EB" w14:paraId="7ECD0241" w14:textId="77777777" w:rsidTr="000A3B84">
        <w:tc>
          <w:tcPr>
            <w:tcW w:w="1838" w:type="dxa"/>
          </w:tcPr>
          <w:p w14:paraId="409883FF" w14:textId="55CD4876"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Chocó</w:t>
            </w:r>
          </w:p>
        </w:tc>
        <w:tc>
          <w:tcPr>
            <w:tcW w:w="955" w:type="dxa"/>
          </w:tcPr>
          <w:p w14:paraId="360CA2C2" w14:textId="2992B2F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c>
          <w:tcPr>
            <w:tcW w:w="941" w:type="dxa"/>
          </w:tcPr>
          <w:p w14:paraId="1DCCAD24" w14:textId="4A00E12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c>
          <w:tcPr>
            <w:tcW w:w="820" w:type="dxa"/>
          </w:tcPr>
          <w:p w14:paraId="501B0E8D" w14:textId="6AD13F11"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15</w:t>
            </w:r>
          </w:p>
        </w:tc>
        <w:tc>
          <w:tcPr>
            <w:tcW w:w="839" w:type="dxa"/>
          </w:tcPr>
          <w:p w14:paraId="390A1436" w14:textId="15FB349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788" w:type="dxa"/>
          </w:tcPr>
          <w:p w14:paraId="52B61F0D" w14:textId="2E2863B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79" w:type="dxa"/>
          </w:tcPr>
          <w:p w14:paraId="2FD221D8" w14:textId="014178F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c>
          <w:tcPr>
            <w:tcW w:w="1299" w:type="dxa"/>
          </w:tcPr>
          <w:p w14:paraId="2B69396E" w14:textId="47CB21E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r>
      <w:tr w:rsidR="000A3B84" w:rsidRPr="00D134EB" w14:paraId="110D6365" w14:textId="77777777" w:rsidTr="000A3B84">
        <w:tc>
          <w:tcPr>
            <w:tcW w:w="1838" w:type="dxa"/>
          </w:tcPr>
          <w:p w14:paraId="6C5A8870" w14:textId="0690B003"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Córdoba</w:t>
            </w:r>
          </w:p>
        </w:tc>
        <w:tc>
          <w:tcPr>
            <w:tcW w:w="955" w:type="dxa"/>
          </w:tcPr>
          <w:p w14:paraId="68312B58" w14:textId="05D67CA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1,879</w:t>
            </w:r>
          </w:p>
        </w:tc>
        <w:tc>
          <w:tcPr>
            <w:tcW w:w="941" w:type="dxa"/>
          </w:tcPr>
          <w:p w14:paraId="4158B625" w14:textId="6E8B727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1,888</w:t>
            </w:r>
          </w:p>
        </w:tc>
        <w:tc>
          <w:tcPr>
            <w:tcW w:w="820" w:type="dxa"/>
          </w:tcPr>
          <w:p w14:paraId="035087DB" w14:textId="3DD9331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2,315</w:t>
            </w:r>
          </w:p>
        </w:tc>
        <w:tc>
          <w:tcPr>
            <w:tcW w:w="839" w:type="dxa"/>
          </w:tcPr>
          <w:p w14:paraId="43788AF0" w14:textId="3A3A0F1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1,545</w:t>
            </w:r>
          </w:p>
        </w:tc>
        <w:tc>
          <w:tcPr>
            <w:tcW w:w="788" w:type="dxa"/>
          </w:tcPr>
          <w:p w14:paraId="027703BE" w14:textId="1D0A1CEC"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951</w:t>
            </w:r>
          </w:p>
        </w:tc>
        <w:tc>
          <w:tcPr>
            <w:tcW w:w="879" w:type="dxa"/>
          </w:tcPr>
          <w:p w14:paraId="2AD73F61" w14:textId="35652403"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1,019</w:t>
            </w:r>
          </w:p>
        </w:tc>
        <w:tc>
          <w:tcPr>
            <w:tcW w:w="1299" w:type="dxa"/>
          </w:tcPr>
          <w:p w14:paraId="1EA73E4A" w14:textId="3064F19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550</w:t>
            </w:r>
          </w:p>
        </w:tc>
      </w:tr>
      <w:tr w:rsidR="000A3B84" w:rsidRPr="00D134EB" w14:paraId="0FC0E4F5" w14:textId="77777777" w:rsidTr="000A3B84">
        <w:tc>
          <w:tcPr>
            <w:tcW w:w="1838" w:type="dxa"/>
          </w:tcPr>
          <w:p w14:paraId="4CBD171B" w14:textId="2A0ED48B"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Cundinamarca</w:t>
            </w:r>
          </w:p>
        </w:tc>
        <w:tc>
          <w:tcPr>
            <w:tcW w:w="955" w:type="dxa"/>
          </w:tcPr>
          <w:p w14:paraId="0D2C45E5" w14:textId="1589D602"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23</w:t>
            </w:r>
          </w:p>
        </w:tc>
        <w:tc>
          <w:tcPr>
            <w:tcW w:w="941" w:type="dxa"/>
          </w:tcPr>
          <w:p w14:paraId="768228EC" w14:textId="375470E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44</w:t>
            </w:r>
          </w:p>
        </w:tc>
        <w:tc>
          <w:tcPr>
            <w:tcW w:w="820" w:type="dxa"/>
          </w:tcPr>
          <w:p w14:paraId="7A68D18E" w14:textId="5D8CE07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52</w:t>
            </w:r>
          </w:p>
        </w:tc>
        <w:tc>
          <w:tcPr>
            <w:tcW w:w="839" w:type="dxa"/>
          </w:tcPr>
          <w:p w14:paraId="223C1D1D" w14:textId="2B9D973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23</w:t>
            </w:r>
          </w:p>
        </w:tc>
        <w:tc>
          <w:tcPr>
            <w:tcW w:w="788" w:type="dxa"/>
          </w:tcPr>
          <w:p w14:paraId="7735A3FE" w14:textId="58D441A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20</w:t>
            </w:r>
          </w:p>
        </w:tc>
        <w:tc>
          <w:tcPr>
            <w:tcW w:w="879" w:type="dxa"/>
          </w:tcPr>
          <w:p w14:paraId="5FE14BE5" w14:textId="7D66D8E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17</w:t>
            </w:r>
          </w:p>
        </w:tc>
        <w:tc>
          <w:tcPr>
            <w:tcW w:w="1299" w:type="dxa"/>
          </w:tcPr>
          <w:p w14:paraId="61297D83" w14:textId="16ECE1B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r>
      <w:tr w:rsidR="000A3B84" w:rsidRPr="00D134EB" w14:paraId="09728F62" w14:textId="77777777" w:rsidTr="000A3B84">
        <w:tc>
          <w:tcPr>
            <w:tcW w:w="1838" w:type="dxa"/>
          </w:tcPr>
          <w:p w14:paraId="2A1572FE" w14:textId="6F6E698E"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Guainía</w:t>
            </w:r>
          </w:p>
        </w:tc>
        <w:tc>
          <w:tcPr>
            <w:tcW w:w="955" w:type="dxa"/>
          </w:tcPr>
          <w:p w14:paraId="13E94355" w14:textId="77777777" w:rsidR="0072308C" w:rsidRPr="00D134EB" w:rsidRDefault="0072308C" w:rsidP="00BF5352">
            <w:pPr>
              <w:jc w:val="center"/>
              <w:rPr>
                <w:rFonts w:ascii="Times New Roman" w:hAnsi="Times New Roman" w:cs="Times New Roman"/>
                <w:sz w:val="20"/>
                <w:szCs w:val="20"/>
              </w:rPr>
            </w:pPr>
          </w:p>
        </w:tc>
        <w:tc>
          <w:tcPr>
            <w:tcW w:w="941" w:type="dxa"/>
          </w:tcPr>
          <w:p w14:paraId="76C8CB2C" w14:textId="77777777" w:rsidR="0072308C" w:rsidRPr="00D134EB" w:rsidRDefault="0072308C" w:rsidP="00BF5352">
            <w:pPr>
              <w:jc w:val="center"/>
              <w:rPr>
                <w:rFonts w:ascii="Times New Roman" w:hAnsi="Times New Roman" w:cs="Times New Roman"/>
                <w:sz w:val="20"/>
                <w:szCs w:val="20"/>
              </w:rPr>
            </w:pPr>
          </w:p>
        </w:tc>
        <w:tc>
          <w:tcPr>
            <w:tcW w:w="820" w:type="dxa"/>
          </w:tcPr>
          <w:p w14:paraId="10275923" w14:textId="77777777" w:rsidR="0072308C" w:rsidRPr="00D134EB" w:rsidRDefault="0072308C" w:rsidP="00BF5352">
            <w:pPr>
              <w:jc w:val="center"/>
              <w:rPr>
                <w:rFonts w:ascii="Times New Roman" w:hAnsi="Times New Roman" w:cs="Times New Roman"/>
                <w:sz w:val="20"/>
                <w:szCs w:val="20"/>
              </w:rPr>
            </w:pPr>
          </w:p>
        </w:tc>
        <w:tc>
          <w:tcPr>
            <w:tcW w:w="839" w:type="dxa"/>
          </w:tcPr>
          <w:p w14:paraId="50935AD2" w14:textId="77777777" w:rsidR="0072308C" w:rsidRPr="00D134EB" w:rsidRDefault="0072308C" w:rsidP="00BF5352">
            <w:pPr>
              <w:jc w:val="center"/>
              <w:rPr>
                <w:rFonts w:ascii="Times New Roman" w:hAnsi="Times New Roman" w:cs="Times New Roman"/>
                <w:sz w:val="20"/>
                <w:szCs w:val="20"/>
              </w:rPr>
            </w:pPr>
          </w:p>
        </w:tc>
        <w:tc>
          <w:tcPr>
            <w:tcW w:w="788" w:type="dxa"/>
          </w:tcPr>
          <w:p w14:paraId="40101297" w14:textId="77777777" w:rsidR="0072308C" w:rsidRPr="00D134EB" w:rsidRDefault="0072308C" w:rsidP="00BF5352">
            <w:pPr>
              <w:jc w:val="center"/>
              <w:rPr>
                <w:rFonts w:ascii="Times New Roman" w:hAnsi="Times New Roman" w:cs="Times New Roman"/>
                <w:sz w:val="20"/>
                <w:szCs w:val="20"/>
              </w:rPr>
            </w:pPr>
          </w:p>
        </w:tc>
        <w:tc>
          <w:tcPr>
            <w:tcW w:w="879" w:type="dxa"/>
          </w:tcPr>
          <w:p w14:paraId="43A5FEB3" w14:textId="79D45D5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1299" w:type="dxa"/>
          </w:tcPr>
          <w:p w14:paraId="5228FCAE" w14:textId="630E2DC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r>
      <w:tr w:rsidR="000A3B84" w:rsidRPr="00D134EB" w14:paraId="664CF347" w14:textId="77777777" w:rsidTr="000A3B84">
        <w:tc>
          <w:tcPr>
            <w:tcW w:w="1838" w:type="dxa"/>
          </w:tcPr>
          <w:p w14:paraId="26DED1B3" w14:textId="6078B903"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Guaviare</w:t>
            </w:r>
          </w:p>
        </w:tc>
        <w:tc>
          <w:tcPr>
            <w:tcW w:w="955" w:type="dxa"/>
          </w:tcPr>
          <w:p w14:paraId="4D1F98F7" w14:textId="125EA081"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941" w:type="dxa"/>
          </w:tcPr>
          <w:p w14:paraId="503C2CDF" w14:textId="5340245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20" w:type="dxa"/>
          </w:tcPr>
          <w:p w14:paraId="2F924B7E" w14:textId="77777777" w:rsidR="0072308C" w:rsidRPr="00D134EB" w:rsidRDefault="0072308C" w:rsidP="00BF5352">
            <w:pPr>
              <w:jc w:val="center"/>
              <w:rPr>
                <w:rFonts w:ascii="Times New Roman" w:hAnsi="Times New Roman" w:cs="Times New Roman"/>
                <w:sz w:val="20"/>
                <w:szCs w:val="20"/>
              </w:rPr>
            </w:pPr>
          </w:p>
        </w:tc>
        <w:tc>
          <w:tcPr>
            <w:tcW w:w="839" w:type="dxa"/>
          </w:tcPr>
          <w:p w14:paraId="1A66EA81" w14:textId="77777777" w:rsidR="0072308C" w:rsidRPr="00D134EB" w:rsidRDefault="0072308C" w:rsidP="00BF5352">
            <w:pPr>
              <w:jc w:val="center"/>
              <w:rPr>
                <w:rFonts w:ascii="Times New Roman" w:hAnsi="Times New Roman" w:cs="Times New Roman"/>
                <w:sz w:val="20"/>
                <w:szCs w:val="20"/>
              </w:rPr>
            </w:pPr>
          </w:p>
        </w:tc>
        <w:tc>
          <w:tcPr>
            <w:tcW w:w="788" w:type="dxa"/>
          </w:tcPr>
          <w:p w14:paraId="793F2682" w14:textId="77777777" w:rsidR="0072308C" w:rsidRPr="00D134EB" w:rsidRDefault="0072308C" w:rsidP="00BF5352">
            <w:pPr>
              <w:jc w:val="center"/>
              <w:rPr>
                <w:rFonts w:ascii="Times New Roman" w:hAnsi="Times New Roman" w:cs="Times New Roman"/>
                <w:sz w:val="20"/>
                <w:szCs w:val="20"/>
              </w:rPr>
            </w:pPr>
          </w:p>
        </w:tc>
        <w:tc>
          <w:tcPr>
            <w:tcW w:w="879" w:type="dxa"/>
          </w:tcPr>
          <w:p w14:paraId="06B54CA8" w14:textId="77777777" w:rsidR="0072308C" w:rsidRPr="00D134EB" w:rsidRDefault="0072308C" w:rsidP="00BF5352">
            <w:pPr>
              <w:jc w:val="center"/>
              <w:rPr>
                <w:rFonts w:ascii="Times New Roman" w:hAnsi="Times New Roman" w:cs="Times New Roman"/>
                <w:sz w:val="20"/>
                <w:szCs w:val="20"/>
              </w:rPr>
            </w:pPr>
          </w:p>
        </w:tc>
        <w:tc>
          <w:tcPr>
            <w:tcW w:w="1299" w:type="dxa"/>
          </w:tcPr>
          <w:p w14:paraId="744A6D38" w14:textId="77777777" w:rsidR="0072308C" w:rsidRPr="00D134EB" w:rsidRDefault="0072308C" w:rsidP="00BF5352">
            <w:pPr>
              <w:jc w:val="center"/>
              <w:rPr>
                <w:rFonts w:ascii="Times New Roman" w:hAnsi="Times New Roman" w:cs="Times New Roman"/>
                <w:sz w:val="20"/>
                <w:szCs w:val="20"/>
              </w:rPr>
            </w:pPr>
          </w:p>
        </w:tc>
      </w:tr>
      <w:tr w:rsidR="000A3B84" w:rsidRPr="00D134EB" w14:paraId="577AE50E" w14:textId="77777777" w:rsidTr="000A3B84">
        <w:tc>
          <w:tcPr>
            <w:tcW w:w="1838" w:type="dxa"/>
          </w:tcPr>
          <w:p w14:paraId="5BE159F5" w14:textId="7FC82C11"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Huila</w:t>
            </w:r>
          </w:p>
        </w:tc>
        <w:tc>
          <w:tcPr>
            <w:tcW w:w="955" w:type="dxa"/>
          </w:tcPr>
          <w:p w14:paraId="6F44FE44" w14:textId="2E890A7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21</w:t>
            </w:r>
          </w:p>
        </w:tc>
        <w:tc>
          <w:tcPr>
            <w:tcW w:w="941" w:type="dxa"/>
          </w:tcPr>
          <w:p w14:paraId="44DB76FB" w14:textId="4E35EBA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15</w:t>
            </w:r>
          </w:p>
        </w:tc>
        <w:tc>
          <w:tcPr>
            <w:tcW w:w="820" w:type="dxa"/>
          </w:tcPr>
          <w:p w14:paraId="327053D3" w14:textId="7A88219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c>
          <w:tcPr>
            <w:tcW w:w="839" w:type="dxa"/>
          </w:tcPr>
          <w:p w14:paraId="1A4C9AEC" w14:textId="1F93DEF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c>
          <w:tcPr>
            <w:tcW w:w="788" w:type="dxa"/>
          </w:tcPr>
          <w:p w14:paraId="07E01E57" w14:textId="0D69164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79" w:type="dxa"/>
          </w:tcPr>
          <w:p w14:paraId="3BF89179" w14:textId="1387EFB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c>
          <w:tcPr>
            <w:tcW w:w="1299" w:type="dxa"/>
          </w:tcPr>
          <w:p w14:paraId="49F1ACB1" w14:textId="610518F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r>
      <w:tr w:rsidR="000A3B84" w:rsidRPr="00D134EB" w14:paraId="6CA659DB" w14:textId="77777777" w:rsidTr="000A3B84">
        <w:tc>
          <w:tcPr>
            <w:tcW w:w="1838" w:type="dxa"/>
          </w:tcPr>
          <w:p w14:paraId="3FAEA7D1" w14:textId="2528762A"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La Guajira</w:t>
            </w:r>
          </w:p>
        </w:tc>
        <w:tc>
          <w:tcPr>
            <w:tcW w:w="955" w:type="dxa"/>
          </w:tcPr>
          <w:p w14:paraId="2A68CC6D" w14:textId="1C49F9E2"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941" w:type="dxa"/>
          </w:tcPr>
          <w:p w14:paraId="117740BA" w14:textId="5D0417A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820" w:type="dxa"/>
          </w:tcPr>
          <w:p w14:paraId="26FACBDB" w14:textId="010C8FF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6</w:t>
            </w:r>
          </w:p>
        </w:tc>
        <w:tc>
          <w:tcPr>
            <w:tcW w:w="839" w:type="dxa"/>
          </w:tcPr>
          <w:p w14:paraId="7E6B5171" w14:textId="59FB4A2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788" w:type="dxa"/>
          </w:tcPr>
          <w:p w14:paraId="762067CA" w14:textId="18586ABA"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79" w:type="dxa"/>
          </w:tcPr>
          <w:p w14:paraId="543AA771" w14:textId="1303152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1299" w:type="dxa"/>
          </w:tcPr>
          <w:p w14:paraId="69368C04" w14:textId="784E1EE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r>
      <w:tr w:rsidR="000A3B84" w:rsidRPr="00D134EB" w14:paraId="2637C61C" w14:textId="77777777" w:rsidTr="000A3B84">
        <w:tc>
          <w:tcPr>
            <w:tcW w:w="1838" w:type="dxa"/>
          </w:tcPr>
          <w:p w14:paraId="665403AF" w14:textId="4FBF599A"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Magdalena</w:t>
            </w:r>
          </w:p>
        </w:tc>
        <w:tc>
          <w:tcPr>
            <w:tcW w:w="955" w:type="dxa"/>
          </w:tcPr>
          <w:p w14:paraId="401E3EDE" w14:textId="191DBF3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18</w:t>
            </w:r>
          </w:p>
        </w:tc>
        <w:tc>
          <w:tcPr>
            <w:tcW w:w="941" w:type="dxa"/>
          </w:tcPr>
          <w:p w14:paraId="635EB2DF" w14:textId="6486956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18</w:t>
            </w:r>
          </w:p>
        </w:tc>
        <w:tc>
          <w:tcPr>
            <w:tcW w:w="820" w:type="dxa"/>
          </w:tcPr>
          <w:p w14:paraId="43010840" w14:textId="13ACD60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32</w:t>
            </w:r>
          </w:p>
        </w:tc>
        <w:tc>
          <w:tcPr>
            <w:tcW w:w="839" w:type="dxa"/>
          </w:tcPr>
          <w:p w14:paraId="19A66707" w14:textId="60922ADE"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33</w:t>
            </w:r>
          </w:p>
        </w:tc>
        <w:tc>
          <w:tcPr>
            <w:tcW w:w="788" w:type="dxa"/>
          </w:tcPr>
          <w:p w14:paraId="1FCB40FA" w14:textId="62837936"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w:t>
            </w:r>
          </w:p>
        </w:tc>
        <w:tc>
          <w:tcPr>
            <w:tcW w:w="879" w:type="dxa"/>
          </w:tcPr>
          <w:p w14:paraId="53886A98" w14:textId="68CE026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7</w:t>
            </w:r>
          </w:p>
        </w:tc>
        <w:tc>
          <w:tcPr>
            <w:tcW w:w="1299" w:type="dxa"/>
          </w:tcPr>
          <w:p w14:paraId="336E36C4" w14:textId="423F17F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7</w:t>
            </w:r>
          </w:p>
        </w:tc>
      </w:tr>
      <w:tr w:rsidR="000A3B84" w:rsidRPr="00D134EB" w14:paraId="15D32F81" w14:textId="77777777" w:rsidTr="000A3B84">
        <w:tc>
          <w:tcPr>
            <w:tcW w:w="1838" w:type="dxa"/>
          </w:tcPr>
          <w:p w14:paraId="55FF9969" w14:textId="26152DC7"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Meta</w:t>
            </w:r>
          </w:p>
        </w:tc>
        <w:tc>
          <w:tcPr>
            <w:tcW w:w="955" w:type="dxa"/>
          </w:tcPr>
          <w:p w14:paraId="49AD3B8B" w14:textId="668CEDB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c>
          <w:tcPr>
            <w:tcW w:w="941" w:type="dxa"/>
          </w:tcPr>
          <w:p w14:paraId="15D231A5" w14:textId="5C0D15C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22</w:t>
            </w:r>
          </w:p>
        </w:tc>
        <w:tc>
          <w:tcPr>
            <w:tcW w:w="820" w:type="dxa"/>
          </w:tcPr>
          <w:p w14:paraId="3BC73ADE" w14:textId="6C6D3A27"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20</w:t>
            </w:r>
          </w:p>
        </w:tc>
        <w:tc>
          <w:tcPr>
            <w:tcW w:w="839" w:type="dxa"/>
          </w:tcPr>
          <w:p w14:paraId="652A2BC4" w14:textId="48DD0D2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13</w:t>
            </w:r>
          </w:p>
        </w:tc>
        <w:tc>
          <w:tcPr>
            <w:tcW w:w="788" w:type="dxa"/>
          </w:tcPr>
          <w:p w14:paraId="1DDDE53B" w14:textId="634E81B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8</w:t>
            </w:r>
          </w:p>
        </w:tc>
        <w:tc>
          <w:tcPr>
            <w:tcW w:w="879" w:type="dxa"/>
          </w:tcPr>
          <w:p w14:paraId="64AFD8E8" w14:textId="193C6051"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16</w:t>
            </w:r>
          </w:p>
        </w:tc>
        <w:tc>
          <w:tcPr>
            <w:tcW w:w="1299" w:type="dxa"/>
          </w:tcPr>
          <w:p w14:paraId="49211944" w14:textId="3C47D01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8</w:t>
            </w:r>
          </w:p>
        </w:tc>
      </w:tr>
      <w:tr w:rsidR="000A3B84" w:rsidRPr="00D134EB" w14:paraId="3153DC48" w14:textId="77777777" w:rsidTr="000A3B84">
        <w:tc>
          <w:tcPr>
            <w:tcW w:w="1838" w:type="dxa"/>
          </w:tcPr>
          <w:p w14:paraId="4108E272" w14:textId="114EB25E"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Nariño</w:t>
            </w:r>
          </w:p>
        </w:tc>
        <w:tc>
          <w:tcPr>
            <w:tcW w:w="955" w:type="dxa"/>
          </w:tcPr>
          <w:p w14:paraId="0CE41372" w14:textId="6D11A57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88</w:t>
            </w:r>
          </w:p>
        </w:tc>
        <w:tc>
          <w:tcPr>
            <w:tcW w:w="941" w:type="dxa"/>
          </w:tcPr>
          <w:p w14:paraId="24CAC2B3" w14:textId="58A9C29C"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72</w:t>
            </w:r>
          </w:p>
        </w:tc>
        <w:tc>
          <w:tcPr>
            <w:tcW w:w="820" w:type="dxa"/>
          </w:tcPr>
          <w:p w14:paraId="119C0F0B" w14:textId="086E6B7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62</w:t>
            </w:r>
          </w:p>
        </w:tc>
        <w:tc>
          <w:tcPr>
            <w:tcW w:w="839" w:type="dxa"/>
          </w:tcPr>
          <w:p w14:paraId="2AF9CD73" w14:textId="25579C9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16</w:t>
            </w:r>
          </w:p>
        </w:tc>
        <w:tc>
          <w:tcPr>
            <w:tcW w:w="788" w:type="dxa"/>
          </w:tcPr>
          <w:p w14:paraId="4C4B6DF2" w14:textId="3D760EC5"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c>
          <w:tcPr>
            <w:tcW w:w="879" w:type="dxa"/>
          </w:tcPr>
          <w:p w14:paraId="04C5CD76" w14:textId="1D7CE128"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13</w:t>
            </w:r>
          </w:p>
        </w:tc>
        <w:tc>
          <w:tcPr>
            <w:tcW w:w="1299" w:type="dxa"/>
          </w:tcPr>
          <w:p w14:paraId="3367D49A" w14:textId="5AD6827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9</w:t>
            </w:r>
          </w:p>
        </w:tc>
      </w:tr>
      <w:tr w:rsidR="000A3B84" w:rsidRPr="00D134EB" w14:paraId="350CFFE2" w14:textId="77777777" w:rsidTr="000A3B84">
        <w:tc>
          <w:tcPr>
            <w:tcW w:w="1838" w:type="dxa"/>
          </w:tcPr>
          <w:p w14:paraId="39A2246A" w14:textId="55B8C102" w:rsidR="0072308C" w:rsidRPr="00D134EB" w:rsidRDefault="0072308C" w:rsidP="00F65EE2">
            <w:pPr>
              <w:rPr>
                <w:rFonts w:ascii="Times New Roman" w:hAnsi="Times New Roman" w:cs="Times New Roman"/>
                <w:sz w:val="20"/>
                <w:szCs w:val="20"/>
              </w:rPr>
            </w:pPr>
            <w:r w:rsidRPr="00D134EB">
              <w:rPr>
                <w:rFonts w:ascii="Times New Roman" w:hAnsi="Times New Roman" w:cs="Times New Roman"/>
                <w:sz w:val="20"/>
                <w:szCs w:val="20"/>
              </w:rPr>
              <w:t>Norte de Santander</w:t>
            </w:r>
          </w:p>
        </w:tc>
        <w:tc>
          <w:tcPr>
            <w:tcW w:w="955" w:type="dxa"/>
          </w:tcPr>
          <w:p w14:paraId="1C5BCB2E" w14:textId="4E6A3B9B"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319</w:t>
            </w:r>
          </w:p>
        </w:tc>
        <w:tc>
          <w:tcPr>
            <w:tcW w:w="941" w:type="dxa"/>
          </w:tcPr>
          <w:p w14:paraId="088E60EE" w14:textId="7C54CF0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260</w:t>
            </w:r>
          </w:p>
        </w:tc>
        <w:tc>
          <w:tcPr>
            <w:tcW w:w="820" w:type="dxa"/>
          </w:tcPr>
          <w:p w14:paraId="59294D4C" w14:textId="34131859"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254</w:t>
            </w:r>
          </w:p>
        </w:tc>
        <w:tc>
          <w:tcPr>
            <w:tcW w:w="839" w:type="dxa"/>
          </w:tcPr>
          <w:p w14:paraId="2087375A" w14:textId="069BE85D"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158</w:t>
            </w:r>
          </w:p>
        </w:tc>
        <w:tc>
          <w:tcPr>
            <w:tcW w:w="788" w:type="dxa"/>
          </w:tcPr>
          <w:p w14:paraId="7E6329E5" w14:textId="4A7C1CF4"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77</w:t>
            </w:r>
          </w:p>
        </w:tc>
        <w:tc>
          <w:tcPr>
            <w:tcW w:w="879" w:type="dxa"/>
          </w:tcPr>
          <w:p w14:paraId="3D4B2ADB" w14:textId="1B300A70"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85</w:t>
            </w:r>
          </w:p>
        </w:tc>
        <w:tc>
          <w:tcPr>
            <w:tcW w:w="1299" w:type="dxa"/>
          </w:tcPr>
          <w:p w14:paraId="07B7E65C" w14:textId="1DE3050F" w:rsidR="0072308C" w:rsidRPr="00D134EB" w:rsidRDefault="0072308C" w:rsidP="00BF5352">
            <w:pPr>
              <w:jc w:val="center"/>
              <w:rPr>
                <w:rFonts w:ascii="Times New Roman" w:hAnsi="Times New Roman" w:cs="Times New Roman"/>
                <w:sz w:val="20"/>
                <w:szCs w:val="20"/>
              </w:rPr>
            </w:pPr>
            <w:r w:rsidRPr="00D134EB">
              <w:rPr>
                <w:rFonts w:ascii="Times New Roman" w:hAnsi="Times New Roman" w:cs="Times New Roman"/>
                <w:sz w:val="20"/>
                <w:szCs w:val="20"/>
              </w:rPr>
              <w:t>40</w:t>
            </w:r>
          </w:p>
        </w:tc>
      </w:tr>
      <w:tr w:rsidR="000A3B84" w:rsidRPr="00D134EB" w14:paraId="47C47A33" w14:textId="77777777" w:rsidTr="000A3B84">
        <w:tc>
          <w:tcPr>
            <w:tcW w:w="1838" w:type="dxa"/>
          </w:tcPr>
          <w:p w14:paraId="19B85E4C" w14:textId="79E53F8A" w:rsidR="0072308C"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Putumayo</w:t>
            </w:r>
          </w:p>
        </w:tc>
        <w:tc>
          <w:tcPr>
            <w:tcW w:w="955" w:type="dxa"/>
          </w:tcPr>
          <w:p w14:paraId="51064E05" w14:textId="6AC397C7" w:rsidR="0072308C"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941" w:type="dxa"/>
          </w:tcPr>
          <w:p w14:paraId="79EBE96F" w14:textId="6CA296DD" w:rsidR="0072308C"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820" w:type="dxa"/>
          </w:tcPr>
          <w:p w14:paraId="6A673C6F" w14:textId="348299DE" w:rsidR="0072308C"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39" w:type="dxa"/>
          </w:tcPr>
          <w:p w14:paraId="15866AEF" w14:textId="11559D9D" w:rsidR="0072308C"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788" w:type="dxa"/>
          </w:tcPr>
          <w:p w14:paraId="60C108EC" w14:textId="1C8C39D9" w:rsidR="0072308C"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79" w:type="dxa"/>
          </w:tcPr>
          <w:p w14:paraId="6880251E" w14:textId="77777777" w:rsidR="0072308C" w:rsidRPr="00D134EB" w:rsidRDefault="0072308C" w:rsidP="00BF5352">
            <w:pPr>
              <w:jc w:val="center"/>
              <w:rPr>
                <w:rFonts w:ascii="Times New Roman" w:hAnsi="Times New Roman" w:cs="Times New Roman"/>
                <w:sz w:val="20"/>
                <w:szCs w:val="20"/>
              </w:rPr>
            </w:pPr>
          </w:p>
        </w:tc>
        <w:tc>
          <w:tcPr>
            <w:tcW w:w="1299" w:type="dxa"/>
          </w:tcPr>
          <w:p w14:paraId="171CD282" w14:textId="77777777" w:rsidR="0072308C" w:rsidRPr="00D134EB" w:rsidRDefault="0072308C" w:rsidP="00BF5352">
            <w:pPr>
              <w:jc w:val="center"/>
              <w:rPr>
                <w:rFonts w:ascii="Times New Roman" w:hAnsi="Times New Roman" w:cs="Times New Roman"/>
                <w:sz w:val="20"/>
                <w:szCs w:val="20"/>
              </w:rPr>
            </w:pPr>
          </w:p>
        </w:tc>
      </w:tr>
      <w:tr w:rsidR="000A3B84" w:rsidRPr="00D134EB" w14:paraId="267CCF61" w14:textId="77777777" w:rsidTr="000A3B84">
        <w:tc>
          <w:tcPr>
            <w:tcW w:w="1838" w:type="dxa"/>
          </w:tcPr>
          <w:p w14:paraId="5F2BBD79" w14:textId="40F2C73D"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Quindío</w:t>
            </w:r>
          </w:p>
        </w:tc>
        <w:tc>
          <w:tcPr>
            <w:tcW w:w="955" w:type="dxa"/>
          </w:tcPr>
          <w:p w14:paraId="2C10BA01" w14:textId="680E3047"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22</w:t>
            </w:r>
          </w:p>
        </w:tc>
        <w:tc>
          <w:tcPr>
            <w:tcW w:w="941" w:type="dxa"/>
          </w:tcPr>
          <w:p w14:paraId="18BC732F" w14:textId="6D4AA073"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21</w:t>
            </w:r>
          </w:p>
        </w:tc>
        <w:tc>
          <w:tcPr>
            <w:tcW w:w="820" w:type="dxa"/>
          </w:tcPr>
          <w:p w14:paraId="109B9C1B" w14:textId="388DCA9B"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26</w:t>
            </w:r>
          </w:p>
        </w:tc>
        <w:tc>
          <w:tcPr>
            <w:tcW w:w="839" w:type="dxa"/>
          </w:tcPr>
          <w:p w14:paraId="3CC07CF8" w14:textId="32A26A89"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7</w:t>
            </w:r>
          </w:p>
        </w:tc>
        <w:tc>
          <w:tcPr>
            <w:tcW w:w="788" w:type="dxa"/>
          </w:tcPr>
          <w:p w14:paraId="3F8702AC" w14:textId="1BDDD586"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79" w:type="dxa"/>
          </w:tcPr>
          <w:p w14:paraId="397E4C63" w14:textId="285541A9"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c>
          <w:tcPr>
            <w:tcW w:w="1299" w:type="dxa"/>
          </w:tcPr>
          <w:p w14:paraId="3D454BE1" w14:textId="69C4AAE9"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r>
      <w:tr w:rsidR="000A3B84" w:rsidRPr="00D134EB" w14:paraId="58333403" w14:textId="77777777" w:rsidTr="000A3B84">
        <w:tc>
          <w:tcPr>
            <w:tcW w:w="1838" w:type="dxa"/>
          </w:tcPr>
          <w:p w14:paraId="57F8D553" w14:textId="50801060"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Risaralda</w:t>
            </w:r>
          </w:p>
        </w:tc>
        <w:tc>
          <w:tcPr>
            <w:tcW w:w="955" w:type="dxa"/>
          </w:tcPr>
          <w:p w14:paraId="001CBCC1" w14:textId="31A1BF83"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13</w:t>
            </w:r>
          </w:p>
        </w:tc>
        <w:tc>
          <w:tcPr>
            <w:tcW w:w="941" w:type="dxa"/>
          </w:tcPr>
          <w:p w14:paraId="6981E54B" w14:textId="2A5EFCF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17</w:t>
            </w:r>
          </w:p>
        </w:tc>
        <w:tc>
          <w:tcPr>
            <w:tcW w:w="820" w:type="dxa"/>
          </w:tcPr>
          <w:p w14:paraId="37465C65" w14:textId="2D56F527"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39" w:type="dxa"/>
          </w:tcPr>
          <w:p w14:paraId="21535101" w14:textId="7C0795EE"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8</w:t>
            </w:r>
          </w:p>
        </w:tc>
        <w:tc>
          <w:tcPr>
            <w:tcW w:w="788" w:type="dxa"/>
          </w:tcPr>
          <w:p w14:paraId="145763B0" w14:textId="4A0FD79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79" w:type="dxa"/>
          </w:tcPr>
          <w:p w14:paraId="779825FC" w14:textId="5CCE160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1299" w:type="dxa"/>
          </w:tcPr>
          <w:p w14:paraId="22F62697" w14:textId="692F7BB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r>
      <w:tr w:rsidR="000A3B84" w:rsidRPr="00D134EB" w14:paraId="420B5B23" w14:textId="77777777" w:rsidTr="000A3B84">
        <w:tc>
          <w:tcPr>
            <w:tcW w:w="1838" w:type="dxa"/>
          </w:tcPr>
          <w:p w14:paraId="37611440" w14:textId="4A4AA758"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Santander</w:t>
            </w:r>
          </w:p>
        </w:tc>
        <w:tc>
          <w:tcPr>
            <w:tcW w:w="955" w:type="dxa"/>
          </w:tcPr>
          <w:p w14:paraId="2252B158" w14:textId="2D02A5E6"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6</w:t>
            </w:r>
          </w:p>
        </w:tc>
        <w:tc>
          <w:tcPr>
            <w:tcW w:w="941" w:type="dxa"/>
          </w:tcPr>
          <w:p w14:paraId="596A4B7E" w14:textId="59A3349B"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6</w:t>
            </w:r>
          </w:p>
        </w:tc>
        <w:tc>
          <w:tcPr>
            <w:tcW w:w="820" w:type="dxa"/>
          </w:tcPr>
          <w:p w14:paraId="5DDF0866" w14:textId="65260628"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5</w:t>
            </w:r>
          </w:p>
        </w:tc>
        <w:tc>
          <w:tcPr>
            <w:tcW w:w="839" w:type="dxa"/>
          </w:tcPr>
          <w:p w14:paraId="505212E9" w14:textId="38A1CA4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18</w:t>
            </w:r>
          </w:p>
        </w:tc>
        <w:tc>
          <w:tcPr>
            <w:tcW w:w="788" w:type="dxa"/>
          </w:tcPr>
          <w:p w14:paraId="77AC5706" w14:textId="7A6881B8"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12</w:t>
            </w:r>
          </w:p>
        </w:tc>
        <w:tc>
          <w:tcPr>
            <w:tcW w:w="879" w:type="dxa"/>
          </w:tcPr>
          <w:p w14:paraId="29936DFA" w14:textId="020D80EB"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1299" w:type="dxa"/>
          </w:tcPr>
          <w:p w14:paraId="17EEDFC6" w14:textId="5B177303"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9</w:t>
            </w:r>
          </w:p>
        </w:tc>
      </w:tr>
      <w:tr w:rsidR="000A3B84" w:rsidRPr="00D134EB" w14:paraId="48CF68A7" w14:textId="77777777" w:rsidTr="000A3B84">
        <w:tc>
          <w:tcPr>
            <w:tcW w:w="1838" w:type="dxa"/>
          </w:tcPr>
          <w:p w14:paraId="6373C7D9" w14:textId="2C3ECD73"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Sede Nacional</w:t>
            </w:r>
          </w:p>
        </w:tc>
        <w:tc>
          <w:tcPr>
            <w:tcW w:w="955" w:type="dxa"/>
          </w:tcPr>
          <w:p w14:paraId="6BC6A972" w14:textId="005C8FAB"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941" w:type="dxa"/>
          </w:tcPr>
          <w:p w14:paraId="3F5F5D8B" w14:textId="7A00534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20" w:type="dxa"/>
          </w:tcPr>
          <w:p w14:paraId="48948353" w14:textId="7986F765"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39" w:type="dxa"/>
          </w:tcPr>
          <w:p w14:paraId="047EDB3A" w14:textId="49CDE5FC"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788" w:type="dxa"/>
          </w:tcPr>
          <w:p w14:paraId="11ACEBE8" w14:textId="7AFCDDF8"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879" w:type="dxa"/>
          </w:tcPr>
          <w:p w14:paraId="31E2E0B9" w14:textId="51DC62BC"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c>
          <w:tcPr>
            <w:tcW w:w="1299" w:type="dxa"/>
          </w:tcPr>
          <w:p w14:paraId="67D3F0F2" w14:textId="0EC4B90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w:t>
            </w:r>
          </w:p>
        </w:tc>
      </w:tr>
      <w:tr w:rsidR="000A3B84" w:rsidRPr="00D134EB" w14:paraId="3794EA35" w14:textId="77777777" w:rsidTr="000A3B84">
        <w:tc>
          <w:tcPr>
            <w:tcW w:w="1838" w:type="dxa"/>
          </w:tcPr>
          <w:p w14:paraId="6B037B9A" w14:textId="5E6F5ED2"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Sucre</w:t>
            </w:r>
          </w:p>
        </w:tc>
        <w:tc>
          <w:tcPr>
            <w:tcW w:w="955" w:type="dxa"/>
          </w:tcPr>
          <w:p w14:paraId="7FA9A03A" w14:textId="0DA18200"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14</w:t>
            </w:r>
          </w:p>
        </w:tc>
        <w:tc>
          <w:tcPr>
            <w:tcW w:w="941" w:type="dxa"/>
          </w:tcPr>
          <w:p w14:paraId="2974D6D2" w14:textId="418CE22E"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13</w:t>
            </w:r>
          </w:p>
        </w:tc>
        <w:tc>
          <w:tcPr>
            <w:tcW w:w="820" w:type="dxa"/>
          </w:tcPr>
          <w:p w14:paraId="0261F29C" w14:textId="781BE957"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10</w:t>
            </w:r>
          </w:p>
        </w:tc>
        <w:tc>
          <w:tcPr>
            <w:tcW w:w="839" w:type="dxa"/>
          </w:tcPr>
          <w:p w14:paraId="02A5069E" w14:textId="61D3A34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w:t>
            </w:r>
          </w:p>
        </w:tc>
        <w:tc>
          <w:tcPr>
            <w:tcW w:w="788" w:type="dxa"/>
          </w:tcPr>
          <w:p w14:paraId="0FFB9ADE" w14:textId="0F2B60DE"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879" w:type="dxa"/>
          </w:tcPr>
          <w:p w14:paraId="4270FB5A" w14:textId="77777777" w:rsidR="0086004B" w:rsidRPr="00D134EB" w:rsidRDefault="0086004B" w:rsidP="00BF5352">
            <w:pPr>
              <w:jc w:val="center"/>
              <w:rPr>
                <w:rFonts w:ascii="Times New Roman" w:hAnsi="Times New Roman" w:cs="Times New Roman"/>
                <w:sz w:val="20"/>
                <w:szCs w:val="20"/>
              </w:rPr>
            </w:pPr>
          </w:p>
        </w:tc>
        <w:tc>
          <w:tcPr>
            <w:tcW w:w="1299" w:type="dxa"/>
          </w:tcPr>
          <w:p w14:paraId="03679392" w14:textId="0E2FCD1D"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r>
      <w:tr w:rsidR="000A3B84" w:rsidRPr="00D134EB" w14:paraId="1017E6F3" w14:textId="77777777" w:rsidTr="000A3B84">
        <w:tc>
          <w:tcPr>
            <w:tcW w:w="1838" w:type="dxa"/>
          </w:tcPr>
          <w:p w14:paraId="6DF7726A" w14:textId="3548C21C"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Tolima</w:t>
            </w:r>
          </w:p>
        </w:tc>
        <w:tc>
          <w:tcPr>
            <w:tcW w:w="955" w:type="dxa"/>
          </w:tcPr>
          <w:p w14:paraId="48ED340F" w14:textId="41DA045A"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35</w:t>
            </w:r>
          </w:p>
        </w:tc>
        <w:tc>
          <w:tcPr>
            <w:tcW w:w="941" w:type="dxa"/>
          </w:tcPr>
          <w:p w14:paraId="4EF2FE7D" w14:textId="7F47961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44</w:t>
            </w:r>
          </w:p>
        </w:tc>
        <w:tc>
          <w:tcPr>
            <w:tcW w:w="820" w:type="dxa"/>
          </w:tcPr>
          <w:p w14:paraId="5B19CF7C" w14:textId="0367AE96"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52</w:t>
            </w:r>
          </w:p>
        </w:tc>
        <w:tc>
          <w:tcPr>
            <w:tcW w:w="839" w:type="dxa"/>
          </w:tcPr>
          <w:p w14:paraId="0839AC3B" w14:textId="37F284DF"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32</w:t>
            </w:r>
          </w:p>
        </w:tc>
        <w:tc>
          <w:tcPr>
            <w:tcW w:w="788" w:type="dxa"/>
          </w:tcPr>
          <w:p w14:paraId="2791014B" w14:textId="4E1A130E"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41</w:t>
            </w:r>
          </w:p>
        </w:tc>
        <w:tc>
          <w:tcPr>
            <w:tcW w:w="879" w:type="dxa"/>
          </w:tcPr>
          <w:p w14:paraId="00EB5405" w14:textId="69D30AB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40</w:t>
            </w:r>
          </w:p>
        </w:tc>
        <w:tc>
          <w:tcPr>
            <w:tcW w:w="1299" w:type="dxa"/>
          </w:tcPr>
          <w:p w14:paraId="5F02F904" w14:textId="3374578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11</w:t>
            </w:r>
          </w:p>
        </w:tc>
      </w:tr>
      <w:tr w:rsidR="000A3B84" w:rsidRPr="00D134EB" w14:paraId="49B6A646" w14:textId="77777777" w:rsidTr="000A3B84">
        <w:tc>
          <w:tcPr>
            <w:tcW w:w="1838" w:type="dxa"/>
          </w:tcPr>
          <w:p w14:paraId="76DA3F21" w14:textId="4E45F70A"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Valle del Cauca</w:t>
            </w:r>
          </w:p>
        </w:tc>
        <w:tc>
          <w:tcPr>
            <w:tcW w:w="955" w:type="dxa"/>
          </w:tcPr>
          <w:p w14:paraId="2DB4D21F" w14:textId="767070A4"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77</w:t>
            </w:r>
          </w:p>
        </w:tc>
        <w:tc>
          <w:tcPr>
            <w:tcW w:w="941" w:type="dxa"/>
          </w:tcPr>
          <w:p w14:paraId="0CEDAFEE" w14:textId="1DAF14FD"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73</w:t>
            </w:r>
          </w:p>
        </w:tc>
        <w:tc>
          <w:tcPr>
            <w:tcW w:w="820" w:type="dxa"/>
          </w:tcPr>
          <w:p w14:paraId="1582E793" w14:textId="00F54BDE"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79</w:t>
            </w:r>
          </w:p>
        </w:tc>
        <w:tc>
          <w:tcPr>
            <w:tcW w:w="839" w:type="dxa"/>
          </w:tcPr>
          <w:p w14:paraId="59FAA906" w14:textId="1A91838D"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46</w:t>
            </w:r>
          </w:p>
        </w:tc>
        <w:tc>
          <w:tcPr>
            <w:tcW w:w="788" w:type="dxa"/>
          </w:tcPr>
          <w:p w14:paraId="003334FC" w14:textId="0683D9CD"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69</w:t>
            </w:r>
          </w:p>
        </w:tc>
        <w:tc>
          <w:tcPr>
            <w:tcW w:w="879" w:type="dxa"/>
          </w:tcPr>
          <w:p w14:paraId="478446F1" w14:textId="7DE1D463"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115</w:t>
            </w:r>
          </w:p>
        </w:tc>
        <w:tc>
          <w:tcPr>
            <w:tcW w:w="1299" w:type="dxa"/>
          </w:tcPr>
          <w:p w14:paraId="38A26983" w14:textId="4F912EEB"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69</w:t>
            </w:r>
          </w:p>
        </w:tc>
      </w:tr>
      <w:tr w:rsidR="000A3B84" w:rsidRPr="00D134EB" w14:paraId="29C33E20" w14:textId="77777777" w:rsidTr="000A3B84">
        <w:tc>
          <w:tcPr>
            <w:tcW w:w="1838" w:type="dxa"/>
          </w:tcPr>
          <w:p w14:paraId="2A34B237" w14:textId="0C1A47E4"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Vaupés</w:t>
            </w:r>
          </w:p>
        </w:tc>
        <w:tc>
          <w:tcPr>
            <w:tcW w:w="955" w:type="dxa"/>
          </w:tcPr>
          <w:p w14:paraId="42A5BB13" w14:textId="6744AB7A"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c>
          <w:tcPr>
            <w:tcW w:w="941" w:type="dxa"/>
          </w:tcPr>
          <w:p w14:paraId="6B06B299" w14:textId="5073434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20" w:type="dxa"/>
          </w:tcPr>
          <w:p w14:paraId="7AFE8A98" w14:textId="70E80FF1"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39" w:type="dxa"/>
          </w:tcPr>
          <w:p w14:paraId="1217E288" w14:textId="11B8900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788" w:type="dxa"/>
          </w:tcPr>
          <w:p w14:paraId="395A31E1" w14:textId="70794F27"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879" w:type="dxa"/>
          </w:tcPr>
          <w:p w14:paraId="54386099" w14:textId="78DE6E5F"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1299" w:type="dxa"/>
          </w:tcPr>
          <w:p w14:paraId="11DEC1F3" w14:textId="77777777" w:rsidR="0086004B" w:rsidRPr="00D134EB" w:rsidRDefault="0086004B" w:rsidP="00BF5352">
            <w:pPr>
              <w:jc w:val="center"/>
              <w:rPr>
                <w:rFonts w:ascii="Times New Roman" w:hAnsi="Times New Roman" w:cs="Times New Roman"/>
                <w:sz w:val="20"/>
                <w:szCs w:val="20"/>
              </w:rPr>
            </w:pPr>
          </w:p>
        </w:tc>
      </w:tr>
      <w:tr w:rsidR="000A3B84" w:rsidRPr="00D134EB" w14:paraId="00FA15F3" w14:textId="77777777" w:rsidTr="000A3B84">
        <w:tc>
          <w:tcPr>
            <w:tcW w:w="1838" w:type="dxa"/>
          </w:tcPr>
          <w:p w14:paraId="16A75B01" w14:textId="1FC026FE" w:rsidR="0086004B" w:rsidRPr="00D134EB" w:rsidRDefault="0086004B" w:rsidP="00F65EE2">
            <w:pPr>
              <w:rPr>
                <w:rFonts w:ascii="Times New Roman" w:hAnsi="Times New Roman" w:cs="Times New Roman"/>
                <w:sz w:val="20"/>
                <w:szCs w:val="20"/>
              </w:rPr>
            </w:pPr>
            <w:r w:rsidRPr="00D134EB">
              <w:rPr>
                <w:rFonts w:ascii="Times New Roman" w:hAnsi="Times New Roman" w:cs="Times New Roman"/>
                <w:sz w:val="20"/>
                <w:szCs w:val="20"/>
              </w:rPr>
              <w:t>Vichada</w:t>
            </w:r>
          </w:p>
        </w:tc>
        <w:tc>
          <w:tcPr>
            <w:tcW w:w="955" w:type="dxa"/>
          </w:tcPr>
          <w:p w14:paraId="2D5AFA39" w14:textId="77777777" w:rsidR="0086004B" w:rsidRPr="00D134EB" w:rsidRDefault="0086004B" w:rsidP="00BF5352">
            <w:pPr>
              <w:jc w:val="center"/>
              <w:rPr>
                <w:rFonts w:ascii="Times New Roman" w:hAnsi="Times New Roman" w:cs="Times New Roman"/>
                <w:sz w:val="20"/>
                <w:szCs w:val="20"/>
              </w:rPr>
            </w:pPr>
          </w:p>
        </w:tc>
        <w:tc>
          <w:tcPr>
            <w:tcW w:w="941" w:type="dxa"/>
          </w:tcPr>
          <w:p w14:paraId="163E33C7" w14:textId="77777777" w:rsidR="0086004B" w:rsidRPr="00D134EB" w:rsidRDefault="0086004B" w:rsidP="00BF5352">
            <w:pPr>
              <w:jc w:val="center"/>
              <w:rPr>
                <w:rFonts w:ascii="Times New Roman" w:hAnsi="Times New Roman" w:cs="Times New Roman"/>
                <w:sz w:val="20"/>
                <w:szCs w:val="20"/>
              </w:rPr>
            </w:pPr>
          </w:p>
        </w:tc>
        <w:tc>
          <w:tcPr>
            <w:tcW w:w="820" w:type="dxa"/>
          </w:tcPr>
          <w:p w14:paraId="6B550F50" w14:textId="77777777" w:rsidR="0086004B" w:rsidRPr="00D134EB" w:rsidRDefault="0086004B" w:rsidP="00BF5352">
            <w:pPr>
              <w:jc w:val="center"/>
              <w:rPr>
                <w:rFonts w:ascii="Times New Roman" w:hAnsi="Times New Roman" w:cs="Times New Roman"/>
                <w:sz w:val="20"/>
                <w:szCs w:val="20"/>
              </w:rPr>
            </w:pPr>
          </w:p>
        </w:tc>
        <w:tc>
          <w:tcPr>
            <w:tcW w:w="839" w:type="dxa"/>
          </w:tcPr>
          <w:p w14:paraId="39396ED8" w14:textId="29A494AC"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1</w:t>
            </w:r>
          </w:p>
        </w:tc>
        <w:tc>
          <w:tcPr>
            <w:tcW w:w="788" w:type="dxa"/>
          </w:tcPr>
          <w:p w14:paraId="6B5E14D4" w14:textId="77777777" w:rsidR="0086004B" w:rsidRPr="00D134EB" w:rsidRDefault="0086004B" w:rsidP="00BF5352">
            <w:pPr>
              <w:jc w:val="center"/>
              <w:rPr>
                <w:rFonts w:ascii="Times New Roman" w:hAnsi="Times New Roman" w:cs="Times New Roman"/>
                <w:sz w:val="20"/>
                <w:szCs w:val="20"/>
              </w:rPr>
            </w:pPr>
          </w:p>
        </w:tc>
        <w:tc>
          <w:tcPr>
            <w:tcW w:w="879" w:type="dxa"/>
          </w:tcPr>
          <w:p w14:paraId="13520A58" w14:textId="529FDE5C" w:rsidR="0086004B" w:rsidRPr="00D134EB" w:rsidRDefault="0086004B" w:rsidP="00BF5352">
            <w:pPr>
              <w:jc w:val="center"/>
              <w:rPr>
                <w:rFonts w:ascii="Times New Roman" w:hAnsi="Times New Roman" w:cs="Times New Roman"/>
                <w:sz w:val="20"/>
                <w:szCs w:val="20"/>
              </w:rPr>
            </w:pPr>
          </w:p>
        </w:tc>
        <w:tc>
          <w:tcPr>
            <w:tcW w:w="1299" w:type="dxa"/>
          </w:tcPr>
          <w:p w14:paraId="4D63993A" w14:textId="5A224C42" w:rsidR="0086004B" w:rsidRPr="00D134EB" w:rsidRDefault="0086004B" w:rsidP="00BF5352">
            <w:pPr>
              <w:jc w:val="center"/>
              <w:rPr>
                <w:rFonts w:ascii="Times New Roman" w:hAnsi="Times New Roman" w:cs="Times New Roman"/>
                <w:sz w:val="20"/>
                <w:szCs w:val="20"/>
              </w:rPr>
            </w:pPr>
            <w:r w:rsidRPr="00D134EB">
              <w:rPr>
                <w:rFonts w:ascii="Times New Roman" w:hAnsi="Times New Roman" w:cs="Times New Roman"/>
                <w:sz w:val="20"/>
                <w:szCs w:val="20"/>
              </w:rPr>
              <w:t>2</w:t>
            </w:r>
          </w:p>
        </w:tc>
      </w:tr>
      <w:tr w:rsidR="000A3B84" w:rsidRPr="00D134EB" w14:paraId="3E8C8B9E" w14:textId="77777777" w:rsidTr="000A3B84">
        <w:tc>
          <w:tcPr>
            <w:tcW w:w="1838" w:type="dxa"/>
            <w:shd w:val="clear" w:color="auto" w:fill="A8D08D" w:themeFill="accent6" w:themeFillTint="99"/>
          </w:tcPr>
          <w:p w14:paraId="24E99590" w14:textId="08788BCD" w:rsidR="0086004B" w:rsidRPr="00D134EB" w:rsidRDefault="0086004B" w:rsidP="00F65EE2">
            <w:pPr>
              <w:rPr>
                <w:rFonts w:ascii="Times New Roman" w:hAnsi="Times New Roman" w:cs="Times New Roman"/>
                <w:b/>
                <w:bCs/>
                <w:sz w:val="20"/>
                <w:szCs w:val="20"/>
              </w:rPr>
            </w:pPr>
            <w:r w:rsidRPr="00D134EB">
              <w:rPr>
                <w:rFonts w:ascii="Times New Roman" w:hAnsi="Times New Roman" w:cs="Times New Roman"/>
                <w:b/>
                <w:bCs/>
                <w:sz w:val="20"/>
                <w:szCs w:val="20"/>
              </w:rPr>
              <w:t>TOTAL GENERAL</w:t>
            </w:r>
          </w:p>
        </w:tc>
        <w:tc>
          <w:tcPr>
            <w:tcW w:w="955" w:type="dxa"/>
            <w:shd w:val="clear" w:color="auto" w:fill="A8D08D" w:themeFill="accent6" w:themeFillTint="99"/>
          </w:tcPr>
          <w:p w14:paraId="301B857D" w14:textId="36B3DDB1"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4,486</w:t>
            </w:r>
          </w:p>
        </w:tc>
        <w:tc>
          <w:tcPr>
            <w:tcW w:w="941" w:type="dxa"/>
            <w:shd w:val="clear" w:color="auto" w:fill="A8D08D" w:themeFill="accent6" w:themeFillTint="99"/>
          </w:tcPr>
          <w:p w14:paraId="2ADCCD86" w14:textId="01591A34"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4,652</w:t>
            </w:r>
          </w:p>
        </w:tc>
        <w:tc>
          <w:tcPr>
            <w:tcW w:w="820" w:type="dxa"/>
            <w:shd w:val="clear" w:color="auto" w:fill="A8D08D" w:themeFill="accent6" w:themeFillTint="99"/>
          </w:tcPr>
          <w:p w14:paraId="73C56199" w14:textId="3D5861AA"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4,996</w:t>
            </w:r>
          </w:p>
        </w:tc>
        <w:tc>
          <w:tcPr>
            <w:tcW w:w="839" w:type="dxa"/>
            <w:shd w:val="clear" w:color="auto" w:fill="A8D08D" w:themeFill="accent6" w:themeFillTint="99"/>
          </w:tcPr>
          <w:p w14:paraId="763E1534" w14:textId="449AB7E9"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3,303</w:t>
            </w:r>
          </w:p>
        </w:tc>
        <w:tc>
          <w:tcPr>
            <w:tcW w:w="788" w:type="dxa"/>
            <w:shd w:val="clear" w:color="auto" w:fill="A8D08D" w:themeFill="accent6" w:themeFillTint="99"/>
          </w:tcPr>
          <w:p w14:paraId="46C05803" w14:textId="07E11EDF"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2,786</w:t>
            </w:r>
          </w:p>
        </w:tc>
        <w:tc>
          <w:tcPr>
            <w:tcW w:w="879" w:type="dxa"/>
            <w:shd w:val="clear" w:color="auto" w:fill="A8D08D" w:themeFill="accent6" w:themeFillTint="99"/>
          </w:tcPr>
          <w:p w14:paraId="5BFD4920" w14:textId="6AB7E606"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3,263</w:t>
            </w:r>
          </w:p>
        </w:tc>
        <w:tc>
          <w:tcPr>
            <w:tcW w:w="1299" w:type="dxa"/>
            <w:shd w:val="clear" w:color="auto" w:fill="A8D08D" w:themeFill="accent6" w:themeFillTint="99"/>
          </w:tcPr>
          <w:p w14:paraId="1EEB28E5" w14:textId="302539DC" w:rsidR="0086004B" w:rsidRPr="00D134EB" w:rsidRDefault="0086004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2,028</w:t>
            </w:r>
          </w:p>
        </w:tc>
      </w:tr>
    </w:tbl>
    <w:p w14:paraId="2C399079" w14:textId="3E446DEE" w:rsidR="00635078" w:rsidRPr="00D134EB" w:rsidRDefault="00635078" w:rsidP="001C28AB">
      <w:pPr>
        <w:jc w:val="center"/>
        <w:rPr>
          <w:rFonts w:ascii="Times New Roman" w:hAnsi="Times New Roman" w:cs="Times New Roman"/>
          <w:sz w:val="20"/>
          <w:szCs w:val="20"/>
        </w:rPr>
      </w:pPr>
      <w:r w:rsidRPr="00D134EB">
        <w:rPr>
          <w:rFonts w:ascii="Times New Roman" w:hAnsi="Times New Roman" w:cs="Times New Roman"/>
          <w:sz w:val="20"/>
          <w:szCs w:val="20"/>
        </w:rPr>
        <w:t>Fuente: Sistema de Información Misional -SIM.</w:t>
      </w:r>
    </w:p>
    <w:p w14:paraId="37BA9C93" w14:textId="19A8835D" w:rsidR="00635078" w:rsidRPr="00D134EB" w:rsidRDefault="00635078"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2. </w:t>
      </w:r>
      <w:r w:rsidR="00816679" w:rsidRPr="00D134EB">
        <w:rPr>
          <w:rFonts w:ascii="Times New Roman" w:hAnsi="Times New Roman" w:cs="Times New Roman"/>
          <w:b/>
          <w:bCs/>
          <w:sz w:val="20"/>
          <w:szCs w:val="20"/>
        </w:rPr>
        <w:t>Estrategia EMPI, número de equipos y profesionales, vigencias 2016 a 2022</w:t>
      </w:r>
    </w:p>
    <w:tbl>
      <w:tblPr>
        <w:tblStyle w:val="Tablaconcuadrcula"/>
        <w:tblW w:w="0" w:type="auto"/>
        <w:tblLook w:val="04A0" w:firstRow="1" w:lastRow="0" w:firstColumn="1" w:lastColumn="0" w:noHBand="0" w:noVBand="1"/>
      </w:tblPr>
      <w:tblGrid>
        <w:gridCol w:w="2792"/>
        <w:gridCol w:w="2874"/>
        <w:gridCol w:w="2822"/>
      </w:tblGrid>
      <w:tr w:rsidR="00816679" w:rsidRPr="00D134EB" w14:paraId="01C0A02A" w14:textId="77777777" w:rsidTr="00816679">
        <w:tc>
          <w:tcPr>
            <w:tcW w:w="2942" w:type="dxa"/>
            <w:shd w:val="clear" w:color="auto" w:fill="E7E6E6" w:themeFill="background2"/>
          </w:tcPr>
          <w:p w14:paraId="32EF8825" w14:textId="47F4E7F7"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AÑO</w:t>
            </w:r>
          </w:p>
        </w:tc>
        <w:tc>
          <w:tcPr>
            <w:tcW w:w="2943" w:type="dxa"/>
            <w:shd w:val="clear" w:color="auto" w:fill="E7E6E6" w:themeFill="background2"/>
          </w:tcPr>
          <w:p w14:paraId="2A46B4C8" w14:textId="64D39976"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PROFESIONALES</w:t>
            </w:r>
          </w:p>
        </w:tc>
        <w:tc>
          <w:tcPr>
            <w:tcW w:w="2943" w:type="dxa"/>
            <w:shd w:val="clear" w:color="auto" w:fill="E7E6E6" w:themeFill="background2"/>
          </w:tcPr>
          <w:p w14:paraId="75921F1D" w14:textId="3F7DBACF"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EQUIPOS EMPI</w:t>
            </w:r>
          </w:p>
        </w:tc>
      </w:tr>
      <w:tr w:rsidR="00816679" w:rsidRPr="00D134EB" w14:paraId="2C793A79" w14:textId="77777777" w:rsidTr="00816679">
        <w:tc>
          <w:tcPr>
            <w:tcW w:w="2942" w:type="dxa"/>
          </w:tcPr>
          <w:p w14:paraId="55CD0BDA" w14:textId="0C6582EB"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2016</w:t>
            </w:r>
          </w:p>
        </w:tc>
        <w:tc>
          <w:tcPr>
            <w:tcW w:w="2943" w:type="dxa"/>
          </w:tcPr>
          <w:p w14:paraId="364C8490" w14:textId="7FFCD0D0"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123</w:t>
            </w:r>
          </w:p>
        </w:tc>
        <w:tc>
          <w:tcPr>
            <w:tcW w:w="2943" w:type="dxa"/>
          </w:tcPr>
          <w:p w14:paraId="3086550A" w14:textId="5DBAE7F3"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41</w:t>
            </w:r>
          </w:p>
        </w:tc>
      </w:tr>
      <w:tr w:rsidR="00816679" w:rsidRPr="00D134EB" w14:paraId="61F74B49" w14:textId="77777777" w:rsidTr="00816679">
        <w:tc>
          <w:tcPr>
            <w:tcW w:w="2942" w:type="dxa"/>
          </w:tcPr>
          <w:p w14:paraId="43331326" w14:textId="0EDE9B95"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2017</w:t>
            </w:r>
          </w:p>
        </w:tc>
        <w:tc>
          <w:tcPr>
            <w:tcW w:w="2943" w:type="dxa"/>
          </w:tcPr>
          <w:p w14:paraId="19727AF7" w14:textId="44834037"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117</w:t>
            </w:r>
          </w:p>
        </w:tc>
        <w:tc>
          <w:tcPr>
            <w:tcW w:w="2943" w:type="dxa"/>
          </w:tcPr>
          <w:p w14:paraId="57E40742" w14:textId="390434F4"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39</w:t>
            </w:r>
          </w:p>
        </w:tc>
      </w:tr>
      <w:tr w:rsidR="00816679" w:rsidRPr="00D134EB" w14:paraId="6E59D9A9" w14:textId="77777777" w:rsidTr="00816679">
        <w:tc>
          <w:tcPr>
            <w:tcW w:w="2942" w:type="dxa"/>
          </w:tcPr>
          <w:p w14:paraId="1EB15AF0" w14:textId="7AE932FE"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2018</w:t>
            </w:r>
          </w:p>
        </w:tc>
        <w:tc>
          <w:tcPr>
            <w:tcW w:w="2943" w:type="dxa"/>
          </w:tcPr>
          <w:p w14:paraId="14FA5BC4" w14:textId="39E2EDFB"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174</w:t>
            </w:r>
          </w:p>
        </w:tc>
        <w:tc>
          <w:tcPr>
            <w:tcW w:w="2943" w:type="dxa"/>
          </w:tcPr>
          <w:p w14:paraId="639F38FB" w14:textId="4691661D"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58</w:t>
            </w:r>
          </w:p>
        </w:tc>
      </w:tr>
      <w:tr w:rsidR="00816679" w:rsidRPr="00D134EB" w14:paraId="62E67282" w14:textId="77777777" w:rsidTr="00816679">
        <w:tc>
          <w:tcPr>
            <w:tcW w:w="2942" w:type="dxa"/>
          </w:tcPr>
          <w:p w14:paraId="01D08A75" w14:textId="657058E2"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2019</w:t>
            </w:r>
          </w:p>
        </w:tc>
        <w:tc>
          <w:tcPr>
            <w:tcW w:w="2943" w:type="dxa"/>
          </w:tcPr>
          <w:p w14:paraId="385C54B0" w14:textId="196394AE"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132</w:t>
            </w:r>
          </w:p>
        </w:tc>
        <w:tc>
          <w:tcPr>
            <w:tcW w:w="2943" w:type="dxa"/>
          </w:tcPr>
          <w:p w14:paraId="4929C7E5" w14:textId="19B82C3E"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44</w:t>
            </w:r>
          </w:p>
        </w:tc>
      </w:tr>
      <w:tr w:rsidR="00816679" w:rsidRPr="00D134EB" w14:paraId="6A70A796" w14:textId="77777777" w:rsidTr="00816679">
        <w:tc>
          <w:tcPr>
            <w:tcW w:w="2942" w:type="dxa"/>
          </w:tcPr>
          <w:p w14:paraId="1B897F9D" w14:textId="10139728"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2020</w:t>
            </w:r>
          </w:p>
        </w:tc>
        <w:tc>
          <w:tcPr>
            <w:tcW w:w="2943" w:type="dxa"/>
          </w:tcPr>
          <w:p w14:paraId="04F15C3E" w14:textId="6508E04B"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132</w:t>
            </w:r>
          </w:p>
        </w:tc>
        <w:tc>
          <w:tcPr>
            <w:tcW w:w="2943" w:type="dxa"/>
          </w:tcPr>
          <w:p w14:paraId="3A6C5E76" w14:textId="0D019A13"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44</w:t>
            </w:r>
          </w:p>
        </w:tc>
      </w:tr>
      <w:tr w:rsidR="00816679" w:rsidRPr="00D134EB" w14:paraId="4649AF69" w14:textId="77777777" w:rsidTr="00816679">
        <w:tc>
          <w:tcPr>
            <w:tcW w:w="2942" w:type="dxa"/>
          </w:tcPr>
          <w:p w14:paraId="3FC5DB17" w14:textId="147E819D"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2021</w:t>
            </w:r>
          </w:p>
        </w:tc>
        <w:tc>
          <w:tcPr>
            <w:tcW w:w="2943" w:type="dxa"/>
          </w:tcPr>
          <w:p w14:paraId="2472D427" w14:textId="7449F766"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147</w:t>
            </w:r>
          </w:p>
        </w:tc>
        <w:tc>
          <w:tcPr>
            <w:tcW w:w="2943" w:type="dxa"/>
          </w:tcPr>
          <w:p w14:paraId="6441AAFE" w14:textId="580EBBD4"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49</w:t>
            </w:r>
          </w:p>
        </w:tc>
      </w:tr>
      <w:tr w:rsidR="00816679" w:rsidRPr="00D134EB" w14:paraId="56A3E2E6" w14:textId="77777777" w:rsidTr="00816679">
        <w:tc>
          <w:tcPr>
            <w:tcW w:w="2942" w:type="dxa"/>
          </w:tcPr>
          <w:p w14:paraId="7ED19E92" w14:textId="1B571422" w:rsidR="00816679" w:rsidRPr="00D134EB" w:rsidRDefault="00816679" w:rsidP="00816679">
            <w:pPr>
              <w:rPr>
                <w:rFonts w:ascii="Times New Roman" w:hAnsi="Times New Roman" w:cs="Times New Roman"/>
                <w:sz w:val="20"/>
                <w:szCs w:val="20"/>
              </w:rPr>
            </w:pPr>
            <w:r w:rsidRPr="00D134EB">
              <w:rPr>
                <w:rFonts w:ascii="Times New Roman" w:hAnsi="Times New Roman" w:cs="Times New Roman"/>
                <w:sz w:val="20"/>
                <w:szCs w:val="20"/>
              </w:rPr>
              <w:t>2022</w:t>
            </w:r>
          </w:p>
        </w:tc>
        <w:tc>
          <w:tcPr>
            <w:tcW w:w="2943" w:type="dxa"/>
          </w:tcPr>
          <w:p w14:paraId="4ABD3FF9" w14:textId="75723F6D"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153</w:t>
            </w:r>
          </w:p>
        </w:tc>
        <w:tc>
          <w:tcPr>
            <w:tcW w:w="2943" w:type="dxa"/>
          </w:tcPr>
          <w:p w14:paraId="594C13E3" w14:textId="603A7BB2"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51</w:t>
            </w:r>
          </w:p>
        </w:tc>
      </w:tr>
    </w:tbl>
    <w:p w14:paraId="4B925148" w14:textId="3DA47B27" w:rsidR="00816679" w:rsidRPr="00D134EB" w:rsidRDefault="00816679" w:rsidP="00D263A6">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Dirección de Protección ICBF</w:t>
      </w:r>
    </w:p>
    <w:p w14:paraId="3E4E07F5" w14:textId="18F419D4"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3. Estrategia EMPI, jornadas de búsqueda activa, vigencias 2017 a 2022 (mayo)</w:t>
      </w:r>
    </w:p>
    <w:tbl>
      <w:tblPr>
        <w:tblStyle w:val="Tablaconcuadrcula"/>
        <w:tblW w:w="0" w:type="auto"/>
        <w:tblLook w:val="04A0" w:firstRow="1" w:lastRow="0" w:firstColumn="1" w:lastColumn="0" w:noHBand="0" w:noVBand="1"/>
      </w:tblPr>
      <w:tblGrid>
        <w:gridCol w:w="2098"/>
        <w:gridCol w:w="2121"/>
        <w:gridCol w:w="2129"/>
        <w:gridCol w:w="2140"/>
      </w:tblGrid>
      <w:tr w:rsidR="00816679" w:rsidRPr="00D134EB" w14:paraId="038F34E3" w14:textId="77777777" w:rsidTr="00816679">
        <w:tc>
          <w:tcPr>
            <w:tcW w:w="2207" w:type="dxa"/>
            <w:vMerge w:val="restart"/>
            <w:shd w:val="clear" w:color="auto" w:fill="E7E6E6" w:themeFill="background2"/>
          </w:tcPr>
          <w:p w14:paraId="622078BC" w14:textId="66F48654"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lastRenderedPageBreak/>
              <w:t>AÑO</w:t>
            </w:r>
          </w:p>
        </w:tc>
        <w:tc>
          <w:tcPr>
            <w:tcW w:w="2207" w:type="dxa"/>
            <w:vMerge w:val="restart"/>
            <w:shd w:val="clear" w:color="auto" w:fill="E7E6E6" w:themeFill="background2"/>
          </w:tcPr>
          <w:p w14:paraId="12C4B3CB" w14:textId="6B40AA26"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Jornadas realizadas</w:t>
            </w:r>
          </w:p>
        </w:tc>
        <w:tc>
          <w:tcPr>
            <w:tcW w:w="2207" w:type="dxa"/>
            <w:vMerge w:val="restart"/>
            <w:shd w:val="clear" w:color="auto" w:fill="E7E6E6" w:themeFill="background2"/>
          </w:tcPr>
          <w:p w14:paraId="1F323104" w14:textId="04AE98CF"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Municipios</w:t>
            </w:r>
          </w:p>
        </w:tc>
        <w:tc>
          <w:tcPr>
            <w:tcW w:w="2207" w:type="dxa"/>
            <w:shd w:val="clear" w:color="auto" w:fill="E7E6E6" w:themeFill="background2"/>
          </w:tcPr>
          <w:p w14:paraId="638F17C1" w14:textId="74D32B22"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NNA</w:t>
            </w:r>
          </w:p>
        </w:tc>
      </w:tr>
      <w:tr w:rsidR="00816679" w:rsidRPr="00D134EB" w14:paraId="592A2C02" w14:textId="77777777" w:rsidTr="00816679">
        <w:tc>
          <w:tcPr>
            <w:tcW w:w="2207" w:type="dxa"/>
            <w:vMerge/>
            <w:shd w:val="clear" w:color="auto" w:fill="E7E6E6" w:themeFill="background2"/>
          </w:tcPr>
          <w:p w14:paraId="27EC9FEA" w14:textId="77777777" w:rsidR="00816679" w:rsidRPr="00D134EB" w:rsidRDefault="00816679" w:rsidP="00BF5352">
            <w:pPr>
              <w:jc w:val="center"/>
              <w:rPr>
                <w:rFonts w:ascii="Times New Roman" w:hAnsi="Times New Roman" w:cs="Times New Roman"/>
                <w:b/>
                <w:bCs/>
                <w:sz w:val="20"/>
                <w:szCs w:val="20"/>
              </w:rPr>
            </w:pPr>
          </w:p>
        </w:tc>
        <w:tc>
          <w:tcPr>
            <w:tcW w:w="2207" w:type="dxa"/>
            <w:vMerge/>
            <w:shd w:val="clear" w:color="auto" w:fill="E7E6E6" w:themeFill="background2"/>
          </w:tcPr>
          <w:p w14:paraId="3BBF975E" w14:textId="77777777" w:rsidR="00816679" w:rsidRPr="00D134EB" w:rsidRDefault="00816679" w:rsidP="00BF5352">
            <w:pPr>
              <w:jc w:val="center"/>
              <w:rPr>
                <w:rFonts w:ascii="Times New Roman" w:hAnsi="Times New Roman" w:cs="Times New Roman"/>
                <w:b/>
                <w:bCs/>
                <w:sz w:val="20"/>
                <w:szCs w:val="20"/>
              </w:rPr>
            </w:pPr>
          </w:p>
        </w:tc>
        <w:tc>
          <w:tcPr>
            <w:tcW w:w="2207" w:type="dxa"/>
            <w:vMerge/>
            <w:shd w:val="clear" w:color="auto" w:fill="E7E6E6" w:themeFill="background2"/>
          </w:tcPr>
          <w:p w14:paraId="401ED64D" w14:textId="77777777" w:rsidR="00816679" w:rsidRPr="00D134EB" w:rsidRDefault="00816679" w:rsidP="00BF5352">
            <w:pPr>
              <w:jc w:val="center"/>
              <w:rPr>
                <w:rFonts w:ascii="Times New Roman" w:hAnsi="Times New Roman" w:cs="Times New Roman"/>
                <w:b/>
                <w:bCs/>
                <w:sz w:val="20"/>
                <w:szCs w:val="20"/>
              </w:rPr>
            </w:pPr>
          </w:p>
        </w:tc>
        <w:tc>
          <w:tcPr>
            <w:tcW w:w="2207" w:type="dxa"/>
            <w:shd w:val="clear" w:color="auto" w:fill="E7E6E6" w:themeFill="background2"/>
          </w:tcPr>
          <w:p w14:paraId="7A102A0D" w14:textId="5F475A6D" w:rsidR="00816679" w:rsidRPr="00D134EB" w:rsidRDefault="00816679"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Identificados</w:t>
            </w:r>
          </w:p>
        </w:tc>
      </w:tr>
      <w:tr w:rsidR="00816679" w:rsidRPr="00D134EB" w14:paraId="66D9E68C" w14:textId="77777777" w:rsidTr="00816679">
        <w:tc>
          <w:tcPr>
            <w:tcW w:w="2207" w:type="dxa"/>
          </w:tcPr>
          <w:p w14:paraId="41E72929" w14:textId="74D017EC"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2017</w:t>
            </w:r>
          </w:p>
        </w:tc>
        <w:tc>
          <w:tcPr>
            <w:tcW w:w="2207" w:type="dxa"/>
          </w:tcPr>
          <w:p w14:paraId="5C22DAF7" w14:textId="30385A8B"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250</w:t>
            </w:r>
          </w:p>
        </w:tc>
        <w:tc>
          <w:tcPr>
            <w:tcW w:w="2207" w:type="dxa"/>
          </w:tcPr>
          <w:p w14:paraId="4037241A" w14:textId="114B06E5"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56</w:t>
            </w:r>
          </w:p>
        </w:tc>
        <w:tc>
          <w:tcPr>
            <w:tcW w:w="2207" w:type="dxa"/>
          </w:tcPr>
          <w:p w14:paraId="1E70C247" w14:textId="5532D28B"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3.454</w:t>
            </w:r>
          </w:p>
        </w:tc>
      </w:tr>
      <w:tr w:rsidR="00816679" w:rsidRPr="00D134EB" w14:paraId="16F36903" w14:textId="77777777" w:rsidTr="00816679">
        <w:tc>
          <w:tcPr>
            <w:tcW w:w="2207" w:type="dxa"/>
          </w:tcPr>
          <w:p w14:paraId="622D962D" w14:textId="3A703896"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2018</w:t>
            </w:r>
          </w:p>
        </w:tc>
        <w:tc>
          <w:tcPr>
            <w:tcW w:w="2207" w:type="dxa"/>
          </w:tcPr>
          <w:p w14:paraId="09E73330" w14:textId="137925F2"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1962</w:t>
            </w:r>
          </w:p>
        </w:tc>
        <w:tc>
          <w:tcPr>
            <w:tcW w:w="2207" w:type="dxa"/>
          </w:tcPr>
          <w:p w14:paraId="05A36F10" w14:textId="1DCDE305"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258</w:t>
            </w:r>
          </w:p>
        </w:tc>
        <w:tc>
          <w:tcPr>
            <w:tcW w:w="2207" w:type="dxa"/>
          </w:tcPr>
          <w:p w14:paraId="69E87C3F" w14:textId="67357DEA"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802</w:t>
            </w:r>
          </w:p>
        </w:tc>
      </w:tr>
      <w:tr w:rsidR="00816679" w:rsidRPr="00D134EB" w14:paraId="2B41E8F2" w14:textId="77777777" w:rsidTr="00816679">
        <w:tc>
          <w:tcPr>
            <w:tcW w:w="2207" w:type="dxa"/>
          </w:tcPr>
          <w:p w14:paraId="3C4A3301" w14:textId="40946336"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2019</w:t>
            </w:r>
          </w:p>
        </w:tc>
        <w:tc>
          <w:tcPr>
            <w:tcW w:w="2207" w:type="dxa"/>
          </w:tcPr>
          <w:p w14:paraId="05938AA7" w14:textId="30E269A7"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654</w:t>
            </w:r>
          </w:p>
        </w:tc>
        <w:tc>
          <w:tcPr>
            <w:tcW w:w="2207" w:type="dxa"/>
          </w:tcPr>
          <w:p w14:paraId="083AE19E" w14:textId="6AD924A4"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129</w:t>
            </w:r>
          </w:p>
        </w:tc>
        <w:tc>
          <w:tcPr>
            <w:tcW w:w="2207" w:type="dxa"/>
          </w:tcPr>
          <w:p w14:paraId="55EE1FAC" w14:textId="49BBDA16" w:rsidR="00816679" w:rsidRPr="00D134EB" w:rsidRDefault="00816679" w:rsidP="00BF5352">
            <w:pPr>
              <w:jc w:val="center"/>
              <w:rPr>
                <w:rFonts w:ascii="Times New Roman" w:hAnsi="Times New Roman" w:cs="Times New Roman"/>
                <w:sz w:val="20"/>
                <w:szCs w:val="20"/>
              </w:rPr>
            </w:pPr>
            <w:r w:rsidRPr="00D134EB">
              <w:rPr>
                <w:rFonts w:ascii="Times New Roman" w:hAnsi="Times New Roman" w:cs="Times New Roman"/>
                <w:sz w:val="20"/>
                <w:szCs w:val="20"/>
              </w:rPr>
              <w:t>820</w:t>
            </w:r>
          </w:p>
        </w:tc>
      </w:tr>
      <w:tr w:rsidR="00183355" w:rsidRPr="00D134EB" w14:paraId="408C55CB" w14:textId="77777777" w:rsidTr="00816679">
        <w:tc>
          <w:tcPr>
            <w:tcW w:w="2207" w:type="dxa"/>
          </w:tcPr>
          <w:p w14:paraId="33158BE5" w14:textId="2304294A"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2020</w:t>
            </w:r>
          </w:p>
        </w:tc>
        <w:tc>
          <w:tcPr>
            <w:tcW w:w="2207" w:type="dxa"/>
          </w:tcPr>
          <w:p w14:paraId="5CA49559" w14:textId="12F6AA93"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940</w:t>
            </w:r>
          </w:p>
        </w:tc>
        <w:tc>
          <w:tcPr>
            <w:tcW w:w="2207" w:type="dxa"/>
          </w:tcPr>
          <w:p w14:paraId="31026A46" w14:textId="269C14B8"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244</w:t>
            </w:r>
          </w:p>
        </w:tc>
        <w:tc>
          <w:tcPr>
            <w:tcW w:w="2207" w:type="dxa"/>
          </w:tcPr>
          <w:p w14:paraId="44B3CB55" w14:textId="7723BC16"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3.113</w:t>
            </w:r>
          </w:p>
        </w:tc>
      </w:tr>
      <w:tr w:rsidR="00183355" w:rsidRPr="00D134EB" w14:paraId="0218CE64" w14:textId="77777777" w:rsidTr="00816679">
        <w:tc>
          <w:tcPr>
            <w:tcW w:w="2207" w:type="dxa"/>
          </w:tcPr>
          <w:p w14:paraId="779094D7" w14:textId="3487CFDC"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2021</w:t>
            </w:r>
          </w:p>
        </w:tc>
        <w:tc>
          <w:tcPr>
            <w:tcW w:w="2207" w:type="dxa"/>
          </w:tcPr>
          <w:p w14:paraId="00AAF951" w14:textId="3D47564E"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1041</w:t>
            </w:r>
          </w:p>
        </w:tc>
        <w:tc>
          <w:tcPr>
            <w:tcW w:w="2207" w:type="dxa"/>
          </w:tcPr>
          <w:p w14:paraId="3A2B399F" w14:textId="28399319"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152</w:t>
            </w:r>
          </w:p>
        </w:tc>
        <w:tc>
          <w:tcPr>
            <w:tcW w:w="2207" w:type="dxa"/>
          </w:tcPr>
          <w:p w14:paraId="274E4E26" w14:textId="07192E62"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4.220</w:t>
            </w:r>
          </w:p>
        </w:tc>
      </w:tr>
      <w:tr w:rsidR="00183355" w:rsidRPr="00D134EB" w14:paraId="0A39ABE2" w14:textId="77777777" w:rsidTr="00816679">
        <w:tc>
          <w:tcPr>
            <w:tcW w:w="2207" w:type="dxa"/>
          </w:tcPr>
          <w:p w14:paraId="269FAEF1" w14:textId="6108F593"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2022 (mayo)</w:t>
            </w:r>
          </w:p>
        </w:tc>
        <w:tc>
          <w:tcPr>
            <w:tcW w:w="2207" w:type="dxa"/>
          </w:tcPr>
          <w:p w14:paraId="57072093" w14:textId="60EBC93A"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418</w:t>
            </w:r>
          </w:p>
        </w:tc>
        <w:tc>
          <w:tcPr>
            <w:tcW w:w="2207" w:type="dxa"/>
          </w:tcPr>
          <w:p w14:paraId="47799D1D" w14:textId="23A9495C"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96 y 10 Localidades de Bogotá</w:t>
            </w:r>
          </w:p>
        </w:tc>
        <w:tc>
          <w:tcPr>
            <w:tcW w:w="2207" w:type="dxa"/>
          </w:tcPr>
          <w:p w14:paraId="1F8D4917" w14:textId="2770D7E2" w:rsidR="00183355" w:rsidRPr="00D134EB" w:rsidRDefault="00183355" w:rsidP="00BF5352">
            <w:pPr>
              <w:jc w:val="center"/>
              <w:rPr>
                <w:rFonts w:ascii="Times New Roman" w:hAnsi="Times New Roman" w:cs="Times New Roman"/>
                <w:sz w:val="20"/>
                <w:szCs w:val="20"/>
              </w:rPr>
            </w:pPr>
            <w:r w:rsidRPr="00D134EB">
              <w:rPr>
                <w:rFonts w:ascii="Times New Roman" w:hAnsi="Times New Roman" w:cs="Times New Roman"/>
                <w:sz w:val="20"/>
                <w:szCs w:val="20"/>
              </w:rPr>
              <w:t>1.349</w:t>
            </w:r>
          </w:p>
        </w:tc>
      </w:tr>
    </w:tbl>
    <w:p w14:paraId="10A70B6B" w14:textId="465B9321" w:rsidR="0014142A" w:rsidRPr="00D134EB" w:rsidRDefault="00183355" w:rsidP="00316D49">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Direcciones Regionales ICBF</w:t>
      </w:r>
    </w:p>
    <w:p w14:paraId="422820D8" w14:textId="77777777" w:rsidR="00F026B7" w:rsidRPr="00D134EB" w:rsidRDefault="00F026B7" w:rsidP="00F026B7">
      <w:pPr>
        <w:spacing w:after="0" w:line="240" w:lineRule="auto"/>
        <w:jc w:val="center"/>
        <w:rPr>
          <w:rFonts w:ascii="Times New Roman" w:hAnsi="Times New Roman" w:cs="Times New Roman"/>
          <w:sz w:val="20"/>
          <w:szCs w:val="20"/>
        </w:rPr>
      </w:pPr>
    </w:p>
    <w:p w14:paraId="0DFD7FB2" w14:textId="27DD2DA8" w:rsidR="008A0A44" w:rsidRPr="00D134EB" w:rsidRDefault="008A0A44" w:rsidP="008A0A44">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641E7F" w:rsidRPr="00D134EB">
        <w:rPr>
          <w:rFonts w:ascii="Times New Roman" w:hAnsi="Times New Roman" w:cs="Times New Roman"/>
          <w:b/>
          <w:bCs/>
          <w:sz w:val="20"/>
          <w:szCs w:val="20"/>
        </w:rPr>
        <w:t>4</w:t>
      </w:r>
      <w:r w:rsidRPr="00D134EB">
        <w:rPr>
          <w:rFonts w:ascii="Times New Roman" w:hAnsi="Times New Roman" w:cs="Times New Roman"/>
          <w:b/>
          <w:bCs/>
          <w:sz w:val="20"/>
          <w:szCs w:val="20"/>
        </w:rPr>
        <w:t xml:space="preserve">. </w:t>
      </w:r>
      <w:r w:rsidR="00C92627" w:rsidRPr="00D134EB">
        <w:rPr>
          <w:rFonts w:ascii="Times New Roman" w:hAnsi="Times New Roman" w:cs="Times New Roman"/>
          <w:b/>
          <w:bCs/>
          <w:sz w:val="20"/>
          <w:szCs w:val="20"/>
        </w:rPr>
        <w:t>Principales l</w:t>
      </w:r>
      <w:r w:rsidRPr="00D134EB">
        <w:rPr>
          <w:rFonts w:ascii="Times New Roman" w:hAnsi="Times New Roman" w:cs="Times New Roman"/>
          <w:b/>
          <w:bCs/>
          <w:sz w:val="20"/>
          <w:szCs w:val="20"/>
        </w:rPr>
        <w:t>ogros alcanzados por el ICBF</w:t>
      </w:r>
      <w:r w:rsidR="00E578B1" w:rsidRPr="00D134EB">
        <w:rPr>
          <w:rFonts w:ascii="Times New Roman" w:hAnsi="Times New Roman" w:cs="Times New Roman"/>
          <w:b/>
          <w:bCs/>
          <w:sz w:val="20"/>
          <w:szCs w:val="20"/>
        </w:rPr>
        <w:t xml:space="preserve"> en materia de trabajo infantil</w:t>
      </w:r>
      <w:r w:rsidR="00D263A6" w:rsidRPr="00D134EB">
        <w:rPr>
          <w:rFonts w:ascii="Times New Roman" w:hAnsi="Times New Roman" w:cs="Times New Roman"/>
          <w:b/>
          <w:bCs/>
          <w:sz w:val="20"/>
          <w:szCs w:val="20"/>
        </w:rPr>
        <w:t>.</w:t>
      </w:r>
    </w:p>
    <w:tbl>
      <w:tblPr>
        <w:tblStyle w:val="Tablaconcuadrcula"/>
        <w:tblW w:w="9356" w:type="dxa"/>
        <w:tblInd w:w="-289" w:type="dxa"/>
        <w:tblLook w:val="04A0" w:firstRow="1" w:lastRow="0" w:firstColumn="1" w:lastColumn="0" w:noHBand="0" w:noVBand="1"/>
      </w:tblPr>
      <w:tblGrid>
        <w:gridCol w:w="2694"/>
        <w:gridCol w:w="6662"/>
      </w:tblGrid>
      <w:tr w:rsidR="008A0A44" w:rsidRPr="00D134EB" w14:paraId="384163CE" w14:textId="77777777" w:rsidTr="001A2F8E">
        <w:tc>
          <w:tcPr>
            <w:tcW w:w="2694" w:type="dxa"/>
          </w:tcPr>
          <w:p w14:paraId="1BB1E6D2" w14:textId="33DDA408" w:rsidR="008A0A44" w:rsidRPr="00D134EB" w:rsidRDefault="00C92627" w:rsidP="008A0A44">
            <w:pPr>
              <w:jc w:val="both"/>
              <w:rPr>
                <w:rFonts w:ascii="Times New Roman" w:eastAsia="Calibri" w:hAnsi="Times New Roman" w:cs="Times New Roman"/>
                <w:b/>
                <w:bCs/>
                <w:sz w:val="20"/>
                <w:szCs w:val="20"/>
                <w:lang w:val="es"/>
              </w:rPr>
            </w:pPr>
            <w:r w:rsidRPr="00D134EB">
              <w:rPr>
                <w:rFonts w:ascii="Times New Roman" w:eastAsia="Calibri" w:hAnsi="Times New Roman" w:cs="Times New Roman"/>
                <w:b/>
                <w:bCs/>
                <w:sz w:val="20"/>
                <w:szCs w:val="20"/>
                <w:lang w:val="es"/>
              </w:rPr>
              <w:t>Principales l</w:t>
            </w:r>
            <w:r w:rsidR="008A0A44" w:rsidRPr="00D134EB">
              <w:rPr>
                <w:rFonts w:ascii="Times New Roman" w:eastAsia="Calibri" w:hAnsi="Times New Roman" w:cs="Times New Roman"/>
                <w:b/>
                <w:bCs/>
                <w:sz w:val="20"/>
                <w:szCs w:val="20"/>
                <w:lang w:val="es"/>
              </w:rPr>
              <w:t>ogros alcanzados por el ICBF respecto a la protección y asistencia a favor de los niños, niñas y adolescentes</w:t>
            </w:r>
          </w:p>
        </w:tc>
        <w:tc>
          <w:tcPr>
            <w:tcW w:w="6662" w:type="dxa"/>
          </w:tcPr>
          <w:p w14:paraId="3F9EBA04" w14:textId="47FF08D6"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Se retiraron del trabajo infantil en el periodo reportado (2017 – 2022 mayo) 13.758 NNA, y se fortalecieron sus familias como entornos protectores.</w:t>
            </w:r>
          </w:p>
          <w:p w14:paraId="1E02D588" w14:textId="77777777" w:rsidR="00072B8B" w:rsidRPr="00D134EB" w:rsidRDefault="00072B8B" w:rsidP="00072B8B">
            <w:pPr>
              <w:jc w:val="both"/>
              <w:rPr>
                <w:rFonts w:ascii="Times New Roman" w:hAnsi="Times New Roman" w:cs="Times New Roman"/>
                <w:sz w:val="20"/>
                <w:szCs w:val="20"/>
              </w:rPr>
            </w:pPr>
          </w:p>
          <w:p w14:paraId="4752FFAC" w14:textId="0019FFE9"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Se fortalecieron las competencias y habilidades técnicas de los agentes del SNBF en los territorios priorizados para la atención en el periodo reportado, frente a su responsabilidad en la protección integral de las NNA y el fortalecimiento a las familias.</w:t>
            </w:r>
          </w:p>
          <w:p w14:paraId="007B3B35" w14:textId="77777777" w:rsidR="00072B8B" w:rsidRPr="00D134EB" w:rsidRDefault="00072B8B" w:rsidP="00072B8B">
            <w:pPr>
              <w:jc w:val="both"/>
              <w:rPr>
                <w:rFonts w:ascii="Times New Roman" w:hAnsi="Times New Roman" w:cs="Times New Roman"/>
                <w:sz w:val="20"/>
                <w:szCs w:val="20"/>
              </w:rPr>
            </w:pPr>
          </w:p>
          <w:p w14:paraId="5627499E" w14:textId="47E56781"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Se apoyaron los proyectos financiados por el Departamento de Trabajo de los Estados Unidos para reducir el trabajo infantil, tales como: Somos Tesoro, dirigido a reducir la participación de las NNA en la minería; Pilares, dirigido a mejorar las capacidades de la sociedad civil para comprender mejor y abordar el trabajo infantil y promover mejores condiciones de trabajo en el sector de la pequeña minería artesanal y; Colombia Avanza, con el objetivo de fortalecer la capacidad de la sociedad civil para combatir el trabajo infantil en la agricultura del café.</w:t>
            </w:r>
          </w:p>
          <w:p w14:paraId="46C09A27" w14:textId="77777777" w:rsidR="00072B8B" w:rsidRPr="00D134EB" w:rsidRDefault="00072B8B" w:rsidP="00072B8B">
            <w:pPr>
              <w:jc w:val="both"/>
              <w:rPr>
                <w:rFonts w:ascii="Times New Roman" w:hAnsi="Times New Roman" w:cs="Times New Roman"/>
                <w:sz w:val="20"/>
                <w:szCs w:val="20"/>
              </w:rPr>
            </w:pPr>
          </w:p>
          <w:p w14:paraId="3C400DF6" w14:textId="6899CAA6"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 xml:space="preserve">Apoyo interinstitucional en la implementación de los proyectos con DPS, Familias en Acción y el Convenio con el Ministerio de Minas y Energía. </w:t>
            </w:r>
          </w:p>
          <w:p w14:paraId="6F003D7C" w14:textId="77777777" w:rsidR="00072B8B" w:rsidRPr="00D134EB" w:rsidRDefault="00072B8B" w:rsidP="00072B8B">
            <w:pPr>
              <w:jc w:val="both"/>
              <w:rPr>
                <w:rFonts w:ascii="Times New Roman" w:hAnsi="Times New Roman" w:cs="Times New Roman"/>
                <w:sz w:val="20"/>
                <w:szCs w:val="20"/>
              </w:rPr>
            </w:pPr>
          </w:p>
          <w:p w14:paraId="00646EDD" w14:textId="19C8DBB3"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 xml:space="preserve">Implementación de Diplomado virtual de la Política: El ICBF lideró desde el 2018, con el apoyo del </w:t>
            </w:r>
            <w:proofErr w:type="spellStart"/>
            <w:r w:rsidRPr="00D134EB">
              <w:rPr>
                <w:rFonts w:ascii="Times New Roman" w:hAnsi="Times New Roman" w:cs="Times New Roman"/>
                <w:sz w:val="20"/>
                <w:szCs w:val="20"/>
              </w:rPr>
              <w:t>MinTrabajo</w:t>
            </w:r>
            <w:proofErr w:type="spellEnd"/>
            <w:r w:rsidRPr="00D134EB">
              <w:rPr>
                <w:rFonts w:ascii="Times New Roman" w:hAnsi="Times New Roman" w:cs="Times New Roman"/>
                <w:sz w:val="20"/>
                <w:szCs w:val="20"/>
              </w:rPr>
              <w:t xml:space="preserve"> y el proyecto Somos Tesoro, la socialización de la línea de Política Pública para la Prevención y Erradicación del Trabajo Infantil y Protección Integral al Adolescente Trabajador, a través del diplomado virtual en la plataforma de la Escuela Superior de Administración Pública – ESAP. </w:t>
            </w:r>
          </w:p>
          <w:p w14:paraId="49A116ED" w14:textId="77777777" w:rsidR="00072B8B" w:rsidRPr="00D134EB" w:rsidRDefault="00072B8B" w:rsidP="00072B8B">
            <w:pPr>
              <w:jc w:val="both"/>
              <w:rPr>
                <w:rFonts w:ascii="Times New Roman" w:hAnsi="Times New Roman" w:cs="Times New Roman"/>
                <w:sz w:val="20"/>
                <w:szCs w:val="20"/>
              </w:rPr>
            </w:pPr>
          </w:p>
          <w:p w14:paraId="12F0BAF7" w14:textId="1C962B12" w:rsidR="008A0A44" w:rsidRPr="00D134EB" w:rsidRDefault="008A0A44" w:rsidP="008A0A44">
            <w:pPr>
              <w:pStyle w:val="Prrafodelista"/>
              <w:numPr>
                <w:ilvl w:val="0"/>
                <w:numId w:val="7"/>
              </w:numPr>
              <w:jc w:val="both"/>
              <w:rPr>
                <w:rFonts w:ascii="Times New Roman" w:hAnsi="Times New Roman" w:cs="Times New Roman"/>
                <w:sz w:val="20"/>
                <w:szCs w:val="20"/>
              </w:rPr>
            </w:pPr>
            <w:r w:rsidRPr="00D134EB">
              <w:rPr>
                <w:rFonts w:ascii="Times New Roman" w:hAnsi="Times New Roman" w:cs="Times New Roman"/>
                <w:sz w:val="20"/>
                <w:szCs w:val="20"/>
              </w:rPr>
              <w:t>Reconocimiento de la Iniciativa Regional América Latina y el Caribe Libre de Trabajo Infantil, bajo la Secretaría Técnica de la OIT, a la estrategia Equipos Móviles de Protección Integral (EMPI), como una buena práctica sobre trabajo infantil y género.</w:t>
            </w:r>
          </w:p>
        </w:tc>
      </w:tr>
    </w:tbl>
    <w:p w14:paraId="026CACD9" w14:textId="003ECB8A" w:rsidR="008A0A44" w:rsidRPr="00D134EB" w:rsidRDefault="008A0A44" w:rsidP="00072B8B">
      <w:pPr>
        <w:jc w:val="both"/>
        <w:rPr>
          <w:rFonts w:ascii="Times New Roman" w:eastAsia="Calibri" w:hAnsi="Times New Roman" w:cs="Times New Roman"/>
          <w:sz w:val="20"/>
          <w:szCs w:val="20"/>
          <w:lang w:val="es"/>
        </w:rPr>
      </w:pPr>
    </w:p>
    <w:p w14:paraId="20B95884" w14:textId="08B90A3B" w:rsidR="00032FC2" w:rsidRPr="00D134EB" w:rsidRDefault="00032FC2" w:rsidP="00032FC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5. Modalidades de atención territorial implementada por el ICBF entre los años objeto del presente informe (2016 – 2020)</w:t>
      </w:r>
    </w:p>
    <w:p w14:paraId="01857AC7" w14:textId="77777777" w:rsidR="00032FC2" w:rsidRPr="00D134EB" w:rsidRDefault="00032FC2" w:rsidP="00032FC2">
      <w:pPr>
        <w:shd w:val="clear" w:color="auto" w:fill="FFFFFF"/>
        <w:spacing w:after="200"/>
        <w:jc w:val="center"/>
        <w:rPr>
          <w:rFonts w:ascii="Times New Roman" w:hAnsi="Times New Roman" w:cs="Times New Roman"/>
          <w:b/>
          <w:sz w:val="14"/>
          <w:szCs w:val="14"/>
          <w:highlight w:val="green"/>
        </w:rPr>
      </w:pPr>
    </w:p>
    <w:tbl>
      <w:tblPr>
        <w:tblW w:w="8355" w:type="dxa"/>
        <w:jc w:val="center"/>
        <w:tblBorders>
          <w:top w:val="single" w:sz="8" w:space="0" w:color="5B9BD5"/>
          <w:left w:val="single" w:sz="4" w:space="0" w:color="000000"/>
          <w:bottom w:val="single" w:sz="8" w:space="0" w:color="5B9BD5"/>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0"/>
        <w:gridCol w:w="2550"/>
        <w:gridCol w:w="1410"/>
        <w:gridCol w:w="1830"/>
        <w:gridCol w:w="1305"/>
      </w:tblGrid>
      <w:tr w:rsidR="00032FC2" w:rsidRPr="00D134EB" w14:paraId="7CF0CC8D" w14:textId="77777777" w:rsidTr="002133AF">
        <w:trPr>
          <w:trHeight w:val="415"/>
          <w:jc w:val="center"/>
        </w:trPr>
        <w:tc>
          <w:tcPr>
            <w:tcW w:w="1260" w:type="dxa"/>
            <w:tcBorders>
              <w:top w:val="single" w:sz="8" w:space="0" w:color="000000"/>
            </w:tcBorders>
          </w:tcPr>
          <w:p w14:paraId="78C3C7F5"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VIGENCIA</w:t>
            </w:r>
          </w:p>
        </w:tc>
        <w:tc>
          <w:tcPr>
            <w:tcW w:w="2550" w:type="dxa"/>
            <w:tcBorders>
              <w:top w:val="single" w:sz="8" w:space="0" w:color="000000"/>
            </w:tcBorders>
          </w:tcPr>
          <w:p w14:paraId="09DAED88"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MODALIDAD</w:t>
            </w:r>
          </w:p>
        </w:tc>
        <w:tc>
          <w:tcPr>
            <w:tcW w:w="1410" w:type="dxa"/>
            <w:tcBorders>
              <w:top w:val="single" w:sz="8" w:space="0" w:color="000000"/>
            </w:tcBorders>
          </w:tcPr>
          <w:p w14:paraId="2ED72C3C"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CUPOS ATENDIDOS</w:t>
            </w:r>
          </w:p>
        </w:tc>
        <w:tc>
          <w:tcPr>
            <w:tcW w:w="1830" w:type="dxa"/>
            <w:tcBorders>
              <w:top w:val="single" w:sz="8" w:space="0" w:color="000000"/>
            </w:tcBorders>
          </w:tcPr>
          <w:p w14:paraId="0FC8CB9F"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PRESUPUESTO APROPIADO</w:t>
            </w:r>
          </w:p>
        </w:tc>
        <w:tc>
          <w:tcPr>
            <w:tcW w:w="1305" w:type="dxa"/>
            <w:tcBorders>
              <w:top w:val="single" w:sz="8" w:space="0" w:color="000000"/>
            </w:tcBorders>
          </w:tcPr>
          <w:p w14:paraId="253853BA"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MUNICIPIOS</w:t>
            </w:r>
          </w:p>
        </w:tc>
      </w:tr>
      <w:tr w:rsidR="00032FC2" w:rsidRPr="00D134EB" w14:paraId="766410CE" w14:textId="77777777" w:rsidTr="00A948B5">
        <w:trPr>
          <w:trHeight w:val="288"/>
          <w:jc w:val="center"/>
        </w:trPr>
        <w:tc>
          <w:tcPr>
            <w:tcW w:w="1260" w:type="dxa"/>
            <w:vMerge w:val="restart"/>
          </w:tcPr>
          <w:p w14:paraId="3CE43017"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2016</w:t>
            </w:r>
          </w:p>
        </w:tc>
        <w:tc>
          <w:tcPr>
            <w:tcW w:w="2550" w:type="dxa"/>
          </w:tcPr>
          <w:p w14:paraId="1915A75E"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con Bienestar</w:t>
            </w:r>
          </w:p>
        </w:tc>
        <w:tc>
          <w:tcPr>
            <w:tcW w:w="1410" w:type="dxa"/>
          </w:tcPr>
          <w:p w14:paraId="6EC27FC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117.214</w:t>
            </w:r>
          </w:p>
        </w:tc>
        <w:tc>
          <w:tcPr>
            <w:tcW w:w="1830" w:type="dxa"/>
          </w:tcPr>
          <w:p w14:paraId="36AD3C87"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$ 35.606.068.662</w:t>
            </w:r>
          </w:p>
        </w:tc>
        <w:tc>
          <w:tcPr>
            <w:tcW w:w="1305" w:type="dxa"/>
          </w:tcPr>
          <w:p w14:paraId="2EF7E04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686</w:t>
            </w:r>
          </w:p>
        </w:tc>
      </w:tr>
      <w:tr w:rsidR="00032FC2" w:rsidRPr="00D134EB" w14:paraId="071B1E23" w14:textId="77777777" w:rsidTr="00A948B5">
        <w:trPr>
          <w:trHeight w:val="288"/>
          <w:jc w:val="center"/>
        </w:trPr>
        <w:tc>
          <w:tcPr>
            <w:tcW w:w="1260" w:type="dxa"/>
            <w:vMerge/>
          </w:tcPr>
          <w:p w14:paraId="77E5A931" w14:textId="77777777" w:rsidR="00032FC2" w:rsidRPr="00D134EB" w:rsidRDefault="00032FC2" w:rsidP="00A948B5">
            <w:pPr>
              <w:widowControl w:val="0"/>
              <w:rPr>
                <w:rFonts w:ascii="Times New Roman" w:hAnsi="Times New Roman" w:cs="Times New Roman"/>
                <w:sz w:val="18"/>
                <w:szCs w:val="18"/>
              </w:rPr>
            </w:pPr>
          </w:p>
        </w:tc>
        <w:tc>
          <w:tcPr>
            <w:tcW w:w="2550" w:type="dxa"/>
          </w:tcPr>
          <w:p w14:paraId="4098AE78"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Acciones Masivas de Alto Impacto Social-Amas</w:t>
            </w:r>
          </w:p>
        </w:tc>
        <w:tc>
          <w:tcPr>
            <w:tcW w:w="1410" w:type="dxa"/>
          </w:tcPr>
          <w:p w14:paraId="3C69FA3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20.000</w:t>
            </w:r>
          </w:p>
        </w:tc>
        <w:tc>
          <w:tcPr>
            <w:tcW w:w="1830" w:type="dxa"/>
          </w:tcPr>
          <w:p w14:paraId="48B050BE"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$ 17.131.899.943</w:t>
            </w:r>
          </w:p>
        </w:tc>
        <w:tc>
          <w:tcPr>
            <w:tcW w:w="1305" w:type="dxa"/>
          </w:tcPr>
          <w:p w14:paraId="2F16572D"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143</w:t>
            </w:r>
          </w:p>
        </w:tc>
      </w:tr>
      <w:tr w:rsidR="00032FC2" w:rsidRPr="00D134EB" w14:paraId="353B1C88" w14:textId="77777777" w:rsidTr="00A948B5">
        <w:trPr>
          <w:trHeight w:val="288"/>
          <w:jc w:val="center"/>
        </w:trPr>
        <w:tc>
          <w:tcPr>
            <w:tcW w:w="1260" w:type="dxa"/>
            <w:vMerge/>
          </w:tcPr>
          <w:p w14:paraId="365FCE73" w14:textId="77777777" w:rsidR="00032FC2" w:rsidRPr="00D134EB" w:rsidRDefault="00032FC2" w:rsidP="00A948B5">
            <w:pPr>
              <w:widowControl w:val="0"/>
              <w:rPr>
                <w:rFonts w:ascii="Times New Roman" w:hAnsi="Times New Roman" w:cs="Times New Roman"/>
                <w:sz w:val="18"/>
                <w:szCs w:val="18"/>
              </w:rPr>
            </w:pPr>
          </w:p>
        </w:tc>
        <w:tc>
          <w:tcPr>
            <w:tcW w:w="2550" w:type="dxa"/>
          </w:tcPr>
          <w:p w14:paraId="147FF24A"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Prevención del Embarazo en Adolescentes</w:t>
            </w:r>
          </w:p>
        </w:tc>
        <w:tc>
          <w:tcPr>
            <w:tcW w:w="1410" w:type="dxa"/>
          </w:tcPr>
          <w:p w14:paraId="0B7EB290"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11.041</w:t>
            </w:r>
          </w:p>
        </w:tc>
        <w:tc>
          <w:tcPr>
            <w:tcW w:w="1830" w:type="dxa"/>
          </w:tcPr>
          <w:p w14:paraId="1695023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$ 10.004.608.500</w:t>
            </w:r>
          </w:p>
        </w:tc>
        <w:tc>
          <w:tcPr>
            <w:tcW w:w="1305" w:type="dxa"/>
          </w:tcPr>
          <w:p w14:paraId="6D8227B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201</w:t>
            </w:r>
          </w:p>
        </w:tc>
      </w:tr>
      <w:tr w:rsidR="00032FC2" w:rsidRPr="00D134EB" w14:paraId="2A6BDA31" w14:textId="77777777" w:rsidTr="00A948B5">
        <w:trPr>
          <w:trHeight w:val="576"/>
          <w:jc w:val="center"/>
        </w:trPr>
        <w:tc>
          <w:tcPr>
            <w:tcW w:w="1260" w:type="dxa"/>
            <w:vMerge/>
          </w:tcPr>
          <w:p w14:paraId="37C260F4" w14:textId="77777777" w:rsidR="00032FC2" w:rsidRPr="00D134EB" w:rsidRDefault="00032FC2" w:rsidP="00A948B5">
            <w:pPr>
              <w:widowControl w:val="0"/>
              <w:rPr>
                <w:rFonts w:ascii="Times New Roman" w:hAnsi="Times New Roman" w:cs="Times New Roman"/>
                <w:sz w:val="18"/>
                <w:szCs w:val="18"/>
              </w:rPr>
            </w:pPr>
          </w:p>
        </w:tc>
        <w:tc>
          <w:tcPr>
            <w:tcW w:w="2550" w:type="dxa"/>
          </w:tcPr>
          <w:p w14:paraId="370E386C"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Estrategia Construyendo Juntos Entornos Protectores</w:t>
            </w:r>
          </w:p>
        </w:tc>
        <w:tc>
          <w:tcPr>
            <w:tcW w:w="1410" w:type="dxa"/>
          </w:tcPr>
          <w:p w14:paraId="3797618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3.410</w:t>
            </w:r>
          </w:p>
        </w:tc>
        <w:tc>
          <w:tcPr>
            <w:tcW w:w="1830" w:type="dxa"/>
          </w:tcPr>
          <w:p w14:paraId="458526CC"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$ 5.000.000.000</w:t>
            </w:r>
          </w:p>
        </w:tc>
        <w:tc>
          <w:tcPr>
            <w:tcW w:w="1305" w:type="dxa"/>
          </w:tcPr>
          <w:p w14:paraId="202E472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Sede Nacional</w:t>
            </w:r>
          </w:p>
        </w:tc>
      </w:tr>
      <w:tr w:rsidR="00032FC2" w:rsidRPr="00D134EB" w14:paraId="430AFD07" w14:textId="77777777" w:rsidTr="00A948B5">
        <w:trPr>
          <w:trHeight w:val="288"/>
          <w:jc w:val="center"/>
        </w:trPr>
        <w:tc>
          <w:tcPr>
            <w:tcW w:w="1260" w:type="dxa"/>
            <w:vMerge/>
          </w:tcPr>
          <w:p w14:paraId="069E406D" w14:textId="77777777" w:rsidR="00032FC2" w:rsidRPr="00D134EB" w:rsidRDefault="00032FC2" w:rsidP="00A948B5">
            <w:pPr>
              <w:widowControl w:val="0"/>
              <w:rPr>
                <w:rFonts w:ascii="Times New Roman" w:hAnsi="Times New Roman" w:cs="Times New Roman"/>
                <w:sz w:val="18"/>
                <w:szCs w:val="18"/>
              </w:rPr>
            </w:pPr>
          </w:p>
        </w:tc>
        <w:tc>
          <w:tcPr>
            <w:tcW w:w="2550" w:type="dxa"/>
          </w:tcPr>
          <w:p w14:paraId="001A590A" w14:textId="77777777" w:rsidR="00032FC2" w:rsidRPr="00D134EB" w:rsidRDefault="00032FC2" w:rsidP="00A948B5">
            <w:pPr>
              <w:jc w:val="both"/>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SUB TOTAL</w:t>
            </w:r>
          </w:p>
        </w:tc>
        <w:tc>
          <w:tcPr>
            <w:tcW w:w="1410" w:type="dxa"/>
          </w:tcPr>
          <w:p w14:paraId="0DD67408"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151.665</w:t>
            </w:r>
          </w:p>
        </w:tc>
        <w:tc>
          <w:tcPr>
            <w:tcW w:w="1830" w:type="dxa"/>
          </w:tcPr>
          <w:p w14:paraId="772E0E80"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$ 67.742.577.105</w:t>
            </w:r>
          </w:p>
        </w:tc>
        <w:tc>
          <w:tcPr>
            <w:tcW w:w="1305" w:type="dxa"/>
          </w:tcPr>
          <w:p w14:paraId="3CEF4A87"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688</w:t>
            </w:r>
          </w:p>
        </w:tc>
      </w:tr>
      <w:tr w:rsidR="00032FC2" w:rsidRPr="00D134EB" w14:paraId="6A441D31" w14:textId="77777777" w:rsidTr="00A948B5">
        <w:trPr>
          <w:trHeight w:val="288"/>
          <w:jc w:val="center"/>
        </w:trPr>
        <w:tc>
          <w:tcPr>
            <w:tcW w:w="1260" w:type="dxa"/>
            <w:vMerge w:val="restart"/>
          </w:tcPr>
          <w:p w14:paraId="1799C32C"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2017</w:t>
            </w:r>
          </w:p>
        </w:tc>
        <w:tc>
          <w:tcPr>
            <w:tcW w:w="2550" w:type="dxa"/>
          </w:tcPr>
          <w:p w14:paraId="00E1295C"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con Bienestar</w:t>
            </w:r>
          </w:p>
        </w:tc>
        <w:tc>
          <w:tcPr>
            <w:tcW w:w="1410" w:type="dxa"/>
          </w:tcPr>
          <w:p w14:paraId="58FC4EA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201.985</w:t>
            </w:r>
          </w:p>
        </w:tc>
        <w:tc>
          <w:tcPr>
            <w:tcW w:w="1830" w:type="dxa"/>
          </w:tcPr>
          <w:p w14:paraId="6261C77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$ 68.107.877.749</w:t>
            </w:r>
          </w:p>
        </w:tc>
        <w:tc>
          <w:tcPr>
            <w:tcW w:w="1305" w:type="dxa"/>
          </w:tcPr>
          <w:p w14:paraId="5C2DF60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847</w:t>
            </w:r>
          </w:p>
        </w:tc>
      </w:tr>
      <w:tr w:rsidR="00032FC2" w:rsidRPr="00D134EB" w14:paraId="2F92C509" w14:textId="77777777" w:rsidTr="00A948B5">
        <w:trPr>
          <w:trHeight w:val="288"/>
          <w:jc w:val="center"/>
        </w:trPr>
        <w:tc>
          <w:tcPr>
            <w:tcW w:w="1260" w:type="dxa"/>
            <w:vMerge/>
          </w:tcPr>
          <w:p w14:paraId="5220D8E9" w14:textId="77777777" w:rsidR="00032FC2" w:rsidRPr="00D134EB" w:rsidRDefault="00032FC2" w:rsidP="00A948B5">
            <w:pPr>
              <w:widowControl w:val="0"/>
              <w:rPr>
                <w:rFonts w:ascii="Times New Roman" w:hAnsi="Times New Roman" w:cs="Times New Roman"/>
                <w:sz w:val="18"/>
                <w:szCs w:val="18"/>
              </w:rPr>
            </w:pPr>
          </w:p>
        </w:tc>
        <w:tc>
          <w:tcPr>
            <w:tcW w:w="2550" w:type="dxa"/>
          </w:tcPr>
          <w:p w14:paraId="512E4300"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Acciones Masivas de Alto Impacto Social-Amas</w:t>
            </w:r>
          </w:p>
        </w:tc>
        <w:tc>
          <w:tcPr>
            <w:tcW w:w="1410" w:type="dxa"/>
          </w:tcPr>
          <w:p w14:paraId="76CD4777"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19.469</w:t>
            </w:r>
          </w:p>
        </w:tc>
        <w:tc>
          <w:tcPr>
            <w:tcW w:w="1830" w:type="dxa"/>
          </w:tcPr>
          <w:p w14:paraId="3C3B92B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$ 17.695.852.244</w:t>
            </w:r>
          </w:p>
        </w:tc>
        <w:tc>
          <w:tcPr>
            <w:tcW w:w="1305" w:type="dxa"/>
          </w:tcPr>
          <w:p w14:paraId="54788BA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141</w:t>
            </w:r>
          </w:p>
        </w:tc>
      </w:tr>
      <w:tr w:rsidR="00032FC2" w:rsidRPr="00D134EB" w14:paraId="6C170D3A" w14:textId="77777777" w:rsidTr="00A948B5">
        <w:trPr>
          <w:trHeight w:val="288"/>
          <w:jc w:val="center"/>
        </w:trPr>
        <w:tc>
          <w:tcPr>
            <w:tcW w:w="1260" w:type="dxa"/>
            <w:vMerge/>
          </w:tcPr>
          <w:p w14:paraId="2C9DC0AA" w14:textId="77777777" w:rsidR="00032FC2" w:rsidRPr="00D134EB" w:rsidRDefault="00032FC2" w:rsidP="00A948B5">
            <w:pPr>
              <w:widowControl w:val="0"/>
              <w:rPr>
                <w:rFonts w:ascii="Times New Roman" w:hAnsi="Times New Roman" w:cs="Times New Roman"/>
                <w:sz w:val="18"/>
                <w:szCs w:val="18"/>
              </w:rPr>
            </w:pPr>
          </w:p>
        </w:tc>
        <w:tc>
          <w:tcPr>
            <w:tcW w:w="2550" w:type="dxa"/>
          </w:tcPr>
          <w:p w14:paraId="3AF4FDCB"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Prevención Del Embarazo en Adolescentes</w:t>
            </w:r>
          </w:p>
        </w:tc>
        <w:tc>
          <w:tcPr>
            <w:tcW w:w="1410" w:type="dxa"/>
          </w:tcPr>
          <w:p w14:paraId="63B92BE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4.448</w:t>
            </w:r>
          </w:p>
        </w:tc>
        <w:tc>
          <w:tcPr>
            <w:tcW w:w="1830" w:type="dxa"/>
          </w:tcPr>
          <w:p w14:paraId="51D586D2"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$ 4.527.234.400</w:t>
            </w:r>
          </w:p>
        </w:tc>
        <w:tc>
          <w:tcPr>
            <w:tcW w:w="1305" w:type="dxa"/>
          </w:tcPr>
          <w:p w14:paraId="07A1FA9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135</w:t>
            </w:r>
          </w:p>
        </w:tc>
      </w:tr>
      <w:tr w:rsidR="00032FC2" w:rsidRPr="00D134EB" w14:paraId="25DD3A2D" w14:textId="77777777" w:rsidTr="00A948B5">
        <w:trPr>
          <w:trHeight w:val="576"/>
          <w:jc w:val="center"/>
        </w:trPr>
        <w:tc>
          <w:tcPr>
            <w:tcW w:w="1260" w:type="dxa"/>
            <w:vMerge/>
          </w:tcPr>
          <w:p w14:paraId="4B6367E0" w14:textId="77777777" w:rsidR="00032FC2" w:rsidRPr="00D134EB" w:rsidRDefault="00032FC2" w:rsidP="00A948B5">
            <w:pPr>
              <w:widowControl w:val="0"/>
              <w:rPr>
                <w:rFonts w:ascii="Times New Roman" w:hAnsi="Times New Roman" w:cs="Times New Roman"/>
                <w:sz w:val="18"/>
                <w:szCs w:val="18"/>
              </w:rPr>
            </w:pPr>
          </w:p>
        </w:tc>
        <w:tc>
          <w:tcPr>
            <w:tcW w:w="2550" w:type="dxa"/>
          </w:tcPr>
          <w:p w14:paraId="3F94D551"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Estrategia Construyendo Juntos Entornos Protectores</w:t>
            </w:r>
          </w:p>
        </w:tc>
        <w:tc>
          <w:tcPr>
            <w:tcW w:w="1410" w:type="dxa"/>
          </w:tcPr>
          <w:p w14:paraId="4BC84F3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15.213</w:t>
            </w:r>
          </w:p>
        </w:tc>
        <w:tc>
          <w:tcPr>
            <w:tcW w:w="1830" w:type="dxa"/>
          </w:tcPr>
          <w:p w14:paraId="5E93625E"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$ 14.190.814.892</w:t>
            </w:r>
          </w:p>
        </w:tc>
        <w:tc>
          <w:tcPr>
            <w:tcW w:w="1305" w:type="dxa"/>
          </w:tcPr>
          <w:p w14:paraId="5731A03D"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433</w:t>
            </w:r>
          </w:p>
        </w:tc>
      </w:tr>
      <w:tr w:rsidR="00032FC2" w:rsidRPr="00D134EB" w14:paraId="63453078" w14:textId="77777777" w:rsidTr="00A948B5">
        <w:trPr>
          <w:trHeight w:val="288"/>
          <w:jc w:val="center"/>
        </w:trPr>
        <w:tc>
          <w:tcPr>
            <w:tcW w:w="1260" w:type="dxa"/>
            <w:vMerge/>
          </w:tcPr>
          <w:p w14:paraId="330D870C" w14:textId="77777777" w:rsidR="00032FC2" w:rsidRPr="00D134EB" w:rsidRDefault="00032FC2" w:rsidP="00A948B5">
            <w:pPr>
              <w:widowControl w:val="0"/>
              <w:rPr>
                <w:rFonts w:ascii="Times New Roman" w:hAnsi="Times New Roman" w:cs="Times New Roman"/>
                <w:sz w:val="18"/>
                <w:szCs w:val="18"/>
              </w:rPr>
            </w:pPr>
          </w:p>
        </w:tc>
        <w:tc>
          <w:tcPr>
            <w:tcW w:w="2550" w:type="dxa"/>
          </w:tcPr>
          <w:p w14:paraId="2902A1C4" w14:textId="77777777" w:rsidR="00032FC2" w:rsidRPr="00D134EB" w:rsidRDefault="00032FC2" w:rsidP="00A948B5">
            <w:pPr>
              <w:jc w:val="both"/>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SUB TOTAL</w:t>
            </w:r>
          </w:p>
        </w:tc>
        <w:tc>
          <w:tcPr>
            <w:tcW w:w="1410" w:type="dxa"/>
          </w:tcPr>
          <w:p w14:paraId="65049DD7"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241.115</w:t>
            </w:r>
          </w:p>
        </w:tc>
        <w:tc>
          <w:tcPr>
            <w:tcW w:w="1830" w:type="dxa"/>
          </w:tcPr>
          <w:p w14:paraId="7D281F70"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$ 104.521.779.285</w:t>
            </w:r>
          </w:p>
        </w:tc>
        <w:tc>
          <w:tcPr>
            <w:tcW w:w="1305" w:type="dxa"/>
          </w:tcPr>
          <w:p w14:paraId="074AFFD5"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973</w:t>
            </w:r>
          </w:p>
        </w:tc>
      </w:tr>
      <w:tr w:rsidR="00032FC2" w:rsidRPr="00D134EB" w14:paraId="565D9300" w14:textId="77777777" w:rsidTr="00A948B5">
        <w:trPr>
          <w:trHeight w:val="288"/>
          <w:jc w:val="center"/>
        </w:trPr>
        <w:tc>
          <w:tcPr>
            <w:tcW w:w="1260" w:type="dxa"/>
            <w:vMerge w:val="restart"/>
          </w:tcPr>
          <w:p w14:paraId="70615E3B"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2018</w:t>
            </w:r>
          </w:p>
        </w:tc>
        <w:tc>
          <w:tcPr>
            <w:tcW w:w="2550" w:type="dxa"/>
          </w:tcPr>
          <w:p w14:paraId="6268FA30"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con Bienestar</w:t>
            </w:r>
          </w:p>
        </w:tc>
        <w:tc>
          <w:tcPr>
            <w:tcW w:w="1410" w:type="dxa"/>
          </w:tcPr>
          <w:p w14:paraId="7052EDE8"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197.279</w:t>
            </w:r>
          </w:p>
        </w:tc>
        <w:tc>
          <w:tcPr>
            <w:tcW w:w="1830" w:type="dxa"/>
          </w:tcPr>
          <w:p w14:paraId="387DE1C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$ 67.775.634.549</w:t>
            </w:r>
          </w:p>
        </w:tc>
        <w:tc>
          <w:tcPr>
            <w:tcW w:w="1305" w:type="dxa"/>
          </w:tcPr>
          <w:p w14:paraId="504A885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877</w:t>
            </w:r>
          </w:p>
        </w:tc>
      </w:tr>
      <w:tr w:rsidR="00032FC2" w:rsidRPr="00D134EB" w14:paraId="18DED9E3" w14:textId="77777777" w:rsidTr="00A948B5">
        <w:trPr>
          <w:trHeight w:val="288"/>
          <w:jc w:val="center"/>
        </w:trPr>
        <w:tc>
          <w:tcPr>
            <w:tcW w:w="1260" w:type="dxa"/>
            <w:vMerge/>
          </w:tcPr>
          <w:p w14:paraId="5EDD4A94" w14:textId="77777777" w:rsidR="00032FC2" w:rsidRPr="00D134EB" w:rsidRDefault="00032FC2" w:rsidP="00A948B5">
            <w:pPr>
              <w:widowControl w:val="0"/>
              <w:rPr>
                <w:rFonts w:ascii="Times New Roman" w:hAnsi="Times New Roman" w:cs="Times New Roman"/>
                <w:sz w:val="18"/>
                <w:szCs w:val="18"/>
              </w:rPr>
            </w:pPr>
          </w:p>
        </w:tc>
        <w:tc>
          <w:tcPr>
            <w:tcW w:w="2550" w:type="dxa"/>
          </w:tcPr>
          <w:p w14:paraId="6A82F8F6"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Acciones Masivas de Alto Impacto Social-Amas</w:t>
            </w:r>
          </w:p>
        </w:tc>
        <w:tc>
          <w:tcPr>
            <w:tcW w:w="1410" w:type="dxa"/>
          </w:tcPr>
          <w:p w14:paraId="3D95F678"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13.390</w:t>
            </w:r>
          </w:p>
        </w:tc>
        <w:tc>
          <w:tcPr>
            <w:tcW w:w="1830" w:type="dxa"/>
          </w:tcPr>
          <w:p w14:paraId="3D1D3229"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$ 12.671.117.646</w:t>
            </w:r>
          </w:p>
        </w:tc>
        <w:tc>
          <w:tcPr>
            <w:tcW w:w="1305" w:type="dxa"/>
          </w:tcPr>
          <w:p w14:paraId="241A1D32"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84 </w:t>
            </w:r>
          </w:p>
        </w:tc>
      </w:tr>
      <w:tr w:rsidR="00032FC2" w:rsidRPr="00D134EB" w14:paraId="353982AC" w14:textId="77777777" w:rsidTr="00A948B5">
        <w:trPr>
          <w:trHeight w:val="288"/>
          <w:jc w:val="center"/>
        </w:trPr>
        <w:tc>
          <w:tcPr>
            <w:tcW w:w="1260" w:type="dxa"/>
            <w:vMerge/>
          </w:tcPr>
          <w:p w14:paraId="3859A152" w14:textId="77777777" w:rsidR="00032FC2" w:rsidRPr="00D134EB" w:rsidRDefault="00032FC2" w:rsidP="00A948B5">
            <w:pPr>
              <w:widowControl w:val="0"/>
              <w:rPr>
                <w:rFonts w:ascii="Times New Roman" w:hAnsi="Times New Roman" w:cs="Times New Roman"/>
                <w:sz w:val="18"/>
                <w:szCs w:val="18"/>
              </w:rPr>
            </w:pPr>
          </w:p>
        </w:tc>
        <w:tc>
          <w:tcPr>
            <w:tcW w:w="2550" w:type="dxa"/>
          </w:tcPr>
          <w:p w14:paraId="618EA80B"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Prevención Del Embarazo en Adolescentes</w:t>
            </w:r>
          </w:p>
        </w:tc>
        <w:tc>
          <w:tcPr>
            <w:tcW w:w="1410" w:type="dxa"/>
          </w:tcPr>
          <w:p w14:paraId="38D1A55C"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7.636</w:t>
            </w:r>
          </w:p>
        </w:tc>
        <w:tc>
          <w:tcPr>
            <w:tcW w:w="1830" w:type="dxa"/>
          </w:tcPr>
          <w:p w14:paraId="5DC17B75"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$ 5.106.650.200</w:t>
            </w:r>
          </w:p>
        </w:tc>
        <w:tc>
          <w:tcPr>
            <w:tcW w:w="1305" w:type="dxa"/>
          </w:tcPr>
          <w:p w14:paraId="62AA2AD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74</w:t>
            </w:r>
          </w:p>
        </w:tc>
      </w:tr>
      <w:tr w:rsidR="00032FC2" w:rsidRPr="00D134EB" w14:paraId="5058B53E" w14:textId="77777777" w:rsidTr="00A948B5">
        <w:trPr>
          <w:trHeight w:val="576"/>
          <w:jc w:val="center"/>
        </w:trPr>
        <w:tc>
          <w:tcPr>
            <w:tcW w:w="1260" w:type="dxa"/>
            <w:vMerge/>
          </w:tcPr>
          <w:p w14:paraId="7A56C5CA" w14:textId="77777777" w:rsidR="00032FC2" w:rsidRPr="00D134EB" w:rsidRDefault="00032FC2" w:rsidP="00A948B5">
            <w:pPr>
              <w:widowControl w:val="0"/>
              <w:rPr>
                <w:rFonts w:ascii="Times New Roman" w:hAnsi="Times New Roman" w:cs="Times New Roman"/>
                <w:sz w:val="18"/>
                <w:szCs w:val="18"/>
              </w:rPr>
            </w:pPr>
          </w:p>
        </w:tc>
        <w:tc>
          <w:tcPr>
            <w:tcW w:w="2550" w:type="dxa"/>
          </w:tcPr>
          <w:p w14:paraId="6DEED742"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Estrategia Construyendo Juntos Entornos Protectores</w:t>
            </w:r>
          </w:p>
        </w:tc>
        <w:tc>
          <w:tcPr>
            <w:tcW w:w="1410" w:type="dxa"/>
          </w:tcPr>
          <w:p w14:paraId="7EC4E8FF"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23.330</w:t>
            </w:r>
          </w:p>
        </w:tc>
        <w:tc>
          <w:tcPr>
            <w:tcW w:w="1830" w:type="dxa"/>
          </w:tcPr>
          <w:p w14:paraId="632B7FBD"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$ 18.360.723.514</w:t>
            </w:r>
          </w:p>
        </w:tc>
        <w:tc>
          <w:tcPr>
            <w:tcW w:w="1305" w:type="dxa"/>
          </w:tcPr>
          <w:p w14:paraId="16D04E4E"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477</w:t>
            </w:r>
          </w:p>
        </w:tc>
      </w:tr>
      <w:tr w:rsidR="00032FC2" w:rsidRPr="00D134EB" w14:paraId="10946437" w14:textId="77777777" w:rsidTr="00A948B5">
        <w:trPr>
          <w:trHeight w:val="288"/>
          <w:jc w:val="center"/>
        </w:trPr>
        <w:tc>
          <w:tcPr>
            <w:tcW w:w="1260" w:type="dxa"/>
            <w:vMerge/>
          </w:tcPr>
          <w:p w14:paraId="762DDA1F" w14:textId="77777777" w:rsidR="00032FC2" w:rsidRPr="00D134EB" w:rsidRDefault="00032FC2" w:rsidP="00A948B5">
            <w:pPr>
              <w:widowControl w:val="0"/>
              <w:rPr>
                <w:rFonts w:ascii="Times New Roman" w:hAnsi="Times New Roman" w:cs="Times New Roman"/>
                <w:sz w:val="18"/>
                <w:szCs w:val="18"/>
              </w:rPr>
            </w:pPr>
          </w:p>
        </w:tc>
        <w:tc>
          <w:tcPr>
            <w:tcW w:w="2550" w:type="dxa"/>
          </w:tcPr>
          <w:p w14:paraId="5815C5DB" w14:textId="77777777" w:rsidR="00032FC2" w:rsidRPr="00D134EB" w:rsidRDefault="00032FC2" w:rsidP="00A948B5">
            <w:pPr>
              <w:jc w:val="both"/>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SUB TOTAL</w:t>
            </w:r>
          </w:p>
        </w:tc>
        <w:tc>
          <w:tcPr>
            <w:tcW w:w="1410" w:type="dxa"/>
          </w:tcPr>
          <w:p w14:paraId="5654404B"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241.635</w:t>
            </w:r>
          </w:p>
        </w:tc>
        <w:tc>
          <w:tcPr>
            <w:tcW w:w="1830" w:type="dxa"/>
          </w:tcPr>
          <w:p w14:paraId="79336000"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$ 103.914.125.909</w:t>
            </w:r>
          </w:p>
        </w:tc>
        <w:tc>
          <w:tcPr>
            <w:tcW w:w="1305" w:type="dxa"/>
          </w:tcPr>
          <w:p w14:paraId="42F6C946"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912</w:t>
            </w:r>
          </w:p>
        </w:tc>
      </w:tr>
      <w:tr w:rsidR="00032FC2" w:rsidRPr="00D134EB" w14:paraId="37B8AB5B" w14:textId="77777777" w:rsidTr="00A948B5">
        <w:trPr>
          <w:trHeight w:val="288"/>
          <w:jc w:val="center"/>
        </w:trPr>
        <w:tc>
          <w:tcPr>
            <w:tcW w:w="1260" w:type="dxa"/>
            <w:vMerge w:val="restart"/>
          </w:tcPr>
          <w:p w14:paraId="27D54708"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2019</w:t>
            </w:r>
          </w:p>
        </w:tc>
        <w:tc>
          <w:tcPr>
            <w:tcW w:w="2550" w:type="dxa"/>
          </w:tcPr>
          <w:p w14:paraId="3C12C876"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con Bienestar</w:t>
            </w:r>
          </w:p>
        </w:tc>
        <w:tc>
          <w:tcPr>
            <w:tcW w:w="1410" w:type="dxa"/>
          </w:tcPr>
          <w:p w14:paraId="37A1267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186.446</w:t>
            </w:r>
          </w:p>
        </w:tc>
        <w:tc>
          <w:tcPr>
            <w:tcW w:w="1830" w:type="dxa"/>
          </w:tcPr>
          <w:p w14:paraId="3C4C9325"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$ 59.078.237.022</w:t>
            </w:r>
          </w:p>
        </w:tc>
        <w:tc>
          <w:tcPr>
            <w:tcW w:w="1305" w:type="dxa"/>
          </w:tcPr>
          <w:p w14:paraId="60B5C0F7"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733</w:t>
            </w:r>
          </w:p>
        </w:tc>
      </w:tr>
      <w:tr w:rsidR="00032FC2" w:rsidRPr="00D134EB" w14:paraId="48A527EC" w14:textId="77777777" w:rsidTr="00A948B5">
        <w:trPr>
          <w:trHeight w:val="864"/>
          <w:jc w:val="center"/>
        </w:trPr>
        <w:tc>
          <w:tcPr>
            <w:tcW w:w="1260" w:type="dxa"/>
            <w:vMerge/>
          </w:tcPr>
          <w:p w14:paraId="4292A3EA" w14:textId="77777777" w:rsidR="00032FC2" w:rsidRPr="00D134EB" w:rsidRDefault="00032FC2" w:rsidP="00A948B5">
            <w:pPr>
              <w:widowControl w:val="0"/>
              <w:rPr>
                <w:rFonts w:ascii="Times New Roman" w:hAnsi="Times New Roman" w:cs="Times New Roman"/>
                <w:sz w:val="18"/>
                <w:szCs w:val="18"/>
              </w:rPr>
            </w:pPr>
          </w:p>
        </w:tc>
        <w:tc>
          <w:tcPr>
            <w:tcW w:w="2550" w:type="dxa"/>
          </w:tcPr>
          <w:p w14:paraId="0EA72A64"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Acciones Masivas de Alto Impacto Social Para Prevención de Riesgos Específicos de Niñas(os) y Adolescentes - AMAS / EPRE</w:t>
            </w:r>
          </w:p>
        </w:tc>
        <w:tc>
          <w:tcPr>
            <w:tcW w:w="1410" w:type="dxa"/>
          </w:tcPr>
          <w:p w14:paraId="3E1204C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17.302</w:t>
            </w:r>
          </w:p>
        </w:tc>
        <w:tc>
          <w:tcPr>
            <w:tcW w:w="1830" w:type="dxa"/>
          </w:tcPr>
          <w:p w14:paraId="544D7CCA"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$ 11.788.559.983</w:t>
            </w:r>
          </w:p>
        </w:tc>
        <w:tc>
          <w:tcPr>
            <w:tcW w:w="1305" w:type="dxa"/>
          </w:tcPr>
          <w:p w14:paraId="3BB923F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124</w:t>
            </w:r>
          </w:p>
        </w:tc>
      </w:tr>
      <w:tr w:rsidR="00032FC2" w:rsidRPr="00D134EB" w14:paraId="6F77C6F9" w14:textId="77777777" w:rsidTr="00A948B5">
        <w:trPr>
          <w:trHeight w:val="288"/>
          <w:jc w:val="center"/>
        </w:trPr>
        <w:tc>
          <w:tcPr>
            <w:tcW w:w="1260" w:type="dxa"/>
            <w:vMerge/>
          </w:tcPr>
          <w:p w14:paraId="02F9723D" w14:textId="77777777" w:rsidR="00032FC2" w:rsidRPr="00D134EB" w:rsidRDefault="00032FC2" w:rsidP="00A948B5">
            <w:pPr>
              <w:widowControl w:val="0"/>
              <w:rPr>
                <w:rFonts w:ascii="Times New Roman" w:hAnsi="Times New Roman" w:cs="Times New Roman"/>
                <w:sz w:val="18"/>
                <w:szCs w:val="18"/>
              </w:rPr>
            </w:pPr>
          </w:p>
        </w:tc>
        <w:tc>
          <w:tcPr>
            <w:tcW w:w="2550" w:type="dxa"/>
          </w:tcPr>
          <w:p w14:paraId="36A0380C"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Discapacidad</w:t>
            </w:r>
          </w:p>
        </w:tc>
        <w:tc>
          <w:tcPr>
            <w:tcW w:w="1410" w:type="dxa"/>
          </w:tcPr>
          <w:p w14:paraId="3B92EC7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4.200</w:t>
            </w:r>
          </w:p>
        </w:tc>
        <w:tc>
          <w:tcPr>
            <w:tcW w:w="1830" w:type="dxa"/>
          </w:tcPr>
          <w:p w14:paraId="0E8591D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$ 8.111.647.952</w:t>
            </w:r>
          </w:p>
        </w:tc>
        <w:tc>
          <w:tcPr>
            <w:tcW w:w="1305" w:type="dxa"/>
          </w:tcPr>
          <w:p w14:paraId="35393A2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56</w:t>
            </w:r>
          </w:p>
        </w:tc>
      </w:tr>
      <w:tr w:rsidR="00032FC2" w:rsidRPr="00D134EB" w14:paraId="04CFE5AD" w14:textId="77777777" w:rsidTr="00A948B5">
        <w:trPr>
          <w:trHeight w:val="288"/>
          <w:jc w:val="center"/>
        </w:trPr>
        <w:tc>
          <w:tcPr>
            <w:tcW w:w="1260" w:type="dxa"/>
            <w:vMerge/>
          </w:tcPr>
          <w:p w14:paraId="61192721" w14:textId="77777777" w:rsidR="00032FC2" w:rsidRPr="00D134EB" w:rsidRDefault="00032FC2" w:rsidP="00A948B5">
            <w:pPr>
              <w:widowControl w:val="0"/>
              <w:rPr>
                <w:rFonts w:ascii="Times New Roman" w:hAnsi="Times New Roman" w:cs="Times New Roman"/>
                <w:sz w:val="18"/>
                <w:szCs w:val="18"/>
              </w:rPr>
            </w:pPr>
          </w:p>
        </w:tc>
        <w:tc>
          <w:tcPr>
            <w:tcW w:w="2550" w:type="dxa"/>
          </w:tcPr>
          <w:p w14:paraId="1CFF13C1"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Otras Formas de Atención-Reclutamiento</w:t>
            </w:r>
          </w:p>
        </w:tc>
        <w:tc>
          <w:tcPr>
            <w:tcW w:w="1410" w:type="dxa"/>
          </w:tcPr>
          <w:p w14:paraId="00A582C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11.788</w:t>
            </w:r>
          </w:p>
        </w:tc>
        <w:tc>
          <w:tcPr>
            <w:tcW w:w="1830" w:type="dxa"/>
          </w:tcPr>
          <w:p w14:paraId="6896871F"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$ 7.467.659.275</w:t>
            </w:r>
          </w:p>
        </w:tc>
        <w:tc>
          <w:tcPr>
            <w:tcW w:w="1305" w:type="dxa"/>
          </w:tcPr>
          <w:p w14:paraId="71CA9C02"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39</w:t>
            </w:r>
          </w:p>
        </w:tc>
      </w:tr>
      <w:tr w:rsidR="00032FC2" w:rsidRPr="00D134EB" w14:paraId="1B0155AF" w14:textId="77777777" w:rsidTr="00A948B5">
        <w:trPr>
          <w:trHeight w:val="288"/>
          <w:jc w:val="center"/>
        </w:trPr>
        <w:tc>
          <w:tcPr>
            <w:tcW w:w="1260" w:type="dxa"/>
            <w:vMerge/>
          </w:tcPr>
          <w:p w14:paraId="36AAD585" w14:textId="77777777" w:rsidR="00032FC2" w:rsidRPr="00D134EB" w:rsidRDefault="00032FC2" w:rsidP="00A948B5">
            <w:pPr>
              <w:widowControl w:val="0"/>
              <w:rPr>
                <w:rFonts w:ascii="Times New Roman" w:hAnsi="Times New Roman" w:cs="Times New Roman"/>
                <w:sz w:val="18"/>
                <w:szCs w:val="18"/>
              </w:rPr>
            </w:pPr>
          </w:p>
        </w:tc>
        <w:tc>
          <w:tcPr>
            <w:tcW w:w="2550" w:type="dxa"/>
          </w:tcPr>
          <w:p w14:paraId="52CE2795"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2.0</w:t>
            </w:r>
          </w:p>
        </w:tc>
        <w:tc>
          <w:tcPr>
            <w:tcW w:w="1410" w:type="dxa"/>
          </w:tcPr>
          <w:p w14:paraId="49D157E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33.551</w:t>
            </w:r>
          </w:p>
        </w:tc>
        <w:tc>
          <w:tcPr>
            <w:tcW w:w="1830" w:type="dxa"/>
          </w:tcPr>
          <w:p w14:paraId="7F26B593"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$ 7.454.187.354</w:t>
            </w:r>
          </w:p>
        </w:tc>
        <w:tc>
          <w:tcPr>
            <w:tcW w:w="1305" w:type="dxa"/>
          </w:tcPr>
          <w:p w14:paraId="0B10B520"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297</w:t>
            </w:r>
          </w:p>
        </w:tc>
      </w:tr>
      <w:tr w:rsidR="00032FC2" w:rsidRPr="00D134EB" w14:paraId="4FE19745" w14:textId="77777777" w:rsidTr="00A948B5">
        <w:trPr>
          <w:trHeight w:val="288"/>
          <w:jc w:val="center"/>
        </w:trPr>
        <w:tc>
          <w:tcPr>
            <w:tcW w:w="1260" w:type="dxa"/>
            <w:vMerge/>
          </w:tcPr>
          <w:p w14:paraId="1D40D1E0" w14:textId="77777777" w:rsidR="00032FC2" w:rsidRPr="00D134EB" w:rsidRDefault="00032FC2" w:rsidP="00A948B5">
            <w:pPr>
              <w:widowControl w:val="0"/>
              <w:rPr>
                <w:rFonts w:ascii="Times New Roman" w:hAnsi="Times New Roman" w:cs="Times New Roman"/>
                <w:sz w:val="18"/>
                <w:szCs w:val="18"/>
              </w:rPr>
            </w:pPr>
          </w:p>
        </w:tc>
        <w:tc>
          <w:tcPr>
            <w:tcW w:w="2550" w:type="dxa"/>
          </w:tcPr>
          <w:p w14:paraId="5AC033CC" w14:textId="77777777" w:rsidR="00032FC2" w:rsidRPr="00D134EB" w:rsidRDefault="00032FC2" w:rsidP="00A948B5">
            <w:pPr>
              <w:jc w:val="both"/>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SUB TOTAL</w:t>
            </w:r>
          </w:p>
        </w:tc>
        <w:tc>
          <w:tcPr>
            <w:tcW w:w="1410" w:type="dxa"/>
          </w:tcPr>
          <w:p w14:paraId="1A900682"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253.287</w:t>
            </w:r>
          </w:p>
        </w:tc>
        <w:tc>
          <w:tcPr>
            <w:tcW w:w="1830" w:type="dxa"/>
          </w:tcPr>
          <w:p w14:paraId="22566433"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$ 93.900.291.586</w:t>
            </w:r>
          </w:p>
        </w:tc>
        <w:tc>
          <w:tcPr>
            <w:tcW w:w="1305" w:type="dxa"/>
          </w:tcPr>
          <w:p w14:paraId="674EAA21"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917</w:t>
            </w:r>
          </w:p>
        </w:tc>
      </w:tr>
      <w:tr w:rsidR="00032FC2" w:rsidRPr="00D134EB" w14:paraId="6F70B568" w14:textId="77777777" w:rsidTr="00A948B5">
        <w:trPr>
          <w:trHeight w:val="288"/>
          <w:jc w:val="center"/>
        </w:trPr>
        <w:tc>
          <w:tcPr>
            <w:tcW w:w="1260" w:type="dxa"/>
            <w:vMerge w:val="restart"/>
          </w:tcPr>
          <w:p w14:paraId="1C74FF65"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2020</w:t>
            </w:r>
          </w:p>
        </w:tc>
        <w:tc>
          <w:tcPr>
            <w:tcW w:w="2550" w:type="dxa"/>
          </w:tcPr>
          <w:p w14:paraId="4F768A8D"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Étnicas con Bienestar</w:t>
            </w:r>
          </w:p>
        </w:tc>
        <w:tc>
          <w:tcPr>
            <w:tcW w:w="1410" w:type="dxa"/>
          </w:tcPr>
          <w:p w14:paraId="11AE1A4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76.550</w:t>
            </w:r>
          </w:p>
        </w:tc>
        <w:tc>
          <w:tcPr>
            <w:tcW w:w="1830" w:type="dxa"/>
          </w:tcPr>
          <w:p w14:paraId="5F336545"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18.429.808.283</w:t>
            </w:r>
          </w:p>
        </w:tc>
        <w:tc>
          <w:tcPr>
            <w:tcW w:w="1305" w:type="dxa"/>
          </w:tcPr>
          <w:p w14:paraId="51C0E07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308</w:t>
            </w:r>
          </w:p>
        </w:tc>
      </w:tr>
      <w:tr w:rsidR="00032FC2" w:rsidRPr="00D134EB" w14:paraId="0820DA4B" w14:textId="77777777" w:rsidTr="00A948B5">
        <w:trPr>
          <w:trHeight w:val="864"/>
          <w:jc w:val="center"/>
        </w:trPr>
        <w:tc>
          <w:tcPr>
            <w:tcW w:w="1260" w:type="dxa"/>
            <w:vMerge/>
          </w:tcPr>
          <w:p w14:paraId="51EC581B" w14:textId="77777777" w:rsidR="00032FC2" w:rsidRPr="00D134EB" w:rsidRDefault="00032FC2" w:rsidP="00A948B5">
            <w:pPr>
              <w:widowControl w:val="0"/>
              <w:rPr>
                <w:rFonts w:ascii="Times New Roman" w:hAnsi="Times New Roman" w:cs="Times New Roman"/>
                <w:sz w:val="18"/>
                <w:szCs w:val="18"/>
              </w:rPr>
            </w:pPr>
          </w:p>
        </w:tc>
        <w:tc>
          <w:tcPr>
            <w:tcW w:w="2550" w:type="dxa"/>
          </w:tcPr>
          <w:p w14:paraId="72FCF16D"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xml:space="preserve">Acciones Masivas de Alto Impacto Social Para Prevención de Riesgos Específicos de Niñas(os) y </w:t>
            </w:r>
            <w:r w:rsidRPr="00D134EB">
              <w:rPr>
                <w:rFonts w:ascii="Times New Roman" w:eastAsia="Times New Roman" w:hAnsi="Times New Roman" w:cs="Times New Roman"/>
                <w:color w:val="000000"/>
                <w:sz w:val="20"/>
                <w:szCs w:val="20"/>
              </w:rPr>
              <w:lastRenderedPageBreak/>
              <w:t>Adolescentes - AMAS / EPRE</w:t>
            </w:r>
          </w:p>
        </w:tc>
        <w:tc>
          <w:tcPr>
            <w:tcW w:w="1410" w:type="dxa"/>
          </w:tcPr>
          <w:p w14:paraId="6CC6D8D5"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lastRenderedPageBreak/>
              <w:t>17.680</w:t>
            </w:r>
          </w:p>
        </w:tc>
        <w:tc>
          <w:tcPr>
            <w:tcW w:w="1830" w:type="dxa"/>
          </w:tcPr>
          <w:p w14:paraId="2379557F"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$ 12.216.309.720</w:t>
            </w:r>
          </w:p>
        </w:tc>
        <w:tc>
          <w:tcPr>
            <w:tcW w:w="1305" w:type="dxa"/>
          </w:tcPr>
          <w:p w14:paraId="00D1B53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165</w:t>
            </w:r>
          </w:p>
        </w:tc>
      </w:tr>
      <w:tr w:rsidR="00032FC2" w:rsidRPr="00D134EB" w14:paraId="7523534D" w14:textId="77777777" w:rsidTr="00A948B5">
        <w:trPr>
          <w:trHeight w:val="288"/>
          <w:jc w:val="center"/>
        </w:trPr>
        <w:tc>
          <w:tcPr>
            <w:tcW w:w="1260" w:type="dxa"/>
            <w:vMerge/>
          </w:tcPr>
          <w:p w14:paraId="6F631948" w14:textId="77777777" w:rsidR="00032FC2" w:rsidRPr="00D134EB" w:rsidRDefault="00032FC2" w:rsidP="00A948B5">
            <w:pPr>
              <w:widowControl w:val="0"/>
              <w:rPr>
                <w:rFonts w:ascii="Times New Roman" w:hAnsi="Times New Roman" w:cs="Times New Roman"/>
                <w:sz w:val="18"/>
                <w:szCs w:val="18"/>
              </w:rPr>
            </w:pPr>
          </w:p>
        </w:tc>
        <w:tc>
          <w:tcPr>
            <w:tcW w:w="2550" w:type="dxa"/>
          </w:tcPr>
          <w:p w14:paraId="47CDC0AD"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Discapacidad</w:t>
            </w:r>
          </w:p>
        </w:tc>
        <w:tc>
          <w:tcPr>
            <w:tcW w:w="1410" w:type="dxa"/>
          </w:tcPr>
          <w:p w14:paraId="3B658317"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4.229</w:t>
            </w:r>
          </w:p>
        </w:tc>
        <w:tc>
          <w:tcPr>
            <w:tcW w:w="1830" w:type="dxa"/>
          </w:tcPr>
          <w:p w14:paraId="4062E5D1"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46.265.707.017</w:t>
            </w:r>
          </w:p>
        </w:tc>
        <w:tc>
          <w:tcPr>
            <w:tcW w:w="1305" w:type="dxa"/>
          </w:tcPr>
          <w:p w14:paraId="2D176250"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56</w:t>
            </w:r>
          </w:p>
        </w:tc>
      </w:tr>
      <w:tr w:rsidR="00032FC2" w:rsidRPr="00D134EB" w14:paraId="41A4192A" w14:textId="77777777" w:rsidTr="00A948B5">
        <w:trPr>
          <w:trHeight w:val="288"/>
          <w:jc w:val="center"/>
        </w:trPr>
        <w:tc>
          <w:tcPr>
            <w:tcW w:w="1260" w:type="dxa"/>
            <w:vMerge/>
          </w:tcPr>
          <w:p w14:paraId="673FB2AC" w14:textId="77777777" w:rsidR="00032FC2" w:rsidRPr="00D134EB" w:rsidRDefault="00032FC2" w:rsidP="00A948B5">
            <w:pPr>
              <w:widowControl w:val="0"/>
              <w:rPr>
                <w:rFonts w:ascii="Times New Roman" w:hAnsi="Times New Roman" w:cs="Times New Roman"/>
                <w:sz w:val="18"/>
                <w:szCs w:val="18"/>
              </w:rPr>
            </w:pPr>
          </w:p>
        </w:tc>
        <w:tc>
          <w:tcPr>
            <w:tcW w:w="2550" w:type="dxa"/>
          </w:tcPr>
          <w:p w14:paraId="11B65A83"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Otras Formas de Atención</w:t>
            </w:r>
          </w:p>
        </w:tc>
        <w:tc>
          <w:tcPr>
            <w:tcW w:w="1410" w:type="dxa"/>
          </w:tcPr>
          <w:p w14:paraId="1BBB07E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40</w:t>
            </w:r>
          </w:p>
        </w:tc>
        <w:tc>
          <w:tcPr>
            <w:tcW w:w="1830" w:type="dxa"/>
          </w:tcPr>
          <w:p w14:paraId="712A876C"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85.000.000</w:t>
            </w:r>
          </w:p>
        </w:tc>
        <w:tc>
          <w:tcPr>
            <w:tcW w:w="1305" w:type="dxa"/>
          </w:tcPr>
          <w:p w14:paraId="079A3306"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 Regional Valle</w:t>
            </w:r>
          </w:p>
        </w:tc>
      </w:tr>
      <w:tr w:rsidR="00032FC2" w:rsidRPr="00D134EB" w14:paraId="328FA935" w14:textId="77777777" w:rsidTr="00A948B5">
        <w:trPr>
          <w:trHeight w:val="288"/>
          <w:jc w:val="center"/>
        </w:trPr>
        <w:tc>
          <w:tcPr>
            <w:tcW w:w="1260" w:type="dxa"/>
            <w:vMerge/>
          </w:tcPr>
          <w:p w14:paraId="4F662BA3" w14:textId="77777777" w:rsidR="00032FC2" w:rsidRPr="00D134EB" w:rsidRDefault="00032FC2" w:rsidP="00A948B5">
            <w:pPr>
              <w:widowControl w:val="0"/>
              <w:rPr>
                <w:rFonts w:ascii="Times New Roman" w:hAnsi="Times New Roman" w:cs="Times New Roman"/>
                <w:sz w:val="18"/>
                <w:szCs w:val="18"/>
              </w:rPr>
            </w:pPr>
          </w:p>
        </w:tc>
        <w:tc>
          <w:tcPr>
            <w:tcW w:w="2550" w:type="dxa"/>
          </w:tcPr>
          <w:p w14:paraId="1DA4DBB7" w14:textId="77777777" w:rsidR="00032FC2" w:rsidRPr="00D134EB" w:rsidRDefault="00032FC2" w:rsidP="00A948B5">
            <w:pPr>
              <w:jc w:val="both"/>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Generaciones 2.0</w:t>
            </w:r>
          </w:p>
        </w:tc>
        <w:tc>
          <w:tcPr>
            <w:tcW w:w="1410" w:type="dxa"/>
          </w:tcPr>
          <w:p w14:paraId="588DCA9B"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167.292</w:t>
            </w:r>
          </w:p>
        </w:tc>
        <w:tc>
          <w:tcPr>
            <w:tcW w:w="1830" w:type="dxa"/>
          </w:tcPr>
          <w:p w14:paraId="52A26EF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50.343.873.404</w:t>
            </w:r>
          </w:p>
        </w:tc>
        <w:tc>
          <w:tcPr>
            <w:tcW w:w="1305" w:type="dxa"/>
          </w:tcPr>
          <w:p w14:paraId="3C876DE4" w14:textId="77777777" w:rsidR="00032FC2" w:rsidRPr="00D134EB" w:rsidRDefault="00032FC2" w:rsidP="00A948B5">
            <w:pPr>
              <w:jc w:val="center"/>
              <w:rPr>
                <w:rFonts w:ascii="Times New Roman" w:eastAsia="Times New Roman" w:hAnsi="Times New Roman" w:cs="Times New Roman"/>
                <w:color w:val="000000"/>
                <w:sz w:val="20"/>
                <w:szCs w:val="20"/>
              </w:rPr>
            </w:pPr>
            <w:r w:rsidRPr="00D134EB">
              <w:rPr>
                <w:rFonts w:ascii="Times New Roman" w:eastAsia="Times New Roman" w:hAnsi="Times New Roman" w:cs="Times New Roman"/>
                <w:color w:val="000000"/>
                <w:sz w:val="20"/>
                <w:szCs w:val="20"/>
              </w:rPr>
              <w:t>297 </w:t>
            </w:r>
          </w:p>
        </w:tc>
      </w:tr>
      <w:tr w:rsidR="00032FC2" w:rsidRPr="00D134EB" w14:paraId="0449D59B" w14:textId="77777777" w:rsidTr="00A948B5">
        <w:trPr>
          <w:trHeight w:val="288"/>
          <w:jc w:val="center"/>
        </w:trPr>
        <w:tc>
          <w:tcPr>
            <w:tcW w:w="1260" w:type="dxa"/>
            <w:vMerge/>
            <w:tcBorders>
              <w:bottom w:val="single" w:sz="8" w:space="0" w:color="000000"/>
            </w:tcBorders>
          </w:tcPr>
          <w:p w14:paraId="4C5B26E0" w14:textId="77777777" w:rsidR="00032FC2" w:rsidRPr="00D134EB" w:rsidRDefault="00032FC2" w:rsidP="00A948B5">
            <w:pPr>
              <w:widowControl w:val="0"/>
              <w:rPr>
                <w:rFonts w:ascii="Times New Roman" w:hAnsi="Times New Roman" w:cs="Times New Roman"/>
                <w:sz w:val="18"/>
                <w:szCs w:val="18"/>
              </w:rPr>
            </w:pPr>
          </w:p>
        </w:tc>
        <w:tc>
          <w:tcPr>
            <w:tcW w:w="2550" w:type="dxa"/>
            <w:tcBorders>
              <w:bottom w:val="single" w:sz="8" w:space="0" w:color="000000"/>
            </w:tcBorders>
          </w:tcPr>
          <w:p w14:paraId="5FEF4A4C" w14:textId="77777777" w:rsidR="00032FC2" w:rsidRPr="00D134EB" w:rsidRDefault="00032FC2" w:rsidP="00A948B5">
            <w:pPr>
              <w:jc w:val="both"/>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SUB TOTAL</w:t>
            </w:r>
          </w:p>
        </w:tc>
        <w:tc>
          <w:tcPr>
            <w:tcW w:w="1410" w:type="dxa"/>
            <w:tcBorders>
              <w:bottom w:val="single" w:sz="8" w:space="0" w:color="000000"/>
            </w:tcBorders>
          </w:tcPr>
          <w:p w14:paraId="7A02272A"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265.791</w:t>
            </w:r>
          </w:p>
        </w:tc>
        <w:tc>
          <w:tcPr>
            <w:tcW w:w="1830" w:type="dxa"/>
            <w:tcBorders>
              <w:bottom w:val="single" w:sz="8" w:space="0" w:color="000000"/>
            </w:tcBorders>
          </w:tcPr>
          <w:p w14:paraId="3FA56321"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$ 127.340.698.424</w:t>
            </w:r>
          </w:p>
        </w:tc>
        <w:tc>
          <w:tcPr>
            <w:tcW w:w="1305" w:type="dxa"/>
            <w:tcBorders>
              <w:bottom w:val="single" w:sz="8" w:space="0" w:color="000000"/>
            </w:tcBorders>
          </w:tcPr>
          <w:p w14:paraId="46D8BFFB" w14:textId="77777777" w:rsidR="00032FC2" w:rsidRPr="00D134EB" w:rsidRDefault="00032FC2" w:rsidP="00A948B5">
            <w:pPr>
              <w:jc w:val="center"/>
              <w:rPr>
                <w:rFonts w:ascii="Times New Roman" w:eastAsia="Times New Roman" w:hAnsi="Times New Roman" w:cs="Times New Roman"/>
                <w:b/>
                <w:color w:val="000000"/>
                <w:sz w:val="20"/>
                <w:szCs w:val="20"/>
              </w:rPr>
            </w:pPr>
            <w:r w:rsidRPr="00D134EB">
              <w:rPr>
                <w:rFonts w:ascii="Times New Roman" w:eastAsia="Times New Roman" w:hAnsi="Times New Roman" w:cs="Times New Roman"/>
                <w:b/>
                <w:color w:val="000000"/>
                <w:sz w:val="20"/>
                <w:szCs w:val="20"/>
              </w:rPr>
              <w:t>931</w:t>
            </w:r>
          </w:p>
        </w:tc>
      </w:tr>
    </w:tbl>
    <w:p w14:paraId="1F94517C" w14:textId="77777777" w:rsidR="00032FC2" w:rsidRPr="00D134EB" w:rsidRDefault="00032FC2" w:rsidP="00032FC2">
      <w:pPr>
        <w:jc w:val="center"/>
        <w:rPr>
          <w:rFonts w:ascii="Times New Roman" w:eastAsia="Times New Roman" w:hAnsi="Times New Roman" w:cs="Times New Roman"/>
          <w:b/>
          <w:sz w:val="20"/>
          <w:szCs w:val="20"/>
        </w:rPr>
      </w:pPr>
    </w:p>
    <w:p w14:paraId="1806C20A" w14:textId="6C375511" w:rsidR="00032FC2" w:rsidRPr="00D134EB" w:rsidRDefault="00032FC2" w:rsidP="00032FC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w:t>
      </w:r>
      <w:r w:rsidR="00316D49" w:rsidRPr="00D134EB">
        <w:rPr>
          <w:rFonts w:ascii="Times New Roman" w:hAnsi="Times New Roman" w:cs="Times New Roman"/>
          <w:b/>
          <w:bCs/>
          <w:sz w:val="20"/>
          <w:szCs w:val="20"/>
        </w:rPr>
        <w:t xml:space="preserve"> 6</w:t>
      </w:r>
      <w:r w:rsidRPr="00D134EB">
        <w:rPr>
          <w:rFonts w:ascii="Times New Roman" w:hAnsi="Times New Roman" w:cs="Times New Roman"/>
          <w:b/>
          <w:bCs/>
          <w:sz w:val="20"/>
          <w:szCs w:val="20"/>
        </w:rPr>
        <w:t>. Modalidades de atención territorial implementada por el ICBF entre los años objeto del presente informe (2021 – 2022)</w:t>
      </w:r>
    </w:p>
    <w:tbl>
      <w:tblPr>
        <w:tblW w:w="9030" w:type="dxa"/>
        <w:tblLayout w:type="fixed"/>
        <w:tblLook w:val="0400" w:firstRow="0" w:lastRow="0" w:firstColumn="0" w:lastColumn="0" w:noHBand="0" w:noVBand="1"/>
      </w:tblPr>
      <w:tblGrid>
        <w:gridCol w:w="1305"/>
        <w:gridCol w:w="2970"/>
        <w:gridCol w:w="1455"/>
        <w:gridCol w:w="1695"/>
        <w:gridCol w:w="1605"/>
      </w:tblGrid>
      <w:tr w:rsidR="00032FC2" w:rsidRPr="00D134EB" w14:paraId="591EFC20" w14:textId="77777777" w:rsidTr="00A948B5">
        <w:trPr>
          <w:trHeight w:val="520"/>
        </w:trPr>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EB1C1"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VIGENCIA</w:t>
            </w:r>
          </w:p>
        </w:tc>
        <w:tc>
          <w:tcPr>
            <w:tcW w:w="2970" w:type="dxa"/>
            <w:tcBorders>
              <w:top w:val="single" w:sz="4" w:space="0" w:color="000000"/>
              <w:left w:val="nil"/>
              <w:bottom w:val="single" w:sz="4" w:space="0" w:color="000000"/>
              <w:right w:val="single" w:sz="4" w:space="0" w:color="000000"/>
            </w:tcBorders>
            <w:shd w:val="clear" w:color="auto" w:fill="auto"/>
            <w:vAlign w:val="center"/>
          </w:tcPr>
          <w:p w14:paraId="240614D4"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MODALIDAD</w:t>
            </w:r>
          </w:p>
        </w:tc>
        <w:tc>
          <w:tcPr>
            <w:tcW w:w="1455" w:type="dxa"/>
            <w:tcBorders>
              <w:top w:val="single" w:sz="4" w:space="0" w:color="000000"/>
              <w:left w:val="nil"/>
              <w:bottom w:val="single" w:sz="4" w:space="0" w:color="000000"/>
              <w:right w:val="single" w:sz="4" w:space="0" w:color="000000"/>
            </w:tcBorders>
            <w:shd w:val="clear" w:color="auto" w:fill="auto"/>
            <w:vAlign w:val="center"/>
          </w:tcPr>
          <w:p w14:paraId="1859C915"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CUPOS ATENDIDOS</w:t>
            </w:r>
          </w:p>
        </w:tc>
        <w:tc>
          <w:tcPr>
            <w:tcW w:w="1695" w:type="dxa"/>
            <w:tcBorders>
              <w:top w:val="single" w:sz="4" w:space="0" w:color="000000"/>
              <w:left w:val="nil"/>
              <w:bottom w:val="single" w:sz="4" w:space="0" w:color="000000"/>
              <w:right w:val="single" w:sz="4" w:space="0" w:color="000000"/>
            </w:tcBorders>
            <w:shd w:val="clear" w:color="auto" w:fill="auto"/>
            <w:vAlign w:val="center"/>
          </w:tcPr>
          <w:p w14:paraId="4783E9B8"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PRESUPUESTO APROPIADO</w:t>
            </w:r>
          </w:p>
        </w:tc>
        <w:tc>
          <w:tcPr>
            <w:tcW w:w="1605" w:type="dxa"/>
            <w:tcBorders>
              <w:top w:val="single" w:sz="4" w:space="0" w:color="000000"/>
              <w:left w:val="nil"/>
              <w:bottom w:val="single" w:sz="4" w:space="0" w:color="000000"/>
              <w:right w:val="single" w:sz="4" w:space="0" w:color="000000"/>
            </w:tcBorders>
            <w:shd w:val="clear" w:color="auto" w:fill="auto"/>
            <w:vAlign w:val="center"/>
          </w:tcPr>
          <w:p w14:paraId="2AAA0F70"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MUNICIPIOS</w:t>
            </w:r>
          </w:p>
        </w:tc>
      </w:tr>
      <w:tr w:rsidR="00032FC2" w:rsidRPr="00D134EB" w14:paraId="5648C7F5" w14:textId="77777777" w:rsidTr="00A948B5">
        <w:trPr>
          <w:trHeight w:val="340"/>
        </w:trPr>
        <w:tc>
          <w:tcPr>
            <w:tcW w:w="1305" w:type="dxa"/>
            <w:vMerge w:val="restart"/>
            <w:tcBorders>
              <w:top w:val="nil"/>
              <w:left w:val="single" w:sz="4" w:space="0" w:color="000000"/>
              <w:bottom w:val="single" w:sz="4" w:space="0" w:color="000000"/>
              <w:right w:val="single" w:sz="4" w:space="0" w:color="000000"/>
            </w:tcBorders>
            <w:shd w:val="clear" w:color="auto" w:fill="auto"/>
            <w:vAlign w:val="center"/>
          </w:tcPr>
          <w:p w14:paraId="14BB398F"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2021</w:t>
            </w:r>
          </w:p>
        </w:tc>
        <w:tc>
          <w:tcPr>
            <w:tcW w:w="2970" w:type="dxa"/>
            <w:tcBorders>
              <w:top w:val="nil"/>
              <w:left w:val="nil"/>
              <w:bottom w:val="single" w:sz="4" w:space="0" w:color="000000"/>
              <w:right w:val="single" w:sz="4" w:space="0" w:color="000000"/>
            </w:tcBorders>
            <w:shd w:val="clear" w:color="auto" w:fill="auto"/>
            <w:vAlign w:val="center"/>
          </w:tcPr>
          <w:p w14:paraId="6D9BE5EF"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Sacúdete</w:t>
            </w:r>
          </w:p>
        </w:tc>
        <w:tc>
          <w:tcPr>
            <w:tcW w:w="1455" w:type="dxa"/>
            <w:tcBorders>
              <w:top w:val="nil"/>
              <w:left w:val="nil"/>
              <w:bottom w:val="single" w:sz="4" w:space="0" w:color="000000"/>
              <w:right w:val="single" w:sz="4" w:space="0" w:color="000000"/>
            </w:tcBorders>
            <w:shd w:val="clear" w:color="auto" w:fill="auto"/>
            <w:vAlign w:val="center"/>
          </w:tcPr>
          <w:p w14:paraId="10D0EA81"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114.402</w:t>
            </w:r>
          </w:p>
        </w:tc>
        <w:tc>
          <w:tcPr>
            <w:tcW w:w="1695" w:type="dxa"/>
            <w:tcBorders>
              <w:top w:val="nil"/>
              <w:left w:val="nil"/>
              <w:bottom w:val="single" w:sz="4" w:space="0" w:color="000000"/>
              <w:right w:val="single" w:sz="4" w:space="0" w:color="000000"/>
            </w:tcBorders>
            <w:shd w:val="clear" w:color="auto" w:fill="auto"/>
            <w:vAlign w:val="center"/>
          </w:tcPr>
          <w:p w14:paraId="39C100E6"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$57.649.245.494</w:t>
            </w:r>
          </w:p>
        </w:tc>
        <w:tc>
          <w:tcPr>
            <w:tcW w:w="1605" w:type="dxa"/>
            <w:tcBorders>
              <w:top w:val="nil"/>
              <w:left w:val="nil"/>
              <w:bottom w:val="single" w:sz="4" w:space="0" w:color="000000"/>
              <w:right w:val="single" w:sz="4" w:space="0" w:color="000000"/>
            </w:tcBorders>
            <w:shd w:val="clear" w:color="auto" w:fill="auto"/>
            <w:vAlign w:val="center"/>
          </w:tcPr>
          <w:p w14:paraId="3C4C4D93"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767</w:t>
            </w:r>
          </w:p>
        </w:tc>
      </w:tr>
      <w:tr w:rsidR="00032FC2" w:rsidRPr="00D134EB" w14:paraId="44B1929D"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412BEDC0"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4D4CC03B"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Sacúdete Étnicos</w:t>
            </w:r>
          </w:p>
        </w:tc>
        <w:tc>
          <w:tcPr>
            <w:tcW w:w="1455" w:type="dxa"/>
            <w:tcBorders>
              <w:top w:val="nil"/>
              <w:left w:val="nil"/>
              <w:bottom w:val="single" w:sz="4" w:space="0" w:color="000000"/>
              <w:right w:val="single" w:sz="4" w:space="0" w:color="000000"/>
            </w:tcBorders>
            <w:shd w:val="clear" w:color="auto" w:fill="auto"/>
            <w:vAlign w:val="center"/>
          </w:tcPr>
          <w:p w14:paraId="14777D57"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13.667</w:t>
            </w:r>
          </w:p>
        </w:tc>
        <w:tc>
          <w:tcPr>
            <w:tcW w:w="1695" w:type="dxa"/>
            <w:tcBorders>
              <w:top w:val="nil"/>
              <w:left w:val="nil"/>
              <w:bottom w:val="single" w:sz="4" w:space="0" w:color="000000"/>
              <w:right w:val="single" w:sz="4" w:space="0" w:color="000000"/>
            </w:tcBorders>
            <w:shd w:val="clear" w:color="auto" w:fill="auto"/>
            <w:vAlign w:val="center"/>
          </w:tcPr>
          <w:p w14:paraId="47102748"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$8.058.090.779</w:t>
            </w:r>
          </w:p>
        </w:tc>
        <w:tc>
          <w:tcPr>
            <w:tcW w:w="1605" w:type="dxa"/>
            <w:tcBorders>
              <w:top w:val="nil"/>
              <w:left w:val="nil"/>
              <w:bottom w:val="single" w:sz="4" w:space="0" w:color="000000"/>
              <w:right w:val="single" w:sz="4" w:space="0" w:color="000000"/>
            </w:tcBorders>
            <w:shd w:val="clear" w:color="auto" w:fill="auto"/>
            <w:vAlign w:val="center"/>
          </w:tcPr>
          <w:p w14:paraId="51BFC33B"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268</w:t>
            </w:r>
          </w:p>
        </w:tc>
      </w:tr>
      <w:tr w:rsidR="00032FC2" w:rsidRPr="00D134EB" w14:paraId="10BC1CAD"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6B526541"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53034EBF"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Discapacidad</w:t>
            </w:r>
          </w:p>
        </w:tc>
        <w:tc>
          <w:tcPr>
            <w:tcW w:w="1455" w:type="dxa"/>
            <w:tcBorders>
              <w:top w:val="nil"/>
              <w:left w:val="nil"/>
              <w:bottom w:val="single" w:sz="4" w:space="0" w:color="000000"/>
              <w:right w:val="single" w:sz="4" w:space="0" w:color="000000"/>
            </w:tcBorders>
            <w:shd w:val="clear" w:color="auto" w:fill="auto"/>
            <w:vAlign w:val="center"/>
          </w:tcPr>
          <w:p w14:paraId="40F0D106"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1.206</w:t>
            </w:r>
          </w:p>
        </w:tc>
        <w:tc>
          <w:tcPr>
            <w:tcW w:w="1695" w:type="dxa"/>
            <w:tcBorders>
              <w:top w:val="nil"/>
              <w:left w:val="nil"/>
              <w:bottom w:val="single" w:sz="4" w:space="0" w:color="000000"/>
              <w:right w:val="single" w:sz="4" w:space="0" w:color="000000"/>
            </w:tcBorders>
            <w:shd w:val="clear" w:color="auto" w:fill="auto"/>
            <w:vAlign w:val="center"/>
          </w:tcPr>
          <w:p w14:paraId="718FB2A3"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$12.303.471.228</w:t>
            </w:r>
          </w:p>
        </w:tc>
        <w:tc>
          <w:tcPr>
            <w:tcW w:w="1605" w:type="dxa"/>
            <w:tcBorders>
              <w:top w:val="nil"/>
              <w:left w:val="nil"/>
              <w:bottom w:val="single" w:sz="4" w:space="0" w:color="000000"/>
              <w:right w:val="single" w:sz="4" w:space="0" w:color="000000"/>
            </w:tcBorders>
            <w:shd w:val="clear" w:color="auto" w:fill="auto"/>
            <w:vAlign w:val="center"/>
          </w:tcPr>
          <w:p w14:paraId="30C500CA"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54</w:t>
            </w:r>
          </w:p>
        </w:tc>
      </w:tr>
      <w:tr w:rsidR="00032FC2" w:rsidRPr="00D134EB" w14:paraId="736BDF8F"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1BA4E3C7"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1FC31559"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En la Jugada</w:t>
            </w:r>
          </w:p>
        </w:tc>
        <w:tc>
          <w:tcPr>
            <w:tcW w:w="1455" w:type="dxa"/>
            <w:tcBorders>
              <w:top w:val="nil"/>
              <w:left w:val="nil"/>
              <w:bottom w:val="single" w:sz="4" w:space="0" w:color="000000"/>
              <w:right w:val="single" w:sz="4" w:space="0" w:color="000000"/>
            </w:tcBorders>
            <w:shd w:val="clear" w:color="auto" w:fill="auto"/>
            <w:vAlign w:val="center"/>
          </w:tcPr>
          <w:p w14:paraId="1A16B8D2"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5.514</w:t>
            </w:r>
          </w:p>
        </w:tc>
        <w:tc>
          <w:tcPr>
            <w:tcW w:w="1695" w:type="dxa"/>
            <w:tcBorders>
              <w:top w:val="nil"/>
              <w:left w:val="nil"/>
              <w:bottom w:val="single" w:sz="4" w:space="0" w:color="000000"/>
              <w:right w:val="single" w:sz="4" w:space="0" w:color="000000"/>
            </w:tcBorders>
            <w:shd w:val="clear" w:color="auto" w:fill="auto"/>
            <w:vAlign w:val="center"/>
          </w:tcPr>
          <w:p w14:paraId="74BD20AF"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$5.573.798.975</w:t>
            </w:r>
          </w:p>
        </w:tc>
        <w:tc>
          <w:tcPr>
            <w:tcW w:w="1605" w:type="dxa"/>
            <w:tcBorders>
              <w:top w:val="nil"/>
              <w:left w:val="nil"/>
              <w:bottom w:val="single" w:sz="4" w:space="0" w:color="000000"/>
              <w:right w:val="single" w:sz="4" w:space="0" w:color="000000"/>
            </w:tcBorders>
            <w:shd w:val="clear" w:color="auto" w:fill="auto"/>
            <w:vAlign w:val="center"/>
          </w:tcPr>
          <w:p w14:paraId="169BD5F5"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91</w:t>
            </w:r>
          </w:p>
        </w:tc>
      </w:tr>
      <w:tr w:rsidR="00032FC2" w:rsidRPr="00D134EB" w14:paraId="288FAF64"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0C6C5CB3"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342CFA4C"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 xml:space="preserve">Generación Explora </w:t>
            </w:r>
          </w:p>
        </w:tc>
        <w:tc>
          <w:tcPr>
            <w:tcW w:w="1455" w:type="dxa"/>
            <w:tcBorders>
              <w:top w:val="nil"/>
              <w:left w:val="nil"/>
              <w:bottom w:val="single" w:sz="4" w:space="0" w:color="000000"/>
              <w:right w:val="single" w:sz="4" w:space="0" w:color="000000"/>
            </w:tcBorders>
            <w:shd w:val="clear" w:color="auto" w:fill="auto"/>
            <w:vAlign w:val="center"/>
          </w:tcPr>
          <w:p w14:paraId="3C8B0316"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103.313</w:t>
            </w:r>
          </w:p>
        </w:tc>
        <w:tc>
          <w:tcPr>
            <w:tcW w:w="1695" w:type="dxa"/>
            <w:tcBorders>
              <w:top w:val="nil"/>
              <w:left w:val="nil"/>
              <w:bottom w:val="single" w:sz="4" w:space="0" w:color="000000"/>
              <w:right w:val="single" w:sz="4" w:space="0" w:color="000000"/>
            </w:tcBorders>
            <w:shd w:val="clear" w:color="auto" w:fill="auto"/>
            <w:vAlign w:val="center"/>
          </w:tcPr>
          <w:p w14:paraId="3C0235CA"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$43.641.090.098</w:t>
            </w:r>
          </w:p>
        </w:tc>
        <w:tc>
          <w:tcPr>
            <w:tcW w:w="1605" w:type="dxa"/>
            <w:tcBorders>
              <w:top w:val="nil"/>
              <w:left w:val="nil"/>
              <w:bottom w:val="single" w:sz="4" w:space="0" w:color="000000"/>
              <w:right w:val="single" w:sz="4" w:space="0" w:color="000000"/>
            </w:tcBorders>
            <w:shd w:val="clear" w:color="auto" w:fill="auto"/>
            <w:vAlign w:val="center"/>
          </w:tcPr>
          <w:p w14:paraId="3BD65535"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748</w:t>
            </w:r>
          </w:p>
        </w:tc>
      </w:tr>
      <w:tr w:rsidR="00032FC2" w:rsidRPr="00D134EB" w14:paraId="0DB75D8A"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2B4860B4"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12B296E9" w14:textId="77777777" w:rsidR="00032FC2" w:rsidRPr="00D134EB" w:rsidRDefault="00032FC2" w:rsidP="00A948B5">
            <w:pPr>
              <w:spacing w:line="240" w:lineRule="auto"/>
              <w:rPr>
                <w:rFonts w:ascii="Times New Roman" w:eastAsia="Times New Roman" w:hAnsi="Times New Roman" w:cs="Times New Roman"/>
                <w:sz w:val="20"/>
                <w:szCs w:val="20"/>
              </w:rPr>
            </w:pPr>
            <w:proofErr w:type="spellStart"/>
            <w:r w:rsidRPr="00D134EB">
              <w:rPr>
                <w:rFonts w:ascii="Times New Roman" w:eastAsia="Times New Roman" w:hAnsi="Times New Roman" w:cs="Times New Roman"/>
                <w:sz w:val="20"/>
                <w:szCs w:val="20"/>
              </w:rPr>
              <w:t>Katünaa</w:t>
            </w:r>
            <w:proofErr w:type="spellEnd"/>
          </w:p>
        </w:tc>
        <w:tc>
          <w:tcPr>
            <w:tcW w:w="1455" w:type="dxa"/>
            <w:tcBorders>
              <w:top w:val="nil"/>
              <w:left w:val="nil"/>
              <w:bottom w:val="single" w:sz="4" w:space="0" w:color="000000"/>
              <w:right w:val="single" w:sz="4" w:space="0" w:color="000000"/>
            </w:tcBorders>
            <w:shd w:val="clear" w:color="auto" w:fill="auto"/>
            <w:vAlign w:val="center"/>
          </w:tcPr>
          <w:p w14:paraId="685420FD"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11.900</w:t>
            </w:r>
          </w:p>
        </w:tc>
        <w:tc>
          <w:tcPr>
            <w:tcW w:w="1695" w:type="dxa"/>
            <w:tcBorders>
              <w:top w:val="nil"/>
              <w:left w:val="nil"/>
              <w:bottom w:val="single" w:sz="4" w:space="0" w:color="000000"/>
              <w:right w:val="single" w:sz="4" w:space="0" w:color="000000"/>
            </w:tcBorders>
            <w:shd w:val="clear" w:color="auto" w:fill="auto"/>
            <w:vAlign w:val="center"/>
          </w:tcPr>
          <w:p w14:paraId="7E827A86"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$8.060.630.850</w:t>
            </w:r>
          </w:p>
        </w:tc>
        <w:tc>
          <w:tcPr>
            <w:tcW w:w="1605" w:type="dxa"/>
            <w:tcBorders>
              <w:top w:val="nil"/>
              <w:left w:val="nil"/>
              <w:bottom w:val="single" w:sz="4" w:space="0" w:color="000000"/>
              <w:right w:val="single" w:sz="4" w:space="0" w:color="000000"/>
            </w:tcBorders>
            <w:shd w:val="clear" w:color="auto" w:fill="auto"/>
            <w:vAlign w:val="center"/>
          </w:tcPr>
          <w:p w14:paraId="6EA3671B"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80</w:t>
            </w:r>
          </w:p>
        </w:tc>
      </w:tr>
      <w:tr w:rsidR="00032FC2" w:rsidRPr="00D134EB" w14:paraId="0B1C8FD3"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4E8C2BCF"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72797246"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Generaciones Étnicas con Bienestar</w:t>
            </w:r>
          </w:p>
        </w:tc>
        <w:tc>
          <w:tcPr>
            <w:tcW w:w="1455" w:type="dxa"/>
            <w:tcBorders>
              <w:top w:val="nil"/>
              <w:left w:val="nil"/>
              <w:bottom w:val="single" w:sz="4" w:space="0" w:color="000000"/>
              <w:right w:val="single" w:sz="4" w:space="0" w:color="000000"/>
            </w:tcBorders>
            <w:shd w:val="clear" w:color="auto" w:fill="auto"/>
            <w:vAlign w:val="center"/>
          </w:tcPr>
          <w:p w14:paraId="3821CB9C"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63.524</w:t>
            </w:r>
          </w:p>
        </w:tc>
        <w:tc>
          <w:tcPr>
            <w:tcW w:w="1695" w:type="dxa"/>
            <w:tcBorders>
              <w:top w:val="nil"/>
              <w:left w:val="nil"/>
              <w:bottom w:val="single" w:sz="4" w:space="0" w:color="000000"/>
              <w:right w:val="single" w:sz="4" w:space="0" w:color="000000"/>
            </w:tcBorders>
            <w:shd w:val="clear" w:color="auto" w:fill="auto"/>
            <w:vAlign w:val="center"/>
          </w:tcPr>
          <w:p w14:paraId="038CF3F8"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$21.158.159.301</w:t>
            </w:r>
          </w:p>
        </w:tc>
        <w:tc>
          <w:tcPr>
            <w:tcW w:w="1605" w:type="dxa"/>
            <w:tcBorders>
              <w:top w:val="nil"/>
              <w:left w:val="nil"/>
              <w:bottom w:val="single" w:sz="4" w:space="0" w:color="000000"/>
              <w:right w:val="single" w:sz="4" w:space="0" w:color="000000"/>
            </w:tcBorders>
            <w:shd w:val="clear" w:color="auto" w:fill="auto"/>
            <w:vAlign w:val="center"/>
          </w:tcPr>
          <w:p w14:paraId="517831D5"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321</w:t>
            </w:r>
          </w:p>
        </w:tc>
      </w:tr>
      <w:tr w:rsidR="00032FC2" w:rsidRPr="00D134EB" w14:paraId="2CEACAC6"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61C64427" w14:textId="77777777" w:rsidR="00032FC2" w:rsidRPr="00D134EB" w:rsidRDefault="00032FC2" w:rsidP="00A948B5">
            <w:pPr>
              <w:widowControl w:val="0"/>
              <w:rPr>
                <w:rFonts w:ascii="Times New Roman" w:eastAsia="Times New Roman" w:hAnsi="Times New Roman" w:cs="Times New Roman"/>
                <w:sz w:val="24"/>
                <w:szCs w:val="24"/>
              </w:rPr>
            </w:pPr>
          </w:p>
        </w:tc>
        <w:tc>
          <w:tcPr>
            <w:tcW w:w="2970" w:type="dxa"/>
            <w:tcBorders>
              <w:top w:val="nil"/>
              <w:left w:val="nil"/>
              <w:bottom w:val="single" w:sz="4" w:space="0" w:color="000000"/>
              <w:right w:val="single" w:sz="4" w:space="0" w:color="000000"/>
            </w:tcBorders>
            <w:shd w:val="clear" w:color="auto" w:fill="auto"/>
            <w:vAlign w:val="center"/>
          </w:tcPr>
          <w:p w14:paraId="0E317658"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De Tú a Tú</w:t>
            </w:r>
          </w:p>
        </w:tc>
        <w:tc>
          <w:tcPr>
            <w:tcW w:w="1455" w:type="dxa"/>
            <w:tcBorders>
              <w:top w:val="nil"/>
              <w:left w:val="nil"/>
              <w:bottom w:val="single" w:sz="4" w:space="0" w:color="000000"/>
              <w:right w:val="single" w:sz="4" w:space="0" w:color="000000"/>
            </w:tcBorders>
            <w:shd w:val="clear" w:color="auto" w:fill="auto"/>
            <w:vAlign w:val="center"/>
          </w:tcPr>
          <w:p w14:paraId="1A95D035"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2.332</w:t>
            </w:r>
          </w:p>
        </w:tc>
        <w:tc>
          <w:tcPr>
            <w:tcW w:w="1695" w:type="dxa"/>
            <w:tcBorders>
              <w:top w:val="nil"/>
              <w:left w:val="nil"/>
              <w:bottom w:val="single" w:sz="4" w:space="0" w:color="000000"/>
              <w:right w:val="single" w:sz="4" w:space="0" w:color="000000"/>
            </w:tcBorders>
            <w:shd w:val="clear" w:color="auto" w:fill="auto"/>
            <w:vAlign w:val="center"/>
          </w:tcPr>
          <w:p w14:paraId="00614A9D"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$24.602.657.849</w:t>
            </w:r>
          </w:p>
        </w:tc>
        <w:tc>
          <w:tcPr>
            <w:tcW w:w="1605" w:type="dxa"/>
            <w:tcBorders>
              <w:top w:val="nil"/>
              <w:left w:val="nil"/>
              <w:bottom w:val="single" w:sz="4" w:space="0" w:color="000000"/>
              <w:right w:val="single" w:sz="4" w:space="0" w:color="000000"/>
            </w:tcBorders>
            <w:shd w:val="clear" w:color="auto" w:fill="auto"/>
            <w:vAlign w:val="center"/>
          </w:tcPr>
          <w:p w14:paraId="2F7815D8"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53</w:t>
            </w:r>
          </w:p>
        </w:tc>
      </w:tr>
    </w:tbl>
    <w:p w14:paraId="4671E4D9" w14:textId="77777777" w:rsidR="00032FC2" w:rsidRPr="00D134EB" w:rsidRDefault="00032FC2" w:rsidP="00032FC2">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Instituto Colombiano de Bienestar Familiar – ICBF, 2022.</w:t>
      </w:r>
    </w:p>
    <w:p w14:paraId="1A652749" w14:textId="0E7D9E55" w:rsidR="00032FC2" w:rsidRPr="00D134EB" w:rsidRDefault="00032FC2" w:rsidP="00032FC2">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316D49" w:rsidRPr="00D134EB">
        <w:rPr>
          <w:rFonts w:ascii="Times New Roman" w:hAnsi="Times New Roman" w:cs="Times New Roman"/>
          <w:b/>
          <w:bCs/>
          <w:sz w:val="20"/>
          <w:szCs w:val="20"/>
        </w:rPr>
        <w:t>7</w:t>
      </w:r>
      <w:r w:rsidRPr="00D134EB">
        <w:rPr>
          <w:rFonts w:ascii="Times New Roman" w:hAnsi="Times New Roman" w:cs="Times New Roman"/>
          <w:b/>
          <w:bCs/>
          <w:sz w:val="20"/>
          <w:szCs w:val="20"/>
        </w:rPr>
        <w:t>. Modalidades de atención territorial implementada por el ICBF entre los años objeto del presente informe (2021 – 2022)</w:t>
      </w:r>
    </w:p>
    <w:tbl>
      <w:tblPr>
        <w:tblW w:w="9045" w:type="dxa"/>
        <w:tblLayout w:type="fixed"/>
        <w:tblLook w:val="0400" w:firstRow="0" w:lastRow="0" w:firstColumn="0" w:lastColumn="0" w:noHBand="0" w:noVBand="1"/>
      </w:tblPr>
      <w:tblGrid>
        <w:gridCol w:w="1305"/>
        <w:gridCol w:w="2940"/>
        <w:gridCol w:w="1560"/>
        <w:gridCol w:w="1725"/>
        <w:gridCol w:w="1515"/>
      </w:tblGrid>
      <w:tr w:rsidR="00032FC2" w:rsidRPr="00D134EB" w14:paraId="47EAA391" w14:textId="77777777" w:rsidTr="00A948B5">
        <w:trPr>
          <w:trHeight w:val="520"/>
        </w:trPr>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0D5D1"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VIGENCIA</w:t>
            </w:r>
          </w:p>
        </w:tc>
        <w:tc>
          <w:tcPr>
            <w:tcW w:w="2940" w:type="dxa"/>
            <w:tcBorders>
              <w:top w:val="single" w:sz="4" w:space="0" w:color="000000"/>
              <w:left w:val="nil"/>
              <w:bottom w:val="single" w:sz="4" w:space="0" w:color="000000"/>
              <w:right w:val="single" w:sz="4" w:space="0" w:color="000000"/>
            </w:tcBorders>
            <w:shd w:val="clear" w:color="auto" w:fill="auto"/>
            <w:vAlign w:val="center"/>
          </w:tcPr>
          <w:p w14:paraId="76377289"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MODALIDAD</w:t>
            </w: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4831FA24"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CUPOS ATENDIDOS</w:t>
            </w:r>
          </w:p>
        </w:tc>
        <w:tc>
          <w:tcPr>
            <w:tcW w:w="1725" w:type="dxa"/>
            <w:tcBorders>
              <w:top w:val="single" w:sz="4" w:space="0" w:color="000000"/>
              <w:left w:val="nil"/>
              <w:bottom w:val="single" w:sz="4" w:space="0" w:color="000000"/>
              <w:right w:val="single" w:sz="4" w:space="0" w:color="000000"/>
            </w:tcBorders>
            <w:shd w:val="clear" w:color="auto" w:fill="auto"/>
            <w:vAlign w:val="center"/>
          </w:tcPr>
          <w:p w14:paraId="40560108"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PRESUPUESTO APROPIADO</w:t>
            </w:r>
          </w:p>
        </w:tc>
        <w:tc>
          <w:tcPr>
            <w:tcW w:w="1515" w:type="dxa"/>
            <w:tcBorders>
              <w:top w:val="single" w:sz="4" w:space="0" w:color="000000"/>
              <w:left w:val="nil"/>
              <w:bottom w:val="single" w:sz="4" w:space="0" w:color="000000"/>
              <w:right w:val="single" w:sz="4" w:space="0" w:color="000000"/>
            </w:tcBorders>
            <w:shd w:val="clear" w:color="auto" w:fill="auto"/>
            <w:vAlign w:val="center"/>
          </w:tcPr>
          <w:p w14:paraId="3E727476" w14:textId="77777777" w:rsidR="00032FC2" w:rsidRPr="00D134EB" w:rsidRDefault="00032FC2" w:rsidP="00A948B5">
            <w:pPr>
              <w:spacing w:line="240" w:lineRule="auto"/>
              <w:jc w:val="center"/>
              <w:rPr>
                <w:rFonts w:ascii="Times New Roman" w:eastAsia="Times New Roman" w:hAnsi="Times New Roman" w:cs="Times New Roman"/>
                <w:b/>
                <w:sz w:val="20"/>
                <w:szCs w:val="20"/>
              </w:rPr>
            </w:pPr>
            <w:r w:rsidRPr="00D134EB">
              <w:rPr>
                <w:rFonts w:ascii="Times New Roman" w:eastAsia="Times New Roman" w:hAnsi="Times New Roman" w:cs="Times New Roman"/>
                <w:b/>
                <w:sz w:val="20"/>
                <w:szCs w:val="20"/>
              </w:rPr>
              <w:t>MUNICIPIOS</w:t>
            </w:r>
          </w:p>
        </w:tc>
      </w:tr>
      <w:tr w:rsidR="00032FC2" w:rsidRPr="00D134EB" w14:paraId="2C366315" w14:textId="77777777" w:rsidTr="00A948B5">
        <w:trPr>
          <w:trHeight w:val="340"/>
        </w:trPr>
        <w:tc>
          <w:tcPr>
            <w:tcW w:w="1305" w:type="dxa"/>
            <w:vMerge w:val="restart"/>
            <w:tcBorders>
              <w:top w:val="nil"/>
              <w:left w:val="single" w:sz="4" w:space="0" w:color="000000"/>
              <w:bottom w:val="single" w:sz="4" w:space="0" w:color="000000"/>
              <w:right w:val="single" w:sz="4" w:space="0" w:color="000000"/>
            </w:tcBorders>
            <w:shd w:val="clear" w:color="auto" w:fill="auto"/>
            <w:vAlign w:val="center"/>
          </w:tcPr>
          <w:p w14:paraId="0F91BD35"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2022</w:t>
            </w:r>
          </w:p>
        </w:tc>
        <w:tc>
          <w:tcPr>
            <w:tcW w:w="2940" w:type="dxa"/>
            <w:tcBorders>
              <w:top w:val="nil"/>
              <w:left w:val="nil"/>
              <w:bottom w:val="single" w:sz="4" w:space="0" w:color="000000"/>
              <w:right w:val="single" w:sz="4" w:space="0" w:color="000000"/>
            </w:tcBorders>
            <w:shd w:val="clear" w:color="auto" w:fill="auto"/>
            <w:vAlign w:val="center"/>
          </w:tcPr>
          <w:p w14:paraId="65145153"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Sacúdete</w:t>
            </w:r>
          </w:p>
        </w:tc>
        <w:tc>
          <w:tcPr>
            <w:tcW w:w="1560" w:type="dxa"/>
            <w:tcBorders>
              <w:top w:val="nil"/>
              <w:left w:val="nil"/>
              <w:bottom w:val="single" w:sz="4" w:space="0" w:color="000000"/>
              <w:right w:val="single" w:sz="4" w:space="0" w:color="000000"/>
            </w:tcBorders>
            <w:shd w:val="clear" w:color="auto" w:fill="auto"/>
            <w:vAlign w:val="center"/>
          </w:tcPr>
          <w:p w14:paraId="5780CA66"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182.876</w:t>
            </w:r>
          </w:p>
        </w:tc>
        <w:tc>
          <w:tcPr>
            <w:tcW w:w="1725" w:type="dxa"/>
            <w:tcBorders>
              <w:top w:val="nil"/>
              <w:left w:val="nil"/>
              <w:bottom w:val="single" w:sz="4" w:space="0" w:color="000000"/>
              <w:right w:val="single" w:sz="4" w:space="0" w:color="000000"/>
            </w:tcBorders>
            <w:shd w:val="clear" w:color="auto" w:fill="auto"/>
            <w:vAlign w:val="center"/>
          </w:tcPr>
          <w:p w14:paraId="02E17E74"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$77.148.250.174</w:t>
            </w:r>
          </w:p>
        </w:tc>
        <w:tc>
          <w:tcPr>
            <w:tcW w:w="1515" w:type="dxa"/>
            <w:tcBorders>
              <w:top w:val="nil"/>
              <w:left w:val="nil"/>
              <w:bottom w:val="single" w:sz="4" w:space="0" w:color="000000"/>
              <w:right w:val="single" w:sz="4" w:space="0" w:color="000000"/>
            </w:tcBorders>
            <w:shd w:val="clear" w:color="auto" w:fill="auto"/>
            <w:vAlign w:val="center"/>
          </w:tcPr>
          <w:p w14:paraId="1FBCE1FD"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792</w:t>
            </w:r>
          </w:p>
        </w:tc>
      </w:tr>
      <w:tr w:rsidR="00032FC2" w:rsidRPr="00D134EB" w14:paraId="180A9A1C"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3D83E1A3"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07740F39"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Sacúdete Étnicos</w:t>
            </w:r>
          </w:p>
        </w:tc>
        <w:tc>
          <w:tcPr>
            <w:tcW w:w="1560" w:type="dxa"/>
            <w:tcBorders>
              <w:top w:val="nil"/>
              <w:left w:val="nil"/>
              <w:bottom w:val="single" w:sz="4" w:space="0" w:color="000000"/>
              <w:right w:val="single" w:sz="4" w:space="0" w:color="000000"/>
            </w:tcBorders>
            <w:shd w:val="clear" w:color="auto" w:fill="auto"/>
            <w:vAlign w:val="center"/>
          </w:tcPr>
          <w:p w14:paraId="0A78AB7E"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28.910</w:t>
            </w:r>
          </w:p>
        </w:tc>
        <w:tc>
          <w:tcPr>
            <w:tcW w:w="1725" w:type="dxa"/>
            <w:tcBorders>
              <w:top w:val="nil"/>
              <w:left w:val="nil"/>
              <w:bottom w:val="single" w:sz="4" w:space="0" w:color="000000"/>
              <w:right w:val="single" w:sz="4" w:space="0" w:color="000000"/>
            </w:tcBorders>
            <w:shd w:val="clear" w:color="auto" w:fill="auto"/>
            <w:vAlign w:val="center"/>
          </w:tcPr>
          <w:p w14:paraId="5257B393"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$22.787.945.360</w:t>
            </w:r>
          </w:p>
        </w:tc>
        <w:tc>
          <w:tcPr>
            <w:tcW w:w="1515" w:type="dxa"/>
            <w:tcBorders>
              <w:top w:val="nil"/>
              <w:left w:val="nil"/>
              <w:bottom w:val="single" w:sz="4" w:space="0" w:color="000000"/>
              <w:right w:val="single" w:sz="4" w:space="0" w:color="000000"/>
            </w:tcBorders>
            <w:shd w:val="clear" w:color="auto" w:fill="auto"/>
            <w:vAlign w:val="center"/>
          </w:tcPr>
          <w:p w14:paraId="0990EE17"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244</w:t>
            </w:r>
          </w:p>
        </w:tc>
      </w:tr>
      <w:tr w:rsidR="00032FC2" w:rsidRPr="00D134EB" w14:paraId="46450C7E"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69C6EF06"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0FCCA4A1"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Discapacidad</w:t>
            </w:r>
          </w:p>
        </w:tc>
        <w:tc>
          <w:tcPr>
            <w:tcW w:w="1560" w:type="dxa"/>
            <w:tcBorders>
              <w:top w:val="nil"/>
              <w:left w:val="nil"/>
              <w:bottom w:val="single" w:sz="4" w:space="0" w:color="000000"/>
              <w:right w:val="single" w:sz="4" w:space="0" w:color="000000"/>
            </w:tcBorders>
            <w:shd w:val="clear" w:color="auto" w:fill="auto"/>
            <w:vAlign w:val="center"/>
          </w:tcPr>
          <w:p w14:paraId="38D47A19"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1.521</w:t>
            </w:r>
          </w:p>
        </w:tc>
        <w:tc>
          <w:tcPr>
            <w:tcW w:w="1725" w:type="dxa"/>
            <w:tcBorders>
              <w:top w:val="nil"/>
              <w:left w:val="nil"/>
              <w:bottom w:val="single" w:sz="4" w:space="0" w:color="000000"/>
              <w:right w:val="single" w:sz="4" w:space="0" w:color="000000"/>
            </w:tcBorders>
            <w:shd w:val="clear" w:color="auto" w:fill="auto"/>
            <w:vAlign w:val="center"/>
          </w:tcPr>
          <w:p w14:paraId="4A5CE11B"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$16.069.821.300</w:t>
            </w:r>
          </w:p>
        </w:tc>
        <w:tc>
          <w:tcPr>
            <w:tcW w:w="1515" w:type="dxa"/>
            <w:tcBorders>
              <w:top w:val="nil"/>
              <w:left w:val="nil"/>
              <w:bottom w:val="single" w:sz="4" w:space="0" w:color="000000"/>
              <w:right w:val="single" w:sz="4" w:space="0" w:color="000000"/>
            </w:tcBorders>
            <w:shd w:val="clear" w:color="auto" w:fill="auto"/>
            <w:vAlign w:val="center"/>
          </w:tcPr>
          <w:p w14:paraId="6834A259"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52</w:t>
            </w:r>
          </w:p>
        </w:tc>
      </w:tr>
      <w:tr w:rsidR="00032FC2" w:rsidRPr="00D134EB" w14:paraId="6139CB12"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61FD27A5"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47E6D808"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En la Jugada</w:t>
            </w:r>
          </w:p>
        </w:tc>
        <w:tc>
          <w:tcPr>
            <w:tcW w:w="1560" w:type="dxa"/>
            <w:tcBorders>
              <w:top w:val="nil"/>
              <w:left w:val="nil"/>
              <w:bottom w:val="single" w:sz="4" w:space="0" w:color="000000"/>
              <w:right w:val="single" w:sz="4" w:space="0" w:color="000000"/>
            </w:tcBorders>
            <w:shd w:val="clear" w:color="auto" w:fill="auto"/>
            <w:vAlign w:val="center"/>
          </w:tcPr>
          <w:p w14:paraId="7DFA84BE"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5.050</w:t>
            </w:r>
          </w:p>
        </w:tc>
        <w:tc>
          <w:tcPr>
            <w:tcW w:w="1725" w:type="dxa"/>
            <w:tcBorders>
              <w:top w:val="nil"/>
              <w:left w:val="nil"/>
              <w:bottom w:val="single" w:sz="4" w:space="0" w:color="000000"/>
              <w:right w:val="single" w:sz="4" w:space="0" w:color="000000"/>
            </w:tcBorders>
            <w:shd w:val="clear" w:color="auto" w:fill="auto"/>
            <w:vAlign w:val="center"/>
          </w:tcPr>
          <w:p w14:paraId="0EC36510"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$6.313.451.275</w:t>
            </w:r>
          </w:p>
        </w:tc>
        <w:tc>
          <w:tcPr>
            <w:tcW w:w="1515" w:type="dxa"/>
            <w:tcBorders>
              <w:top w:val="nil"/>
              <w:left w:val="nil"/>
              <w:bottom w:val="single" w:sz="4" w:space="0" w:color="000000"/>
              <w:right w:val="single" w:sz="4" w:space="0" w:color="000000"/>
            </w:tcBorders>
            <w:shd w:val="clear" w:color="auto" w:fill="auto"/>
            <w:vAlign w:val="center"/>
          </w:tcPr>
          <w:p w14:paraId="7908C9FC"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48</w:t>
            </w:r>
          </w:p>
        </w:tc>
      </w:tr>
      <w:tr w:rsidR="00032FC2" w:rsidRPr="00D134EB" w14:paraId="49B8B6DE" w14:textId="77777777" w:rsidTr="00A948B5">
        <w:trPr>
          <w:trHeight w:val="34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01305B91"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37357DFA"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 xml:space="preserve">Generación Explora </w:t>
            </w:r>
          </w:p>
        </w:tc>
        <w:tc>
          <w:tcPr>
            <w:tcW w:w="1560" w:type="dxa"/>
            <w:tcBorders>
              <w:top w:val="nil"/>
              <w:left w:val="nil"/>
              <w:bottom w:val="single" w:sz="4" w:space="0" w:color="000000"/>
              <w:right w:val="single" w:sz="4" w:space="0" w:color="000000"/>
            </w:tcBorders>
            <w:shd w:val="clear" w:color="auto" w:fill="auto"/>
            <w:vAlign w:val="center"/>
          </w:tcPr>
          <w:p w14:paraId="1A2EB16C"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112.000</w:t>
            </w:r>
          </w:p>
        </w:tc>
        <w:tc>
          <w:tcPr>
            <w:tcW w:w="1725" w:type="dxa"/>
            <w:tcBorders>
              <w:top w:val="nil"/>
              <w:left w:val="nil"/>
              <w:bottom w:val="single" w:sz="4" w:space="0" w:color="000000"/>
              <w:right w:val="single" w:sz="4" w:space="0" w:color="000000"/>
            </w:tcBorders>
            <w:shd w:val="clear" w:color="auto" w:fill="auto"/>
            <w:vAlign w:val="center"/>
          </w:tcPr>
          <w:p w14:paraId="0C5933C2"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$91.476.420.851</w:t>
            </w:r>
          </w:p>
        </w:tc>
        <w:tc>
          <w:tcPr>
            <w:tcW w:w="1515" w:type="dxa"/>
            <w:tcBorders>
              <w:top w:val="nil"/>
              <w:left w:val="nil"/>
              <w:bottom w:val="single" w:sz="4" w:space="0" w:color="000000"/>
              <w:right w:val="single" w:sz="4" w:space="0" w:color="000000"/>
            </w:tcBorders>
            <w:shd w:val="clear" w:color="auto" w:fill="auto"/>
            <w:vAlign w:val="center"/>
          </w:tcPr>
          <w:p w14:paraId="552363CE"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906</w:t>
            </w:r>
          </w:p>
        </w:tc>
      </w:tr>
      <w:tr w:rsidR="00032FC2" w:rsidRPr="00D134EB" w14:paraId="3641CEF8"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4E4C451B"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5F03EA35" w14:textId="77777777" w:rsidR="00032FC2" w:rsidRPr="00D134EB" w:rsidRDefault="00032FC2" w:rsidP="00A948B5">
            <w:pPr>
              <w:spacing w:line="240" w:lineRule="auto"/>
              <w:rPr>
                <w:rFonts w:ascii="Times New Roman" w:eastAsia="Times New Roman" w:hAnsi="Times New Roman" w:cs="Times New Roman"/>
                <w:sz w:val="20"/>
                <w:szCs w:val="20"/>
              </w:rPr>
            </w:pPr>
            <w:proofErr w:type="spellStart"/>
            <w:r w:rsidRPr="00D134EB">
              <w:rPr>
                <w:rFonts w:ascii="Times New Roman" w:eastAsia="Times New Roman" w:hAnsi="Times New Roman" w:cs="Times New Roman"/>
                <w:sz w:val="20"/>
                <w:szCs w:val="20"/>
              </w:rPr>
              <w:t>Katünaa</w:t>
            </w:r>
            <w:proofErr w:type="spellEnd"/>
          </w:p>
        </w:tc>
        <w:tc>
          <w:tcPr>
            <w:tcW w:w="1560" w:type="dxa"/>
            <w:tcBorders>
              <w:top w:val="nil"/>
              <w:left w:val="nil"/>
              <w:bottom w:val="single" w:sz="4" w:space="0" w:color="000000"/>
              <w:right w:val="single" w:sz="4" w:space="0" w:color="000000"/>
            </w:tcBorders>
            <w:shd w:val="clear" w:color="auto" w:fill="auto"/>
            <w:vAlign w:val="center"/>
          </w:tcPr>
          <w:p w14:paraId="343CE572"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12.100</w:t>
            </w:r>
          </w:p>
        </w:tc>
        <w:tc>
          <w:tcPr>
            <w:tcW w:w="1725" w:type="dxa"/>
            <w:tcBorders>
              <w:top w:val="nil"/>
              <w:left w:val="nil"/>
              <w:bottom w:val="single" w:sz="4" w:space="0" w:color="000000"/>
              <w:right w:val="single" w:sz="4" w:space="0" w:color="000000"/>
            </w:tcBorders>
            <w:shd w:val="clear" w:color="auto" w:fill="auto"/>
            <w:vAlign w:val="center"/>
          </w:tcPr>
          <w:p w14:paraId="1F3B195D"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$9.905.333.400</w:t>
            </w:r>
          </w:p>
        </w:tc>
        <w:tc>
          <w:tcPr>
            <w:tcW w:w="1515" w:type="dxa"/>
            <w:tcBorders>
              <w:top w:val="nil"/>
              <w:left w:val="nil"/>
              <w:bottom w:val="single" w:sz="4" w:space="0" w:color="000000"/>
              <w:right w:val="single" w:sz="4" w:space="0" w:color="000000"/>
            </w:tcBorders>
            <w:shd w:val="clear" w:color="auto" w:fill="auto"/>
            <w:vAlign w:val="center"/>
          </w:tcPr>
          <w:p w14:paraId="3948BB2F"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96</w:t>
            </w:r>
          </w:p>
        </w:tc>
      </w:tr>
      <w:tr w:rsidR="00032FC2" w:rsidRPr="00D134EB" w14:paraId="49A74FE7"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15ADD238"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486664D1"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Generaciones Étnicas con Bienestar</w:t>
            </w:r>
          </w:p>
        </w:tc>
        <w:tc>
          <w:tcPr>
            <w:tcW w:w="1560" w:type="dxa"/>
            <w:tcBorders>
              <w:top w:val="nil"/>
              <w:left w:val="nil"/>
              <w:bottom w:val="single" w:sz="4" w:space="0" w:color="000000"/>
              <w:right w:val="single" w:sz="4" w:space="0" w:color="000000"/>
            </w:tcBorders>
            <w:shd w:val="clear" w:color="auto" w:fill="auto"/>
            <w:vAlign w:val="center"/>
          </w:tcPr>
          <w:p w14:paraId="1B3681CA"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53.200</w:t>
            </w:r>
          </w:p>
        </w:tc>
        <w:tc>
          <w:tcPr>
            <w:tcW w:w="1725" w:type="dxa"/>
            <w:tcBorders>
              <w:top w:val="nil"/>
              <w:left w:val="nil"/>
              <w:bottom w:val="single" w:sz="4" w:space="0" w:color="000000"/>
              <w:right w:val="single" w:sz="4" w:space="0" w:color="000000"/>
            </w:tcBorders>
            <w:shd w:val="clear" w:color="auto" w:fill="auto"/>
            <w:vAlign w:val="center"/>
          </w:tcPr>
          <w:p w14:paraId="151DF063"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$20.466.910.300</w:t>
            </w:r>
          </w:p>
        </w:tc>
        <w:tc>
          <w:tcPr>
            <w:tcW w:w="1515" w:type="dxa"/>
            <w:tcBorders>
              <w:top w:val="nil"/>
              <w:left w:val="nil"/>
              <w:bottom w:val="single" w:sz="4" w:space="0" w:color="000000"/>
              <w:right w:val="single" w:sz="4" w:space="0" w:color="000000"/>
            </w:tcBorders>
            <w:shd w:val="clear" w:color="auto" w:fill="auto"/>
            <w:vAlign w:val="center"/>
          </w:tcPr>
          <w:p w14:paraId="389BBCD0"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317</w:t>
            </w:r>
          </w:p>
        </w:tc>
      </w:tr>
      <w:tr w:rsidR="00032FC2" w:rsidRPr="00D134EB" w14:paraId="1031A838" w14:textId="77777777" w:rsidTr="00A948B5">
        <w:trPr>
          <w:trHeight w:val="320"/>
        </w:trPr>
        <w:tc>
          <w:tcPr>
            <w:tcW w:w="1305" w:type="dxa"/>
            <w:vMerge/>
            <w:tcBorders>
              <w:top w:val="nil"/>
              <w:left w:val="single" w:sz="4" w:space="0" w:color="000000"/>
              <w:bottom w:val="single" w:sz="4" w:space="0" w:color="000000"/>
              <w:right w:val="single" w:sz="4" w:space="0" w:color="000000"/>
            </w:tcBorders>
            <w:shd w:val="clear" w:color="auto" w:fill="auto"/>
            <w:vAlign w:val="center"/>
          </w:tcPr>
          <w:p w14:paraId="32B130AD" w14:textId="77777777" w:rsidR="00032FC2" w:rsidRPr="00D134EB" w:rsidRDefault="00032FC2" w:rsidP="00A948B5">
            <w:pPr>
              <w:widowControl w:val="0"/>
              <w:rPr>
                <w:rFonts w:ascii="Times New Roman" w:eastAsia="Times New Roman" w:hAnsi="Times New Roman" w:cs="Times New Roman"/>
                <w:sz w:val="24"/>
                <w:szCs w:val="24"/>
              </w:rPr>
            </w:pPr>
          </w:p>
        </w:tc>
        <w:tc>
          <w:tcPr>
            <w:tcW w:w="2940" w:type="dxa"/>
            <w:tcBorders>
              <w:top w:val="nil"/>
              <w:left w:val="nil"/>
              <w:bottom w:val="single" w:sz="4" w:space="0" w:color="000000"/>
              <w:right w:val="single" w:sz="4" w:space="0" w:color="000000"/>
            </w:tcBorders>
            <w:shd w:val="clear" w:color="auto" w:fill="auto"/>
            <w:vAlign w:val="center"/>
          </w:tcPr>
          <w:p w14:paraId="52A53BEE" w14:textId="77777777" w:rsidR="00032FC2" w:rsidRPr="00D134EB" w:rsidRDefault="00032FC2" w:rsidP="00A948B5">
            <w:pPr>
              <w:spacing w:line="240" w:lineRule="auto"/>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De Tú a Tú</w:t>
            </w:r>
          </w:p>
        </w:tc>
        <w:tc>
          <w:tcPr>
            <w:tcW w:w="1560" w:type="dxa"/>
            <w:tcBorders>
              <w:top w:val="nil"/>
              <w:left w:val="nil"/>
              <w:bottom w:val="single" w:sz="4" w:space="0" w:color="000000"/>
              <w:right w:val="single" w:sz="4" w:space="0" w:color="000000"/>
            </w:tcBorders>
            <w:shd w:val="clear" w:color="auto" w:fill="auto"/>
            <w:vAlign w:val="center"/>
          </w:tcPr>
          <w:p w14:paraId="27F9068F"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2.845</w:t>
            </w:r>
          </w:p>
        </w:tc>
        <w:tc>
          <w:tcPr>
            <w:tcW w:w="1725" w:type="dxa"/>
            <w:tcBorders>
              <w:top w:val="nil"/>
              <w:left w:val="nil"/>
              <w:bottom w:val="single" w:sz="4" w:space="0" w:color="000000"/>
              <w:right w:val="single" w:sz="4" w:space="0" w:color="000000"/>
            </w:tcBorders>
            <w:shd w:val="clear" w:color="auto" w:fill="auto"/>
            <w:vAlign w:val="center"/>
          </w:tcPr>
          <w:p w14:paraId="177D6169"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$29.536.221.000</w:t>
            </w:r>
          </w:p>
        </w:tc>
        <w:tc>
          <w:tcPr>
            <w:tcW w:w="1515" w:type="dxa"/>
            <w:tcBorders>
              <w:top w:val="nil"/>
              <w:left w:val="nil"/>
              <w:bottom w:val="single" w:sz="4" w:space="0" w:color="000000"/>
              <w:right w:val="single" w:sz="4" w:space="0" w:color="000000"/>
            </w:tcBorders>
            <w:shd w:val="clear" w:color="auto" w:fill="auto"/>
            <w:vAlign w:val="center"/>
          </w:tcPr>
          <w:p w14:paraId="400EBB3B" w14:textId="77777777" w:rsidR="00032FC2" w:rsidRPr="00D134EB" w:rsidRDefault="00032FC2" w:rsidP="00A948B5">
            <w:pPr>
              <w:spacing w:line="240" w:lineRule="auto"/>
              <w:jc w:val="center"/>
              <w:rPr>
                <w:rFonts w:ascii="Times New Roman" w:eastAsia="Times New Roman" w:hAnsi="Times New Roman" w:cs="Times New Roman"/>
                <w:sz w:val="20"/>
                <w:szCs w:val="20"/>
              </w:rPr>
            </w:pPr>
            <w:r w:rsidRPr="00D134EB">
              <w:rPr>
                <w:rFonts w:ascii="Times New Roman" w:eastAsia="Times New Roman" w:hAnsi="Times New Roman" w:cs="Times New Roman"/>
                <w:sz w:val="20"/>
                <w:szCs w:val="20"/>
              </w:rPr>
              <w:t>53</w:t>
            </w:r>
          </w:p>
        </w:tc>
      </w:tr>
    </w:tbl>
    <w:p w14:paraId="753365A5" w14:textId="4F93C865" w:rsidR="00032FC2" w:rsidRPr="00D134EB" w:rsidRDefault="00032FC2" w:rsidP="00316D49">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Instituto Colombiano de Bienestar Familiar – ICBF, 2022.</w:t>
      </w:r>
    </w:p>
    <w:p w14:paraId="28127407" w14:textId="02FFFA15" w:rsidR="00EB1F73" w:rsidRPr="00D134EB" w:rsidRDefault="00EB1F73" w:rsidP="00EB1F73">
      <w:pPr>
        <w:rPr>
          <w:rFonts w:ascii="Times New Roman" w:hAnsi="Times New Roman" w:cs="Times New Roman"/>
          <w:i/>
          <w:iCs/>
          <w:sz w:val="20"/>
          <w:szCs w:val="20"/>
        </w:rPr>
      </w:pPr>
    </w:p>
    <w:p w14:paraId="1880CA52" w14:textId="3E3EA54B" w:rsidR="00EB1F73" w:rsidRPr="00D134EB" w:rsidRDefault="00EB1F73" w:rsidP="00EB1F73">
      <w:pPr>
        <w:jc w:val="center"/>
        <w:rPr>
          <w:rFonts w:ascii="Times New Roman" w:hAnsi="Times New Roman" w:cs="Times New Roman"/>
          <w:b/>
          <w:bCs/>
          <w:sz w:val="20"/>
          <w:szCs w:val="20"/>
        </w:rPr>
      </w:pPr>
      <w:r w:rsidRPr="00D134EB">
        <w:rPr>
          <w:rFonts w:ascii="Times New Roman" w:hAnsi="Times New Roman" w:cs="Times New Roman"/>
          <w:noProof/>
        </w:rPr>
        <w:lastRenderedPageBreak/>
        <w:drawing>
          <wp:anchor distT="114300" distB="114300" distL="114300" distR="114300" simplePos="0" relativeHeight="251659264" behindDoc="0" locked="0" layoutInCell="1" hidden="0" allowOverlap="1" wp14:anchorId="6566800D" wp14:editId="0A59D521">
            <wp:simplePos x="0" y="0"/>
            <wp:positionH relativeFrom="column">
              <wp:posOffset>771525</wp:posOffset>
            </wp:positionH>
            <wp:positionV relativeFrom="paragraph">
              <wp:posOffset>359240</wp:posOffset>
            </wp:positionV>
            <wp:extent cx="4090988" cy="1975244"/>
            <wp:effectExtent l="0" t="0" r="0" b="0"/>
            <wp:wrapTopAndBottom distT="114300" distB="114300"/>
            <wp:docPr id="21"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0"/>
                    <a:srcRect l="37541" t="49115" r="37375" b="29341"/>
                    <a:stretch>
                      <a:fillRect/>
                    </a:stretch>
                  </pic:blipFill>
                  <pic:spPr>
                    <a:xfrm>
                      <a:off x="0" y="0"/>
                      <a:ext cx="4090988" cy="1975244"/>
                    </a:xfrm>
                    <a:prstGeom prst="rect">
                      <a:avLst/>
                    </a:prstGeom>
                    <a:ln/>
                  </pic:spPr>
                </pic:pic>
              </a:graphicData>
            </a:graphic>
          </wp:anchor>
        </w:drawing>
      </w:r>
      <w:r w:rsidRPr="00D134EB">
        <w:rPr>
          <w:rFonts w:ascii="Times New Roman" w:hAnsi="Times New Roman" w:cs="Times New Roman"/>
          <w:b/>
          <w:bCs/>
          <w:sz w:val="20"/>
          <w:szCs w:val="20"/>
        </w:rPr>
        <w:t>Gráfica 1. Usuarios atendidos a través de la Estrategia de Atención y Prevención de la Desnutrición.</w:t>
      </w:r>
    </w:p>
    <w:p w14:paraId="340A4212" w14:textId="2A0AC79C" w:rsidR="00EB1F73" w:rsidRPr="00D134EB" w:rsidRDefault="00126198" w:rsidP="00EB1F73">
      <w:pPr>
        <w:jc w:val="center"/>
        <w:rPr>
          <w:rFonts w:ascii="Times New Roman" w:hAnsi="Times New Roman" w:cs="Times New Roman"/>
          <w:b/>
          <w:bCs/>
          <w:sz w:val="20"/>
          <w:szCs w:val="20"/>
        </w:rPr>
      </w:pPr>
      <w:r w:rsidRPr="00D134EB">
        <w:rPr>
          <w:rFonts w:ascii="Times New Roman" w:hAnsi="Times New Roman" w:cs="Times New Roman"/>
          <w:noProof/>
        </w:rPr>
        <w:drawing>
          <wp:anchor distT="114300" distB="114300" distL="114300" distR="114300" simplePos="0" relativeHeight="251660288" behindDoc="0" locked="0" layoutInCell="1" hidden="0" allowOverlap="1" wp14:anchorId="6EFB1CFF" wp14:editId="3AE3566B">
            <wp:simplePos x="0" y="0"/>
            <wp:positionH relativeFrom="column">
              <wp:posOffset>1181100</wp:posOffset>
            </wp:positionH>
            <wp:positionV relativeFrom="paragraph">
              <wp:posOffset>2635499</wp:posOffset>
            </wp:positionV>
            <wp:extent cx="3219450" cy="1928988"/>
            <wp:effectExtent l="0" t="0" r="0" b="0"/>
            <wp:wrapTopAndBottom distT="114300" distB="114300"/>
            <wp:docPr id="32"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1"/>
                    <a:srcRect l="39017" t="59818" r="38964" b="16666"/>
                    <a:stretch>
                      <a:fillRect/>
                    </a:stretch>
                  </pic:blipFill>
                  <pic:spPr>
                    <a:xfrm>
                      <a:off x="0" y="0"/>
                      <a:ext cx="3219450" cy="1928988"/>
                    </a:xfrm>
                    <a:prstGeom prst="rect">
                      <a:avLst/>
                    </a:prstGeom>
                    <a:ln/>
                  </pic:spPr>
                </pic:pic>
              </a:graphicData>
            </a:graphic>
          </wp:anchor>
        </w:drawing>
      </w:r>
      <w:r w:rsidR="00EB1F73" w:rsidRPr="00D134EB">
        <w:rPr>
          <w:rFonts w:ascii="Times New Roman" w:hAnsi="Times New Roman" w:cs="Times New Roman"/>
          <w:b/>
          <w:bCs/>
          <w:sz w:val="20"/>
          <w:szCs w:val="20"/>
        </w:rPr>
        <w:t>Gráfica 2. Mejoramiento/Recuperación del estado nutricional en niños y niñas menores de cinco años atendidos en las modalidades de la Estrategia de Atención y Prevención de la Desnutrición.</w:t>
      </w:r>
    </w:p>
    <w:p w14:paraId="695FBF48" w14:textId="359E0967" w:rsidR="00EB1F73" w:rsidRPr="00D134EB" w:rsidRDefault="00EB1F73" w:rsidP="00126198">
      <w:pPr>
        <w:jc w:val="center"/>
        <w:rPr>
          <w:rFonts w:ascii="Times New Roman" w:hAnsi="Times New Roman" w:cs="Times New Roman"/>
          <w:b/>
          <w:bCs/>
          <w:sz w:val="20"/>
          <w:szCs w:val="20"/>
        </w:rPr>
      </w:pPr>
      <w:r w:rsidRPr="00D134EB">
        <w:rPr>
          <w:rFonts w:ascii="Times New Roman" w:hAnsi="Times New Roman" w:cs="Times New Roman"/>
          <w:b/>
          <w:bCs/>
          <w:sz w:val="20"/>
          <w:szCs w:val="20"/>
        </w:rPr>
        <w:t>Gráfica 3. Comportamiento de la Desnutrición aguda en usuarios de servicios de educación inicial ICBF, 2016 a 2022.</w:t>
      </w:r>
    </w:p>
    <w:p w14:paraId="193A1CF4" w14:textId="77777777" w:rsidR="00EB1F73" w:rsidRPr="00D134EB" w:rsidRDefault="00EB1F73" w:rsidP="00EB1F73">
      <w:pPr>
        <w:shd w:val="clear" w:color="auto" w:fill="FFFFFF"/>
        <w:spacing w:after="200"/>
        <w:jc w:val="center"/>
        <w:rPr>
          <w:rFonts w:ascii="Times New Roman" w:eastAsia="Times New Roman" w:hAnsi="Times New Roman" w:cs="Times New Roman"/>
          <w:b/>
          <w:color w:val="212121"/>
          <w:highlight w:val="white"/>
        </w:rPr>
      </w:pPr>
      <w:r w:rsidRPr="00D134EB">
        <w:rPr>
          <w:rFonts w:ascii="Times New Roman" w:eastAsia="Times New Roman" w:hAnsi="Times New Roman" w:cs="Times New Roman"/>
          <w:b/>
          <w:noProof/>
          <w:color w:val="212121"/>
          <w:highlight w:val="white"/>
        </w:rPr>
        <w:drawing>
          <wp:inline distT="114300" distB="114300" distL="114300" distR="114300" wp14:anchorId="7D67D47A" wp14:editId="134F3BAB">
            <wp:extent cx="4535325" cy="1594840"/>
            <wp:effectExtent l="0" t="0" r="0" b="0"/>
            <wp:docPr id="15"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2"/>
                    <a:srcRect l="34053" t="39528" r="35274" b="41592"/>
                    <a:stretch>
                      <a:fillRect/>
                    </a:stretch>
                  </pic:blipFill>
                  <pic:spPr>
                    <a:xfrm>
                      <a:off x="0" y="0"/>
                      <a:ext cx="4535325" cy="1594840"/>
                    </a:xfrm>
                    <a:prstGeom prst="rect">
                      <a:avLst/>
                    </a:prstGeom>
                    <a:ln/>
                  </pic:spPr>
                </pic:pic>
              </a:graphicData>
            </a:graphic>
          </wp:inline>
        </w:drawing>
      </w:r>
    </w:p>
    <w:p w14:paraId="3129ADA7" w14:textId="7390D974" w:rsidR="00EB1F73" w:rsidRPr="00D134EB" w:rsidRDefault="00EB1F73" w:rsidP="00BA67B6">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Instituto Colombiano de Bienestar Familiar, Sistema de información Cuéntame, 2022.</w:t>
      </w:r>
    </w:p>
    <w:p w14:paraId="60DD4B9C" w14:textId="72540328" w:rsidR="00072875" w:rsidRPr="00D134EB" w:rsidRDefault="00072875" w:rsidP="009905F9">
      <w:pPr>
        <w:pStyle w:val="Ttulo1"/>
        <w:spacing w:line="360" w:lineRule="auto"/>
        <w:jc w:val="center"/>
        <w:rPr>
          <w:rFonts w:ascii="Times New Roman" w:hAnsi="Times New Roman" w:cs="Times New Roman"/>
          <w:b/>
          <w:bCs/>
          <w:color w:val="auto"/>
          <w:sz w:val="24"/>
          <w:szCs w:val="24"/>
        </w:rPr>
      </w:pPr>
      <w:bookmarkStart w:id="5" w:name="_Toc116679734"/>
      <w:bookmarkStart w:id="6" w:name="_Toc116977710"/>
      <w:r w:rsidRPr="00D134EB">
        <w:rPr>
          <w:rFonts w:ascii="Times New Roman" w:hAnsi="Times New Roman" w:cs="Times New Roman"/>
          <w:b/>
          <w:bCs/>
          <w:color w:val="auto"/>
          <w:sz w:val="24"/>
          <w:szCs w:val="24"/>
        </w:rPr>
        <w:t xml:space="preserve">Anexo </w:t>
      </w:r>
      <w:r w:rsidR="00C1215B" w:rsidRPr="00D134EB">
        <w:rPr>
          <w:rFonts w:ascii="Times New Roman" w:hAnsi="Times New Roman" w:cs="Times New Roman"/>
          <w:b/>
          <w:bCs/>
          <w:color w:val="auto"/>
          <w:sz w:val="24"/>
          <w:szCs w:val="24"/>
        </w:rPr>
        <w:t>3</w:t>
      </w:r>
      <w:r w:rsidRPr="00D134EB">
        <w:rPr>
          <w:rFonts w:ascii="Times New Roman" w:hAnsi="Times New Roman" w:cs="Times New Roman"/>
          <w:b/>
          <w:bCs/>
          <w:color w:val="auto"/>
          <w:sz w:val="24"/>
          <w:szCs w:val="24"/>
        </w:rPr>
        <w:t>. Departamento para la Prosperidad Social</w:t>
      </w:r>
      <w:bookmarkEnd w:id="5"/>
      <w:bookmarkEnd w:id="6"/>
    </w:p>
    <w:p w14:paraId="656231DD" w14:textId="18203441" w:rsidR="0084007B" w:rsidRPr="00D134EB" w:rsidRDefault="0084007B" w:rsidP="00BF5352">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Programas liderados por Prosperidad Social, que brindan servicios de apoyo a las familias</w:t>
      </w:r>
    </w:p>
    <w:tbl>
      <w:tblPr>
        <w:tblW w:w="0" w:type="auto"/>
        <w:tblCellMar>
          <w:top w:w="15" w:type="dxa"/>
          <w:left w:w="15" w:type="dxa"/>
          <w:bottom w:w="15" w:type="dxa"/>
          <w:right w:w="15" w:type="dxa"/>
        </w:tblCellMar>
        <w:tblLook w:val="04A0" w:firstRow="1" w:lastRow="0" w:firstColumn="1" w:lastColumn="0" w:noHBand="0" w:noVBand="1"/>
      </w:tblPr>
      <w:tblGrid>
        <w:gridCol w:w="1448"/>
        <w:gridCol w:w="3948"/>
        <w:gridCol w:w="3092"/>
      </w:tblGrid>
      <w:tr w:rsidR="0084007B" w:rsidRPr="00D134EB" w14:paraId="09979152" w14:textId="77777777" w:rsidTr="0084007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4480F" w14:textId="77777777" w:rsidR="0084007B" w:rsidRPr="00D134EB" w:rsidRDefault="0084007B" w:rsidP="0084007B">
            <w:pPr>
              <w:spacing w:after="0" w:line="240" w:lineRule="auto"/>
              <w:jc w:val="center"/>
              <w:rPr>
                <w:rFonts w:ascii="Times New Roman" w:eastAsia="Times New Roman" w:hAnsi="Times New Roman" w:cs="Times New Roman"/>
                <w:b/>
                <w:bCs/>
                <w:sz w:val="20"/>
                <w:szCs w:val="20"/>
                <w:lang w:eastAsia="es-CO"/>
              </w:rPr>
            </w:pPr>
            <w:r w:rsidRPr="00D134EB">
              <w:rPr>
                <w:rFonts w:ascii="Times New Roman" w:eastAsia="Times New Roman" w:hAnsi="Times New Roman" w:cs="Times New Roman"/>
                <w:b/>
                <w:bCs/>
                <w:color w:val="000000"/>
                <w:sz w:val="20"/>
                <w:szCs w:val="20"/>
                <w:lang w:eastAsia="es-CO"/>
              </w:rPr>
              <w:t xml:space="preserve">Programa de asistencia </w:t>
            </w:r>
            <w:r w:rsidRPr="00D134EB">
              <w:rPr>
                <w:rFonts w:ascii="Times New Roman" w:eastAsia="Times New Roman" w:hAnsi="Times New Roman" w:cs="Times New Roman"/>
                <w:b/>
                <w:bCs/>
                <w:color w:val="000000"/>
                <w:sz w:val="20"/>
                <w:szCs w:val="20"/>
                <w:lang w:eastAsia="es-CO"/>
              </w:rPr>
              <w:lastRenderedPageBreak/>
              <w:t>social no contributiva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CD590B" w14:textId="77777777" w:rsidR="0084007B" w:rsidRPr="00D134EB" w:rsidRDefault="0084007B" w:rsidP="0084007B">
            <w:pPr>
              <w:spacing w:after="0" w:line="240" w:lineRule="auto"/>
              <w:jc w:val="center"/>
              <w:rPr>
                <w:rFonts w:ascii="Times New Roman" w:eastAsia="Times New Roman" w:hAnsi="Times New Roman" w:cs="Times New Roman"/>
                <w:b/>
                <w:bCs/>
                <w:sz w:val="20"/>
                <w:szCs w:val="20"/>
                <w:lang w:eastAsia="es-CO"/>
              </w:rPr>
            </w:pPr>
            <w:r w:rsidRPr="00D134EB">
              <w:rPr>
                <w:rFonts w:ascii="Times New Roman" w:eastAsia="Times New Roman" w:hAnsi="Times New Roman" w:cs="Times New Roman"/>
                <w:b/>
                <w:bCs/>
                <w:color w:val="000000"/>
                <w:sz w:val="20"/>
                <w:szCs w:val="20"/>
                <w:lang w:eastAsia="es-CO"/>
              </w:rPr>
              <w:lastRenderedPageBreak/>
              <w:t>Servicios que brinda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DDBC8F" w14:textId="77777777" w:rsidR="0084007B" w:rsidRPr="00D134EB" w:rsidRDefault="0084007B" w:rsidP="0084007B">
            <w:pPr>
              <w:spacing w:after="0" w:line="240" w:lineRule="auto"/>
              <w:jc w:val="center"/>
              <w:rPr>
                <w:rFonts w:ascii="Times New Roman" w:eastAsia="Times New Roman" w:hAnsi="Times New Roman" w:cs="Times New Roman"/>
                <w:b/>
                <w:bCs/>
                <w:sz w:val="20"/>
                <w:szCs w:val="20"/>
                <w:lang w:eastAsia="es-CO"/>
              </w:rPr>
            </w:pPr>
            <w:r w:rsidRPr="00D134EB">
              <w:rPr>
                <w:rFonts w:ascii="Times New Roman" w:eastAsia="Times New Roman" w:hAnsi="Times New Roman" w:cs="Times New Roman"/>
                <w:b/>
                <w:bCs/>
                <w:color w:val="000000"/>
                <w:sz w:val="20"/>
                <w:szCs w:val="20"/>
                <w:lang w:eastAsia="es-CO"/>
              </w:rPr>
              <w:t>Población objetivo</w:t>
            </w:r>
          </w:p>
        </w:tc>
      </w:tr>
      <w:tr w:rsidR="0084007B" w:rsidRPr="00D134EB" w14:paraId="77557F19" w14:textId="77777777" w:rsidTr="0084007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AEA253" w14:textId="77777777" w:rsidR="0084007B" w:rsidRPr="00D134EB" w:rsidRDefault="0084007B" w:rsidP="0084007B">
            <w:pPr>
              <w:spacing w:after="0" w:line="240" w:lineRule="auto"/>
              <w:jc w:val="both"/>
              <w:rPr>
                <w:rFonts w:ascii="Times New Roman" w:eastAsia="Times New Roman" w:hAnsi="Times New Roman" w:cs="Times New Roman"/>
                <w:b/>
                <w:bCs/>
                <w:sz w:val="20"/>
                <w:szCs w:val="20"/>
                <w:lang w:eastAsia="es-CO"/>
              </w:rPr>
            </w:pPr>
            <w:r w:rsidRPr="00D134EB">
              <w:rPr>
                <w:rFonts w:ascii="Times New Roman" w:eastAsia="Times New Roman" w:hAnsi="Times New Roman" w:cs="Times New Roman"/>
                <w:b/>
                <w:bCs/>
                <w:color w:val="000000"/>
                <w:sz w:val="20"/>
                <w:szCs w:val="20"/>
                <w:lang w:eastAsia="es-CO"/>
              </w:rPr>
              <w:t>Colombia Mayor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961215"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Subsidio económico directo: representado en dinero que se gira directamente al adulto mayor beneficiario, por intermedio de los operadores de pago establecidos para tal fin.</w:t>
            </w:r>
          </w:p>
          <w:p w14:paraId="4C4097DB"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Subsidio económico indirecto: recursos girados de manera mensual al Centro de Protección Social al Adulto Mayor (CPSAM) o al Centro Diurno según sea el caso, una vez se haya suscrito convenio entre las partes involucradas. El CPSAM o el Centro Diurno, utiliza la totalidad de los recursos para financiar los servicios sociales básicos y complementarios que presta a los beneficiarios.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0E796F"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Adultos mayores de 70 y más años que se registren en los listados de potenciales beneficiarios del programa por parte de los municipios.</w:t>
            </w:r>
          </w:p>
        </w:tc>
      </w:tr>
      <w:tr w:rsidR="0084007B" w:rsidRPr="00D134EB" w14:paraId="62D49C6C" w14:textId="77777777" w:rsidTr="0084007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F9D1E1" w14:textId="77777777" w:rsidR="0084007B" w:rsidRPr="00D134EB" w:rsidRDefault="0084007B" w:rsidP="0084007B">
            <w:pPr>
              <w:spacing w:after="0" w:line="240" w:lineRule="auto"/>
              <w:jc w:val="both"/>
              <w:rPr>
                <w:rFonts w:ascii="Times New Roman" w:eastAsia="Times New Roman" w:hAnsi="Times New Roman" w:cs="Times New Roman"/>
                <w:b/>
                <w:bCs/>
                <w:sz w:val="20"/>
                <w:szCs w:val="20"/>
                <w:lang w:eastAsia="es-CO"/>
              </w:rPr>
            </w:pPr>
            <w:r w:rsidRPr="00D134EB">
              <w:rPr>
                <w:rFonts w:ascii="Times New Roman" w:eastAsia="Times New Roman" w:hAnsi="Times New Roman" w:cs="Times New Roman"/>
                <w:b/>
                <w:bCs/>
                <w:color w:val="000000"/>
                <w:sz w:val="20"/>
                <w:szCs w:val="20"/>
                <w:lang w:eastAsia="es-CO"/>
              </w:rPr>
              <w:t>IRACA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F55883" w14:textId="77777777" w:rsidR="0084007B" w:rsidRPr="00D134EB" w:rsidRDefault="0084007B" w:rsidP="0084007B">
            <w:pPr>
              <w:numPr>
                <w:ilvl w:val="0"/>
                <w:numId w:val="1"/>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Acompañamiento técnico y social general y especializado. </w:t>
            </w:r>
          </w:p>
          <w:p w14:paraId="0E518723" w14:textId="77777777" w:rsidR="0084007B" w:rsidRPr="00D134EB" w:rsidRDefault="0084007B" w:rsidP="0084007B">
            <w:pPr>
              <w:numPr>
                <w:ilvl w:val="0"/>
                <w:numId w:val="1"/>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Fortalecimiento técnico para la producción de alimentos para el autoconsumo. </w:t>
            </w:r>
          </w:p>
          <w:p w14:paraId="68BA12C5" w14:textId="77777777" w:rsidR="0084007B" w:rsidRPr="00D134EB" w:rsidRDefault="0084007B" w:rsidP="0084007B">
            <w:pPr>
              <w:numPr>
                <w:ilvl w:val="0"/>
                <w:numId w:val="1"/>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Formación en temas empresariales para el fortalecimiento del proyecto productivo. </w:t>
            </w:r>
          </w:p>
          <w:p w14:paraId="456EED3A" w14:textId="77777777" w:rsidR="0084007B" w:rsidRPr="00D134EB" w:rsidRDefault="0084007B" w:rsidP="0084007B">
            <w:pPr>
              <w:numPr>
                <w:ilvl w:val="0"/>
                <w:numId w:val="1"/>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Proyectos de fortalecimiento social y organizacional (incluye iniciativa con impacto comunitario) de seguridad alimentaria y de proyectos productivos implementados en cumplimiento de los acuerdos suscritos con las comunidades. </w:t>
            </w:r>
          </w:p>
          <w:p w14:paraId="4B8FA5DB" w14:textId="77777777" w:rsidR="0084007B" w:rsidRPr="00D134EB" w:rsidRDefault="0084007B" w:rsidP="0084007B">
            <w:pPr>
              <w:numPr>
                <w:ilvl w:val="0"/>
                <w:numId w:val="1"/>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Iniciativa de financiamiento complementario cuando aplique. </w:t>
            </w:r>
          </w:p>
          <w:p w14:paraId="60DAAFF4" w14:textId="77777777" w:rsidR="0084007B" w:rsidRPr="00D134EB" w:rsidRDefault="0084007B" w:rsidP="0084007B">
            <w:pPr>
              <w:numPr>
                <w:ilvl w:val="0"/>
                <w:numId w:val="1"/>
              </w:numPr>
              <w:spacing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Plan de gestión comunitaria y territorial por territorio étnico intervenido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09D04F9"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El programa Iraca está dirigido a hogares de comunidades indígenas y afrocolombianas de especial protección constitucional según autos 004 y 005 de 2009, así como vulnerables y en riesgo de desaparición física y cultural, por causa del conflicto armado.</w:t>
            </w:r>
          </w:p>
        </w:tc>
      </w:tr>
      <w:tr w:rsidR="0084007B" w:rsidRPr="00D134EB" w14:paraId="3536AADB" w14:textId="77777777" w:rsidTr="0084007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81BE84" w14:textId="77777777" w:rsidR="0084007B" w:rsidRPr="00D134EB" w:rsidRDefault="0084007B" w:rsidP="0084007B">
            <w:pPr>
              <w:spacing w:after="0" w:line="240" w:lineRule="auto"/>
              <w:jc w:val="both"/>
              <w:rPr>
                <w:rFonts w:ascii="Times New Roman" w:eastAsia="Times New Roman" w:hAnsi="Times New Roman" w:cs="Times New Roman"/>
                <w:b/>
                <w:bCs/>
                <w:sz w:val="20"/>
                <w:szCs w:val="20"/>
                <w:lang w:eastAsia="es-CO"/>
              </w:rPr>
            </w:pPr>
            <w:proofErr w:type="spellStart"/>
            <w:r w:rsidRPr="00D134EB">
              <w:rPr>
                <w:rFonts w:ascii="Times New Roman" w:eastAsia="Times New Roman" w:hAnsi="Times New Roman" w:cs="Times New Roman"/>
                <w:b/>
                <w:bCs/>
                <w:color w:val="000000"/>
                <w:sz w:val="20"/>
                <w:szCs w:val="20"/>
                <w:lang w:eastAsia="es-CO"/>
              </w:rPr>
              <w:t>ResA</w:t>
            </w:r>
            <w:proofErr w:type="spellEnd"/>
            <w:r w:rsidRPr="00D134EB">
              <w:rPr>
                <w:rFonts w:ascii="Times New Roman" w:eastAsia="Times New Roman" w:hAnsi="Times New Roman" w:cs="Times New Roman"/>
                <w:b/>
                <w:bCs/>
                <w:color w:val="000000"/>
                <w:sz w:val="20"/>
                <w:szCs w:val="20"/>
                <w:lang w:eastAsia="es-CO"/>
              </w:rPr>
              <w:t xml:space="preserve"> (étnico)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69B48"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El programa proporciona los siguientes insumos:</w:t>
            </w:r>
          </w:p>
          <w:p w14:paraId="162FDE05" w14:textId="349D5BF4" w:rsidR="0084007B" w:rsidRPr="00D134EB" w:rsidRDefault="0084007B" w:rsidP="0084007B">
            <w:pPr>
              <w:spacing w:after="0" w:line="240" w:lineRule="auto"/>
              <w:rPr>
                <w:rFonts w:ascii="Times New Roman" w:eastAsia="Times New Roman" w:hAnsi="Times New Roman" w:cs="Times New Roman"/>
                <w:sz w:val="20"/>
                <w:szCs w:val="20"/>
                <w:lang w:eastAsia="es-CO"/>
              </w:rPr>
            </w:pPr>
          </w:p>
          <w:p w14:paraId="45651685" w14:textId="77777777" w:rsidR="0084007B" w:rsidRPr="00D134EB" w:rsidRDefault="0084007B" w:rsidP="0084007B">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Agrícolas para el montaje de huertas para la producción de alimentos</w:t>
            </w:r>
          </w:p>
          <w:p w14:paraId="521DC8B4" w14:textId="77777777" w:rsidR="0084007B" w:rsidRPr="00D134EB" w:rsidRDefault="0084007B" w:rsidP="0084007B">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Estilo de vida saludables (tanque almacenamiento de agua, vajilla, filtro purificador de agua)</w:t>
            </w:r>
          </w:p>
          <w:p w14:paraId="5BA979CE" w14:textId="77777777" w:rsidR="0084007B" w:rsidRPr="00D134EB" w:rsidRDefault="0084007B" w:rsidP="0084007B">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Prácticas demostrativas (menaje)</w:t>
            </w:r>
          </w:p>
          <w:p w14:paraId="0FB2BA91" w14:textId="77777777" w:rsidR="0084007B" w:rsidRPr="00D134EB" w:rsidRDefault="0084007B" w:rsidP="0084007B">
            <w:pPr>
              <w:numPr>
                <w:ilvl w:val="0"/>
                <w:numId w:val="2"/>
              </w:numPr>
              <w:spacing w:after="0"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Huertas demostrativas</w:t>
            </w:r>
          </w:p>
          <w:p w14:paraId="56AC0146" w14:textId="79DF83E8" w:rsidR="0084007B" w:rsidRPr="00D134EB" w:rsidRDefault="0084007B" w:rsidP="0084007B">
            <w:pPr>
              <w:numPr>
                <w:ilvl w:val="0"/>
                <w:numId w:val="2"/>
              </w:numPr>
              <w:spacing w:line="240" w:lineRule="auto"/>
              <w:jc w:val="both"/>
              <w:textAlignment w:val="baseline"/>
              <w:rPr>
                <w:rFonts w:ascii="Times New Roman" w:eastAsia="Times New Roman" w:hAnsi="Times New Roman" w:cs="Times New Roman"/>
                <w:color w:val="000000"/>
                <w:sz w:val="20"/>
                <w:szCs w:val="20"/>
                <w:lang w:eastAsia="es-CO"/>
              </w:rPr>
            </w:pPr>
            <w:r w:rsidRPr="00D134EB">
              <w:rPr>
                <w:rFonts w:ascii="Times New Roman" w:eastAsia="Times New Roman" w:hAnsi="Times New Roman" w:cs="Times New Roman"/>
                <w:color w:val="000000"/>
                <w:sz w:val="20"/>
                <w:szCs w:val="20"/>
                <w:lang w:eastAsia="es-CO"/>
              </w:rPr>
              <w:t>Además, se realiza acompañamiento a los hogares a través de visitas de asistencia técnica, participación en eventos públicos como ferias agroalimentarias y otras actividades propias de la intervención</w:t>
            </w:r>
            <w:r w:rsidR="00AA2FDD" w:rsidRPr="00D134EB">
              <w:rPr>
                <w:rFonts w:ascii="Times New Roman" w:eastAsia="Times New Roman" w:hAnsi="Times New Roman" w:cs="Times New Roman"/>
                <w:color w:val="000000"/>
                <w:sz w:val="20"/>
                <w:szCs w:val="20"/>
                <w:lang w:eastAsia="es-C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B9C7E7" w14:textId="77777777" w:rsidR="0084007B" w:rsidRPr="00D134EB" w:rsidRDefault="0084007B" w:rsidP="0084007B">
            <w:pPr>
              <w:spacing w:after="0" w:line="240" w:lineRule="auto"/>
              <w:jc w:val="both"/>
              <w:rPr>
                <w:rFonts w:ascii="Times New Roman" w:eastAsia="Times New Roman" w:hAnsi="Times New Roman" w:cs="Times New Roman"/>
                <w:sz w:val="20"/>
                <w:szCs w:val="20"/>
                <w:lang w:eastAsia="es-CO"/>
              </w:rPr>
            </w:pPr>
            <w:r w:rsidRPr="00D134EB">
              <w:rPr>
                <w:rFonts w:ascii="Times New Roman" w:eastAsia="Times New Roman" w:hAnsi="Times New Roman" w:cs="Times New Roman"/>
                <w:color w:val="000000"/>
                <w:sz w:val="20"/>
                <w:szCs w:val="20"/>
                <w:lang w:eastAsia="es-CO"/>
              </w:rPr>
              <w:t>Hogares que hagan parte de una comunidad étnica (consejo comunitario, cabildo o resguardo indígena) debidamente acreditada y que haya sido priorizada por Prosperidad Social* Hogares seleccionados por las autoridades étnicas de sus comunidades, de acuerdo con el proceso de concertación realizado con Prosperidad Social.</w:t>
            </w:r>
          </w:p>
        </w:tc>
      </w:tr>
    </w:tbl>
    <w:p w14:paraId="2681601B" w14:textId="04554ECB" w:rsidR="0084007B" w:rsidRPr="00D134EB" w:rsidRDefault="0084007B" w:rsidP="00BF5352">
      <w:pPr>
        <w:jc w:val="center"/>
        <w:rPr>
          <w:rFonts w:ascii="Times New Roman" w:hAnsi="Times New Roman" w:cs="Times New Roman"/>
          <w:sz w:val="20"/>
          <w:szCs w:val="20"/>
        </w:rPr>
      </w:pPr>
    </w:p>
    <w:p w14:paraId="19942807" w14:textId="6F77912B" w:rsidR="00D47839" w:rsidRPr="00D134EB" w:rsidRDefault="00DB4CC3" w:rsidP="009905F9">
      <w:pPr>
        <w:pStyle w:val="Ttulo1"/>
        <w:spacing w:line="360" w:lineRule="auto"/>
        <w:jc w:val="center"/>
        <w:rPr>
          <w:rFonts w:ascii="Times New Roman" w:hAnsi="Times New Roman" w:cs="Times New Roman"/>
          <w:b/>
          <w:bCs/>
          <w:color w:val="auto"/>
          <w:sz w:val="24"/>
          <w:szCs w:val="24"/>
        </w:rPr>
      </w:pPr>
      <w:bookmarkStart w:id="7" w:name="_Toc116679735"/>
      <w:bookmarkStart w:id="8" w:name="_Toc116977711"/>
      <w:r w:rsidRPr="00D134EB">
        <w:rPr>
          <w:rFonts w:ascii="Times New Roman" w:hAnsi="Times New Roman" w:cs="Times New Roman"/>
          <w:b/>
          <w:bCs/>
          <w:color w:val="auto"/>
          <w:sz w:val="24"/>
          <w:szCs w:val="24"/>
        </w:rPr>
        <w:t xml:space="preserve">Anexo </w:t>
      </w:r>
      <w:r w:rsidR="00287D90" w:rsidRPr="00D134EB">
        <w:rPr>
          <w:rFonts w:ascii="Times New Roman" w:hAnsi="Times New Roman" w:cs="Times New Roman"/>
          <w:b/>
          <w:bCs/>
          <w:color w:val="auto"/>
          <w:sz w:val="24"/>
          <w:szCs w:val="24"/>
        </w:rPr>
        <w:t>4</w:t>
      </w:r>
      <w:r w:rsidRPr="00D134EB">
        <w:rPr>
          <w:rFonts w:ascii="Times New Roman" w:hAnsi="Times New Roman" w:cs="Times New Roman"/>
          <w:b/>
          <w:bCs/>
          <w:color w:val="auto"/>
          <w:sz w:val="24"/>
          <w:szCs w:val="24"/>
        </w:rPr>
        <w:t>. Ministerio de Ciencia, Tecnología e Innovación</w:t>
      </w:r>
      <w:bookmarkEnd w:id="7"/>
      <w:bookmarkEnd w:id="8"/>
      <w:r w:rsidR="008E15BC" w:rsidRPr="00D134EB">
        <w:rPr>
          <w:rFonts w:ascii="Times New Roman" w:hAnsi="Times New Roman" w:cs="Times New Roman"/>
          <w:b/>
          <w:bCs/>
          <w:color w:val="auto"/>
          <w:sz w:val="24"/>
          <w:szCs w:val="24"/>
        </w:rPr>
        <w:t xml:space="preserve"> </w:t>
      </w:r>
    </w:p>
    <w:p w14:paraId="02B5AEFE" w14:textId="0D44B141"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Disposiciones jurídicas vigentes que protegen la libertad de investigación científica</w:t>
      </w:r>
    </w:p>
    <w:tbl>
      <w:tblPr>
        <w:tblStyle w:val="Tablaconcuadrcula"/>
        <w:tblW w:w="0" w:type="auto"/>
        <w:tblLook w:val="04A0" w:firstRow="1" w:lastRow="0" w:firstColumn="1" w:lastColumn="0" w:noHBand="0" w:noVBand="1"/>
      </w:tblPr>
      <w:tblGrid>
        <w:gridCol w:w="1681"/>
        <w:gridCol w:w="6807"/>
      </w:tblGrid>
      <w:tr w:rsidR="00DB4CC3" w:rsidRPr="00D134EB" w14:paraId="52552CEE" w14:textId="77777777" w:rsidTr="00DB4CC3">
        <w:tc>
          <w:tcPr>
            <w:tcW w:w="1696" w:type="dxa"/>
          </w:tcPr>
          <w:p w14:paraId="6E44A8AC" w14:textId="76782A07"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NIVEL</w:t>
            </w:r>
          </w:p>
        </w:tc>
        <w:tc>
          <w:tcPr>
            <w:tcW w:w="7132" w:type="dxa"/>
          </w:tcPr>
          <w:p w14:paraId="5B07B91B" w14:textId="18942995"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DISPOSICIONES</w:t>
            </w:r>
          </w:p>
        </w:tc>
      </w:tr>
      <w:tr w:rsidR="00DB4CC3" w:rsidRPr="00D134EB" w14:paraId="5236E251" w14:textId="77777777" w:rsidTr="00DB4CC3">
        <w:tc>
          <w:tcPr>
            <w:tcW w:w="1696" w:type="dxa"/>
          </w:tcPr>
          <w:p w14:paraId="28A9846C" w14:textId="51E9D37D"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lastRenderedPageBreak/>
              <w:t>Internacional</w:t>
            </w:r>
          </w:p>
        </w:tc>
        <w:tc>
          <w:tcPr>
            <w:tcW w:w="7132" w:type="dxa"/>
          </w:tcPr>
          <w:p w14:paraId="0A49F489" w14:textId="7E5C3BFC" w:rsidR="00DB4CC3" w:rsidRPr="00D134EB" w:rsidRDefault="00DB4CC3" w:rsidP="003F2699">
            <w:pPr>
              <w:pStyle w:val="Prrafodelista"/>
              <w:numPr>
                <w:ilvl w:val="0"/>
                <w:numId w:val="4"/>
              </w:numPr>
              <w:jc w:val="both"/>
              <w:rPr>
                <w:rFonts w:ascii="Times New Roman" w:hAnsi="Times New Roman" w:cs="Times New Roman"/>
                <w:sz w:val="20"/>
                <w:szCs w:val="20"/>
              </w:rPr>
            </w:pPr>
            <w:r w:rsidRPr="00D134EB">
              <w:rPr>
                <w:rFonts w:ascii="Times New Roman" w:hAnsi="Times New Roman" w:cs="Times New Roman"/>
                <w:sz w:val="20"/>
                <w:szCs w:val="20"/>
              </w:rPr>
              <w:t>Convenio de París de 1883, para la protección de la propiedad industrial; Convenio de Berna de 1886, para la protección de las obras literarias y artísticas; Convenio de Roma de 1961, sobre la protección de los artistas intérpretes o ejecutantes, los productores de fonogramas y los organismos de radiodifusión; Decisión 345 de 1993. Régimen común sobre derechos de obtentores de variedades vegetales; Decisión 351 de 1993. Régimen común sobre derecho de autor y derechos conexos; Decisión 486 de 2000. Régimen común sobre propiedad industrial; Decisión 689 de 2008, adecuación de determinados artículos de la Decisión 486 – Régimen Común sobre Propiedad Industrial, para permitir el desarrollo y profundización de Derechos de Propiedad Industrial a través de la normativa interna de los Países Miembros.</w:t>
            </w:r>
          </w:p>
        </w:tc>
      </w:tr>
      <w:tr w:rsidR="00DB4CC3" w:rsidRPr="00D134EB" w14:paraId="4BCEA825" w14:textId="77777777" w:rsidTr="00DB4CC3">
        <w:tc>
          <w:tcPr>
            <w:tcW w:w="1696" w:type="dxa"/>
          </w:tcPr>
          <w:p w14:paraId="1E952042" w14:textId="4BCD4DA0"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Constitucional</w:t>
            </w:r>
          </w:p>
        </w:tc>
        <w:tc>
          <w:tcPr>
            <w:tcW w:w="7132" w:type="dxa"/>
          </w:tcPr>
          <w:p w14:paraId="5A034DDB" w14:textId="3E445ED1" w:rsidR="00DB4CC3" w:rsidRPr="00D134EB" w:rsidRDefault="003F2699" w:rsidP="003F2699">
            <w:pPr>
              <w:pStyle w:val="Prrafodelista"/>
              <w:numPr>
                <w:ilvl w:val="0"/>
                <w:numId w:val="4"/>
              </w:numPr>
              <w:jc w:val="both"/>
              <w:rPr>
                <w:rFonts w:ascii="Times New Roman" w:hAnsi="Times New Roman" w:cs="Times New Roman"/>
                <w:sz w:val="20"/>
                <w:szCs w:val="20"/>
              </w:rPr>
            </w:pPr>
            <w:r w:rsidRPr="00D134EB">
              <w:rPr>
                <w:rFonts w:ascii="Times New Roman" w:hAnsi="Times New Roman" w:cs="Times New Roman"/>
                <w:sz w:val="20"/>
                <w:szCs w:val="20"/>
              </w:rPr>
              <w:t>Artículo 61 de la C.P., el cual establece que el Estado protegerá la propiedad intelectual.</w:t>
            </w:r>
          </w:p>
        </w:tc>
      </w:tr>
      <w:tr w:rsidR="00DB4CC3" w:rsidRPr="00D134EB" w14:paraId="2E9FCBBB" w14:textId="77777777" w:rsidTr="00DB4CC3">
        <w:tc>
          <w:tcPr>
            <w:tcW w:w="1696" w:type="dxa"/>
          </w:tcPr>
          <w:p w14:paraId="52156842" w14:textId="3DE69A4B"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Nacional</w:t>
            </w:r>
          </w:p>
        </w:tc>
        <w:tc>
          <w:tcPr>
            <w:tcW w:w="7132" w:type="dxa"/>
          </w:tcPr>
          <w:p w14:paraId="78A7DBFE"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Código de Comercio contenido en el Decreto 410 de 1971 en el libro segundo regula los derechos de propiedad industrial, estando las disposiciones contenidas en esa normatividad suspendidas en virtud de la vigencia del régimen común de propiedad industrial expedido por la Comunidad Andina.</w:t>
            </w:r>
          </w:p>
          <w:p w14:paraId="5AAF9343" w14:textId="77777777" w:rsidR="003F2699" w:rsidRPr="00D134EB" w:rsidRDefault="003F2699" w:rsidP="003F2699">
            <w:pPr>
              <w:pStyle w:val="Prrafodelista"/>
              <w:ind w:left="360"/>
              <w:jc w:val="both"/>
              <w:rPr>
                <w:rFonts w:ascii="Times New Roman" w:hAnsi="Times New Roman" w:cs="Times New Roman"/>
                <w:sz w:val="20"/>
                <w:szCs w:val="20"/>
              </w:rPr>
            </w:pPr>
          </w:p>
          <w:p w14:paraId="1CB15213"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Leyes 23 de 1982 y 44 de 1993 contienen una reglamentación integral en materia de Derecho de Autor, estando varias de sus disposiciones suspendidas como consecuencia de la vigencia del régimen común de derecho de autor expedido por la Comunidad Andina.</w:t>
            </w:r>
          </w:p>
          <w:p w14:paraId="59A6697C" w14:textId="77777777" w:rsidR="003F2699" w:rsidRPr="00D134EB" w:rsidRDefault="003F2699" w:rsidP="003F2699">
            <w:pPr>
              <w:jc w:val="both"/>
              <w:rPr>
                <w:rFonts w:ascii="Times New Roman" w:hAnsi="Times New Roman" w:cs="Times New Roman"/>
                <w:sz w:val="20"/>
                <w:szCs w:val="20"/>
              </w:rPr>
            </w:pPr>
          </w:p>
          <w:p w14:paraId="602997EE"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33 de 1987, a través de la cual Colombia se adhirió al Convenio de Berna de 1886 “para la Protección de las Obras Literarias y Artísticas”. </w:t>
            </w:r>
          </w:p>
          <w:p w14:paraId="36B67627" w14:textId="77777777" w:rsidR="003F2699" w:rsidRPr="00D134EB" w:rsidRDefault="003F2699" w:rsidP="003F2699">
            <w:pPr>
              <w:jc w:val="both"/>
              <w:rPr>
                <w:rFonts w:ascii="Times New Roman" w:hAnsi="Times New Roman" w:cs="Times New Roman"/>
                <w:sz w:val="20"/>
                <w:szCs w:val="20"/>
              </w:rPr>
            </w:pPr>
          </w:p>
          <w:p w14:paraId="10DF9734"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23 de 1992 aprobó el “Convenio para la Protección de los Productores de Fonogramas contra la Reproducción no autorizada de sus Fonogramas, hecho en Ginebra el 29 de octubre de 1971. </w:t>
            </w:r>
          </w:p>
          <w:p w14:paraId="6CB861FB" w14:textId="77777777" w:rsidR="003F2699" w:rsidRPr="00D134EB" w:rsidRDefault="003F2699" w:rsidP="003F2699">
            <w:pPr>
              <w:jc w:val="both"/>
              <w:rPr>
                <w:rFonts w:ascii="Times New Roman" w:hAnsi="Times New Roman" w:cs="Times New Roman"/>
                <w:sz w:val="20"/>
                <w:szCs w:val="20"/>
              </w:rPr>
            </w:pPr>
          </w:p>
          <w:p w14:paraId="7893CDF2"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Convenio para la Protección de la Propiedad Industrial de París de 1883, con las revisiones y actualizaciones de Bruselas de 1900, Washington de 1911, La Haya de 1925, Londres de 1934, Lisboa de 1958, Estocolmo de 1967 y la enmienda de 1979 fue aprobado por Colombia mediante la Ley 178 de 1994, revisada en su constitucionalidad y declarada exequible mediante la sentencia C-002 del año 1996.</w:t>
            </w:r>
          </w:p>
          <w:p w14:paraId="5950AF2E" w14:textId="77777777" w:rsidR="003F2699" w:rsidRPr="00D134EB" w:rsidRDefault="003F2699" w:rsidP="003F2699">
            <w:pPr>
              <w:jc w:val="both"/>
              <w:rPr>
                <w:rFonts w:ascii="Times New Roman" w:hAnsi="Times New Roman" w:cs="Times New Roman"/>
                <w:sz w:val="20"/>
                <w:szCs w:val="20"/>
              </w:rPr>
            </w:pPr>
          </w:p>
          <w:p w14:paraId="075D51B4"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170 de 1994 “por medio de la cual se aprueba el Acuerdo por el que se establece la Organización Mundial de Comercio (OMC), suscrito en Marrakech (Marruecos) el 15 de abril de 1994, sus acuerdos multilaterales anexos y el Acuerdo Plurilateral anexo sobre la Carne de Bovino, cuyo Anexo 1 C. contiene el “Acuerdo sobre los Aspectos de los Derechos de Propiedad Intelectual relacionados con el Comercio” – ADPIC. </w:t>
            </w:r>
          </w:p>
          <w:p w14:paraId="22141FA3" w14:textId="77777777" w:rsidR="003F2699" w:rsidRPr="00D134EB" w:rsidRDefault="003F2699" w:rsidP="003F2699">
            <w:pPr>
              <w:jc w:val="both"/>
              <w:rPr>
                <w:rFonts w:ascii="Times New Roman" w:hAnsi="Times New Roman" w:cs="Times New Roman"/>
                <w:sz w:val="20"/>
                <w:szCs w:val="20"/>
              </w:rPr>
            </w:pPr>
          </w:p>
          <w:p w14:paraId="790E815C"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243 de 1995 aprobó el Convenio Internacional para la Protección de las Obtenciones Vegetales, UPOV, del 2 de diciembre de 1961, revisado en Ginebra el 10 de noviembre de 1972 y el 23 de octubre de 1978.</w:t>
            </w:r>
          </w:p>
          <w:p w14:paraId="3C859BC3" w14:textId="77777777" w:rsidR="003F2699" w:rsidRPr="00D134EB" w:rsidRDefault="003F2699" w:rsidP="003F2699">
            <w:pPr>
              <w:jc w:val="both"/>
              <w:rPr>
                <w:rFonts w:ascii="Times New Roman" w:hAnsi="Times New Roman" w:cs="Times New Roman"/>
                <w:sz w:val="20"/>
                <w:szCs w:val="20"/>
              </w:rPr>
            </w:pPr>
          </w:p>
          <w:p w14:paraId="6CB54CB2"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397 de 1997 denominada “Ley General de Cultura” estableció el carácter inalienable e irrenunciable de los derechos de autor y conexos morales y patrimoniales de los autores, actores, directores y dramaturgos.</w:t>
            </w:r>
          </w:p>
          <w:p w14:paraId="024C4619" w14:textId="77777777" w:rsidR="003F2699" w:rsidRPr="00D134EB" w:rsidRDefault="003F2699" w:rsidP="003F2699">
            <w:pPr>
              <w:jc w:val="both"/>
              <w:rPr>
                <w:rFonts w:ascii="Times New Roman" w:hAnsi="Times New Roman" w:cs="Times New Roman"/>
                <w:sz w:val="20"/>
                <w:szCs w:val="20"/>
              </w:rPr>
            </w:pPr>
          </w:p>
          <w:p w14:paraId="4329E341"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463 de 1998 aprobó el “Tratado de cooperación en materia de patentes (PCT), elaborado en Washington el 19 de junio de 1970, enmendado el 28 de septiembre de 1979 y modificado el 3 de febrero de 1984.</w:t>
            </w:r>
          </w:p>
          <w:p w14:paraId="39001AF8" w14:textId="77777777" w:rsidR="003F2699" w:rsidRPr="00D134EB" w:rsidRDefault="003F2699" w:rsidP="003F2699">
            <w:pPr>
              <w:jc w:val="both"/>
              <w:rPr>
                <w:rFonts w:ascii="Times New Roman" w:hAnsi="Times New Roman" w:cs="Times New Roman"/>
                <w:sz w:val="20"/>
                <w:szCs w:val="20"/>
              </w:rPr>
            </w:pPr>
          </w:p>
          <w:p w14:paraId="54176B38"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 xml:space="preserve">Ley 545 de 1999 aprobó el Tratado de la OMPI -Organización Mundial de la Propiedad Intelectual- sobre Interpretación o Ejecución y Fonogramas (WPPT), adoptado en Ginebra el 20 de diciembre de 1996. </w:t>
            </w:r>
          </w:p>
          <w:p w14:paraId="217915FE" w14:textId="77777777" w:rsidR="003F2699" w:rsidRPr="00D134EB" w:rsidRDefault="003F2699" w:rsidP="003F2699">
            <w:pPr>
              <w:jc w:val="both"/>
              <w:rPr>
                <w:rFonts w:ascii="Times New Roman" w:hAnsi="Times New Roman" w:cs="Times New Roman"/>
                <w:sz w:val="20"/>
                <w:szCs w:val="20"/>
              </w:rPr>
            </w:pPr>
          </w:p>
          <w:p w14:paraId="3D4D7229"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565 de 2000 aprobó el “Tratado de la OMPI -Organización Mundial de la Propiedad Intelectual- sobre Derechos de Autor (WCT), adoptado en Ginebra, el 20 de diciembre de 1996.</w:t>
            </w:r>
          </w:p>
          <w:p w14:paraId="5F217445" w14:textId="77777777" w:rsidR="003F2699" w:rsidRPr="00D134EB" w:rsidRDefault="003F2699" w:rsidP="003F2699">
            <w:pPr>
              <w:jc w:val="both"/>
              <w:rPr>
                <w:rFonts w:ascii="Times New Roman" w:hAnsi="Times New Roman" w:cs="Times New Roman"/>
                <w:sz w:val="20"/>
                <w:szCs w:val="20"/>
              </w:rPr>
            </w:pPr>
          </w:p>
          <w:p w14:paraId="2176720E"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1286 del 2009 fortaleció el sistema nacional de ciencia y tecnología, así como también transformó y fortaleció al Instituto Colombiano para el Desarrollo de la Ciencia y la Tecnología “Francisco José de Caldas” -Colciencias-, convirtiéndolo en el Departamento Administrativo de Ciencia, Tecnología e Innovación -Colciencias-, dándole el carácter de organismo principal de la administración pública, rector del sector y del Sistema Nacional de Ciencia, Tecnología e Innovación.</w:t>
            </w:r>
          </w:p>
          <w:p w14:paraId="580247A5" w14:textId="77777777" w:rsidR="003F2699" w:rsidRPr="00D134EB" w:rsidRDefault="003F2699" w:rsidP="003F2699">
            <w:pPr>
              <w:jc w:val="both"/>
              <w:rPr>
                <w:rFonts w:ascii="Times New Roman" w:hAnsi="Times New Roman" w:cs="Times New Roman"/>
                <w:sz w:val="20"/>
                <w:szCs w:val="20"/>
              </w:rPr>
            </w:pPr>
          </w:p>
          <w:p w14:paraId="6A83667F"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1343 del 2009 aprobó el “Tratado sobre el Derecho de Marcas” y su “Reglamento”, adoptados el 27 de octubre de 1994.</w:t>
            </w:r>
          </w:p>
          <w:p w14:paraId="4E000302" w14:textId="77777777" w:rsidR="003F2699" w:rsidRPr="00D134EB" w:rsidRDefault="003F2699" w:rsidP="003F2699">
            <w:pPr>
              <w:jc w:val="both"/>
              <w:rPr>
                <w:rFonts w:ascii="Times New Roman" w:hAnsi="Times New Roman" w:cs="Times New Roman"/>
                <w:sz w:val="20"/>
                <w:szCs w:val="20"/>
              </w:rPr>
            </w:pPr>
          </w:p>
          <w:p w14:paraId="71803AA4"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1403 del 2010, “por el cual se adiciona la Ley 23 de 1982, sobre Derecho de Autor, se establece una remuneración por comunicación pública a los artistas, intérpretes o ejecutantes de obras y grabaciones audiovisuales o “Ley Fanny </w:t>
            </w:r>
            <w:proofErr w:type="spellStart"/>
            <w:r w:rsidRPr="00D134EB">
              <w:rPr>
                <w:rFonts w:ascii="Times New Roman" w:hAnsi="Times New Roman" w:cs="Times New Roman"/>
                <w:sz w:val="20"/>
                <w:szCs w:val="20"/>
              </w:rPr>
              <w:t>Mikey</w:t>
            </w:r>
            <w:proofErr w:type="spellEnd"/>
            <w:r w:rsidRPr="00D134EB">
              <w:rPr>
                <w:rFonts w:ascii="Times New Roman" w:hAnsi="Times New Roman" w:cs="Times New Roman"/>
                <w:sz w:val="20"/>
                <w:szCs w:val="20"/>
              </w:rPr>
              <w:t xml:space="preserve">”. </w:t>
            </w:r>
          </w:p>
          <w:p w14:paraId="5F569A64" w14:textId="77777777" w:rsidR="003F2699" w:rsidRPr="00D134EB" w:rsidRDefault="003F2699" w:rsidP="003F2699">
            <w:pPr>
              <w:jc w:val="both"/>
              <w:rPr>
                <w:rFonts w:ascii="Times New Roman" w:hAnsi="Times New Roman" w:cs="Times New Roman"/>
                <w:sz w:val="20"/>
                <w:szCs w:val="20"/>
              </w:rPr>
            </w:pPr>
          </w:p>
          <w:p w14:paraId="186DCF10"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1455 del 2011 aprueba el “Protocolo concerniente al arreglo de Madrid relativo al Registro Internacional de Marcas”, adoptado en Madrid el 27 de junio de 1989, modificado el 3 de octubre de 2006 y el 12 de noviembre de 2007. </w:t>
            </w:r>
          </w:p>
          <w:p w14:paraId="47AD5F65" w14:textId="77777777" w:rsidR="003F2699" w:rsidRPr="00D134EB" w:rsidRDefault="003F2699" w:rsidP="003F2699">
            <w:pPr>
              <w:jc w:val="both"/>
              <w:rPr>
                <w:rFonts w:ascii="Times New Roman" w:hAnsi="Times New Roman" w:cs="Times New Roman"/>
                <w:sz w:val="20"/>
                <w:szCs w:val="20"/>
              </w:rPr>
            </w:pPr>
          </w:p>
          <w:p w14:paraId="61318393"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Ley 1493 del 2011 creó una contribución especial para fomentar el espectáculo público de las artes escénicas y estableció competencias respecto de las facultades de inspección, vigilancia y control. </w:t>
            </w:r>
          </w:p>
          <w:p w14:paraId="43918F18" w14:textId="77777777" w:rsidR="003F2699" w:rsidRPr="00D134EB" w:rsidRDefault="003F2699" w:rsidP="003F2699">
            <w:pPr>
              <w:jc w:val="both"/>
              <w:rPr>
                <w:rFonts w:ascii="Times New Roman" w:hAnsi="Times New Roman" w:cs="Times New Roman"/>
                <w:sz w:val="20"/>
                <w:szCs w:val="20"/>
              </w:rPr>
            </w:pPr>
          </w:p>
          <w:p w14:paraId="422B6CC0"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1519 del 2012 aprueba el Convenio sobre la Distribución de Señales Portadoras de Programas Transmitidas por Satélite, suscrito en Bruselas en 1974.</w:t>
            </w:r>
          </w:p>
          <w:p w14:paraId="16F7E435" w14:textId="77777777" w:rsidR="003F2699" w:rsidRPr="00D134EB" w:rsidRDefault="003F2699" w:rsidP="003F2699">
            <w:pPr>
              <w:jc w:val="both"/>
              <w:rPr>
                <w:rFonts w:ascii="Times New Roman" w:hAnsi="Times New Roman" w:cs="Times New Roman"/>
                <w:sz w:val="20"/>
                <w:szCs w:val="20"/>
              </w:rPr>
            </w:pPr>
          </w:p>
          <w:p w14:paraId="3EFA92A8"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1648 del 2013, contiene medidas de protección adicionales en materia de propiedad industrial, permitiendo que en procesos diferentes a los penales, las autoridades judiciales y de las superintendencias con competencias jurisdiccionales le soliciten a las personas involucradas en procesos por infracciones a los derechos de propiedad industrial, rendir informes sobre autores de tales comportamientos y elementos utilizados en las mismas y faculta a dichos entes para decretar medidas cautelares.</w:t>
            </w:r>
          </w:p>
          <w:p w14:paraId="2DD902DC" w14:textId="77777777" w:rsidR="003F2699" w:rsidRPr="00D134EB" w:rsidRDefault="003F2699" w:rsidP="003F2699">
            <w:pPr>
              <w:jc w:val="both"/>
              <w:rPr>
                <w:rFonts w:ascii="Times New Roman" w:hAnsi="Times New Roman" w:cs="Times New Roman"/>
                <w:sz w:val="20"/>
                <w:szCs w:val="20"/>
              </w:rPr>
            </w:pPr>
          </w:p>
          <w:p w14:paraId="794F84DD"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Las leyes 812 del 2003, 1151 del 2007, 1450 del 2011 y 1753 del 2015 contienen disposiciones que se refieren a la propiedad intelectual y, especialmente las dos últimas, a aquellos derechos de esta categoría jurídica correspondientes a investigaciones financiadas con dineros del presupuesto nacional. </w:t>
            </w:r>
          </w:p>
          <w:p w14:paraId="7AA91568" w14:textId="77777777" w:rsidR="003F2699" w:rsidRPr="00D134EB" w:rsidRDefault="003F2699" w:rsidP="003F2699">
            <w:pPr>
              <w:jc w:val="both"/>
              <w:rPr>
                <w:rFonts w:ascii="Times New Roman" w:hAnsi="Times New Roman" w:cs="Times New Roman"/>
                <w:sz w:val="20"/>
                <w:szCs w:val="20"/>
              </w:rPr>
            </w:pPr>
          </w:p>
          <w:p w14:paraId="43A73230"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1712 de 2014 define cuales son los eventos en lo que debe entenderse involucradas seguridad y defensa nacional.</w:t>
            </w:r>
          </w:p>
          <w:p w14:paraId="003D3B93" w14:textId="77777777" w:rsidR="003F2699" w:rsidRPr="00D134EB" w:rsidRDefault="003F2699" w:rsidP="003F2699">
            <w:pPr>
              <w:jc w:val="both"/>
              <w:rPr>
                <w:rFonts w:ascii="Times New Roman" w:hAnsi="Times New Roman" w:cs="Times New Roman"/>
                <w:sz w:val="20"/>
                <w:szCs w:val="20"/>
              </w:rPr>
            </w:pPr>
          </w:p>
          <w:p w14:paraId="48232B9A"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1834 de 2017, “por medio de la cual se fomenta la economía creativa – ley naranja.”</w:t>
            </w:r>
          </w:p>
          <w:p w14:paraId="084C8B71" w14:textId="77777777" w:rsidR="003F2699" w:rsidRPr="00D134EB" w:rsidRDefault="003F2699" w:rsidP="003F2699">
            <w:pPr>
              <w:jc w:val="both"/>
              <w:rPr>
                <w:rFonts w:ascii="Times New Roman" w:hAnsi="Times New Roman" w:cs="Times New Roman"/>
                <w:sz w:val="20"/>
                <w:szCs w:val="20"/>
              </w:rPr>
            </w:pPr>
          </w:p>
          <w:p w14:paraId="7B8E1D67" w14:textId="77777777" w:rsidR="003F2699"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Ley 1915 de 2018, “por la cual se modifica la ley 23 de 1982 y se establecen otras disposiciones en materia de derecho de autor y derechos conexos.”</w:t>
            </w:r>
          </w:p>
          <w:p w14:paraId="160AF0D5" w14:textId="77777777" w:rsidR="003F2699" w:rsidRPr="00D134EB" w:rsidRDefault="003F2699" w:rsidP="003F2699">
            <w:pPr>
              <w:jc w:val="both"/>
              <w:rPr>
                <w:rFonts w:ascii="Times New Roman" w:hAnsi="Times New Roman" w:cs="Times New Roman"/>
                <w:sz w:val="20"/>
                <w:szCs w:val="20"/>
              </w:rPr>
            </w:pPr>
          </w:p>
          <w:p w14:paraId="1A4D9D7F" w14:textId="6D970B4F" w:rsidR="00DB4CC3"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Ley 1955 de 2019, Plan Nacional de Desarrollo dispone en sus artículos 167 y 169 sobre bienes intangibles o derechos de propiedad intelectual de las entidades públicas y derechos de propiedad intelectual sobre resultados de programas y proyectos de ciencia, tecnología e innovación y de tecnologías de la información y las comunicaciones financiados con recursos públicos, respectivamente.</w:t>
            </w:r>
          </w:p>
        </w:tc>
      </w:tr>
      <w:tr w:rsidR="00DB4CC3" w:rsidRPr="00D134EB" w14:paraId="339F7DEE" w14:textId="77777777" w:rsidTr="00DB4CC3">
        <w:tc>
          <w:tcPr>
            <w:tcW w:w="1696" w:type="dxa"/>
          </w:tcPr>
          <w:p w14:paraId="4357A06C" w14:textId="72201D27" w:rsidR="00DB4CC3" w:rsidRPr="00D134EB" w:rsidRDefault="00DB4CC3"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lastRenderedPageBreak/>
              <w:t>Interno</w:t>
            </w:r>
          </w:p>
        </w:tc>
        <w:tc>
          <w:tcPr>
            <w:tcW w:w="7132" w:type="dxa"/>
          </w:tcPr>
          <w:p w14:paraId="13B220C2" w14:textId="1BDE0A6C" w:rsidR="00DB4CC3" w:rsidRPr="00D134EB" w:rsidRDefault="003F2699" w:rsidP="003F2699">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Resolución No. 361 de 2020, por la cual se adopta la cláusula de propiedad intelectual a incluir en las convocatorias públicas, invitaciones, contratos y convenios que celebre el Ministerio de Ciencia, Tecnología e Innovación. La anterior cláusula como consecuencia del artículo 169 de la Ley 1955 de 2019 – Plan Nacional de Desarrollo.</w:t>
            </w:r>
          </w:p>
        </w:tc>
      </w:tr>
    </w:tbl>
    <w:p w14:paraId="2733D5A3" w14:textId="77777777" w:rsidR="0012625C" w:rsidRPr="00D134EB" w:rsidRDefault="0012625C" w:rsidP="0012625C">
      <w:pPr>
        <w:rPr>
          <w:rFonts w:ascii="Times New Roman" w:hAnsi="Times New Roman" w:cs="Times New Roman"/>
          <w:b/>
          <w:bCs/>
          <w:sz w:val="20"/>
          <w:szCs w:val="20"/>
        </w:rPr>
      </w:pPr>
    </w:p>
    <w:p w14:paraId="0D8F739E" w14:textId="3F7FDC51" w:rsidR="008E15BC" w:rsidRPr="00D134EB" w:rsidRDefault="008E15BC" w:rsidP="0012625C">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2. Principales avances del Ministerio de Ciencia para conservar, desarrollar y difundir la ciencia y la cultura</w:t>
      </w:r>
    </w:p>
    <w:tbl>
      <w:tblPr>
        <w:tblStyle w:val="Tablaconcuadrcula"/>
        <w:tblW w:w="0" w:type="auto"/>
        <w:tblLook w:val="04A0" w:firstRow="1" w:lastRow="0" w:firstColumn="1" w:lastColumn="0" w:noHBand="0" w:noVBand="1"/>
      </w:tblPr>
      <w:tblGrid>
        <w:gridCol w:w="1663"/>
        <w:gridCol w:w="6825"/>
      </w:tblGrid>
      <w:tr w:rsidR="008E15BC" w:rsidRPr="00D134EB" w14:paraId="537AF7FB" w14:textId="77777777" w:rsidTr="00E906D0">
        <w:tc>
          <w:tcPr>
            <w:tcW w:w="1696" w:type="dxa"/>
          </w:tcPr>
          <w:p w14:paraId="3EF8A4A1" w14:textId="2A70E95B" w:rsidR="008E15BC" w:rsidRPr="00D134EB" w:rsidRDefault="008E15BC" w:rsidP="00DB4CC3">
            <w:pPr>
              <w:jc w:val="center"/>
              <w:rPr>
                <w:rFonts w:ascii="Times New Roman" w:hAnsi="Times New Roman" w:cs="Times New Roman"/>
                <w:b/>
                <w:bCs/>
                <w:sz w:val="20"/>
                <w:szCs w:val="20"/>
              </w:rPr>
            </w:pPr>
            <w:r w:rsidRPr="00D134EB">
              <w:rPr>
                <w:rFonts w:ascii="Times New Roman" w:hAnsi="Times New Roman" w:cs="Times New Roman"/>
                <w:b/>
                <w:bCs/>
                <w:sz w:val="20"/>
                <w:szCs w:val="20"/>
              </w:rPr>
              <w:t>Principales avances del Ministerio de Ciencia, Tecnología e Innovación para conservar, desarrollar y difundir la ciencia y la cultura</w:t>
            </w:r>
          </w:p>
        </w:tc>
        <w:tc>
          <w:tcPr>
            <w:tcW w:w="7132" w:type="dxa"/>
          </w:tcPr>
          <w:p w14:paraId="4321D4EF" w14:textId="4B74540C" w:rsidR="008E15BC" w:rsidRPr="00D134EB" w:rsidRDefault="008E15BC" w:rsidP="008E15BC">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Mediante el Decreto 384 del 8 de marzo 2017, se reglamentó los “mecanismos y procedimientos para postulación y selección de los integrantes del Consejo Nacional de Bioética”, creado mediante la Ley 1374 de 2010.</w:t>
            </w:r>
          </w:p>
          <w:p w14:paraId="03F2A3F4" w14:textId="77777777" w:rsidR="008E15BC" w:rsidRPr="00D134EB" w:rsidRDefault="008E15BC" w:rsidP="008E15BC">
            <w:pPr>
              <w:jc w:val="both"/>
              <w:rPr>
                <w:rFonts w:ascii="Times New Roman" w:hAnsi="Times New Roman" w:cs="Times New Roman"/>
                <w:sz w:val="20"/>
                <w:szCs w:val="20"/>
              </w:rPr>
            </w:pPr>
          </w:p>
          <w:p w14:paraId="0E8873ED" w14:textId="33E74CA6" w:rsidR="008E15BC" w:rsidRPr="00D134EB" w:rsidRDefault="008E15BC" w:rsidP="008E15BC">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 Mediante la expedición de la Resolución 314 del 5 de abril 2018, Colciencias, adoptó la “Política de ética de la investigación, bioética e integridad científica”.</w:t>
            </w:r>
          </w:p>
          <w:p w14:paraId="23D40BFD" w14:textId="77777777" w:rsidR="008E15BC" w:rsidRPr="00D134EB" w:rsidRDefault="008E15BC" w:rsidP="008E15BC">
            <w:pPr>
              <w:jc w:val="both"/>
              <w:rPr>
                <w:rFonts w:ascii="Times New Roman" w:hAnsi="Times New Roman" w:cs="Times New Roman"/>
                <w:sz w:val="20"/>
                <w:szCs w:val="20"/>
              </w:rPr>
            </w:pPr>
          </w:p>
          <w:p w14:paraId="18DCA7ED" w14:textId="3D265A3E" w:rsidR="008E15BC" w:rsidRPr="00D134EB" w:rsidRDefault="008E15BC" w:rsidP="008E15BC">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Mediante el Decreto 1954 del 25 de octubre del 2019, se designan los miembros del Consejo Nacional de Bioética- CNB, cuyo propósito es propender el establecimiento de un diálogo interdisciplinario para formular, articular y resolver los dilemas que plantea la investigación y la intervención sobre la vida, la salud y el medio ambiente, así como la construcción e implementación políticas en los asuntos referentes a la Bioética.  El CNB fue instalado el 27 de febrero 2020 y hasta la fecha se han efectuado 32 sesiones, donde se han realizado conversatorios, documentos y pronunciamiento sobre diversos temas como “la investigación en contexto de Pandemia”, La eutanasia, el aborto, entre muchos otros.</w:t>
            </w:r>
          </w:p>
          <w:p w14:paraId="6422FFB8" w14:textId="77777777" w:rsidR="008E15BC" w:rsidRPr="00D134EB" w:rsidRDefault="008E15BC" w:rsidP="008E15BC">
            <w:pPr>
              <w:jc w:val="both"/>
              <w:rPr>
                <w:rFonts w:ascii="Times New Roman" w:hAnsi="Times New Roman" w:cs="Times New Roman"/>
                <w:sz w:val="20"/>
                <w:szCs w:val="20"/>
              </w:rPr>
            </w:pPr>
          </w:p>
          <w:p w14:paraId="2DB920C5" w14:textId="5BED641B" w:rsidR="008E15BC" w:rsidRPr="00D134EB" w:rsidRDefault="008E15BC" w:rsidP="008E15BC">
            <w:pPr>
              <w:pStyle w:val="Prrafodelista"/>
              <w:numPr>
                <w:ilvl w:val="0"/>
                <w:numId w:val="3"/>
              </w:numPr>
              <w:jc w:val="both"/>
              <w:rPr>
                <w:rFonts w:ascii="Times New Roman" w:hAnsi="Times New Roman" w:cs="Times New Roman"/>
                <w:sz w:val="20"/>
                <w:szCs w:val="20"/>
              </w:rPr>
            </w:pPr>
            <w:proofErr w:type="spellStart"/>
            <w:r w:rsidRPr="00D134EB">
              <w:rPr>
                <w:rFonts w:ascii="Times New Roman" w:hAnsi="Times New Roman" w:cs="Times New Roman"/>
                <w:sz w:val="20"/>
                <w:szCs w:val="20"/>
              </w:rPr>
              <w:t>Minciencias</w:t>
            </w:r>
            <w:proofErr w:type="spellEnd"/>
            <w:r w:rsidRPr="00D134EB">
              <w:rPr>
                <w:rFonts w:ascii="Times New Roman" w:hAnsi="Times New Roman" w:cs="Times New Roman"/>
                <w:sz w:val="20"/>
                <w:szCs w:val="20"/>
              </w:rPr>
              <w:t xml:space="preserve">, con participación de los diversos actores del </w:t>
            </w:r>
            <w:proofErr w:type="spellStart"/>
            <w:r w:rsidRPr="00D134EB">
              <w:rPr>
                <w:rFonts w:ascii="Times New Roman" w:hAnsi="Times New Roman" w:cs="Times New Roman"/>
                <w:sz w:val="20"/>
                <w:szCs w:val="20"/>
              </w:rPr>
              <w:t>SNCeT</w:t>
            </w:r>
            <w:proofErr w:type="spellEnd"/>
            <w:r w:rsidRPr="00D134EB">
              <w:rPr>
                <w:rFonts w:ascii="Times New Roman" w:hAnsi="Times New Roman" w:cs="Times New Roman"/>
                <w:sz w:val="20"/>
                <w:szCs w:val="20"/>
              </w:rPr>
              <w:t xml:space="preserve">, compiló y público, una serie de “Lineamientos para la conformación y funcionamiento de los Comités de Ética de la investigación, para proyectos de áreas del conocimiento diferentes a las biomédicas. </w:t>
            </w:r>
            <w:sdt>
              <w:sdtPr>
                <w:rPr>
                  <w:rFonts w:ascii="Times New Roman" w:hAnsi="Times New Roman" w:cs="Times New Roman"/>
                  <w:sz w:val="20"/>
                  <w:szCs w:val="20"/>
                </w:rPr>
                <w:tag w:val="goog_rdk_63"/>
                <w:id w:val="-769386799"/>
              </w:sdtPr>
              <w:sdtContent/>
            </w:sdt>
            <w:r w:rsidRPr="00D134EB">
              <w:rPr>
                <w:rFonts w:ascii="Times New Roman" w:hAnsi="Times New Roman" w:cs="Times New Roman"/>
                <w:sz w:val="20"/>
                <w:szCs w:val="20"/>
              </w:rPr>
              <w:t>Los Comités de ética de la investigación, constituyen el corazón de la evaluación y aval ético de los proyectos de ciencia, tecnología e innovación, en tanto no vulneran los DDHH.</w:t>
            </w:r>
          </w:p>
          <w:p w14:paraId="322AE0C3" w14:textId="77777777" w:rsidR="008E15BC" w:rsidRPr="00D134EB" w:rsidRDefault="008E15BC" w:rsidP="008E15BC">
            <w:pPr>
              <w:jc w:val="both"/>
              <w:rPr>
                <w:rFonts w:ascii="Times New Roman" w:hAnsi="Times New Roman" w:cs="Times New Roman"/>
                <w:sz w:val="20"/>
                <w:szCs w:val="20"/>
              </w:rPr>
            </w:pPr>
          </w:p>
          <w:p w14:paraId="31FD5F59" w14:textId="392502E9" w:rsidR="008E15BC" w:rsidRPr="00D134EB" w:rsidRDefault="008E15BC" w:rsidP="008E15BC">
            <w:pPr>
              <w:pStyle w:val="Prrafodelista"/>
              <w:numPr>
                <w:ilvl w:val="0"/>
                <w:numId w:val="3"/>
              </w:numPr>
              <w:jc w:val="both"/>
              <w:rPr>
                <w:rFonts w:ascii="Times New Roman" w:hAnsi="Times New Roman" w:cs="Times New Roman"/>
                <w:sz w:val="20"/>
                <w:szCs w:val="20"/>
              </w:rPr>
            </w:pPr>
            <w:proofErr w:type="spellStart"/>
            <w:r w:rsidRPr="00D134EB">
              <w:rPr>
                <w:rFonts w:ascii="Times New Roman" w:hAnsi="Times New Roman" w:cs="Times New Roman"/>
                <w:sz w:val="20"/>
                <w:szCs w:val="20"/>
              </w:rPr>
              <w:t>Minciencias</w:t>
            </w:r>
            <w:proofErr w:type="spellEnd"/>
            <w:r w:rsidRPr="00D134EB">
              <w:rPr>
                <w:rFonts w:ascii="Times New Roman" w:hAnsi="Times New Roman" w:cs="Times New Roman"/>
                <w:sz w:val="20"/>
                <w:szCs w:val="20"/>
              </w:rPr>
              <w:t xml:space="preserve"> elaboró un “Diagnóstico de necesidades de formación en ética de la investigación, bioética e integridad científica”, con la participación de investigadores gestores de CTEI y semilleros de investigación, de las diversas áreas del conocimiento y de todas las regiones del país.  Este diagnóstico permite focalizar acciones de formación para responder a las necesidades detectadas.</w:t>
            </w:r>
          </w:p>
          <w:p w14:paraId="603FB03F" w14:textId="77777777" w:rsidR="008E15BC" w:rsidRPr="00D134EB" w:rsidRDefault="008E15BC" w:rsidP="008E15BC">
            <w:pPr>
              <w:jc w:val="both"/>
              <w:rPr>
                <w:rFonts w:ascii="Times New Roman" w:hAnsi="Times New Roman" w:cs="Times New Roman"/>
                <w:sz w:val="20"/>
                <w:szCs w:val="20"/>
              </w:rPr>
            </w:pPr>
          </w:p>
          <w:p w14:paraId="065955B4" w14:textId="36962562" w:rsidR="008E15BC" w:rsidRPr="00D134EB" w:rsidRDefault="008E15BC" w:rsidP="008E15BC">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Mediante el artículo 7 del Decreto 1666 de 2021 estableció que el Sistema Nacional de Ciencia, Tecnología e Innovación está conformado por instancias del orden nacional y regional y departamental. Que dentro de las instancias del orden nacional del SNCTI se encuentra el Consejo Científico Nacional- CCN como órgano encargado de asesorar al Gobierno Nacional sobre temáticas coyunturales o estructurales de interés, proporcionando recomendaciones desde la ciencia, tecnología e innovación, de acuerdo con lo dispuesto en el artículo 8 del Decreto en mención.</w:t>
            </w:r>
          </w:p>
          <w:p w14:paraId="2C3994B0" w14:textId="77777777" w:rsidR="008E15BC" w:rsidRPr="00D134EB" w:rsidRDefault="008E15BC" w:rsidP="008E15BC">
            <w:pPr>
              <w:jc w:val="both"/>
              <w:rPr>
                <w:rFonts w:ascii="Times New Roman" w:hAnsi="Times New Roman" w:cs="Times New Roman"/>
                <w:sz w:val="20"/>
                <w:szCs w:val="20"/>
              </w:rPr>
            </w:pPr>
          </w:p>
          <w:p w14:paraId="63D091EC" w14:textId="67F7DDE1" w:rsidR="008E15BC" w:rsidRPr="00D134EB" w:rsidRDefault="008E15BC" w:rsidP="00E906D0">
            <w:pPr>
              <w:pStyle w:val="Prrafodelista"/>
              <w:numPr>
                <w:ilvl w:val="0"/>
                <w:numId w:val="3"/>
              </w:numPr>
              <w:ind w:left="456" w:hanging="456"/>
              <w:jc w:val="both"/>
              <w:rPr>
                <w:rFonts w:ascii="Times New Roman" w:hAnsi="Times New Roman" w:cs="Times New Roman"/>
                <w:sz w:val="20"/>
                <w:szCs w:val="20"/>
              </w:rPr>
            </w:pPr>
            <w:r w:rsidRPr="00D134EB">
              <w:rPr>
                <w:rFonts w:ascii="Times New Roman" w:hAnsi="Times New Roman" w:cs="Times New Roman"/>
                <w:sz w:val="20"/>
                <w:szCs w:val="20"/>
              </w:rPr>
              <w:t xml:space="preserve">Con el fin de aportar a la Mundialización del Conocimiento para los actores del </w:t>
            </w:r>
            <w:proofErr w:type="spellStart"/>
            <w:r w:rsidRPr="00D134EB">
              <w:rPr>
                <w:rFonts w:ascii="Times New Roman" w:hAnsi="Times New Roman" w:cs="Times New Roman"/>
                <w:sz w:val="20"/>
                <w:szCs w:val="20"/>
              </w:rPr>
              <w:t>SNCTeI</w:t>
            </w:r>
            <w:proofErr w:type="spellEnd"/>
            <w:r w:rsidRPr="00D134EB">
              <w:rPr>
                <w:rFonts w:ascii="Times New Roman" w:hAnsi="Times New Roman" w:cs="Times New Roman"/>
                <w:sz w:val="20"/>
                <w:szCs w:val="20"/>
              </w:rPr>
              <w:t xml:space="preserve"> en Colombia, desde el </w:t>
            </w:r>
            <w:proofErr w:type="spellStart"/>
            <w:r w:rsidRPr="00D134EB">
              <w:rPr>
                <w:rFonts w:ascii="Times New Roman" w:hAnsi="Times New Roman" w:cs="Times New Roman"/>
                <w:sz w:val="20"/>
                <w:szCs w:val="20"/>
              </w:rPr>
              <w:t>MinCiencias</w:t>
            </w:r>
            <w:proofErr w:type="spellEnd"/>
            <w:r w:rsidRPr="00D134EB">
              <w:rPr>
                <w:rFonts w:ascii="Times New Roman" w:hAnsi="Times New Roman" w:cs="Times New Roman"/>
                <w:sz w:val="20"/>
                <w:szCs w:val="20"/>
              </w:rPr>
              <w:t xml:space="preserve">, se adoptó como objetivo estratégico del Plan estratégico institucional 2019-2022: “Aumentar la producción de conocimiento científico y tecnológico de alto impacto en articulación con aliados estratégicos nacionales e internacionales, promoviendo también el posicionamiento y la participación de los actores del </w:t>
            </w:r>
            <w:proofErr w:type="spellStart"/>
            <w:r w:rsidRPr="00D134EB">
              <w:rPr>
                <w:rFonts w:ascii="Times New Roman" w:hAnsi="Times New Roman" w:cs="Times New Roman"/>
                <w:sz w:val="20"/>
                <w:szCs w:val="20"/>
              </w:rPr>
              <w:t>SNCTeI</w:t>
            </w:r>
            <w:proofErr w:type="spellEnd"/>
            <w:r w:rsidRPr="00D134EB">
              <w:rPr>
                <w:rFonts w:ascii="Times New Roman" w:hAnsi="Times New Roman" w:cs="Times New Roman"/>
                <w:sz w:val="20"/>
                <w:szCs w:val="20"/>
              </w:rPr>
              <w:t xml:space="preserve"> en redes e iniciativas de cooperación e internacionalización de la CTI. De allí que se adelanten acciones para el Posicionamiento, </w:t>
            </w:r>
            <w:proofErr w:type="spellStart"/>
            <w:r w:rsidRPr="00D134EB">
              <w:rPr>
                <w:rFonts w:ascii="Times New Roman" w:hAnsi="Times New Roman" w:cs="Times New Roman"/>
                <w:sz w:val="20"/>
                <w:szCs w:val="20"/>
              </w:rPr>
              <w:t>visibilización</w:t>
            </w:r>
            <w:proofErr w:type="spellEnd"/>
            <w:r w:rsidRPr="00D134EB">
              <w:rPr>
                <w:rFonts w:ascii="Times New Roman" w:hAnsi="Times New Roman" w:cs="Times New Roman"/>
                <w:sz w:val="20"/>
                <w:szCs w:val="20"/>
              </w:rPr>
              <w:t xml:space="preserve"> y articulación de la </w:t>
            </w:r>
            <w:proofErr w:type="spellStart"/>
            <w:r w:rsidRPr="00D134EB">
              <w:rPr>
                <w:rFonts w:ascii="Times New Roman" w:hAnsi="Times New Roman" w:cs="Times New Roman"/>
                <w:sz w:val="20"/>
                <w:szCs w:val="20"/>
              </w:rPr>
              <w:t>CTeI</w:t>
            </w:r>
            <w:proofErr w:type="spellEnd"/>
            <w:r w:rsidRPr="00D134EB">
              <w:rPr>
                <w:rFonts w:ascii="Times New Roman" w:hAnsi="Times New Roman" w:cs="Times New Roman"/>
                <w:sz w:val="20"/>
                <w:szCs w:val="20"/>
              </w:rPr>
              <w:t xml:space="preserve"> con actores internacionales, destacando los avances alcanzados durante 2022 en el desarrollo de actividades relacionadas con la formulación y el diseño de la política de internacionalización de la </w:t>
            </w:r>
            <w:proofErr w:type="spellStart"/>
            <w:r w:rsidRPr="00D134EB">
              <w:rPr>
                <w:rFonts w:ascii="Times New Roman" w:hAnsi="Times New Roman" w:cs="Times New Roman"/>
                <w:sz w:val="20"/>
                <w:szCs w:val="20"/>
              </w:rPr>
              <w:t>CTeI</w:t>
            </w:r>
            <w:proofErr w:type="spellEnd"/>
            <w:r w:rsidRPr="00D134EB">
              <w:rPr>
                <w:rFonts w:ascii="Times New Roman" w:hAnsi="Times New Roman" w:cs="Times New Roman"/>
                <w:sz w:val="20"/>
                <w:szCs w:val="20"/>
              </w:rPr>
              <w:t xml:space="preserve">, la cual dictará los lineamientos, las prioridades, las herramientas y los instrumentos que direccionarán la acción y el relacionamiento internacional del </w:t>
            </w:r>
            <w:proofErr w:type="spellStart"/>
            <w:r w:rsidRPr="00D134EB">
              <w:rPr>
                <w:rFonts w:ascii="Times New Roman" w:hAnsi="Times New Roman" w:cs="Times New Roman"/>
                <w:sz w:val="20"/>
                <w:szCs w:val="20"/>
              </w:rPr>
              <w:t>MinCiencias</w:t>
            </w:r>
            <w:proofErr w:type="spellEnd"/>
            <w:r w:rsidRPr="00D134EB">
              <w:rPr>
                <w:rFonts w:ascii="Times New Roman" w:hAnsi="Times New Roman" w:cs="Times New Roman"/>
                <w:sz w:val="20"/>
                <w:szCs w:val="20"/>
              </w:rPr>
              <w:t>.</w:t>
            </w:r>
          </w:p>
        </w:tc>
      </w:tr>
    </w:tbl>
    <w:p w14:paraId="1C54B1F1" w14:textId="53532E18" w:rsidR="008E15BC" w:rsidRPr="00D134EB" w:rsidRDefault="008E15BC" w:rsidP="00DB4CC3">
      <w:pPr>
        <w:jc w:val="center"/>
        <w:rPr>
          <w:rFonts w:ascii="Times New Roman" w:hAnsi="Times New Roman" w:cs="Times New Roman"/>
          <w:b/>
          <w:bCs/>
          <w:sz w:val="20"/>
          <w:szCs w:val="20"/>
        </w:rPr>
      </w:pPr>
    </w:p>
    <w:p w14:paraId="5B9FC962" w14:textId="61CCA9DA" w:rsidR="00B33235" w:rsidRPr="00D134EB" w:rsidRDefault="00B33235" w:rsidP="009905F9">
      <w:pPr>
        <w:pStyle w:val="Ttulo1"/>
        <w:spacing w:line="360" w:lineRule="auto"/>
        <w:jc w:val="center"/>
        <w:rPr>
          <w:rFonts w:ascii="Times New Roman" w:hAnsi="Times New Roman" w:cs="Times New Roman"/>
          <w:b/>
          <w:bCs/>
          <w:color w:val="auto"/>
          <w:sz w:val="24"/>
          <w:szCs w:val="24"/>
        </w:rPr>
      </w:pPr>
      <w:bookmarkStart w:id="9" w:name="_Toc116679736"/>
      <w:bookmarkStart w:id="10" w:name="_Toc116977712"/>
      <w:r w:rsidRPr="00D134EB">
        <w:rPr>
          <w:rFonts w:ascii="Times New Roman" w:hAnsi="Times New Roman" w:cs="Times New Roman"/>
          <w:b/>
          <w:bCs/>
          <w:color w:val="auto"/>
          <w:sz w:val="24"/>
          <w:szCs w:val="24"/>
        </w:rPr>
        <w:t xml:space="preserve">Anexo </w:t>
      </w:r>
      <w:r w:rsidR="004A4F22" w:rsidRPr="00D134EB">
        <w:rPr>
          <w:rFonts w:ascii="Times New Roman" w:hAnsi="Times New Roman" w:cs="Times New Roman"/>
          <w:b/>
          <w:bCs/>
          <w:color w:val="auto"/>
          <w:sz w:val="24"/>
          <w:szCs w:val="24"/>
        </w:rPr>
        <w:t>5</w:t>
      </w:r>
      <w:r w:rsidRPr="00D134EB">
        <w:rPr>
          <w:rFonts w:ascii="Times New Roman" w:hAnsi="Times New Roman" w:cs="Times New Roman"/>
          <w:b/>
          <w:bCs/>
          <w:color w:val="auto"/>
          <w:sz w:val="24"/>
          <w:szCs w:val="24"/>
        </w:rPr>
        <w:t>. Comisión Intersectorial de Seguridad Alimentaria y Nutricional (CISAN)</w:t>
      </w:r>
      <w:bookmarkEnd w:id="9"/>
      <w:bookmarkEnd w:id="10"/>
    </w:p>
    <w:p w14:paraId="4A4AECFF" w14:textId="7830E138" w:rsidR="00B33235" w:rsidRPr="00D134EB" w:rsidRDefault="00B33235" w:rsidP="00535D61">
      <w:pPr>
        <w:pStyle w:val="Prrafodelista"/>
        <w:ind w:left="360"/>
        <w:jc w:val="center"/>
        <w:rPr>
          <w:rFonts w:ascii="Times New Roman" w:hAnsi="Times New Roman" w:cs="Times New Roman"/>
          <w:b/>
          <w:bCs/>
          <w:sz w:val="20"/>
          <w:szCs w:val="20"/>
        </w:rPr>
      </w:pPr>
      <w:r w:rsidRPr="00D134EB">
        <w:rPr>
          <w:rFonts w:ascii="Times New Roman" w:hAnsi="Times New Roman" w:cs="Times New Roman"/>
          <w:b/>
          <w:bCs/>
          <w:sz w:val="20"/>
          <w:szCs w:val="20"/>
        </w:rPr>
        <w:t>Tabla 1. Logros y avances por cada una de las estrategias y líneas de acción del Plan Nacional Rural del Sistema para la Garantía Progresiva del Derecho Humano a la Alimentación – SGPDHA</w:t>
      </w:r>
      <w:r w:rsidR="00E92DA3" w:rsidRPr="00D134EB">
        <w:rPr>
          <w:rStyle w:val="Refdenotaalpie"/>
          <w:rFonts w:cs="Times New Roman"/>
          <w:b/>
          <w:bCs/>
          <w:szCs w:val="20"/>
        </w:rPr>
        <w:footnoteReference w:id="1"/>
      </w:r>
    </w:p>
    <w:p w14:paraId="063D0B85" w14:textId="77777777" w:rsidR="00535D61" w:rsidRPr="00D134EB" w:rsidRDefault="00535D61" w:rsidP="00535D61">
      <w:pPr>
        <w:pStyle w:val="Prrafodelista"/>
        <w:ind w:left="360"/>
        <w:jc w:val="center"/>
        <w:rPr>
          <w:rFonts w:ascii="Times New Roman" w:hAnsi="Times New Roman" w:cs="Times New Roman"/>
          <w:b/>
          <w:bCs/>
          <w:sz w:val="20"/>
          <w:szCs w:val="20"/>
        </w:rPr>
      </w:pPr>
    </w:p>
    <w:tbl>
      <w:tblPr>
        <w:tblStyle w:val="Tablaconcuadrcula"/>
        <w:tblW w:w="0" w:type="auto"/>
        <w:tblLook w:val="04A0" w:firstRow="1" w:lastRow="0" w:firstColumn="1" w:lastColumn="0" w:noHBand="0" w:noVBand="1"/>
      </w:tblPr>
      <w:tblGrid>
        <w:gridCol w:w="1649"/>
        <w:gridCol w:w="6839"/>
      </w:tblGrid>
      <w:tr w:rsidR="0004703C" w:rsidRPr="00D134EB" w14:paraId="76533F4B" w14:textId="77777777" w:rsidTr="0004703C">
        <w:tc>
          <w:tcPr>
            <w:tcW w:w="1555" w:type="dxa"/>
            <w:vMerge w:val="restart"/>
          </w:tcPr>
          <w:p w14:paraId="500366F3" w14:textId="77777777" w:rsidR="0004703C" w:rsidRPr="00D134EB" w:rsidRDefault="0004703C" w:rsidP="00B33235">
            <w:pPr>
              <w:jc w:val="both"/>
              <w:rPr>
                <w:rFonts w:ascii="Times New Roman" w:hAnsi="Times New Roman" w:cs="Times New Roman"/>
                <w:b/>
                <w:bCs/>
                <w:sz w:val="20"/>
                <w:szCs w:val="20"/>
              </w:rPr>
            </w:pPr>
            <w:r w:rsidRPr="00D134EB">
              <w:rPr>
                <w:rFonts w:ascii="Times New Roman" w:hAnsi="Times New Roman" w:cs="Times New Roman"/>
                <w:b/>
                <w:bCs/>
                <w:sz w:val="20"/>
                <w:szCs w:val="20"/>
              </w:rPr>
              <w:t>Estrategia 1. Implementar el Sistema de Garantía Progresiva del Derecho Humano a la Alimentación en los territorios rurales que incentive y afiance la coordinación y la participación ciudadana.</w:t>
            </w:r>
          </w:p>
          <w:p w14:paraId="3063A68F"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3D87EC8E" w14:textId="77777777" w:rsidR="0004703C" w:rsidRPr="00D134EB" w:rsidRDefault="0004703C" w:rsidP="00B33235">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1.1. Estrategia de asistencia técnica dirigida a los comités municipales y departamentales de SAN.</w:t>
            </w:r>
          </w:p>
          <w:p w14:paraId="228ACF0A" w14:textId="77777777" w:rsidR="0004703C" w:rsidRPr="00D134EB" w:rsidRDefault="0004703C" w:rsidP="00B33235">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Implementación con los comités departamentales de Amazonas, Bolívar, Huila, Sucre y Cauca por parte del ICBF. El DPS lo hizo en los comités de Atlántico, Cesar, Boyacá, Magdalena y Putumayo, para un total de 10 departamentos.</w:t>
            </w:r>
          </w:p>
          <w:p w14:paraId="79F99197" w14:textId="4DA10E4E" w:rsidR="0004703C" w:rsidRPr="00D134EB" w:rsidRDefault="0004703C" w:rsidP="00B33235">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Avance en el diseño de los lineamientos técnicos para la gestión municipal de SAN y el rediseño de los Comités SAN.</w:t>
            </w:r>
          </w:p>
        </w:tc>
      </w:tr>
      <w:tr w:rsidR="0004703C" w:rsidRPr="00D134EB" w14:paraId="17FC75AE" w14:textId="77777777" w:rsidTr="0004703C">
        <w:tc>
          <w:tcPr>
            <w:tcW w:w="1555" w:type="dxa"/>
            <w:vMerge/>
          </w:tcPr>
          <w:p w14:paraId="72B020BF"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56DF6E41" w14:textId="77777777" w:rsidR="0004703C" w:rsidRPr="00D134EB" w:rsidRDefault="0004703C" w:rsidP="006C2B6D">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1.2. Fortalecimiento de las capacidades de participación ciudadana y control social en los territorios rurales para la garantía progresiva del derecho a la alimentación.</w:t>
            </w:r>
          </w:p>
          <w:p w14:paraId="54959B3D" w14:textId="77777777" w:rsidR="0004703C" w:rsidRPr="00D134EB" w:rsidRDefault="0004703C" w:rsidP="006C2B6D">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Diseño e implementación de la Estrategia de Promoción y Fortalecimiento de capacidades en ocho (8) organizaciones sociales rurales para la garantía progresiva del Derecho a la Alimentación. </w:t>
            </w:r>
          </w:p>
          <w:p w14:paraId="0A715505" w14:textId="77777777" w:rsidR="0004703C" w:rsidRPr="00D134EB" w:rsidRDefault="0004703C" w:rsidP="006C2B6D">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Elaboración de las rutas de incidencia en los departamentos de Atlántico, Cesar Magdalena y Putumayo, las cuales se dieron a conocer a los comités departamentales en el marco de las sesiones de cierre y socialización de la estrategia de gestión territorial, por parte de Prosperidad Social.</w:t>
            </w:r>
          </w:p>
          <w:p w14:paraId="69E52D01" w14:textId="5D86B791"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El Ministerio de Vivienda con apoyo de la Cooperación Española, conformaron los comités de veeduría ciudadana para la construcción de los sistemas de acueducto y saneamiento básico en los municipios de </w:t>
            </w:r>
            <w:proofErr w:type="spellStart"/>
            <w:r w:rsidRPr="00D134EB">
              <w:rPr>
                <w:rFonts w:ascii="Times New Roman" w:hAnsi="Times New Roman" w:cs="Times New Roman"/>
                <w:sz w:val="20"/>
                <w:szCs w:val="20"/>
              </w:rPr>
              <w:t>Capurganá</w:t>
            </w:r>
            <w:proofErr w:type="spellEnd"/>
            <w:r w:rsidRPr="00D134EB">
              <w:rPr>
                <w:rFonts w:ascii="Times New Roman" w:hAnsi="Times New Roman" w:cs="Times New Roman"/>
                <w:sz w:val="20"/>
                <w:szCs w:val="20"/>
              </w:rPr>
              <w:t>, Acandí y Rio Quito, departamento del Choco, como parte de las acciones para el fortalecimiento de capacidades de control social en la ciudadanía.</w:t>
            </w:r>
          </w:p>
        </w:tc>
      </w:tr>
      <w:tr w:rsidR="0004703C" w:rsidRPr="00D134EB" w14:paraId="4EEEA6AB" w14:textId="77777777" w:rsidTr="0004703C">
        <w:tc>
          <w:tcPr>
            <w:tcW w:w="1555" w:type="dxa"/>
            <w:vMerge/>
          </w:tcPr>
          <w:p w14:paraId="4B3B406B"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36782033" w14:textId="77777777" w:rsidR="0004703C" w:rsidRPr="00D134EB" w:rsidRDefault="0004703C" w:rsidP="006C2B6D">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1.3. Implementar un sistema de seguimiento de la garantía progresiva del derecho a la alimentación en la población rural.</w:t>
            </w:r>
            <w:r w:rsidRPr="00D134EB">
              <w:rPr>
                <w:rStyle w:val="Refdenotaalpie"/>
                <w:rFonts w:cs="Times New Roman"/>
              </w:rPr>
              <w:t xml:space="preserve"> </w:t>
            </w:r>
          </w:p>
          <w:p w14:paraId="39780604" w14:textId="77777777" w:rsidR="0004703C" w:rsidRPr="00D134EB" w:rsidRDefault="0004703C" w:rsidP="006C2B6D">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En el marco de la </w:t>
            </w:r>
            <w:proofErr w:type="spellStart"/>
            <w:r w:rsidRPr="00D134EB">
              <w:rPr>
                <w:rFonts w:ascii="Times New Roman" w:hAnsi="Times New Roman" w:cs="Times New Roman"/>
                <w:sz w:val="20"/>
                <w:szCs w:val="20"/>
              </w:rPr>
              <w:t>Submesa</w:t>
            </w:r>
            <w:proofErr w:type="spellEnd"/>
            <w:r w:rsidRPr="00D134EB">
              <w:rPr>
                <w:rFonts w:ascii="Times New Roman" w:hAnsi="Times New Roman" w:cs="Times New Roman"/>
                <w:sz w:val="20"/>
                <w:szCs w:val="20"/>
              </w:rPr>
              <w:t xml:space="preserve"> de Seguimiento y evaluación de la CISAN fue elaborado y aprobado el documento de Metodología de Seguimiento a la garantía del DHA en la población rural, de acuerdo con las fuentes y sistemas de información disponibles y los aportes técnicos de las entidades de la CISAN.</w:t>
            </w:r>
          </w:p>
          <w:p w14:paraId="3B232928" w14:textId="73EBE81A" w:rsidR="0004703C" w:rsidRPr="00D134EB" w:rsidRDefault="0004703C" w:rsidP="006C2B6D">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Elaboración de primer boletín con base en la Metodología de Seguimiento a la garantía el DHA en la población rural aprobada previamente, con aportes técnicos de las entidades de la CISAN.</w:t>
            </w:r>
          </w:p>
        </w:tc>
      </w:tr>
      <w:tr w:rsidR="0004703C" w:rsidRPr="00D134EB" w14:paraId="06C33905" w14:textId="77777777" w:rsidTr="0004703C">
        <w:tc>
          <w:tcPr>
            <w:tcW w:w="1555" w:type="dxa"/>
            <w:vMerge w:val="restart"/>
          </w:tcPr>
          <w:p w14:paraId="6DF9E098" w14:textId="77777777" w:rsidR="0004703C" w:rsidRPr="00D134EB" w:rsidRDefault="0004703C" w:rsidP="0004703C">
            <w:pPr>
              <w:jc w:val="both"/>
              <w:rPr>
                <w:rFonts w:ascii="Times New Roman" w:hAnsi="Times New Roman" w:cs="Times New Roman"/>
                <w:b/>
                <w:bCs/>
                <w:sz w:val="20"/>
                <w:szCs w:val="20"/>
              </w:rPr>
            </w:pPr>
            <w:r w:rsidRPr="00D134EB">
              <w:rPr>
                <w:rFonts w:ascii="Times New Roman" w:hAnsi="Times New Roman" w:cs="Times New Roman"/>
                <w:b/>
                <w:bCs/>
                <w:sz w:val="20"/>
                <w:szCs w:val="20"/>
              </w:rPr>
              <w:t xml:space="preserve">Estrategia 2. Incrementar las </w:t>
            </w:r>
            <w:r w:rsidRPr="00D134EB">
              <w:rPr>
                <w:rFonts w:ascii="Times New Roman" w:hAnsi="Times New Roman" w:cs="Times New Roman"/>
                <w:b/>
                <w:bCs/>
                <w:sz w:val="20"/>
                <w:szCs w:val="20"/>
              </w:rPr>
              <w:lastRenderedPageBreak/>
              <w:t>capacidades y oportunidades de las familias y comunidades rurales para acceder a una alimentación sana, nutritiva y culturalmente apropiada, mediante el desarrollo de programas alimentarios pertinentes y el fomento de la educación alimentaria y nutricional.</w:t>
            </w:r>
          </w:p>
          <w:p w14:paraId="347CBE5F"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0FCBFC32" w14:textId="77777777" w:rsidR="0004703C" w:rsidRPr="00D134EB" w:rsidRDefault="0004703C" w:rsidP="0004703C">
            <w:pPr>
              <w:jc w:val="both"/>
              <w:rPr>
                <w:rFonts w:ascii="Times New Roman" w:hAnsi="Times New Roman" w:cs="Times New Roman"/>
                <w:b/>
                <w:bCs/>
                <w:sz w:val="20"/>
                <w:szCs w:val="20"/>
              </w:rPr>
            </w:pPr>
            <w:r w:rsidRPr="00D134EB">
              <w:rPr>
                <w:rFonts w:ascii="Times New Roman" w:hAnsi="Times New Roman" w:cs="Times New Roman"/>
                <w:b/>
                <w:bCs/>
                <w:sz w:val="20"/>
                <w:szCs w:val="20"/>
              </w:rPr>
              <w:lastRenderedPageBreak/>
              <w:t>Línea de acción 2.1. Garantizar el acceso a una alimentación sana, nutritiva y culturalmente apropiada a la población rural.</w:t>
            </w:r>
          </w:p>
          <w:p w14:paraId="1F96B15B"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El DPS realizó acompañamiento técnico en la implementación de las unidades productivas y de estrategias para el acceso a alimentos para el autoconsumo, a través de:</w:t>
            </w:r>
          </w:p>
          <w:p w14:paraId="731EA375" w14:textId="77777777" w:rsidR="0004703C" w:rsidRPr="00D134EB" w:rsidRDefault="0004703C" w:rsidP="0004703C">
            <w:pPr>
              <w:pStyle w:val="Prrafodelista"/>
              <w:numPr>
                <w:ilvl w:val="0"/>
                <w:numId w:val="6"/>
              </w:numPr>
              <w:jc w:val="both"/>
              <w:rPr>
                <w:rFonts w:ascii="Times New Roman" w:hAnsi="Times New Roman" w:cs="Times New Roman"/>
                <w:sz w:val="20"/>
                <w:szCs w:val="20"/>
              </w:rPr>
            </w:pPr>
            <w:r w:rsidRPr="00D134EB">
              <w:rPr>
                <w:rFonts w:ascii="Times New Roman" w:hAnsi="Times New Roman" w:cs="Times New Roman"/>
                <w:b/>
                <w:bCs/>
                <w:sz w:val="20"/>
                <w:szCs w:val="20"/>
              </w:rPr>
              <w:t>IRACA:</w:t>
            </w:r>
            <w:r w:rsidRPr="00D134EB">
              <w:rPr>
                <w:rFonts w:ascii="Times New Roman" w:hAnsi="Times New Roman" w:cs="Times New Roman"/>
                <w:sz w:val="20"/>
                <w:szCs w:val="20"/>
              </w:rPr>
              <w:t xml:space="preserve"> entrega de herramientas e insumos para el componente de Seguridad Alimentaria a 2.255 hogares. Adicionalmente, se implementó el Proyecto Integral Comunitario enfocado en el fortalecimiento de las líneas ovino-caprino y de artesanías, beneficiando 120 hogares en el municipio de Uribía, La Guajira.</w:t>
            </w:r>
          </w:p>
          <w:p w14:paraId="7971B091" w14:textId="77777777" w:rsidR="0004703C" w:rsidRPr="00D134EB" w:rsidRDefault="0004703C" w:rsidP="0004703C">
            <w:pPr>
              <w:pStyle w:val="Prrafodelista"/>
              <w:numPr>
                <w:ilvl w:val="0"/>
                <w:numId w:val="6"/>
              </w:numPr>
              <w:jc w:val="both"/>
              <w:rPr>
                <w:rFonts w:ascii="Times New Roman" w:hAnsi="Times New Roman" w:cs="Times New Roman"/>
                <w:sz w:val="20"/>
                <w:szCs w:val="20"/>
              </w:rPr>
            </w:pPr>
            <w:r w:rsidRPr="00D134EB">
              <w:rPr>
                <w:rFonts w:ascii="Times New Roman" w:hAnsi="Times New Roman" w:cs="Times New Roman"/>
                <w:b/>
                <w:bCs/>
                <w:sz w:val="20"/>
                <w:szCs w:val="20"/>
              </w:rPr>
              <w:t>MANOS QUE ALIMENTAN:</w:t>
            </w:r>
            <w:r w:rsidRPr="00D134EB">
              <w:rPr>
                <w:rFonts w:ascii="Times New Roman" w:hAnsi="Times New Roman" w:cs="Times New Roman"/>
                <w:sz w:val="20"/>
                <w:szCs w:val="20"/>
              </w:rPr>
              <w:t xml:space="preserve"> se atendieron a 11.265 hogares en 32 municipios de 7 departamentos del país, mediante los contratos 296 y 376 de 2021.</w:t>
            </w:r>
          </w:p>
          <w:p w14:paraId="198FAEA1" w14:textId="77777777" w:rsidR="0004703C" w:rsidRPr="00D134EB" w:rsidRDefault="0004703C" w:rsidP="0004703C">
            <w:pPr>
              <w:pStyle w:val="Prrafodelista"/>
              <w:numPr>
                <w:ilvl w:val="0"/>
                <w:numId w:val="6"/>
              </w:numPr>
              <w:jc w:val="both"/>
              <w:rPr>
                <w:rFonts w:ascii="Times New Roman" w:hAnsi="Times New Roman" w:cs="Times New Roman"/>
                <w:sz w:val="20"/>
                <w:szCs w:val="20"/>
              </w:rPr>
            </w:pPr>
            <w:r w:rsidRPr="00D134EB">
              <w:rPr>
                <w:rFonts w:ascii="Times New Roman" w:hAnsi="Times New Roman" w:cs="Times New Roman"/>
                <w:b/>
                <w:bCs/>
                <w:sz w:val="20"/>
                <w:szCs w:val="20"/>
              </w:rPr>
              <w:t>FEST-Familias en su Tierra:</w:t>
            </w:r>
            <w:r w:rsidRPr="00D134EB">
              <w:rPr>
                <w:rFonts w:ascii="Times New Roman" w:hAnsi="Times New Roman" w:cs="Times New Roman"/>
                <w:sz w:val="20"/>
                <w:szCs w:val="20"/>
              </w:rPr>
              <w:t xml:space="preserve"> se adjudicaron las licitaciones públicas para la atención de 27,526 hogares retornados o reubicados en zonas rurales de 90 municipios en 22 departamentos.</w:t>
            </w:r>
          </w:p>
          <w:p w14:paraId="382B0505"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Se genero la primera versión del documento técnico que contiene el Modelo de Alimentación Escolar Rural, las directrices operativas y de contratación, así como las acciones que se deben adelantar para garantizar la calidad e inocuidad de los alimentos que hacen parte de los complementos alimentarios PAE.</w:t>
            </w:r>
          </w:p>
          <w:p w14:paraId="30A00A98" w14:textId="29A14A4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Se desarrolló la propuesta de arreglo normativo para la contratación del Modelo de Alimentación Escolar en la Ruralidad, que favorezca la inclusión social, económica y productiva de los pequeños productores y familias de la ruralidad.</w:t>
            </w:r>
          </w:p>
        </w:tc>
      </w:tr>
      <w:tr w:rsidR="0004703C" w:rsidRPr="00D134EB" w14:paraId="43CC47B9" w14:textId="77777777" w:rsidTr="0004703C">
        <w:tc>
          <w:tcPr>
            <w:tcW w:w="1555" w:type="dxa"/>
            <w:vMerge/>
          </w:tcPr>
          <w:p w14:paraId="0A6F3974"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209996A6" w14:textId="2651FA4F" w:rsidR="0004703C" w:rsidRPr="00D134EB" w:rsidRDefault="0004703C" w:rsidP="0004703C">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2.2. Atención y prevención de la desnutrición infantil en los territorios rurales mediante programas de nutrición a la primera infancia con enfoque diferencial y comunitario.</w:t>
            </w:r>
          </w:p>
          <w:p w14:paraId="3F3516BA"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Atención y prevención de la desnutrición infantil, a través de modalidad “1000 días para cambiar mundo”, se implementó en 157 municipios PDET atendiendo 8.374 cupos y 20.584 beneficiarios.</w:t>
            </w:r>
          </w:p>
          <w:p w14:paraId="67FBD94D" w14:textId="1935B72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Se implementó la modalidad Centros de Recuperación Nutricional (CRN), en cuatro municipios PDET (Agustín Codazzi, Pueblo Bello, Istmina y El Charco), brindando atención de 51 cupos y 458 beneficiarios.</w:t>
            </w:r>
          </w:p>
        </w:tc>
      </w:tr>
      <w:tr w:rsidR="0004703C" w:rsidRPr="00D134EB" w14:paraId="594F3003" w14:textId="77777777" w:rsidTr="0004703C">
        <w:tc>
          <w:tcPr>
            <w:tcW w:w="1555" w:type="dxa"/>
            <w:vMerge/>
          </w:tcPr>
          <w:p w14:paraId="0EE85B80" w14:textId="77777777" w:rsidR="0004703C" w:rsidRPr="00D134EB" w:rsidRDefault="0004703C" w:rsidP="00DB4CC3">
            <w:pPr>
              <w:jc w:val="center"/>
              <w:rPr>
                <w:rFonts w:ascii="Times New Roman" w:hAnsi="Times New Roman" w:cs="Times New Roman"/>
                <w:b/>
                <w:bCs/>
                <w:sz w:val="20"/>
                <w:szCs w:val="20"/>
              </w:rPr>
            </w:pPr>
          </w:p>
        </w:tc>
        <w:tc>
          <w:tcPr>
            <w:tcW w:w="7273" w:type="dxa"/>
          </w:tcPr>
          <w:p w14:paraId="30CA7C1E" w14:textId="31FC7C78" w:rsidR="0004703C" w:rsidRPr="00D134EB" w:rsidRDefault="0004703C" w:rsidP="0004703C">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2.3. Implementar la Estrategia Nacional de Educación Alimentaria y Nutricional en territorios rurales para la promoción de hábitos alimentarios saludables, la recuperación de la memoria alimentaria y la gastronomía tradicional.</w:t>
            </w:r>
          </w:p>
          <w:p w14:paraId="63084DCF"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Avance en el diseño de la Estrategia Nacional de Educación Alimentaria y Nutricional.</w:t>
            </w:r>
          </w:p>
          <w:p w14:paraId="509DDFE8"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Avance en el diseño e implementación del plan pedagógico para la promoción de la alimentación saludable y una cultura alimentaria en el escenario rural, desde la Unidad de Alimentación Escolar en alianza con FAO.</w:t>
            </w:r>
          </w:p>
          <w:p w14:paraId="53A39BB9" w14:textId="7777777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ACOFANUD avanzó con investigaciones relacionadas con la memoria alimentaria y desarrolló proyectos para la recuperación de la memoria alimentaria y la gastronomía tradicional.</w:t>
            </w:r>
          </w:p>
          <w:p w14:paraId="030B086F" w14:textId="68E79D57" w:rsidR="0004703C" w:rsidRPr="00D134EB" w:rsidRDefault="0004703C" w:rsidP="0004703C">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El DPS brindó orientaciones en SAN para fomentar hábitos y condiciones alimentarias saludables en el consumo y la utilización de alimentos y productos locales conforme a sus costumbres, a través de la cartilla "Promoción de hábitos saludables-manos que alimentan".</w:t>
            </w:r>
          </w:p>
        </w:tc>
      </w:tr>
      <w:tr w:rsidR="00D81D45" w:rsidRPr="00D134EB" w14:paraId="47D1484D" w14:textId="77777777" w:rsidTr="0004703C">
        <w:tc>
          <w:tcPr>
            <w:tcW w:w="1555" w:type="dxa"/>
            <w:vMerge w:val="restart"/>
          </w:tcPr>
          <w:p w14:paraId="131ED4B7" w14:textId="77777777" w:rsidR="00D81D45" w:rsidRPr="00D134EB" w:rsidRDefault="00D81D45" w:rsidP="00D81D45">
            <w:pPr>
              <w:jc w:val="both"/>
              <w:rPr>
                <w:rFonts w:ascii="Times New Roman" w:hAnsi="Times New Roman" w:cs="Times New Roman"/>
                <w:b/>
                <w:bCs/>
                <w:sz w:val="20"/>
                <w:szCs w:val="20"/>
              </w:rPr>
            </w:pPr>
            <w:r w:rsidRPr="00D134EB">
              <w:rPr>
                <w:rFonts w:ascii="Times New Roman" w:hAnsi="Times New Roman" w:cs="Times New Roman"/>
                <w:b/>
                <w:bCs/>
                <w:sz w:val="20"/>
                <w:szCs w:val="20"/>
              </w:rPr>
              <w:t xml:space="preserve">Estrategia 3. Contribuir a mejorar las condiciones de producción y de comercialización de las economías campesinas, familiares y comunitarias en </w:t>
            </w:r>
            <w:r w:rsidRPr="00D134EB">
              <w:rPr>
                <w:rFonts w:ascii="Times New Roman" w:hAnsi="Times New Roman" w:cs="Times New Roman"/>
                <w:b/>
                <w:bCs/>
                <w:sz w:val="20"/>
                <w:szCs w:val="20"/>
              </w:rPr>
              <w:lastRenderedPageBreak/>
              <w:t>las áreas rurales, mediante el apoyo a las prácticas agroecológicas, la promoción y la consolidación de mercados locales y regionales.</w:t>
            </w:r>
          </w:p>
          <w:p w14:paraId="46244EC3" w14:textId="77777777" w:rsidR="00D81D45" w:rsidRPr="00D134EB" w:rsidRDefault="00D81D45" w:rsidP="00DB4CC3">
            <w:pPr>
              <w:jc w:val="center"/>
              <w:rPr>
                <w:rFonts w:ascii="Times New Roman" w:hAnsi="Times New Roman" w:cs="Times New Roman"/>
                <w:b/>
                <w:bCs/>
                <w:sz w:val="20"/>
                <w:szCs w:val="20"/>
              </w:rPr>
            </w:pPr>
          </w:p>
        </w:tc>
        <w:tc>
          <w:tcPr>
            <w:tcW w:w="7273" w:type="dxa"/>
          </w:tcPr>
          <w:p w14:paraId="0E3FF8D0" w14:textId="77777777" w:rsidR="00D81D45" w:rsidRPr="00D134EB" w:rsidRDefault="00D81D45" w:rsidP="00D81D45">
            <w:pPr>
              <w:jc w:val="both"/>
              <w:rPr>
                <w:rFonts w:ascii="Times New Roman" w:hAnsi="Times New Roman" w:cs="Times New Roman"/>
                <w:b/>
                <w:bCs/>
                <w:sz w:val="20"/>
                <w:szCs w:val="20"/>
              </w:rPr>
            </w:pPr>
            <w:r w:rsidRPr="00D134EB">
              <w:rPr>
                <w:rFonts w:ascii="Times New Roman" w:hAnsi="Times New Roman" w:cs="Times New Roman"/>
                <w:b/>
                <w:bCs/>
                <w:sz w:val="20"/>
                <w:szCs w:val="20"/>
              </w:rPr>
              <w:lastRenderedPageBreak/>
              <w:t>Línea de acción 3.1. Promoción de prácticas productivas agroecológicas con enfoque diferencial y territorial.</w:t>
            </w:r>
            <w:r w:rsidRPr="00D134EB">
              <w:rPr>
                <w:rStyle w:val="Refdenotaalpie"/>
                <w:rFonts w:cs="Times New Roman"/>
              </w:rPr>
              <w:footnoteReference w:id="2"/>
            </w:r>
          </w:p>
          <w:p w14:paraId="79EE58CA" w14:textId="5BB7DFD2" w:rsidR="00D81D45" w:rsidRPr="00D134EB" w:rsidRDefault="00D81D45" w:rsidP="00D81D45">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MADR realizó la construcción de los lineamientos de Política Pública en Agroecología, los cuales fueron aprobados y publicados, en el marco del Proyecto Sembrando Capacidades y en la realización del Encuentro Trilateral entre Brasil y la FAO Colombia.</w:t>
            </w:r>
          </w:p>
        </w:tc>
      </w:tr>
      <w:tr w:rsidR="00D81D45" w:rsidRPr="00D134EB" w14:paraId="73A12F3A" w14:textId="77777777" w:rsidTr="0004703C">
        <w:tc>
          <w:tcPr>
            <w:tcW w:w="1555" w:type="dxa"/>
            <w:vMerge/>
          </w:tcPr>
          <w:p w14:paraId="3430404F" w14:textId="77777777" w:rsidR="00D81D45" w:rsidRPr="00D134EB" w:rsidRDefault="00D81D45" w:rsidP="00DB4CC3">
            <w:pPr>
              <w:jc w:val="center"/>
              <w:rPr>
                <w:rFonts w:ascii="Times New Roman" w:hAnsi="Times New Roman" w:cs="Times New Roman"/>
                <w:b/>
                <w:bCs/>
                <w:sz w:val="20"/>
                <w:szCs w:val="20"/>
              </w:rPr>
            </w:pPr>
          </w:p>
        </w:tc>
        <w:tc>
          <w:tcPr>
            <w:tcW w:w="7273" w:type="dxa"/>
          </w:tcPr>
          <w:p w14:paraId="5CE274C3" w14:textId="283DA367" w:rsidR="00D81D45" w:rsidRPr="00D134EB" w:rsidRDefault="00D81D45" w:rsidP="00D81D45">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3.2. Mejoramiento de la infraestructura para la comercialización de los productos de las comunidades rurales.</w:t>
            </w:r>
          </w:p>
          <w:p w14:paraId="3A1FDE55" w14:textId="34E0C6C4" w:rsidR="00D81D45" w:rsidRPr="00D134EB" w:rsidRDefault="00D81D45" w:rsidP="00D81D45">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DPS ejecutó proyectos de infraestructura social y productiva que contribuyen a la inclusión social y productiva de los hogares rurales en situación de pobreza </w:t>
            </w:r>
            <w:r w:rsidRPr="00D134EB">
              <w:rPr>
                <w:rFonts w:ascii="Times New Roman" w:hAnsi="Times New Roman" w:cs="Times New Roman"/>
                <w:sz w:val="20"/>
                <w:szCs w:val="20"/>
              </w:rPr>
              <w:lastRenderedPageBreak/>
              <w:t>en los municipios de Fundación (Magdalena), Ciénaga de Oro (Córdoba) y El Tablón de Gómez (Nariño).</w:t>
            </w:r>
          </w:p>
        </w:tc>
      </w:tr>
      <w:tr w:rsidR="00D81D45" w:rsidRPr="00D134EB" w14:paraId="4EB78C82" w14:textId="77777777" w:rsidTr="0004703C">
        <w:tc>
          <w:tcPr>
            <w:tcW w:w="1555" w:type="dxa"/>
            <w:vMerge/>
          </w:tcPr>
          <w:p w14:paraId="2159B823" w14:textId="77777777" w:rsidR="00D81D45" w:rsidRPr="00D134EB" w:rsidRDefault="00D81D45" w:rsidP="00DB4CC3">
            <w:pPr>
              <w:jc w:val="center"/>
              <w:rPr>
                <w:rFonts w:ascii="Times New Roman" w:hAnsi="Times New Roman" w:cs="Times New Roman"/>
                <w:b/>
                <w:bCs/>
                <w:sz w:val="20"/>
                <w:szCs w:val="20"/>
              </w:rPr>
            </w:pPr>
          </w:p>
        </w:tc>
        <w:tc>
          <w:tcPr>
            <w:tcW w:w="7273" w:type="dxa"/>
          </w:tcPr>
          <w:p w14:paraId="707C40F7" w14:textId="5EDECEFB" w:rsidR="00D81D45" w:rsidRPr="00D134EB" w:rsidRDefault="00D81D45" w:rsidP="00D81D45">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3.3. Fortalecimiento de las capacidades comerciales de los pequeños productores rurales y grupos étnicos.</w:t>
            </w:r>
          </w:p>
          <w:p w14:paraId="09F9C998" w14:textId="4C57EA9F" w:rsidR="00D81D45" w:rsidRPr="00D134EB" w:rsidRDefault="00D81D45" w:rsidP="00D81D45">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Ministerio de Comercio implementó Agro E con el fin de fortalecer asociaciones de víctimas del desplazamiento, especialmente de grupos indígenas, afrodescendientes y pequeños productores rurales para que puedan comercializar y generar ingresos para su seguridad alimentaria, se desarrolla a través de </w:t>
            </w:r>
            <w:proofErr w:type="spellStart"/>
            <w:r w:rsidRPr="00D134EB">
              <w:rPr>
                <w:rFonts w:ascii="Times New Roman" w:hAnsi="Times New Roman" w:cs="Times New Roman"/>
                <w:sz w:val="20"/>
                <w:szCs w:val="20"/>
              </w:rPr>
              <w:t>iNNpulsa</w:t>
            </w:r>
            <w:proofErr w:type="spellEnd"/>
            <w:r w:rsidRPr="00D134EB">
              <w:rPr>
                <w:rFonts w:ascii="Times New Roman" w:hAnsi="Times New Roman" w:cs="Times New Roman"/>
                <w:sz w:val="20"/>
                <w:szCs w:val="20"/>
              </w:rPr>
              <w:t xml:space="preserve"> Colombia. Adicionalmente, se firmó un convenio entre PNUD y Colombia Productiva para la ejecución de un programa de fortalecimiento productivo, con el que se entregaron insumos y/o activos productivos a 17 asociaciones de Grupos Étnicos.</w:t>
            </w:r>
          </w:p>
        </w:tc>
      </w:tr>
      <w:tr w:rsidR="00D81D45" w:rsidRPr="00D134EB" w14:paraId="584E95CB" w14:textId="77777777" w:rsidTr="0004703C">
        <w:tc>
          <w:tcPr>
            <w:tcW w:w="1555" w:type="dxa"/>
            <w:vMerge/>
          </w:tcPr>
          <w:p w14:paraId="07355CC1" w14:textId="77777777" w:rsidR="00D81D45" w:rsidRPr="00D134EB" w:rsidRDefault="00D81D45" w:rsidP="00DB4CC3">
            <w:pPr>
              <w:jc w:val="center"/>
              <w:rPr>
                <w:rFonts w:ascii="Times New Roman" w:hAnsi="Times New Roman" w:cs="Times New Roman"/>
                <w:b/>
                <w:bCs/>
                <w:sz w:val="20"/>
                <w:szCs w:val="20"/>
              </w:rPr>
            </w:pPr>
          </w:p>
        </w:tc>
        <w:tc>
          <w:tcPr>
            <w:tcW w:w="7273" w:type="dxa"/>
          </w:tcPr>
          <w:p w14:paraId="0A9E1EC8" w14:textId="24B754D1" w:rsidR="00761130" w:rsidRPr="00D134EB" w:rsidRDefault="00761130" w:rsidP="00761130">
            <w:pPr>
              <w:jc w:val="both"/>
              <w:rPr>
                <w:rFonts w:ascii="Times New Roman" w:hAnsi="Times New Roman" w:cs="Times New Roman"/>
                <w:b/>
                <w:bCs/>
                <w:sz w:val="20"/>
                <w:szCs w:val="20"/>
              </w:rPr>
            </w:pPr>
            <w:r w:rsidRPr="00D134EB">
              <w:rPr>
                <w:rFonts w:ascii="Times New Roman" w:hAnsi="Times New Roman" w:cs="Times New Roman"/>
                <w:b/>
                <w:bCs/>
                <w:sz w:val="20"/>
                <w:szCs w:val="20"/>
              </w:rPr>
              <w:t>Línea de acción 3.4. Implementación de alianzas productivas y acuerdos comerciales incluyentes y participativos con asistencia técnica.</w:t>
            </w:r>
          </w:p>
          <w:p w14:paraId="2534091E" w14:textId="164046F9" w:rsidR="00D81D45" w:rsidRPr="00D134EB" w:rsidRDefault="00761130" w:rsidP="00761130">
            <w:pPr>
              <w:pStyle w:val="Prrafodelista"/>
              <w:numPr>
                <w:ilvl w:val="0"/>
                <w:numId w:val="5"/>
              </w:numPr>
              <w:jc w:val="both"/>
              <w:rPr>
                <w:rFonts w:ascii="Times New Roman" w:hAnsi="Times New Roman" w:cs="Times New Roman"/>
                <w:sz w:val="20"/>
                <w:szCs w:val="20"/>
              </w:rPr>
            </w:pPr>
            <w:r w:rsidRPr="00D134EB">
              <w:rPr>
                <w:rFonts w:ascii="Times New Roman" w:hAnsi="Times New Roman" w:cs="Times New Roman"/>
                <w:sz w:val="20"/>
                <w:szCs w:val="20"/>
              </w:rPr>
              <w:t xml:space="preserve">Ministerio de Comercio, Industria y Turismo diseñó los instrumentos para la implementación de alianzas productivas y acuerdos comerciales incluyentes y participativos con asistencia técnica que hicieron parte de la convocatoria para la selección de beneficiarios del programa </w:t>
            </w:r>
            <w:proofErr w:type="spellStart"/>
            <w:r w:rsidRPr="00D134EB">
              <w:rPr>
                <w:rFonts w:ascii="Times New Roman" w:hAnsi="Times New Roman" w:cs="Times New Roman"/>
                <w:sz w:val="20"/>
                <w:szCs w:val="20"/>
              </w:rPr>
              <w:t>INNpulsa</w:t>
            </w:r>
            <w:proofErr w:type="spellEnd"/>
            <w:r w:rsidRPr="00D134EB">
              <w:rPr>
                <w:rFonts w:ascii="Times New Roman" w:hAnsi="Times New Roman" w:cs="Times New Roman"/>
                <w:sz w:val="20"/>
                <w:szCs w:val="20"/>
              </w:rPr>
              <w:t xml:space="preserve"> agro productiva. Durante 2021, se ejecutaron cinco proyectos ubicados en los departamentos de Cauca, Tolima, Caquetá y Antioquia, en los sectores productivos de lácteos, frutícola, apícola y cacao.</w:t>
            </w:r>
          </w:p>
        </w:tc>
      </w:tr>
    </w:tbl>
    <w:p w14:paraId="6B6EFC39" w14:textId="77777777" w:rsidR="00B33235" w:rsidRPr="00D134EB" w:rsidRDefault="00B33235" w:rsidP="00DB4CC3">
      <w:pPr>
        <w:jc w:val="center"/>
        <w:rPr>
          <w:rFonts w:ascii="Times New Roman" w:hAnsi="Times New Roman" w:cs="Times New Roman"/>
          <w:b/>
          <w:bCs/>
          <w:sz w:val="20"/>
          <w:szCs w:val="20"/>
        </w:rPr>
      </w:pPr>
    </w:p>
    <w:p w14:paraId="7EE7DE42" w14:textId="1103B51D" w:rsidR="00B33235" w:rsidRPr="00D134EB" w:rsidRDefault="0091055A" w:rsidP="0078581A">
      <w:pPr>
        <w:pStyle w:val="Ttulo1"/>
        <w:spacing w:line="360" w:lineRule="auto"/>
        <w:jc w:val="center"/>
        <w:rPr>
          <w:rFonts w:ascii="Times New Roman" w:hAnsi="Times New Roman" w:cs="Times New Roman"/>
          <w:b/>
          <w:bCs/>
          <w:color w:val="auto"/>
          <w:sz w:val="24"/>
          <w:szCs w:val="24"/>
        </w:rPr>
      </w:pPr>
      <w:bookmarkStart w:id="11" w:name="_Toc116679737"/>
      <w:bookmarkStart w:id="12" w:name="_Toc116977713"/>
      <w:r w:rsidRPr="00D134EB">
        <w:rPr>
          <w:rFonts w:ascii="Times New Roman" w:hAnsi="Times New Roman" w:cs="Times New Roman"/>
          <w:b/>
          <w:bCs/>
          <w:color w:val="auto"/>
          <w:sz w:val="24"/>
          <w:szCs w:val="24"/>
        </w:rPr>
        <w:t xml:space="preserve">Anexo </w:t>
      </w:r>
      <w:r w:rsidR="007245DB" w:rsidRPr="00D134EB">
        <w:rPr>
          <w:rFonts w:ascii="Times New Roman" w:hAnsi="Times New Roman" w:cs="Times New Roman"/>
          <w:b/>
          <w:bCs/>
          <w:color w:val="auto"/>
          <w:sz w:val="24"/>
          <w:szCs w:val="24"/>
        </w:rPr>
        <w:t>6</w:t>
      </w:r>
      <w:r w:rsidRPr="00D134EB">
        <w:rPr>
          <w:rFonts w:ascii="Times New Roman" w:hAnsi="Times New Roman" w:cs="Times New Roman"/>
          <w:b/>
          <w:bCs/>
          <w:color w:val="auto"/>
          <w:sz w:val="24"/>
          <w:szCs w:val="24"/>
        </w:rPr>
        <w:t>. Departamento Administrativo Nacional de Estadística</w:t>
      </w:r>
      <w:bookmarkEnd w:id="11"/>
      <w:bookmarkEnd w:id="12"/>
    </w:p>
    <w:p w14:paraId="3377A358" w14:textId="0B19264B" w:rsidR="008F46A6" w:rsidRPr="00D134EB" w:rsidRDefault="0091055A" w:rsidP="008F46A6">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1. Enlaces de las publicaciones mensuales </w:t>
      </w:r>
      <w:r w:rsidR="008F46A6" w:rsidRPr="00D134EB">
        <w:rPr>
          <w:rFonts w:ascii="Times New Roman" w:hAnsi="Times New Roman" w:cs="Times New Roman"/>
          <w:b/>
          <w:bCs/>
          <w:sz w:val="20"/>
          <w:szCs w:val="20"/>
        </w:rPr>
        <w:t>de la Gran Encuesta Integrada de Hogares (GEIH) sobre el mercado laboral.</w:t>
      </w:r>
    </w:p>
    <w:tbl>
      <w:tblPr>
        <w:tblStyle w:val="Tablaconcuadrcula"/>
        <w:tblW w:w="0" w:type="auto"/>
        <w:tblLayout w:type="fixed"/>
        <w:tblLook w:val="04A0" w:firstRow="1" w:lastRow="0" w:firstColumn="1" w:lastColumn="0" w:noHBand="0" w:noVBand="1"/>
      </w:tblPr>
      <w:tblGrid>
        <w:gridCol w:w="4248"/>
        <w:gridCol w:w="4580"/>
      </w:tblGrid>
      <w:tr w:rsidR="008F46A6" w:rsidRPr="00D134EB" w14:paraId="43E64D86" w14:textId="77777777" w:rsidTr="00810613">
        <w:tc>
          <w:tcPr>
            <w:tcW w:w="4248" w:type="dxa"/>
          </w:tcPr>
          <w:p w14:paraId="674A8E7E" w14:textId="7F4D4C8D" w:rsidR="008F46A6" w:rsidRPr="00D134EB" w:rsidRDefault="008F46A6" w:rsidP="008F46A6">
            <w:pPr>
              <w:jc w:val="center"/>
              <w:rPr>
                <w:rFonts w:ascii="Times New Roman" w:hAnsi="Times New Roman" w:cs="Times New Roman"/>
                <w:b/>
                <w:bCs/>
                <w:sz w:val="20"/>
                <w:szCs w:val="20"/>
              </w:rPr>
            </w:pPr>
            <w:r w:rsidRPr="00D134EB">
              <w:rPr>
                <w:rFonts w:ascii="Times New Roman" w:hAnsi="Times New Roman" w:cs="Times New Roman"/>
                <w:b/>
                <w:bCs/>
                <w:sz w:val="20"/>
                <w:szCs w:val="20"/>
              </w:rPr>
              <w:t>Información</w:t>
            </w:r>
          </w:p>
        </w:tc>
        <w:tc>
          <w:tcPr>
            <w:tcW w:w="4580" w:type="dxa"/>
          </w:tcPr>
          <w:p w14:paraId="32495FA0" w14:textId="65A2F010" w:rsidR="008F46A6" w:rsidRPr="00D134EB" w:rsidRDefault="008F46A6" w:rsidP="008F46A6">
            <w:pPr>
              <w:jc w:val="center"/>
              <w:rPr>
                <w:rFonts w:ascii="Times New Roman" w:hAnsi="Times New Roman" w:cs="Times New Roman"/>
                <w:b/>
                <w:bCs/>
                <w:sz w:val="20"/>
                <w:szCs w:val="20"/>
              </w:rPr>
            </w:pPr>
            <w:r w:rsidRPr="00D134EB">
              <w:rPr>
                <w:rFonts w:ascii="Times New Roman" w:hAnsi="Times New Roman" w:cs="Times New Roman"/>
                <w:b/>
                <w:bCs/>
                <w:sz w:val="20"/>
                <w:szCs w:val="20"/>
              </w:rPr>
              <w:t>Enlace</w:t>
            </w:r>
          </w:p>
        </w:tc>
      </w:tr>
      <w:tr w:rsidR="008F46A6" w:rsidRPr="00D134EB" w14:paraId="3FA36CF3" w14:textId="77777777" w:rsidTr="00810613">
        <w:tc>
          <w:tcPr>
            <w:tcW w:w="4248" w:type="dxa"/>
          </w:tcPr>
          <w:p w14:paraId="7538E3B2" w14:textId="48EF7A3F" w:rsidR="008F46A6" w:rsidRPr="00D134EB" w:rsidRDefault="00810613" w:rsidP="00B33235">
            <w:pPr>
              <w:jc w:val="both"/>
              <w:rPr>
                <w:rFonts w:ascii="Times New Roman" w:hAnsi="Times New Roman" w:cs="Times New Roman"/>
                <w:sz w:val="20"/>
                <w:szCs w:val="20"/>
              </w:rPr>
            </w:pPr>
            <w:r w:rsidRPr="00D134EB">
              <w:rPr>
                <w:rFonts w:ascii="Times New Roman" w:hAnsi="Times New Roman" w:cs="Times New Roman"/>
                <w:sz w:val="20"/>
                <w:szCs w:val="20"/>
              </w:rPr>
              <w:t>I</w:t>
            </w:r>
            <w:r w:rsidR="008F46A6" w:rsidRPr="00D134EB">
              <w:rPr>
                <w:rFonts w:ascii="Times New Roman" w:hAnsi="Times New Roman" w:cs="Times New Roman"/>
                <w:sz w:val="20"/>
                <w:szCs w:val="20"/>
              </w:rPr>
              <w:t xml:space="preserve">nformación </w:t>
            </w:r>
            <w:r w:rsidRPr="00D134EB">
              <w:rPr>
                <w:rFonts w:ascii="Times New Roman" w:hAnsi="Times New Roman" w:cs="Times New Roman"/>
                <w:sz w:val="20"/>
                <w:szCs w:val="20"/>
              </w:rPr>
              <w:t xml:space="preserve">general </w:t>
            </w:r>
            <w:r w:rsidR="008F46A6" w:rsidRPr="00D134EB">
              <w:rPr>
                <w:rFonts w:ascii="Times New Roman" w:hAnsi="Times New Roman" w:cs="Times New Roman"/>
                <w:sz w:val="20"/>
                <w:szCs w:val="20"/>
              </w:rPr>
              <w:t>de los principales indicadores para el total nacional, total cabeceras y total centros poblados y rural disperso, con periodicidad trimestral.</w:t>
            </w:r>
          </w:p>
        </w:tc>
        <w:tc>
          <w:tcPr>
            <w:tcW w:w="4580" w:type="dxa"/>
          </w:tcPr>
          <w:p w14:paraId="69BEB0E0" w14:textId="0A9E1852" w:rsidR="00810613" w:rsidRPr="00D134EB" w:rsidRDefault="00000000" w:rsidP="00810613">
            <w:pPr>
              <w:rPr>
                <w:rFonts w:ascii="Times New Roman" w:hAnsi="Times New Roman" w:cs="Times New Roman"/>
                <w:sz w:val="20"/>
                <w:szCs w:val="20"/>
              </w:rPr>
            </w:pPr>
            <w:hyperlink r:id="rId13" w:history="1">
              <w:r w:rsidR="00810613" w:rsidRPr="00D134EB">
                <w:rPr>
                  <w:rStyle w:val="Hipervnculo"/>
                  <w:rFonts w:ascii="Times New Roman" w:hAnsi="Times New Roman" w:cs="Times New Roman"/>
                  <w:sz w:val="20"/>
                  <w:szCs w:val="20"/>
                </w:rPr>
                <w:t>https://www.dane.gov.co/files/investigaciones/boletines/ech/ech/anexo_empleo_abr_22.xlsx</w:t>
              </w:r>
            </w:hyperlink>
          </w:p>
          <w:p w14:paraId="22841196" w14:textId="26028B12" w:rsidR="008F46A6" w:rsidRPr="00D134EB" w:rsidRDefault="008F46A6" w:rsidP="00B33235">
            <w:pPr>
              <w:jc w:val="both"/>
              <w:rPr>
                <w:rFonts w:ascii="Times New Roman" w:hAnsi="Times New Roman" w:cs="Times New Roman"/>
                <w:b/>
                <w:bCs/>
                <w:sz w:val="20"/>
                <w:szCs w:val="20"/>
              </w:rPr>
            </w:pPr>
          </w:p>
        </w:tc>
      </w:tr>
      <w:tr w:rsidR="008F46A6" w:rsidRPr="00D134EB" w14:paraId="6562F32E" w14:textId="77777777" w:rsidTr="00810613">
        <w:tc>
          <w:tcPr>
            <w:tcW w:w="4248" w:type="dxa"/>
          </w:tcPr>
          <w:p w14:paraId="4CF609D2" w14:textId="315037D4" w:rsidR="008F46A6" w:rsidRPr="00D134EB" w:rsidRDefault="0047705E" w:rsidP="00B33235">
            <w:pPr>
              <w:jc w:val="both"/>
              <w:rPr>
                <w:rFonts w:ascii="Times New Roman" w:hAnsi="Times New Roman" w:cs="Times New Roman"/>
                <w:sz w:val="20"/>
                <w:szCs w:val="20"/>
              </w:rPr>
            </w:pPr>
            <w:r w:rsidRPr="00D134EB">
              <w:rPr>
                <w:rFonts w:ascii="Times New Roman" w:hAnsi="Times New Roman" w:cs="Times New Roman"/>
                <w:sz w:val="20"/>
                <w:szCs w:val="20"/>
              </w:rPr>
              <w:t>Principales indicadores desagregados por sexo con periodicidad trimestral</w:t>
            </w:r>
            <w:r w:rsidR="00107078" w:rsidRPr="00D134EB">
              <w:rPr>
                <w:rFonts w:ascii="Times New Roman" w:hAnsi="Times New Roman" w:cs="Times New Roman"/>
                <w:sz w:val="20"/>
                <w:szCs w:val="20"/>
              </w:rPr>
              <w:t>.</w:t>
            </w:r>
          </w:p>
          <w:p w14:paraId="7B978EB9" w14:textId="15E3A1FF" w:rsidR="0047705E" w:rsidRPr="00D134EB" w:rsidRDefault="0047705E" w:rsidP="00B33235">
            <w:pPr>
              <w:jc w:val="both"/>
              <w:rPr>
                <w:rFonts w:ascii="Times New Roman" w:hAnsi="Times New Roman" w:cs="Times New Roman"/>
                <w:sz w:val="20"/>
                <w:szCs w:val="20"/>
              </w:rPr>
            </w:pPr>
          </w:p>
        </w:tc>
        <w:tc>
          <w:tcPr>
            <w:tcW w:w="4580" w:type="dxa"/>
          </w:tcPr>
          <w:p w14:paraId="004B575B" w14:textId="5C8DBF29" w:rsidR="0047705E" w:rsidRPr="00D134EB" w:rsidRDefault="00000000" w:rsidP="00B33235">
            <w:pPr>
              <w:jc w:val="both"/>
              <w:rPr>
                <w:rFonts w:ascii="Times New Roman" w:hAnsi="Times New Roman" w:cs="Times New Roman"/>
                <w:sz w:val="20"/>
                <w:szCs w:val="20"/>
              </w:rPr>
            </w:pPr>
            <w:hyperlink r:id="rId14" w:history="1">
              <w:r w:rsidR="0047705E" w:rsidRPr="00D134EB">
                <w:rPr>
                  <w:rStyle w:val="Hipervnculo"/>
                  <w:rFonts w:ascii="Times New Roman" w:hAnsi="Times New Roman" w:cs="Times New Roman"/>
                  <w:sz w:val="20"/>
                  <w:szCs w:val="20"/>
                </w:rPr>
                <w:t>https://www.dane.gov.co/files/investigaciones/boletines/ech/ech_genero/anexo_GEIH_sexo_feb22_abr22.xlsx</w:t>
              </w:r>
            </w:hyperlink>
          </w:p>
        </w:tc>
      </w:tr>
      <w:tr w:rsidR="008F46A6" w:rsidRPr="00D134EB" w14:paraId="6870C6E7" w14:textId="77777777" w:rsidTr="00810613">
        <w:tc>
          <w:tcPr>
            <w:tcW w:w="4248" w:type="dxa"/>
          </w:tcPr>
          <w:p w14:paraId="2018239A" w14:textId="1DAB939A" w:rsidR="0047705E" w:rsidRPr="00D134EB" w:rsidRDefault="0047705E" w:rsidP="00B33235">
            <w:pPr>
              <w:jc w:val="both"/>
              <w:rPr>
                <w:rFonts w:ascii="Times New Roman" w:hAnsi="Times New Roman" w:cs="Times New Roman"/>
                <w:sz w:val="20"/>
                <w:szCs w:val="20"/>
              </w:rPr>
            </w:pPr>
            <w:r w:rsidRPr="00D134EB">
              <w:rPr>
                <w:rFonts w:ascii="Times New Roman" w:hAnsi="Times New Roman" w:cs="Times New Roman"/>
                <w:sz w:val="20"/>
                <w:szCs w:val="20"/>
              </w:rPr>
              <w:t>Juventud, con principales indicadores del mercado laboral a nivel trimestral para la población de 15  a 28 años.</w:t>
            </w:r>
          </w:p>
        </w:tc>
        <w:tc>
          <w:tcPr>
            <w:tcW w:w="4580" w:type="dxa"/>
          </w:tcPr>
          <w:p w14:paraId="591A7E6B" w14:textId="5A4A3AB5" w:rsidR="0047705E" w:rsidRPr="00D134EB" w:rsidRDefault="00000000" w:rsidP="00B33235">
            <w:pPr>
              <w:jc w:val="both"/>
              <w:rPr>
                <w:rFonts w:ascii="Times New Roman" w:hAnsi="Times New Roman" w:cs="Times New Roman"/>
                <w:sz w:val="20"/>
                <w:szCs w:val="20"/>
              </w:rPr>
            </w:pPr>
            <w:hyperlink r:id="rId15" w:history="1">
              <w:r w:rsidR="0047705E" w:rsidRPr="00D134EB">
                <w:rPr>
                  <w:rStyle w:val="Hipervnculo"/>
                  <w:rFonts w:ascii="Times New Roman" w:hAnsi="Times New Roman" w:cs="Times New Roman"/>
                  <w:sz w:val="20"/>
                  <w:szCs w:val="20"/>
                </w:rPr>
                <w:t>https://www.dane.gov.co/files/investigaciones/boletines/ech/juventud/anexo_GEIH_juventud_feb22_abr22.xls</w:t>
              </w:r>
            </w:hyperlink>
          </w:p>
        </w:tc>
      </w:tr>
      <w:tr w:rsidR="008F46A6" w:rsidRPr="00D134EB" w14:paraId="2B52F8DF" w14:textId="77777777" w:rsidTr="00810613">
        <w:tc>
          <w:tcPr>
            <w:tcW w:w="4248" w:type="dxa"/>
          </w:tcPr>
          <w:p w14:paraId="498B8BAC" w14:textId="1EE8060A" w:rsidR="0047705E" w:rsidRPr="00D134EB" w:rsidRDefault="0047705E" w:rsidP="00B33235">
            <w:pPr>
              <w:jc w:val="both"/>
              <w:rPr>
                <w:rFonts w:ascii="Times New Roman" w:hAnsi="Times New Roman" w:cs="Times New Roman"/>
                <w:sz w:val="20"/>
                <w:szCs w:val="20"/>
              </w:rPr>
            </w:pPr>
            <w:r w:rsidRPr="00D134EB">
              <w:rPr>
                <w:rFonts w:ascii="Times New Roman" w:hAnsi="Times New Roman" w:cs="Times New Roman"/>
                <w:sz w:val="20"/>
                <w:szCs w:val="20"/>
              </w:rPr>
              <w:t>Información sobre población con y sin discapacidad. Presenta los principales indicadores a nivel trimestral.</w:t>
            </w:r>
          </w:p>
        </w:tc>
        <w:tc>
          <w:tcPr>
            <w:tcW w:w="4580" w:type="dxa"/>
          </w:tcPr>
          <w:p w14:paraId="097A13B7" w14:textId="463C794F" w:rsidR="0047705E" w:rsidRPr="00D134EB" w:rsidRDefault="00000000" w:rsidP="00B33235">
            <w:pPr>
              <w:jc w:val="both"/>
              <w:rPr>
                <w:rFonts w:ascii="Times New Roman" w:hAnsi="Times New Roman" w:cs="Times New Roman"/>
                <w:sz w:val="20"/>
                <w:szCs w:val="20"/>
              </w:rPr>
            </w:pPr>
            <w:hyperlink r:id="rId16" w:history="1">
              <w:r w:rsidR="0047705E" w:rsidRPr="00D134EB">
                <w:rPr>
                  <w:rStyle w:val="Hipervnculo"/>
                  <w:rFonts w:ascii="Times New Roman" w:hAnsi="Times New Roman" w:cs="Times New Roman"/>
                  <w:sz w:val="20"/>
                  <w:szCs w:val="20"/>
                </w:rPr>
                <w:t>https://www.dane.gov.co/files/investigaciones/boletines/ech/ech_poblacion_discapacidad/anexo_GEIH_dicapacidad_feb22_abr22.xlsx</w:t>
              </w:r>
            </w:hyperlink>
          </w:p>
        </w:tc>
      </w:tr>
    </w:tbl>
    <w:p w14:paraId="3F0F18F9" w14:textId="77777777" w:rsidR="007245DB" w:rsidRPr="00D134EB" w:rsidRDefault="007245DB" w:rsidP="00CB7C1B">
      <w:pPr>
        <w:jc w:val="center"/>
        <w:rPr>
          <w:rFonts w:ascii="Times New Roman" w:hAnsi="Times New Roman" w:cs="Times New Roman"/>
          <w:b/>
          <w:bCs/>
          <w:sz w:val="20"/>
          <w:szCs w:val="20"/>
        </w:rPr>
      </w:pPr>
    </w:p>
    <w:p w14:paraId="3FCC120C" w14:textId="5CE101CE" w:rsidR="00B33235" w:rsidRPr="00D134EB" w:rsidRDefault="00CB7C1B" w:rsidP="00CB7C1B">
      <w:pPr>
        <w:jc w:val="center"/>
        <w:rPr>
          <w:rFonts w:ascii="Times New Roman" w:hAnsi="Times New Roman" w:cs="Times New Roman"/>
        </w:rPr>
      </w:pPr>
      <w:r w:rsidRPr="00D134EB">
        <w:rPr>
          <w:rFonts w:ascii="Times New Roman" w:hAnsi="Times New Roman" w:cs="Times New Roman"/>
          <w:b/>
          <w:bCs/>
          <w:sz w:val="20"/>
          <w:szCs w:val="20"/>
        </w:rPr>
        <w:t>Tabla 2. Enlace de la Encuesta Nacional de Calidad de Vida – ECV- 2021</w:t>
      </w:r>
    </w:p>
    <w:p w14:paraId="563577A8" w14:textId="77777777" w:rsidR="00B33235" w:rsidRPr="00D134EB" w:rsidRDefault="00B33235" w:rsidP="00B33235">
      <w:pPr>
        <w:pStyle w:val="Prrafodelista"/>
        <w:ind w:left="1428"/>
        <w:jc w:val="both"/>
        <w:rPr>
          <w:rFonts w:ascii="Times New Roman" w:hAnsi="Times New Roman" w:cs="Times New Roman"/>
          <w:sz w:val="20"/>
          <w:szCs w:val="20"/>
        </w:rPr>
      </w:pPr>
    </w:p>
    <w:tbl>
      <w:tblPr>
        <w:tblStyle w:val="Tablaconcuadrcula"/>
        <w:tblW w:w="8930" w:type="dxa"/>
        <w:jc w:val="center"/>
        <w:tblLook w:val="04A0" w:firstRow="1" w:lastRow="0" w:firstColumn="1" w:lastColumn="0" w:noHBand="0" w:noVBand="1"/>
      </w:tblPr>
      <w:tblGrid>
        <w:gridCol w:w="4465"/>
        <w:gridCol w:w="4465"/>
      </w:tblGrid>
      <w:tr w:rsidR="00F82FA6" w:rsidRPr="00D134EB" w14:paraId="61ECCBFB" w14:textId="77777777" w:rsidTr="00BB13AC">
        <w:trPr>
          <w:trHeight w:val="299"/>
          <w:jc w:val="center"/>
        </w:trPr>
        <w:tc>
          <w:tcPr>
            <w:tcW w:w="4465" w:type="dxa"/>
          </w:tcPr>
          <w:p w14:paraId="60FC6AB0" w14:textId="4279F05F" w:rsidR="00F82FA6" w:rsidRPr="00D134EB" w:rsidRDefault="00F82FA6" w:rsidP="00153623">
            <w:pPr>
              <w:jc w:val="center"/>
              <w:rPr>
                <w:rFonts w:ascii="Times New Roman" w:hAnsi="Times New Roman" w:cs="Times New Roman"/>
                <w:b/>
                <w:bCs/>
                <w:sz w:val="20"/>
                <w:szCs w:val="20"/>
              </w:rPr>
            </w:pPr>
            <w:r w:rsidRPr="00D134EB">
              <w:rPr>
                <w:rFonts w:ascii="Times New Roman" w:hAnsi="Times New Roman" w:cs="Times New Roman"/>
                <w:b/>
                <w:bCs/>
                <w:sz w:val="20"/>
                <w:szCs w:val="20"/>
              </w:rPr>
              <w:t>Información</w:t>
            </w:r>
          </w:p>
        </w:tc>
        <w:tc>
          <w:tcPr>
            <w:tcW w:w="4465" w:type="dxa"/>
          </w:tcPr>
          <w:p w14:paraId="4E95BFD2" w14:textId="2BB53DCB" w:rsidR="00F82FA6" w:rsidRPr="00D134EB" w:rsidRDefault="00F82FA6" w:rsidP="00153623">
            <w:pPr>
              <w:pStyle w:val="Prrafodelista"/>
              <w:ind w:left="0"/>
              <w:jc w:val="center"/>
              <w:rPr>
                <w:rFonts w:ascii="Times New Roman" w:hAnsi="Times New Roman" w:cs="Times New Roman"/>
                <w:b/>
                <w:bCs/>
                <w:sz w:val="20"/>
                <w:szCs w:val="20"/>
              </w:rPr>
            </w:pPr>
            <w:r w:rsidRPr="00D134EB">
              <w:rPr>
                <w:rFonts w:ascii="Times New Roman" w:hAnsi="Times New Roman" w:cs="Times New Roman"/>
                <w:b/>
                <w:bCs/>
                <w:sz w:val="20"/>
                <w:szCs w:val="20"/>
              </w:rPr>
              <w:t>Enlace</w:t>
            </w:r>
          </w:p>
        </w:tc>
      </w:tr>
      <w:tr w:rsidR="00F82FA6" w:rsidRPr="00D134EB" w14:paraId="716D1B16" w14:textId="77777777" w:rsidTr="00BB13AC">
        <w:trPr>
          <w:trHeight w:val="575"/>
          <w:jc w:val="center"/>
        </w:trPr>
        <w:tc>
          <w:tcPr>
            <w:tcW w:w="4465" w:type="dxa"/>
          </w:tcPr>
          <w:p w14:paraId="50D8BD84" w14:textId="77777777" w:rsidR="00F82FA6" w:rsidRPr="00D134EB" w:rsidRDefault="00F82FA6" w:rsidP="00153623">
            <w:pPr>
              <w:jc w:val="both"/>
              <w:rPr>
                <w:rFonts w:ascii="Times New Roman" w:hAnsi="Times New Roman" w:cs="Times New Roman"/>
                <w:sz w:val="20"/>
                <w:szCs w:val="20"/>
              </w:rPr>
            </w:pPr>
            <w:r w:rsidRPr="00D134EB">
              <w:rPr>
                <w:rFonts w:ascii="Times New Roman" w:hAnsi="Times New Roman" w:cs="Times New Roman"/>
                <w:sz w:val="20"/>
                <w:szCs w:val="20"/>
              </w:rPr>
              <w:t>Encuesta Nacional de Calidad de Vida – ECV- 2021</w:t>
            </w:r>
          </w:p>
          <w:p w14:paraId="545A3D37" w14:textId="2F7F9521" w:rsidR="002E4DCC" w:rsidRPr="00D134EB" w:rsidRDefault="002E4DCC" w:rsidP="00153623">
            <w:pPr>
              <w:jc w:val="both"/>
              <w:rPr>
                <w:rFonts w:ascii="Times New Roman" w:hAnsi="Times New Roman" w:cs="Times New Roman"/>
                <w:sz w:val="20"/>
                <w:szCs w:val="20"/>
              </w:rPr>
            </w:pPr>
          </w:p>
        </w:tc>
        <w:tc>
          <w:tcPr>
            <w:tcW w:w="4465" w:type="dxa"/>
          </w:tcPr>
          <w:p w14:paraId="24EB4970" w14:textId="3A2F06FE" w:rsidR="002E4DCC" w:rsidRPr="00D134EB" w:rsidRDefault="00000000" w:rsidP="00B33235">
            <w:pPr>
              <w:pStyle w:val="Prrafodelista"/>
              <w:ind w:left="0"/>
              <w:jc w:val="both"/>
              <w:rPr>
                <w:rFonts w:ascii="Times New Roman" w:hAnsi="Times New Roman" w:cs="Times New Roman"/>
                <w:sz w:val="20"/>
                <w:szCs w:val="20"/>
              </w:rPr>
            </w:pPr>
            <w:hyperlink r:id="rId17" w:history="1">
              <w:r w:rsidR="002E4DCC" w:rsidRPr="00D134EB">
                <w:rPr>
                  <w:rStyle w:val="Hipervnculo"/>
                  <w:rFonts w:ascii="Times New Roman" w:hAnsi="Times New Roman" w:cs="Times New Roman"/>
                  <w:sz w:val="20"/>
                  <w:szCs w:val="20"/>
                </w:rPr>
                <w:t>https://www.dane.gov.co/index.php/estadisticas-por-tema/salud/calidad-de-vida-ecv</w:t>
              </w:r>
            </w:hyperlink>
          </w:p>
        </w:tc>
      </w:tr>
    </w:tbl>
    <w:p w14:paraId="4CF37B3F" w14:textId="5AAD606A" w:rsidR="00B33235" w:rsidRPr="00D134EB" w:rsidRDefault="00B33235" w:rsidP="00D608AE">
      <w:pPr>
        <w:rPr>
          <w:rFonts w:ascii="Times New Roman" w:hAnsi="Times New Roman" w:cs="Times New Roman"/>
          <w:b/>
          <w:bCs/>
          <w:sz w:val="20"/>
          <w:szCs w:val="20"/>
        </w:rPr>
      </w:pPr>
    </w:p>
    <w:p w14:paraId="4858B5E6" w14:textId="5A7BB6AD" w:rsidR="00D608AE" w:rsidRPr="00D134EB" w:rsidRDefault="00D608AE" w:rsidP="0078581A">
      <w:pPr>
        <w:pStyle w:val="Ttulo1"/>
        <w:spacing w:line="360" w:lineRule="auto"/>
        <w:jc w:val="center"/>
        <w:rPr>
          <w:rFonts w:ascii="Times New Roman" w:hAnsi="Times New Roman" w:cs="Times New Roman"/>
          <w:b/>
          <w:bCs/>
          <w:color w:val="auto"/>
          <w:sz w:val="24"/>
          <w:szCs w:val="24"/>
        </w:rPr>
      </w:pPr>
      <w:bookmarkStart w:id="13" w:name="_Toc116679738"/>
      <w:bookmarkStart w:id="14" w:name="_Toc116977714"/>
      <w:r w:rsidRPr="00D134EB">
        <w:rPr>
          <w:rFonts w:ascii="Times New Roman" w:hAnsi="Times New Roman" w:cs="Times New Roman"/>
          <w:b/>
          <w:bCs/>
          <w:color w:val="auto"/>
          <w:sz w:val="24"/>
          <w:szCs w:val="24"/>
        </w:rPr>
        <w:t xml:space="preserve">Anexo </w:t>
      </w:r>
      <w:r w:rsidR="00543492" w:rsidRPr="00D134EB">
        <w:rPr>
          <w:rFonts w:ascii="Times New Roman" w:hAnsi="Times New Roman" w:cs="Times New Roman"/>
          <w:b/>
          <w:bCs/>
          <w:color w:val="auto"/>
          <w:sz w:val="24"/>
          <w:szCs w:val="24"/>
        </w:rPr>
        <w:t>7</w:t>
      </w:r>
      <w:r w:rsidRPr="00D134EB">
        <w:rPr>
          <w:rFonts w:ascii="Times New Roman" w:hAnsi="Times New Roman" w:cs="Times New Roman"/>
          <w:b/>
          <w:bCs/>
          <w:color w:val="auto"/>
          <w:sz w:val="24"/>
          <w:szCs w:val="24"/>
        </w:rPr>
        <w:t>. Ministerio de Vivienda, Ciudad y Territorio</w:t>
      </w:r>
      <w:bookmarkEnd w:id="13"/>
      <w:bookmarkEnd w:id="14"/>
    </w:p>
    <w:p w14:paraId="3AD12881" w14:textId="25E6D75F" w:rsidR="00D608AE" w:rsidRPr="00D134EB" w:rsidRDefault="00D608AE"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Agenda programática para el cierre de brechas en el acceso adecuado al agua</w:t>
      </w:r>
      <w:r w:rsidR="00E22218" w:rsidRPr="00D134EB">
        <w:rPr>
          <w:rFonts w:ascii="Times New Roman" w:hAnsi="Times New Roman" w:cs="Times New Roman"/>
          <w:b/>
          <w:bCs/>
          <w:sz w:val="20"/>
          <w:szCs w:val="20"/>
        </w:rPr>
        <w:t>.</w:t>
      </w:r>
    </w:p>
    <w:tbl>
      <w:tblPr>
        <w:tblStyle w:val="Tablaconcuadrcula"/>
        <w:tblW w:w="0" w:type="auto"/>
        <w:tblLook w:val="04A0" w:firstRow="1" w:lastRow="0" w:firstColumn="1" w:lastColumn="0" w:noHBand="0" w:noVBand="1"/>
      </w:tblPr>
      <w:tblGrid>
        <w:gridCol w:w="2100"/>
        <w:gridCol w:w="6388"/>
      </w:tblGrid>
      <w:tr w:rsidR="00D608AE" w:rsidRPr="00D134EB" w14:paraId="7DC983AB" w14:textId="77777777" w:rsidTr="00307C80">
        <w:tc>
          <w:tcPr>
            <w:tcW w:w="2122" w:type="dxa"/>
          </w:tcPr>
          <w:p w14:paraId="65F6F4E8" w14:textId="5E1A05FF" w:rsidR="00D608AE" w:rsidRPr="00D134EB" w:rsidRDefault="00D608AE"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Iniciativa</w:t>
            </w:r>
          </w:p>
        </w:tc>
        <w:tc>
          <w:tcPr>
            <w:tcW w:w="6706" w:type="dxa"/>
          </w:tcPr>
          <w:p w14:paraId="4E1E5C58" w14:textId="20F11DD2" w:rsidR="00D608AE" w:rsidRPr="00D134EB" w:rsidRDefault="00D608AE"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Descripción</w:t>
            </w:r>
          </w:p>
        </w:tc>
      </w:tr>
      <w:tr w:rsidR="00D608AE" w:rsidRPr="00D134EB" w14:paraId="5EEC1606" w14:textId="77777777" w:rsidTr="00307C80">
        <w:tc>
          <w:tcPr>
            <w:tcW w:w="2122" w:type="dxa"/>
          </w:tcPr>
          <w:p w14:paraId="36CD1FF2" w14:textId="2BA49ADE" w:rsidR="00D608AE" w:rsidRPr="00D134EB" w:rsidRDefault="00423FE7" w:rsidP="00423FE7">
            <w:pPr>
              <w:rPr>
                <w:rFonts w:ascii="Times New Roman" w:hAnsi="Times New Roman" w:cs="Times New Roman"/>
                <w:b/>
                <w:bCs/>
                <w:sz w:val="20"/>
                <w:szCs w:val="20"/>
              </w:rPr>
            </w:pPr>
            <w:r w:rsidRPr="00D134EB">
              <w:rPr>
                <w:rFonts w:ascii="Times New Roman" w:hAnsi="Times New Roman" w:cs="Times New Roman"/>
                <w:b/>
                <w:bCs/>
                <w:sz w:val="20"/>
                <w:szCs w:val="20"/>
              </w:rPr>
              <w:t>Agua al Campo</w:t>
            </w:r>
          </w:p>
        </w:tc>
        <w:tc>
          <w:tcPr>
            <w:tcW w:w="6706" w:type="dxa"/>
          </w:tcPr>
          <w:p w14:paraId="764F653F" w14:textId="470AF590" w:rsidR="00D608AE" w:rsidRPr="00D134EB" w:rsidRDefault="00423FE7" w:rsidP="00423FE7">
            <w:pPr>
              <w:jc w:val="both"/>
              <w:rPr>
                <w:rFonts w:ascii="Times New Roman" w:hAnsi="Times New Roman" w:cs="Times New Roman"/>
                <w:b/>
                <w:bCs/>
                <w:sz w:val="20"/>
                <w:szCs w:val="20"/>
              </w:rPr>
            </w:pPr>
            <w:r w:rsidRPr="00D134EB">
              <w:rPr>
                <w:rFonts w:ascii="Times New Roman" w:hAnsi="Times New Roman" w:cs="Times New Roman"/>
                <w:sz w:val="20"/>
                <w:szCs w:val="20"/>
              </w:rPr>
              <w:t xml:space="preserve">Busca cerrar las brechas en materia de cobertura, continuidad y calidad en las zonas rurales del país, a través de la implementación de esquemas </w:t>
            </w:r>
            <w:r w:rsidRPr="00D134EB">
              <w:rPr>
                <w:rFonts w:ascii="Times New Roman" w:hAnsi="Times New Roman" w:cs="Times New Roman"/>
                <w:sz w:val="20"/>
                <w:szCs w:val="20"/>
              </w:rPr>
              <w:lastRenderedPageBreak/>
              <w:t>diferenciales. La estrategia tiene como principales aliados los Planes Departamentales de Agua, los prestadores rurales y las comunidades organizadas. Por otro lado, Agua al Campo se desarrolló a través de 3 ejes. El primer eje está relacionado a los sistemas de información que permiten diagnosticar la realidad de la ruralidad y tomar decisiones informadas, para lo que se fortalecieron los sistemas SINAS y SIASAR.  En segunda instancia, el eje de asistencia técnica y fortalecimiento comunitario impulsó la priorización de las necesidades de la ruralidad en los planes de acción e inversión de los PDA, además de las socializaciones sobre la normativa y política rural de agua directamente en los territorios. El último eje hace referencia a la priorización de la inversión para proyectos en las zonas rurales, de los cuales se logró la terminación de más de 75 proyectos</w:t>
            </w:r>
          </w:p>
        </w:tc>
      </w:tr>
      <w:tr w:rsidR="00D608AE" w:rsidRPr="00D134EB" w14:paraId="21EF4130" w14:textId="77777777" w:rsidTr="00307C80">
        <w:tc>
          <w:tcPr>
            <w:tcW w:w="2122" w:type="dxa"/>
          </w:tcPr>
          <w:p w14:paraId="2215D300" w14:textId="3406C3E2" w:rsidR="00D608AE" w:rsidRPr="00D134EB" w:rsidRDefault="00423FE7" w:rsidP="00423FE7">
            <w:pPr>
              <w:rPr>
                <w:rFonts w:ascii="Times New Roman" w:hAnsi="Times New Roman" w:cs="Times New Roman"/>
                <w:b/>
                <w:bCs/>
                <w:sz w:val="20"/>
                <w:szCs w:val="20"/>
              </w:rPr>
            </w:pPr>
            <w:r w:rsidRPr="00D134EB">
              <w:rPr>
                <w:rFonts w:ascii="Times New Roman" w:hAnsi="Times New Roman" w:cs="Times New Roman"/>
                <w:b/>
                <w:bCs/>
                <w:sz w:val="20"/>
                <w:szCs w:val="20"/>
              </w:rPr>
              <w:lastRenderedPageBreak/>
              <w:t>Agua al Barrio</w:t>
            </w:r>
          </w:p>
        </w:tc>
        <w:tc>
          <w:tcPr>
            <w:tcW w:w="6706" w:type="dxa"/>
          </w:tcPr>
          <w:p w14:paraId="3A4C7347" w14:textId="44F63A0B" w:rsidR="00D608AE" w:rsidRPr="00D134EB" w:rsidRDefault="00423FE7" w:rsidP="00423FE7">
            <w:pPr>
              <w:jc w:val="both"/>
              <w:rPr>
                <w:rFonts w:ascii="Times New Roman" w:hAnsi="Times New Roman" w:cs="Times New Roman"/>
                <w:b/>
                <w:bCs/>
                <w:sz w:val="20"/>
                <w:szCs w:val="20"/>
              </w:rPr>
            </w:pPr>
            <w:r w:rsidRPr="00D134EB">
              <w:rPr>
                <w:rFonts w:ascii="Times New Roman" w:hAnsi="Times New Roman" w:cs="Times New Roman"/>
                <w:sz w:val="20"/>
                <w:szCs w:val="20"/>
              </w:rPr>
              <w:t>Esta reglamenta y ejecuta los esquemas diferenciales de prestación de los servicios públicos domiciliarios de acueducto, alcantarillado y aseo para aquellas zonas en suelo urbano donde no es posible alcanzar los estándares de servicio establecidos en la regulación vigente. La estrategia está dirigida a la población urbana que ha sido excluida de la prestación de los servicios públicos de agua potable y saneamiento básico, por encontrarse en asentamientos humanos irregulares, municipios pequeños de difícil acceso y municipios intermedios con bajos niveles de ingreso. Durante el cuatrienio se logró avanzar en la identificación de municipios viables para la implementación de los proyectos piloto, recopilando información de los asentamientos urbanos informales con potencial de legalización. Como resultado se lograron conectar a más de 92 mil personas, se atendieron 58 barrios y se firmaron convenios con 14 municipios</w:t>
            </w:r>
          </w:p>
        </w:tc>
      </w:tr>
      <w:tr w:rsidR="00D608AE" w:rsidRPr="00D134EB" w14:paraId="7F47B982" w14:textId="77777777" w:rsidTr="00307C80">
        <w:tc>
          <w:tcPr>
            <w:tcW w:w="2122" w:type="dxa"/>
          </w:tcPr>
          <w:p w14:paraId="72A49278" w14:textId="48C2BED1" w:rsidR="00D608AE" w:rsidRPr="00D134EB" w:rsidRDefault="00423FE7" w:rsidP="00423FE7">
            <w:pPr>
              <w:rPr>
                <w:rFonts w:ascii="Times New Roman" w:hAnsi="Times New Roman" w:cs="Times New Roman"/>
                <w:b/>
                <w:bCs/>
                <w:sz w:val="20"/>
                <w:szCs w:val="20"/>
              </w:rPr>
            </w:pPr>
            <w:r w:rsidRPr="00D134EB">
              <w:rPr>
                <w:rFonts w:ascii="Times New Roman" w:hAnsi="Times New Roman" w:cs="Times New Roman"/>
                <w:b/>
                <w:bCs/>
                <w:sz w:val="20"/>
                <w:szCs w:val="20"/>
              </w:rPr>
              <w:t>Programa de Conexiones Intradomiciliarias</w:t>
            </w:r>
          </w:p>
        </w:tc>
        <w:tc>
          <w:tcPr>
            <w:tcW w:w="6706" w:type="dxa"/>
          </w:tcPr>
          <w:p w14:paraId="2E94031A" w14:textId="0A457F2D" w:rsidR="00D608AE" w:rsidRPr="00D134EB" w:rsidRDefault="002E5DDF" w:rsidP="002E5DDF">
            <w:pPr>
              <w:jc w:val="both"/>
              <w:rPr>
                <w:rFonts w:ascii="Times New Roman" w:hAnsi="Times New Roman" w:cs="Times New Roman"/>
                <w:b/>
                <w:bCs/>
                <w:sz w:val="20"/>
                <w:szCs w:val="20"/>
              </w:rPr>
            </w:pPr>
            <w:r w:rsidRPr="00D134EB">
              <w:rPr>
                <w:rFonts w:ascii="Times New Roman" w:hAnsi="Times New Roman" w:cs="Times New Roman"/>
                <w:sz w:val="20"/>
                <w:szCs w:val="20"/>
              </w:rPr>
              <w:t>Se ha implementado desde 2012 para dar solución a la falta de conectividad a los servicios de acueducto y alcantarillado en hogares colombianos estratos 1 y 2 mediante la construcción o mejoramiento de las conexiones intradomiciliarias y domiciliarias, cuando técnicamente se requieran. En el marco de la normativa vigente que rige la implementación del PCI a nivel nacional se seleccionan los municipios, se suscriben con las entidades territoriales, prestadores de servicios públicos y gestores de los Planes Departamentales de Agua los convenios de cooperación para la estructuración, evaluación de proyectos y asignación de recursos. En los últimos 4 años se lograron financiar más de 7 mil conexiones, beneficiando a municipios como Tadó, Atrato, María la Baja, Manatí, Campo de la Cruz, Sabanalarga, entre otros</w:t>
            </w:r>
          </w:p>
        </w:tc>
      </w:tr>
      <w:tr w:rsidR="00D608AE" w:rsidRPr="00D134EB" w14:paraId="09B5E4FC" w14:textId="77777777" w:rsidTr="00307C80">
        <w:tc>
          <w:tcPr>
            <w:tcW w:w="2122" w:type="dxa"/>
          </w:tcPr>
          <w:p w14:paraId="7DA4B1D9" w14:textId="29FF2711" w:rsidR="00D608AE" w:rsidRPr="00D134EB" w:rsidRDefault="00423FE7" w:rsidP="00423FE7">
            <w:pPr>
              <w:rPr>
                <w:rFonts w:ascii="Times New Roman" w:hAnsi="Times New Roman" w:cs="Times New Roman"/>
                <w:b/>
                <w:bCs/>
                <w:sz w:val="20"/>
                <w:szCs w:val="20"/>
              </w:rPr>
            </w:pPr>
            <w:r w:rsidRPr="00D134EB">
              <w:rPr>
                <w:rFonts w:ascii="Times New Roman" w:hAnsi="Times New Roman" w:cs="Times New Roman"/>
                <w:b/>
                <w:bCs/>
                <w:sz w:val="20"/>
                <w:szCs w:val="20"/>
              </w:rPr>
              <w:t>Guajira Azul</w:t>
            </w:r>
          </w:p>
        </w:tc>
        <w:tc>
          <w:tcPr>
            <w:tcW w:w="6706" w:type="dxa"/>
          </w:tcPr>
          <w:p w14:paraId="3247DB54" w14:textId="310A7E90" w:rsidR="00D608AE" w:rsidRPr="00D134EB" w:rsidRDefault="00310BFC" w:rsidP="00310BFC">
            <w:pPr>
              <w:jc w:val="both"/>
              <w:rPr>
                <w:rFonts w:ascii="Times New Roman" w:hAnsi="Times New Roman" w:cs="Times New Roman"/>
                <w:b/>
                <w:bCs/>
                <w:sz w:val="20"/>
                <w:szCs w:val="20"/>
              </w:rPr>
            </w:pPr>
            <w:r w:rsidRPr="00D134EB">
              <w:rPr>
                <w:rFonts w:ascii="Times New Roman" w:hAnsi="Times New Roman" w:cs="Times New Roman"/>
                <w:sz w:val="20"/>
                <w:szCs w:val="20"/>
                <w:lang w:val="es-MX"/>
              </w:rPr>
              <w:t xml:space="preserve">Es una estrategia de transformación social que busca asegurar la continuidad, cobertura y calidad de los servicios de agua potable y saneamiento básico, priorizando la atención de la población indígena y la sostenibilidad social, ambiental, financiera y técnica de las infraestructuras que se desarrollen en el departamento de La Guajira. Esta estrategia integral cuenta con dos componentes para focalizar las intervenciones de acuerdo a las necesidades locales: el primer componente es el urbano, con el cual se busca gestionar y construir proyectos en las zonas rurales de los 15 municipios incluyendo la optimización de sistemas de tratamiento de aguas residuales (STAR), la optimización o ampliación de las plantas de tratamiento de agua potable (PTAP), la optimización hidráulica de los sistemas de acueducto, la gestión de pérdidas de agua, la elaboración de planes maestros y planes de aseguramiento y el fortalecimiento de la gestión social, ambiental y del riesgo. El segundo componente es el rural, el cual ejecuta el modelo de distribución de agua para la población rural dispersa ubicada en la alta y media Guajira mediante la construcción de módulos de pilas públicas, los cuales garantizan una fuente de agua con su respectiva captación y tratamiento, el aseguramiento de la prestación del servicio y la gestión social para el fortalecimiento comunitario, la educación sanitaria de las comunidades y la puesta en marcha de la infraestructura. En el marco de toda la estrategia se han beneficiado más de 560 mil personas en los últimos 4 años. Por otro lado, a través de esquemas como las pilas públicas se logró aumentar la cobertura </w:t>
            </w:r>
            <w:r w:rsidRPr="00D134EB">
              <w:rPr>
                <w:rFonts w:ascii="Times New Roman" w:hAnsi="Times New Roman" w:cs="Times New Roman"/>
                <w:sz w:val="20"/>
                <w:szCs w:val="20"/>
                <w:lang w:val="es-MX"/>
              </w:rPr>
              <w:lastRenderedPageBreak/>
              <w:t>del acceso a agua potable en la zona rural dispersa de la alta y media Guajira del 4% al 22% en el mismo periodo de tiempo. Actualmente se ejecutan más módulos de pilas públicas que permitirán alcanzar una cobertura del 60%.</w:t>
            </w:r>
          </w:p>
        </w:tc>
      </w:tr>
    </w:tbl>
    <w:p w14:paraId="2F4CF377" w14:textId="1C4EDAE5" w:rsidR="00D608AE" w:rsidRPr="00D134EB" w:rsidRDefault="00D608AE" w:rsidP="00D608AE">
      <w:pPr>
        <w:jc w:val="center"/>
        <w:rPr>
          <w:rFonts w:ascii="Times New Roman" w:hAnsi="Times New Roman" w:cs="Times New Roman"/>
          <w:b/>
          <w:bCs/>
          <w:sz w:val="20"/>
          <w:szCs w:val="20"/>
        </w:rPr>
      </w:pPr>
    </w:p>
    <w:p w14:paraId="18304FB2" w14:textId="24693C96" w:rsidR="00A271E5" w:rsidRPr="00D134EB" w:rsidRDefault="00A271E5"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2. Medidas implementadas en los programas sobre desplazamiento forzado</w:t>
      </w:r>
    </w:p>
    <w:tbl>
      <w:tblPr>
        <w:tblStyle w:val="Tablaconcuadrcula"/>
        <w:tblW w:w="0" w:type="auto"/>
        <w:tblLook w:val="04A0" w:firstRow="1" w:lastRow="0" w:firstColumn="1" w:lastColumn="0" w:noHBand="0" w:noVBand="1"/>
      </w:tblPr>
      <w:tblGrid>
        <w:gridCol w:w="2084"/>
        <w:gridCol w:w="6404"/>
      </w:tblGrid>
      <w:tr w:rsidR="00A271E5" w:rsidRPr="00D134EB" w14:paraId="446D1099" w14:textId="77777777" w:rsidTr="009F7AFA">
        <w:tc>
          <w:tcPr>
            <w:tcW w:w="2122" w:type="dxa"/>
          </w:tcPr>
          <w:p w14:paraId="16B1E0BA" w14:textId="4F3E8DE6" w:rsidR="00A271E5" w:rsidRPr="00D134EB" w:rsidRDefault="00A271E5"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P</w:t>
            </w:r>
            <w:r w:rsidR="00334E68" w:rsidRPr="00D134EB">
              <w:rPr>
                <w:rFonts w:ascii="Times New Roman" w:hAnsi="Times New Roman" w:cs="Times New Roman"/>
                <w:b/>
                <w:bCs/>
                <w:sz w:val="20"/>
                <w:szCs w:val="20"/>
              </w:rPr>
              <w:t>rograma</w:t>
            </w:r>
          </w:p>
        </w:tc>
        <w:tc>
          <w:tcPr>
            <w:tcW w:w="6706" w:type="dxa"/>
          </w:tcPr>
          <w:p w14:paraId="4106FEE3" w14:textId="34411193" w:rsidR="00A271E5" w:rsidRPr="00D134EB" w:rsidRDefault="00334E68"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Medida</w:t>
            </w:r>
          </w:p>
        </w:tc>
      </w:tr>
      <w:tr w:rsidR="00A271E5" w:rsidRPr="00D134EB" w14:paraId="218F7BCC" w14:textId="77777777" w:rsidTr="009F7AFA">
        <w:tc>
          <w:tcPr>
            <w:tcW w:w="2122" w:type="dxa"/>
          </w:tcPr>
          <w:p w14:paraId="27229806" w14:textId="6E409692" w:rsidR="00A271E5" w:rsidRPr="00D134EB" w:rsidRDefault="00334E68" w:rsidP="00334E68">
            <w:pPr>
              <w:jc w:val="both"/>
              <w:rPr>
                <w:rFonts w:ascii="Times New Roman" w:hAnsi="Times New Roman" w:cs="Times New Roman"/>
                <w:b/>
                <w:bCs/>
                <w:sz w:val="20"/>
                <w:szCs w:val="20"/>
              </w:rPr>
            </w:pPr>
            <w:r w:rsidRPr="00D134EB">
              <w:rPr>
                <w:rFonts w:ascii="Times New Roman" w:hAnsi="Times New Roman" w:cs="Times New Roman"/>
                <w:b/>
                <w:bCs/>
                <w:sz w:val="20"/>
                <w:szCs w:val="20"/>
              </w:rPr>
              <w:t>Programa de mejoramiento, Casa Digna, Vida Digna</w:t>
            </w:r>
          </w:p>
        </w:tc>
        <w:tc>
          <w:tcPr>
            <w:tcW w:w="6706" w:type="dxa"/>
          </w:tcPr>
          <w:p w14:paraId="752EDADE" w14:textId="7EA0D0B2" w:rsidR="00A271E5" w:rsidRPr="00D134EB" w:rsidRDefault="001F6DF4" w:rsidP="00334E68">
            <w:pPr>
              <w:jc w:val="both"/>
              <w:rPr>
                <w:rFonts w:ascii="Times New Roman" w:hAnsi="Times New Roman" w:cs="Times New Roman"/>
                <w:b/>
                <w:bCs/>
                <w:sz w:val="20"/>
                <w:szCs w:val="20"/>
              </w:rPr>
            </w:pPr>
            <w:r w:rsidRPr="00D134EB">
              <w:rPr>
                <w:rFonts w:ascii="Times New Roman" w:hAnsi="Times New Roman" w:cs="Times New Roman"/>
                <w:sz w:val="20"/>
                <w:szCs w:val="20"/>
              </w:rPr>
              <w:t>Mediante el artículo 2.1.1.7.2 del Decreto 1077 de 2015 y la Resolución 406 del 25 de junio de 2019, se estableció un porcentaje mínimo del 10% de los cupos del programa para la población víctima de desplazamiento forzado, y un porcentaje adicional del 10% para el resto de la población vulnerable.</w:t>
            </w:r>
          </w:p>
        </w:tc>
      </w:tr>
      <w:tr w:rsidR="00A271E5" w:rsidRPr="00D134EB" w14:paraId="0875F523" w14:textId="77777777" w:rsidTr="009F7AFA">
        <w:tc>
          <w:tcPr>
            <w:tcW w:w="2122" w:type="dxa"/>
          </w:tcPr>
          <w:p w14:paraId="188D1269" w14:textId="0A814734" w:rsidR="00A271E5" w:rsidRPr="00D134EB" w:rsidRDefault="001F6DF4" w:rsidP="00334E68">
            <w:pPr>
              <w:jc w:val="both"/>
              <w:rPr>
                <w:rFonts w:ascii="Times New Roman" w:hAnsi="Times New Roman" w:cs="Times New Roman"/>
                <w:b/>
                <w:bCs/>
                <w:sz w:val="20"/>
                <w:szCs w:val="20"/>
              </w:rPr>
            </w:pPr>
            <w:r w:rsidRPr="00D134EB">
              <w:rPr>
                <w:rFonts w:ascii="Times New Roman" w:hAnsi="Times New Roman" w:cs="Times New Roman"/>
                <w:b/>
                <w:bCs/>
                <w:sz w:val="20"/>
                <w:szCs w:val="20"/>
              </w:rPr>
              <w:t>Programa Semillero de propietarios modalidad Arriendo</w:t>
            </w:r>
          </w:p>
        </w:tc>
        <w:tc>
          <w:tcPr>
            <w:tcW w:w="6706" w:type="dxa"/>
          </w:tcPr>
          <w:p w14:paraId="7707FCB0" w14:textId="2ED66B7F" w:rsidR="00A271E5" w:rsidRPr="00D134EB" w:rsidRDefault="00D5158D" w:rsidP="00334E68">
            <w:pPr>
              <w:jc w:val="both"/>
              <w:rPr>
                <w:rFonts w:ascii="Times New Roman" w:hAnsi="Times New Roman" w:cs="Times New Roman"/>
                <w:b/>
                <w:bCs/>
                <w:sz w:val="20"/>
                <w:szCs w:val="20"/>
              </w:rPr>
            </w:pPr>
            <w:r w:rsidRPr="00D134EB">
              <w:rPr>
                <w:rFonts w:ascii="Times New Roman" w:hAnsi="Times New Roman" w:cs="Times New Roman"/>
                <w:sz w:val="20"/>
                <w:szCs w:val="20"/>
              </w:rPr>
              <w:t>La atención preferencial de la población víctima del conflicto armado se regula en el artículo 2.1.1.6.3.1 al Decreto 1077 de 2015, el cual dispone que en la distribución de subsidios se destinará como mínimo un 20% de ellos bajo criterios de enfoque diferencial, incluyendo a los hogares integrados por la población consultada.</w:t>
            </w:r>
          </w:p>
        </w:tc>
      </w:tr>
      <w:tr w:rsidR="00A271E5" w:rsidRPr="00D134EB" w14:paraId="6CAEFA86" w14:textId="77777777" w:rsidTr="009F7AFA">
        <w:tc>
          <w:tcPr>
            <w:tcW w:w="2122" w:type="dxa"/>
          </w:tcPr>
          <w:p w14:paraId="3049E34F" w14:textId="1DC90841" w:rsidR="00A271E5" w:rsidRPr="00D134EB" w:rsidRDefault="001F6DF4" w:rsidP="00334E68">
            <w:pPr>
              <w:jc w:val="both"/>
              <w:rPr>
                <w:rFonts w:ascii="Times New Roman" w:hAnsi="Times New Roman" w:cs="Times New Roman"/>
                <w:b/>
                <w:bCs/>
                <w:sz w:val="20"/>
                <w:szCs w:val="20"/>
              </w:rPr>
            </w:pPr>
            <w:r w:rsidRPr="00D134EB">
              <w:rPr>
                <w:rFonts w:ascii="Times New Roman" w:hAnsi="Times New Roman" w:cs="Times New Roman"/>
                <w:b/>
                <w:bCs/>
                <w:sz w:val="20"/>
                <w:szCs w:val="20"/>
              </w:rPr>
              <w:t>Programa Semillero de propietarios modalidad ahorradores</w:t>
            </w:r>
          </w:p>
        </w:tc>
        <w:tc>
          <w:tcPr>
            <w:tcW w:w="6706" w:type="dxa"/>
          </w:tcPr>
          <w:p w14:paraId="1DA20BE4" w14:textId="3984BE5D" w:rsidR="00A271E5" w:rsidRPr="00D134EB" w:rsidRDefault="008579DD" w:rsidP="00334E68">
            <w:pPr>
              <w:jc w:val="both"/>
              <w:rPr>
                <w:rFonts w:ascii="Times New Roman" w:hAnsi="Times New Roman" w:cs="Times New Roman"/>
                <w:b/>
                <w:bCs/>
                <w:sz w:val="20"/>
                <w:szCs w:val="20"/>
              </w:rPr>
            </w:pPr>
            <w:r w:rsidRPr="00D134EB">
              <w:rPr>
                <w:rFonts w:ascii="Times New Roman" w:hAnsi="Times New Roman" w:cs="Times New Roman"/>
                <w:sz w:val="20"/>
                <w:szCs w:val="20"/>
              </w:rPr>
              <w:t>La aplicación de medidas diferenciales se prevé en el artículo 2.1.1.9.11 del Decreto 1077 de 2015, estipulando que un 20% de cupos se destinará a población vulnerable, incluyendo a la población víctima del conflicto armado.</w:t>
            </w:r>
          </w:p>
        </w:tc>
      </w:tr>
      <w:tr w:rsidR="00A271E5" w:rsidRPr="00D134EB" w14:paraId="2808AD34" w14:textId="77777777" w:rsidTr="009F7AFA">
        <w:tc>
          <w:tcPr>
            <w:tcW w:w="2122" w:type="dxa"/>
          </w:tcPr>
          <w:p w14:paraId="0FCDD893" w14:textId="79E92D7A" w:rsidR="00A271E5" w:rsidRPr="00D134EB" w:rsidRDefault="001F6DF4" w:rsidP="00334E68">
            <w:pPr>
              <w:jc w:val="both"/>
              <w:rPr>
                <w:rFonts w:ascii="Times New Roman" w:hAnsi="Times New Roman" w:cs="Times New Roman"/>
                <w:b/>
                <w:bCs/>
                <w:sz w:val="20"/>
                <w:szCs w:val="20"/>
              </w:rPr>
            </w:pPr>
            <w:r w:rsidRPr="00D134EB">
              <w:rPr>
                <w:rFonts w:ascii="Times New Roman" w:hAnsi="Times New Roman" w:cs="Times New Roman"/>
                <w:b/>
                <w:bCs/>
                <w:sz w:val="20"/>
                <w:szCs w:val="20"/>
              </w:rPr>
              <w:t>Programa Mi Casa Ya</w:t>
            </w:r>
          </w:p>
        </w:tc>
        <w:tc>
          <w:tcPr>
            <w:tcW w:w="6706" w:type="dxa"/>
          </w:tcPr>
          <w:p w14:paraId="66FA3679" w14:textId="1C31E9D1" w:rsidR="00A271E5" w:rsidRPr="00D134EB" w:rsidRDefault="007D0FA0" w:rsidP="00334E68">
            <w:pPr>
              <w:jc w:val="both"/>
              <w:rPr>
                <w:rFonts w:ascii="Times New Roman" w:hAnsi="Times New Roman" w:cs="Times New Roman"/>
                <w:b/>
                <w:bCs/>
                <w:sz w:val="20"/>
                <w:szCs w:val="20"/>
              </w:rPr>
            </w:pPr>
            <w:r w:rsidRPr="00D134EB">
              <w:rPr>
                <w:rFonts w:ascii="Times New Roman" w:hAnsi="Times New Roman" w:cs="Times New Roman"/>
                <w:sz w:val="20"/>
                <w:szCs w:val="20"/>
              </w:rPr>
              <w:t>El artículo 2.1.1.4.1.3.2 del Decreto 1077 de 2015 prevé que los hogares que se encuentren incluidos en el Registro Único de Población Desplazada, podrán sumar el subsidio asignado previamente con el otorgado en Mi Casa Ya, mejorando así las condiciones para lograr con mayor facilidad el cierre financiero en la compra de una vivienda de interés social nueva urbana.</w:t>
            </w:r>
          </w:p>
        </w:tc>
      </w:tr>
    </w:tbl>
    <w:p w14:paraId="7D5B67D0" w14:textId="77777777" w:rsidR="00A271E5" w:rsidRPr="00D134EB" w:rsidRDefault="00A271E5" w:rsidP="00543492">
      <w:pPr>
        <w:rPr>
          <w:rFonts w:ascii="Times New Roman" w:hAnsi="Times New Roman" w:cs="Times New Roman"/>
          <w:b/>
          <w:bCs/>
          <w:sz w:val="20"/>
          <w:szCs w:val="20"/>
        </w:rPr>
      </w:pPr>
    </w:p>
    <w:p w14:paraId="07AC9F2C" w14:textId="63D4DFA0" w:rsidR="00C34929" w:rsidRPr="00D134EB" w:rsidRDefault="00C34929" w:rsidP="0078581A">
      <w:pPr>
        <w:pStyle w:val="Ttulo1"/>
        <w:spacing w:line="360" w:lineRule="auto"/>
        <w:jc w:val="center"/>
        <w:rPr>
          <w:rFonts w:ascii="Times New Roman" w:hAnsi="Times New Roman" w:cs="Times New Roman"/>
          <w:b/>
          <w:bCs/>
          <w:color w:val="auto"/>
          <w:sz w:val="24"/>
          <w:szCs w:val="24"/>
        </w:rPr>
      </w:pPr>
      <w:bookmarkStart w:id="15" w:name="_Toc116679739"/>
      <w:bookmarkStart w:id="16" w:name="_Toc116977715"/>
      <w:r w:rsidRPr="00D134EB">
        <w:rPr>
          <w:rFonts w:ascii="Times New Roman" w:hAnsi="Times New Roman" w:cs="Times New Roman"/>
          <w:b/>
          <w:bCs/>
          <w:color w:val="auto"/>
          <w:sz w:val="24"/>
          <w:szCs w:val="24"/>
        </w:rPr>
        <w:t xml:space="preserve">Anexo </w:t>
      </w:r>
      <w:r w:rsidR="00D410B0" w:rsidRPr="00D134EB">
        <w:rPr>
          <w:rFonts w:ascii="Times New Roman" w:hAnsi="Times New Roman" w:cs="Times New Roman"/>
          <w:b/>
          <w:bCs/>
          <w:color w:val="auto"/>
          <w:sz w:val="24"/>
          <w:szCs w:val="24"/>
        </w:rPr>
        <w:t>8</w:t>
      </w:r>
      <w:r w:rsidRPr="00D134EB">
        <w:rPr>
          <w:rFonts w:ascii="Times New Roman" w:hAnsi="Times New Roman" w:cs="Times New Roman"/>
          <w:b/>
          <w:bCs/>
          <w:color w:val="auto"/>
          <w:sz w:val="24"/>
          <w:szCs w:val="24"/>
        </w:rPr>
        <w:t>. Ministerio de Ambiente y Desarrollo Sostenible</w:t>
      </w:r>
      <w:bookmarkEnd w:id="15"/>
      <w:bookmarkEnd w:id="16"/>
    </w:p>
    <w:p w14:paraId="24A1C4DA" w14:textId="07F0FAB4" w:rsidR="00C34929" w:rsidRPr="00D134EB" w:rsidRDefault="00C34929" w:rsidP="00C34929">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Avances del Ministerio de Ambiente para el cuidado del agua</w:t>
      </w:r>
    </w:p>
    <w:tbl>
      <w:tblPr>
        <w:tblStyle w:val="Tablaconcuadrcula"/>
        <w:tblW w:w="0" w:type="auto"/>
        <w:tblLook w:val="04A0" w:firstRow="1" w:lastRow="0" w:firstColumn="1" w:lastColumn="0" w:noHBand="0" w:noVBand="1"/>
      </w:tblPr>
      <w:tblGrid>
        <w:gridCol w:w="2090"/>
        <w:gridCol w:w="6398"/>
      </w:tblGrid>
      <w:tr w:rsidR="00C34929" w:rsidRPr="00D134EB" w14:paraId="41FD6BB7" w14:textId="77777777" w:rsidTr="00BA30E8">
        <w:tc>
          <w:tcPr>
            <w:tcW w:w="2122" w:type="dxa"/>
          </w:tcPr>
          <w:p w14:paraId="5406C8E8" w14:textId="1FDB0448" w:rsidR="00C34929" w:rsidRPr="00D134EB" w:rsidRDefault="00C34929"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Avance</w:t>
            </w:r>
          </w:p>
        </w:tc>
        <w:tc>
          <w:tcPr>
            <w:tcW w:w="6706" w:type="dxa"/>
          </w:tcPr>
          <w:p w14:paraId="235654BC" w14:textId="34750296" w:rsidR="00C34929" w:rsidRPr="00D134EB" w:rsidRDefault="00C34929"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Descripción</w:t>
            </w:r>
          </w:p>
        </w:tc>
      </w:tr>
      <w:tr w:rsidR="00C34929" w:rsidRPr="00D134EB" w14:paraId="77DE13F5" w14:textId="77777777" w:rsidTr="00BA30E8">
        <w:tc>
          <w:tcPr>
            <w:tcW w:w="2122" w:type="dxa"/>
          </w:tcPr>
          <w:p w14:paraId="321A26E5" w14:textId="08082F43" w:rsidR="00C34929" w:rsidRPr="00D134EB" w:rsidRDefault="00C34929" w:rsidP="00C34929">
            <w:pPr>
              <w:jc w:val="both"/>
              <w:rPr>
                <w:rFonts w:ascii="Times New Roman" w:hAnsi="Times New Roman" w:cs="Times New Roman"/>
                <w:b/>
                <w:bCs/>
                <w:sz w:val="20"/>
                <w:szCs w:val="20"/>
              </w:rPr>
            </w:pPr>
            <w:r w:rsidRPr="00D134EB">
              <w:rPr>
                <w:rFonts w:ascii="Times New Roman" w:hAnsi="Times New Roman" w:cs="Times New Roman"/>
                <w:b/>
                <w:bCs/>
                <w:sz w:val="20"/>
                <w:szCs w:val="20"/>
              </w:rPr>
              <w:t>Reglamentación de la Ley 373 de 1997, en lo relacionado con el Programa para el Uso Eficiente y Ahorro de Agua</w:t>
            </w:r>
          </w:p>
        </w:tc>
        <w:tc>
          <w:tcPr>
            <w:tcW w:w="6706" w:type="dxa"/>
          </w:tcPr>
          <w:p w14:paraId="3052E9BF" w14:textId="0C14D266" w:rsidR="00C34929" w:rsidRPr="00D134EB" w:rsidRDefault="00C34929" w:rsidP="00C34929">
            <w:pPr>
              <w:jc w:val="both"/>
              <w:rPr>
                <w:rFonts w:ascii="Times New Roman" w:hAnsi="Times New Roman" w:cs="Times New Roman"/>
                <w:b/>
                <w:bCs/>
                <w:sz w:val="20"/>
                <w:szCs w:val="20"/>
              </w:rPr>
            </w:pPr>
            <w:r w:rsidRPr="00D134EB">
              <w:rPr>
                <w:rFonts w:ascii="Times New Roman" w:hAnsi="Times New Roman" w:cs="Times New Roman"/>
                <w:sz w:val="20"/>
                <w:szCs w:val="20"/>
              </w:rPr>
              <w:t>Decreto 1090 de 2018, “Por el cual se adiciona el Decreto 1076 de 2015, Decreto Único Reglamentario del Sector Ambiente y Desarrollo Sostenible, en lo relacionado con el Programa para el Uso Eficiente y Ahorro de Agua y se dictan otras disposiciones”; Resolución 1257 de 2018 y Resolución 1207 de 2014, norma que incentiva el empleo de aguas residuales para el desarrollo de actividades, disminuyendo la presión que se genera a los cuerpos de agua naturales.</w:t>
            </w:r>
          </w:p>
        </w:tc>
      </w:tr>
      <w:tr w:rsidR="00C34929" w:rsidRPr="00D134EB" w14:paraId="131B16D4" w14:textId="77777777" w:rsidTr="00BA30E8">
        <w:tc>
          <w:tcPr>
            <w:tcW w:w="2122" w:type="dxa"/>
          </w:tcPr>
          <w:p w14:paraId="1DB09A76" w14:textId="474A538B" w:rsidR="00C34929" w:rsidRPr="00D134EB" w:rsidRDefault="00C34929" w:rsidP="00C34929">
            <w:pPr>
              <w:jc w:val="both"/>
              <w:rPr>
                <w:rFonts w:ascii="Times New Roman" w:hAnsi="Times New Roman" w:cs="Times New Roman"/>
                <w:b/>
                <w:bCs/>
                <w:sz w:val="20"/>
                <w:szCs w:val="20"/>
              </w:rPr>
            </w:pPr>
            <w:r w:rsidRPr="00D134EB">
              <w:rPr>
                <w:rFonts w:ascii="Times New Roman" w:hAnsi="Times New Roman" w:cs="Times New Roman"/>
                <w:b/>
                <w:bCs/>
                <w:sz w:val="20"/>
                <w:szCs w:val="20"/>
              </w:rPr>
              <w:t>Generación de documentos de orientación técnica</w:t>
            </w:r>
          </w:p>
        </w:tc>
        <w:tc>
          <w:tcPr>
            <w:tcW w:w="6706" w:type="dxa"/>
          </w:tcPr>
          <w:p w14:paraId="1B226F78" w14:textId="215176DB" w:rsidR="00C34929" w:rsidRPr="00D134EB" w:rsidRDefault="00C34929" w:rsidP="00C34929">
            <w:pPr>
              <w:jc w:val="both"/>
              <w:rPr>
                <w:rFonts w:ascii="Times New Roman" w:hAnsi="Times New Roman" w:cs="Times New Roman"/>
                <w:b/>
                <w:bCs/>
                <w:sz w:val="20"/>
                <w:szCs w:val="20"/>
              </w:rPr>
            </w:pPr>
            <w:r w:rsidRPr="00D134EB">
              <w:rPr>
                <w:rFonts w:ascii="Times New Roman" w:hAnsi="Times New Roman" w:cs="Times New Roman"/>
                <w:sz w:val="20"/>
                <w:szCs w:val="20"/>
              </w:rPr>
              <w:t>Guía de Uso Eficiente y Ahorro del Agua de 2018 y Documento de Orientación Metodológica para la Estimación del Módulo de Consumo de Agua 2019.</w:t>
            </w:r>
          </w:p>
        </w:tc>
      </w:tr>
      <w:tr w:rsidR="00C34929" w:rsidRPr="00D134EB" w14:paraId="6DBB1E1E" w14:textId="77777777" w:rsidTr="00BA30E8">
        <w:tc>
          <w:tcPr>
            <w:tcW w:w="2122" w:type="dxa"/>
          </w:tcPr>
          <w:p w14:paraId="11477A64" w14:textId="0A74C284" w:rsidR="00C34929" w:rsidRPr="00D134EB" w:rsidRDefault="00C34929" w:rsidP="00C34929">
            <w:pPr>
              <w:jc w:val="both"/>
              <w:rPr>
                <w:rFonts w:ascii="Times New Roman" w:hAnsi="Times New Roman" w:cs="Times New Roman"/>
                <w:b/>
                <w:bCs/>
                <w:sz w:val="20"/>
                <w:szCs w:val="20"/>
              </w:rPr>
            </w:pPr>
            <w:r w:rsidRPr="00D134EB">
              <w:rPr>
                <w:rFonts w:ascii="Times New Roman" w:hAnsi="Times New Roman" w:cs="Times New Roman"/>
                <w:b/>
                <w:bCs/>
                <w:sz w:val="20"/>
                <w:szCs w:val="20"/>
              </w:rPr>
              <w:t>Resolución 1256 de noviembre 23 de 2021</w:t>
            </w:r>
          </w:p>
        </w:tc>
        <w:tc>
          <w:tcPr>
            <w:tcW w:w="6706" w:type="dxa"/>
          </w:tcPr>
          <w:p w14:paraId="7E2F0AB8" w14:textId="107A4B1D" w:rsidR="00C34929" w:rsidRPr="00D134EB" w:rsidRDefault="00C34929" w:rsidP="00C34929">
            <w:pPr>
              <w:jc w:val="both"/>
              <w:rPr>
                <w:rFonts w:ascii="Times New Roman" w:hAnsi="Times New Roman" w:cs="Times New Roman"/>
                <w:sz w:val="20"/>
                <w:szCs w:val="20"/>
              </w:rPr>
            </w:pPr>
            <w:r w:rsidRPr="00D134EB">
              <w:rPr>
                <w:rFonts w:ascii="Times New Roman" w:hAnsi="Times New Roman" w:cs="Times New Roman"/>
                <w:sz w:val="20"/>
                <w:szCs w:val="20"/>
              </w:rPr>
              <w:t>A través de la cual el Min</w:t>
            </w:r>
            <w:r w:rsidR="003F65ED" w:rsidRPr="00D134EB">
              <w:rPr>
                <w:rFonts w:ascii="Times New Roman" w:hAnsi="Times New Roman" w:cs="Times New Roman"/>
                <w:sz w:val="20"/>
                <w:szCs w:val="20"/>
              </w:rPr>
              <w:t xml:space="preserve">isterio de </w:t>
            </w:r>
            <w:r w:rsidRPr="00D134EB">
              <w:rPr>
                <w:rFonts w:ascii="Times New Roman" w:hAnsi="Times New Roman" w:cs="Times New Roman"/>
                <w:sz w:val="20"/>
                <w:szCs w:val="20"/>
              </w:rPr>
              <w:t>Ambiente, reglamentó el uso de aguas residuales en el país. Esta resolución se convierte en un instrumento valioso en el marco del uso eficiente del agua y al tiempo, fomentando el aprovechamiento de los recursos naturales bajo el modelo de economía circular.</w:t>
            </w:r>
          </w:p>
        </w:tc>
      </w:tr>
    </w:tbl>
    <w:p w14:paraId="2777122E" w14:textId="7223D989" w:rsidR="00C34929" w:rsidRPr="00D134EB" w:rsidRDefault="00C34929" w:rsidP="00D608AE">
      <w:pPr>
        <w:jc w:val="center"/>
        <w:rPr>
          <w:rFonts w:ascii="Times New Roman" w:hAnsi="Times New Roman" w:cs="Times New Roman"/>
          <w:b/>
          <w:bCs/>
          <w:sz w:val="20"/>
          <w:szCs w:val="20"/>
        </w:rPr>
      </w:pPr>
    </w:p>
    <w:p w14:paraId="645D509B" w14:textId="5C17E989" w:rsidR="006D4D35" w:rsidRPr="00D134EB" w:rsidRDefault="006D4D35" w:rsidP="0078581A">
      <w:pPr>
        <w:pStyle w:val="Ttulo1"/>
        <w:spacing w:line="360" w:lineRule="auto"/>
        <w:jc w:val="center"/>
        <w:rPr>
          <w:rFonts w:ascii="Times New Roman" w:hAnsi="Times New Roman" w:cs="Times New Roman"/>
          <w:b/>
          <w:bCs/>
          <w:color w:val="auto"/>
          <w:sz w:val="24"/>
          <w:szCs w:val="24"/>
        </w:rPr>
      </w:pPr>
      <w:bookmarkStart w:id="17" w:name="_Toc116679740"/>
      <w:bookmarkStart w:id="18" w:name="_Toc116977716"/>
      <w:r w:rsidRPr="00D134EB">
        <w:rPr>
          <w:rFonts w:ascii="Times New Roman" w:hAnsi="Times New Roman" w:cs="Times New Roman"/>
          <w:b/>
          <w:bCs/>
          <w:color w:val="auto"/>
          <w:sz w:val="24"/>
          <w:szCs w:val="24"/>
        </w:rPr>
        <w:t xml:space="preserve">Anexo </w:t>
      </w:r>
      <w:r w:rsidR="00D410B0" w:rsidRPr="00D134EB">
        <w:rPr>
          <w:rFonts w:ascii="Times New Roman" w:hAnsi="Times New Roman" w:cs="Times New Roman"/>
          <w:b/>
          <w:bCs/>
          <w:color w:val="auto"/>
          <w:sz w:val="24"/>
          <w:szCs w:val="24"/>
        </w:rPr>
        <w:t>9</w:t>
      </w:r>
      <w:r w:rsidRPr="00D134EB">
        <w:rPr>
          <w:rFonts w:ascii="Times New Roman" w:hAnsi="Times New Roman" w:cs="Times New Roman"/>
          <w:b/>
          <w:bCs/>
          <w:color w:val="auto"/>
          <w:sz w:val="24"/>
          <w:szCs w:val="24"/>
        </w:rPr>
        <w:t>. Ministerio de Salud y Protección Social</w:t>
      </w:r>
      <w:bookmarkEnd w:id="17"/>
      <w:bookmarkEnd w:id="18"/>
    </w:p>
    <w:p w14:paraId="2EC1773E" w14:textId="499E986B" w:rsidR="006D4D35" w:rsidRPr="00D134EB" w:rsidRDefault="006D4D35"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Acciones implementadas para prevenir el VIH/SIDA y otras enfermedades de transmisión sexual</w:t>
      </w:r>
    </w:p>
    <w:tbl>
      <w:tblPr>
        <w:tblStyle w:val="Tablaconcuadrcula"/>
        <w:tblW w:w="0" w:type="auto"/>
        <w:tblLook w:val="04A0" w:firstRow="1" w:lastRow="0" w:firstColumn="1" w:lastColumn="0" w:noHBand="0" w:noVBand="1"/>
      </w:tblPr>
      <w:tblGrid>
        <w:gridCol w:w="2083"/>
        <w:gridCol w:w="6405"/>
      </w:tblGrid>
      <w:tr w:rsidR="006D4D35" w:rsidRPr="00D134EB" w14:paraId="13C05903" w14:textId="77777777" w:rsidTr="00D410B0">
        <w:tc>
          <w:tcPr>
            <w:tcW w:w="2122" w:type="dxa"/>
          </w:tcPr>
          <w:p w14:paraId="2E164BB2" w14:textId="77777777" w:rsidR="00796F6D" w:rsidRPr="00D134EB" w:rsidRDefault="00796F6D" w:rsidP="00D608AE">
            <w:pPr>
              <w:jc w:val="center"/>
              <w:rPr>
                <w:rFonts w:ascii="Times New Roman" w:hAnsi="Times New Roman" w:cs="Times New Roman"/>
                <w:b/>
                <w:bCs/>
                <w:sz w:val="20"/>
                <w:szCs w:val="20"/>
              </w:rPr>
            </w:pPr>
          </w:p>
          <w:p w14:paraId="6F14C4FC" w14:textId="77777777" w:rsidR="00796F6D" w:rsidRPr="00D134EB" w:rsidRDefault="00796F6D" w:rsidP="00D608AE">
            <w:pPr>
              <w:jc w:val="center"/>
              <w:rPr>
                <w:rFonts w:ascii="Times New Roman" w:hAnsi="Times New Roman" w:cs="Times New Roman"/>
                <w:b/>
                <w:bCs/>
                <w:sz w:val="20"/>
                <w:szCs w:val="20"/>
              </w:rPr>
            </w:pPr>
          </w:p>
          <w:p w14:paraId="48BA4A1B" w14:textId="77777777" w:rsidR="00796F6D" w:rsidRPr="00D134EB" w:rsidRDefault="00796F6D" w:rsidP="00D608AE">
            <w:pPr>
              <w:jc w:val="center"/>
              <w:rPr>
                <w:rFonts w:ascii="Times New Roman" w:hAnsi="Times New Roman" w:cs="Times New Roman"/>
                <w:b/>
                <w:bCs/>
                <w:sz w:val="20"/>
                <w:szCs w:val="20"/>
              </w:rPr>
            </w:pPr>
          </w:p>
          <w:p w14:paraId="4D40C50D" w14:textId="77777777" w:rsidR="00796F6D" w:rsidRPr="00D134EB" w:rsidRDefault="00796F6D" w:rsidP="00D608AE">
            <w:pPr>
              <w:jc w:val="center"/>
              <w:rPr>
                <w:rFonts w:ascii="Times New Roman" w:hAnsi="Times New Roman" w:cs="Times New Roman"/>
                <w:b/>
                <w:bCs/>
                <w:sz w:val="20"/>
                <w:szCs w:val="20"/>
              </w:rPr>
            </w:pPr>
          </w:p>
          <w:p w14:paraId="16BFC75B" w14:textId="77777777" w:rsidR="00796F6D" w:rsidRPr="00D134EB" w:rsidRDefault="00796F6D" w:rsidP="00D608AE">
            <w:pPr>
              <w:jc w:val="center"/>
              <w:rPr>
                <w:rFonts w:ascii="Times New Roman" w:hAnsi="Times New Roman" w:cs="Times New Roman"/>
                <w:b/>
                <w:bCs/>
                <w:sz w:val="20"/>
                <w:szCs w:val="20"/>
              </w:rPr>
            </w:pPr>
          </w:p>
          <w:p w14:paraId="4BB20B60" w14:textId="77777777" w:rsidR="00796F6D" w:rsidRPr="00D134EB" w:rsidRDefault="00796F6D" w:rsidP="00D608AE">
            <w:pPr>
              <w:jc w:val="center"/>
              <w:rPr>
                <w:rFonts w:ascii="Times New Roman" w:hAnsi="Times New Roman" w:cs="Times New Roman"/>
                <w:b/>
                <w:bCs/>
                <w:sz w:val="20"/>
                <w:szCs w:val="20"/>
              </w:rPr>
            </w:pPr>
          </w:p>
          <w:p w14:paraId="161DBECD" w14:textId="77777777" w:rsidR="00796F6D" w:rsidRPr="00D134EB" w:rsidRDefault="00796F6D" w:rsidP="00D608AE">
            <w:pPr>
              <w:jc w:val="center"/>
              <w:rPr>
                <w:rFonts w:ascii="Times New Roman" w:hAnsi="Times New Roman" w:cs="Times New Roman"/>
                <w:b/>
                <w:bCs/>
                <w:sz w:val="20"/>
                <w:szCs w:val="20"/>
              </w:rPr>
            </w:pPr>
          </w:p>
          <w:p w14:paraId="00D824B0" w14:textId="77777777" w:rsidR="00796F6D" w:rsidRPr="00D134EB" w:rsidRDefault="00796F6D" w:rsidP="00D608AE">
            <w:pPr>
              <w:jc w:val="center"/>
              <w:rPr>
                <w:rFonts w:ascii="Times New Roman" w:hAnsi="Times New Roman" w:cs="Times New Roman"/>
                <w:b/>
                <w:bCs/>
                <w:sz w:val="20"/>
                <w:szCs w:val="20"/>
              </w:rPr>
            </w:pPr>
          </w:p>
          <w:p w14:paraId="5A35A40A" w14:textId="77777777" w:rsidR="00796F6D" w:rsidRPr="00D134EB" w:rsidRDefault="00796F6D" w:rsidP="00D608AE">
            <w:pPr>
              <w:jc w:val="center"/>
              <w:rPr>
                <w:rFonts w:ascii="Times New Roman" w:hAnsi="Times New Roman" w:cs="Times New Roman"/>
                <w:b/>
                <w:bCs/>
                <w:sz w:val="20"/>
                <w:szCs w:val="20"/>
              </w:rPr>
            </w:pPr>
          </w:p>
          <w:p w14:paraId="5A3312D6" w14:textId="77777777" w:rsidR="00796F6D" w:rsidRPr="00D134EB" w:rsidRDefault="00796F6D" w:rsidP="00D608AE">
            <w:pPr>
              <w:jc w:val="center"/>
              <w:rPr>
                <w:rFonts w:ascii="Times New Roman" w:hAnsi="Times New Roman" w:cs="Times New Roman"/>
                <w:b/>
                <w:bCs/>
                <w:sz w:val="20"/>
                <w:szCs w:val="20"/>
              </w:rPr>
            </w:pPr>
          </w:p>
          <w:p w14:paraId="1A8E5D3C" w14:textId="77777777" w:rsidR="00796F6D" w:rsidRPr="00D134EB" w:rsidRDefault="00796F6D" w:rsidP="00D608AE">
            <w:pPr>
              <w:jc w:val="center"/>
              <w:rPr>
                <w:rFonts w:ascii="Times New Roman" w:hAnsi="Times New Roman" w:cs="Times New Roman"/>
                <w:b/>
                <w:bCs/>
                <w:sz w:val="20"/>
                <w:szCs w:val="20"/>
              </w:rPr>
            </w:pPr>
          </w:p>
          <w:p w14:paraId="01E81E85" w14:textId="77777777" w:rsidR="00796F6D" w:rsidRPr="00D134EB" w:rsidRDefault="00796F6D" w:rsidP="00D608AE">
            <w:pPr>
              <w:jc w:val="center"/>
              <w:rPr>
                <w:rFonts w:ascii="Times New Roman" w:hAnsi="Times New Roman" w:cs="Times New Roman"/>
                <w:b/>
                <w:bCs/>
                <w:sz w:val="20"/>
                <w:szCs w:val="20"/>
              </w:rPr>
            </w:pPr>
          </w:p>
          <w:p w14:paraId="0C659307" w14:textId="77777777" w:rsidR="00796F6D" w:rsidRPr="00D134EB" w:rsidRDefault="00796F6D" w:rsidP="00D608AE">
            <w:pPr>
              <w:jc w:val="center"/>
              <w:rPr>
                <w:rFonts w:ascii="Times New Roman" w:hAnsi="Times New Roman" w:cs="Times New Roman"/>
                <w:b/>
                <w:bCs/>
                <w:sz w:val="20"/>
                <w:szCs w:val="20"/>
              </w:rPr>
            </w:pPr>
          </w:p>
          <w:p w14:paraId="621B423C" w14:textId="77777777" w:rsidR="00796F6D" w:rsidRPr="00D134EB" w:rsidRDefault="00796F6D" w:rsidP="00D608AE">
            <w:pPr>
              <w:jc w:val="center"/>
              <w:rPr>
                <w:rFonts w:ascii="Times New Roman" w:hAnsi="Times New Roman" w:cs="Times New Roman"/>
                <w:b/>
                <w:bCs/>
                <w:sz w:val="20"/>
                <w:szCs w:val="20"/>
              </w:rPr>
            </w:pPr>
          </w:p>
          <w:p w14:paraId="162A7FDD" w14:textId="77777777" w:rsidR="00796F6D" w:rsidRPr="00D134EB" w:rsidRDefault="00796F6D" w:rsidP="00D608AE">
            <w:pPr>
              <w:jc w:val="center"/>
              <w:rPr>
                <w:rFonts w:ascii="Times New Roman" w:hAnsi="Times New Roman" w:cs="Times New Roman"/>
                <w:b/>
                <w:bCs/>
                <w:sz w:val="20"/>
                <w:szCs w:val="20"/>
              </w:rPr>
            </w:pPr>
          </w:p>
          <w:p w14:paraId="4FF2CEA4" w14:textId="77777777" w:rsidR="00796F6D" w:rsidRPr="00D134EB" w:rsidRDefault="00796F6D" w:rsidP="00D608AE">
            <w:pPr>
              <w:jc w:val="center"/>
              <w:rPr>
                <w:rFonts w:ascii="Times New Roman" w:hAnsi="Times New Roman" w:cs="Times New Roman"/>
                <w:b/>
                <w:bCs/>
                <w:sz w:val="20"/>
                <w:szCs w:val="20"/>
              </w:rPr>
            </w:pPr>
          </w:p>
          <w:p w14:paraId="402CEB14" w14:textId="77777777" w:rsidR="00796F6D" w:rsidRPr="00D134EB" w:rsidRDefault="00796F6D" w:rsidP="00D608AE">
            <w:pPr>
              <w:jc w:val="center"/>
              <w:rPr>
                <w:rFonts w:ascii="Times New Roman" w:hAnsi="Times New Roman" w:cs="Times New Roman"/>
                <w:b/>
                <w:bCs/>
                <w:sz w:val="20"/>
                <w:szCs w:val="20"/>
              </w:rPr>
            </w:pPr>
          </w:p>
          <w:p w14:paraId="2998CED4" w14:textId="77777777" w:rsidR="00796F6D" w:rsidRPr="00D134EB" w:rsidRDefault="00796F6D" w:rsidP="00D608AE">
            <w:pPr>
              <w:jc w:val="center"/>
              <w:rPr>
                <w:rFonts w:ascii="Times New Roman" w:hAnsi="Times New Roman" w:cs="Times New Roman"/>
                <w:b/>
                <w:bCs/>
                <w:sz w:val="20"/>
                <w:szCs w:val="20"/>
              </w:rPr>
            </w:pPr>
          </w:p>
          <w:p w14:paraId="45260463" w14:textId="77777777" w:rsidR="00796F6D" w:rsidRPr="00D134EB" w:rsidRDefault="00796F6D" w:rsidP="00D608AE">
            <w:pPr>
              <w:jc w:val="center"/>
              <w:rPr>
                <w:rFonts w:ascii="Times New Roman" w:hAnsi="Times New Roman" w:cs="Times New Roman"/>
                <w:b/>
                <w:bCs/>
                <w:sz w:val="20"/>
                <w:szCs w:val="20"/>
              </w:rPr>
            </w:pPr>
          </w:p>
          <w:p w14:paraId="65D98056" w14:textId="77777777" w:rsidR="00796F6D" w:rsidRPr="00D134EB" w:rsidRDefault="00796F6D" w:rsidP="00D608AE">
            <w:pPr>
              <w:jc w:val="center"/>
              <w:rPr>
                <w:rFonts w:ascii="Times New Roman" w:hAnsi="Times New Roman" w:cs="Times New Roman"/>
                <w:b/>
                <w:bCs/>
                <w:sz w:val="20"/>
                <w:szCs w:val="20"/>
              </w:rPr>
            </w:pPr>
          </w:p>
          <w:p w14:paraId="5443B7B1" w14:textId="77777777" w:rsidR="00796F6D" w:rsidRPr="00D134EB" w:rsidRDefault="00796F6D" w:rsidP="00D608AE">
            <w:pPr>
              <w:jc w:val="center"/>
              <w:rPr>
                <w:rFonts w:ascii="Times New Roman" w:hAnsi="Times New Roman" w:cs="Times New Roman"/>
                <w:b/>
                <w:bCs/>
                <w:sz w:val="20"/>
                <w:szCs w:val="20"/>
              </w:rPr>
            </w:pPr>
          </w:p>
          <w:p w14:paraId="026134AF" w14:textId="77777777" w:rsidR="00796F6D" w:rsidRPr="00D134EB" w:rsidRDefault="00796F6D" w:rsidP="00D608AE">
            <w:pPr>
              <w:jc w:val="center"/>
              <w:rPr>
                <w:rFonts w:ascii="Times New Roman" w:hAnsi="Times New Roman" w:cs="Times New Roman"/>
                <w:b/>
                <w:bCs/>
                <w:sz w:val="20"/>
                <w:szCs w:val="20"/>
              </w:rPr>
            </w:pPr>
          </w:p>
          <w:p w14:paraId="2BFCFE13" w14:textId="77777777" w:rsidR="00796F6D" w:rsidRPr="00D134EB" w:rsidRDefault="00796F6D" w:rsidP="00D608AE">
            <w:pPr>
              <w:jc w:val="center"/>
              <w:rPr>
                <w:rFonts w:ascii="Times New Roman" w:hAnsi="Times New Roman" w:cs="Times New Roman"/>
                <w:b/>
                <w:bCs/>
                <w:sz w:val="20"/>
                <w:szCs w:val="20"/>
              </w:rPr>
            </w:pPr>
          </w:p>
          <w:p w14:paraId="5D5CC8BB" w14:textId="662EC9B4" w:rsidR="006D4D35" w:rsidRPr="00D134EB" w:rsidRDefault="006D4D35"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Acciones implementadas por el Ministerio de Salud para prevenir el VIH/SIDA y otras enfermedades de transmisión sexual</w:t>
            </w:r>
          </w:p>
        </w:tc>
        <w:tc>
          <w:tcPr>
            <w:tcW w:w="6706" w:type="dxa"/>
          </w:tcPr>
          <w:p w14:paraId="225A98C0" w14:textId="3EE0C3FF"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Se emitieron recomendaciones para la continuidad en la atención a las personas que viven con VIH y hepatitis durante la pandemia de COVID-19, Colombia 2020.</w:t>
            </w:r>
          </w:p>
          <w:p w14:paraId="08A2C2FD" w14:textId="77777777" w:rsidR="00694168" w:rsidRPr="00D134EB" w:rsidRDefault="00694168" w:rsidP="00694168">
            <w:pPr>
              <w:pStyle w:val="Prrafodelista"/>
              <w:ind w:left="360"/>
              <w:jc w:val="both"/>
              <w:rPr>
                <w:rFonts w:ascii="Times New Roman" w:hAnsi="Times New Roman" w:cs="Times New Roman"/>
                <w:sz w:val="20"/>
                <w:szCs w:val="20"/>
              </w:rPr>
            </w:pPr>
          </w:p>
          <w:p w14:paraId="671F1117" w14:textId="3DD8BD3E"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Se expidió la Resolución 1314 de 2020 Por la cual se adoptan los lineamientos para la realización de pruebas rápidas fuera del laboratorio clínico para el diagnóstico temprano de la infección por VIH, sífilis, hepatitis B y hepatitis C.</w:t>
            </w:r>
          </w:p>
          <w:p w14:paraId="2DDF8D80" w14:textId="77777777" w:rsidR="00694168" w:rsidRPr="00D134EB" w:rsidRDefault="00694168" w:rsidP="00694168">
            <w:pPr>
              <w:pStyle w:val="Prrafodelista"/>
              <w:ind w:left="360"/>
              <w:jc w:val="both"/>
              <w:rPr>
                <w:rFonts w:ascii="Times New Roman" w:hAnsi="Times New Roman" w:cs="Times New Roman"/>
                <w:sz w:val="20"/>
                <w:szCs w:val="20"/>
              </w:rPr>
            </w:pPr>
          </w:p>
          <w:p w14:paraId="744441C9" w14:textId="60587DA3"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elaboró y socializó el lineamiento para el tamizaje y la vacunación contra el virus de la hepatitis B a poblaciones vulnerables priorizadas, 2021 y se inició su implementación en territorios priorizados.</w:t>
            </w:r>
          </w:p>
          <w:p w14:paraId="799CB780" w14:textId="77777777" w:rsidR="00694168" w:rsidRPr="00D134EB" w:rsidRDefault="00694168" w:rsidP="00694168">
            <w:pPr>
              <w:pStyle w:val="Prrafodelista"/>
              <w:ind w:left="360"/>
              <w:jc w:val="both"/>
              <w:rPr>
                <w:rFonts w:ascii="Times New Roman" w:hAnsi="Times New Roman" w:cs="Times New Roman"/>
                <w:sz w:val="20"/>
                <w:szCs w:val="20"/>
              </w:rPr>
            </w:pPr>
          </w:p>
          <w:p w14:paraId="0C389088" w14:textId="5DC81848"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 xml:space="preserve">Se avanzó en procesos de cooperación con </w:t>
            </w:r>
            <w:proofErr w:type="spellStart"/>
            <w:r w:rsidRPr="00D134EB">
              <w:rPr>
                <w:rFonts w:ascii="Times New Roman" w:hAnsi="Times New Roman" w:cs="Times New Roman"/>
                <w:sz w:val="20"/>
                <w:szCs w:val="20"/>
              </w:rPr>
              <w:t>Aids</w:t>
            </w:r>
            <w:proofErr w:type="spellEnd"/>
            <w:r w:rsidRPr="00D134EB">
              <w:rPr>
                <w:rFonts w:ascii="Times New Roman" w:hAnsi="Times New Roman" w:cs="Times New Roman"/>
                <w:sz w:val="20"/>
                <w:szCs w:val="20"/>
              </w:rPr>
              <w:t xml:space="preserve"> </w:t>
            </w:r>
            <w:proofErr w:type="spellStart"/>
            <w:r w:rsidRPr="00D134EB">
              <w:rPr>
                <w:rFonts w:ascii="Times New Roman" w:hAnsi="Times New Roman" w:cs="Times New Roman"/>
                <w:sz w:val="20"/>
                <w:szCs w:val="20"/>
              </w:rPr>
              <w:t>Healthcare</w:t>
            </w:r>
            <w:proofErr w:type="spellEnd"/>
            <w:r w:rsidRPr="00D134EB">
              <w:rPr>
                <w:rFonts w:ascii="Times New Roman" w:hAnsi="Times New Roman" w:cs="Times New Roman"/>
                <w:sz w:val="20"/>
                <w:szCs w:val="20"/>
              </w:rPr>
              <w:t xml:space="preserve"> </w:t>
            </w:r>
            <w:proofErr w:type="spellStart"/>
            <w:r w:rsidRPr="00D134EB">
              <w:rPr>
                <w:rFonts w:ascii="Times New Roman" w:hAnsi="Times New Roman" w:cs="Times New Roman"/>
                <w:sz w:val="20"/>
                <w:szCs w:val="20"/>
              </w:rPr>
              <w:t>Foundation</w:t>
            </w:r>
            <w:proofErr w:type="spellEnd"/>
            <w:r w:rsidRPr="00D134EB">
              <w:rPr>
                <w:rFonts w:ascii="Times New Roman" w:hAnsi="Times New Roman" w:cs="Times New Roman"/>
                <w:sz w:val="20"/>
                <w:szCs w:val="20"/>
              </w:rPr>
              <w:t xml:space="preserve">, Aid </w:t>
            </w:r>
            <w:proofErr w:type="spellStart"/>
            <w:r w:rsidRPr="00D134EB">
              <w:rPr>
                <w:rFonts w:ascii="Times New Roman" w:hAnsi="Times New Roman" w:cs="Times New Roman"/>
                <w:sz w:val="20"/>
                <w:szCs w:val="20"/>
              </w:rPr>
              <w:t>for</w:t>
            </w:r>
            <w:proofErr w:type="spellEnd"/>
            <w:r w:rsidRPr="00D134EB">
              <w:rPr>
                <w:rFonts w:ascii="Times New Roman" w:hAnsi="Times New Roman" w:cs="Times New Roman"/>
                <w:sz w:val="20"/>
                <w:szCs w:val="20"/>
              </w:rPr>
              <w:t xml:space="preserve"> AIDS, ICAP, CDC, Fondo Mundial y otras agencias internacionales para la prevención, diagnóstico y tratamiento de personas migrantes irregulares con VIH.</w:t>
            </w:r>
          </w:p>
          <w:p w14:paraId="710D5B97" w14:textId="77777777" w:rsidR="00694168" w:rsidRPr="00D134EB" w:rsidRDefault="00694168" w:rsidP="00694168">
            <w:pPr>
              <w:pStyle w:val="Prrafodelista"/>
              <w:ind w:left="360"/>
              <w:jc w:val="both"/>
              <w:rPr>
                <w:rFonts w:ascii="Times New Roman" w:hAnsi="Times New Roman" w:cs="Times New Roman"/>
                <w:sz w:val="20"/>
                <w:szCs w:val="20"/>
              </w:rPr>
            </w:pPr>
          </w:p>
          <w:p w14:paraId="287F93D0" w14:textId="2BD6780B"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logró la actualización de las guías de VIH para niños, niñas, adolescentes, adultos y gestantes, 2021, con la inclusión del tratamiento inmediato para toda persona diagnosticada, la inclusión de tecnologías como la PrEP y el auto-test, al interior del SGSSS.</w:t>
            </w:r>
          </w:p>
          <w:p w14:paraId="41565207" w14:textId="77777777" w:rsidR="00694168" w:rsidRPr="00D134EB" w:rsidRDefault="00694168" w:rsidP="00694168">
            <w:pPr>
              <w:pStyle w:val="Prrafodelista"/>
              <w:ind w:left="360"/>
              <w:jc w:val="both"/>
              <w:rPr>
                <w:rFonts w:ascii="Times New Roman" w:hAnsi="Times New Roman" w:cs="Times New Roman"/>
                <w:sz w:val="20"/>
                <w:szCs w:val="20"/>
              </w:rPr>
            </w:pPr>
          </w:p>
          <w:p w14:paraId="2795AA9D" w14:textId="5212871E"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hizo el ajuste técnico, diseño, impresión, socialización e inicio de la implementación de la estrategia educativa “Aguanta Cuidarse”, iniciativa para la prevención de las infecciones transmitidas por vía sanguínea y otras infecciones de alta prevalencia en personas que se inyectan drogas.</w:t>
            </w:r>
          </w:p>
          <w:p w14:paraId="33BF1B3C" w14:textId="77777777" w:rsidR="00694168" w:rsidRPr="00D134EB" w:rsidRDefault="00694168" w:rsidP="00694168">
            <w:pPr>
              <w:pStyle w:val="Prrafodelista"/>
              <w:ind w:left="360"/>
              <w:jc w:val="both"/>
              <w:rPr>
                <w:rFonts w:ascii="Times New Roman" w:hAnsi="Times New Roman" w:cs="Times New Roman"/>
                <w:sz w:val="20"/>
                <w:szCs w:val="20"/>
              </w:rPr>
            </w:pPr>
          </w:p>
          <w:p w14:paraId="45848A3D" w14:textId="11ADC2B0"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llevaron a cabo los estudios de prevalencia de VIH, sífilis, hepatitis B y hepatitis C en personas que se inyectan drogas en las ciudades de Bogotá, Medellín, Cali, Pereira, Dosquebradas, Cúcuta y Armenia alcanzando un total de 1.733 personas encuestadas.</w:t>
            </w:r>
          </w:p>
          <w:p w14:paraId="08B81DE8" w14:textId="77777777" w:rsidR="00694168" w:rsidRPr="00D134EB" w:rsidRDefault="00694168" w:rsidP="00694168">
            <w:pPr>
              <w:jc w:val="both"/>
              <w:rPr>
                <w:rFonts w:ascii="Times New Roman" w:hAnsi="Times New Roman" w:cs="Times New Roman"/>
                <w:sz w:val="20"/>
                <w:szCs w:val="20"/>
              </w:rPr>
            </w:pPr>
          </w:p>
          <w:p w14:paraId="1A5FF54C" w14:textId="68130F30"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construyó un curso virtual de atención primaria en salud en ITS, VIH, coinfección TB/VIH, hepatitis B y C, cuyo lanzamiento se espera para febrero 2022.</w:t>
            </w:r>
          </w:p>
          <w:p w14:paraId="6E5217EF" w14:textId="77777777" w:rsidR="00694168" w:rsidRPr="00D134EB" w:rsidRDefault="00694168" w:rsidP="00694168">
            <w:pPr>
              <w:pStyle w:val="Prrafodelista"/>
              <w:ind w:left="360"/>
              <w:jc w:val="both"/>
              <w:rPr>
                <w:rFonts w:ascii="Times New Roman" w:hAnsi="Times New Roman" w:cs="Times New Roman"/>
                <w:sz w:val="20"/>
                <w:szCs w:val="20"/>
              </w:rPr>
            </w:pPr>
          </w:p>
          <w:p w14:paraId="5E6D15EC" w14:textId="32D1F784"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viene llevando a cabo el fortalecimiento de la implementación de la estrategia ETMI Plus (estrategia para la Eliminación de la Transmisión Materno Infantil del VIH, la sífilis, la hepatitis B y la enfermedad de Chagas) a través de visitas de asistencia técnica y jornadas de capacitación, tanto presenciales como virtuales. Así mismo, se llevó a cabo el diseño, impresión y publicación de una caja de herramientas de apoyo para la implementación con el apoyo técnico y financiero de la OPS/OMS.</w:t>
            </w:r>
          </w:p>
          <w:p w14:paraId="19EEE05E" w14:textId="77777777" w:rsidR="00694168" w:rsidRPr="00D134EB" w:rsidRDefault="00694168" w:rsidP="00694168">
            <w:pPr>
              <w:pStyle w:val="Prrafodelista"/>
              <w:ind w:left="360"/>
              <w:jc w:val="both"/>
              <w:rPr>
                <w:rFonts w:ascii="Times New Roman" w:hAnsi="Times New Roman" w:cs="Times New Roman"/>
                <w:sz w:val="20"/>
                <w:szCs w:val="20"/>
              </w:rPr>
            </w:pPr>
          </w:p>
          <w:p w14:paraId="7C22439F" w14:textId="4D2F836E"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En conjunto con la OPS se trabaja en la adaptación de la herramienta electrónica de evaluación de normas globales para mejorar la calidad en los servicios de salud que se prestan a adolescentes y jóvenes.</w:t>
            </w:r>
          </w:p>
          <w:p w14:paraId="498923EC" w14:textId="77777777" w:rsidR="00694168" w:rsidRPr="00D134EB" w:rsidRDefault="00694168" w:rsidP="00694168">
            <w:pPr>
              <w:pStyle w:val="Prrafodelista"/>
              <w:ind w:left="360"/>
              <w:jc w:val="both"/>
              <w:rPr>
                <w:rFonts w:ascii="Times New Roman" w:hAnsi="Times New Roman" w:cs="Times New Roman"/>
                <w:sz w:val="20"/>
                <w:szCs w:val="20"/>
              </w:rPr>
            </w:pPr>
          </w:p>
          <w:p w14:paraId="2D33E3A3" w14:textId="3C1153A7"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Se participó en la realización de un estudio conjunto con el CEDC de Atlanta y la Universidad Johns Hopkins para realizar un estudio de prevalencia al VIH en población migrante venezolana.</w:t>
            </w:r>
          </w:p>
          <w:p w14:paraId="3AB0A1F5" w14:textId="77777777" w:rsidR="00694168" w:rsidRPr="00D134EB" w:rsidRDefault="00694168" w:rsidP="00694168">
            <w:pPr>
              <w:pStyle w:val="Prrafodelista"/>
              <w:ind w:left="360"/>
              <w:jc w:val="both"/>
              <w:rPr>
                <w:rFonts w:ascii="Times New Roman" w:hAnsi="Times New Roman" w:cs="Times New Roman"/>
                <w:sz w:val="20"/>
                <w:szCs w:val="20"/>
              </w:rPr>
            </w:pPr>
          </w:p>
          <w:p w14:paraId="25420142" w14:textId="7FC2F931"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Colombia cuenta con el marco constitucional y legislativo para combatir cualquier forma de estigma y discriminación hacia las personas que viven con el virus o que pertenecen a las poblaciones clave y realiza esfuerzos por abolir cualquier forma de violencia de género o sexual, donde igual se cuenta con un amplio marco normativo de actuación intersectorial y donde se contempla la activación de las rutas de salud, justicia y protección social para la restitución de los derechos de las víctimas de violencia sexual.</w:t>
            </w:r>
          </w:p>
          <w:p w14:paraId="7036FEDD" w14:textId="77777777" w:rsidR="00694168" w:rsidRPr="00D134EB" w:rsidRDefault="00694168" w:rsidP="00694168">
            <w:pPr>
              <w:pStyle w:val="Prrafodelista"/>
              <w:ind w:left="360"/>
              <w:jc w:val="both"/>
              <w:rPr>
                <w:rFonts w:ascii="Times New Roman" w:hAnsi="Times New Roman" w:cs="Times New Roman"/>
                <w:sz w:val="20"/>
                <w:szCs w:val="20"/>
              </w:rPr>
            </w:pPr>
          </w:p>
          <w:p w14:paraId="08DC65D7" w14:textId="75DED099"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Colombia ha actualizado sus guías de práctica clínica donde se han actualizado los esquemas de tratamiento y se han incluido en el sistema de salud la implementación de estrategias de prevención combinada como el auto-test y la profilaxis pre-exposición.</w:t>
            </w:r>
          </w:p>
          <w:p w14:paraId="0A3B9ED5" w14:textId="77777777" w:rsidR="00694168" w:rsidRPr="00D134EB" w:rsidRDefault="00694168" w:rsidP="00694168">
            <w:pPr>
              <w:pStyle w:val="Prrafodelista"/>
              <w:ind w:left="360"/>
              <w:jc w:val="both"/>
              <w:rPr>
                <w:rFonts w:ascii="Times New Roman" w:hAnsi="Times New Roman" w:cs="Times New Roman"/>
                <w:sz w:val="20"/>
                <w:szCs w:val="20"/>
              </w:rPr>
            </w:pPr>
          </w:p>
          <w:p w14:paraId="2C490DEC" w14:textId="0512FA5C"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Colombia realiza las acciones pertinentes para el desarrollo de la Estrategia ETMI-Plus, donde para el año 2018 se alcanzó la meta de eliminación de la transmisión vertical del VIH con una tasa de 1.7% de infección sobre el total de niños expuestos.</w:t>
            </w:r>
          </w:p>
          <w:p w14:paraId="09A7E796" w14:textId="77777777" w:rsidR="00694168" w:rsidRPr="00D134EB" w:rsidRDefault="00694168" w:rsidP="00694168">
            <w:pPr>
              <w:jc w:val="both"/>
              <w:rPr>
                <w:rFonts w:ascii="Times New Roman" w:hAnsi="Times New Roman" w:cs="Times New Roman"/>
                <w:sz w:val="20"/>
                <w:szCs w:val="20"/>
              </w:rPr>
            </w:pPr>
          </w:p>
          <w:p w14:paraId="096C1899" w14:textId="441B5830"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El país realiza con regularidad estudios de prevalencia y comportamiento sexual que dan cuenta de la situación de las poblaciones clave (Hombres que tienen relaciones sexuales con hombres, Mujeres Transgénero, Personas que se Inyectan Drogas, Mujeres trabajadoras sexuales) cuyos resultados orientan la formulación de políticas, planes y proyectos de prevención combinada, orientados a tales poblaciones.</w:t>
            </w:r>
          </w:p>
          <w:p w14:paraId="12F8546A" w14:textId="77777777" w:rsidR="00694168" w:rsidRPr="00D134EB" w:rsidRDefault="00694168" w:rsidP="00694168">
            <w:pPr>
              <w:pStyle w:val="Prrafodelista"/>
              <w:ind w:left="360"/>
              <w:jc w:val="both"/>
              <w:rPr>
                <w:rFonts w:ascii="Times New Roman" w:hAnsi="Times New Roman" w:cs="Times New Roman"/>
                <w:sz w:val="20"/>
                <w:szCs w:val="20"/>
              </w:rPr>
            </w:pPr>
          </w:p>
          <w:p w14:paraId="5BCB2E23" w14:textId="4FCBEA9F" w:rsidR="00694168"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El programa de respuesta a las ITS – VIH establece de forma permanente acciones colaborativas con el programa de Tuberculosis. Porcentaje de coinfección de VIH en pacientes con tuberculosis es del 13.1% (Año 2020).</w:t>
            </w:r>
          </w:p>
          <w:p w14:paraId="1CB5E76F" w14:textId="77777777" w:rsidR="00694168" w:rsidRPr="00D134EB" w:rsidRDefault="00694168" w:rsidP="00694168">
            <w:pPr>
              <w:pStyle w:val="Prrafodelista"/>
              <w:ind w:left="360"/>
              <w:jc w:val="both"/>
              <w:rPr>
                <w:rFonts w:ascii="Times New Roman" w:hAnsi="Times New Roman" w:cs="Times New Roman"/>
                <w:sz w:val="20"/>
                <w:szCs w:val="20"/>
              </w:rPr>
            </w:pPr>
          </w:p>
          <w:p w14:paraId="4B8DA359" w14:textId="3846E74D" w:rsidR="006D4D35" w:rsidRPr="00D134EB" w:rsidRDefault="00694168" w:rsidP="00694168">
            <w:pPr>
              <w:pStyle w:val="Prrafodelista"/>
              <w:numPr>
                <w:ilvl w:val="0"/>
                <w:numId w:val="3"/>
              </w:numPr>
              <w:jc w:val="both"/>
              <w:rPr>
                <w:rFonts w:ascii="Times New Roman" w:hAnsi="Times New Roman" w:cs="Times New Roman"/>
                <w:sz w:val="20"/>
                <w:szCs w:val="20"/>
              </w:rPr>
            </w:pPr>
            <w:r w:rsidRPr="00D134EB">
              <w:rPr>
                <w:rFonts w:ascii="Times New Roman" w:hAnsi="Times New Roman" w:cs="Times New Roman"/>
                <w:sz w:val="20"/>
                <w:szCs w:val="20"/>
              </w:rPr>
              <w:t>Colombia coordina esfuerzos para ampliar la respuesta comunitaria en la respuesta a la epidemia de VIH generando los marcos regulatorios para la realización de estrategias preventivas y realización de pruebas diagnósticas a través de organizaciones de base comunitaria.</w:t>
            </w:r>
          </w:p>
        </w:tc>
      </w:tr>
    </w:tbl>
    <w:p w14:paraId="43228B48" w14:textId="47FA5DB1" w:rsidR="006D4D35" w:rsidRPr="00D134EB" w:rsidRDefault="006D4D35" w:rsidP="00D608AE">
      <w:pPr>
        <w:jc w:val="center"/>
        <w:rPr>
          <w:rFonts w:ascii="Times New Roman" w:hAnsi="Times New Roman" w:cs="Times New Roman"/>
          <w:b/>
          <w:bCs/>
          <w:sz w:val="20"/>
          <w:szCs w:val="20"/>
        </w:rPr>
      </w:pPr>
    </w:p>
    <w:p w14:paraId="6AE9349A" w14:textId="3513ABDF" w:rsidR="00E9045B" w:rsidRPr="00D134EB" w:rsidRDefault="00E9045B" w:rsidP="00D608AE">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2. </w:t>
      </w:r>
      <w:r w:rsidR="0072058D" w:rsidRPr="00D134EB">
        <w:rPr>
          <w:rFonts w:ascii="Times New Roman" w:hAnsi="Times New Roman" w:cs="Times New Roman"/>
          <w:b/>
          <w:bCs/>
          <w:sz w:val="20"/>
          <w:szCs w:val="20"/>
        </w:rPr>
        <w:t>Estrategias de reducción de los factores de riesgo por entornos para la salud mental y la prevención y atención al consumo de sustancias psicoactivas en Colombia</w:t>
      </w:r>
      <w:r w:rsidR="00235814" w:rsidRPr="00D134EB">
        <w:rPr>
          <w:rFonts w:ascii="Times New Roman" w:hAnsi="Times New Roman" w:cs="Times New Roman"/>
          <w:b/>
          <w:bCs/>
          <w:sz w:val="20"/>
          <w:szCs w:val="20"/>
        </w:rPr>
        <w:t>.</w:t>
      </w:r>
    </w:p>
    <w:tbl>
      <w:tblPr>
        <w:tblStyle w:val="Tablaconcuadrcula"/>
        <w:tblW w:w="0" w:type="auto"/>
        <w:tblLook w:val="04A0" w:firstRow="1" w:lastRow="0" w:firstColumn="1" w:lastColumn="0" w:noHBand="0" w:noVBand="1"/>
      </w:tblPr>
      <w:tblGrid>
        <w:gridCol w:w="1536"/>
        <w:gridCol w:w="6952"/>
      </w:tblGrid>
      <w:tr w:rsidR="00E9045B" w:rsidRPr="00D134EB" w14:paraId="171BACDC" w14:textId="77777777" w:rsidTr="00E9045B">
        <w:tc>
          <w:tcPr>
            <w:tcW w:w="1555" w:type="dxa"/>
          </w:tcPr>
          <w:p w14:paraId="7CEDD856" w14:textId="77777777" w:rsidR="003974E2" w:rsidRPr="00D134EB" w:rsidRDefault="003974E2" w:rsidP="00E9045B">
            <w:pPr>
              <w:jc w:val="center"/>
              <w:rPr>
                <w:rFonts w:ascii="Times New Roman" w:hAnsi="Times New Roman" w:cs="Times New Roman"/>
                <w:b/>
                <w:bCs/>
                <w:sz w:val="20"/>
                <w:szCs w:val="20"/>
              </w:rPr>
            </w:pPr>
          </w:p>
          <w:p w14:paraId="23794A10" w14:textId="77777777" w:rsidR="003974E2" w:rsidRPr="00D134EB" w:rsidRDefault="003974E2" w:rsidP="00E9045B">
            <w:pPr>
              <w:jc w:val="center"/>
              <w:rPr>
                <w:rFonts w:ascii="Times New Roman" w:hAnsi="Times New Roman" w:cs="Times New Roman"/>
                <w:b/>
                <w:bCs/>
                <w:sz w:val="20"/>
                <w:szCs w:val="20"/>
              </w:rPr>
            </w:pPr>
          </w:p>
          <w:p w14:paraId="492437AF" w14:textId="77777777" w:rsidR="003974E2" w:rsidRPr="00D134EB" w:rsidRDefault="003974E2" w:rsidP="00E9045B">
            <w:pPr>
              <w:jc w:val="center"/>
              <w:rPr>
                <w:rFonts w:ascii="Times New Roman" w:hAnsi="Times New Roman" w:cs="Times New Roman"/>
                <w:b/>
                <w:bCs/>
                <w:sz w:val="20"/>
                <w:szCs w:val="20"/>
              </w:rPr>
            </w:pPr>
          </w:p>
          <w:p w14:paraId="78BA83B6" w14:textId="77777777" w:rsidR="003974E2" w:rsidRPr="00D134EB" w:rsidRDefault="003974E2" w:rsidP="00E9045B">
            <w:pPr>
              <w:jc w:val="center"/>
              <w:rPr>
                <w:rFonts w:ascii="Times New Roman" w:hAnsi="Times New Roman" w:cs="Times New Roman"/>
                <w:b/>
                <w:bCs/>
                <w:sz w:val="20"/>
                <w:szCs w:val="20"/>
              </w:rPr>
            </w:pPr>
          </w:p>
          <w:p w14:paraId="2B12FDE3" w14:textId="77777777" w:rsidR="003974E2" w:rsidRPr="00D134EB" w:rsidRDefault="003974E2" w:rsidP="00E9045B">
            <w:pPr>
              <w:jc w:val="center"/>
              <w:rPr>
                <w:rFonts w:ascii="Times New Roman" w:hAnsi="Times New Roman" w:cs="Times New Roman"/>
                <w:b/>
                <w:bCs/>
                <w:sz w:val="20"/>
                <w:szCs w:val="20"/>
              </w:rPr>
            </w:pPr>
          </w:p>
          <w:p w14:paraId="054FA05B" w14:textId="77777777" w:rsidR="003974E2" w:rsidRPr="00D134EB" w:rsidRDefault="003974E2" w:rsidP="00E9045B">
            <w:pPr>
              <w:jc w:val="center"/>
              <w:rPr>
                <w:rFonts w:ascii="Times New Roman" w:hAnsi="Times New Roman" w:cs="Times New Roman"/>
                <w:b/>
                <w:bCs/>
                <w:sz w:val="20"/>
                <w:szCs w:val="20"/>
              </w:rPr>
            </w:pPr>
          </w:p>
          <w:p w14:paraId="2F01AFA0" w14:textId="77777777" w:rsidR="003974E2" w:rsidRPr="00D134EB" w:rsidRDefault="003974E2" w:rsidP="00E9045B">
            <w:pPr>
              <w:jc w:val="center"/>
              <w:rPr>
                <w:rFonts w:ascii="Times New Roman" w:hAnsi="Times New Roman" w:cs="Times New Roman"/>
                <w:b/>
                <w:bCs/>
                <w:sz w:val="20"/>
                <w:szCs w:val="20"/>
              </w:rPr>
            </w:pPr>
          </w:p>
          <w:p w14:paraId="26D9FE5C" w14:textId="77777777" w:rsidR="003974E2" w:rsidRPr="00D134EB" w:rsidRDefault="003974E2" w:rsidP="00E9045B">
            <w:pPr>
              <w:jc w:val="center"/>
              <w:rPr>
                <w:rFonts w:ascii="Times New Roman" w:hAnsi="Times New Roman" w:cs="Times New Roman"/>
                <w:b/>
                <w:bCs/>
                <w:sz w:val="20"/>
                <w:szCs w:val="20"/>
              </w:rPr>
            </w:pPr>
          </w:p>
          <w:p w14:paraId="5A7F4E34" w14:textId="77777777" w:rsidR="003974E2" w:rsidRPr="00D134EB" w:rsidRDefault="003974E2" w:rsidP="00E9045B">
            <w:pPr>
              <w:jc w:val="center"/>
              <w:rPr>
                <w:rFonts w:ascii="Times New Roman" w:hAnsi="Times New Roman" w:cs="Times New Roman"/>
                <w:b/>
                <w:bCs/>
                <w:sz w:val="20"/>
                <w:szCs w:val="20"/>
              </w:rPr>
            </w:pPr>
          </w:p>
          <w:p w14:paraId="3E3A2D3A" w14:textId="77777777" w:rsidR="003974E2" w:rsidRPr="00D134EB" w:rsidRDefault="003974E2" w:rsidP="00E9045B">
            <w:pPr>
              <w:jc w:val="center"/>
              <w:rPr>
                <w:rFonts w:ascii="Times New Roman" w:hAnsi="Times New Roman" w:cs="Times New Roman"/>
                <w:b/>
                <w:bCs/>
                <w:sz w:val="20"/>
                <w:szCs w:val="20"/>
              </w:rPr>
            </w:pPr>
          </w:p>
          <w:p w14:paraId="065F7394" w14:textId="77777777" w:rsidR="003974E2" w:rsidRPr="00D134EB" w:rsidRDefault="003974E2" w:rsidP="00E9045B">
            <w:pPr>
              <w:jc w:val="center"/>
              <w:rPr>
                <w:rFonts w:ascii="Times New Roman" w:hAnsi="Times New Roman" w:cs="Times New Roman"/>
                <w:b/>
                <w:bCs/>
                <w:sz w:val="20"/>
                <w:szCs w:val="20"/>
              </w:rPr>
            </w:pPr>
          </w:p>
          <w:p w14:paraId="161D6BE7" w14:textId="77777777" w:rsidR="002F3109" w:rsidRPr="00D134EB" w:rsidRDefault="002F3109" w:rsidP="00E9045B">
            <w:pPr>
              <w:jc w:val="center"/>
              <w:rPr>
                <w:rFonts w:ascii="Times New Roman" w:hAnsi="Times New Roman" w:cs="Times New Roman"/>
                <w:b/>
                <w:bCs/>
                <w:sz w:val="20"/>
                <w:szCs w:val="20"/>
              </w:rPr>
            </w:pPr>
          </w:p>
          <w:p w14:paraId="6B4DA5A7" w14:textId="77777777" w:rsidR="002F3109" w:rsidRPr="00D134EB" w:rsidRDefault="002F3109" w:rsidP="00E9045B">
            <w:pPr>
              <w:jc w:val="center"/>
              <w:rPr>
                <w:rFonts w:ascii="Times New Roman" w:hAnsi="Times New Roman" w:cs="Times New Roman"/>
                <w:b/>
                <w:bCs/>
                <w:sz w:val="20"/>
                <w:szCs w:val="20"/>
              </w:rPr>
            </w:pPr>
          </w:p>
          <w:p w14:paraId="40798908" w14:textId="01C12FA6" w:rsidR="00E9045B" w:rsidRPr="00D134EB" w:rsidRDefault="00E9045B" w:rsidP="00E9045B">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Estrategias de reducción de los factores de riesgo </w:t>
            </w:r>
            <w:r w:rsidR="0072058D" w:rsidRPr="00D134EB">
              <w:rPr>
                <w:rFonts w:ascii="Times New Roman" w:hAnsi="Times New Roman" w:cs="Times New Roman"/>
                <w:b/>
                <w:bCs/>
                <w:sz w:val="20"/>
                <w:szCs w:val="20"/>
              </w:rPr>
              <w:t xml:space="preserve">por entornos </w:t>
            </w:r>
            <w:r w:rsidRPr="00D134EB">
              <w:rPr>
                <w:rFonts w:ascii="Times New Roman" w:hAnsi="Times New Roman" w:cs="Times New Roman"/>
                <w:b/>
                <w:bCs/>
                <w:sz w:val="20"/>
                <w:szCs w:val="20"/>
              </w:rPr>
              <w:t>para la salud mental y la prevención y atención al consumo de sustancias psicoactivas en Colombia</w:t>
            </w:r>
          </w:p>
        </w:tc>
        <w:tc>
          <w:tcPr>
            <w:tcW w:w="7273" w:type="dxa"/>
          </w:tcPr>
          <w:p w14:paraId="58E8D550" w14:textId="77777777" w:rsidR="00E9045B" w:rsidRPr="00D134EB" w:rsidRDefault="00E9045B" w:rsidP="00E9045B">
            <w:pPr>
              <w:pStyle w:val="Prrafodelista"/>
              <w:numPr>
                <w:ilvl w:val="0"/>
                <w:numId w:val="8"/>
              </w:numPr>
              <w:jc w:val="both"/>
              <w:rPr>
                <w:rFonts w:ascii="Times New Roman" w:hAnsi="Times New Roman" w:cs="Times New Roman"/>
                <w:sz w:val="20"/>
                <w:szCs w:val="20"/>
              </w:rPr>
            </w:pPr>
            <w:r w:rsidRPr="00D134EB">
              <w:rPr>
                <w:rFonts w:ascii="Times New Roman" w:hAnsi="Times New Roman" w:cs="Times New Roman"/>
                <w:sz w:val="20"/>
                <w:szCs w:val="20"/>
                <w:u w:val="single"/>
              </w:rPr>
              <w:t>Entorno hogar:</w:t>
            </w:r>
            <w:r w:rsidRPr="00D134EB">
              <w:rPr>
                <w:rFonts w:ascii="Times New Roman" w:hAnsi="Times New Roman" w:cs="Times New Roman"/>
                <w:sz w:val="20"/>
                <w:szCs w:val="20"/>
              </w:rPr>
              <w:t xml:space="preserve">  Fortalecimiento familiar con énfasis en el desarrollo de habilidades parentales para la supervisión y cuidado, estrategias de afrontamiento, la </w:t>
            </w:r>
            <w:proofErr w:type="spellStart"/>
            <w:r w:rsidRPr="00D134EB">
              <w:rPr>
                <w:rFonts w:ascii="Times New Roman" w:hAnsi="Times New Roman" w:cs="Times New Roman"/>
                <w:sz w:val="20"/>
                <w:szCs w:val="20"/>
              </w:rPr>
              <w:t>deconstrucción</w:t>
            </w:r>
            <w:proofErr w:type="spellEnd"/>
            <w:r w:rsidRPr="00D134EB">
              <w:rPr>
                <w:rFonts w:ascii="Times New Roman" w:hAnsi="Times New Roman" w:cs="Times New Roman"/>
                <w:sz w:val="20"/>
                <w:szCs w:val="20"/>
              </w:rPr>
              <w:t xml:space="preserve"> de imaginarios y creencias relacionados con el consumo de sustancias psicoactivas, entre otras; generación de capacidades en padres, madres y cuidadores primarios sobre los impactos del consumo de sustancias psicoactivas que eliminen prácticas que legitiman el ofrecimiento de alcohol, tabaco y otras sustancias psicoactivas a niños, niñas y adolescentes en el hogar; fortalecimiento de capacidades para la gestión de riesgos relacionados con el manejo de medicamentos de control especial y manipulación de sustancias químicas con efectos psicoactivos.</w:t>
            </w:r>
          </w:p>
          <w:p w14:paraId="4BB8C63D" w14:textId="0E7FD3B1" w:rsidR="00E9045B" w:rsidRPr="00D134EB" w:rsidRDefault="00E9045B" w:rsidP="00E9045B">
            <w:pPr>
              <w:pStyle w:val="Prrafodelista"/>
              <w:ind w:left="360"/>
              <w:jc w:val="both"/>
              <w:rPr>
                <w:rFonts w:ascii="Times New Roman" w:hAnsi="Times New Roman" w:cs="Times New Roman"/>
                <w:sz w:val="20"/>
                <w:szCs w:val="20"/>
              </w:rPr>
            </w:pPr>
            <w:r w:rsidRPr="00D134EB">
              <w:rPr>
                <w:rFonts w:ascii="Times New Roman" w:hAnsi="Times New Roman" w:cs="Times New Roman"/>
                <w:sz w:val="20"/>
                <w:szCs w:val="20"/>
              </w:rPr>
              <w:t xml:space="preserve"> </w:t>
            </w:r>
          </w:p>
          <w:p w14:paraId="0A99FFC9" w14:textId="774C37C0" w:rsidR="00E9045B" w:rsidRPr="00D134EB" w:rsidRDefault="00E9045B" w:rsidP="00E9045B">
            <w:pPr>
              <w:pStyle w:val="Prrafodelista"/>
              <w:numPr>
                <w:ilvl w:val="0"/>
                <w:numId w:val="8"/>
              </w:numPr>
              <w:jc w:val="both"/>
              <w:rPr>
                <w:rFonts w:ascii="Times New Roman" w:hAnsi="Times New Roman" w:cs="Times New Roman"/>
                <w:sz w:val="20"/>
                <w:szCs w:val="20"/>
              </w:rPr>
            </w:pPr>
            <w:r w:rsidRPr="00D134EB">
              <w:rPr>
                <w:rFonts w:ascii="Times New Roman" w:hAnsi="Times New Roman" w:cs="Times New Roman"/>
                <w:sz w:val="20"/>
                <w:szCs w:val="20"/>
                <w:u w:val="single"/>
              </w:rPr>
              <w:t>Entorno educativo:</w:t>
            </w:r>
            <w:r w:rsidRPr="00D134EB">
              <w:rPr>
                <w:rFonts w:ascii="Times New Roman" w:hAnsi="Times New Roman" w:cs="Times New Roman"/>
                <w:sz w:val="20"/>
                <w:szCs w:val="20"/>
              </w:rPr>
              <w:t xml:space="preserve"> Generación de capacidades en la comunidad educativa sobre los impactos del consumo de sustancias psicoactivas orientadas a disminuir el estigma y </w:t>
            </w:r>
            <w:proofErr w:type="spellStart"/>
            <w:r w:rsidRPr="00D134EB">
              <w:rPr>
                <w:rFonts w:ascii="Times New Roman" w:hAnsi="Times New Roman" w:cs="Times New Roman"/>
                <w:sz w:val="20"/>
                <w:szCs w:val="20"/>
              </w:rPr>
              <w:t>autoestigma</w:t>
            </w:r>
            <w:proofErr w:type="spellEnd"/>
            <w:r w:rsidRPr="00D134EB">
              <w:rPr>
                <w:rFonts w:ascii="Times New Roman" w:hAnsi="Times New Roman" w:cs="Times New Roman"/>
                <w:sz w:val="20"/>
                <w:szCs w:val="20"/>
              </w:rPr>
              <w:t xml:space="preserve"> de los niños, niñas, adolescentes y jóvenes con problemas, trastornos mentales y consumo de sustancias psicoactivas, como un mecanismo para disminuir su </w:t>
            </w:r>
            <w:proofErr w:type="spellStart"/>
            <w:r w:rsidRPr="00D134EB">
              <w:rPr>
                <w:rFonts w:ascii="Times New Roman" w:hAnsi="Times New Roman" w:cs="Times New Roman"/>
                <w:sz w:val="20"/>
                <w:szCs w:val="20"/>
              </w:rPr>
              <w:t>desescolarización</w:t>
            </w:r>
            <w:proofErr w:type="spellEnd"/>
            <w:r w:rsidRPr="00D134EB">
              <w:rPr>
                <w:rFonts w:ascii="Times New Roman" w:hAnsi="Times New Roman" w:cs="Times New Roman"/>
                <w:sz w:val="20"/>
                <w:szCs w:val="20"/>
              </w:rPr>
              <w:t xml:space="preserve">; fortalecimiento de capacidades de afrontamiento para la resistencia a la influencia social ante el consumo de sustancias psicoactivas; desarrollo de habilidades sociales y emocionales como el reconocimiento y manejo de las emociones, comunicación asertiva, resiliencia, manejo de conflictos y la toma de decisiones. </w:t>
            </w:r>
          </w:p>
          <w:p w14:paraId="4203AAD9" w14:textId="77777777" w:rsidR="00E9045B" w:rsidRPr="00D134EB" w:rsidRDefault="00E9045B" w:rsidP="00E9045B">
            <w:pPr>
              <w:jc w:val="both"/>
              <w:rPr>
                <w:rFonts w:ascii="Times New Roman" w:hAnsi="Times New Roman" w:cs="Times New Roman"/>
                <w:sz w:val="20"/>
                <w:szCs w:val="20"/>
              </w:rPr>
            </w:pPr>
          </w:p>
          <w:p w14:paraId="50F66B87" w14:textId="13F29936" w:rsidR="00E9045B" w:rsidRPr="00D134EB" w:rsidRDefault="00E9045B" w:rsidP="00E9045B">
            <w:pPr>
              <w:pStyle w:val="Prrafodelista"/>
              <w:numPr>
                <w:ilvl w:val="0"/>
                <w:numId w:val="8"/>
              </w:numPr>
              <w:jc w:val="both"/>
              <w:rPr>
                <w:rFonts w:ascii="Times New Roman" w:hAnsi="Times New Roman" w:cs="Times New Roman"/>
                <w:sz w:val="20"/>
                <w:szCs w:val="20"/>
              </w:rPr>
            </w:pPr>
            <w:r w:rsidRPr="00D134EB">
              <w:rPr>
                <w:rFonts w:ascii="Times New Roman" w:hAnsi="Times New Roman" w:cs="Times New Roman"/>
                <w:sz w:val="20"/>
                <w:szCs w:val="20"/>
                <w:u w:val="single"/>
              </w:rPr>
              <w:t>Entorno laboral:</w:t>
            </w:r>
            <w:r w:rsidRPr="00D134EB">
              <w:rPr>
                <w:rFonts w:ascii="Times New Roman" w:hAnsi="Times New Roman" w:cs="Times New Roman"/>
                <w:sz w:val="20"/>
                <w:szCs w:val="20"/>
              </w:rPr>
              <w:t xml:space="preserve"> Generación de capacidades en los trabajadores y empleadores sobre los impactos del consumo de sustancias psicoactivas orientadas a la promoción de prácticas de respeto, solidaridad y cuidado de las personas con problemas, trastornos y consumo de sustancias psicoactivas que disminuyan el estigma y </w:t>
            </w:r>
            <w:proofErr w:type="spellStart"/>
            <w:r w:rsidRPr="00D134EB">
              <w:rPr>
                <w:rFonts w:ascii="Times New Roman" w:hAnsi="Times New Roman" w:cs="Times New Roman"/>
                <w:sz w:val="20"/>
                <w:szCs w:val="20"/>
              </w:rPr>
              <w:t>autoestigma</w:t>
            </w:r>
            <w:proofErr w:type="spellEnd"/>
            <w:r w:rsidRPr="00D134EB">
              <w:rPr>
                <w:rFonts w:ascii="Times New Roman" w:hAnsi="Times New Roman" w:cs="Times New Roman"/>
                <w:sz w:val="20"/>
                <w:szCs w:val="20"/>
              </w:rPr>
              <w:t xml:space="preserve">, como un mecanismo para disminuir la desvinculación laboral; desarrollo de habilidades sociales, manejo de las emociones, </w:t>
            </w:r>
            <w:r w:rsidRPr="00D134EB">
              <w:rPr>
                <w:rFonts w:ascii="Times New Roman" w:hAnsi="Times New Roman" w:cs="Times New Roman"/>
                <w:sz w:val="20"/>
                <w:szCs w:val="20"/>
              </w:rPr>
              <w:lastRenderedPageBreak/>
              <w:t xml:space="preserve">comunicación asertiva, empatía, resiliencia, estrategias de afrontamiento y manejo de conflictos; fortalecimiento de capacidades en los trabajadores y empleadores para la gestión de riesgos laborales relacionados con el manejo de medicamentos de control especial y manipulación de sustancias químicas con efectos psicoactivos. </w:t>
            </w:r>
          </w:p>
          <w:p w14:paraId="5CEC559A" w14:textId="77777777" w:rsidR="00E9045B" w:rsidRPr="00D134EB" w:rsidRDefault="00E9045B" w:rsidP="00E9045B">
            <w:pPr>
              <w:jc w:val="both"/>
              <w:rPr>
                <w:rFonts w:ascii="Times New Roman" w:hAnsi="Times New Roman" w:cs="Times New Roman"/>
                <w:sz w:val="20"/>
                <w:szCs w:val="20"/>
              </w:rPr>
            </w:pPr>
          </w:p>
          <w:p w14:paraId="18880C03" w14:textId="2591BEF0" w:rsidR="00E9045B" w:rsidRPr="00D134EB" w:rsidRDefault="00E9045B" w:rsidP="00E9045B">
            <w:pPr>
              <w:pStyle w:val="Prrafodelista"/>
              <w:numPr>
                <w:ilvl w:val="0"/>
                <w:numId w:val="8"/>
              </w:numPr>
              <w:jc w:val="both"/>
              <w:rPr>
                <w:rFonts w:ascii="Times New Roman" w:hAnsi="Times New Roman" w:cs="Times New Roman"/>
                <w:sz w:val="20"/>
                <w:szCs w:val="20"/>
              </w:rPr>
            </w:pPr>
            <w:r w:rsidRPr="00D134EB">
              <w:rPr>
                <w:rFonts w:ascii="Times New Roman" w:hAnsi="Times New Roman" w:cs="Times New Roman"/>
                <w:sz w:val="20"/>
                <w:szCs w:val="20"/>
                <w:u w:val="single"/>
              </w:rPr>
              <w:t>Entorno comunitario:</w:t>
            </w:r>
            <w:r w:rsidRPr="00D134EB">
              <w:rPr>
                <w:rFonts w:ascii="Times New Roman" w:hAnsi="Times New Roman" w:cs="Times New Roman"/>
                <w:sz w:val="20"/>
                <w:szCs w:val="20"/>
              </w:rPr>
              <w:t xml:space="preserve"> Generación de capacidades en la comunidad sobre los impactos del consumo de sustancias psicoactivas orientadas a disminuir el estigma y </w:t>
            </w:r>
            <w:proofErr w:type="spellStart"/>
            <w:r w:rsidRPr="00D134EB">
              <w:rPr>
                <w:rFonts w:ascii="Times New Roman" w:hAnsi="Times New Roman" w:cs="Times New Roman"/>
                <w:sz w:val="20"/>
                <w:szCs w:val="20"/>
              </w:rPr>
              <w:t>autoestigma</w:t>
            </w:r>
            <w:proofErr w:type="spellEnd"/>
            <w:r w:rsidRPr="00D134EB">
              <w:rPr>
                <w:rFonts w:ascii="Times New Roman" w:hAnsi="Times New Roman" w:cs="Times New Roman"/>
                <w:sz w:val="20"/>
                <w:szCs w:val="20"/>
              </w:rPr>
              <w:t xml:space="preserve"> de las personas con problemas, trastornos mentales y consumo de sustancias psicoactivas; establecimiento de lazos de solidaridad y cooperación entre las familias y grupos comunitarios compartiendo información, conocimientos y experiencias para el cuidado y protección de niñas, niños y adolescentes; transformación de imaginarios y representaciones sociales frente a las personas con problemas, trastornos mentales y consumo de sustancias psicoactivas.; desarrollo de estrategias de prevención selectiva e indicada para consumidores no problemáticos orientadas a la reducción de daños asociados al consumo de sustancias psicoactivas. </w:t>
            </w:r>
          </w:p>
          <w:p w14:paraId="6356D1EE" w14:textId="77777777" w:rsidR="00E9045B" w:rsidRPr="00D134EB" w:rsidRDefault="00E9045B" w:rsidP="00E9045B">
            <w:pPr>
              <w:jc w:val="both"/>
              <w:rPr>
                <w:rFonts w:ascii="Times New Roman" w:hAnsi="Times New Roman" w:cs="Times New Roman"/>
                <w:sz w:val="20"/>
                <w:szCs w:val="20"/>
              </w:rPr>
            </w:pPr>
          </w:p>
          <w:p w14:paraId="118ADBB7" w14:textId="2C3494D5" w:rsidR="00E9045B" w:rsidRPr="00D134EB" w:rsidRDefault="00E9045B" w:rsidP="00FE69E6">
            <w:pPr>
              <w:pStyle w:val="Prrafodelista"/>
              <w:numPr>
                <w:ilvl w:val="0"/>
                <w:numId w:val="8"/>
              </w:numPr>
              <w:jc w:val="both"/>
              <w:rPr>
                <w:rFonts w:ascii="Times New Roman" w:hAnsi="Times New Roman" w:cs="Times New Roman"/>
                <w:sz w:val="20"/>
                <w:szCs w:val="20"/>
              </w:rPr>
            </w:pPr>
            <w:r w:rsidRPr="00D134EB">
              <w:rPr>
                <w:rFonts w:ascii="Times New Roman" w:hAnsi="Times New Roman" w:cs="Times New Roman"/>
                <w:sz w:val="20"/>
                <w:szCs w:val="20"/>
                <w:u w:val="single"/>
              </w:rPr>
              <w:t>Entorno institucional:</w:t>
            </w:r>
            <w:r w:rsidRPr="00D134EB">
              <w:rPr>
                <w:rFonts w:ascii="Times New Roman" w:hAnsi="Times New Roman" w:cs="Times New Roman"/>
                <w:sz w:val="20"/>
                <w:szCs w:val="20"/>
              </w:rPr>
              <w:t xml:space="preserve"> Generación de capacidades sobre los impactos del consumo de sustancias psicoactivas orientadas a disminuir el estigma y </w:t>
            </w:r>
            <w:proofErr w:type="spellStart"/>
            <w:r w:rsidRPr="00D134EB">
              <w:rPr>
                <w:rFonts w:ascii="Times New Roman" w:hAnsi="Times New Roman" w:cs="Times New Roman"/>
                <w:sz w:val="20"/>
                <w:szCs w:val="20"/>
              </w:rPr>
              <w:t>autoestigma</w:t>
            </w:r>
            <w:proofErr w:type="spellEnd"/>
            <w:r w:rsidRPr="00D134EB">
              <w:rPr>
                <w:rFonts w:ascii="Times New Roman" w:hAnsi="Times New Roman" w:cs="Times New Roman"/>
                <w:sz w:val="20"/>
                <w:szCs w:val="20"/>
              </w:rPr>
              <w:t xml:space="preserve"> de personas con problemas, trastornos mentales y consumo de sustancias psicoactivas; desarrollo de estrategias de prevención selectiva e indicada para consumidores no problemáticos, orientadas a la reducción de daños asociados al consumo de sustancias psicoactivas en entornos penitenciarios y carcelarios. </w:t>
            </w:r>
          </w:p>
        </w:tc>
      </w:tr>
    </w:tbl>
    <w:p w14:paraId="06F55FBD" w14:textId="0E66962D" w:rsidR="009926F1" w:rsidRPr="00D134EB" w:rsidRDefault="009926F1" w:rsidP="009926F1">
      <w:pPr>
        <w:rPr>
          <w:rFonts w:ascii="Times New Roman" w:hAnsi="Times New Roman" w:cs="Times New Roman"/>
          <w:b/>
          <w:bCs/>
          <w:sz w:val="20"/>
          <w:szCs w:val="20"/>
        </w:rPr>
      </w:pPr>
    </w:p>
    <w:p w14:paraId="109BFEE3" w14:textId="7C072409" w:rsidR="009926F1" w:rsidRPr="00D134EB" w:rsidRDefault="009926F1"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3. Acciones por cada eje de las Resoluciones 4886 de 2018 y 089 de 2019 del Ministerio de Salud</w:t>
      </w:r>
    </w:p>
    <w:tbl>
      <w:tblPr>
        <w:tblStyle w:val="Tablaconcuadrcula"/>
        <w:tblW w:w="0" w:type="auto"/>
        <w:tblLook w:val="04A0" w:firstRow="1" w:lastRow="0" w:firstColumn="1" w:lastColumn="0" w:noHBand="0" w:noVBand="1"/>
      </w:tblPr>
      <w:tblGrid>
        <w:gridCol w:w="2311"/>
        <w:gridCol w:w="6177"/>
      </w:tblGrid>
      <w:tr w:rsidR="00CB1C44" w:rsidRPr="00D134EB" w14:paraId="08A8573C" w14:textId="77777777" w:rsidTr="00AE064A">
        <w:tc>
          <w:tcPr>
            <w:tcW w:w="2405" w:type="dxa"/>
          </w:tcPr>
          <w:p w14:paraId="049CB553" w14:textId="37654A63" w:rsidR="00CB1C44" w:rsidRPr="00D134EB" w:rsidRDefault="00CB1C44"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Eje</w:t>
            </w:r>
            <w:r w:rsidR="00D770C7" w:rsidRPr="00D134EB">
              <w:rPr>
                <w:rFonts w:ascii="Times New Roman" w:hAnsi="Times New Roman" w:cs="Times New Roman"/>
                <w:b/>
                <w:bCs/>
                <w:sz w:val="20"/>
                <w:szCs w:val="20"/>
              </w:rPr>
              <w:t>s</w:t>
            </w:r>
          </w:p>
        </w:tc>
        <w:tc>
          <w:tcPr>
            <w:tcW w:w="6423" w:type="dxa"/>
          </w:tcPr>
          <w:p w14:paraId="0AE4DABE" w14:textId="081059A4" w:rsidR="00CB1C44" w:rsidRPr="00D134EB" w:rsidRDefault="00CB1C44"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Acciones</w:t>
            </w:r>
          </w:p>
        </w:tc>
      </w:tr>
      <w:tr w:rsidR="00CB1C44" w:rsidRPr="00D134EB" w14:paraId="2EE0B06F" w14:textId="77777777" w:rsidTr="00AE064A">
        <w:tc>
          <w:tcPr>
            <w:tcW w:w="2405" w:type="dxa"/>
          </w:tcPr>
          <w:p w14:paraId="71962F42" w14:textId="77777777" w:rsidR="002353D0" w:rsidRPr="00D134EB" w:rsidRDefault="002353D0" w:rsidP="002353D0">
            <w:pPr>
              <w:jc w:val="center"/>
              <w:rPr>
                <w:rFonts w:ascii="Times New Roman" w:hAnsi="Times New Roman" w:cs="Times New Roman"/>
                <w:b/>
                <w:bCs/>
                <w:sz w:val="20"/>
                <w:szCs w:val="20"/>
              </w:rPr>
            </w:pPr>
          </w:p>
          <w:p w14:paraId="79A96825" w14:textId="77777777" w:rsidR="002353D0" w:rsidRPr="00D134EB" w:rsidRDefault="002353D0" w:rsidP="002353D0">
            <w:pPr>
              <w:jc w:val="center"/>
              <w:rPr>
                <w:rFonts w:ascii="Times New Roman" w:hAnsi="Times New Roman" w:cs="Times New Roman"/>
                <w:b/>
                <w:bCs/>
                <w:sz w:val="20"/>
                <w:szCs w:val="20"/>
              </w:rPr>
            </w:pPr>
          </w:p>
          <w:p w14:paraId="4F30EEE0" w14:textId="77777777" w:rsidR="002353D0" w:rsidRPr="00D134EB" w:rsidRDefault="002353D0" w:rsidP="002353D0">
            <w:pPr>
              <w:rPr>
                <w:rFonts w:ascii="Times New Roman" w:hAnsi="Times New Roman" w:cs="Times New Roman"/>
                <w:b/>
                <w:bCs/>
                <w:sz w:val="20"/>
                <w:szCs w:val="20"/>
              </w:rPr>
            </w:pPr>
          </w:p>
          <w:p w14:paraId="3E6207BD" w14:textId="77777777" w:rsidR="002353D0" w:rsidRPr="00D134EB" w:rsidRDefault="002353D0" w:rsidP="002353D0">
            <w:pPr>
              <w:jc w:val="center"/>
              <w:rPr>
                <w:rFonts w:ascii="Times New Roman" w:hAnsi="Times New Roman" w:cs="Times New Roman"/>
                <w:b/>
                <w:bCs/>
                <w:sz w:val="20"/>
                <w:szCs w:val="20"/>
              </w:rPr>
            </w:pPr>
          </w:p>
          <w:p w14:paraId="3D2752B8" w14:textId="2348E410" w:rsidR="00CB1C44" w:rsidRPr="00D134EB" w:rsidRDefault="00CB1C44" w:rsidP="002353D0">
            <w:pPr>
              <w:jc w:val="center"/>
              <w:rPr>
                <w:rFonts w:ascii="Times New Roman" w:hAnsi="Times New Roman" w:cs="Times New Roman"/>
                <w:b/>
                <w:bCs/>
                <w:sz w:val="20"/>
                <w:szCs w:val="20"/>
              </w:rPr>
            </w:pPr>
            <w:r w:rsidRPr="00D134EB">
              <w:rPr>
                <w:rFonts w:ascii="Times New Roman" w:hAnsi="Times New Roman" w:cs="Times New Roman"/>
                <w:b/>
                <w:bCs/>
                <w:sz w:val="20"/>
                <w:szCs w:val="20"/>
              </w:rPr>
              <w:t>Eje 1</w:t>
            </w:r>
          </w:p>
        </w:tc>
        <w:tc>
          <w:tcPr>
            <w:tcW w:w="6423" w:type="dxa"/>
          </w:tcPr>
          <w:p w14:paraId="289D1FFB" w14:textId="092421E7" w:rsidR="00CB1C44" w:rsidRPr="00D134EB" w:rsidRDefault="00E53C0C" w:rsidP="00E53C0C">
            <w:pPr>
              <w:jc w:val="both"/>
              <w:rPr>
                <w:rFonts w:ascii="Times New Roman" w:hAnsi="Times New Roman" w:cs="Times New Roman"/>
                <w:sz w:val="20"/>
                <w:szCs w:val="20"/>
              </w:rPr>
            </w:pPr>
            <w:r w:rsidRPr="00D134EB">
              <w:rPr>
                <w:rFonts w:ascii="Times New Roman" w:hAnsi="Times New Roman" w:cs="Times New Roman"/>
                <w:sz w:val="20"/>
                <w:szCs w:val="20"/>
              </w:rPr>
              <w:t>En el eje 1, entre otras acciones, se resalta el Desarrollo de capacidades socioemocionales (estrategia Emociones Conexión Vital), la Promoción de la convivencia pacífica y el lineamiento de salud mental en comunidades étnicas. En la misma perspectiva, el CONPES 3992 de 2020, que establece la estrategia para la promoción de la salud mental en Colombia, cuyo objetivo es Promover la salud mental de la población colombiana a través del fortalecimiento de entornos sociales, el desarrollo de capacidades individuales y colectivas, el incremento de la coordinación intersectorial y el mejoramiento de la atención en salud mental, con el fin de reducir la incidencia de problemas o trastornos mentales, el consumo o abuso de SPA, y las víctimas de violencias, prevé  dentro de su plan de acción “diseñar conjuntamente con la academia un documento con orientaciones intersectoriales de acciones orientadas a fortalecer redes de apoyo e inclusión social del adulto mayor”. De igual forma, se está construyendo las “Orientaciones para la prevención y atención de los trastornos mentales y neurocognitivos más frecuentes en el adulto mayor” y se están caracterizando los servicios de salud mental a nivel nacional, enfatizando en barreras y facilitadores para su implementación.</w:t>
            </w:r>
          </w:p>
        </w:tc>
      </w:tr>
      <w:tr w:rsidR="00CB1C44" w:rsidRPr="00D134EB" w14:paraId="46AF73D7" w14:textId="77777777" w:rsidTr="00AE064A">
        <w:tc>
          <w:tcPr>
            <w:tcW w:w="2405" w:type="dxa"/>
          </w:tcPr>
          <w:p w14:paraId="6F953C7C" w14:textId="77777777" w:rsidR="002353D0" w:rsidRPr="00D134EB" w:rsidRDefault="002353D0" w:rsidP="002353D0">
            <w:pPr>
              <w:jc w:val="center"/>
              <w:rPr>
                <w:rFonts w:ascii="Times New Roman" w:hAnsi="Times New Roman" w:cs="Times New Roman"/>
                <w:b/>
                <w:bCs/>
                <w:sz w:val="20"/>
                <w:szCs w:val="20"/>
              </w:rPr>
            </w:pPr>
          </w:p>
          <w:p w14:paraId="2FCFEC7C" w14:textId="77777777" w:rsidR="002353D0" w:rsidRPr="00D134EB" w:rsidRDefault="002353D0" w:rsidP="002353D0">
            <w:pPr>
              <w:jc w:val="center"/>
              <w:rPr>
                <w:rFonts w:ascii="Times New Roman" w:hAnsi="Times New Roman" w:cs="Times New Roman"/>
                <w:b/>
                <w:bCs/>
                <w:sz w:val="20"/>
                <w:szCs w:val="20"/>
              </w:rPr>
            </w:pPr>
          </w:p>
          <w:p w14:paraId="3B22E969" w14:textId="77777777" w:rsidR="002353D0" w:rsidRPr="00D134EB" w:rsidRDefault="002353D0" w:rsidP="002353D0">
            <w:pPr>
              <w:jc w:val="center"/>
              <w:rPr>
                <w:rFonts w:ascii="Times New Roman" w:hAnsi="Times New Roman" w:cs="Times New Roman"/>
                <w:b/>
                <w:bCs/>
                <w:sz w:val="20"/>
                <w:szCs w:val="20"/>
              </w:rPr>
            </w:pPr>
          </w:p>
          <w:p w14:paraId="3DA50CC8" w14:textId="77777777" w:rsidR="002353D0" w:rsidRPr="00D134EB" w:rsidRDefault="002353D0" w:rsidP="002353D0">
            <w:pPr>
              <w:jc w:val="center"/>
              <w:rPr>
                <w:rFonts w:ascii="Times New Roman" w:hAnsi="Times New Roman" w:cs="Times New Roman"/>
                <w:b/>
                <w:bCs/>
                <w:sz w:val="20"/>
                <w:szCs w:val="20"/>
              </w:rPr>
            </w:pPr>
          </w:p>
          <w:p w14:paraId="070AC9CF" w14:textId="77777777" w:rsidR="002353D0" w:rsidRPr="00D134EB" w:rsidRDefault="002353D0" w:rsidP="002353D0">
            <w:pPr>
              <w:jc w:val="center"/>
              <w:rPr>
                <w:rFonts w:ascii="Times New Roman" w:hAnsi="Times New Roman" w:cs="Times New Roman"/>
                <w:b/>
                <w:bCs/>
                <w:sz w:val="20"/>
                <w:szCs w:val="20"/>
              </w:rPr>
            </w:pPr>
          </w:p>
          <w:p w14:paraId="69CE4331" w14:textId="77777777" w:rsidR="002353D0" w:rsidRPr="00D134EB" w:rsidRDefault="002353D0" w:rsidP="002353D0">
            <w:pPr>
              <w:jc w:val="center"/>
              <w:rPr>
                <w:rFonts w:ascii="Times New Roman" w:hAnsi="Times New Roman" w:cs="Times New Roman"/>
                <w:b/>
                <w:bCs/>
                <w:sz w:val="20"/>
                <w:szCs w:val="20"/>
              </w:rPr>
            </w:pPr>
          </w:p>
          <w:p w14:paraId="7CDD5A67" w14:textId="43ECADA4" w:rsidR="00CB1C44" w:rsidRPr="00D134EB" w:rsidRDefault="00CB1C44" w:rsidP="002353D0">
            <w:pPr>
              <w:jc w:val="center"/>
              <w:rPr>
                <w:rFonts w:ascii="Times New Roman" w:hAnsi="Times New Roman" w:cs="Times New Roman"/>
                <w:b/>
                <w:bCs/>
                <w:sz w:val="20"/>
                <w:szCs w:val="20"/>
              </w:rPr>
            </w:pPr>
            <w:r w:rsidRPr="00D134EB">
              <w:rPr>
                <w:rFonts w:ascii="Times New Roman" w:hAnsi="Times New Roman" w:cs="Times New Roman"/>
                <w:b/>
                <w:bCs/>
                <w:sz w:val="20"/>
                <w:szCs w:val="20"/>
              </w:rPr>
              <w:t>Eje 2</w:t>
            </w:r>
          </w:p>
        </w:tc>
        <w:tc>
          <w:tcPr>
            <w:tcW w:w="6423" w:type="dxa"/>
          </w:tcPr>
          <w:p w14:paraId="52E21794" w14:textId="07E99238" w:rsidR="00CB1C44" w:rsidRPr="00D134EB" w:rsidRDefault="00E53C0C" w:rsidP="00E53C0C">
            <w:pPr>
              <w:jc w:val="both"/>
              <w:rPr>
                <w:rFonts w:ascii="Times New Roman" w:hAnsi="Times New Roman" w:cs="Times New Roman"/>
                <w:sz w:val="20"/>
                <w:szCs w:val="20"/>
              </w:rPr>
            </w:pPr>
            <w:r w:rsidRPr="00D134EB">
              <w:rPr>
                <w:rFonts w:ascii="Times New Roman" w:hAnsi="Times New Roman" w:cs="Times New Roman"/>
                <w:sz w:val="20"/>
                <w:szCs w:val="20"/>
              </w:rPr>
              <w:t xml:space="preserve">En el eje 2, se fortalecen los sistemas de </w:t>
            </w:r>
            <w:proofErr w:type="spellStart"/>
            <w:r w:rsidRPr="00D134EB">
              <w:rPr>
                <w:rFonts w:ascii="Times New Roman" w:hAnsi="Times New Roman" w:cs="Times New Roman"/>
                <w:sz w:val="20"/>
                <w:szCs w:val="20"/>
              </w:rPr>
              <w:t>teleorientación</w:t>
            </w:r>
            <w:proofErr w:type="spellEnd"/>
            <w:r w:rsidRPr="00D134EB">
              <w:rPr>
                <w:rFonts w:ascii="Times New Roman" w:hAnsi="Times New Roman" w:cs="Times New Roman"/>
                <w:sz w:val="20"/>
                <w:szCs w:val="20"/>
              </w:rPr>
              <w:t xml:space="preserve"> en salud mental, el desarrollo de capacidades en primeros auxilios psicológicos (5000 personas formadas en el último año), fortalecimiento de los sistemas de información de eventos trazadores en salud mental, como intoxicaciones por sustancias psicoactivas, conducta suicida, violencias, etc. En este sentido, en septiembre de 2021 se realiza la publicación de la Estrategia Nacional de Conducta Suicida, y en ella se enfatizan en los aspectos diferenciales para la prevención, el diagnóstico y el tratamiento de esta entidad en niños, niñas y adolescentes, además de incluir en el análisis situacional y propuesta de intervenciones por curso de vida y por entornos. De igual forma, se realiza </w:t>
            </w:r>
            <w:r w:rsidRPr="00D134EB">
              <w:rPr>
                <w:rFonts w:ascii="Times New Roman" w:hAnsi="Times New Roman" w:cs="Times New Roman"/>
                <w:sz w:val="20"/>
                <w:szCs w:val="20"/>
              </w:rPr>
              <w:lastRenderedPageBreak/>
              <w:t>en este momento un plan piloto en un departamento para caracterizar la epilepsia y la discapacidad psicosocial asociada en el país.</w:t>
            </w:r>
          </w:p>
        </w:tc>
      </w:tr>
      <w:tr w:rsidR="00CB1C44" w:rsidRPr="00D134EB" w14:paraId="3CF44F44" w14:textId="77777777" w:rsidTr="00AE064A">
        <w:tc>
          <w:tcPr>
            <w:tcW w:w="2405" w:type="dxa"/>
          </w:tcPr>
          <w:p w14:paraId="4DC80C96" w14:textId="77777777" w:rsidR="002353D0" w:rsidRPr="00D134EB" w:rsidRDefault="002353D0" w:rsidP="002353D0">
            <w:pPr>
              <w:jc w:val="center"/>
              <w:rPr>
                <w:rFonts w:ascii="Times New Roman" w:hAnsi="Times New Roman" w:cs="Times New Roman"/>
                <w:b/>
                <w:bCs/>
                <w:sz w:val="20"/>
                <w:szCs w:val="20"/>
              </w:rPr>
            </w:pPr>
          </w:p>
          <w:p w14:paraId="6DECAC2F" w14:textId="77777777" w:rsidR="002353D0" w:rsidRPr="00D134EB" w:rsidRDefault="002353D0" w:rsidP="002353D0">
            <w:pPr>
              <w:jc w:val="center"/>
              <w:rPr>
                <w:rFonts w:ascii="Times New Roman" w:hAnsi="Times New Roman" w:cs="Times New Roman"/>
                <w:b/>
                <w:bCs/>
                <w:sz w:val="20"/>
                <w:szCs w:val="20"/>
              </w:rPr>
            </w:pPr>
          </w:p>
          <w:p w14:paraId="47499221" w14:textId="77777777" w:rsidR="002353D0" w:rsidRPr="00D134EB" w:rsidRDefault="002353D0" w:rsidP="002353D0">
            <w:pPr>
              <w:jc w:val="center"/>
              <w:rPr>
                <w:rFonts w:ascii="Times New Roman" w:hAnsi="Times New Roman" w:cs="Times New Roman"/>
                <w:b/>
                <w:bCs/>
                <w:sz w:val="20"/>
                <w:szCs w:val="20"/>
              </w:rPr>
            </w:pPr>
          </w:p>
          <w:p w14:paraId="4B0E264D" w14:textId="77777777" w:rsidR="002353D0" w:rsidRPr="00D134EB" w:rsidRDefault="002353D0" w:rsidP="002353D0">
            <w:pPr>
              <w:jc w:val="center"/>
              <w:rPr>
                <w:rFonts w:ascii="Times New Roman" w:hAnsi="Times New Roman" w:cs="Times New Roman"/>
                <w:b/>
                <w:bCs/>
                <w:sz w:val="20"/>
                <w:szCs w:val="20"/>
              </w:rPr>
            </w:pPr>
          </w:p>
          <w:p w14:paraId="4CA181B3" w14:textId="77777777" w:rsidR="002353D0" w:rsidRPr="00D134EB" w:rsidRDefault="002353D0" w:rsidP="002353D0">
            <w:pPr>
              <w:jc w:val="center"/>
              <w:rPr>
                <w:rFonts w:ascii="Times New Roman" w:hAnsi="Times New Roman" w:cs="Times New Roman"/>
                <w:b/>
                <w:bCs/>
                <w:sz w:val="20"/>
                <w:szCs w:val="20"/>
              </w:rPr>
            </w:pPr>
          </w:p>
          <w:p w14:paraId="0195620D" w14:textId="77777777" w:rsidR="002353D0" w:rsidRPr="00D134EB" w:rsidRDefault="002353D0" w:rsidP="002353D0">
            <w:pPr>
              <w:jc w:val="center"/>
              <w:rPr>
                <w:rFonts w:ascii="Times New Roman" w:hAnsi="Times New Roman" w:cs="Times New Roman"/>
                <w:b/>
                <w:bCs/>
                <w:sz w:val="20"/>
                <w:szCs w:val="20"/>
              </w:rPr>
            </w:pPr>
          </w:p>
          <w:p w14:paraId="3F41D223" w14:textId="77777777" w:rsidR="002353D0" w:rsidRPr="00D134EB" w:rsidRDefault="002353D0" w:rsidP="002353D0">
            <w:pPr>
              <w:jc w:val="center"/>
              <w:rPr>
                <w:rFonts w:ascii="Times New Roman" w:hAnsi="Times New Roman" w:cs="Times New Roman"/>
                <w:b/>
                <w:bCs/>
                <w:sz w:val="20"/>
                <w:szCs w:val="20"/>
              </w:rPr>
            </w:pPr>
          </w:p>
          <w:p w14:paraId="0E0E7504" w14:textId="77777777" w:rsidR="002353D0" w:rsidRPr="00D134EB" w:rsidRDefault="002353D0" w:rsidP="002353D0">
            <w:pPr>
              <w:jc w:val="center"/>
              <w:rPr>
                <w:rFonts w:ascii="Times New Roman" w:hAnsi="Times New Roman" w:cs="Times New Roman"/>
                <w:b/>
                <w:bCs/>
                <w:sz w:val="20"/>
                <w:szCs w:val="20"/>
              </w:rPr>
            </w:pPr>
          </w:p>
          <w:p w14:paraId="692D5373" w14:textId="77777777" w:rsidR="002353D0" w:rsidRPr="00D134EB" w:rsidRDefault="002353D0" w:rsidP="002353D0">
            <w:pPr>
              <w:jc w:val="center"/>
              <w:rPr>
                <w:rFonts w:ascii="Times New Roman" w:hAnsi="Times New Roman" w:cs="Times New Roman"/>
                <w:b/>
                <w:bCs/>
                <w:sz w:val="20"/>
                <w:szCs w:val="20"/>
              </w:rPr>
            </w:pPr>
          </w:p>
          <w:p w14:paraId="53FBC83C" w14:textId="5BABCEE7" w:rsidR="00CB1C44" w:rsidRPr="00D134EB" w:rsidRDefault="00CB1C44" w:rsidP="002353D0">
            <w:pPr>
              <w:jc w:val="center"/>
              <w:rPr>
                <w:rFonts w:ascii="Times New Roman" w:hAnsi="Times New Roman" w:cs="Times New Roman"/>
                <w:b/>
                <w:bCs/>
                <w:sz w:val="20"/>
                <w:szCs w:val="20"/>
              </w:rPr>
            </w:pPr>
            <w:r w:rsidRPr="00D134EB">
              <w:rPr>
                <w:rFonts w:ascii="Times New Roman" w:hAnsi="Times New Roman" w:cs="Times New Roman"/>
                <w:b/>
                <w:bCs/>
                <w:sz w:val="20"/>
                <w:szCs w:val="20"/>
              </w:rPr>
              <w:t>Eje 3</w:t>
            </w:r>
          </w:p>
        </w:tc>
        <w:tc>
          <w:tcPr>
            <w:tcW w:w="6423" w:type="dxa"/>
          </w:tcPr>
          <w:p w14:paraId="65DF9D92" w14:textId="557974D8" w:rsidR="0034563E" w:rsidRPr="00D134EB" w:rsidRDefault="0034563E" w:rsidP="0034563E">
            <w:pPr>
              <w:jc w:val="both"/>
              <w:rPr>
                <w:rFonts w:ascii="Times New Roman" w:hAnsi="Times New Roman" w:cs="Times New Roman"/>
                <w:sz w:val="20"/>
                <w:szCs w:val="20"/>
              </w:rPr>
            </w:pPr>
            <w:r w:rsidRPr="00D134EB">
              <w:rPr>
                <w:rFonts w:ascii="Times New Roman" w:hAnsi="Times New Roman" w:cs="Times New Roman"/>
                <w:sz w:val="20"/>
                <w:szCs w:val="20"/>
              </w:rPr>
              <w:t xml:space="preserve">En el eje 3, se destaca la resolución 2292 de 2021, por la cual se actualizan integralmente los servicios y tecnologías de salud financiados con recursos de la Unidad de Pago por Capitación (UPC), del 2021, se encuentra la inclusión de 18 tecnologías para el diagnóstico y el tratamiento de problemas o trastornos mentales en todo el curso de vida, además de las que existía previamente, quedando antidepresivos, moduladores, antidepresivos, estimulantes, </w:t>
            </w:r>
            <w:proofErr w:type="spellStart"/>
            <w:r w:rsidRPr="00D134EB">
              <w:rPr>
                <w:rFonts w:ascii="Times New Roman" w:hAnsi="Times New Roman" w:cs="Times New Roman"/>
                <w:sz w:val="20"/>
                <w:szCs w:val="20"/>
              </w:rPr>
              <w:t>anticolinesterasa</w:t>
            </w:r>
            <w:proofErr w:type="spellEnd"/>
            <w:r w:rsidRPr="00D134EB">
              <w:rPr>
                <w:rFonts w:ascii="Times New Roman" w:hAnsi="Times New Roman" w:cs="Times New Roman"/>
                <w:sz w:val="20"/>
                <w:szCs w:val="20"/>
              </w:rPr>
              <w:t>, ansiolíticos, de primera, segunda y hasta tercera línea, además de procesos de diagnóstico psicológico, psiquiátrico y cognoscitivo. En esta resolución persiste el énfasis en un manejo integral, donde confluye lo biológico, con lo psicológico, con un enfoque que fortalece además lo comunitario y la recuperación psicosocial.</w:t>
            </w:r>
          </w:p>
          <w:p w14:paraId="4EACDACE" w14:textId="77777777" w:rsidR="0034563E" w:rsidRPr="00D134EB" w:rsidRDefault="0034563E" w:rsidP="0034563E">
            <w:pPr>
              <w:pStyle w:val="Prrafodelista"/>
              <w:ind w:left="360"/>
              <w:jc w:val="both"/>
              <w:rPr>
                <w:rFonts w:ascii="Times New Roman" w:hAnsi="Times New Roman" w:cs="Times New Roman"/>
                <w:sz w:val="20"/>
                <w:szCs w:val="20"/>
              </w:rPr>
            </w:pPr>
          </w:p>
          <w:p w14:paraId="7D3D8A6C" w14:textId="07CFA698" w:rsidR="00CB1C44" w:rsidRPr="00D134EB" w:rsidRDefault="0034563E" w:rsidP="00E53C0C">
            <w:pPr>
              <w:jc w:val="both"/>
              <w:rPr>
                <w:rFonts w:ascii="Times New Roman" w:hAnsi="Times New Roman" w:cs="Times New Roman"/>
                <w:sz w:val="20"/>
                <w:szCs w:val="20"/>
              </w:rPr>
            </w:pPr>
            <w:r w:rsidRPr="00D134EB">
              <w:rPr>
                <w:rFonts w:ascii="Times New Roman" w:hAnsi="Times New Roman" w:cs="Times New Roman"/>
                <w:sz w:val="20"/>
                <w:szCs w:val="20"/>
              </w:rPr>
              <w:t xml:space="preserve">De igual forma, en cuanto a la estrategia </w:t>
            </w:r>
            <w:proofErr w:type="spellStart"/>
            <w:r w:rsidRPr="00D134EB">
              <w:rPr>
                <w:rFonts w:ascii="Times New Roman" w:hAnsi="Times New Roman" w:cs="Times New Roman"/>
                <w:sz w:val="20"/>
                <w:szCs w:val="20"/>
              </w:rPr>
              <w:t>mhGAP</w:t>
            </w:r>
            <w:proofErr w:type="spellEnd"/>
            <w:r w:rsidRPr="00D134EB">
              <w:rPr>
                <w:rFonts w:ascii="Times New Roman" w:hAnsi="Times New Roman" w:cs="Times New Roman"/>
                <w:sz w:val="20"/>
                <w:szCs w:val="20"/>
              </w:rPr>
              <w:t xml:space="preserve"> 2.0 se consolida el sistema de monitoreo, se adaptan las réplicas a nivel territorial y se realizan formaciones constantes a los territorios que la requieran. Se continúa trabajando actualmente en un sistema de seguimiento, y en la adopción de la estrategia por parte de las academias y los prestadores. Por otra parte, se da la adaptación de la guía </w:t>
            </w:r>
            <w:proofErr w:type="spellStart"/>
            <w:r w:rsidRPr="00D134EB">
              <w:rPr>
                <w:rFonts w:ascii="Times New Roman" w:hAnsi="Times New Roman" w:cs="Times New Roman"/>
                <w:sz w:val="20"/>
                <w:szCs w:val="20"/>
              </w:rPr>
              <w:t>mhGAP</w:t>
            </w:r>
            <w:proofErr w:type="spellEnd"/>
            <w:r w:rsidRPr="00D134EB">
              <w:rPr>
                <w:rFonts w:ascii="Times New Roman" w:hAnsi="Times New Roman" w:cs="Times New Roman"/>
                <w:sz w:val="20"/>
                <w:szCs w:val="20"/>
              </w:rPr>
              <w:t xml:space="preserve"> 2.0 a la comunidad Awá. Allí se precisan aspectos relacionados con el maltrato infantil y los trastornos generalizados del desarrollo, además de considerar características de la adolescencia en las entidades afectivas.</w:t>
            </w:r>
          </w:p>
        </w:tc>
      </w:tr>
      <w:tr w:rsidR="00CB1C44" w:rsidRPr="00D134EB" w14:paraId="42CA10B0" w14:textId="77777777" w:rsidTr="00AE064A">
        <w:tc>
          <w:tcPr>
            <w:tcW w:w="2405" w:type="dxa"/>
          </w:tcPr>
          <w:p w14:paraId="61D6C945" w14:textId="77777777" w:rsidR="002353D0" w:rsidRPr="00D134EB" w:rsidRDefault="002353D0" w:rsidP="002353D0">
            <w:pPr>
              <w:jc w:val="center"/>
              <w:rPr>
                <w:rFonts w:ascii="Times New Roman" w:hAnsi="Times New Roman" w:cs="Times New Roman"/>
                <w:b/>
                <w:bCs/>
                <w:sz w:val="20"/>
                <w:szCs w:val="20"/>
              </w:rPr>
            </w:pPr>
          </w:p>
          <w:p w14:paraId="3FA50CDE" w14:textId="77777777" w:rsidR="002353D0" w:rsidRPr="00D134EB" w:rsidRDefault="002353D0" w:rsidP="002353D0">
            <w:pPr>
              <w:jc w:val="center"/>
              <w:rPr>
                <w:rFonts w:ascii="Times New Roman" w:hAnsi="Times New Roman" w:cs="Times New Roman"/>
                <w:b/>
                <w:bCs/>
                <w:sz w:val="20"/>
                <w:szCs w:val="20"/>
              </w:rPr>
            </w:pPr>
          </w:p>
          <w:p w14:paraId="0391AB43" w14:textId="07F43BC1" w:rsidR="00CB1C44" w:rsidRPr="00D134EB" w:rsidRDefault="00CB1C44" w:rsidP="002353D0">
            <w:pPr>
              <w:jc w:val="center"/>
              <w:rPr>
                <w:rFonts w:ascii="Times New Roman" w:hAnsi="Times New Roman" w:cs="Times New Roman"/>
                <w:b/>
                <w:bCs/>
                <w:sz w:val="20"/>
                <w:szCs w:val="20"/>
              </w:rPr>
            </w:pPr>
            <w:r w:rsidRPr="00D134EB">
              <w:rPr>
                <w:rFonts w:ascii="Times New Roman" w:hAnsi="Times New Roman" w:cs="Times New Roman"/>
                <w:b/>
                <w:bCs/>
                <w:sz w:val="20"/>
                <w:szCs w:val="20"/>
              </w:rPr>
              <w:t>Eje 4</w:t>
            </w:r>
          </w:p>
        </w:tc>
        <w:tc>
          <w:tcPr>
            <w:tcW w:w="6423" w:type="dxa"/>
          </w:tcPr>
          <w:p w14:paraId="0663EEBA" w14:textId="0DD97841" w:rsidR="00CB1C44" w:rsidRPr="00D134EB" w:rsidRDefault="008371A9" w:rsidP="00E53C0C">
            <w:pPr>
              <w:jc w:val="both"/>
              <w:rPr>
                <w:rFonts w:ascii="Times New Roman" w:hAnsi="Times New Roman" w:cs="Times New Roman"/>
                <w:sz w:val="20"/>
                <w:szCs w:val="20"/>
              </w:rPr>
            </w:pPr>
            <w:r w:rsidRPr="00D134EB">
              <w:rPr>
                <w:rFonts w:ascii="Times New Roman" w:hAnsi="Times New Roman" w:cs="Times New Roman"/>
                <w:sz w:val="20"/>
                <w:szCs w:val="20"/>
              </w:rPr>
              <w:t>En el eje 4, se adelantan lineamientos para conformación de grupos de apoyo y grupos de ayuda mutua, para la mayoría de enfermedades no transmisibles, además de estrategias de reducción de daños en el consumo de sustancias psicoactivas, implementación de dispositivos comunitarios y fortalecimiento de la rehabilitación basada en comunidad en salud mental, para lo cual se sostienen canales de comunicación constantes con los territorios.</w:t>
            </w:r>
          </w:p>
        </w:tc>
      </w:tr>
      <w:tr w:rsidR="00CB1C44" w:rsidRPr="00D134EB" w14:paraId="507CBD84" w14:textId="77777777" w:rsidTr="00AE064A">
        <w:tc>
          <w:tcPr>
            <w:tcW w:w="2405" w:type="dxa"/>
          </w:tcPr>
          <w:p w14:paraId="1787F8F3" w14:textId="77777777" w:rsidR="002353D0" w:rsidRPr="00D134EB" w:rsidRDefault="002353D0" w:rsidP="002353D0">
            <w:pPr>
              <w:jc w:val="center"/>
              <w:rPr>
                <w:rFonts w:ascii="Times New Roman" w:hAnsi="Times New Roman" w:cs="Times New Roman"/>
                <w:b/>
                <w:bCs/>
                <w:sz w:val="20"/>
                <w:szCs w:val="20"/>
              </w:rPr>
            </w:pPr>
          </w:p>
          <w:p w14:paraId="2CE09F7D" w14:textId="77777777" w:rsidR="002353D0" w:rsidRPr="00D134EB" w:rsidRDefault="002353D0" w:rsidP="002353D0">
            <w:pPr>
              <w:jc w:val="center"/>
              <w:rPr>
                <w:rFonts w:ascii="Times New Roman" w:hAnsi="Times New Roman" w:cs="Times New Roman"/>
                <w:b/>
                <w:bCs/>
                <w:sz w:val="20"/>
                <w:szCs w:val="20"/>
              </w:rPr>
            </w:pPr>
          </w:p>
          <w:p w14:paraId="5CEF15D7" w14:textId="566647E2" w:rsidR="00CB1C44" w:rsidRPr="00D134EB" w:rsidRDefault="00CB1C44" w:rsidP="002353D0">
            <w:pPr>
              <w:jc w:val="center"/>
              <w:rPr>
                <w:rFonts w:ascii="Times New Roman" w:hAnsi="Times New Roman" w:cs="Times New Roman"/>
                <w:b/>
                <w:bCs/>
                <w:sz w:val="20"/>
                <w:szCs w:val="20"/>
              </w:rPr>
            </w:pPr>
            <w:r w:rsidRPr="00D134EB">
              <w:rPr>
                <w:rFonts w:ascii="Times New Roman" w:hAnsi="Times New Roman" w:cs="Times New Roman"/>
                <w:b/>
                <w:bCs/>
                <w:sz w:val="20"/>
                <w:szCs w:val="20"/>
              </w:rPr>
              <w:t>Eje 5</w:t>
            </w:r>
          </w:p>
        </w:tc>
        <w:tc>
          <w:tcPr>
            <w:tcW w:w="6423" w:type="dxa"/>
          </w:tcPr>
          <w:p w14:paraId="5B25B424" w14:textId="661D6BE7" w:rsidR="00CB1C44" w:rsidRPr="00D134EB" w:rsidRDefault="00B7504F" w:rsidP="00E53C0C">
            <w:pPr>
              <w:jc w:val="both"/>
              <w:rPr>
                <w:rFonts w:ascii="Times New Roman" w:hAnsi="Times New Roman" w:cs="Times New Roman"/>
                <w:sz w:val="20"/>
                <w:szCs w:val="20"/>
              </w:rPr>
            </w:pPr>
            <w:r w:rsidRPr="00D134EB">
              <w:rPr>
                <w:rFonts w:ascii="Times New Roman" w:hAnsi="Times New Roman" w:cs="Times New Roman"/>
                <w:sz w:val="20"/>
                <w:szCs w:val="20"/>
              </w:rPr>
              <w:t>En el eje 5, se tiene en gestión multisectorial, que en 2020 se expidió el CONPES Salud Mental 3992 que aborda salud mental, epilepsia, consumo de sustancias psicoactivas y violencias con acciones de 14 entidades nacionales (ministerios e institutos) acordar objetivos comunes, acciones concretas, indicadores de seguimiento e hitos de gestión, con una inversión desde cada uno de los sectores que asciende a $1.131.318 millones de pesos.</w:t>
            </w:r>
          </w:p>
        </w:tc>
      </w:tr>
    </w:tbl>
    <w:p w14:paraId="19923603" w14:textId="77777777" w:rsidR="000E3B8F" w:rsidRPr="00D134EB" w:rsidRDefault="000E3B8F" w:rsidP="005C368E">
      <w:pPr>
        <w:rPr>
          <w:rFonts w:ascii="Times New Roman" w:hAnsi="Times New Roman" w:cs="Times New Roman"/>
          <w:b/>
          <w:bCs/>
          <w:sz w:val="20"/>
          <w:szCs w:val="20"/>
        </w:rPr>
      </w:pPr>
    </w:p>
    <w:p w14:paraId="3CA07F1F" w14:textId="513A5BC2" w:rsidR="009926F1" w:rsidRPr="00D134EB" w:rsidRDefault="00AE064A" w:rsidP="0078581A">
      <w:pPr>
        <w:pStyle w:val="Ttulo1"/>
        <w:spacing w:line="360" w:lineRule="auto"/>
        <w:jc w:val="center"/>
        <w:rPr>
          <w:rFonts w:ascii="Times New Roman" w:hAnsi="Times New Roman" w:cs="Times New Roman"/>
          <w:b/>
          <w:bCs/>
          <w:color w:val="auto"/>
          <w:sz w:val="24"/>
          <w:szCs w:val="24"/>
        </w:rPr>
      </w:pPr>
      <w:bookmarkStart w:id="19" w:name="_Toc116679741"/>
      <w:bookmarkStart w:id="20" w:name="_Toc116977717"/>
      <w:r w:rsidRPr="00D134EB">
        <w:rPr>
          <w:rFonts w:ascii="Times New Roman" w:hAnsi="Times New Roman" w:cs="Times New Roman"/>
          <w:b/>
          <w:bCs/>
          <w:color w:val="auto"/>
          <w:sz w:val="24"/>
          <w:szCs w:val="24"/>
        </w:rPr>
        <w:t>Anexo 1</w:t>
      </w:r>
      <w:r w:rsidR="005C368E" w:rsidRPr="00D134EB">
        <w:rPr>
          <w:rFonts w:ascii="Times New Roman" w:hAnsi="Times New Roman" w:cs="Times New Roman"/>
          <w:b/>
          <w:bCs/>
          <w:color w:val="auto"/>
          <w:sz w:val="24"/>
          <w:szCs w:val="24"/>
        </w:rPr>
        <w:t>0</w:t>
      </w:r>
      <w:r w:rsidRPr="00D134EB">
        <w:rPr>
          <w:rFonts w:ascii="Times New Roman" w:hAnsi="Times New Roman" w:cs="Times New Roman"/>
          <w:b/>
          <w:bCs/>
          <w:color w:val="auto"/>
          <w:sz w:val="24"/>
          <w:szCs w:val="24"/>
        </w:rPr>
        <w:t>. Ministerio de Educación Nacional</w:t>
      </w:r>
      <w:bookmarkEnd w:id="19"/>
      <w:bookmarkEnd w:id="20"/>
    </w:p>
    <w:p w14:paraId="3B23340D" w14:textId="4F39E06B" w:rsidR="00AE064A" w:rsidRPr="00D134EB" w:rsidRDefault="00AE064A"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1. Acciones afirmativas adelantadas </w:t>
      </w:r>
      <w:r w:rsidR="00781500" w:rsidRPr="00D134EB">
        <w:rPr>
          <w:rFonts w:ascii="Times New Roman" w:hAnsi="Times New Roman" w:cs="Times New Roman"/>
          <w:b/>
          <w:bCs/>
          <w:sz w:val="20"/>
          <w:szCs w:val="20"/>
        </w:rPr>
        <w:t xml:space="preserve">por el Ministerio de Educación </w:t>
      </w:r>
      <w:r w:rsidRPr="00D134EB">
        <w:rPr>
          <w:rFonts w:ascii="Times New Roman" w:hAnsi="Times New Roman" w:cs="Times New Roman"/>
          <w:b/>
          <w:bCs/>
          <w:sz w:val="20"/>
          <w:szCs w:val="20"/>
        </w:rPr>
        <w:t>con los pueblos indígenas</w:t>
      </w:r>
      <w:r w:rsidR="00781500" w:rsidRPr="00D134EB">
        <w:rPr>
          <w:rFonts w:ascii="Times New Roman" w:hAnsi="Times New Roman" w:cs="Times New Roman"/>
          <w:b/>
          <w:bCs/>
          <w:sz w:val="20"/>
          <w:szCs w:val="20"/>
        </w:rPr>
        <w:t>.</w:t>
      </w:r>
      <w:r w:rsidRPr="00D134EB">
        <w:rPr>
          <w:rFonts w:ascii="Times New Roman" w:hAnsi="Times New Roman" w:cs="Times New Roman"/>
          <w:b/>
          <w:bCs/>
          <w:sz w:val="20"/>
          <w:szCs w:val="20"/>
        </w:rPr>
        <w:t xml:space="preserve"> </w:t>
      </w:r>
    </w:p>
    <w:tbl>
      <w:tblPr>
        <w:tblStyle w:val="Tablaconcuadrcula"/>
        <w:tblW w:w="0" w:type="auto"/>
        <w:tblLook w:val="04A0" w:firstRow="1" w:lastRow="0" w:firstColumn="1" w:lastColumn="0" w:noHBand="0" w:noVBand="1"/>
      </w:tblPr>
      <w:tblGrid>
        <w:gridCol w:w="2335"/>
        <w:gridCol w:w="6153"/>
      </w:tblGrid>
      <w:tr w:rsidR="00AE064A" w:rsidRPr="00D134EB" w14:paraId="16C2CB7A" w14:textId="77777777" w:rsidTr="00AE064A">
        <w:tc>
          <w:tcPr>
            <w:tcW w:w="2405" w:type="dxa"/>
          </w:tcPr>
          <w:p w14:paraId="5D83CB3A" w14:textId="77777777" w:rsidR="00781500" w:rsidRPr="00D134EB" w:rsidRDefault="00781500" w:rsidP="009926F1">
            <w:pPr>
              <w:jc w:val="center"/>
              <w:rPr>
                <w:rFonts w:ascii="Times New Roman" w:hAnsi="Times New Roman" w:cs="Times New Roman"/>
                <w:b/>
                <w:bCs/>
                <w:sz w:val="20"/>
                <w:szCs w:val="20"/>
              </w:rPr>
            </w:pPr>
          </w:p>
          <w:p w14:paraId="542E51ED" w14:textId="77777777" w:rsidR="00781500" w:rsidRPr="00D134EB" w:rsidRDefault="00781500" w:rsidP="009926F1">
            <w:pPr>
              <w:jc w:val="center"/>
              <w:rPr>
                <w:rFonts w:ascii="Times New Roman" w:hAnsi="Times New Roman" w:cs="Times New Roman"/>
                <w:b/>
                <w:bCs/>
                <w:sz w:val="20"/>
                <w:szCs w:val="20"/>
              </w:rPr>
            </w:pPr>
          </w:p>
          <w:p w14:paraId="63E8FD47" w14:textId="77777777" w:rsidR="00781500" w:rsidRPr="00D134EB" w:rsidRDefault="00781500" w:rsidP="009926F1">
            <w:pPr>
              <w:jc w:val="center"/>
              <w:rPr>
                <w:rFonts w:ascii="Times New Roman" w:hAnsi="Times New Roman" w:cs="Times New Roman"/>
                <w:b/>
                <w:bCs/>
                <w:sz w:val="20"/>
                <w:szCs w:val="20"/>
              </w:rPr>
            </w:pPr>
          </w:p>
          <w:p w14:paraId="2B069794" w14:textId="77777777" w:rsidR="00781500" w:rsidRPr="00D134EB" w:rsidRDefault="00781500" w:rsidP="009926F1">
            <w:pPr>
              <w:jc w:val="center"/>
              <w:rPr>
                <w:rFonts w:ascii="Times New Roman" w:hAnsi="Times New Roman" w:cs="Times New Roman"/>
                <w:b/>
                <w:bCs/>
                <w:sz w:val="20"/>
                <w:szCs w:val="20"/>
              </w:rPr>
            </w:pPr>
          </w:p>
          <w:p w14:paraId="7889663C" w14:textId="77777777" w:rsidR="00781500" w:rsidRPr="00D134EB" w:rsidRDefault="00781500" w:rsidP="009926F1">
            <w:pPr>
              <w:jc w:val="center"/>
              <w:rPr>
                <w:rFonts w:ascii="Times New Roman" w:hAnsi="Times New Roman" w:cs="Times New Roman"/>
                <w:b/>
                <w:bCs/>
                <w:sz w:val="20"/>
                <w:szCs w:val="20"/>
              </w:rPr>
            </w:pPr>
          </w:p>
          <w:p w14:paraId="6518204C" w14:textId="77777777" w:rsidR="00781500" w:rsidRPr="00D134EB" w:rsidRDefault="00781500" w:rsidP="009926F1">
            <w:pPr>
              <w:jc w:val="center"/>
              <w:rPr>
                <w:rFonts w:ascii="Times New Roman" w:hAnsi="Times New Roman" w:cs="Times New Roman"/>
                <w:b/>
                <w:bCs/>
                <w:sz w:val="20"/>
                <w:szCs w:val="20"/>
              </w:rPr>
            </w:pPr>
          </w:p>
          <w:p w14:paraId="1B887695" w14:textId="77777777" w:rsidR="00781500" w:rsidRPr="00D134EB" w:rsidRDefault="00781500" w:rsidP="009926F1">
            <w:pPr>
              <w:jc w:val="center"/>
              <w:rPr>
                <w:rFonts w:ascii="Times New Roman" w:hAnsi="Times New Roman" w:cs="Times New Roman"/>
                <w:b/>
                <w:bCs/>
                <w:sz w:val="20"/>
                <w:szCs w:val="20"/>
              </w:rPr>
            </w:pPr>
          </w:p>
          <w:p w14:paraId="11B716A6" w14:textId="77777777" w:rsidR="00781500" w:rsidRPr="00D134EB" w:rsidRDefault="00781500" w:rsidP="009926F1">
            <w:pPr>
              <w:jc w:val="center"/>
              <w:rPr>
                <w:rFonts w:ascii="Times New Roman" w:hAnsi="Times New Roman" w:cs="Times New Roman"/>
                <w:b/>
                <w:bCs/>
                <w:sz w:val="20"/>
                <w:szCs w:val="20"/>
              </w:rPr>
            </w:pPr>
          </w:p>
          <w:p w14:paraId="080C2991" w14:textId="77777777" w:rsidR="00781500" w:rsidRPr="00D134EB" w:rsidRDefault="00781500" w:rsidP="009926F1">
            <w:pPr>
              <w:jc w:val="center"/>
              <w:rPr>
                <w:rFonts w:ascii="Times New Roman" w:hAnsi="Times New Roman" w:cs="Times New Roman"/>
                <w:b/>
                <w:bCs/>
                <w:sz w:val="20"/>
                <w:szCs w:val="20"/>
              </w:rPr>
            </w:pPr>
          </w:p>
          <w:p w14:paraId="768027EA" w14:textId="77777777" w:rsidR="00781500" w:rsidRPr="00D134EB" w:rsidRDefault="00781500" w:rsidP="009926F1">
            <w:pPr>
              <w:jc w:val="center"/>
              <w:rPr>
                <w:rFonts w:ascii="Times New Roman" w:hAnsi="Times New Roman" w:cs="Times New Roman"/>
                <w:b/>
                <w:bCs/>
                <w:sz w:val="20"/>
                <w:szCs w:val="20"/>
              </w:rPr>
            </w:pPr>
          </w:p>
          <w:p w14:paraId="5C0AF180" w14:textId="77777777" w:rsidR="00781500" w:rsidRPr="00D134EB" w:rsidRDefault="00781500" w:rsidP="009926F1">
            <w:pPr>
              <w:jc w:val="center"/>
              <w:rPr>
                <w:rFonts w:ascii="Times New Roman" w:hAnsi="Times New Roman" w:cs="Times New Roman"/>
                <w:b/>
                <w:bCs/>
                <w:sz w:val="20"/>
                <w:szCs w:val="20"/>
              </w:rPr>
            </w:pPr>
          </w:p>
          <w:p w14:paraId="623F706F" w14:textId="77777777" w:rsidR="00781500" w:rsidRPr="00D134EB" w:rsidRDefault="00781500" w:rsidP="009926F1">
            <w:pPr>
              <w:jc w:val="center"/>
              <w:rPr>
                <w:rFonts w:ascii="Times New Roman" w:hAnsi="Times New Roman" w:cs="Times New Roman"/>
                <w:b/>
                <w:bCs/>
                <w:sz w:val="20"/>
                <w:szCs w:val="20"/>
              </w:rPr>
            </w:pPr>
          </w:p>
          <w:p w14:paraId="61FA5309" w14:textId="77777777" w:rsidR="00781500" w:rsidRPr="00D134EB" w:rsidRDefault="00781500" w:rsidP="009926F1">
            <w:pPr>
              <w:jc w:val="center"/>
              <w:rPr>
                <w:rFonts w:ascii="Times New Roman" w:hAnsi="Times New Roman" w:cs="Times New Roman"/>
                <w:b/>
                <w:bCs/>
                <w:sz w:val="20"/>
                <w:szCs w:val="20"/>
              </w:rPr>
            </w:pPr>
          </w:p>
          <w:p w14:paraId="3791B3D5" w14:textId="77777777" w:rsidR="00781500" w:rsidRPr="00D134EB" w:rsidRDefault="00781500" w:rsidP="009926F1">
            <w:pPr>
              <w:jc w:val="center"/>
              <w:rPr>
                <w:rFonts w:ascii="Times New Roman" w:hAnsi="Times New Roman" w:cs="Times New Roman"/>
                <w:b/>
                <w:bCs/>
                <w:sz w:val="20"/>
                <w:szCs w:val="20"/>
              </w:rPr>
            </w:pPr>
          </w:p>
          <w:p w14:paraId="5D9F4379" w14:textId="77777777" w:rsidR="00781500" w:rsidRPr="00D134EB" w:rsidRDefault="00781500" w:rsidP="009926F1">
            <w:pPr>
              <w:jc w:val="center"/>
              <w:rPr>
                <w:rFonts w:ascii="Times New Roman" w:hAnsi="Times New Roman" w:cs="Times New Roman"/>
                <w:b/>
                <w:bCs/>
                <w:sz w:val="20"/>
                <w:szCs w:val="20"/>
              </w:rPr>
            </w:pPr>
          </w:p>
          <w:p w14:paraId="20595300" w14:textId="6BACC21A" w:rsidR="00AE064A" w:rsidRPr="00D134EB" w:rsidRDefault="00AE064A"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Acciones afirmativas adelantadas con los pueblos indígenas</w:t>
            </w:r>
          </w:p>
        </w:tc>
        <w:tc>
          <w:tcPr>
            <w:tcW w:w="6423" w:type="dxa"/>
          </w:tcPr>
          <w:p w14:paraId="23E9A08A" w14:textId="16EDFF82" w:rsidR="00AE064A" w:rsidRPr="00D134EB" w:rsidRDefault="00AE064A" w:rsidP="00AE064A">
            <w:pPr>
              <w:pStyle w:val="Prrafodelista"/>
              <w:numPr>
                <w:ilvl w:val="0"/>
                <w:numId w:val="9"/>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 xml:space="preserve">Gran parte de los proyectos </w:t>
            </w:r>
            <w:proofErr w:type="spellStart"/>
            <w:r w:rsidRPr="00D134EB">
              <w:rPr>
                <w:rFonts w:ascii="Times New Roman" w:hAnsi="Times New Roman" w:cs="Times New Roman"/>
                <w:sz w:val="20"/>
                <w:szCs w:val="20"/>
              </w:rPr>
              <w:t>etnoeducativos</w:t>
            </w:r>
            <w:proofErr w:type="spellEnd"/>
            <w:r w:rsidRPr="00D134EB">
              <w:rPr>
                <w:rFonts w:ascii="Times New Roman" w:hAnsi="Times New Roman" w:cs="Times New Roman"/>
                <w:sz w:val="20"/>
                <w:szCs w:val="20"/>
              </w:rPr>
              <w:t xml:space="preserve"> que se encuentran en ejecución contribuyen a la permanencia de las familias en el territorio, puesto que reconocen sus prácticas culturales propias y vinculan las dinámicas comunitarias a los procesos escolares.</w:t>
            </w:r>
          </w:p>
          <w:p w14:paraId="436FDB12" w14:textId="77777777" w:rsidR="00AE064A" w:rsidRPr="00D134EB" w:rsidRDefault="00AE064A" w:rsidP="00AE064A">
            <w:pPr>
              <w:pStyle w:val="Prrafodelista"/>
              <w:ind w:left="644"/>
              <w:jc w:val="both"/>
              <w:rPr>
                <w:rFonts w:ascii="Times New Roman" w:hAnsi="Times New Roman" w:cs="Times New Roman"/>
                <w:sz w:val="20"/>
                <w:szCs w:val="20"/>
              </w:rPr>
            </w:pPr>
          </w:p>
          <w:p w14:paraId="54C08F3F" w14:textId="353407E6" w:rsidR="00AE064A" w:rsidRPr="00D134EB" w:rsidRDefault="00AE064A" w:rsidP="00AE064A">
            <w:pPr>
              <w:pStyle w:val="Prrafodelista"/>
              <w:numPr>
                <w:ilvl w:val="0"/>
                <w:numId w:val="9"/>
              </w:numPr>
              <w:jc w:val="both"/>
              <w:rPr>
                <w:rFonts w:ascii="Times New Roman" w:hAnsi="Times New Roman" w:cs="Times New Roman"/>
                <w:sz w:val="20"/>
                <w:szCs w:val="20"/>
              </w:rPr>
            </w:pPr>
            <w:r w:rsidRPr="00D134EB">
              <w:rPr>
                <w:rFonts w:ascii="Times New Roman" w:hAnsi="Times New Roman" w:cs="Times New Roman"/>
                <w:sz w:val="20"/>
                <w:szCs w:val="20"/>
              </w:rPr>
              <w:t xml:space="preserve">El trabajo de las organizaciones en la implementación de los proyectos educativos propios, </w:t>
            </w:r>
            <w:proofErr w:type="spellStart"/>
            <w:r w:rsidRPr="00D134EB">
              <w:rPr>
                <w:rFonts w:ascii="Times New Roman" w:hAnsi="Times New Roman" w:cs="Times New Roman"/>
                <w:sz w:val="20"/>
                <w:szCs w:val="20"/>
              </w:rPr>
              <w:t>etnoeducativos</w:t>
            </w:r>
            <w:proofErr w:type="spellEnd"/>
            <w:r w:rsidRPr="00D134EB">
              <w:rPr>
                <w:rFonts w:ascii="Times New Roman" w:hAnsi="Times New Roman" w:cs="Times New Roman"/>
                <w:sz w:val="20"/>
                <w:szCs w:val="20"/>
              </w:rPr>
              <w:t xml:space="preserve"> e interculturales han impactado en algunas Secretarías de Educación departamentales, generando acciones que han permitido fortalecer los procesos culturales aportando elementos importantes a la protección y prevención de desplazamiento y la pervivencia cultural y territorial de los pueblos y comunidades.</w:t>
            </w:r>
          </w:p>
          <w:p w14:paraId="281FCB89" w14:textId="77777777" w:rsidR="00AE064A" w:rsidRPr="00D134EB" w:rsidRDefault="00AE064A" w:rsidP="00AE064A">
            <w:pPr>
              <w:jc w:val="both"/>
              <w:rPr>
                <w:rFonts w:ascii="Times New Roman" w:hAnsi="Times New Roman" w:cs="Times New Roman"/>
                <w:sz w:val="20"/>
                <w:szCs w:val="20"/>
              </w:rPr>
            </w:pPr>
          </w:p>
          <w:p w14:paraId="7A4437CE" w14:textId="66F404EB" w:rsidR="00AE064A" w:rsidRPr="00D134EB" w:rsidRDefault="00AE064A" w:rsidP="00AE064A">
            <w:pPr>
              <w:pStyle w:val="Prrafodelista"/>
              <w:numPr>
                <w:ilvl w:val="0"/>
                <w:numId w:val="9"/>
              </w:numPr>
              <w:jc w:val="both"/>
              <w:rPr>
                <w:rFonts w:ascii="Times New Roman" w:hAnsi="Times New Roman" w:cs="Times New Roman"/>
                <w:sz w:val="20"/>
                <w:szCs w:val="20"/>
              </w:rPr>
            </w:pPr>
            <w:r w:rsidRPr="00D134EB">
              <w:rPr>
                <w:rFonts w:ascii="Times New Roman" w:hAnsi="Times New Roman" w:cs="Times New Roman"/>
                <w:sz w:val="20"/>
                <w:szCs w:val="20"/>
              </w:rPr>
              <w:lastRenderedPageBreak/>
              <w:t xml:space="preserve">Con la implementación de los proyectos educativos propios, </w:t>
            </w:r>
            <w:proofErr w:type="spellStart"/>
            <w:r w:rsidRPr="00D134EB">
              <w:rPr>
                <w:rFonts w:ascii="Times New Roman" w:hAnsi="Times New Roman" w:cs="Times New Roman"/>
                <w:sz w:val="20"/>
                <w:szCs w:val="20"/>
              </w:rPr>
              <w:t>etnoeducativos</w:t>
            </w:r>
            <w:proofErr w:type="spellEnd"/>
            <w:r w:rsidRPr="00D134EB">
              <w:rPr>
                <w:rFonts w:ascii="Times New Roman" w:hAnsi="Times New Roman" w:cs="Times New Roman"/>
                <w:sz w:val="20"/>
                <w:szCs w:val="20"/>
              </w:rPr>
              <w:t xml:space="preserve"> e interculturales, algunas las comunidades afectadas por el desplazamiento han logrado restablecer la conexión con los procesos educativos, con el sentido de normalizar la situación en la fase de atención, ya que los niños, las niñas y los jóvenes encuentran en estos espacios un sentido vital con su cultura, cosmogonía y su lengua.</w:t>
            </w:r>
          </w:p>
          <w:p w14:paraId="3A6D8942" w14:textId="77777777" w:rsidR="00AE064A" w:rsidRPr="00D134EB" w:rsidRDefault="00AE064A" w:rsidP="00AE064A">
            <w:pPr>
              <w:jc w:val="both"/>
              <w:rPr>
                <w:rFonts w:ascii="Times New Roman" w:hAnsi="Times New Roman" w:cs="Times New Roman"/>
                <w:sz w:val="20"/>
                <w:szCs w:val="20"/>
              </w:rPr>
            </w:pPr>
          </w:p>
          <w:p w14:paraId="261DC476" w14:textId="25358DC1" w:rsidR="00AE064A" w:rsidRPr="00D134EB" w:rsidRDefault="00AE064A" w:rsidP="00AE064A">
            <w:pPr>
              <w:pStyle w:val="Prrafodelista"/>
              <w:numPr>
                <w:ilvl w:val="0"/>
                <w:numId w:val="9"/>
              </w:numPr>
              <w:jc w:val="both"/>
              <w:rPr>
                <w:rFonts w:ascii="Times New Roman" w:hAnsi="Times New Roman" w:cs="Times New Roman"/>
                <w:sz w:val="20"/>
                <w:szCs w:val="20"/>
              </w:rPr>
            </w:pPr>
            <w:r w:rsidRPr="00D134EB">
              <w:rPr>
                <w:rFonts w:ascii="Times New Roman" w:hAnsi="Times New Roman" w:cs="Times New Roman"/>
                <w:sz w:val="20"/>
                <w:szCs w:val="20"/>
              </w:rPr>
              <w:t xml:space="preserve">Un grupo de los pueblos acompañados asumieron la administración educativa en el marco de la implementación del Sistema Educativo Indígena Propio (SEIP), a través de la contratación en el marco del Decreto 2500 del 2010, posibilitando la incorporación de las autoridades tradicionales y maestros de la cultura y lengua en los espacios educativos, brindándose una educación que respete y fortalezca su identidad, convirtiéndose en factores que fomentan la permanencia de los estudiantes en el sistema educativo y previenen la deserción escolar. </w:t>
            </w:r>
          </w:p>
          <w:p w14:paraId="128BFE5B" w14:textId="77777777" w:rsidR="00AE064A" w:rsidRPr="00D134EB" w:rsidRDefault="00AE064A" w:rsidP="00AE064A">
            <w:pPr>
              <w:jc w:val="both"/>
              <w:rPr>
                <w:rFonts w:ascii="Times New Roman" w:hAnsi="Times New Roman" w:cs="Times New Roman"/>
                <w:sz w:val="20"/>
                <w:szCs w:val="20"/>
              </w:rPr>
            </w:pPr>
          </w:p>
          <w:p w14:paraId="1DD1DAC7" w14:textId="72A1A0A0" w:rsidR="00AE064A" w:rsidRPr="00D134EB" w:rsidRDefault="00AE064A" w:rsidP="00AE064A">
            <w:pPr>
              <w:pStyle w:val="Prrafodelista"/>
              <w:numPr>
                <w:ilvl w:val="0"/>
                <w:numId w:val="9"/>
              </w:numPr>
              <w:jc w:val="both"/>
              <w:rPr>
                <w:rFonts w:ascii="Times New Roman" w:hAnsi="Times New Roman" w:cs="Times New Roman"/>
                <w:sz w:val="20"/>
                <w:szCs w:val="20"/>
              </w:rPr>
            </w:pPr>
            <w:r w:rsidRPr="00D134EB">
              <w:rPr>
                <w:rFonts w:ascii="Times New Roman" w:hAnsi="Times New Roman" w:cs="Times New Roman"/>
                <w:sz w:val="20"/>
                <w:szCs w:val="20"/>
              </w:rPr>
              <w:t xml:space="preserve">En el marco de la construcción de proyectos educativos comunitarios o proyectos </w:t>
            </w:r>
            <w:proofErr w:type="spellStart"/>
            <w:r w:rsidRPr="00D134EB">
              <w:rPr>
                <w:rFonts w:ascii="Times New Roman" w:hAnsi="Times New Roman" w:cs="Times New Roman"/>
                <w:sz w:val="20"/>
                <w:szCs w:val="20"/>
              </w:rPr>
              <w:t>etnoeducativos</w:t>
            </w:r>
            <w:proofErr w:type="spellEnd"/>
            <w:r w:rsidRPr="00D134EB">
              <w:rPr>
                <w:rFonts w:ascii="Times New Roman" w:hAnsi="Times New Roman" w:cs="Times New Roman"/>
                <w:sz w:val="20"/>
                <w:szCs w:val="20"/>
              </w:rPr>
              <w:t xml:space="preserve"> se han iniciado procesos de fortalecimiento de las lenguas nativas atendiendo a la Ley 1381 de 2010 “Ley de lenguas”.  Igualmente, en el año 2020 el Estado Colombiano concertó el Plan Decenal de Lenguas Nativas dirigido a generar acciones para la pervivencia y revitalización de las lenguas nativas y criollas del país. </w:t>
            </w:r>
          </w:p>
        </w:tc>
      </w:tr>
    </w:tbl>
    <w:p w14:paraId="06C78F45" w14:textId="43EF31B4" w:rsidR="00AE064A" w:rsidRPr="00D134EB" w:rsidRDefault="00AE064A" w:rsidP="009926F1">
      <w:pPr>
        <w:jc w:val="center"/>
        <w:rPr>
          <w:rFonts w:ascii="Times New Roman" w:hAnsi="Times New Roman" w:cs="Times New Roman"/>
          <w:b/>
          <w:bCs/>
          <w:sz w:val="20"/>
          <w:szCs w:val="20"/>
        </w:rPr>
      </w:pPr>
    </w:p>
    <w:p w14:paraId="4A52A912" w14:textId="526045B2" w:rsidR="00916BD6" w:rsidRPr="00D134EB" w:rsidRDefault="00916BD6" w:rsidP="004E0ECD">
      <w:pPr>
        <w:pStyle w:val="Ttulo1"/>
        <w:spacing w:line="360" w:lineRule="auto"/>
        <w:jc w:val="center"/>
        <w:rPr>
          <w:rFonts w:ascii="Times New Roman" w:hAnsi="Times New Roman" w:cs="Times New Roman"/>
          <w:b/>
          <w:bCs/>
          <w:color w:val="auto"/>
          <w:sz w:val="24"/>
          <w:szCs w:val="24"/>
        </w:rPr>
      </w:pPr>
      <w:bookmarkStart w:id="21" w:name="_Toc116679742"/>
      <w:bookmarkStart w:id="22" w:name="_Toc116977718"/>
      <w:r w:rsidRPr="00D134EB">
        <w:rPr>
          <w:rFonts w:ascii="Times New Roman" w:hAnsi="Times New Roman" w:cs="Times New Roman"/>
          <w:b/>
          <w:bCs/>
          <w:color w:val="auto"/>
          <w:sz w:val="24"/>
          <w:szCs w:val="24"/>
        </w:rPr>
        <w:t>Anexo 11. Procuraduría General de la Nación</w:t>
      </w:r>
      <w:bookmarkEnd w:id="21"/>
      <w:bookmarkEnd w:id="22"/>
    </w:p>
    <w:p w14:paraId="4CDD97CB" w14:textId="23F4C47F" w:rsidR="00916BD6" w:rsidRPr="00D134EB" w:rsidRDefault="00916BD6" w:rsidP="009926F1">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Seguimiento de la Procuraduría General de la Nación a la normatividad sobre igualdad de género</w:t>
      </w:r>
      <w:r w:rsidR="00B41314" w:rsidRPr="00D134EB">
        <w:rPr>
          <w:rFonts w:ascii="Times New Roman" w:hAnsi="Times New Roman" w:cs="Times New Roman"/>
          <w:b/>
          <w:bCs/>
          <w:sz w:val="20"/>
          <w:szCs w:val="20"/>
        </w:rPr>
        <w:t>.</w:t>
      </w:r>
    </w:p>
    <w:tbl>
      <w:tblPr>
        <w:tblStyle w:val="Tablaconcuadrcula"/>
        <w:tblW w:w="0" w:type="auto"/>
        <w:tblLook w:val="04A0" w:firstRow="1" w:lastRow="0" w:firstColumn="1" w:lastColumn="0" w:noHBand="0" w:noVBand="1"/>
      </w:tblPr>
      <w:tblGrid>
        <w:gridCol w:w="2209"/>
        <w:gridCol w:w="6279"/>
      </w:tblGrid>
      <w:tr w:rsidR="00916BD6" w:rsidRPr="00D134EB" w14:paraId="2F6FDD68" w14:textId="77777777" w:rsidTr="00916BD6">
        <w:tc>
          <w:tcPr>
            <w:tcW w:w="2263" w:type="dxa"/>
          </w:tcPr>
          <w:p w14:paraId="615A56B4" w14:textId="677507A0" w:rsidR="00916BD6" w:rsidRPr="00D134EB" w:rsidRDefault="00916BD6" w:rsidP="00916BD6">
            <w:pPr>
              <w:jc w:val="center"/>
              <w:rPr>
                <w:rFonts w:ascii="Times New Roman" w:hAnsi="Times New Roman" w:cs="Times New Roman"/>
                <w:b/>
                <w:bCs/>
                <w:sz w:val="20"/>
                <w:szCs w:val="20"/>
              </w:rPr>
            </w:pPr>
            <w:r w:rsidRPr="00D134EB">
              <w:rPr>
                <w:rFonts w:ascii="Times New Roman" w:hAnsi="Times New Roman" w:cs="Times New Roman"/>
                <w:b/>
                <w:bCs/>
                <w:sz w:val="20"/>
                <w:szCs w:val="20"/>
              </w:rPr>
              <w:t>Seguimiento de la Procuraduría General de la Nación a la normatividad sobre igualdad de género</w:t>
            </w:r>
          </w:p>
        </w:tc>
        <w:tc>
          <w:tcPr>
            <w:tcW w:w="6565" w:type="dxa"/>
          </w:tcPr>
          <w:p w14:paraId="76AC5A81" w14:textId="33EB0A9F" w:rsidR="00916BD6" w:rsidRPr="00D134EB" w:rsidRDefault="00916BD6" w:rsidP="00916BD6">
            <w:pPr>
              <w:pStyle w:val="Prrafodelista"/>
              <w:numPr>
                <w:ilvl w:val="0"/>
                <w:numId w:val="7"/>
              </w:numPr>
              <w:ind w:left="293" w:hanging="293"/>
              <w:jc w:val="both"/>
              <w:rPr>
                <w:rFonts w:ascii="Times New Roman" w:hAnsi="Times New Roman" w:cs="Times New Roman"/>
                <w:sz w:val="20"/>
                <w:szCs w:val="20"/>
              </w:rPr>
            </w:pPr>
            <w:r w:rsidRPr="00D134EB">
              <w:rPr>
                <w:rFonts w:ascii="Times New Roman" w:hAnsi="Times New Roman" w:cs="Times New Roman"/>
                <w:sz w:val="20"/>
                <w:szCs w:val="20"/>
                <w:u w:val="single"/>
              </w:rPr>
              <w:t>Ley que reglamenta la adecuada y efectiva participación de la mujer en los niveles decisorios de las diferentes ramas y órganos del poder público (Ley de Cuotas 581 de 2000):</w:t>
            </w:r>
            <w:r w:rsidRPr="00D134EB">
              <w:rPr>
                <w:rFonts w:ascii="Times New Roman" w:hAnsi="Times New Roman" w:cs="Times New Roman"/>
                <w:sz w:val="20"/>
                <w:szCs w:val="20"/>
              </w:rPr>
              <w:t xml:space="preserve"> en el año 2018, se elaboró el análisis de los informes del Departamento Administrativo de la Función Pública – DAFP para los años 2016 y 2017 sobre el cumplimiento a la Ley de Cuotas por parte de las entidades públicas. </w:t>
            </w:r>
          </w:p>
          <w:p w14:paraId="5B034CD4" w14:textId="77777777" w:rsidR="00916BD6" w:rsidRPr="00D134EB" w:rsidRDefault="00916BD6" w:rsidP="00916BD6">
            <w:pPr>
              <w:pStyle w:val="Prrafodelista"/>
              <w:ind w:left="293"/>
              <w:jc w:val="both"/>
              <w:rPr>
                <w:rFonts w:ascii="Times New Roman" w:hAnsi="Times New Roman" w:cs="Times New Roman"/>
                <w:sz w:val="20"/>
                <w:szCs w:val="20"/>
              </w:rPr>
            </w:pPr>
          </w:p>
          <w:p w14:paraId="4D18FFDF" w14:textId="28A73D67" w:rsidR="00916BD6" w:rsidRPr="00D134EB" w:rsidRDefault="00916BD6" w:rsidP="00916BD6">
            <w:pPr>
              <w:pStyle w:val="Prrafodelista"/>
              <w:numPr>
                <w:ilvl w:val="0"/>
                <w:numId w:val="7"/>
              </w:numPr>
              <w:ind w:left="293" w:hanging="293"/>
              <w:jc w:val="both"/>
              <w:rPr>
                <w:rFonts w:ascii="Times New Roman" w:hAnsi="Times New Roman" w:cs="Times New Roman"/>
                <w:sz w:val="20"/>
                <w:szCs w:val="20"/>
              </w:rPr>
            </w:pPr>
            <w:r w:rsidRPr="00D134EB">
              <w:rPr>
                <w:rFonts w:ascii="Times New Roman" w:hAnsi="Times New Roman" w:cs="Times New Roman"/>
                <w:sz w:val="20"/>
                <w:szCs w:val="20"/>
                <w:u w:val="single"/>
              </w:rPr>
              <w:t>Ley de no violencia contra la mujer (Ley 1257 de 2008):</w:t>
            </w:r>
            <w:r w:rsidRPr="00D134EB">
              <w:rPr>
                <w:rFonts w:ascii="Times New Roman" w:hAnsi="Times New Roman" w:cs="Times New Roman"/>
                <w:sz w:val="20"/>
                <w:szCs w:val="20"/>
              </w:rPr>
              <w:t xml:space="preserve"> el Comité Nacional de Seguimiento al cumplimiento de esta ley, liderado por la PGN, ha realizado desde el año 2016, 17 Comités Descentralizados. Estos seguimientos se realizan en completa articulación con las representantes de las organizaciones de mujeres a nivel nacional y regional. Desde 2018 se vienen suscribiendo pactos por el derecho de las mujeres a una vida libre de violencias en cada uno de los departamentos, los cuales consignan los compromisos de las autoridades para implementar dicha Ley. </w:t>
            </w:r>
          </w:p>
          <w:p w14:paraId="32EB70D6" w14:textId="77777777" w:rsidR="00916BD6" w:rsidRPr="00D134EB" w:rsidRDefault="00916BD6" w:rsidP="00916BD6">
            <w:pPr>
              <w:jc w:val="both"/>
              <w:rPr>
                <w:rFonts w:ascii="Times New Roman" w:hAnsi="Times New Roman" w:cs="Times New Roman"/>
                <w:sz w:val="20"/>
                <w:szCs w:val="20"/>
              </w:rPr>
            </w:pPr>
          </w:p>
          <w:p w14:paraId="531CF556" w14:textId="00A037B9" w:rsidR="00916BD6" w:rsidRPr="00D134EB" w:rsidRDefault="00916BD6" w:rsidP="00916BD6">
            <w:pPr>
              <w:pStyle w:val="Prrafodelista"/>
              <w:numPr>
                <w:ilvl w:val="0"/>
                <w:numId w:val="7"/>
              </w:numPr>
              <w:ind w:left="293" w:hanging="293"/>
              <w:jc w:val="both"/>
              <w:rPr>
                <w:rFonts w:ascii="Times New Roman" w:hAnsi="Times New Roman" w:cs="Times New Roman"/>
                <w:sz w:val="20"/>
                <w:szCs w:val="20"/>
              </w:rPr>
            </w:pPr>
            <w:r w:rsidRPr="00D134EB">
              <w:rPr>
                <w:rFonts w:ascii="Times New Roman" w:hAnsi="Times New Roman" w:cs="Times New Roman"/>
                <w:sz w:val="20"/>
                <w:szCs w:val="20"/>
                <w:u w:val="single"/>
              </w:rPr>
              <w:t>Ley de acceso a la justicia para víctimas de violencias sexuales (Ley 1719 de 2014):</w:t>
            </w:r>
            <w:r w:rsidRPr="00D134EB">
              <w:rPr>
                <w:rFonts w:ascii="Times New Roman" w:hAnsi="Times New Roman" w:cs="Times New Roman"/>
                <w:sz w:val="20"/>
                <w:szCs w:val="20"/>
              </w:rPr>
              <w:t xml:space="preserve"> se cuenta con una batería de más de 108 indicadores de seguimiento construida por la Procuraduría, con base en lo cual se elaboró el informe denominado: “La doble violencia: impunidad y desatención en delitos sexuales”</w:t>
            </w:r>
            <w:r w:rsidRPr="00D134EB">
              <w:rPr>
                <w:rStyle w:val="Refdenotaalpie"/>
                <w:rFonts w:cs="Times New Roman"/>
              </w:rPr>
              <w:t xml:space="preserve"> </w:t>
            </w:r>
            <w:r w:rsidRPr="00D134EB">
              <w:rPr>
                <w:rFonts w:ascii="Times New Roman" w:hAnsi="Times New Roman" w:cs="Times New Roman"/>
                <w:sz w:val="20"/>
                <w:szCs w:val="20"/>
              </w:rPr>
              <w:t>con corte a agosto de 2018.</w:t>
            </w:r>
            <w:r w:rsidRPr="00D134EB">
              <w:rPr>
                <w:rStyle w:val="Refdenotaalpie"/>
                <w:rFonts w:cs="Times New Roman"/>
              </w:rPr>
              <w:footnoteReference w:id="3"/>
            </w:r>
          </w:p>
          <w:p w14:paraId="1D8668BC" w14:textId="77777777" w:rsidR="00916BD6" w:rsidRPr="00D134EB" w:rsidRDefault="00916BD6" w:rsidP="00916BD6">
            <w:pPr>
              <w:jc w:val="both"/>
              <w:rPr>
                <w:rFonts w:ascii="Times New Roman" w:hAnsi="Times New Roman" w:cs="Times New Roman"/>
                <w:sz w:val="20"/>
                <w:szCs w:val="20"/>
              </w:rPr>
            </w:pPr>
          </w:p>
          <w:p w14:paraId="61BD1F8A" w14:textId="5A382007" w:rsidR="00916BD6" w:rsidRPr="00D134EB" w:rsidRDefault="00916BD6" w:rsidP="00916BD6">
            <w:pPr>
              <w:pStyle w:val="Prrafodelista"/>
              <w:numPr>
                <w:ilvl w:val="0"/>
                <w:numId w:val="7"/>
              </w:numPr>
              <w:ind w:left="293" w:hanging="293"/>
              <w:jc w:val="both"/>
              <w:rPr>
                <w:rFonts w:ascii="Times New Roman" w:hAnsi="Times New Roman" w:cs="Times New Roman"/>
                <w:sz w:val="20"/>
                <w:szCs w:val="20"/>
              </w:rPr>
            </w:pPr>
            <w:r w:rsidRPr="00D134EB">
              <w:rPr>
                <w:rFonts w:ascii="Times New Roman" w:hAnsi="Times New Roman" w:cs="Times New Roman"/>
                <w:sz w:val="20"/>
                <w:szCs w:val="20"/>
                <w:u w:val="single"/>
              </w:rPr>
              <w:t>Ley que tipifica el feminicidio (Ley 1761 de 2015):</w:t>
            </w:r>
            <w:r w:rsidRPr="00D134EB">
              <w:rPr>
                <w:rFonts w:ascii="Times New Roman" w:hAnsi="Times New Roman" w:cs="Times New Roman"/>
                <w:sz w:val="20"/>
                <w:szCs w:val="20"/>
              </w:rPr>
              <w:t xml:space="preserve"> el seguimiento se adelanta a través de requerimientos escritos a las autoridades </w:t>
            </w:r>
            <w:r w:rsidRPr="00D134EB">
              <w:rPr>
                <w:rFonts w:ascii="Times New Roman" w:hAnsi="Times New Roman" w:cs="Times New Roman"/>
                <w:sz w:val="20"/>
                <w:szCs w:val="20"/>
              </w:rPr>
              <w:lastRenderedPageBreak/>
              <w:t xml:space="preserve">competentes principalmente al </w:t>
            </w:r>
            <w:proofErr w:type="spellStart"/>
            <w:r w:rsidRPr="00D134EB">
              <w:rPr>
                <w:rFonts w:ascii="Times New Roman" w:hAnsi="Times New Roman" w:cs="Times New Roman"/>
                <w:sz w:val="20"/>
                <w:szCs w:val="20"/>
              </w:rPr>
              <w:t>MinEducación</w:t>
            </w:r>
            <w:proofErr w:type="spellEnd"/>
            <w:r w:rsidRPr="00D134EB">
              <w:rPr>
                <w:rFonts w:ascii="Times New Roman" w:hAnsi="Times New Roman" w:cs="Times New Roman"/>
                <w:sz w:val="20"/>
                <w:szCs w:val="20"/>
              </w:rPr>
              <w:t xml:space="preserve">, al </w:t>
            </w:r>
            <w:proofErr w:type="spellStart"/>
            <w:r w:rsidRPr="00D134EB">
              <w:rPr>
                <w:rFonts w:ascii="Times New Roman" w:hAnsi="Times New Roman" w:cs="Times New Roman"/>
                <w:sz w:val="20"/>
                <w:szCs w:val="20"/>
              </w:rPr>
              <w:t>MinSalud</w:t>
            </w:r>
            <w:proofErr w:type="spellEnd"/>
            <w:r w:rsidRPr="00D134EB">
              <w:rPr>
                <w:rFonts w:ascii="Times New Roman" w:hAnsi="Times New Roman" w:cs="Times New Roman"/>
                <w:sz w:val="20"/>
                <w:szCs w:val="20"/>
              </w:rPr>
              <w:t xml:space="preserve"> y a la Consejería Presidencial para la Equidad de la Mujer.</w:t>
            </w:r>
          </w:p>
        </w:tc>
      </w:tr>
    </w:tbl>
    <w:p w14:paraId="737435DA" w14:textId="55C23EBD" w:rsidR="00916BD6" w:rsidRPr="00D134EB" w:rsidRDefault="00916BD6" w:rsidP="00FE7E97">
      <w:pPr>
        <w:rPr>
          <w:rFonts w:ascii="Times New Roman" w:hAnsi="Times New Roman" w:cs="Times New Roman"/>
          <w:b/>
          <w:bCs/>
          <w:sz w:val="20"/>
          <w:szCs w:val="20"/>
        </w:rPr>
      </w:pPr>
    </w:p>
    <w:p w14:paraId="17EDCF33" w14:textId="05E2601D" w:rsidR="005A174C" w:rsidRPr="00D134EB" w:rsidRDefault="005A174C" w:rsidP="005A174C">
      <w:pPr>
        <w:pStyle w:val="Ttulo1"/>
        <w:spacing w:line="360" w:lineRule="auto"/>
        <w:jc w:val="center"/>
        <w:rPr>
          <w:rFonts w:ascii="Times New Roman" w:hAnsi="Times New Roman" w:cs="Times New Roman"/>
          <w:b/>
          <w:bCs/>
          <w:color w:val="auto"/>
          <w:sz w:val="24"/>
          <w:szCs w:val="24"/>
        </w:rPr>
      </w:pPr>
      <w:bookmarkStart w:id="23" w:name="_Toc116977719"/>
      <w:r w:rsidRPr="00D134EB">
        <w:rPr>
          <w:rFonts w:ascii="Times New Roman" w:hAnsi="Times New Roman" w:cs="Times New Roman"/>
          <w:b/>
          <w:bCs/>
          <w:color w:val="auto"/>
          <w:sz w:val="24"/>
          <w:szCs w:val="24"/>
        </w:rPr>
        <w:t>Anexo 12. Ministerio de Hacienda y Crédito Público</w:t>
      </w:r>
      <w:bookmarkEnd w:id="23"/>
    </w:p>
    <w:p w14:paraId="39E268A7" w14:textId="592AEF2C" w:rsidR="005A174C" w:rsidRPr="00D134EB" w:rsidRDefault="005A174C" w:rsidP="005A174C">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 Apropiación de recursos por tipo de gasto del Presupuesto General de la Nación 2017-2022 (cifras en millones de pesos de 2022).</w:t>
      </w:r>
    </w:p>
    <w:p w14:paraId="3DD5A2F6" w14:textId="77777777" w:rsidR="005A174C" w:rsidRPr="00D134EB" w:rsidRDefault="005A174C" w:rsidP="005A174C">
      <w:pPr>
        <w:shd w:val="clear" w:color="auto" w:fill="FFFFFF"/>
        <w:spacing w:after="200"/>
        <w:jc w:val="center"/>
        <w:rPr>
          <w:rFonts w:ascii="Times New Roman" w:eastAsia="Times New Roman" w:hAnsi="Times New Roman" w:cs="Times New Roman"/>
          <w:sz w:val="24"/>
          <w:szCs w:val="24"/>
          <w:highlight w:val="white"/>
        </w:rPr>
      </w:pPr>
      <w:r w:rsidRPr="00D134EB">
        <w:rPr>
          <w:rFonts w:ascii="Times New Roman" w:eastAsia="Times New Roman" w:hAnsi="Times New Roman" w:cs="Times New Roman"/>
          <w:noProof/>
          <w:sz w:val="24"/>
          <w:szCs w:val="24"/>
          <w:highlight w:val="white"/>
        </w:rPr>
        <w:drawing>
          <wp:inline distT="114300" distB="114300" distL="114300" distR="114300" wp14:anchorId="7B3DB994" wp14:editId="0A054AC5">
            <wp:extent cx="5330296" cy="972124"/>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l="32558" t="32186" r="33363" b="56874"/>
                    <a:stretch>
                      <a:fillRect/>
                    </a:stretch>
                  </pic:blipFill>
                  <pic:spPr>
                    <a:xfrm>
                      <a:off x="0" y="0"/>
                      <a:ext cx="5330296" cy="972124"/>
                    </a:xfrm>
                    <a:prstGeom prst="rect">
                      <a:avLst/>
                    </a:prstGeom>
                    <a:ln/>
                  </pic:spPr>
                </pic:pic>
              </a:graphicData>
            </a:graphic>
          </wp:inline>
        </w:drawing>
      </w:r>
    </w:p>
    <w:p w14:paraId="47D99E78" w14:textId="77777777" w:rsidR="005A174C" w:rsidRPr="00D134EB" w:rsidRDefault="005A174C" w:rsidP="006630A5">
      <w:pPr>
        <w:jc w:val="center"/>
        <w:rPr>
          <w:rFonts w:ascii="Times New Roman" w:hAnsi="Times New Roman" w:cs="Times New Roman"/>
          <w:i/>
          <w:iCs/>
          <w:sz w:val="20"/>
          <w:szCs w:val="20"/>
        </w:rPr>
      </w:pPr>
      <w:r w:rsidRPr="00D134EB">
        <w:rPr>
          <w:rFonts w:ascii="Times New Roman" w:hAnsi="Times New Roman" w:cs="Times New Roman"/>
          <w:i/>
          <w:iCs/>
          <w:sz w:val="20"/>
          <w:szCs w:val="20"/>
        </w:rPr>
        <w:t>Nota 2002-2021: apropiación final 2021 con corte a 31 de diciembre y Apropiación inicial 2022 (gastos de funcionamiento y recursos de inversión programados para la vigencia 2022 (enero –diciembre). Datos deflactados utilizando la inflación reportada por el DANE 2002-2019. Datos actualizados a febrero de 2022.</w:t>
      </w:r>
    </w:p>
    <w:p w14:paraId="02A1390A" w14:textId="222BA86F" w:rsidR="005A174C" w:rsidRPr="00D134EB" w:rsidRDefault="005A174C" w:rsidP="006630A5">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2</w:t>
      </w:r>
      <w:r w:rsidR="006630A5" w:rsidRPr="00D134EB">
        <w:rPr>
          <w:rFonts w:ascii="Times New Roman" w:hAnsi="Times New Roman" w:cs="Times New Roman"/>
          <w:b/>
          <w:bCs/>
          <w:sz w:val="20"/>
          <w:szCs w:val="20"/>
        </w:rPr>
        <w:t>.</w:t>
      </w:r>
      <w:r w:rsidRPr="00D134EB">
        <w:rPr>
          <w:rFonts w:ascii="Times New Roman" w:hAnsi="Times New Roman" w:cs="Times New Roman"/>
          <w:b/>
          <w:bCs/>
          <w:sz w:val="20"/>
          <w:szCs w:val="20"/>
        </w:rPr>
        <w:t xml:space="preserve"> Apropiaciones presupuestales por tipo de gasto del PGN destinadas a la equidad de la mujer (cifras en millones de pesos de 2022)</w:t>
      </w:r>
      <w:r w:rsidR="006630A5" w:rsidRPr="00D134EB">
        <w:rPr>
          <w:rFonts w:ascii="Times New Roman" w:hAnsi="Times New Roman" w:cs="Times New Roman"/>
          <w:b/>
          <w:bCs/>
          <w:sz w:val="20"/>
          <w:szCs w:val="20"/>
        </w:rPr>
        <w:t>.</w:t>
      </w:r>
    </w:p>
    <w:p w14:paraId="7E15E722" w14:textId="77777777" w:rsidR="005A174C" w:rsidRPr="00D134EB" w:rsidRDefault="005A174C" w:rsidP="005A174C">
      <w:pPr>
        <w:shd w:val="clear" w:color="auto" w:fill="FFFFFF"/>
        <w:spacing w:after="200"/>
        <w:jc w:val="center"/>
        <w:rPr>
          <w:rFonts w:ascii="Times New Roman" w:eastAsia="Times New Roman" w:hAnsi="Times New Roman" w:cs="Times New Roman"/>
          <w:sz w:val="24"/>
          <w:szCs w:val="24"/>
          <w:highlight w:val="white"/>
        </w:rPr>
      </w:pPr>
      <w:r w:rsidRPr="00D134EB">
        <w:rPr>
          <w:rFonts w:ascii="Times New Roman" w:eastAsia="Times New Roman" w:hAnsi="Times New Roman" w:cs="Times New Roman"/>
          <w:noProof/>
          <w:sz w:val="24"/>
          <w:szCs w:val="24"/>
          <w:highlight w:val="white"/>
        </w:rPr>
        <w:drawing>
          <wp:inline distT="114300" distB="114300" distL="114300" distR="114300" wp14:anchorId="08121F8B" wp14:editId="3A50BEE9">
            <wp:extent cx="5462588" cy="770476"/>
            <wp:effectExtent l="0" t="0" r="0" b="0"/>
            <wp:docPr id="28"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9"/>
                    <a:srcRect l="33800" t="32586" r="33681" b="59158"/>
                    <a:stretch>
                      <a:fillRect/>
                    </a:stretch>
                  </pic:blipFill>
                  <pic:spPr>
                    <a:xfrm>
                      <a:off x="0" y="0"/>
                      <a:ext cx="5462588" cy="770476"/>
                    </a:xfrm>
                    <a:prstGeom prst="rect">
                      <a:avLst/>
                    </a:prstGeom>
                    <a:ln/>
                  </pic:spPr>
                </pic:pic>
              </a:graphicData>
            </a:graphic>
          </wp:inline>
        </w:drawing>
      </w:r>
    </w:p>
    <w:p w14:paraId="2950ED87" w14:textId="77777777" w:rsidR="005A174C" w:rsidRPr="00D134EB" w:rsidRDefault="005A174C" w:rsidP="006630A5">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MCHP-DNP de acuerdo con información reportada por las entidades del PGN en TRAZA y SUIF. Los deflactores se usaron con los Supuestos Macroeconómicos oficiales del 16 de febrero de 2022. Nota: Apropiaciones finales 2019 – 2021 y apropiación inicial 2022 según los recursos aprobados en la Ley 2159 de 2021.</w:t>
      </w:r>
    </w:p>
    <w:p w14:paraId="20B52D49" w14:textId="51F2724A" w:rsidR="005A174C" w:rsidRPr="00D134EB" w:rsidRDefault="005A174C" w:rsidP="006630A5">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3</w:t>
      </w:r>
      <w:r w:rsidR="006630A5" w:rsidRPr="00D134EB">
        <w:rPr>
          <w:rFonts w:ascii="Times New Roman" w:hAnsi="Times New Roman" w:cs="Times New Roman"/>
          <w:b/>
          <w:bCs/>
          <w:sz w:val="20"/>
          <w:szCs w:val="20"/>
        </w:rPr>
        <w:t>.</w:t>
      </w:r>
      <w:r w:rsidRPr="00D134EB">
        <w:rPr>
          <w:rFonts w:ascii="Times New Roman" w:hAnsi="Times New Roman" w:cs="Times New Roman"/>
          <w:b/>
          <w:bCs/>
          <w:sz w:val="20"/>
          <w:szCs w:val="20"/>
        </w:rPr>
        <w:t xml:space="preserve"> Apropiaciones presupuestales por tipo de gasto del PGN destinadas a la atención de pueblos indígenas (cifras en millones de 2022)</w:t>
      </w:r>
      <w:r w:rsidR="006630A5" w:rsidRPr="00D134EB">
        <w:rPr>
          <w:rFonts w:ascii="Times New Roman" w:hAnsi="Times New Roman" w:cs="Times New Roman"/>
          <w:b/>
          <w:bCs/>
          <w:sz w:val="20"/>
          <w:szCs w:val="20"/>
        </w:rPr>
        <w:t>.</w:t>
      </w:r>
    </w:p>
    <w:p w14:paraId="619709CE" w14:textId="77777777" w:rsidR="005A174C" w:rsidRPr="00D134EB" w:rsidRDefault="005A174C" w:rsidP="005A174C">
      <w:pPr>
        <w:shd w:val="clear" w:color="auto" w:fill="FFFFFF"/>
        <w:spacing w:after="200"/>
        <w:jc w:val="center"/>
        <w:rPr>
          <w:rFonts w:ascii="Times New Roman" w:eastAsia="Times New Roman" w:hAnsi="Times New Roman" w:cs="Times New Roman"/>
          <w:sz w:val="24"/>
          <w:szCs w:val="24"/>
          <w:highlight w:val="white"/>
        </w:rPr>
      </w:pPr>
      <w:r w:rsidRPr="00D134EB">
        <w:rPr>
          <w:rFonts w:ascii="Times New Roman" w:eastAsia="Times New Roman" w:hAnsi="Times New Roman" w:cs="Times New Roman"/>
          <w:noProof/>
          <w:sz w:val="24"/>
          <w:szCs w:val="24"/>
          <w:highlight w:val="white"/>
        </w:rPr>
        <w:drawing>
          <wp:inline distT="114300" distB="114300" distL="114300" distR="114300" wp14:anchorId="46B8B8F3" wp14:editId="379C26FB">
            <wp:extent cx="5137313" cy="825640"/>
            <wp:effectExtent l="0" t="0" r="0" b="0"/>
            <wp:docPr id="2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l="33775" t="49164" r="36173" b="42157"/>
                    <a:stretch>
                      <a:fillRect/>
                    </a:stretch>
                  </pic:blipFill>
                  <pic:spPr>
                    <a:xfrm>
                      <a:off x="0" y="0"/>
                      <a:ext cx="5137313" cy="825640"/>
                    </a:xfrm>
                    <a:prstGeom prst="rect">
                      <a:avLst/>
                    </a:prstGeom>
                    <a:ln/>
                  </pic:spPr>
                </pic:pic>
              </a:graphicData>
            </a:graphic>
          </wp:inline>
        </w:drawing>
      </w:r>
    </w:p>
    <w:p w14:paraId="7A601E31" w14:textId="77777777" w:rsidR="005A174C" w:rsidRPr="00D134EB" w:rsidRDefault="005A174C" w:rsidP="006630A5">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MCHP-DNP de acuerdo con información reportada por las entidades del PGN en TRAZA y SUIF. Los deflactores se usaron con los Supuestos Macroeconómicos oficiales del 16 de febrero de 2022. Nota: Apropiaciones finales 2019 – 2021. Apropiación Inicial 2022.</w:t>
      </w:r>
    </w:p>
    <w:p w14:paraId="54732F64" w14:textId="258BE9F3" w:rsidR="005A174C" w:rsidRPr="00D134EB" w:rsidRDefault="005A174C" w:rsidP="00B82384">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4</w:t>
      </w:r>
      <w:r w:rsidR="00B82384" w:rsidRPr="00D134EB">
        <w:rPr>
          <w:rFonts w:ascii="Times New Roman" w:hAnsi="Times New Roman" w:cs="Times New Roman"/>
          <w:b/>
          <w:bCs/>
          <w:sz w:val="20"/>
          <w:szCs w:val="20"/>
        </w:rPr>
        <w:t>.</w:t>
      </w:r>
      <w:r w:rsidRPr="00D134EB">
        <w:rPr>
          <w:rFonts w:ascii="Times New Roman" w:hAnsi="Times New Roman" w:cs="Times New Roman"/>
          <w:b/>
          <w:bCs/>
          <w:sz w:val="20"/>
          <w:szCs w:val="20"/>
        </w:rPr>
        <w:t xml:space="preserve"> Apropiaciones presupuestales por tipo de gasto del PGN destinadas a la atención de comunidades negras, afrocolombianas, raizales y palenqueras (cifras en millones de 2022)</w:t>
      </w:r>
      <w:r w:rsidR="00B82384" w:rsidRPr="00D134EB">
        <w:rPr>
          <w:rFonts w:ascii="Times New Roman" w:hAnsi="Times New Roman" w:cs="Times New Roman"/>
          <w:b/>
          <w:bCs/>
          <w:sz w:val="20"/>
          <w:szCs w:val="20"/>
        </w:rPr>
        <w:t>.</w:t>
      </w:r>
    </w:p>
    <w:p w14:paraId="61EDF740" w14:textId="77777777" w:rsidR="005A174C" w:rsidRPr="00D134EB" w:rsidRDefault="005A174C" w:rsidP="005A174C">
      <w:pPr>
        <w:shd w:val="clear" w:color="auto" w:fill="FFFFFF"/>
        <w:spacing w:after="200"/>
        <w:jc w:val="center"/>
        <w:rPr>
          <w:rFonts w:ascii="Times New Roman" w:eastAsia="Times New Roman" w:hAnsi="Times New Roman" w:cs="Times New Roman"/>
          <w:sz w:val="24"/>
          <w:szCs w:val="24"/>
          <w:highlight w:val="white"/>
        </w:rPr>
      </w:pPr>
      <w:r w:rsidRPr="00D134EB">
        <w:rPr>
          <w:rFonts w:ascii="Times New Roman" w:eastAsia="Times New Roman" w:hAnsi="Times New Roman" w:cs="Times New Roman"/>
          <w:noProof/>
          <w:sz w:val="24"/>
          <w:szCs w:val="24"/>
          <w:highlight w:val="white"/>
        </w:rPr>
        <w:drawing>
          <wp:inline distT="114300" distB="114300" distL="114300" distR="114300" wp14:anchorId="7C9049D1" wp14:editId="466CC093">
            <wp:extent cx="5087775" cy="793506"/>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l="33732" t="34247" r="35756" b="57359"/>
                    <a:stretch>
                      <a:fillRect/>
                    </a:stretch>
                  </pic:blipFill>
                  <pic:spPr>
                    <a:xfrm>
                      <a:off x="0" y="0"/>
                      <a:ext cx="5087775" cy="793506"/>
                    </a:xfrm>
                    <a:prstGeom prst="rect">
                      <a:avLst/>
                    </a:prstGeom>
                    <a:ln/>
                  </pic:spPr>
                </pic:pic>
              </a:graphicData>
            </a:graphic>
          </wp:inline>
        </w:drawing>
      </w:r>
    </w:p>
    <w:p w14:paraId="01334FFC" w14:textId="77777777" w:rsidR="005A174C" w:rsidRPr="00D134EB" w:rsidRDefault="005A174C" w:rsidP="00B82384">
      <w:pPr>
        <w:jc w:val="center"/>
        <w:rPr>
          <w:rFonts w:ascii="Times New Roman" w:hAnsi="Times New Roman" w:cs="Times New Roman"/>
          <w:i/>
          <w:iCs/>
          <w:sz w:val="20"/>
          <w:szCs w:val="20"/>
        </w:rPr>
      </w:pPr>
      <w:r w:rsidRPr="00D134EB">
        <w:rPr>
          <w:rFonts w:ascii="Times New Roman" w:hAnsi="Times New Roman" w:cs="Times New Roman"/>
          <w:i/>
          <w:iCs/>
          <w:sz w:val="20"/>
          <w:szCs w:val="20"/>
        </w:rPr>
        <w:lastRenderedPageBreak/>
        <w:t>Fuente: MCHP-DNP de acuerdo con información reportada por las entidades del PGN en TRAZA y SUIF. Los deflactores se usaron con los Supuestos Macroeconómicos oficiales del 16 de febrero de 2022. Nota: Apropiaciones finales 2019 – 2021. Apropiación Inicial 2022.</w:t>
      </w:r>
    </w:p>
    <w:p w14:paraId="28902215" w14:textId="6E3936B3" w:rsidR="005A174C" w:rsidRPr="00D134EB" w:rsidRDefault="005A174C" w:rsidP="00B82384">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5</w:t>
      </w:r>
      <w:r w:rsidR="00B82384" w:rsidRPr="00D134EB">
        <w:rPr>
          <w:rFonts w:ascii="Times New Roman" w:hAnsi="Times New Roman" w:cs="Times New Roman"/>
          <w:b/>
          <w:bCs/>
          <w:sz w:val="20"/>
          <w:szCs w:val="20"/>
        </w:rPr>
        <w:t>.</w:t>
      </w:r>
      <w:r w:rsidRPr="00D134EB">
        <w:rPr>
          <w:rFonts w:ascii="Times New Roman" w:hAnsi="Times New Roman" w:cs="Times New Roman"/>
          <w:b/>
          <w:bCs/>
          <w:sz w:val="20"/>
          <w:szCs w:val="20"/>
        </w:rPr>
        <w:t xml:space="preserve"> Apropiaciones presupuestales por tipo de gasto del PGN destinadas a la atención del pueblo </w:t>
      </w:r>
      <w:proofErr w:type="spellStart"/>
      <w:r w:rsidRPr="00D134EB">
        <w:rPr>
          <w:rFonts w:ascii="Times New Roman" w:hAnsi="Times New Roman" w:cs="Times New Roman"/>
          <w:b/>
          <w:bCs/>
          <w:sz w:val="20"/>
          <w:szCs w:val="20"/>
        </w:rPr>
        <w:t>Rrom</w:t>
      </w:r>
      <w:proofErr w:type="spellEnd"/>
      <w:r w:rsidRPr="00D134EB">
        <w:rPr>
          <w:rFonts w:ascii="Times New Roman" w:hAnsi="Times New Roman" w:cs="Times New Roman"/>
          <w:b/>
          <w:bCs/>
          <w:sz w:val="20"/>
          <w:szCs w:val="20"/>
        </w:rPr>
        <w:t xml:space="preserve"> (cifras en millones de 2022)</w:t>
      </w:r>
      <w:r w:rsidR="00B82384" w:rsidRPr="00D134EB">
        <w:rPr>
          <w:rFonts w:ascii="Times New Roman" w:hAnsi="Times New Roman" w:cs="Times New Roman"/>
          <w:b/>
          <w:bCs/>
          <w:sz w:val="20"/>
          <w:szCs w:val="20"/>
        </w:rPr>
        <w:t>.</w:t>
      </w:r>
    </w:p>
    <w:p w14:paraId="3C784790" w14:textId="77777777" w:rsidR="005A174C" w:rsidRPr="00D134EB" w:rsidRDefault="005A174C" w:rsidP="005A174C">
      <w:pPr>
        <w:shd w:val="clear" w:color="auto" w:fill="FFFFFF"/>
        <w:spacing w:after="200"/>
        <w:jc w:val="center"/>
        <w:rPr>
          <w:rFonts w:ascii="Times New Roman" w:eastAsia="Times New Roman" w:hAnsi="Times New Roman" w:cs="Times New Roman"/>
          <w:sz w:val="24"/>
          <w:szCs w:val="24"/>
          <w:highlight w:val="white"/>
        </w:rPr>
      </w:pPr>
      <w:r w:rsidRPr="00D134EB">
        <w:rPr>
          <w:rFonts w:ascii="Times New Roman" w:eastAsia="Times New Roman" w:hAnsi="Times New Roman" w:cs="Times New Roman"/>
          <w:noProof/>
          <w:sz w:val="24"/>
          <w:szCs w:val="24"/>
          <w:highlight w:val="white"/>
        </w:rPr>
        <w:drawing>
          <wp:inline distT="114300" distB="114300" distL="114300" distR="114300" wp14:anchorId="5524A5BC" wp14:editId="79F7116F">
            <wp:extent cx="5051588" cy="820184"/>
            <wp:effectExtent l="0" t="0" r="0" b="0"/>
            <wp:docPr id="1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2"/>
                    <a:srcRect l="33554" t="50737" r="35191" b="40311"/>
                    <a:stretch>
                      <a:fillRect/>
                    </a:stretch>
                  </pic:blipFill>
                  <pic:spPr>
                    <a:xfrm>
                      <a:off x="0" y="0"/>
                      <a:ext cx="5051588" cy="820184"/>
                    </a:xfrm>
                    <a:prstGeom prst="rect">
                      <a:avLst/>
                    </a:prstGeom>
                    <a:ln/>
                  </pic:spPr>
                </pic:pic>
              </a:graphicData>
            </a:graphic>
          </wp:inline>
        </w:drawing>
      </w:r>
    </w:p>
    <w:p w14:paraId="6D5E2CAC" w14:textId="77777777" w:rsidR="005A174C" w:rsidRPr="00D134EB" w:rsidRDefault="005A174C" w:rsidP="00B82384">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MCHP-DNP de acuerdo con información reportada por las entidades del PGN en TRAZA y SUIF. Los deflactores se usaron con los Supuestos Macroeconómicos oficiales del 16 de febrero de 2022. Nota: Apropiaciones finales 2019 – 2021</w:t>
      </w:r>
    </w:p>
    <w:p w14:paraId="620E7869" w14:textId="46F8CD1E" w:rsidR="005A174C" w:rsidRPr="00D134EB" w:rsidRDefault="005A174C" w:rsidP="00B82384">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B82384" w:rsidRPr="00D134EB">
        <w:rPr>
          <w:rFonts w:ascii="Times New Roman" w:hAnsi="Times New Roman" w:cs="Times New Roman"/>
          <w:b/>
          <w:bCs/>
          <w:sz w:val="20"/>
          <w:szCs w:val="20"/>
        </w:rPr>
        <w:t>6.</w:t>
      </w:r>
      <w:r w:rsidRPr="00D134EB">
        <w:rPr>
          <w:rFonts w:ascii="Times New Roman" w:hAnsi="Times New Roman" w:cs="Times New Roman"/>
          <w:b/>
          <w:bCs/>
          <w:sz w:val="20"/>
          <w:szCs w:val="20"/>
        </w:rPr>
        <w:t xml:space="preserve"> Recursos apropiados para la asistencia, atención y reparación integral de las víctimas 2002-2008 (cifras en millones de pesos de 2022)</w:t>
      </w:r>
      <w:r w:rsidR="00B82384" w:rsidRPr="00D134EB">
        <w:rPr>
          <w:rFonts w:ascii="Times New Roman" w:hAnsi="Times New Roman" w:cs="Times New Roman"/>
          <w:b/>
          <w:bCs/>
          <w:sz w:val="20"/>
          <w:szCs w:val="20"/>
        </w:rPr>
        <w:t>.</w:t>
      </w:r>
    </w:p>
    <w:p w14:paraId="602E45F5" w14:textId="77777777" w:rsidR="005A174C" w:rsidRPr="00D134EB" w:rsidRDefault="005A174C" w:rsidP="005A174C">
      <w:pPr>
        <w:spacing w:after="200" w:line="240" w:lineRule="auto"/>
        <w:jc w:val="center"/>
        <w:rPr>
          <w:rFonts w:ascii="Times New Roman" w:eastAsia="Times New Roman" w:hAnsi="Times New Roman" w:cs="Times New Roman"/>
          <w:sz w:val="24"/>
          <w:szCs w:val="24"/>
        </w:rPr>
      </w:pPr>
      <w:r w:rsidRPr="00D134EB">
        <w:rPr>
          <w:rFonts w:ascii="Times New Roman" w:eastAsia="Times New Roman" w:hAnsi="Times New Roman" w:cs="Times New Roman"/>
          <w:noProof/>
          <w:sz w:val="24"/>
          <w:szCs w:val="24"/>
        </w:rPr>
        <w:drawing>
          <wp:inline distT="114300" distB="114300" distL="114300" distR="114300" wp14:anchorId="48C880C5" wp14:editId="4F00E83F">
            <wp:extent cx="5240075" cy="1021457"/>
            <wp:effectExtent l="0" t="0" r="0" b="0"/>
            <wp:docPr id="3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23"/>
                    <a:srcRect l="33900" t="25593" r="33877" b="63103"/>
                    <a:stretch>
                      <a:fillRect/>
                    </a:stretch>
                  </pic:blipFill>
                  <pic:spPr>
                    <a:xfrm>
                      <a:off x="0" y="0"/>
                      <a:ext cx="5240075" cy="1021457"/>
                    </a:xfrm>
                    <a:prstGeom prst="rect">
                      <a:avLst/>
                    </a:prstGeom>
                    <a:ln/>
                  </pic:spPr>
                </pic:pic>
              </a:graphicData>
            </a:graphic>
          </wp:inline>
        </w:drawing>
      </w:r>
    </w:p>
    <w:p w14:paraId="6A3EC4D5" w14:textId="502E5843" w:rsidR="005A174C" w:rsidRPr="00D134EB" w:rsidRDefault="005A174C" w:rsidP="00B82384">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B82384" w:rsidRPr="00D134EB">
        <w:rPr>
          <w:rFonts w:ascii="Times New Roman" w:hAnsi="Times New Roman" w:cs="Times New Roman"/>
          <w:b/>
          <w:bCs/>
          <w:sz w:val="20"/>
          <w:szCs w:val="20"/>
        </w:rPr>
        <w:t>7.</w:t>
      </w:r>
      <w:r w:rsidRPr="00D134EB">
        <w:rPr>
          <w:rFonts w:ascii="Times New Roman" w:hAnsi="Times New Roman" w:cs="Times New Roman"/>
          <w:b/>
          <w:bCs/>
          <w:sz w:val="20"/>
          <w:szCs w:val="20"/>
        </w:rPr>
        <w:t xml:space="preserve"> Recursos apropiados para la asistencia, atención y reparación integral de las víctimas 2009-2015 (cifras en millones de pesos de 2022)</w:t>
      </w:r>
    </w:p>
    <w:p w14:paraId="051210C0" w14:textId="77777777" w:rsidR="005A174C" w:rsidRPr="00D134EB" w:rsidRDefault="005A174C" w:rsidP="005A174C">
      <w:pPr>
        <w:spacing w:after="200" w:line="240" w:lineRule="auto"/>
        <w:jc w:val="center"/>
        <w:rPr>
          <w:rFonts w:ascii="Times New Roman" w:eastAsia="Times New Roman" w:hAnsi="Times New Roman" w:cs="Times New Roman"/>
          <w:sz w:val="24"/>
          <w:szCs w:val="24"/>
        </w:rPr>
      </w:pPr>
      <w:r w:rsidRPr="00D134EB">
        <w:rPr>
          <w:rFonts w:ascii="Times New Roman" w:eastAsia="Times New Roman" w:hAnsi="Times New Roman" w:cs="Times New Roman"/>
          <w:noProof/>
          <w:sz w:val="24"/>
          <w:szCs w:val="24"/>
        </w:rPr>
        <w:drawing>
          <wp:inline distT="114300" distB="114300" distL="114300" distR="114300" wp14:anchorId="70DA9B31" wp14:editId="0D808CA2">
            <wp:extent cx="5243461" cy="993601"/>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4"/>
                    <a:srcRect l="33720" t="41949" r="33895" b="46966"/>
                    <a:stretch>
                      <a:fillRect/>
                    </a:stretch>
                  </pic:blipFill>
                  <pic:spPr>
                    <a:xfrm>
                      <a:off x="0" y="0"/>
                      <a:ext cx="5243461" cy="993601"/>
                    </a:xfrm>
                    <a:prstGeom prst="rect">
                      <a:avLst/>
                    </a:prstGeom>
                    <a:ln/>
                  </pic:spPr>
                </pic:pic>
              </a:graphicData>
            </a:graphic>
          </wp:inline>
        </w:drawing>
      </w:r>
    </w:p>
    <w:p w14:paraId="21194269" w14:textId="2CF4B8F4" w:rsidR="005A174C" w:rsidRPr="00D134EB" w:rsidRDefault="005A174C" w:rsidP="00B82384">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212E18" w:rsidRPr="00D134EB">
        <w:rPr>
          <w:rFonts w:ascii="Times New Roman" w:hAnsi="Times New Roman" w:cs="Times New Roman"/>
          <w:b/>
          <w:bCs/>
          <w:sz w:val="20"/>
          <w:szCs w:val="20"/>
        </w:rPr>
        <w:t>8.</w:t>
      </w:r>
      <w:r w:rsidRPr="00D134EB">
        <w:rPr>
          <w:rFonts w:ascii="Times New Roman" w:hAnsi="Times New Roman" w:cs="Times New Roman"/>
          <w:b/>
          <w:bCs/>
          <w:sz w:val="20"/>
          <w:szCs w:val="20"/>
        </w:rPr>
        <w:t xml:space="preserve"> Recursos apropiados para la asistencia, atención y reparación integral de las víctimas 2016-2022 (cifras en millones de pesos de 2022)</w:t>
      </w:r>
    </w:p>
    <w:p w14:paraId="61157382" w14:textId="77777777" w:rsidR="005A174C" w:rsidRPr="00D134EB" w:rsidRDefault="005A174C" w:rsidP="005A174C">
      <w:pPr>
        <w:spacing w:after="200" w:line="240" w:lineRule="auto"/>
        <w:jc w:val="center"/>
        <w:rPr>
          <w:rFonts w:ascii="Times New Roman" w:eastAsia="Times New Roman" w:hAnsi="Times New Roman" w:cs="Times New Roman"/>
          <w:sz w:val="24"/>
          <w:szCs w:val="24"/>
        </w:rPr>
      </w:pPr>
      <w:r w:rsidRPr="00D134EB">
        <w:rPr>
          <w:rFonts w:ascii="Times New Roman" w:eastAsia="Times New Roman" w:hAnsi="Times New Roman" w:cs="Times New Roman"/>
          <w:noProof/>
          <w:sz w:val="24"/>
          <w:szCs w:val="24"/>
        </w:rPr>
        <w:drawing>
          <wp:inline distT="114300" distB="114300" distL="114300" distR="114300" wp14:anchorId="179FD0A3" wp14:editId="6913B004">
            <wp:extent cx="5200650" cy="1094333"/>
            <wp:effectExtent l="0" t="0" r="0" b="0"/>
            <wp:docPr id="3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5"/>
                    <a:srcRect l="34323" t="38587" r="33961" b="49395"/>
                    <a:stretch>
                      <a:fillRect/>
                    </a:stretch>
                  </pic:blipFill>
                  <pic:spPr>
                    <a:xfrm>
                      <a:off x="0" y="0"/>
                      <a:ext cx="5200650" cy="1094333"/>
                    </a:xfrm>
                    <a:prstGeom prst="rect">
                      <a:avLst/>
                    </a:prstGeom>
                    <a:ln/>
                  </pic:spPr>
                </pic:pic>
              </a:graphicData>
            </a:graphic>
          </wp:inline>
        </w:drawing>
      </w:r>
    </w:p>
    <w:p w14:paraId="2B82DE79" w14:textId="2E82C7C1" w:rsidR="005A174C" w:rsidRPr="00D134EB" w:rsidRDefault="005A174C" w:rsidP="00212E18">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MCHP-DNP de acuerdo con información reportada por las entidades del PGN. Los deflactores se usaron con los Supuestos Macroeconómicos oficiales del 16 de febrero de 2022.Nota: Apropiaciones finales 2019 – 2021 y apropiación con corte a enero de 2022.</w:t>
      </w:r>
    </w:p>
    <w:p w14:paraId="569D8F36" w14:textId="1298B9FE" w:rsidR="005A174C" w:rsidRPr="00D134EB" w:rsidRDefault="005A174C" w:rsidP="00212E18">
      <w:pPr>
        <w:jc w:val="center"/>
        <w:rPr>
          <w:rFonts w:ascii="Times New Roman" w:hAnsi="Times New Roman" w:cs="Times New Roman"/>
          <w:b/>
          <w:bCs/>
          <w:sz w:val="20"/>
          <w:szCs w:val="20"/>
        </w:rPr>
      </w:pPr>
      <w:r w:rsidRPr="00D134EB">
        <w:rPr>
          <w:rFonts w:ascii="Times New Roman" w:hAnsi="Times New Roman" w:cs="Times New Roman"/>
          <w:b/>
          <w:bCs/>
          <w:sz w:val="20"/>
          <w:szCs w:val="20"/>
        </w:rPr>
        <w:t xml:space="preserve">Tabla </w:t>
      </w:r>
      <w:r w:rsidR="00212E18" w:rsidRPr="00D134EB">
        <w:rPr>
          <w:rFonts w:ascii="Times New Roman" w:hAnsi="Times New Roman" w:cs="Times New Roman"/>
          <w:b/>
          <w:bCs/>
          <w:sz w:val="20"/>
          <w:szCs w:val="20"/>
        </w:rPr>
        <w:t>9.</w:t>
      </w:r>
      <w:r w:rsidRPr="00D134EB">
        <w:rPr>
          <w:rFonts w:ascii="Times New Roman" w:hAnsi="Times New Roman" w:cs="Times New Roman"/>
          <w:b/>
          <w:bCs/>
          <w:sz w:val="20"/>
          <w:szCs w:val="20"/>
        </w:rPr>
        <w:t xml:space="preserve"> Estimación por medidas y derechos (cifras en billones de pesos)</w:t>
      </w:r>
    </w:p>
    <w:p w14:paraId="758C00DA" w14:textId="77777777" w:rsidR="005A174C" w:rsidRPr="00D134EB" w:rsidRDefault="005A174C" w:rsidP="005A174C">
      <w:pPr>
        <w:spacing w:after="200" w:line="240" w:lineRule="auto"/>
        <w:jc w:val="center"/>
        <w:rPr>
          <w:rFonts w:ascii="Times New Roman" w:eastAsia="Times New Roman" w:hAnsi="Times New Roman" w:cs="Times New Roman"/>
          <w:sz w:val="24"/>
          <w:szCs w:val="24"/>
        </w:rPr>
      </w:pPr>
      <w:r w:rsidRPr="00D134EB">
        <w:rPr>
          <w:rFonts w:ascii="Times New Roman" w:eastAsia="Times New Roman" w:hAnsi="Times New Roman" w:cs="Times New Roman"/>
          <w:noProof/>
          <w:sz w:val="24"/>
          <w:szCs w:val="24"/>
        </w:rPr>
        <w:lastRenderedPageBreak/>
        <w:drawing>
          <wp:inline distT="114300" distB="114300" distL="114300" distR="114300" wp14:anchorId="33546923" wp14:editId="48523BD5">
            <wp:extent cx="4944900" cy="5629275"/>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l="33942" t="24240" r="35805" b="14881"/>
                    <a:stretch>
                      <a:fillRect/>
                    </a:stretch>
                  </pic:blipFill>
                  <pic:spPr>
                    <a:xfrm>
                      <a:off x="0" y="0"/>
                      <a:ext cx="4944900" cy="5629275"/>
                    </a:xfrm>
                    <a:prstGeom prst="rect">
                      <a:avLst/>
                    </a:prstGeom>
                    <a:ln/>
                  </pic:spPr>
                </pic:pic>
              </a:graphicData>
            </a:graphic>
          </wp:inline>
        </w:drawing>
      </w:r>
    </w:p>
    <w:p w14:paraId="17099D2A" w14:textId="77777777" w:rsidR="005A174C" w:rsidRPr="00D134EB" w:rsidRDefault="005A174C" w:rsidP="00212E18">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DNP-Ministerio de Hacienda y Crédito Público (2020).</w:t>
      </w:r>
    </w:p>
    <w:p w14:paraId="66DF125F" w14:textId="77777777" w:rsidR="005A174C" w:rsidRPr="00D134EB" w:rsidRDefault="005A174C" w:rsidP="005A174C">
      <w:pPr>
        <w:spacing w:line="240" w:lineRule="auto"/>
        <w:jc w:val="both"/>
        <w:rPr>
          <w:rFonts w:ascii="Times New Roman" w:eastAsia="Times New Roman" w:hAnsi="Times New Roman" w:cs="Times New Roman"/>
        </w:rPr>
      </w:pPr>
    </w:p>
    <w:p w14:paraId="16D0B69B" w14:textId="1983586A" w:rsidR="005A174C" w:rsidRPr="00D134EB" w:rsidRDefault="005A174C" w:rsidP="00212E18">
      <w:pPr>
        <w:jc w:val="center"/>
        <w:rPr>
          <w:rFonts w:ascii="Times New Roman" w:hAnsi="Times New Roman" w:cs="Times New Roman"/>
          <w:b/>
          <w:bCs/>
          <w:sz w:val="20"/>
          <w:szCs w:val="20"/>
        </w:rPr>
      </w:pPr>
      <w:r w:rsidRPr="00D134EB">
        <w:rPr>
          <w:rFonts w:ascii="Times New Roman" w:hAnsi="Times New Roman" w:cs="Times New Roman"/>
          <w:b/>
          <w:bCs/>
          <w:sz w:val="20"/>
          <w:szCs w:val="20"/>
        </w:rPr>
        <w:t>Tabla 1</w:t>
      </w:r>
      <w:r w:rsidR="00212E18" w:rsidRPr="00D134EB">
        <w:rPr>
          <w:rFonts w:ascii="Times New Roman" w:hAnsi="Times New Roman" w:cs="Times New Roman"/>
          <w:b/>
          <w:bCs/>
          <w:sz w:val="20"/>
          <w:szCs w:val="20"/>
        </w:rPr>
        <w:t>0</w:t>
      </w:r>
      <w:r w:rsidRPr="00D134EB">
        <w:rPr>
          <w:rFonts w:ascii="Times New Roman" w:hAnsi="Times New Roman" w:cs="Times New Roman"/>
          <w:b/>
          <w:bCs/>
          <w:sz w:val="20"/>
          <w:szCs w:val="20"/>
        </w:rPr>
        <w:t>. Costo de atención población migrante</w:t>
      </w:r>
      <w:r w:rsidR="00212E18" w:rsidRPr="00D134EB">
        <w:rPr>
          <w:rFonts w:ascii="Times New Roman" w:hAnsi="Times New Roman" w:cs="Times New Roman"/>
          <w:b/>
          <w:bCs/>
          <w:sz w:val="20"/>
          <w:szCs w:val="20"/>
        </w:rPr>
        <w:t>.</w:t>
      </w:r>
    </w:p>
    <w:p w14:paraId="5FFA27F5" w14:textId="77777777" w:rsidR="005A174C" w:rsidRPr="00D134EB" w:rsidRDefault="005A174C" w:rsidP="005A174C">
      <w:pPr>
        <w:spacing w:after="200" w:line="240" w:lineRule="auto"/>
        <w:jc w:val="center"/>
        <w:rPr>
          <w:rFonts w:ascii="Times New Roman" w:eastAsia="Times New Roman" w:hAnsi="Times New Roman" w:cs="Times New Roman"/>
          <w:sz w:val="24"/>
          <w:szCs w:val="24"/>
        </w:rPr>
      </w:pPr>
      <w:r w:rsidRPr="00D134EB">
        <w:rPr>
          <w:rFonts w:ascii="Times New Roman" w:eastAsia="Times New Roman" w:hAnsi="Times New Roman" w:cs="Times New Roman"/>
          <w:noProof/>
          <w:sz w:val="24"/>
          <w:szCs w:val="24"/>
        </w:rPr>
        <w:lastRenderedPageBreak/>
        <w:drawing>
          <wp:inline distT="114300" distB="114300" distL="114300" distR="114300" wp14:anchorId="15CE253C" wp14:editId="207733E2">
            <wp:extent cx="5038725" cy="4473897"/>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7"/>
                    <a:srcRect l="34014" t="35773" r="35886" b="16659"/>
                    <a:stretch>
                      <a:fillRect/>
                    </a:stretch>
                  </pic:blipFill>
                  <pic:spPr>
                    <a:xfrm>
                      <a:off x="0" y="0"/>
                      <a:ext cx="5038725" cy="4473897"/>
                    </a:xfrm>
                    <a:prstGeom prst="rect">
                      <a:avLst/>
                    </a:prstGeom>
                    <a:ln/>
                  </pic:spPr>
                </pic:pic>
              </a:graphicData>
            </a:graphic>
          </wp:inline>
        </w:drawing>
      </w:r>
    </w:p>
    <w:p w14:paraId="1ADBBF11" w14:textId="77777777" w:rsidR="005A174C" w:rsidRPr="00D134EB" w:rsidRDefault="005A174C" w:rsidP="00212E18">
      <w:pPr>
        <w:jc w:val="center"/>
        <w:rPr>
          <w:rFonts w:ascii="Times New Roman" w:hAnsi="Times New Roman" w:cs="Times New Roman"/>
          <w:i/>
          <w:iCs/>
          <w:sz w:val="20"/>
          <w:szCs w:val="20"/>
        </w:rPr>
      </w:pPr>
      <w:r w:rsidRPr="00D134EB">
        <w:rPr>
          <w:rFonts w:ascii="Times New Roman" w:hAnsi="Times New Roman" w:cs="Times New Roman"/>
          <w:i/>
          <w:iCs/>
          <w:sz w:val="20"/>
          <w:szCs w:val="20"/>
        </w:rPr>
        <w:t>Fuente: DGPM - MHCP</w:t>
      </w:r>
    </w:p>
    <w:p w14:paraId="22372DBD" w14:textId="77777777" w:rsidR="005A174C" w:rsidRPr="00D134EB" w:rsidRDefault="005A174C" w:rsidP="009926F1">
      <w:pPr>
        <w:jc w:val="center"/>
        <w:rPr>
          <w:rFonts w:ascii="Times New Roman" w:hAnsi="Times New Roman" w:cs="Times New Roman"/>
          <w:b/>
          <w:bCs/>
          <w:sz w:val="20"/>
          <w:szCs w:val="20"/>
        </w:rPr>
      </w:pPr>
    </w:p>
    <w:sectPr w:rsidR="005A174C" w:rsidRPr="00D134EB" w:rsidSect="001A2269">
      <w:headerReference w:type="default" r:id="rId28"/>
      <w:footerReference w:type="even" r:id="rId29"/>
      <w:footerReference w:type="default" r:id="rId30"/>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FA7E5" w14:textId="77777777" w:rsidR="0082745C" w:rsidRDefault="0082745C" w:rsidP="000C0DD6">
      <w:pPr>
        <w:spacing w:after="0" w:line="240" w:lineRule="auto"/>
      </w:pPr>
      <w:r>
        <w:separator/>
      </w:r>
    </w:p>
  </w:endnote>
  <w:endnote w:type="continuationSeparator" w:id="0">
    <w:p w14:paraId="1C0400A9" w14:textId="77777777" w:rsidR="0082745C" w:rsidRDefault="0082745C" w:rsidP="000C0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07530324"/>
      <w:docPartObj>
        <w:docPartGallery w:val="Page Numbers (Bottom of Page)"/>
        <w:docPartUnique/>
      </w:docPartObj>
    </w:sdtPr>
    <w:sdtContent>
      <w:p w14:paraId="7937F6FB" w14:textId="51761E04" w:rsidR="00BC622E" w:rsidRDefault="00BC622E" w:rsidP="00E35336">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1E8541BF" w14:textId="77777777" w:rsidR="00BC622E" w:rsidRDefault="00BC62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811715076"/>
      <w:docPartObj>
        <w:docPartGallery w:val="Page Numbers (Bottom of Page)"/>
        <w:docPartUnique/>
      </w:docPartObj>
    </w:sdtPr>
    <w:sdtEndPr>
      <w:rPr>
        <w:rStyle w:val="Nmerodepgina"/>
        <w:rFonts w:ascii="Times New Roman" w:hAnsi="Times New Roman" w:cs="Times New Roman"/>
        <w:sz w:val="24"/>
        <w:szCs w:val="24"/>
      </w:rPr>
    </w:sdtEndPr>
    <w:sdtContent>
      <w:p w14:paraId="5B747129" w14:textId="46BD01D9" w:rsidR="00BC622E" w:rsidRDefault="00BC622E" w:rsidP="00E35336">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250A91C" w14:textId="77777777" w:rsidR="00BC622E" w:rsidRDefault="00BC62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477F9" w14:textId="77777777" w:rsidR="0082745C" w:rsidRDefault="0082745C" w:rsidP="000C0DD6">
      <w:pPr>
        <w:spacing w:after="0" w:line="240" w:lineRule="auto"/>
      </w:pPr>
      <w:r>
        <w:separator/>
      </w:r>
    </w:p>
  </w:footnote>
  <w:footnote w:type="continuationSeparator" w:id="0">
    <w:p w14:paraId="0B70AF56" w14:textId="77777777" w:rsidR="0082745C" w:rsidRDefault="0082745C" w:rsidP="000C0DD6">
      <w:pPr>
        <w:spacing w:after="0" w:line="240" w:lineRule="auto"/>
      </w:pPr>
      <w:r>
        <w:continuationSeparator/>
      </w:r>
    </w:p>
  </w:footnote>
  <w:footnote w:id="1">
    <w:p w14:paraId="70E09F0E" w14:textId="699595C1" w:rsidR="00E92DA3" w:rsidRPr="003D4B14" w:rsidRDefault="00E92DA3" w:rsidP="003D4B14">
      <w:pPr>
        <w:pStyle w:val="Textonotapie"/>
        <w:spacing w:line="240" w:lineRule="auto"/>
        <w:jc w:val="both"/>
        <w:rPr>
          <w:sz w:val="16"/>
          <w:szCs w:val="16"/>
          <w:lang w:val="es-ES"/>
        </w:rPr>
      </w:pPr>
      <w:r w:rsidRPr="003D4B14">
        <w:rPr>
          <w:rStyle w:val="Refdenotaalpie"/>
          <w:sz w:val="16"/>
          <w:szCs w:val="16"/>
        </w:rPr>
        <w:footnoteRef/>
      </w:r>
      <w:r w:rsidRPr="003D4B14">
        <w:rPr>
          <w:sz w:val="16"/>
          <w:szCs w:val="16"/>
        </w:rPr>
        <w:t xml:space="preserve"> </w:t>
      </w:r>
      <w:r w:rsidRPr="003D4B14">
        <w:rPr>
          <w:sz w:val="16"/>
          <w:szCs w:val="16"/>
          <w:lang w:val="es-ES"/>
        </w:rPr>
        <w:t>CISAN. Información enviada por correo electrónico. 21 de julio de 2022.</w:t>
      </w:r>
    </w:p>
  </w:footnote>
  <w:footnote w:id="2">
    <w:p w14:paraId="6E5BD875" w14:textId="77777777" w:rsidR="00D81D45" w:rsidRPr="003D4B14" w:rsidRDefault="00D81D45" w:rsidP="003D4B14">
      <w:pPr>
        <w:pStyle w:val="Textonotapie"/>
        <w:spacing w:line="240" w:lineRule="auto"/>
        <w:jc w:val="both"/>
        <w:rPr>
          <w:sz w:val="16"/>
          <w:szCs w:val="16"/>
          <w:lang w:val="es-ES"/>
        </w:rPr>
      </w:pPr>
      <w:r w:rsidRPr="003D4B14">
        <w:rPr>
          <w:rStyle w:val="Refdenotaalpie"/>
          <w:sz w:val="16"/>
          <w:szCs w:val="16"/>
          <w:lang w:val="es-ES"/>
        </w:rPr>
        <w:footnoteRef/>
      </w:r>
      <w:r w:rsidRPr="003D4B14">
        <w:rPr>
          <w:sz w:val="16"/>
          <w:szCs w:val="16"/>
          <w:lang w:val="es-ES"/>
        </w:rPr>
        <w:t xml:space="preserve"> CISAN. Información enviada por correo electrónico. 21 de julio de 2022.</w:t>
      </w:r>
    </w:p>
  </w:footnote>
  <w:footnote w:id="3">
    <w:p w14:paraId="35DAFD5C" w14:textId="77777777" w:rsidR="00916BD6" w:rsidRPr="00CA7B80" w:rsidRDefault="00916BD6" w:rsidP="00916BD6">
      <w:pPr>
        <w:pStyle w:val="Textonotapie"/>
        <w:spacing w:line="240" w:lineRule="auto"/>
        <w:ind w:left="142" w:hanging="142"/>
        <w:jc w:val="both"/>
        <w:rPr>
          <w:sz w:val="16"/>
          <w:szCs w:val="16"/>
          <w:lang w:val="es-ES"/>
        </w:rPr>
      </w:pPr>
      <w:r w:rsidRPr="00CA7B80">
        <w:rPr>
          <w:rStyle w:val="Refdenotaalpie"/>
          <w:sz w:val="16"/>
          <w:szCs w:val="16"/>
          <w:lang w:val="es-ES"/>
        </w:rPr>
        <w:footnoteRef/>
      </w:r>
      <w:r w:rsidRPr="00CA7B80">
        <w:rPr>
          <w:sz w:val="16"/>
          <w:szCs w:val="16"/>
          <w:lang w:val="es-ES"/>
        </w:rPr>
        <w:t xml:space="preserve"> </w:t>
      </w:r>
      <w:r>
        <w:rPr>
          <w:sz w:val="16"/>
          <w:szCs w:val="16"/>
          <w:lang w:val="es-ES"/>
        </w:rPr>
        <w:t>Disponible en</w:t>
      </w:r>
      <w:r w:rsidRPr="00CA7B80">
        <w:rPr>
          <w:sz w:val="16"/>
          <w:szCs w:val="16"/>
          <w:lang w:val="es-ES"/>
        </w:rPr>
        <w:t xml:space="preserve">: </w:t>
      </w:r>
      <w:hyperlink r:id="rId1" w:history="1">
        <w:r w:rsidRPr="00CA7B80">
          <w:rPr>
            <w:rStyle w:val="Hipervnculo"/>
            <w:sz w:val="16"/>
            <w:szCs w:val="16"/>
            <w:lang w:val="es-ES"/>
          </w:rPr>
          <w:t>https://www.procuraduria.gov.co/portal/media/file/01_Informe_ejecutivo.pdf</w:t>
        </w:r>
      </w:hyperlink>
      <w:r w:rsidRPr="00CA7B80">
        <w:rPr>
          <w:sz w:val="16"/>
          <w:szCs w:val="16"/>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65B0" w14:textId="62356096" w:rsidR="001A2269" w:rsidRDefault="001A2269">
    <w:pPr>
      <w:pStyle w:val="Encabezado"/>
    </w:pPr>
    <w:r>
      <w:rPr>
        <w:noProof/>
      </w:rPr>
      <w:drawing>
        <wp:inline distT="0" distB="0" distL="0" distR="0" wp14:anchorId="18C595E2" wp14:editId="5754F9F9">
          <wp:extent cx="2643447" cy="444473"/>
          <wp:effectExtent l="0" t="0" r="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2758728" cy="463857"/>
                  </a:xfrm>
                  <a:prstGeom prst="rect">
                    <a:avLst/>
                  </a:prstGeom>
                </pic:spPr>
              </pic:pic>
            </a:graphicData>
          </a:graphic>
        </wp:inline>
      </w:drawing>
    </w:r>
  </w:p>
  <w:p w14:paraId="34C758AC" w14:textId="77777777" w:rsidR="00DD3C57" w:rsidRDefault="00DD3C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C4D5C"/>
    <w:multiLevelType w:val="hybridMultilevel"/>
    <w:tmpl w:val="BA0AB4B6"/>
    <w:lvl w:ilvl="0" w:tplc="CE0656C8">
      <w:start w:val="1"/>
      <w:numFmt w:val="bullet"/>
      <w:lvlText w:val="-"/>
      <w:lvlJc w:val="left"/>
      <w:pPr>
        <w:ind w:left="606" w:hanging="360"/>
      </w:pPr>
      <w:rPr>
        <w:rFonts w:ascii="Times New Roman" w:eastAsia="Times New Roman" w:hAnsi="Times New Roman" w:cs="Times New Roman" w:hint="default"/>
        <w:b/>
      </w:rPr>
    </w:lvl>
    <w:lvl w:ilvl="1" w:tplc="040A0003" w:tentative="1">
      <w:start w:val="1"/>
      <w:numFmt w:val="bullet"/>
      <w:lvlText w:val="o"/>
      <w:lvlJc w:val="left"/>
      <w:pPr>
        <w:ind w:left="1326" w:hanging="360"/>
      </w:pPr>
      <w:rPr>
        <w:rFonts w:ascii="Courier New" w:hAnsi="Courier New" w:hint="default"/>
      </w:rPr>
    </w:lvl>
    <w:lvl w:ilvl="2" w:tplc="040A0005" w:tentative="1">
      <w:start w:val="1"/>
      <w:numFmt w:val="bullet"/>
      <w:lvlText w:val=""/>
      <w:lvlJc w:val="left"/>
      <w:pPr>
        <w:ind w:left="2046" w:hanging="360"/>
      </w:pPr>
      <w:rPr>
        <w:rFonts w:ascii="Wingdings" w:hAnsi="Wingdings" w:hint="default"/>
      </w:rPr>
    </w:lvl>
    <w:lvl w:ilvl="3" w:tplc="040A0001" w:tentative="1">
      <w:start w:val="1"/>
      <w:numFmt w:val="bullet"/>
      <w:lvlText w:val=""/>
      <w:lvlJc w:val="left"/>
      <w:pPr>
        <w:ind w:left="2766" w:hanging="360"/>
      </w:pPr>
      <w:rPr>
        <w:rFonts w:ascii="Symbol" w:hAnsi="Symbol" w:hint="default"/>
      </w:rPr>
    </w:lvl>
    <w:lvl w:ilvl="4" w:tplc="040A0003" w:tentative="1">
      <w:start w:val="1"/>
      <w:numFmt w:val="bullet"/>
      <w:lvlText w:val="o"/>
      <w:lvlJc w:val="left"/>
      <w:pPr>
        <w:ind w:left="3486" w:hanging="360"/>
      </w:pPr>
      <w:rPr>
        <w:rFonts w:ascii="Courier New" w:hAnsi="Courier New" w:hint="default"/>
      </w:rPr>
    </w:lvl>
    <w:lvl w:ilvl="5" w:tplc="040A0005" w:tentative="1">
      <w:start w:val="1"/>
      <w:numFmt w:val="bullet"/>
      <w:lvlText w:val=""/>
      <w:lvlJc w:val="left"/>
      <w:pPr>
        <w:ind w:left="4206" w:hanging="360"/>
      </w:pPr>
      <w:rPr>
        <w:rFonts w:ascii="Wingdings" w:hAnsi="Wingdings" w:hint="default"/>
      </w:rPr>
    </w:lvl>
    <w:lvl w:ilvl="6" w:tplc="040A0001" w:tentative="1">
      <w:start w:val="1"/>
      <w:numFmt w:val="bullet"/>
      <w:lvlText w:val=""/>
      <w:lvlJc w:val="left"/>
      <w:pPr>
        <w:ind w:left="4926" w:hanging="360"/>
      </w:pPr>
      <w:rPr>
        <w:rFonts w:ascii="Symbol" w:hAnsi="Symbol" w:hint="default"/>
      </w:rPr>
    </w:lvl>
    <w:lvl w:ilvl="7" w:tplc="040A0003" w:tentative="1">
      <w:start w:val="1"/>
      <w:numFmt w:val="bullet"/>
      <w:lvlText w:val="o"/>
      <w:lvlJc w:val="left"/>
      <w:pPr>
        <w:ind w:left="5646" w:hanging="360"/>
      </w:pPr>
      <w:rPr>
        <w:rFonts w:ascii="Courier New" w:hAnsi="Courier New" w:hint="default"/>
      </w:rPr>
    </w:lvl>
    <w:lvl w:ilvl="8" w:tplc="040A0005" w:tentative="1">
      <w:start w:val="1"/>
      <w:numFmt w:val="bullet"/>
      <w:lvlText w:val=""/>
      <w:lvlJc w:val="left"/>
      <w:pPr>
        <w:ind w:left="6366" w:hanging="360"/>
      </w:pPr>
      <w:rPr>
        <w:rFonts w:ascii="Wingdings" w:hAnsi="Wingdings" w:hint="default"/>
      </w:rPr>
    </w:lvl>
  </w:abstractNum>
  <w:abstractNum w:abstractNumId="1" w15:restartNumberingAfterBreak="0">
    <w:nsid w:val="1A8464FB"/>
    <w:multiLevelType w:val="multilevel"/>
    <w:tmpl w:val="CB3A09F8"/>
    <w:lvl w:ilvl="0">
      <w:start w:val="1"/>
      <w:numFmt w:val="bullet"/>
      <w:lvlText w:val=""/>
      <w:lvlJc w:val="left"/>
      <w:pPr>
        <w:ind w:left="360" w:hanging="360"/>
      </w:pPr>
      <w:rPr>
        <w:rFonts w:ascii="Symbol" w:hAnsi="Symbol"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2FBE3DBF"/>
    <w:multiLevelType w:val="multilevel"/>
    <w:tmpl w:val="F262505C"/>
    <w:lvl w:ilvl="0">
      <w:start w:val="1"/>
      <w:numFmt w:val="bullet"/>
      <w:lvlText w:val=""/>
      <w:lvlJc w:val="left"/>
      <w:pPr>
        <w:ind w:left="360" w:hanging="360"/>
      </w:pPr>
      <w:rPr>
        <w:rFonts w:ascii="Symbol" w:hAnsi="Symbol"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BF43DE2"/>
    <w:multiLevelType w:val="multilevel"/>
    <w:tmpl w:val="79DC72E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E5465B"/>
    <w:multiLevelType w:val="hybridMultilevel"/>
    <w:tmpl w:val="5FA234A6"/>
    <w:lvl w:ilvl="0" w:tplc="4F62E47A">
      <w:start w:val="1"/>
      <w:numFmt w:val="bullet"/>
      <w:lvlText w:val=""/>
      <w:lvlJc w:val="left"/>
      <w:pPr>
        <w:ind w:left="360" w:hanging="360"/>
      </w:pPr>
      <w:rPr>
        <w:rFonts w:ascii="Symbol" w:hAnsi="Symbol" w:hint="default"/>
        <w:sz w:val="20"/>
        <w:szCs w:val="20"/>
      </w:rPr>
    </w:lvl>
    <w:lvl w:ilvl="1" w:tplc="040A0003">
      <w:start w:val="1"/>
      <w:numFmt w:val="bullet"/>
      <w:lvlText w:val="o"/>
      <w:lvlJc w:val="left"/>
      <w:pPr>
        <w:ind w:left="1374" w:hanging="360"/>
      </w:pPr>
      <w:rPr>
        <w:rFonts w:ascii="Courier New" w:hAnsi="Courier New" w:hint="default"/>
      </w:rPr>
    </w:lvl>
    <w:lvl w:ilvl="2" w:tplc="040A0005" w:tentative="1">
      <w:start w:val="1"/>
      <w:numFmt w:val="bullet"/>
      <w:lvlText w:val=""/>
      <w:lvlJc w:val="left"/>
      <w:pPr>
        <w:ind w:left="2094" w:hanging="360"/>
      </w:pPr>
      <w:rPr>
        <w:rFonts w:ascii="Wingdings" w:hAnsi="Wingdings" w:hint="default"/>
      </w:rPr>
    </w:lvl>
    <w:lvl w:ilvl="3" w:tplc="040A0001" w:tentative="1">
      <w:start w:val="1"/>
      <w:numFmt w:val="bullet"/>
      <w:lvlText w:val=""/>
      <w:lvlJc w:val="left"/>
      <w:pPr>
        <w:ind w:left="2814" w:hanging="360"/>
      </w:pPr>
      <w:rPr>
        <w:rFonts w:ascii="Symbol" w:hAnsi="Symbol" w:hint="default"/>
      </w:rPr>
    </w:lvl>
    <w:lvl w:ilvl="4" w:tplc="040A0003" w:tentative="1">
      <w:start w:val="1"/>
      <w:numFmt w:val="bullet"/>
      <w:lvlText w:val="o"/>
      <w:lvlJc w:val="left"/>
      <w:pPr>
        <w:ind w:left="3534" w:hanging="360"/>
      </w:pPr>
      <w:rPr>
        <w:rFonts w:ascii="Courier New" w:hAnsi="Courier New" w:hint="default"/>
      </w:rPr>
    </w:lvl>
    <w:lvl w:ilvl="5" w:tplc="040A0005" w:tentative="1">
      <w:start w:val="1"/>
      <w:numFmt w:val="bullet"/>
      <w:lvlText w:val=""/>
      <w:lvlJc w:val="left"/>
      <w:pPr>
        <w:ind w:left="4254" w:hanging="360"/>
      </w:pPr>
      <w:rPr>
        <w:rFonts w:ascii="Wingdings" w:hAnsi="Wingdings" w:hint="default"/>
      </w:rPr>
    </w:lvl>
    <w:lvl w:ilvl="6" w:tplc="040A0001" w:tentative="1">
      <w:start w:val="1"/>
      <w:numFmt w:val="bullet"/>
      <w:lvlText w:val=""/>
      <w:lvlJc w:val="left"/>
      <w:pPr>
        <w:ind w:left="4974" w:hanging="360"/>
      </w:pPr>
      <w:rPr>
        <w:rFonts w:ascii="Symbol" w:hAnsi="Symbol" w:hint="default"/>
      </w:rPr>
    </w:lvl>
    <w:lvl w:ilvl="7" w:tplc="040A0003" w:tentative="1">
      <w:start w:val="1"/>
      <w:numFmt w:val="bullet"/>
      <w:lvlText w:val="o"/>
      <w:lvlJc w:val="left"/>
      <w:pPr>
        <w:ind w:left="5694" w:hanging="360"/>
      </w:pPr>
      <w:rPr>
        <w:rFonts w:ascii="Courier New" w:hAnsi="Courier New" w:hint="default"/>
      </w:rPr>
    </w:lvl>
    <w:lvl w:ilvl="8" w:tplc="040A0005" w:tentative="1">
      <w:start w:val="1"/>
      <w:numFmt w:val="bullet"/>
      <w:lvlText w:val=""/>
      <w:lvlJc w:val="left"/>
      <w:pPr>
        <w:ind w:left="6414" w:hanging="360"/>
      </w:pPr>
      <w:rPr>
        <w:rFonts w:ascii="Wingdings" w:hAnsi="Wingdings" w:hint="default"/>
      </w:rPr>
    </w:lvl>
  </w:abstractNum>
  <w:abstractNum w:abstractNumId="5" w15:restartNumberingAfterBreak="0">
    <w:nsid w:val="542C5C53"/>
    <w:multiLevelType w:val="hybridMultilevel"/>
    <w:tmpl w:val="FE1051D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5AF94B9A"/>
    <w:multiLevelType w:val="multilevel"/>
    <w:tmpl w:val="E514B1EE"/>
    <w:lvl w:ilvl="0">
      <w:start w:val="1"/>
      <w:numFmt w:val="bullet"/>
      <w:lvlText w:val=""/>
      <w:lvlJc w:val="left"/>
      <w:pPr>
        <w:ind w:left="360" w:hanging="360"/>
      </w:pPr>
      <w:rPr>
        <w:rFonts w:ascii="Symbol" w:hAnsi="Symbol"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66521628"/>
    <w:multiLevelType w:val="multilevel"/>
    <w:tmpl w:val="C82849D2"/>
    <w:lvl w:ilvl="0">
      <w:start w:val="1"/>
      <w:numFmt w:val="decimal"/>
      <w:lvlText w:val="%1."/>
      <w:lvlJc w:val="left"/>
      <w:pPr>
        <w:ind w:left="360" w:hanging="360"/>
      </w:pPr>
      <w:rPr>
        <w:rFonts w:ascii="Times New Roman" w:hAnsi="Times New Roman" w:cs="Times New Roman" w:hint="default"/>
        <w:b/>
        <w:bCs/>
        <w:sz w:val="28"/>
        <w:szCs w:val="28"/>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753D6497"/>
    <w:multiLevelType w:val="multilevel"/>
    <w:tmpl w:val="76C6004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222"/>
        </w:tabs>
        <w:ind w:left="1222" w:hanging="360"/>
      </w:pPr>
      <w:rPr>
        <w:rFonts w:ascii="Courier New" w:hAnsi="Courier New" w:hint="default"/>
        <w:sz w:val="20"/>
      </w:rPr>
    </w:lvl>
    <w:lvl w:ilvl="2" w:tentative="1">
      <w:start w:val="1"/>
      <w:numFmt w:val="bullet"/>
      <w:lvlText w:val=""/>
      <w:lvlJc w:val="left"/>
      <w:pPr>
        <w:tabs>
          <w:tab w:val="num" w:pos="1942"/>
        </w:tabs>
        <w:ind w:left="1942" w:hanging="360"/>
      </w:pPr>
      <w:rPr>
        <w:rFonts w:ascii="Wingdings" w:hAnsi="Wingdings" w:hint="default"/>
        <w:sz w:val="20"/>
      </w:rPr>
    </w:lvl>
    <w:lvl w:ilvl="3" w:tentative="1">
      <w:start w:val="1"/>
      <w:numFmt w:val="bullet"/>
      <w:lvlText w:val=""/>
      <w:lvlJc w:val="left"/>
      <w:pPr>
        <w:tabs>
          <w:tab w:val="num" w:pos="2662"/>
        </w:tabs>
        <w:ind w:left="2662" w:hanging="360"/>
      </w:pPr>
      <w:rPr>
        <w:rFonts w:ascii="Wingdings" w:hAnsi="Wingdings" w:hint="default"/>
        <w:sz w:val="20"/>
      </w:rPr>
    </w:lvl>
    <w:lvl w:ilvl="4" w:tentative="1">
      <w:start w:val="1"/>
      <w:numFmt w:val="bullet"/>
      <w:lvlText w:val=""/>
      <w:lvlJc w:val="left"/>
      <w:pPr>
        <w:tabs>
          <w:tab w:val="num" w:pos="3382"/>
        </w:tabs>
        <w:ind w:left="3382" w:hanging="360"/>
      </w:pPr>
      <w:rPr>
        <w:rFonts w:ascii="Wingdings" w:hAnsi="Wingdings" w:hint="default"/>
        <w:sz w:val="20"/>
      </w:rPr>
    </w:lvl>
    <w:lvl w:ilvl="5" w:tentative="1">
      <w:start w:val="1"/>
      <w:numFmt w:val="bullet"/>
      <w:lvlText w:val=""/>
      <w:lvlJc w:val="left"/>
      <w:pPr>
        <w:tabs>
          <w:tab w:val="num" w:pos="4102"/>
        </w:tabs>
        <w:ind w:left="4102" w:hanging="360"/>
      </w:pPr>
      <w:rPr>
        <w:rFonts w:ascii="Wingdings" w:hAnsi="Wingdings" w:hint="default"/>
        <w:sz w:val="20"/>
      </w:rPr>
    </w:lvl>
    <w:lvl w:ilvl="6" w:tentative="1">
      <w:start w:val="1"/>
      <w:numFmt w:val="bullet"/>
      <w:lvlText w:val=""/>
      <w:lvlJc w:val="left"/>
      <w:pPr>
        <w:tabs>
          <w:tab w:val="num" w:pos="4822"/>
        </w:tabs>
        <w:ind w:left="4822" w:hanging="360"/>
      </w:pPr>
      <w:rPr>
        <w:rFonts w:ascii="Wingdings" w:hAnsi="Wingdings" w:hint="default"/>
        <w:sz w:val="20"/>
      </w:rPr>
    </w:lvl>
    <w:lvl w:ilvl="7" w:tentative="1">
      <w:start w:val="1"/>
      <w:numFmt w:val="bullet"/>
      <w:lvlText w:val=""/>
      <w:lvlJc w:val="left"/>
      <w:pPr>
        <w:tabs>
          <w:tab w:val="num" w:pos="5542"/>
        </w:tabs>
        <w:ind w:left="5542" w:hanging="360"/>
      </w:pPr>
      <w:rPr>
        <w:rFonts w:ascii="Wingdings" w:hAnsi="Wingdings" w:hint="default"/>
        <w:sz w:val="20"/>
      </w:rPr>
    </w:lvl>
    <w:lvl w:ilvl="8" w:tentative="1">
      <w:start w:val="1"/>
      <w:numFmt w:val="bullet"/>
      <w:lvlText w:val=""/>
      <w:lvlJc w:val="left"/>
      <w:pPr>
        <w:tabs>
          <w:tab w:val="num" w:pos="6262"/>
        </w:tabs>
        <w:ind w:left="6262" w:hanging="360"/>
      </w:pPr>
      <w:rPr>
        <w:rFonts w:ascii="Wingdings" w:hAnsi="Wingdings" w:hint="default"/>
        <w:sz w:val="20"/>
      </w:rPr>
    </w:lvl>
  </w:abstractNum>
  <w:abstractNum w:abstractNumId="9" w15:restartNumberingAfterBreak="0">
    <w:nsid w:val="7A1131C6"/>
    <w:multiLevelType w:val="multilevel"/>
    <w:tmpl w:val="2F6A6584"/>
    <w:lvl w:ilvl="0">
      <w:start w:val="1"/>
      <w:numFmt w:val="bullet"/>
      <w:lvlText w:val=""/>
      <w:lvlJc w:val="left"/>
      <w:pPr>
        <w:ind w:left="360" w:hanging="360"/>
      </w:pPr>
      <w:rPr>
        <w:rFonts w:ascii="Symbol" w:hAnsi="Symbol" w:hint="default"/>
        <w:b w:val="0"/>
        <w:bCs w:val="0"/>
        <w:sz w:val="20"/>
        <w:szCs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16cid:durableId="222640796">
    <w:abstractNumId w:val="3"/>
  </w:num>
  <w:num w:numId="2" w16cid:durableId="708067640">
    <w:abstractNumId w:val="8"/>
  </w:num>
  <w:num w:numId="3" w16cid:durableId="1301035904">
    <w:abstractNumId w:val="2"/>
  </w:num>
  <w:num w:numId="4" w16cid:durableId="1262371519">
    <w:abstractNumId w:val="5"/>
  </w:num>
  <w:num w:numId="5" w16cid:durableId="1938831604">
    <w:abstractNumId w:val="9"/>
  </w:num>
  <w:num w:numId="6" w16cid:durableId="462696360">
    <w:abstractNumId w:val="0"/>
  </w:num>
  <w:num w:numId="7" w16cid:durableId="447313227">
    <w:abstractNumId w:val="4"/>
  </w:num>
  <w:num w:numId="8" w16cid:durableId="1470247596">
    <w:abstractNumId w:val="6"/>
  </w:num>
  <w:num w:numId="9" w16cid:durableId="2016229098">
    <w:abstractNumId w:val="1"/>
  </w:num>
  <w:num w:numId="10" w16cid:durableId="1097834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352"/>
    <w:rsid w:val="000324B8"/>
    <w:rsid w:val="00032FC2"/>
    <w:rsid w:val="0003640A"/>
    <w:rsid w:val="0004703C"/>
    <w:rsid w:val="00051B74"/>
    <w:rsid w:val="00072875"/>
    <w:rsid w:val="00072B8B"/>
    <w:rsid w:val="0007429C"/>
    <w:rsid w:val="0009209D"/>
    <w:rsid w:val="000A3B84"/>
    <w:rsid w:val="000C0DD6"/>
    <w:rsid w:val="000C72E6"/>
    <w:rsid w:val="000E3B8F"/>
    <w:rsid w:val="000E7B0E"/>
    <w:rsid w:val="00107078"/>
    <w:rsid w:val="00126198"/>
    <w:rsid w:val="0012625C"/>
    <w:rsid w:val="0014142A"/>
    <w:rsid w:val="00150274"/>
    <w:rsid w:val="00153623"/>
    <w:rsid w:val="00157107"/>
    <w:rsid w:val="00167CDE"/>
    <w:rsid w:val="00180D12"/>
    <w:rsid w:val="00183355"/>
    <w:rsid w:val="00184831"/>
    <w:rsid w:val="001A2269"/>
    <w:rsid w:val="001A2F8E"/>
    <w:rsid w:val="001B429C"/>
    <w:rsid w:val="001C28AB"/>
    <w:rsid w:val="001F6DF4"/>
    <w:rsid w:val="00212E18"/>
    <w:rsid w:val="002133AF"/>
    <w:rsid w:val="00225D09"/>
    <w:rsid w:val="002353D0"/>
    <w:rsid w:val="00235814"/>
    <w:rsid w:val="00251F65"/>
    <w:rsid w:val="0027274C"/>
    <w:rsid w:val="00287D90"/>
    <w:rsid w:val="00292CFF"/>
    <w:rsid w:val="002E4DCC"/>
    <w:rsid w:val="002E5DDF"/>
    <w:rsid w:val="002F3109"/>
    <w:rsid w:val="00301CCD"/>
    <w:rsid w:val="00307C80"/>
    <w:rsid w:val="00310BFC"/>
    <w:rsid w:val="00316D49"/>
    <w:rsid w:val="003173B6"/>
    <w:rsid w:val="00334E68"/>
    <w:rsid w:val="0034563E"/>
    <w:rsid w:val="00357E27"/>
    <w:rsid w:val="003655FD"/>
    <w:rsid w:val="0037403D"/>
    <w:rsid w:val="00377454"/>
    <w:rsid w:val="00384759"/>
    <w:rsid w:val="00392009"/>
    <w:rsid w:val="003974E2"/>
    <w:rsid w:val="003A1B77"/>
    <w:rsid w:val="003D4B14"/>
    <w:rsid w:val="003E0E42"/>
    <w:rsid w:val="003F2699"/>
    <w:rsid w:val="003F65ED"/>
    <w:rsid w:val="0041647A"/>
    <w:rsid w:val="00423FE7"/>
    <w:rsid w:val="0047705E"/>
    <w:rsid w:val="004A4F22"/>
    <w:rsid w:val="004B5E7A"/>
    <w:rsid w:val="004E0720"/>
    <w:rsid w:val="004E0ECD"/>
    <w:rsid w:val="004E25C2"/>
    <w:rsid w:val="004F3548"/>
    <w:rsid w:val="0050415A"/>
    <w:rsid w:val="00523460"/>
    <w:rsid w:val="00535D61"/>
    <w:rsid w:val="00543492"/>
    <w:rsid w:val="005A174C"/>
    <w:rsid w:val="005C368E"/>
    <w:rsid w:val="005D7DC6"/>
    <w:rsid w:val="0061014F"/>
    <w:rsid w:val="00622FA3"/>
    <w:rsid w:val="00635078"/>
    <w:rsid w:val="00641E7F"/>
    <w:rsid w:val="006630A5"/>
    <w:rsid w:val="0068135F"/>
    <w:rsid w:val="00694168"/>
    <w:rsid w:val="006A126E"/>
    <w:rsid w:val="006A1B55"/>
    <w:rsid w:val="006C2B6D"/>
    <w:rsid w:val="006D4D35"/>
    <w:rsid w:val="007101C1"/>
    <w:rsid w:val="0072058D"/>
    <w:rsid w:val="0072308C"/>
    <w:rsid w:val="007245DB"/>
    <w:rsid w:val="007416EC"/>
    <w:rsid w:val="00761130"/>
    <w:rsid w:val="00781500"/>
    <w:rsid w:val="0078581A"/>
    <w:rsid w:val="0078756B"/>
    <w:rsid w:val="00796F6D"/>
    <w:rsid w:val="007D0FA0"/>
    <w:rsid w:val="007F7C8A"/>
    <w:rsid w:val="00810613"/>
    <w:rsid w:val="00816679"/>
    <w:rsid w:val="0082745C"/>
    <w:rsid w:val="008371A9"/>
    <w:rsid w:val="0084007B"/>
    <w:rsid w:val="0084350B"/>
    <w:rsid w:val="0085649A"/>
    <w:rsid w:val="008579DD"/>
    <w:rsid w:val="0086004B"/>
    <w:rsid w:val="008A0A44"/>
    <w:rsid w:val="008E15BC"/>
    <w:rsid w:val="008F46A6"/>
    <w:rsid w:val="0091055A"/>
    <w:rsid w:val="00916BD6"/>
    <w:rsid w:val="009905F9"/>
    <w:rsid w:val="009926F1"/>
    <w:rsid w:val="009A1DCD"/>
    <w:rsid w:val="009C289F"/>
    <w:rsid w:val="009D384E"/>
    <w:rsid w:val="009F610B"/>
    <w:rsid w:val="009F7AFA"/>
    <w:rsid w:val="00A213B4"/>
    <w:rsid w:val="00A271E5"/>
    <w:rsid w:val="00A77871"/>
    <w:rsid w:val="00A903B4"/>
    <w:rsid w:val="00A90B23"/>
    <w:rsid w:val="00AA2FDD"/>
    <w:rsid w:val="00AB1487"/>
    <w:rsid w:val="00AE064A"/>
    <w:rsid w:val="00AE1E48"/>
    <w:rsid w:val="00AE3FC0"/>
    <w:rsid w:val="00B33235"/>
    <w:rsid w:val="00B41314"/>
    <w:rsid w:val="00B7504F"/>
    <w:rsid w:val="00B82384"/>
    <w:rsid w:val="00B826CA"/>
    <w:rsid w:val="00BA30E8"/>
    <w:rsid w:val="00BA67B6"/>
    <w:rsid w:val="00BB13AC"/>
    <w:rsid w:val="00BC622E"/>
    <w:rsid w:val="00BF0410"/>
    <w:rsid w:val="00BF09B3"/>
    <w:rsid w:val="00BF5352"/>
    <w:rsid w:val="00C00E8F"/>
    <w:rsid w:val="00C1215B"/>
    <w:rsid w:val="00C34929"/>
    <w:rsid w:val="00C419A6"/>
    <w:rsid w:val="00C534A9"/>
    <w:rsid w:val="00C80C31"/>
    <w:rsid w:val="00C92627"/>
    <w:rsid w:val="00CA3D0D"/>
    <w:rsid w:val="00CB1C44"/>
    <w:rsid w:val="00CB7C1B"/>
    <w:rsid w:val="00CF2897"/>
    <w:rsid w:val="00D03A6F"/>
    <w:rsid w:val="00D134EB"/>
    <w:rsid w:val="00D138B9"/>
    <w:rsid w:val="00D263A6"/>
    <w:rsid w:val="00D410B0"/>
    <w:rsid w:val="00D47839"/>
    <w:rsid w:val="00D5158D"/>
    <w:rsid w:val="00D608AE"/>
    <w:rsid w:val="00D770C7"/>
    <w:rsid w:val="00D81D45"/>
    <w:rsid w:val="00DB4CC3"/>
    <w:rsid w:val="00DD3C57"/>
    <w:rsid w:val="00E22218"/>
    <w:rsid w:val="00E53C0C"/>
    <w:rsid w:val="00E578B1"/>
    <w:rsid w:val="00E673FB"/>
    <w:rsid w:val="00E675A8"/>
    <w:rsid w:val="00E9045B"/>
    <w:rsid w:val="00E906D0"/>
    <w:rsid w:val="00E92DA3"/>
    <w:rsid w:val="00EB1F73"/>
    <w:rsid w:val="00EF4181"/>
    <w:rsid w:val="00EF7AB0"/>
    <w:rsid w:val="00F026B7"/>
    <w:rsid w:val="00F6430C"/>
    <w:rsid w:val="00F65EE2"/>
    <w:rsid w:val="00F82FA6"/>
    <w:rsid w:val="00FC1C24"/>
    <w:rsid w:val="00FE69E6"/>
    <w:rsid w:val="00FE75D7"/>
    <w:rsid w:val="00FE7E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3B54"/>
  <w15:chartTrackingRefBased/>
  <w15:docId w15:val="{D432C370-0DAC-4592-A3B6-87EE206F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121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8E15BC"/>
    <w:pPr>
      <w:keepNext/>
      <w:keepLines/>
      <w:spacing w:before="40" w:after="0" w:line="240" w:lineRule="auto"/>
      <w:outlineLvl w:val="1"/>
    </w:pPr>
    <w:rPr>
      <w:rFonts w:ascii="Times New Roman" w:eastAsiaTheme="majorEastAsia" w:hAnsi="Times New Roman" w:cstheme="majorBidi"/>
      <w:b/>
      <w:sz w:val="24"/>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4007B"/>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F65E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Bullets,titulo 3,Bolita,List Paragraph,Ha,List Paragraph_0,List Paragraph_1,List Paragraph1,lp1,parrafo,Párrafo de lista Numerado,Segundo nivel de viñetas,Lista vistosa - Énfasis 11,List Paragraph 1,HOJA,BOLADEF,BOLA"/>
    <w:basedOn w:val="Normal"/>
    <w:link w:val="PrrafodelistaCar"/>
    <w:uiPriority w:val="34"/>
    <w:qFormat/>
    <w:rsid w:val="00DB4CC3"/>
    <w:pPr>
      <w:spacing w:after="0" w:line="240" w:lineRule="auto"/>
      <w:ind w:left="720"/>
      <w:contextualSpacing/>
    </w:pPr>
    <w:rPr>
      <w:sz w:val="24"/>
      <w:szCs w:val="24"/>
    </w:rPr>
  </w:style>
  <w:style w:type="paragraph" w:styleId="Encabezado">
    <w:name w:val="header"/>
    <w:basedOn w:val="Normal"/>
    <w:link w:val="EncabezadoCar"/>
    <w:uiPriority w:val="99"/>
    <w:unhideWhenUsed/>
    <w:rsid w:val="000C0DD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C0DD6"/>
  </w:style>
  <w:style w:type="paragraph" w:styleId="Piedepgina">
    <w:name w:val="footer"/>
    <w:basedOn w:val="Normal"/>
    <w:link w:val="PiedepginaCar"/>
    <w:uiPriority w:val="99"/>
    <w:unhideWhenUsed/>
    <w:rsid w:val="000C0DD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0DD6"/>
  </w:style>
  <w:style w:type="character" w:styleId="Refdenotaalpie">
    <w:name w:val="footnote reference"/>
    <w:aliases w:val="4_G"/>
    <w:uiPriority w:val="99"/>
    <w:qFormat/>
    <w:rsid w:val="00B33235"/>
    <w:rPr>
      <w:rFonts w:ascii="Times New Roman" w:hAnsi="Times New Roman"/>
      <w:sz w:val="18"/>
      <w:vertAlign w:val="superscript"/>
    </w:rPr>
  </w:style>
  <w:style w:type="paragraph" w:styleId="Textonotapie">
    <w:name w:val="footnote text"/>
    <w:aliases w:val="5_G"/>
    <w:basedOn w:val="Normal"/>
    <w:link w:val="TextonotapieCar"/>
    <w:uiPriority w:val="99"/>
    <w:qFormat/>
    <w:rsid w:val="00B33235"/>
    <w:pPr>
      <w:tabs>
        <w:tab w:val="right" w:pos="1021"/>
      </w:tabs>
      <w:suppressAutoHyphens/>
      <w:kinsoku w:val="0"/>
      <w:overflowPunct w:val="0"/>
      <w:autoSpaceDE w:val="0"/>
      <w:autoSpaceDN w:val="0"/>
      <w:adjustRightInd w:val="0"/>
      <w:snapToGrid w:val="0"/>
      <w:spacing w:after="0" w:line="220" w:lineRule="exact"/>
      <w:ind w:left="1134" w:right="1134" w:hanging="1134"/>
    </w:pPr>
    <w:rPr>
      <w:rFonts w:ascii="Times New Roman" w:eastAsia="SimSun" w:hAnsi="Times New Roman" w:cs="Times New Roman"/>
      <w:sz w:val="18"/>
      <w:szCs w:val="20"/>
      <w:lang w:val="en-GB" w:eastAsia="zh-CN"/>
    </w:rPr>
  </w:style>
  <w:style w:type="character" w:customStyle="1" w:styleId="TextonotapieCar">
    <w:name w:val="Texto nota pie Car"/>
    <w:aliases w:val="5_G Car"/>
    <w:basedOn w:val="Fuentedeprrafopredeter"/>
    <w:link w:val="Textonotapie"/>
    <w:uiPriority w:val="99"/>
    <w:rsid w:val="00B33235"/>
    <w:rPr>
      <w:rFonts w:ascii="Times New Roman" w:eastAsia="SimSun" w:hAnsi="Times New Roman" w:cs="Times New Roman"/>
      <w:sz w:val="18"/>
      <w:szCs w:val="20"/>
      <w:lang w:val="en-GB" w:eastAsia="zh-CN"/>
    </w:rPr>
  </w:style>
  <w:style w:type="character" w:styleId="Hipervnculo">
    <w:name w:val="Hyperlink"/>
    <w:basedOn w:val="Fuentedeprrafopredeter"/>
    <w:uiPriority w:val="99"/>
    <w:unhideWhenUsed/>
    <w:rsid w:val="00810613"/>
    <w:rPr>
      <w:color w:val="0563C1" w:themeColor="hyperlink"/>
      <w:u w:val="single"/>
    </w:rPr>
  </w:style>
  <w:style w:type="character" w:styleId="Mencinsinresolver">
    <w:name w:val="Unresolved Mention"/>
    <w:basedOn w:val="Fuentedeprrafopredeter"/>
    <w:uiPriority w:val="99"/>
    <w:semiHidden/>
    <w:unhideWhenUsed/>
    <w:rsid w:val="00810613"/>
    <w:rPr>
      <w:color w:val="605E5C"/>
      <w:shd w:val="clear" w:color="auto" w:fill="E1DFDD"/>
    </w:rPr>
  </w:style>
  <w:style w:type="character" w:styleId="Hipervnculovisitado">
    <w:name w:val="FollowedHyperlink"/>
    <w:basedOn w:val="Fuentedeprrafopredeter"/>
    <w:uiPriority w:val="99"/>
    <w:semiHidden/>
    <w:unhideWhenUsed/>
    <w:rsid w:val="00810613"/>
    <w:rPr>
      <w:color w:val="954F72" w:themeColor="followedHyperlink"/>
      <w:u w:val="single"/>
    </w:rPr>
  </w:style>
  <w:style w:type="character" w:customStyle="1" w:styleId="PrrafodelistaCar">
    <w:name w:val="Párrafo de lista Car"/>
    <w:aliases w:val="Párrafo de lista1 Car,Bullets Car,titulo 3 Car,Bolita Car,List Paragraph Car,Ha Car,List Paragraph_0 Car,List Paragraph_1 Car,List Paragraph1 Car,lp1 Car,parrafo Car,Párrafo de lista Numerado Car,Segundo nivel de viñetas Car"/>
    <w:basedOn w:val="Fuentedeprrafopredeter"/>
    <w:link w:val="Prrafodelista"/>
    <w:uiPriority w:val="34"/>
    <w:qFormat/>
    <w:locked/>
    <w:rsid w:val="00C34929"/>
    <w:rPr>
      <w:sz w:val="24"/>
      <w:szCs w:val="24"/>
    </w:rPr>
  </w:style>
  <w:style w:type="character" w:customStyle="1" w:styleId="Ttulo2Car">
    <w:name w:val="Título 2 Car"/>
    <w:basedOn w:val="Fuentedeprrafopredeter"/>
    <w:link w:val="Ttulo2"/>
    <w:uiPriority w:val="9"/>
    <w:rsid w:val="008E15BC"/>
    <w:rPr>
      <w:rFonts w:ascii="Times New Roman" w:eastAsiaTheme="majorEastAsia" w:hAnsi="Times New Roman" w:cstheme="majorBidi"/>
      <w:b/>
      <w:sz w:val="24"/>
      <w:szCs w:val="26"/>
    </w:rPr>
  </w:style>
  <w:style w:type="character" w:customStyle="1" w:styleId="Ttulo1Car">
    <w:name w:val="Título 1 Car"/>
    <w:basedOn w:val="Fuentedeprrafopredeter"/>
    <w:link w:val="Ttulo1"/>
    <w:uiPriority w:val="9"/>
    <w:rsid w:val="00C1215B"/>
    <w:rPr>
      <w:rFonts w:asciiTheme="majorHAnsi" w:eastAsiaTheme="majorEastAsia" w:hAnsiTheme="majorHAnsi" w:cstheme="majorBidi"/>
      <w:color w:val="2F5496" w:themeColor="accent1" w:themeShade="BF"/>
      <w:sz w:val="32"/>
      <w:szCs w:val="32"/>
    </w:rPr>
  </w:style>
  <w:style w:type="character" w:styleId="Nmerodepgina">
    <w:name w:val="page number"/>
    <w:basedOn w:val="Fuentedeprrafopredeter"/>
    <w:uiPriority w:val="99"/>
    <w:semiHidden/>
    <w:unhideWhenUsed/>
    <w:rsid w:val="00BC622E"/>
  </w:style>
  <w:style w:type="paragraph" w:styleId="TtuloTDC">
    <w:name w:val="TOC Heading"/>
    <w:basedOn w:val="Ttulo1"/>
    <w:next w:val="Normal"/>
    <w:uiPriority w:val="39"/>
    <w:unhideWhenUsed/>
    <w:qFormat/>
    <w:rsid w:val="00BC622E"/>
    <w:pPr>
      <w:spacing w:before="480" w:line="276" w:lineRule="auto"/>
      <w:outlineLvl w:val="9"/>
    </w:pPr>
    <w:rPr>
      <w:b/>
      <w:bCs/>
      <w:sz w:val="28"/>
      <w:szCs w:val="28"/>
      <w:lang w:eastAsia="es-ES_tradnl"/>
    </w:rPr>
  </w:style>
  <w:style w:type="paragraph" w:styleId="TDC1">
    <w:name w:val="toc 1"/>
    <w:basedOn w:val="Normal"/>
    <w:next w:val="Normal"/>
    <w:autoRedefine/>
    <w:uiPriority w:val="39"/>
    <w:unhideWhenUsed/>
    <w:rsid w:val="00BC622E"/>
    <w:pPr>
      <w:spacing w:before="120" w:after="0"/>
    </w:pPr>
    <w:rPr>
      <w:rFonts w:cstheme="minorHAnsi"/>
      <w:b/>
      <w:bCs/>
      <w:i/>
      <w:iCs/>
      <w:sz w:val="24"/>
      <w:szCs w:val="24"/>
    </w:rPr>
  </w:style>
  <w:style w:type="paragraph" w:styleId="TDC2">
    <w:name w:val="toc 2"/>
    <w:basedOn w:val="Normal"/>
    <w:next w:val="Normal"/>
    <w:autoRedefine/>
    <w:uiPriority w:val="39"/>
    <w:semiHidden/>
    <w:unhideWhenUsed/>
    <w:rsid w:val="00BC622E"/>
    <w:pPr>
      <w:spacing w:before="120" w:after="0"/>
      <w:ind w:left="220"/>
    </w:pPr>
    <w:rPr>
      <w:rFonts w:cstheme="minorHAnsi"/>
      <w:b/>
      <w:bCs/>
    </w:rPr>
  </w:style>
  <w:style w:type="paragraph" w:styleId="TDC3">
    <w:name w:val="toc 3"/>
    <w:basedOn w:val="Normal"/>
    <w:next w:val="Normal"/>
    <w:autoRedefine/>
    <w:uiPriority w:val="39"/>
    <w:semiHidden/>
    <w:unhideWhenUsed/>
    <w:rsid w:val="00BC622E"/>
    <w:pPr>
      <w:spacing w:after="0"/>
      <w:ind w:left="440"/>
    </w:pPr>
    <w:rPr>
      <w:rFonts w:cstheme="minorHAnsi"/>
      <w:sz w:val="20"/>
      <w:szCs w:val="20"/>
    </w:rPr>
  </w:style>
  <w:style w:type="paragraph" w:styleId="TDC4">
    <w:name w:val="toc 4"/>
    <w:basedOn w:val="Normal"/>
    <w:next w:val="Normal"/>
    <w:autoRedefine/>
    <w:uiPriority w:val="39"/>
    <w:semiHidden/>
    <w:unhideWhenUsed/>
    <w:rsid w:val="00BC622E"/>
    <w:pPr>
      <w:spacing w:after="0"/>
      <w:ind w:left="660"/>
    </w:pPr>
    <w:rPr>
      <w:rFonts w:cstheme="minorHAnsi"/>
      <w:sz w:val="20"/>
      <w:szCs w:val="20"/>
    </w:rPr>
  </w:style>
  <w:style w:type="paragraph" w:styleId="TDC5">
    <w:name w:val="toc 5"/>
    <w:basedOn w:val="Normal"/>
    <w:next w:val="Normal"/>
    <w:autoRedefine/>
    <w:uiPriority w:val="39"/>
    <w:semiHidden/>
    <w:unhideWhenUsed/>
    <w:rsid w:val="00BC622E"/>
    <w:pPr>
      <w:spacing w:after="0"/>
      <w:ind w:left="880"/>
    </w:pPr>
    <w:rPr>
      <w:rFonts w:cstheme="minorHAnsi"/>
      <w:sz w:val="20"/>
      <w:szCs w:val="20"/>
    </w:rPr>
  </w:style>
  <w:style w:type="paragraph" w:styleId="TDC6">
    <w:name w:val="toc 6"/>
    <w:basedOn w:val="Normal"/>
    <w:next w:val="Normal"/>
    <w:autoRedefine/>
    <w:uiPriority w:val="39"/>
    <w:semiHidden/>
    <w:unhideWhenUsed/>
    <w:rsid w:val="00BC622E"/>
    <w:pPr>
      <w:spacing w:after="0"/>
      <w:ind w:left="1100"/>
    </w:pPr>
    <w:rPr>
      <w:rFonts w:cstheme="minorHAnsi"/>
      <w:sz w:val="20"/>
      <w:szCs w:val="20"/>
    </w:rPr>
  </w:style>
  <w:style w:type="paragraph" w:styleId="TDC7">
    <w:name w:val="toc 7"/>
    <w:basedOn w:val="Normal"/>
    <w:next w:val="Normal"/>
    <w:autoRedefine/>
    <w:uiPriority w:val="39"/>
    <w:semiHidden/>
    <w:unhideWhenUsed/>
    <w:rsid w:val="00BC622E"/>
    <w:pPr>
      <w:spacing w:after="0"/>
      <w:ind w:left="1320"/>
    </w:pPr>
    <w:rPr>
      <w:rFonts w:cstheme="minorHAnsi"/>
      <w:sz w:val="20"/>
      <w:szCs w:val="20"/>
    </w:rPr>
  </w:style>
  <w:style w:type="paragraph" w:styleId="TDC8">
    <w:name w:val="toc 8"/>
    <w:basedOn w:val="Normal"/>
    <w:next w:val="Normal"/>
    <w:autoRedefine/>
    <w:uiPriority w:val="39"/>
    <w:semiHidden/>
    <w:unhideWhenUsed/>
    <w:rsid w:val="00BC622E"/>
    <w:pPr>
      <w:spacing w:after="0"/>
      <w:ind w:left="1540"/>
    </w:pPr>
    <w:rPr>
      <w:rFonts w:cstheme="minorHAnsi"/>
      <w:sz w:val="20"/>
      <w:szCs w:val="20"/>
    </w:rPr>
  </w:style>
  <w:style w:type="paragraph" w:styleId="TDC9">
    <w:name w:val="toc 9"/>
    <w:basedOn w:val="Normal"/>
    <w:next w:val="Normal"/>
    <w:autoRedefine/>
    <w:uiPriority w:val="39"/>
    <w:semiHidden/>
    <w:unhideWhenUsed/>
    <w:rsid w:val="00BC622E"/>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522158">
      <w:bodyDiv w:val="1"/>
      <w:marLeft w:val="0"/>
      <w:marRight w:val="0"/>
      <w:marTop w:val="0"/>
      <w:marBottom w:val="0"/>
      <w:divBdr>
        <w:top w:val="none" w:sz="0" w:space="0" w:color="auto"/>
        <w:left w:val="none" w:sz="0" w:space="0" w:color="auto"/>
        <w:bottom w:val="none" w:sz="0" w:space="0" w:color="auto"/>
        <w:right w:val="none" w:sz="0" w:space="0" w:color="auto"/>
      </w:divBdr>
      <w:divsChild>
        <w:div w:id="814838549">
          <w:marLeft w:val="-108"/>
          <w:marRight w:val="0"/>
          <w:marTop w:val="0"/>
          <w:marBottom w:val="0"/>
          <w:divBdr>
            <w:top w:val="none" w:sz="0" w:space="0" w:color="auto"/>
            <w:left w:val="none" w:sz="0" w:space="0" w:color="auto"/>
            <w:bottom w:val="none" w:sz="0" w:space="0" w:color="auto"/>
            <w:right w:val="none" w:sz="0" w:space="0" w:color="auto"/>
          </w:divBdr>
        </w:div>
      </w:divsChild>
    </w:div>
    <w:div w:id="257907719">
      <w:bodyDiv w:val="1"/>
      <w:marLeft w:val="0"/>
      <w:marRight w:val="0"/>
      <w:marTop w:val="0"/>
      <w:marBottom w:val="0"/>
      <w:divBdr>
        <w:top w:val="none" w:sz="0" w:space="0" w:color="auto"/>
        <w:left w:val="none" w:sz="0" w:space="0" w:color="auto"/>
        <w:bottom w:val="none" w:sz="0" w:space="0" w:color="auto"/>
        <w:right w:val="none" w:sz="0" w:space="0" w:color="auto"/>
      </w:divBdr>
    </w:div>
    <w:div w:id="689179565">
      <w:bodyDiv w:val="1"/>
      <w:marLeft w:val="0"/>
      <w:marRight w:val="0"/>
      <w:marTop w:val="0"/>
      <w:marBottom w:val="0"/>
      <w:divBdr>
        <w:top w:val="none" w:sz="0" w:space="0" w:color="auto"/>
        <w:left w:val="none" w:sz="0" w:space="0" w:color="auto"/>
        <w:bottom w:val="none" w:sz="0" w:space="0" w:color="auto"/>
        <w:right w:val="none" w:sz="0" w:space="0" w:color="auto"/>
      </w:divBdr>
      <w:divsChild>
        <w:div w:id="1711496737">
          <w:marLeft w:val="-115"/>
          <w:marRight w:val="0"/>
          <w:marTop w:val="0"/>
          <w:marBottom w:val="0"/>
          <w:divBdr>
            <w:top w:val="none" w:sz="0" w:space="0" w:color="auto"/>
            <w:left w:val="none" w:sz="0" w:space="0" w:color="auto"/>
            <w:bottom w:val="none" w:sz="0" w:space="0" w:color="auto"/>
            <w:right w:val="none" w:sz="0" w:space="0" w:color="auto"/>
          </w:divBdr>
        </w:div>
      </w:divsChild>
    </w:div>
    <w:div w:id="826819263">
      <w:bodyDiv w:val="1"/>
      <w:marLeft w:val="0"/>
      <w:marRight w:val="0"/>
      <w:marTop w:val="0"/>
      <w:marBottom w:val="0"/>
      <w:divBdr>
        <w:top w:val="none" w:sz="0" w:space="0" w:color="auto"/>
        <w:left w:val="none" w:sz="0" w:space="0" w:color="auto"/>
        <w:bottom w:val="none" w:sz="0" w:space="0" w:color="auto"/>
        <w:right w:val="none" w:sz="0" w:space="0" w:color="auto"/>
      </w:divBdr>
    </w:div>
    <w:div w:id="2033917880">
      <w:bodyDiv w:val="1"/>
      <w:marLeft w:val="0"/>
      <w:marRight w:val="0"/>
      <w:marTop w:val="0"/>
      <w:marBottom w:val="0"/>
      <w:divBdr>
        <w:top w:val="none" w:sz="0" w:space="0" w:color="auto"/>
        <w:left w:val="none" w:sz="0" w:space="0" w:color="auto"/>
        <w:bottom w:val="none" w:sz="0" w:space="0" w:color="auto"/>
        <w:right w:val="none" w:sz="0" w:space="0" w:color="auto"/>
      </w:divBdr>
      <w:divsChild>
        <w:div w:id="1318650930">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ane.gov.co/files/investigaciones/boletines/ech/ech/anexo_empleo_abr_22.xlsx" TargetMode="Externa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ane.gov.co/index.php/estadisticas-por-tema/salud/calidad-de-vida-ecv" TargetMode="External"/><Relationship Id="rId25" Type="http://schemas.openxmlformats.org/officeDocument/2006/relationships/image" Target="media/image13.png"/><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www.dane.gov.co/files/investigaciones/boletines/ech/ech_poblacion_discapacidad/anexo_GEIH_dicapacidad_feb22_abr22.xlsx" TargetMode="External"/><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ane.gov.co/files/investigaciones/boletines/ech/juventud/anexo_GEIH_juventud_feb22_abr22.xls" TargetMode="External"/><Relationship Id="rId23" Type="http://schemas.openxmlformats.org/officeDocument/2006/relationships/image" Target="media/image11.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dane.gov.co/files/investigaciones/boletines/ech/ech_genero/anexo_GEIH_sexo_feb22_abr22.xlsx"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2.xml"/><Relationship Id="rId35" Type="http://schemas.openxmlformats.org/officeDocument/2006/relationships/customXml" Target="../customXml/item4.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procuraduria.gov.co/portal/media/file/01_Informe_ejecutiv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946A36-34CD-BF44-948D-334D3A01A37C}">
  <ds:schemaRefs>
    <ds:schemaRef ds:uri="http://schemas.openxmlformats.org/officeDocument/2006/bibliography"/>
  </ds:schemaRefs>
</ds:datastoreItem>
</file>

<file path=customXml/itemProps2.xml><?xml version="1.0" encoding="utf-8"?>
<ds:datastoreItem xmlns:ds="http://schemas.openxmlformats.org/officeDocument/2006/customXml" ds:itemID="{5681C068-B6A7-4FA5-BD68-26D275B41C29}"/>
</file>

<file path=customXml/itemProps3.xml><?xml version="1.0" encoding="utf-8"?>
<ds:datastoreItem xmlns:ds="http://schemas.openxmlformats.org/officeDocument/2006/customXml" ds:itemID="{09256CDB-0278-4155-A796-6BC7B7436538}"/>
</file>

<file path=customXml/itemProps4.xml><?xml version="1.0" encoding="utf-8"?>
<ds:datastoreItem xmlns:ds="http://schemas.openxmlformats.org/officeDocument/2006/customXml" ds:itemID="{92E5C35F-2674-409D-94AE-B39AD8CAACF5}"/>
</file>

<file path=docProps/app.xml><?xml version="1.0" encoding="utf-8"?>
<Properties xmlns="http://schemas.openxmlformats.org/officeDocument/2006/extended-properties" xmlns:vt="http://schemas.openxmlformats.org/officeDocument/2006/docPropsVTypes">
  <Template>Normal.dotm</Template>
  <TotalTime>0</TotalTime>
  <Pages>28</Pages>
  <Words>9834</Words>
  <Characters>54087</Characters>
  <Application>Microsoft Office Word</Application>
  <DocSecurity>0</DocSecurity>
  <Lines>450</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Valentina Medina Amaranto</dc:creator>
  <cp:keywords/>
  <dc:description/>
  <cp:lastModifiedBy>Alejandro Botero Valencia</cp:lastModifiedBy>
  <cp:revision>3</cp:revision>
  <cp:lastPrinted>2022-10-28T20:46:00Z</cp:lastPrinted>
  <dcterms:created xsi:type="dcterms:W3CDTF">2022-10-28T20:46:00Z</dcterms:created>
  <dcterms:modified xsi:type="dcterms:W3CDTF">2022-10-28T20:46:00Z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