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2AEC8E" w14:textId="77777777" w:rsidR="00914AE0" w:rsidRPr="00A311D9" w:rsidRDefault="00914AE0" w:rsidP="00914AE0">
      <w:pPr>
        <w:autoSpaceDE w:val="0"/>
        <w:spacing w:line="360" w:lineRule="auto"/>
        <w:ind w:hanging="2"/>
        <w:rPr>
          <w:rFonts w:ascii="Arial" w:eastAsia="Arial" w:hAnsi="Arial" w:cs="Arial"/>
          <w:b/>
          <w:position w:val="-1"/>
          <w:sz w:val="23"/>
          <w:szCs w:val="23"/>
          <w:lang w:val="en-GB"/>
        </w:rPr>
      </w:pPr>
      <w:bookmarkStart w:id="0" w:name="_GoBack"/>
      <w:bookmarkEnd w:id="0"/>
    </w:p>
    <w:p w14:paraId="1BC1D6C2" w14:textId="77777777" w:rsidR="00914AE0" w:rsidRPr="00A311D9" w:rsidRDefault="00914AE0" w:rsidP="00914AE0">
      <w:pPr>
        <w:autoSpaceDE w:val="0"/>
        <w:spacing w:line="360" w:lineRule="auto"/>
        <w:ind w:hanging="2"/>
        <w:rPr>
          <w:rFonts w:ascii="Arial" w:eastAsia="Arial" w:hAnsi="Arial" w:cs="Arial"/>
          <w:b/>
          <w:position w:val="-1"/>
          <w:sz w:val="23"/>
          <w:szCs w:val="23"/>
          <w:lang w:val="en-GB"/>
        </w:rPr>
      </w:pPr>
    </w:p>
    <w:p w14:paraId="76589BC7" w14:textId="77777777"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p>
    <w:p w14:paraId="405D1030" w14:textId="77777777"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p>
    <w:p w14:paraId="4D42D4AF" w14:textId="77777777"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p>
    <w:p w14:paraId="17E60FD9" w14:textId="01D2E5FA"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r w:rsidRPr="00A311D9">
        <w:rPr>
          <w:rFonts w:ascii="Arial" w:eastAsia="Arial" w:hAnsi="Arial" w:cs="Arial"/>
          <w:b/>
          <w:position w:val="-1"/>
          <w:sz w:val="23"/>
          <w:szCs w:val="23"/>
          <w:lang w:val="en-GB"/>
        </w:rPr>
        <w:t>SUPPLEMENTARY REPORT ON IMPLEMENTATION OF</w:t>
      </w:r>
    </w:p>
    <w:p w14:paraId="6FFABC3D" w14:textId="77777777"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r w:rsidRPr="00A311D9">
        <w:rPr>
          <w:rFonts w:ascii="Arial" w:eastAsia="Arial" w:hAnsi="Arial" w:cs="Arial"/>
          <w:b/>
          <w:position w:val="-1"/>
          <w:sz w:val="23"/>
          <w:szCs w:val="23"/>
          <w:lang w:val="en-GB"/>
        </w:rPr>
        <w:t>THE CONVENTION ON THE RIGHTS OF THE CHILD IN THE CZECH REPUBLIC</w:t>
      </w:r>
    </w:p>
    <w:p w14:paraId="01146A26" w14:textId="77777777"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r w:rsidRPr="00A311D9">
        <w:rPr>
          <w:rFonts w:ascii="Arial" w:eastAsia="Arial" w:hAnsi="Arial" w:cs="Arial"/>
          <w:b/>
          <w:position w:val="-1"/>
          <w:sz w:val="23"/>
          <w:szCs w:val="23"/>
          <w:lang w:val="en-GB"/>
        </w:rPr>
        <w:t>in 2020 and 2021 (1st half of the year)</w:t>
      </w:r>
    </w:p>
    <w:p w14:paraId="0738DC32" w14:textId="77777777"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p>
    <w:p w14:paraId="2B6419F9" w14:textId="77777777"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p>
    <w:p w14:paraId="3A452017" w14:textId="77777777"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p>
    <w:p w14:paraId="08ECDE26" w14:textId="77777777"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p>
    <w:p w14:paraId="0213140D" w14:textId="77777777"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p>
    <w:p w14:paraId="30F4EBB3" w14:textId="77777777"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p>
    <w:p w14:paraId="3F02F59E" w14:textId="77777777"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p>
    <w:p w14:paraId="6F9572BB" w14:textId="77777777"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p>
    <w:p w14:paraId="535F62F3" w14:textId="77777777"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p>
    <w:p w14:paraId="0D63D73A" w14:textId="760711A9"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p>
    <w:p w14:paraId="083D888B" w14:textId="77777777"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p>
    <w:p w14:paraId="4A448278" w14:textId="77777777"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p>
    <w:p w14:paraId="414E0A7D" w14:textId="77777777"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p>
    <w:p w14:paraId="69F52F88" w14:textId="6B538B22"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r w:rsidRPr="00A311D9">
        <w:rPr>
          <w:rFonts w:ascii="Arial" w:eastAsia="Arial" w:hAnsi="Arial" w:cs="Arial"/>
          <w:b/>
          <w:position w:val="-1"/>
          <w:sz w:val="23"/>
          <w:szCs w:val="23"/>
          <w:lang w:val="en-GB"/>
        </w:rPr>
        <w:t xml:space="preserve">August </w:t>
      </w:r>
      <w:r w:rsidR="006A00E9" w:rsidRPr="00A311D9">
        <w:rPr>
          <w:rFonts w:ascii="Arial" w:eastAsia="Arial" w:hAnsi="Arial" w:cs="Arial"/>
          <w:b/>
          <w:position w:val="-1"/>
          <w:sz w:val="23"/>
          <w:szCs w:val="23"/>
          <w:lang w:val="en-GB"/>
        </w:rPr>
        <w:t xml:space="preserve">15, </w:t>
      </w:r>
      <w:r w:rsidRPr="00A311D9">
        <w:rPr>
          <w:rFonts w:ascii="Arial" w:eastAsia="Arial" w:hAnsi="Arial" w:cs="Arial"/>
          <w:b/>
          <w:position w:val="-1"/>
          <w:sz w:val="23"/>
          <w:szCs w:val="23"/>
          <w:lang w:val="en-GB"/>
        </w:rPr>
        <w:t>2021</w:t>
      </w:r>
    </w:p>
    <w:p w14:paraId="7E2D513D" w14:textId="67C34414"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r w:rsidRPr="00A311D9">
        <w:rPr>
          <w:rFonts w:ascii="Arial" w:eastAsia="Arial" w:hAnsi="Arial" w:cs="Arial"/>
          <w:b/>
          <w:position w:val="-1"/>
          <w:sz w:val="23"/>
          <w:szCs w:val="23"/>
          <w:lang w:val="en-GB"/>
        </w:rPr>
        <w:t>Alliance for the Rights of the Child</w:t>
      </w:r>
    </w:p>
    <w:p w14:paraId="2B929363" w14:textId="77777777"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p>
    <w:p w14:paraId="312D0B1E" w14:textId="11EAA790" w:rsidR="00914AE0" w:rsidRPr="00A311D9" w:rsidRDefault="00914AE0" w:rsidP="00914AE0">
      <w:pPr>
        <w:autoSpaceDE w:val="0"/>
        <w:spacing w:line="360" w:lineRule="auto"/>
        <w:ind w:hanging="2"/>
        <w:jc w:val="center"/>
        <w:rPr>
          <w:rFonts w:ascii="Arial" w:eastAsia="Arial" w:hAnsi="Arial" w:cs="Arial"/>
          <w:b/>
          <w:position w:val="-1"/>
          <w:sz w:val="23"/>
          <w:szCs w:val="23"/>
          <w:lang w:val="en-GB"/>
        </w:rPr>
      </w:pPr>
    </w:p>
    <w:p w14:paraId="722AFBB4" w14:textId="77777777" w:rsidR="00914AE0" w:rsidRPr="00A311D9" w:rsidRDefault="00914AE0" w:rsidP="00914AE0">
      <w:pPr>
        <w:autoSpaceDE w:val="0"/>
        <w:spacing w:line="360" w:lineRule="auto"/>
        <w:ind w:hanging="2"/>
        <w:rPr>
          <w:rFonts w:ascii="Arial" w:eastAsia="Arial" w:hAnsi="Arial" w:cs="Arial"/>
          <w:b/>
          <w:position w:val="-1"/>
          <w:sz w:val="23"/>
          <w:szCs w:val="23"/>
          <w:lang w:val="en-GB"/>
        </w:rPr>
      </w:pPr>
    </w:p>
    <w:p w14:paraId="281042AF" w14:textId="77777777" w:rsidR="00914AE0" w:rsidRPr="00A311D9" w:rsidRDefault="00914AE0" w:rsidP="00914AE0">
      <w:pPr>
        <w:autoSpaceDE w:val="0"/>
        <w:spacing w:line="360" w:lineRule="auto"/>
        <w:ind w:hanging="2"/>
        <w:rPr>
          <w:rFonts w:ascii="Arial" w:eastAsia="Arial" w:hAnsi="Arial" w:cs="Arial"/>
          <w:b/>
          <w:position w:val="-1"/>
          <w:sz w:val="23"/>
          <w:szCs w:val="23"/>
          <w:lang w:val="en-GB"/>
        </w:rPr>
      </w:pPr>
      <w:r w:rsidRPr="00A311D9">
        <w:rPr>
          <w:rFonts w:ascii="Arial" w:eastAsia="Arial" w:hAnsi="Arial" w:cs="Arial"/>
          <w:b/>
          <w:position w:val="-1"/>
          <w:sz w:val="23"/>
          <w:szCs w:val="23"/>
          <w:lang w:val="en-GB"/>
        </w:rPr>
        <w:lastRenderedPageBreak/>
        <w:t>List of NGOs that contributed to this report:</w:t>
      </w:r>
    </w:p>
    <w:p w14:paraId="7728BDFD" w14:textId="77777777" w:rsidR="00914AE0" w:rsidRPr="00A311D9" w:rsidRDefault="00914AE0" w:rsidP="00914AE0">
      <w:pPr>
        <w:autoSpaceDE w:val="0"/>
        <w:spacing w:line="360" w:lineRule="auto"/>
        <w:ind w:hanging="2"/>
        <w:rPr>
          <w:rFonts w:ascii="Arial" w:eastAsia="Arial" w:hAnsi="Arial" w:cs="Arial"/>
          <w:bCs/>
          <w:position w:val="-1"/>
          <w:sz w:val="22"/>
          <w:szCs w:val="22"/>
          <w:lang w:val="en-GB"/>
        </w:rPr>
      </w:pPr>
      <w:r w:rsidRPr="00A311D9">
        <w:rPr>
          <w:rFonts w:ascii="Arial" w:eastAsia="Arial" w:hAnsi="Arial" w:cs="Arial"/>
          <w:bCs/>
          <w:position w:val="-1"/>
          <w:sz w:val="22"/>
          <w:szCs w:val="22"/>
          <w:lang w:val="en-GB"/>
        </w:rPr>
        <w:t>Czech Helsinki Committee</w:t>
      </w:r>
    </w:p>
    <w:p w14:paraId="5AC84363" w14:textId="77777777" w:rsidR="00430A0F" w:rsidRPr="00A311D9" w:rsidRDefault="00430A0F" w:rsidP="00430A0F">
      <w:pPr>
        <w:autoSpaceDE w:val="0"/>
        <w:spacing w:line="360" w:lineRule="auto"/>
        <w:ind w:hanging="2"/>
        <w:rPr>
          <w:rFonts w:ascii="Arial" w:eastAsia="Arial" w:hAnsi="Arial" w:cs="Arial"/>
          <w:bCs/>
          <w:position w:val="-1"/>
          <w:sz w:val="22"/>
          <w:szCs w:val="22"/>
          <w:lang w:val="en-GB"/>
        </w:rPr>
      </w:pPr>
      <w:r w:rsidRPr="00A311D9">
        <w:rPr>
          <w:rFonts w:ascii="Arial" w:eastAsia="Arial" w:hAnsi="Arial" w:cs="Arial"/>
          <w:bCs/>
          <w:position w:val="-1"/>
          <w:sz w:val="22"/>
          <w:szCs w:val="22"/>
          <w:lang w:val="en-GB"/>
        </w:rPr>
        <w:t>DCI Czechia</w:t>
      </w:r>
    </w:p>
    <w:p w14:paraId="710D9150" w14:textId="0383D95A" w:rsidR="00914AE0" w:rsidRPr="00A311D9" w:rsidRDefault="00914AE0" w:rsidP="00914AE0">
      <w:pPr>
        <w:autoSpaceDE w:val="0"/>
        <w:spacing w:line="360" w:lineRule="auto"/>
        <w:ind w:hanging="2"/>
        <w:rPr>
          <w:rFonts w:ascii="Arial" w:eastAsia="Arial" w:hAnsi="Arial" w:cs="Arial"/>
          <w:bCs/>
          <w:position w:val="-1"/>
          <w:sz w:val="22"/>
          <w:szCs w:val="22"/>
          <w:lang w:val="en-GB"/>
        </w:rPr>
      </w:pPr>
      <w:r w:rsidRPr="00A311D9">
        <w:rPr>
          <w:rFonts w:ascii="Arial" w:eastAsia="Arial" w:hAnsi="Arial" w:cs="Arial"/>
          <w:bCs/>
          <w:position w:val="-1"/>
          <w:sz w:val="22"/>
          <w:szCs w:val="22"/>
          <w:lang w:val="en-GB"/>
        </w:rPr>
        <w:t>Juno Moneta</w:t>
      </w:r>
    </w:p>
    <w:p w14:paraId="469E9E5E" w14:textId="77777777" w:rsidR="006A00E9" w:rsidRPr="00A311D9" w:rsidRDefault="006A00E9" w:rsidP="006A00E9">
      <w:pPr>
        <w:autoSpaceDE w:val="0"/>
        <w:spacing w:line="360" w:lineRule="auto"/>
        <w:ind w:hanging="2"/>
        <w:rPr>
          <w:rFonts w:ascii="Arial" w:eastAsia="Arial" w:hAnsi="Arial" w:cs="Arial"/>
          <w:bCs/>
          <w:position w:val="-1"/>
          <w:sz w:val="22"/>
          <w:szCs w:val="22"/>
          <w:lang w:val="en-GB"/>
        </w:rPr>
      </w:pPr>
      <w:r w:rsidRPr="00A311D9">
        <w:rPr>
          <w:rFonts w:ascii="Arial" w:eastAsia="Arial" w:hAnsi="Arial" w:cs="Arial"/>
          <w:bCs/>
          <w:position w:val="-1"/>
          <w:sz w:val="22"/>
          <w:szCs w:val="22"/>
          <w:lang w:val="en-GB"/>
        </w:rPr>
        <w:t>League of Human Rights</w:t>
      </w:r>
    </w:p>
    <w:p w14:paraId="1C256A37" w14:textId="0D61CB1D" w:rsidR="00914AE0" w:rsidRPr="00A311D9" w:rsidRDefault="00914AE0" w:rsidP="00914AE0">
      <w:pPr>
        <w:autoSpaceDE w:val="0"/>
        <w:spacing w:line="360" w:lineRule="auto"/>
        <w:ind w:hanging="2"/>
        <w:rPr>
          <w:rFonts w:ascii="Arial" w:eastAsia="Arial" w:hAnsi="Arial" w:cs="Arial"/>
          <w:bCs/>
          <w:position w:val="-1"/>
          <w:sz w:val="22"/>
          <w:szCs w:val="22"/>
          <w:lang w:val="en-GB"/>
        </w:rPr>
      </w:pPr>
      <w:r w:rsidRPr="00A311D9">
        <w:rPr>
          <w:rFonts w:ascii="Arial" w:eastAsia="Arial" w:hAnsi="Arial" w:cs="Arial"/>
          <w:bCs/>
          <w:position w:val="-1"/>
          <w:sz w:val="22"/>
          <w:szCs w:val="22"/>
          <w:lang w:val="en-GB"/>
        </w:rPr>
        <w:t>Vteřina poté</w:t>
      </w:r>
      <w:r w:rsidR="00E77FD9" w:rsidRPr="00A311D9">
        <w:rPr>
          <w:rFonts w:ascii="Arial" w:eastAsia="Arial" w:hAnsi="Arial" w:cs="Arial"/>
          <w:bCs/>
          <w:position w:val="-1"/>
          <w:sz w:val="22"/>
          <w:szCs w:val="22"/>
          <w:lang w:val="en-GB"/>
        </w:rPr>
        <w:t xml:space="preserve"> (A Second After)</w:t>
      </w:r>
    </w:p>
    <w:p w14:paraId="6268880F" w14:textId="77777777" w:rsidR="00914AE0" w:rsidRPr="00A311D9" w:rsidRDefault="00914AE0" w:rsidP="00914AE0">
      <w:pPr>
        <w:autoSpaceDE w:val="0"/>
        <w:spacing w:line="360" w:lineRule="auto"/>
        <w:ind w:hanging="2"/>
        <w:rPr>
          <w:rFonts w:ascii="Arial" w:eastAsia="Arial" w:hAnsi="Arial" w:cs="Arial"/>
          <w:b/>
          <w:position w:val="-1"/>
          <w:sz w:val="23"/>
          <w:szCs w:val="23"/>
          <w:lang w:val="en-GB"/>
        </w:rPr>
      </w:pPr>
    </w:p>
    <w:p w14:paraId="5F389D9C" w14:textId="72E67973" w:rsidR="00914AE0" w:rsidRPr="00A311D9" w:rsidRDefault="00914AE0" w:rsidP="00914AE0">
      <w:pPr>
        <w:autoSpaceDE w:val="0"/>
        <w:spacing w:line="360" w:lineRule="auto"/>
        <w:ind w:hanging="2"/>
        <w:rPr>
          <w:rFonts w:ascii="Arial" w:eastAsia="Arial" w:hAnsi="Arial" w:cs="Arial"/>
          <w:b/>
          <w:position w:val="-1"/>
          <w:sz w:val="22"/>
          <w:szCs w:val="22"/>
          <w:lang w:val="en-GB"/>
        </w:rPr>
      </w:pPr>
      <w:r w:rsidRPr="00A311D9">
        <w:rPr>
          <w:rFonts w:ascii="Arial" w:eastAsia="Arial" w:hAnsi="Arial" w:cs="Arial"/>
          <w:b/>
          <w:position w:val="-1"/>
          <w:sz w:val="22"/>
          <w:szCs w:val="22"/>
          <w:lang w:val="en-GB"/>
        </w:rPr>
        <w:t xml:space="preserve">Organisations cooperating in the Alliance for </w:t>
      </w:r>
      <w:r w:rsidR="00430A0F" w:rsidRPr="00A311D9">
        <w:rPr>
          <w:rFonts w:ascii="Arial" w:eastAsia="Arial" w:hAnsi="Arial" w:cs="Arial"/>
          <w:b/>
          <w:position w:val="-1"/>
          <w:sz w:val="22"/>
          <w:szCs w:val="22"/>
          <w:lang w:val="en-GB"/>
        </w:rPr>
        <w:t>the</w:t>
      </w:r>
      <w:r w:rsidRPr="00A311D9">
        <w:rPr>
          <w:rFonts w:ascii="Arial" w:eastAsia="Arial" w:hAnsi="Arial" w:cs="Arial"/>
          <w:b/>
          <w:position w:val="-1"/>
          <w:sz w:val="22"/>
          <w:szCs w:val="22"/>
          <w:lang w:val="en-GB"/>
        </w:rPr>
        <w:t xml:space="preserve"> Rights</w:t>
      </w:r>
      <w:r w:rsidR="00430A0F" w:rsidRPr="00A311D9">
        <w:rPr>
          <w:rFonts w:ascii="Arial" w:eastAsia="Arial" w:hAnsi="Arial" w:cs="Arial"/>
          <w:b/>
          <w:position w:val="-1"/>
          <w:sz w:val="22"/>
          <w:szCs w:val="22"/>
          <w:lang w:val="en-GB"/>
        </w:rPr>
        <w:t xml:space="preserve"> of the Child</w:t>
      </w:r>
      <w:r w:rsidRPr="00A311D9">
        <w:rPr>
          <w:rFonts w:ascii="Arial" w:eastAsia="Arial" w:hAnsi="Arial" w:cs="Arial"/>
          <w:b/>
          <w:position w:val="-1"/>
          <w:sz w:val="22"/>
          <w:szCs w:val="22"/>
          <w:lang w:val="en-GB"/>
        </w:rPr>
        <w:t>:</w:t>
      </w:r>
    </w:p>
    <w:p w14:paraId="0CD40CA6" w14:textId="56BB5E10" w:rsidR="00914AE0" w:rsidRPr="00A311D9" w:rsidRDefault="00914AE0" w:rsidP="00914AE0">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 xml:space="preserve">Association </w:t>
      </w:r>
      <w:r w:rsidR="00A311D9">
        <w:rPr>
          <w:rFonts w:ascii="Arial" w:eastAsia="Arial" w:hAnsi="Arial" w:cs="Arial"/>
          <w:bCs/>
          <w:position w:val="-1"/>
          <w:sz w:val="21"/>
          <w:szCs w:val="21"/>
          <w:lang w:val="en-GB"/>
        </w:rPr>
        <w:t>”</w:t>
      </w:r>
      <w:r w:rsidRPr="00A311D9">
        <w:rPr>
          <w:rFonts w:ascii="Arial" w:eastAsia="Arial" w:hAnsi="Arial" w:cs="Arial"/>
          <w:bCs/>
          <w:position w:val="-1"/>
          <w:sz w:val="21"/>
          <w:szCs w:val="21"/>
          <w:lang w:val="en-GB"/>
        </w:rPr>
        <w:t>Child and Family</w:t>
      </w:r>
      <w:r w:rsidR="006A00E9" w:rsidRPr="00A311D9">
        <w:rPr>
          <w:rFonts w:ascii="Arial" w:eastAsia="Arial" w:hAnsi="Arial" w:cs="Arial"/>
          <w:bCs/>
          <w:position w:val="-1"/>
          <w:sz w:val="21"/>
          <w:szCs w:val="21"/>
          <w:lang w:val="en-GB"/>
        </w:rPr>
        <w:t>“</w:t>
      </w:r>
    </w:p>
    <w:p w14:paraId="3DF5FEB1" w14:textId="77777777" w:rsidR="00914AE0" w:rsidRPr="00A311D9" w:rsidRDefault="00914AE0" w:rsidP="00914AE0">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Association for Youth, Science and Technology</w:t>
      </w:r>
    </w:p>
    <w:p w14:paraId="6AFCCB0B" w14:textId="77777777" w:rsidR="006A00E9" w:rsidRPr="00A311D9" w:rsidRDefault="006A00E9" w:rsidP="006A00E9">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 xml:space="preserve">Association of Parents and Friends of Children </w:t>
      </w:r>
    </w:p>
    <w:p w14:paraId="7F065815" w14:textId="77777777" w:rsidR="006A00E9" w:rsidRPr="00A311D9" w:rsidRDefault="006A00E9" w:rsidP="006A00E9">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 xml:space="preserve">Association of SOS Children's Villages </w:t>
      </w:r>
    </w:p>
    <w:p w14:paraId="2138A398" w14:textId="77777777" w:rsidR="00914AE0" w:rsidRPr="00A311D9" w:rsidRDefault="00914AE0" w:rsidP="00914AE0">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 xml:space="preserve">Centre for the Integration of Children </w:t>
      </w:r>
    </w:p>
    <w:p w14:paraId="77461644" w14:textId="77777777" w:rsidR="006A00E9" w:rsidRPr="00A311D9" w:rsidRDefault="006A00E9" w:rsidP="006A00E9">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Change It!</w:t>
      </w:r>
    </w:p>
    <w:p w14:paraId="46DBCEB3" w14:textId="77777777" w:rsidR="006A00E9" w:rsidRPr="00A311D9" w:rsidRDefault="006A00E9" w:rsidP="006A00E9">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Crisis Centre for Children</w:t>
      </w:r>
    </w:p>
    <w:p w14:paraId="417982DB" w14:textId="77777777" w:rsidR="00914AE0" w:rsidRPr="00A311D9" w:rsidRDefault="00914AE0" w:rsidP="00914AE0">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Czech Committee for Early Childhood Education OMEP</w:t>
      </w:r>
    </w:p>
    <w:p w14:paraId="0B2235CC" w14:textId="77777777" w:rsidR="006A00E9" w:rsidRPr="00A311D9" w:rsidRDefault="006A00E9" w:rsidP="006A00E9">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Czech Helsinki Committee</w:t>
      </w:r>
    </w:p>
    <w:p w14:paraId="2F354F82" w14:textId="77777777" w:rsidR="00430A0F" w:rsidRPr="00A311D9" w:rsidRDefault="00430A0F" w:rsidP="00430A0F">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 xml:space="preserve">European Association of Leisure Facilities for Children and Youth (EAICY) </w:t>
      </w:r>
    </w:p>
    <w:p w14:paraId="2DEA3B81" w14:textId="70D557D9" w:rsidR="001D0908" w:rsidRPr="00A311D9" w:rsidRDefault="001D0908" w:rsidP="001D0908">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 xml:space="preserve">Foundation </w:t>
      </w:r>
      <w:r w:rsidR="00A311D9">
        <w:rPr>
          <w:rFonts w:ascii="Arial" w:eastAsia="Arial" w:hAnsi="Arial" w:cs="Arial"/>
          <w:bCs/>
          <w:position w:val="-1"/>
          <w:sz w:val="21"/>
          <w:szCs w:val="21"/>
          <w:lang w:val="en-GB"/>
        </w:rPr>
        <w:t>“</w:t>
      </w:r>
      <w:r w:rsidRPr="00A311D9">
        <w:rPr>
          <w:rFonts w:ascii="Arial" w:eastAsia="Arial" w:hAnsi="Arial" w:cs="Arial"/>
          <w:bCs/>
          <w:position w:val="-1"/>
          <w:sz w:val="21"/>
          <w:szCs w:val="21"/>
          <w:lang w:val="en-GB"/>
        </w:rPr>
        <w:t>Our Child</w:t>
      </w:r>
      <w:r w:rsidR="00A311D9">
        <w:rPr>
          <w:rFonts w:ascii="Arial" w:eastAsia="Arial" w:hAnsi="Arial" w:cs="Arial"/>
          <w:bCs/>
          <w:position w:val="-1"/>
          <w:sz w:val="21"/>
          <w:szCs w:val="21"/>
          <w:lang w:val="en-GB"/>
        </w:rPr>
        <w:t>”</w:t>
      </w:r>
      <w:r w:rsidRPr="00A311D9">
        <w:rPr>
          <w:rFonts w:ascii="Arial" w:eastAsia="Arial" w:hAnsi="Arial" w:cs="Arial"/>
          <w:bCs/>
          <w:position w:val="-1"/>
          <w:sz w:val="21"/>
          <w:szCs w:val="21"/>
          <w:lang w:val="en-GB"/>
        </w:rPr>
        <w:t xml:space="preserve"> </w:t>
      </w:r>
    </w:p>
    <w:p w14:paraId="174163F2" w14:textId="77777777" w:rsidR="006A00E9" w:rsidRPr="00A311D9" w:rsidRDefault="006A00E9" w:rsidP="006A00E9">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 xml:space="preserve">Fund for Children at Risk </w:t>
      </w:r>
    </w:p>
    <w:p w14:paraId="3199D0AF" w14:textId="43981399" w:rsidR="006A00E9" w:rsidRPr="00A311D9" w:rsidRDefault="006A00E9" w:rsidP="006A00E9">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International Institute for Family and Chil</w:t>
      </w:r>
      <w:r w:rsidR="00A311D9">
        <w:rPr>
          <w:rFonts w:ascii="Arial" w:eastAsia="Arial" w:hAnsi="Arial" w:cs="Arial"/>
          <w:bCs/>
          <w:position w:val="-1"/>
          <w:sz w:val="21"/>
          <w:szCs w:val="21"/>
          <w:lang w:val="en-GB"/>
        </w:rPr>
        <w:t>d</w:t>
      </w:r>
    </w:p>
    <w:p w14:paraId="5B0C5CDD" w14:textId="29542265" w:rsidR="00914AE0" w:rsidRPr="00A311D9" w:rsidRDefault="00914AE0" w:rsidP="00914AE0">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JUNO Moneta</w:t>
      </w:r>
    </w:p>
    <w:p w14:paraId="14DD68E3" w14:textId="77777777" w:rsidR="001D0908" w:rsidRPr="00A311D9" w:rsidRDefault="001D0908" w:rsidP="001D0908">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Justice for Children</w:t>
      </w:r>
    </w:p>
    <w:p w14:paraId="04536C25" w14:textId="77777777" w:rsidR="00914AE0" w:rsidRPr="00A311D9" w:rsidRDefault="00914AE0" w:rsidP="00914AE0">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League of Human Rights</w:t>
      </w:r>
    </w:p>
    <w:p w14:paraId="794CB5EB" w14:textId="5D12D1C9" w:rsidR="00914AE0" w:rsidRPr="00A311D9" w:rsidRDefault="00914AE0" w:rsidP="00914AE0">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 xml:space="preserve">Safety </w:t>
      </w:r>
      <w:r w:rsidR="006A00E9" w:rsidRPr="00A311D9">
        <w:rPr>
          <w:rFonts w:ascii="Arial" w:eastAsia="Arial" w:hAnsi="Arial" w:cs="Arial"/>
          <w:bCs/>
          <w:position w:val="-1"/>
          <w:sz w:val="21"/>
          <w:szCs w:val="21"/>
          <w:lang w:val="en-GB"/>
        </w:rPr>
        <w:t>Phone-</w:t>
      </w:r>
      <w:r w:rsidRPr="00A311D9">
        <w:rPr>
          <w:rFonts w:ascii="Arial" w:eastAsia="Arial" w:hAnsi="Arial" w:cs="Arial"/>
          <w:bCs/>
          <w:position w:val="-1"/>
          <w:sz w:val="21"/>
          <w:szCs w:val="21"/>
          <w:lang w:val="en-GB"/>
        </w:rPr>
        <w:t xml:space="preserve">Lines Association </w:t>
      </w:r>
    </w:p>
    <w:p w14:paraId="5987B702" w14:textId="2A9FA797" w:rsidR="001D0908" w:rsidRPr="00A311D9" w:rsidRDefault="001D0908" w:rsidP="00914AE0">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A Second After</w:t>
      </w:r>
    </w:p>
    <w:p w14:paraId="5CC75E95" w14:textId="0D0D7D2C" w:rsidR="00914AE0" w:rsidRPr="00A311D9" w:rsidRDefault="00914AE0" w:rsidP="00914AE0">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 xml:space="preserve">Union of Catholic Women </w:t>
      </w:r>
    </w:p>
    <w:p w14:paraId="5DC95DE8" w14:textId="33B2466B" w:rsidR="00914AE0" w:rsidRPr="00A311D9" w:rsidRDefault="00914AE0" w:rsidP="001D0908">
      <w:pPr>
        <w:autoSpaceDE w:val="0"/>
        <w:spacing w:line="360" w:lineRule="auto"/>
        <w:ind w:hanging="2"/>
        <w:rPr>
          <w:rFonts w:ascii="Arial" w:eastAsia="Arial" w:hAnsi="Arial" w:cs="Arial"/>
          <w:bCs/>
          <w:position w:val="-1"/>
          <w:sz w:val="21"/>
          <w:szCs w:val="21"/>
          <w:lang w:val="en-GB"/>
        </w:rPr>
      </w:pPr>
      <w:r w:rsidRPr="00A311D9">
        <w:rPr>
          <w:rFonts w:ascii="Arial" w:eastAsia="Arial" w:hAnsi="Arial" w:cs="Arial"/>
          <w:bCs/>
          <w:position w:val="-1"/>
          <w:sz w:val="21"/>
          <w:szCs w:val="21"/>
          <w:lang w:val="en-GB"/>
        </w:rPr>
        <w:t>Union of Fathers - Fathers for Children's Rights</w:t>
      </w:r>
    </w:p>
    <w:p w14:paraId="111CDBDB" w14:textId="77777777" w:rsidR="00460493" w:rsidRPr="00A311D9" w:rsidRDefault="00460493" w:rsidP="00460493">
      <w:pPr>
        <w:autoSpaceDE w:val="0"/>
        <w:spacing w:line="360" w:lineRule="auto"/>
        <w:ind w:hanging="2"/>
        <w:rPr>
          <w:rFonts w:ascii="Arial" w:eastAsia="Arial" w:hAnsi="Arial" w:cs="Arial"/>
          <w:b/>
          <w:position w:val="-1"/>
          <w:lang w:val="en-GB"/>
        </w:rPr>
      </w:pPr>
      <w:r w:rsidRPr="00A311D9">
        <w:rPr>
          <w:rFonts w:ascii="Arial" w:eastAsia="Arial" w:hAnsi="Arial" w:cs="Arial"/>
          <w:b/>
          <w:position w:val="-1"/>
          <w:lang w:val="en-GB"/>
        </w:rPr>
        <w:t>INTRODUCTION</w:t>
      </w:r>
    </w:p>
    <w:p w14:paraId="1B2B1AA1" w14:textId="77777777" w:rsidR="00460493" w:rsidRPr="00A311D9" w:rsidRDefault="00460493" w:rsidP="00460493">
      <w:pPr>
        <w:autoSpaceDE w:val="0"/>
        <w:spacing w:line="360" w:lineRule="auto"/>
        <w:ind w:hanging="2"/>
        <w:rPr>
          <w:rFonts w:ascii="Arial" w:eastAsia="Arial" w:hAnsi="Arial" w:cs="Arial"/>
          <w:b/>
          <w:position w:val="-1"/>
          <w:lang w:val="en-GB"/>
        </w:rPr>
      </w:pPr>
    </w:p>
    <w:p w14:paraId="5FA9638F" w14:textId="77777777" w:rsidR="00460493" w:rsidRPr="00A311D9" w:rsidRDefault="00460493" w:rsidP="00460493">
      <w:pPr>
        <w:autoSpaceDE w:val="0"/>
        <w:spacing w:line="360" w:lineRule="auto"/>
        <w:ind w:hanging="2"/>
        <w:rPr>
          <w:rFonts w:ascii="Arial" w:eastAsia="Arial" w:hAnsi="Arial" w:cs="Arial"/>
          <w:b/>
          <w:position w:val="-1"/>
          <w:lang w:val="en-GB"/>
        </w:rPr>
      </w:pPr>
      <w:r w:rsidRPr="00A311D9">
        <w:rPr>
          <w:rFonts w:ascii="Arial" w:eastAsia="Arial" w:hAnsi="Arial" w:cs="Arial"/>
          <w:b/>
          <w:position w:val="-1"/>
          <w:lang w:val="en-GB"/>
        </w:rPr>
        <w:t xml:space="preserve">In accordance with Article 45(a) of the Convention on the Rights of the Child, we submit to the UN Committee on the Rights of the Child the Supplementary Report of Non-State Organisations to the Fifth and Sixth Periodic Report of the Czech Republic on the Implementation of the Convention on the Rights of the Child for 2020 and the first half of 2021. </w:t>
      </w:r>
    </w:p>
    <w:p w14:paraId="005D5353" w14:textId="77777777" w:rsidR="00460493" w:rsidRPr="00A311D9" w:rsidRDefault="00460493" w:rsidP="00460493">
      <w:pPr>
        <w:autoSpaceDE w:val="0"/>
        <w:spacing w:line="360" w:lineRule="auto"/>
        <w:ind w:hanging="2"/>
        <w:rPr>
          <w:rFonts w:ascii="Arial" w:eastAsia="Arial" w:hAnsi="Arial" w:cs="Arial"/>
          <w:b/>
          <w:position w:val="-1"/>
          <w:lang w:val="en-GB"/>
        </w:rPr>
      </w:pPr>
      <w:r w:rsidRPr="00A311D9">
        <w:rPr>
          <w:rFonts w:ascii="Arial" w:eastAsia="Arial" w:hAnsi="Arial" w:cs="Arial"/>
          <w:b/>
          <w:position w:val="-1"/>
          <w:lang w:val="en-GB"/>
        </w:rPr>
        <w:t xml:space="preserve">The present report supplements or clarifies some of the information in the Alternative Report on the implementation of the Convention in the Czech Republic, sent by the Alliance for Children's Rights to the Committee on the Rights of the Child in July 2019, in cases where there have been changes in the implementation of children's rights in the Czech Republic in the period from October 2019 to August 2021. </w:t>
      </w:r>
    </w:p>
    <w:p w14:paraId="1752399F" w14:textId="77777777" w:rsidR="00460493" w:rsidRPr="00A311D9" w:rsidRDefault="00460493" w:rsidP="00460493">
      <w:pPr>
        <w:autoSpaceDE w:val="0"/>
        <w:spacing w:line="360" w:lineRule="auto"/>
        <w:ind w:hanging="2"/>
        <w:rPr>
          <w:rFonts w:ascii="Arial" w:eastAsia="Arial" w:hAnsi="Arial" w:cs="Arial"/>
          <w:b/>
          <w:position w:val="-1"/>
          <w:lang w:val="en-GB"/>
        </w:rPr>
      </w:pPr>
      <w:r w:rsidRPr="00A311D9">
        <w:rPr>
          <w:rFonts w:ascii="Arial" w:eastAsia="Arial" w:hAnsi="Arial" w:cs="Arial"/>
          <w:b/>
          <w:position w:val="-1"/>
          <w:lang w:val="en-GB"/>
        </w:rPr>
        <w:t>For the sake of clarity, the paragraphs of the Fifth and Sixth Periodic Reports referred to in the alternative report are marked with the letter "G", while the paragraphs of the Concluding Observations of the Committee on the Rights of the Child of 2011, 2003 and 1997, respectively, are marked with the letter "C".</w:t>
      </w:r>
    </w:p>
    <w:p w14:paraId="5AD61859" w14:textId="71392B78" w:rsidR="008A0843" w:rsidRPr="00A311D9" w:rsidRDefault="00460493" w:rsidP="00460493">
      <w:pPr>
        <w:autoSpaceDE w:val="0"/>
        <w:spacing w:line="360" w:lineRule="auto"/>
        <w:ind w:hanging="2"/>
        <w:rPr>
          <w:rFonts w:ascii="Arial" w:eastAsia="Arial" w:hAnsi="Arial" w:cs="Arial"/>
          <w:b/>
          <w:position w:val="-1"/>
          <w:lang w:val="en-GB"/>
        </w:rPr>
      </w:pPr>
      <w:r w:rsidRPr="00A311D9">
        <w:rPr>
          <w:rFonts w:ascii="Arial" w:eastAsia="Arial" w:hAnsi="Arial" w:cs="Arial"/>
          <w:b/>
          <w:position w:val="-1"/>
          <w:lang w:val="en-GB"/>
        </w:rPr>
        <w:t>We regret to note that of the Committee's 2011 recommendations to the State party, none have been fully implemented, while partial or at least attempted implementation has been noted for ten recommendations. The reason for this, as in some other countries in the Eastern Europe region, is the persistent mood of a large part of society. It does not recognise children's rights and either regards children as the property of their parents, in which the state has no right to interfere, or calls for 'children's duties' to be codified and enforced.</w:t>
      </w:r>
    </w:p>
    <w:p w14:paraId="394589F0" w14:textId="77777777" w:rsidR="00460493" w:rsidRPr="00A311D9" w:rsidRDefault="00460493" w:rsidP="00460493">
      <w:pPr>
        <w:autoSpaceDE w:val="0"/>
        <w:spacing w:line="360" w:lineRule="auto"/>
        <w:ind w:hanging="2"/>
        <w:rPr>
          <w:rFonts w:ascii="Arial" w:eastAsia="Arial" w:hAnsi="Arial" w:cs="Arial"/>
          <w:position w:val="-1"/>
          <w:lang w:val="en-GB"/>
        </w:rPr>
      </w:pPr>
    </w:p>
    <w:p w14:paraId="136B6EA6" w14:textId="77777777" w:rsidR="009B532E" w:rsidRPr="00A311D9" w:rsidRDefault="009B532E" w:rsidP="009B532E">
      <w:pPr>
        <w:pStyle w:val="ListParagraph"/>
        <w:numPr>
          <w:ilvl w:val="0"/>
          <w:numId w:val="3"/>
        </w:numPr>
        <w:autoSpaceDE w:val="0"/>
        <w:autoSpaceDN w:val="0"/>
        <w:spacing w:after="240"/>
        <w:jc w:val="both"/>
        <w:rPr>
          <w:rFonts w:cs="Arial"/>
          <w:b/>
          <w:color w:val="000000"/>
          <w:u w:val="single"/>
          <w:lang w:val="en-GB"/>
        </w:rPr>
      </w:pPr>
      <w:r w:rsidRPr="00A311D9">
        <w:rPr>
          <w:rFonts w:cs="Arial"/>
          <w:b/>
          <w:color w:val="000000"/>
          <w:u w:val="single"/>
          <w:lang w:val="en-GB"/>
        </w:rPr>
        <w:t xml:space="preserve">General Measures of Implementation (Articles 4, 42, 44.6) </w:t>
      </w:r>
    </w:p>
    <w:p w14:paraId="1B80831D" w14:textId="77777777" w:rsidR="009B532E" w:rsidRPr="00A311D9" w:rsidRDefault="009B532E" w:rsidP="009B532E">
      <w:pPr>
        <w:autoSpaceDE w:val="0"/>
        <w:autoSpaceDN w:val="0"/>
        <w:spacing w:after="240" w:line="360" w:lineRule="auto"/>
        <w:rPr>
          <w:rFonts w:cs="Arial"/>
          <w:color w:val="000000"/>
          <w:lang w:val="en-GB"/>
        </w:rPr>
      </w:pPr>
      <w:r w:rsidRPr="00A311D9">
        <w:rPr>
          <w:rFonts w:cs="Arial"/>
          <w:b/>
          <w:color w:val="000000"/>
          <w:lang w:val="en-GB"/>
        </w:rPr>
        <w:t>Previous recommendations of the Committee</w:t>
      </w:r>
    </w:p>
    <w:p w14:paraId="2C32BAD7" w14:textId="6AF6AFA2" w:rsidR="009B532E" w:rsidRPr="00A311D9" w:rsidRDefault="009B532E" w:rsidP="009B532E">
      <w:pPr>
        <w:pBdr>
          <w:top w:val="single" w:sz="4" w:space="1" w:color="000000"/>
          <w:left w:val="single" w:sz="4" w:space="4" w:color="000000"/>
          <w:bottom w:val="single" w:sz="4" w:space="1" w:color="000000"/>
          <w:right w:val="single" w:sz="4" w:space="4" w:color="000000"/>
        </w:pBdr>
        <w:spacing w:line="360" w:lineRule="auto"/>
        <w:rPr>
          <w:rFonts w:cs="Arial"/>
          <w:b/>
          <w:color w:val="000000"/>
          <w:lang w:val="en-GB"/>
        </w:rPr>
      </w:pPr>
      <w:r w:rsidRPr="00A311D9">
        <w:rPr>
          <w:rFonts w:cs="Arial"/>
          <w:b/>
          <w:color w:val="000000"/>
          <w:lang w:val="en-GB"/>
        </w:rPr>
        <w:t>C 7.</w:t>
      </w:r>
      <w:r w:rsidRPr="00A311D9">
        <w:rPr>
          <w:rFonts w:cs="Arial"/>
          <w:color w:val="000000"/>
          <w:lang w:val="en-GB"/>
        </w:rPr>
        <w:t xml:space="preserve"> </w:t>
      </w:r>
      <w:r w:rsidRPr="00A311D9">
        <w:rPr>
          <w:rFonts w:cs="Arial"/>
          <w:b/>
          <w:color w:val="000000"/>
          <w:lang w:val="en-GB"/>
        </w:rPr>
        <w:t>The Committee urges the State party to take all necessary measures to address those recom</w:t>
      </w:r>
      <w:r w:rsidR="007952A7" w:rsidRPr="00A311D9">
        <w:rPr>
          <w:rFonts w:cs="Arial"/>
          <w:b/>
          <w:color w:val="000000"/>
          <w:lang w:val="en-GB"/>
        </w:rPr>
        <w:t>-</w:t>
      </w:r>
      <w:r w:rsidRPr="00A311D9">
        <w:rPr>
          <w:rFonts w:cs="Arial"/>
          <w:b/>
          <w:color w:val="000000"/>
          <w:lang w:val="en-GB"/>
        </w:rPr>
        <w:t>mendations from the concluding observations on the second report that have not yet been implemented or sufficiently implemented, particularly those related to: the development of a national plan of action; the establishment of an independent body to oversee the implementation of the Convention; data collection and the full integration of the right to non-discrimination.</w:t>
      </w:r>
    </w:p>
    <w:p w14:paraId="0E16CE54" w14:textId="77777777" w:rsidR="00E23BAC" w:rsidRPr="00A311D9" w:rsidRDefault="00E23BAC" w:rsidP="009B532E">
      <w:pPr>
        <w:pBdr>
          <w:top w:val="single" w:sz="4" w:space="1" w:color="000000"/>
          <w:left w:val="single" w:sz="4" w:space="4" w:color="000000"/>
          <w:bottom w:val="single" w:sz="4" w:space="1" w:color="000000"/>
          <w:right w:val="single" w:sz="4" w:space="4" w:color="000000"/>
        </w:pBdr>
        <w:spacing w:line="360" w:lineRule="auto"/>
        <w:rPr>
          <w:rFonts w:cs="Arial"/>
          <w:lang w:val="en-GB"/>
        </w:rPr>
      </w:pPr>
    </w:p>
    <w:p w14:paraId="5CA99697" w14:textId="29590EFC" w:rsidR="008A0843" w:rsidRPr="00A311D9" w:rsidRDefault="00E23BAC" w:rsidP="009B532E">
      <w:pPr>
        <w:autoSpaceDE w:val="0"/>
        <w:spacing w:line="360" w:lineRule="auto"/>
        <w:ind w:hanging="2"/>
        <w:rPr>
          <w:rFonts w:ascii="Arial" w:eastAsia="Arial" w:hAnsi="Arial" w:cs="Arial"/>
          <w:iCs/>
          <w:position w:val="-1"/>
          <w:lang w:val="en-GB"/>
        </w:rPr>
      </w:pPr>
      <w:r w:rsidRPr="00A311D9">
        <w:rPr>
          <w:rFonts w:ascii="Arial" w:eastAsia="Arial" w:hAnsi="Arial" w:cs="Arial"/>
          <w:iCs/>
          <w:position w:val="-1"/>
          <w:lang w:val="en-GB"/>
        </w:rPr>
        <w:t xml:space="preserve">The majority </w:t>
      </w:r>
      <w:r w:rsidR="009F3664" w:rsidRPr="00A311D9">
        <w:rPr>
          <w:rFonts w:ascii="Arial" w:eastAsia="Arial" w:hAnsi="Arial" w:cs="Arial"/>
          <w:iCs/>
          <w:position w:val="-1"/>
          <w:lang w:val="en-GB"/>
        </w:rPr>
        <w:t>of these recommendations have not been implemented by the State party over the past 10 years. On 1 June 2020, the Prime Minister promised in public to establish the institution of the Ombudsman for children and submitted the relevant bill to the Parliament. However, the Bill fell victim to a political struggle between the ruling coalition and the opposition ahead of the 2021 general election.</w:t>
      </w:r>
    </w:p>
    <w:p w14:paraId="6481BF64" w14:textId="77777777" w:rsidR="009F3664" w:rsidRPr="00A311D9" w:rsidRDefault="009F3664">
      <w:pPr>
        <w:autoSpaceDE w:val="0"/>
        <w:spacing w:line="360" w:lineRule="auto"/>
        <w:ind w:hanging="2"/>
        <w:rPr>
          <w:rFonts w:ascii="Arial" w:eastAsia="Arial" w:hAnsi="Arial" w:cs="Arial"/>
          <w:b/>
          <w:position w:val="-1"/>
          <w:lang w:val="en-GB"/>
        </w:rPr>
      </w:pPr>
    </w:p>
    <w:p w14:paraId="609842C2" w14:textId="77777777" w:rsidR="009F3664" w:rsidRPr="00A311D9" w:rsidRDefault="009F3664" w:rsidP="009F3664">
      <w:pPr>
        <w:autoSpaceDE w:val="0"/>
        <w:autoSpaceDN w:val="0"/>
        <w:spacing w:after="240" w:line="360" w:lineRule="auto"/>
        <w:rPr>
          <w:rFonts w:cs="Arial"/>
          <w:b/>
          <w:color w:val="000000"/>
          <w:lang w:val="en-GB"/>
        </w:rPr>
      </w:pPr>
      <w:r w:rsidRPr="00A311D9">
        <w:rPr>
          <w:rFonts w:cs="Arial"/>
          <w:b/>
          <w:color w:val="000000"/>
          <w:lang w:val="en-GB"/>
        </w:rPr>
        <w:t>Changes to laws and practices to ensure compliance with the Convention and Optional Protocols</w:t>
      </w:r>
    </w:p>
    <w:p w14:paraId="4C45E7BD" w14:textId="150839B6" w:rsidR="009F3664" w:rsidRPr="00A311D9" w:rsidRDefault="009F3664" w:rsidP="009F3664">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 xml:space="preserve">C 11. The Committee recommends that the State party undertake a comprehensive review of all its legislation and take all necessary measures to ensure the full applicability of the Convention in its domestic legal system. </w:t>
      </w:r>
    </w:p>
    <w:p w14:paraId="07973993" w14:textId="77777777" w:rsidR="00E23BAC" w:rsidRPr="00A311D9" w:rsidRDefault="00E23BAC" w:rsidP="00E23BAC">
      <w:pPr>
        <w:autoSpaceDE w:val="0"/>
        <w:autoSpaceDN w:val="0"/>
        <w:spacing w:after="240" w:line="360" w:lineRule="auto"/>
        <w:rPr>
          <w:rFonts w:cs="Arial"/>
          <w:b/>
          <w:color w:val="000000"/>
          <w:lang w:val="en-GB"/>
        </w:rPr>
      </w:pPr>
    </w:p>
    <w:p w14:paraId="34F03C5E" w14:textId="6AF657E7" w:rsidR="00E23BAC" w:rsidRPr="00A311D9" w:rsidRDefault="00E23BAC" w:rsidP="00E23BAC">
      <w:pPr>
        <w:autoSpaceDE w:val="0"/>
        <w:autoSpaceDN w:val="0"/>
        <w:spacing w:after="240" w:line="360" w:lineRule="auto"/>
        <w:rPr>
          <w:rFonts w:cs="Arial"/>
          <w:b/>
          <w:color w:val="000000"/>
          <w:lang w:val="en-GB"/>
        </w:rPr>
      </w:pPr>
      <w:r w:rsidRPr="00A311D9">
        <w:rPr>
          <w:rFonts w:cs="Arial"/>
          <w:b/>
          <w:color w:val="000000"/>
          <w:lang w:val="en-GB"/>
        </w:rPr>
        <w:t>State authority responsible for coordinating the implementation of the Convention</w:t>
      </w:r>
    </w:p>
    <w:p w14:paraId="7EA66C29" w14:textId="7D7BE3E8" w:rsidR="00E23BAC" w:rsidRPr="00A311D9" w:rsidRDefault="00E23BAC" w:rsidP="00E23BAC">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 xml:space="preserve">C 13. The Committee calls upon the State party to ensure that it undertakes measures to establish an effective mechanism or substantially strengthen its existing mechanism, under the Ministry of Labour and Social Affairs, for coordinating the implementation of child rights policy amongst all the relevant bodies and institutions and at all levels. In doing so, the State party is urged to ensure that it is provided with the necessary human, technical and financial resources to implement child rights policy that is comprehensive, coherent and consistent at national, regional and municipal levels. </w:t>
      </w:r>
    </w:p>
    <w:p w14:paraId="2DFADF6F" w14:textId="77777777" w:rsidR="00E23BAC" w:rsidRPr="00A311D9" w:rsidRDefault="00E23BAC" w:rsidP="00E23BAC">
      <w:pPr>
        <w:autoSpaceDE w:val="0"/>
        <w:spacing w:line="360" w:lineRule="auto"/>
        <w:ind w:hanging="2"/>
        <w:rPr>
          <w:rFonts w:ascii="Arial" w:eastAsia="Arial" w:hAnsi="Arial" w:cs="Arial"/>
          <w:position w:val="-1"/>
          <w:lang w:val="en-GB"/>
        </w:rPr>
      </w:pPr>
      <w:bookmarkStart w:id="1" w:name="gjdgxs"/>
      <w:bookmarkEnd w:id="1"/>
      <w:r w:rsidRPr="00A311D9">
        <w:rPr>
          <w:rFonts w:ascii="Arial" w:eastAsia="Arial" w:hAnsi="Arial" w:cs="Arial"/>
          <w:position w:val="-1"/>
          <w:lang w:val="en-GB"/>
        </w:rPr>
        <w:t xml:space="preserve">The fragmentation of the entire system of care and protection, the inability of the ministries to cooperate with each other and the absence of an interdisciplinary approach was confirmed by the fundamental resistance of the Ministry of Education, Youth and Sports (MoEYS) and the Ministry of Health (MoH) to the unification of the care of children at risk under the Ministry of Labour and Social Affairs (MoLSA), although this task was explicitly mentioned in the government programme in 2013 and again in 2017. </w:t>
      </w:r>
    </w:p>
    <w:p w14:paraId="518BD26B" w14:textId="2E9885F0" w:rsidR="008A0843" w:rsidRPr="00A311D9" w:rsidRDefault="00E23BAC" w:rsidP="00E23BAC">
      <w:pPr>
        <w:autoSpaceDE w:val="0"/>
        <w:spacing w:line="360" w:lineRule="auto"/>
        <w:ind w:hanging="2"/>
        <w:rPr>
          <w:rFonts w:ascii="Arial" w:eastAsia="Arial" w:hAnsi="Arial" w:cs="Arial"/>
          <w:position w:val="-1"/>
          <w:lang w:val="en-GB"/>
        </w:rPr>
      </w:pPr>
      <w:r w:rsidRPr="00A311D9">
        <w:rPr>
          <w:rFonts w:ascii="Arial" w:eastAsia="Arial" w:hAnsi="Arial" w:cs="Arial"/>
          <w:position w:val="-1"/>
          <w:lang w:val="en-GB"/>
        </w:rPr>
        <w:t xml:space="preserve">In 2019, the National Sports Agency was established to take over the responsibilities of the MoEYS in the field of sports. Rather than then creating a separate Children and Youth </w:t>
      </w:r>
      <w:r w:rsidR="00E5502B" w:rsidRPr="00A311D9">
        <w:rPr>
          <w:rFonts w:ascii="Arial" w:eastAsia="Arial" w:hAnsi="Arial" w:cs="Arial"/>
          <w:position w:val="-1"/>
          <w:lang w:val="en-GB"/>
        </w:rPr>
        <w:t xml:space="preserve">Section </w:t>
      </w:r>
      <w:r w:rsidRPr="00A311D9">
        <w:rPr>
          <w:rFonts w:ascii="Arial" w:eastAsia="Arial" w:hAnsi="Arial" w:cs="Arial"/>
          <w:position w:val="-1"/>
          <w:lang w:val="en-GB"/>
        </w:rPr>
        <w:t>within the MoEYS, headed by a</w:t>
      </w:r>
      <w:r w:rsidR="00A311D9">
        <w:rPr>
          <w:rFonts w:ascii="Arial" w:eastAsia="Arial" w:hAnsi="Arial" w:cs="Arial"/>
          <w:position w:val="-1"/>
          <w:lang w:val="en-GB"/>
        </w:rPr>
        <w:t> </w:t>
      </w:r>
      <w:r w:rsidR="00A311D9" w:rsidRPr="00A311D9">
        <w:rPr>
          <w:rFonts w:ascii="Arial" w:eastAsia="Arial" w:hAnsi="Arial" w:cs="Arial"/>
          <w:position w:val="-1"/>
          <w:lang w:val="en-GB"/>
        </w:rPr>
        <w:t>deputy minister</w:t>
      </w:r>
      <w:r w:rsidRPr="00A311D9">
        <w:rPr>
          <w:rFonts w:ascii="Arial" w:eastAsia="Arial" w:hAnsi="Arial" w:cs="Arial"/>
          <w:position w:val="-1"/>
          <w:lang w:val="en-GB"/>
        </w:rPr>
        <w:t xml:space="preserve">, the existing Youth </w:t>
      </w:r>
      <w:r w:rsidR="00E5502B" w:rsidRPr="00A311D9">
        <w:rPr>
          <w:rFonts w:ascii="Arial" w:eastAsia="Arial" w:hAnsi="Arial" w:cs="Arial"/>
          <w:position w:val="-1"/>
          <w:lang w:val="en-GB"/>
        </w:rPr>
        <w:t>Division</w:t>
      </w:r>
      <w:r w:rsidRPr="00A311D9">
        <w:rPr>
          <w:rFonts w:ascii="Arial" w:eastAsia="Arial" w:hAnsi="Arial" w:cs="Arial"/>
          <w:position w:val="-1"/>
          <w:lang w:val="en-GB"/>
        </w:rPr>
        <w:t xml:space="preserve"> was abolished and replaced with only a Youth </w:t>
      </w:r>
      <w:r w:rsidR="00E5502B" w:rsidRPr="00A311D9">
        <w:rPr>
          <w:rFonts w:ascii="Arial" w:eastAsia="Arial" w:hAnsi="Arial" w:cs="Arial"/>
          <w:position w:val="-1"/>
          <w:lang w:val="en-GB"/>
        </w:rPr>
        <w:t>Unit</w:t>
      </w:r>
      <w:r w:rsidRPr="00A311D9">
        <w:rPr>
          <w:rFonts w:ascii="Arial" w:eastAsia="Arial" w:hAnsi="Arial" w:cs="Arial"/>
          <w:position w:val="-1"/>
          <w:lang w:val="en-GB"/>
        </w:rPr>
        <w:t xml:space="preserve"> within the D</w:t>
      </w:r>
      <w:r w:rsidR="00E5502B" w:rsidRPr="00A311D9">
        <w:rPr>
          <w:rFonts w:ascii="Arial" w:eastAsia="Arial" w:hAnsi="Arial" w:cs="Arial"/>
          <w:position w:val="-1"/>
          <w:lang w:val="en-GB"/>
        </w:rPr>
        <w:t>ivision</w:t>
      </w:r>
      <w:r w:rsidRPr="00A311D9">
        <w:rPr>
          <w:rFonts w:ascii="Arial" w:eastAsia="Arial" w:hAnsi="Arial" w:cs="Arial"/>
          <w:position w:val="-1"/>
          <w:lang w:val="en-GB"/>
        </w:rPr>
        <w:t xml:space="preserve"> of Basic Education. The children's agenda has thus lost two levels of importance.</w:t>
      </w:r>
    </w:p>
    <w:p w14:paraId="562BDEBC" w14:textId="77777777" w:rsidR="00E23BAC" w:rsidRPr="00A311D9" w:rsidRDefault="00E23BAC" w:rsidP="00E23BAC">
      <w:pPr>
        <w:autoSpaceDE w:val="0"/>
        <w:spacing w:line="360" w:lineRule="auto"/>
        <w:ind w:hanging="2"/>
        <w:rPr>
          <w:rFonts w:ascii="Arial" w:eastAsia="Arial" w:hAnsi="Arial" w:cs="Arial"/>
          <w:position w:val="-1"/>
          <w:highlight w:val="yellow"/>
          <w:lang w:val="en-GB"/>
        </w:rPr>
      </w:pPr>
    </w:p>
    <w:p w14:paraId="6AB07F6D" w14:textId="77777777" w:rsidR="00C93002" w:rsidRPr="00A311D9" w:rsidRDefault="00C93002" w:rsidP="00C93002">
      <w:pPr>
        <w:autoSpaceDE w:val="0"/>
        <w:autoSpaceDN w:val="0"/>
        <w:spacing w:after="240" w:line="360" w:lineRule="auto"/>
        <w:rPr>
          <w:rFonts w:cs="Arial"/>
          <w:color w:val="000000"/>
          <w:lang w:val="en-GB"/>
        </w:rPr>
      </w:pPr>
      <w:r w:rsidRPr="00A311D9">
        <w:rPr>
          <w:rFonts w:cs="Arial"/>
          <w:b/>
          <w:color w:val="000000"/>
          <w:lang w:val="en-GB"/>
        </w:rPr>
        <w:t>National Action Plan</w:t>
      </w:r>
    </w:p>
    <w:p w14:paraId="34A8B28E" w14:textId="418636D0" w:rsidR="00C93002" w:rsidRPr="00A311D9" w:rsidRDefault="00C93002" w:rsidP="00C93002">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 xml:space="preserve">C 15. The Committee recommends that the State party develop a comprehensive National Plan of Action for the implementation of children’s rights and allocate specific human, technical and financial resources for its full implementation. In doing so, the Committee recommends that the State party ensure that its National Plan of Action for Children: </w:t>
      </w:r>
    </w:p>
    <w:p w14:paraId="46D6B8D8" w14:textId="77777777" w:rsidR="00C93002" w:rsidRPr="00A311D9" w:rsidRDefault="00C93002" w:rsidP="00C93002">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 xml:space="preserve">(a) Is based on children’s rights and constitutes an integral component of development planning; </w:t>
      </w:r>
    </w:p>
    <w:p w14:paraId="367E0658" w14:textId="77777777" w:rsidR="00C93002" w:rsidRPr="00A311D9" w:rsidRDefault="00C93002" w:rsidP="00C93002">
      <w:pPr>
        <w:pBdr>
          <w:top w:val="single" w:sz="4" w:space="1" w:color="000000"/>
          <w:left w:val="single" w:sz="4" w:space="4" w:color="000000"/>
          <w:bottom w:val="single" w:sz="4" w:space="1" w:color="000000"/>
          <w:right w:val="single" w:sz="4" w:space="4" w:color="000000"/>
        </w:pBdr>
        <w:tabs>
          <w:tab w:val="left" w:pos="220"/>
          <w:tab w:val="left" w:pos="720"/>
        </w:tabs>
        <w:autoSpaceDE w:val="0"/>
        <w:autoSpaceDN w:val="0"/>
        <w:spacing w:after="240" w:line="360" w:lineRule="auto"/>
        <w:rPr>
          <w:rFonts w:cs="Arial"/>
          <w:color w:val="000000"/>
          <w:lang w:val="en-GB"/>
        </w:rPr>
      </w:pPr>
      <w:r w:rsidRPr="00A311D9">
        <w:rPr>
          <w:rFonts w:cs="Arial"/>
          <w:b/>
          <w:color w:val="000000"/>
          <w:lang w:val="en-GB"/>
        </w:rPr>
        <w:t xml:space="preserve">(b)  Is implemented and operationalised by, inter alia, appropriate by-laws; </w:t>
      </w:r>
    </w:p>
    <w:p w14:paraId="1BC62993" w14:textId="77777777" w:rsidR="00C93002" w:rsidRPr="00A311D9" w:rsidRDefault="00C93002" w:rsidP="00C93002">
      <w:pPr>
        <w:pBdr>
          <w:top w:val="single" w:sz="4" w:space="1" w:color="000000"/>
          <w:left w:val="single" w:sz="4" w:space="4" w:color="000000"/>
          <w:bottom w:val="single" w:sz="4" w:space="1" w:color="000000"/>
          <w:right w:val="single" w:sz="4" w:space="4" w:color="000000"/>
        </w:pBdr>
        <w:tabs>
          <w:tab w:val="left" w:pos="220"/>
          <w:tab w:val="left" w:pos="720"/>
        </w:tabs>
        <w:autoSpaceDE w:val="0"/>
        <w:autoSpaceDN w:val="0"/>
        <w:spacing w:after="240" w:line="360" w:lineRule="auto"/>
        <w:rPr>
          <w:rFonts w:cs="Arial"/>
          <w:color w:val="000000"/>
          <w:lang w:val="en-GB"/>
        </w:rPr>
      </w:pPr>
      <w:r w:rsidRPr="00A311D9">
        <w:rPr>
          <w:rFonts w:cs="Arial"/>
          <w:b/>
          <w:color w:val="000000"/>
          <w:lang w:val="en-GB"/>
        </w:rPr>
        <w:t xml:space="preserve">(c)  Defines specific goals, targets, indicators and timetables and includes a monitoring mechanism for assessing implementation progress and identifying possible deficiencies; </w:t>
      </w:r>
    </w:p>
    <w:p w14:paraId="1C35AA72" w14:textId="77777777" w:rsidR="00C93002" w:rsidRPr="00A311D9" w:rsidRDefault="00C93002" w:rsidP="00C93002">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 xml:space="preserve">(d) Facilitates greater involvement of all partners concerned, including civil society and children themselves; </w:t>
      </w:r>
    </w:p>
    <w:p w14:paraId="51D89A2D" w14:textId="77777777" w:rsidR="00C93002" w:rsidRPr="00A311D9" w:rsidRDefault="00C93002" w:rsidP="00C93002">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 xml:space="preserve">(e) Facilitates a coherent and consistent approach to the Convention amongst all of the State party’s bodies and institutions; </w:t>
      </w:r>
    </w:p>
    <w:p w14:paraId="7D9F841D" w14:textId="022ACF01" w:rsidR="00C93002" w:rsidRPr="00A311D9" w:rsidRDefault="00C93002" w:rsidP="00C93002">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 xml:space="preserve">(f) Takes into account the principles and provisions of the Convention, its Optional Protocols as well as the Plan of Action “A world fit for children” of 2002 and the </w:t>
      </w:r>
      <w:r w:rsidR="00A311D9">
        <w:rPr>
          <w:rFonts w:cs="Arial"/>
          <w:b/>
          <w:color w:val="000000"/>
          <w:lang w:val="en-GB"/>
        </w:rPr>
        <w:t>“</w:t>
      </w:r>
      <w:r w:rsidRPr="00A311D9">
        <w:rPr>
          <w:rFonts w:cs="Arial"/>
          <w:b/>
          <w:color w:val="000000"/>
          <w:lang w:val="en-GB"/>
        </w:rPr>
        <w:t xml:space="preserve">World fit for children + 5” review declaration of 2007. </w:t>
      </w:r>
    </w:p>
    <w:p w14:paraId="4D46DC77" w14:textId="34CFD25F" w:rsidR="00C93002" w:rsidRPr="00A311D9" w:rsidRDefault="00C93002" w:rsidP="00E5502B">
      <w:pPr>
        <w:autoSpaceDE w:val="0"/>
        <w:spacing w:after="120" w:line="360" w:lineRule="auto"/>
        <w:ind w:hanging="2"/>
        <w:rPr>
          <w:rFonts w:ascii="Arial" w:eastAsia="Arial" w:hAnsi="Arial" w:cs="Arial"/>
          <w:position w:val="-1"/>
          <w:lang w:val="en-GB"/>
        </w:rPr>
      </w:pPr>
      <w:r w:rsidRPr="00A311D9">
        <w:rPr>
          <w:rFonts w:ascii="Arial" w:eastAsia="Arial" w:hAnsi="Arial" w:cs="Arial"/>
          <w:position w:val="-1"/>
          <w:lang w:val="en-GB"/>
        </w:rPr>
        <w:t xml:space="preserve">In 2020, the Government adopted the National Strategy for the Protection of Children's Rights (G4, the "Strategy"). However, it does not cover the full </w:t>
      </w:r>
      <w:r w:rsidR="00E5502B" w:rsidRPr="00A311D9">
        <w:rPr>
          <w:rFonts w:ascii="Arial" w:eastAsia="Arial" w:hAnsi="Arial" w:cs="Arial"/>
          <w:position w:val="-1"/>
          <w:lang w:val="en-GB"/>
        </w:rPr>
        <w:t>scope</w:t>
      </w:r>
      <w:r w:rsidRPr="00A311D9">
        <w:rPr>
          <w:rFonts w:ascii="Arial" w:eastAsia="Arial" w:hAnsi="Arial" w:cs="Arial"/>
          <w:position w:val="-1"/>
          <w:lang w:val="en-GB"/>
        </w:rPr>
        <w:t xml:space="preserve"> of the Convention and does not build on any of the points of Recommendation C15. The main reason for this is the lack of political will throughout society.</w:t>
      </w:r>
    </w:p>
    <w:p w14:paraId="57E47618" w14:textId="3284923B" w:rsidR="008A0843" w:rsidRPr="00A311D9" w:rsidRDefault="00C93002" w:rsidP="00E5502B">
      <w:pPr>
        <w:autoSpaceDE w:val="0"/>
        <w:spacing w:after="120" w:line="360" w:lineRule="auto"/>
        <w:ind w:hanging="2"/>
        <w:rPr>
          <w:rFonts w:ascii="Arial" w:eastAsia="Arial" w:hAnsi="Arial" w:cs="Arial"/>
          <w:position w:val="-1"/>
          <w:lang w:val="en-GB"/>
        </w:rPr>
      </w:pPr>
      <w:r w:rsidRPr="00A311D9">
        <w:rPr>
          <w:rFonts w:ascii="Arial" w:eastAsia="Arial" w:hAnsi="Arial" w:cs="Arial"/>
          <w:position w:val="-1"/>
          <w:lang w:val="en-GB"/>
        </w:rPr>
        <w:t>On June 2, 2021, we noted the government's attempt to adopt the National Action Plan for the Protection of Children's Rights; NGOs were given a 44-hour period to comment on the draft. Its future fate is unknown.</w:t>
      </w:r>
    </w:p>
    <w:p w14:paraId="60AB430B" w14:textId="77777777" w:rsidR="008B30E4" w:rsidRPr="00A311D9" w:rsidRDefault="008B30E4">
      <w:pPr>
        <w:autoSpaceDE w:val="0"/>
        <w:spacing w:line="360" w:lineRule="auto"/>
        <w:ind w:hanging="2"/>
        <w:rPr>
          <w:rFonts w:ascii="Arial" w:eastAsia="Arial" w:hAnsi="Arial" w:cs="Arial"/>
          <w:b/>
          <w:position w:val="-1"/>
          <w:lang w:val="en-GB"/>
        </w:rPr>
      </w:pPr>
    </w:p>
    <w:p w14:paraId="2E742766" w14:textId="77777777" w:rsidR="00136293" w:rsidRPr="00A311D9" w:rsidRDefault="00136293" w:rsidP="00136293">
      <w:pPr>
        <w:spacing w:line="360" w:lineRule="auto"/>
        <w:rPr>
          <w:rFonts w:cs="Arial"/>
          <w:b/>
          <w:lang w:val="en-GB"/>
        </w:rPr>
      </w:pPr>
      <w:r w:rsidRPr="00A311D9">
        <w:rPr>
          <w:rFonts w:cs="Arial"/>
          <w:b/>
          <w:lang w:val="en-GB"/>
        </w:rPr>
        <w:t>Non-governmental organizations and independent monitoring</w:t>
      </w:r>
    </w:p>
    <w:p w14:paraId="62F2F359" w14:textId="31AEB524" w:rsidR="00136293" w:rsidRPr="00A311D9" w:rsidRDefault="00136293" w:rsidP="00136293">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bCs/>
          <w:color w:val="000000"/>
          <w:lang w:val="en-GB"/>
        </w:rPr>
        <w:t xml:space="preserve">C </w:t>
      </w:r>
      <w:r w:rsidRPr="00A311D9">
        <w:rPr>
          <w:rFonts w:cs="Arial"/>
          <w:b/>
          <w:color w:val="000000"/>
          <w:lang w:val="en-GB"/>
        </w:rPr>
        <w:t xml:space="preserve">17. The Committee reiterates its previous recommendation (CRC/C/15/Add.201 para 17) for the State party to take into full account the Committee’s General Comment No. 2 on the role of national human rights institutions, and establish an independent body to monitor the implementation of the Convention, including the investigation of individual complaints by children in a child-sensitive manner. The Committee also urges the State party to ensure that the Public Defender for Human Rights is provided with all the necessary financial, technical and human resources to effectively address complaints it receives from children. </w:t>
      </w:r>
    </w:p>
    <w:p w14:paraId="03AF94D0" w14:textId="31AA87FC" w:rsidR="00451CFE" w:rsidRPr="00A311D9" w:rsidRDefault="004D175E" w:rsidP="00451CFE">
      <w:pPr>
        <w:autoSpaceDE w:val="0"/>
        <w:spacing w:line="360" w:lineRule="auto"/>
        <w:ind w:hanging="2"/>
        <w:rPr>
          <w:rFonts w:ascii="Arial" w:eastAsia="Arial" w:hAnsi="Arial" w:cs="Arial"/>
          <w:b/>
          <w:bCs/>
          <w:position w:val="-1"/>
          <w:lang w:val="en-GB"/>
        </w:rPr>
      </w:pPr>
      <w:r w:rsidRPr="00A311D9">
        <w:rPr>
          <w:rFonts w:ascii="Arial" w:eastAsia="Arial" w:hAnsi="Arial" w:cs="Arial"/>
          <w:b/>
          <w:bCs/>
          <w:position w:val="-1"/>
          <w:lang w:val="en-GB"/>
        </w:rPr>
        <w:t xml:space="preserve">The failure to create the institution of the Children's Ombudsman means that there </w:t>
      </w:r>
      <w:r w:rsidR="0055765B" w:rsidRPr="00A311D9">
        <w:rPr>
          <w:rFonts w:ascii="Arial" w:eastAsia="Arial" w:hAnsi="Arial" w:cs="Arial"/>
          <w:b/>
          <w:bCs/>
          <w:position w:val="-1"/>
          <w:lang w:val="en-GB"/>
        </w:rPr>
        <w:t xml:space="preserve">still </w:t>
      </w:r>
      <w:r w:rsidRPr="00A311D9">
        <w:rPr>
          <w:rFonts w:ascii="Arial" w:eastAsia="Arial" w:hAnsi="Arial" w:cs="Arial"/>
          <w:b/>
          <w:bCs/>
          <w:position w:val="-1"/>
          <w:lang w:val="en-GB"/>
        </w:rPr>
        <w:t>is</w:t>
      </w:r>
      <w:r w:rsidR="00C54CAD">
        <w:rPr>
          <w:rFonts w:ascii="Arial" w:eastAsia="Arial" w:hAnsi="Arial" w:cs="Arial"/>
          <w:b/>
          <w:bCs/>
          <w:position w:val="-1"/>
          <w:lang w:val="en-GB"/>
        </w:rPr>
        <w:t xml:space="preserve"> </w:t>
      </w:r>
      <w:r w:rsidRPr="00A311D9">
        <w:rPr>
          <w:rFonts w:ascii="Arial" w:eastAsia="Arial" w:hAnsi="Arial" w:cs="Arial"/>
          <w:b/>
          <w:bCs/>
          <w:position w:val="-1"/>
          <w:lang w:val="en-GB"/>
        </w:rPr>
        <w:t>n</w:t>
      </w:r>
      <w:r w:rsidR="00C54CAD">
        <w:rPr>
          <w:rFonts w:ascii="Arial" w:eastAsia="Arial" w:hAnsi="Arial" w:cs="Arial"/>
          <w:b/>
          <w:bCs/>
          <w:position w:val="-1"/>
          <w:lang w:val="en-GB"/>
        </w:rPr>
        <w:t>o</w:t>
      </w:r>
      <w:r w:rsidRPr="00A311D9">
        <w:rPr>
          <w:rFonts w:ascii="Arial" w:eastAsia="Arial" w:hAnsi="Arial" w:cs="Arial"/>
          <w:b/>
          <w:bCs/>
          <w:position w:val="-1"/>
          <w:lang w:val="en-GB"/>
        </w:rPr>
        <w:t xml:space="preserve"> body to monitor the implementation of the Convention and it must be replaced by the work of the Alliance for the Rights of the Child, financially </w:t>
      </w:r>
      <w:r w:rsidR="0055765B" w:rsidRPr="00A311D9">
        <w:rPr>
          <w:rFonts w:ascii="Arial" w:eastAsia="Arial" w:hAnsi="Arial" w:cs="Arial"/>
          <w:b/>
          <w:bCs/>
          <w:position w:val="-1"/>
          <w:lang w:val="en-GB"/>
        </w:rPr>
        <w:t xml:space="preserve">not </w:t>
      </w:r>
      <w:r w:rsidRPr="00A311D9">
        <w:rPr>
          <w:rFonts w:ascii="Arial" w:eastAsia="Arial" w:hAnsi="Arial" w:cs="Arial"/>
          <w:b/>
          <w:bCs/>
          <w:position w:val="-1"/>
          <w:lang w:val="en-GB"/>
        </w:rPr>
        <w:t xml:space="preserve">supported by the State. The Law on the </w:t>
      </w:r>
      <w:r w:rsidR="0055765B" w:rsidRPr="00A311D9">
        <w:rPr>
          <w:rFonts w:ascii="Arial" w:eastAsia="Arial" w:hAnsi="Arial" w:cs="Arial"/>
          <w:b/>
          <w:bCs/>
          <w:position w:val="-1"/>
          <w:lang w:val="en-GB"/>
        </w:rPr>
        <w:t xml:space="preserve">Public </w:t>
      </w:r>
      <w:r w:rsidRPr="00A311D9">
        <w:rPr>
          <w:rFonts w:ascii="Arial" w:eastAsia="Arial" w:hAnsi="Arial" w:cs="Arial"/>
          <w:b/>
          <w:bCs/>
          <w:position w:val="-1"/>
          <w:lang w:val="en-GB"/>
        </w:rPr>
        <w:t xml:space="preserve">Ombudsman does not include monitoring of the Convention or the possibility to protect children's rights from the mistakes of local authorities (municipalities and regions) or in court proceedings, </w:t>
      </w:r>
      <w:r w:rsidR="00C54CAD" w:rsidRPr="00A311D9">
        <w:rPr>
          <w:rFonts w:ascii="Arial" w:eastAsia="Arial" w:hAnsi="Arial" w:cs="Arial"/>
          <w:b/>
          <w:bCs/>
          <w:position w:val="-1"/>
          <w:lang w:val="en-GB"/>
        </w:rPr>
        <w:t>e.g.,</w:t>
      </w:r>
      <w:r w:rsidRPr="00A311D9">
        <w:rPr>
          <w:rFonts w:ascii="Arial" w:eastAsia="Arial" w:hAnsi="Arial" w:cs="Arial"/>
          <w:b/>
          <w:bCs/>
          <w:position w:val="-1"/>
          <w:lang w:val="en-GB"/>
        </w:rPr>
        <w:t xml:space="preserve"> before the Constitutional Court.</w:t>
      </w:r>
    </w:p>
    <w:p w14:paraId="5DE3104E" w14:textId="77777777" w:rsidR="008A0843" w:rsidRPr="00A311D9" w:rsidRDefault="008A0843">
      <w:pPr>
        <w:autoSpaceDE w:val="0"/>
        <w:snapToGrid w:val="0"/>
        <w:spacing w:after="0" w:line="360" w:lineRule="auto"/>
        <w:ind w:left="10752"/>
        <w:rPr>
          <w:rFonts w:ascii="Arial" w:eastAsia="Arial" w:hAnsi="Arial" w:cs="Arial"/>
          <w:position w:val="-1"/>
          <w:lang w:val="en-GB"/>
        </w:rPr>
      </w:pPr>
    </w:p>
    <w:p w14:paraId="4F609C98" w14:textId="77777777" w:rsidR="0055765B" w:rsidRPr="00A311D9" w:rsidRDefault="0055765B" w:rsidP="0055765B">
      <w:pPr>
        <w:spacing w:line="360" w:lineRule="auto"/>
        <w:rPr>
          <w:rFonts w:cs="Arial"/>
          <w:b/>
          <w:lang w:val="en-GB"/>
        </w:rPr>
      </w:pPr>
      <w:r w:rsidRPr="00A311D9">
        <w:rPr>
          <w:rFonts w:cs="Arial"/>
          <w:b/>
          <w:lang w:val="en-GB"/>
        </w:rPr>
        <w:t>Data collection</w:t>
      </w:r>
    </w:p>
    <w:p w14:paraId="1B0C48F4" w14:textId="2748415F" w:rsidR="00CA33C8" w:rsidRPr="00A311D9" w:rsidRDefault="00CA33C8" w:rsidP="00CA33C8">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 xml:space="preserve">C 21. The Committee reiterates its previous recommendation (CRC/C/15/Add.201 para 21) and urges the State party to: </w:t>
      </w:r>
    </w:p>
    <w:p w14:paraId="17B50A77" w14:textId="162FC946" w:rsidR="0055765B" w:rsidRPr="00A311D9" w:rsidRDefault="0055765B" w:rsidP="0055765B">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(a) strengthen and centralize its mechanism for integrating and analy</w:t>
      </w:r>
      <w:r w:rsidR="00A311D9">
        <w:rPr>
          <w:rFonts w:cs="Arial"/>
          <w:b/>
          <w:color w:val="000000"/>
          <w:lang w:val="en-GB"/>
        </w:rPr>
        <w:t>s</w:t>
      </w:r>
      <w:r w:rsidRPr="00A311D9">
        <w:rPr>
          <w:rFonts w:cs="Arial"/>
          <w:b/>
          <w:color w:val="000000"/>
          <w:lang w:val="en-GB"/>
        </w:rPr>
        <w:t>ing systematically disaggregated data on all children under 18 y</w:t>
      </w:r>
      <w:r w:rsidR="007952A7" w:rsidRPr="00A311D9">
        <w:rPr>
          <w:rFonts w:cs="Arial"/>
          <w:b/>
          <w:color w:val="000000"/>
          <w:lang w:val="en-GB"/>
        </w:rPr>
        <w:t>ea</w:t>
      </w:r>
      <w:r w:rsidRPr="00A311D9">
        <w:rPr>
          <w:rFonts w:cs="Arial"/>
          <w:b/>
          <w:color w:val="000000"/>
          <w:lang w:val="en-GB"/>
        </w:rPr>
        <w:t xml:space="preserve">rs for all areas covered by the Convention, with special emphasis on persons in situations of vulnerability, including children belonging to ethnic minorities; children of economically disadvantaged households; children living in rural areas; children in alternative care; children with disabilities and children in need of special protection, e.g. working children; children who have been sexually exploited and trafficked children; and </w:t>
      </w:r>
    </w:p>
    <w:p w14:paraId="175F2803" w14:textId="77777777" w:rsidR="0055765B" w:rsidRPr="00A311D9" w:rsidRDefault="0055765B" w:rsidP="0055765B">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 xml:space="preserve">(b) use these indicators and data effectively in formulating and evaluating legislation, policies and programmes for the implementation, resource allocation and monitoring of the Convention. </w:t>
      </w:r>
    </w:p>
    <w:p w14:paraId="388EB815" w14:textId="77777777" w:rsidR="0055765B" w:rsidRPr="00A311D9" w:rsidRDefault="0055765B" w:rsidP="0055765B">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 xml:space="preserve">Furthermore, the Committee urges the State party to establish a clear method for identifying the Roma minority in its data collection to facilitate the clarity and effectiveness of policy-making; and in doing so, ensure that such a definition is complemented by adequate support and protection mechanisms to prevent the discriminatory abuse of such data. </w:t>
      </w:r>
    </w:p>
    <w:p w14:paraId="2BC0DE76" w14:textId="0C14E643" w:rsidR="008A0843" w:rsidRPr="00A311D9" w:rsidRDefault="00CA33C8">
      <w:pPr>
        <w:autoSpaceDE w:val="0"/>
        <w:spacing w:line="360" w:lineRule="auto"/>
        <w:ind w:hanging="2"/>
        <w:rPr>
          <w:rFonts w:ascii="Arial" w:eastAsia="Arial" w:hAnsi="Arial" w:cs="Arial"/>
          <w:position w:val="-1"/>
          <w:sz w:val="24"/>
          <w:szCs w:val="24"/>
          <w:lang w:val="en-GB"/>
        </w:rPr>
      </w:pPr>
      <w:r w:rsidRPr="00A311D9">
        <w:rPr>
          <w:rFonts w:ascii="Arial" w:eastAsia="Times New Roman" w:hAnsi="Arial" w:cs="Arial"/>
          <w:b/>
          <w:bCs/>
          <w:lang w:val="en-GB"/>
        </w:rPr>
        <w:t>Information is not regularly collected on the number and situation of children living outside the family (in institutional care, foster family care, treatment centres, detention centres, prison facilities, police cells). As a consequence, it is not possible to verify how and to what extent children's rights are (not) respected, and it is not possible to exclude direct and indirect discrimination against certain groups of children (e.g. of Roma origin, with disabilities, socio-cultural disadvantages, etc.). This problem is highlighted by the European Committee of Social Rights in its Decision of 17 June 2020 in Case No. 157/2017 European Roma Rights Centre (ERRC) and Mental Disability Advocacy Centre (MDAC) v. Czech Republic.</w:t>
      </w:r>
    </w:p>
    <w:p w14:paraId="20C03A29" w14:textId="77777777" w:rsidR="007952A7" w:rsidRPr="00A311D9" w:rsidRDefault="007952A7" w:rsidP="007952A7">
      <w:pPr>
        <w:autoSpaceDE w:val="0"/>
        <w:autoSpaceDN w:val="0"/>
        <w:spacing w:after="240" w:line="360" w:lineRule="auto"/>
        <w:rPr>
          <w:rFonts w:cs="Arial"/>
          <w:b/>
          <w:color w:val="000000"/>
          <w:lang w:val="en-GB"/>
        </w:rPr>
      </w:pPr>
    </w:p>
    <w:p w14:paraId="77511F32" w14:textId="73C3271B" w:rsidR="007952A7" w:rsidRPr="00A311D9" w:rsidRDefault="007952A7" w:rsidP="007952A7">
      <w:pPr>
        <w:autoSpaceDE w:val="0"/>
        <w:autoSpaceDN w:val="0"/>
        <w:spacing w:after="240" w:line="360" w:lineRule="auto"/>
        <w:rPr>
          <w:rFonts w:cs="Arial"/>
          <w:color w:val="000000"/>
          <w:lang w:val="en-GB"/>
        </w:rPr>
      </w:pPr>
      <w:r w:rsidRPr="00A311D9">
        <w:rPr>
          <w:rFonts w:cs="Arial"/>
          <w:b/>
          <w:color w:val="000000"/>
          <w:lang w:val="en-GB"/>
        </w:rPr>
        <w:t xml:space="preserve">Cooperation with civil society </w:t>
      </w:r>
    </w:p>
    <w:p w14:paraId="7E26B992" w14:textId="77879D19" w:rsidR="007952A7" w:rsidRPr="00A311D9" w:rsidRDefault="007952A7" w:rsidP="007952A7">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bCs/>
          <w:lang w:val="en-GB"/>
        </w:rPr>
        <w:t>C 27.</w:t>
      </w:r>
      <w:r w:rsidRPr="00A311D9">
        <w:rPr>
          <w:rFonts w:cs="Arial"/>
          <w:lang w:val="en-GB"/>
        </w:rPr>
        <w:t xml:space="preserve"> </w:t>
      </w:r>
      <w:r w:rsidRPr="00A311D9">
        <w:rPr>
          <w:rFonts w:cs="Arial"/>
          <w:b/>
          <w:color w:val="000000"/>
          <w:lang w:val="en-GB"/>
        </w:rPr>
        <w:t xml:space="preserve">The Committee calls upon the State party to strengthen its cooperation with civil society and establish a transparent system, allowing for and taking into account dialogue with civil society, for the allocation of grants and subsidies for civil society organizations that assist in the implementation of the Convention and participate in the formulation of policies on children’s rights. In doing so, the Committee draws the State party’s attention to its General Comment No. 5 (CRC/GC/2003/5 paras 56 to 59) on General measures of CRC implementation. </w:t>
      </w:r>
    </w:p>
    <w:p w14:paraId="5FFD8038" w14:textId="77777777" w:rsidR="00F41823" w:rsidRPr="00A311D9" w:rsidRDefault="007952A7" w:rsidP="008B30E4">
      <w:pPr>
        <w:autoSpaceDE w:val="0"/>
        <w:spacing w:line="360" w:lineRule="auto"/>
        <w:ind w:hanging="2"/>
        <w:rPr>
          <w:rFonts w:ascii="Arial" w:eastAsia="Arial" w:hAnsi="Arial" w:cs="Arial"/>
          <w:position w:val="-1"/>
          <w:lang w:val="en-GB"/>
        </w:rPr>
      </w:pPr>
      <w:r w:rsidRPr="00A311D9">
        <w:rPr>
          <w:rFonts w:ascii="Arial" w:eastAsia="Arial" w:hAnsi="Arial" w:cs="Arial"/>
          <w:position w:val="-1"/>
          <w:lang w:val="en-GB"/>
        </w:rPr>
        <w:t xml:space="preserve">In 2020, the Government adopted the National Strategy for the Protection of Children's Rights (G4). The draft was not widely consulted with non-governmental organisations, let alone with children. </w:t>
      </w:r>
    </w:p>
    <w:p w14:paraId="1B3261E3" w14:textId="4A2DF42F" w:rsidR="008B30E4" w:rsidRPr="00A311D9" w:rsidRDefault="007952A7" w:rsidP="008B30E4">
      <w:pPr>
        <w:autoSpaceDE w:val="0"/>
        <w:spacing w:line="360" w:lineRule="auto"/>
        <w:ind w:hanging="2"/>
        <w:rPr>
          <w:rFonts w:ascii="Arial" w:eastAsia="Arial" w:hAnsi="Arial" w:cs="Arial"/>
          <w:position w:val="-1"/>
          <w:lang w:val="en-GB"/>
        </w:rPr>
      </w:pPr>
      <w:r w:rsidRPr="00A311D9">
        <w:rPr>
          <w:rFonts w:ascii="Arial" w:eastAsia="Arial" w:hAnsi="Arial" w:cs="Arial"/>
          <w:position w:val="-1"/>
          <w:lang w:val="en-GB"/>
        </w:rPr>
        <w:t>On June 2, 2021, we noted the government's attempt to adopt the National Action Plan for the Protection of Children's Rights; NGOs were given 44 hours to comment on the draft.</w:t>
      </w:r>
    </w:p>
    <w:p w14:paraId="67D12538" w14:textId="5D8DBD7E" w:rsidR="007952A7" w:rsidRPr="00A311D9" w:rsidRDefault="007952A7" w:rsidP="008B30E4">
      <w:pPr>
        <w:autoSpaceDE w:val="0"/>
        <w:spacing w:line="360" w:lineRule="auto"/>
        <w:ind w:hanging="2"/>
        <w:rPr>
          <w:rFonts w:ascii="Arial" w:eastAsia="Arial" w:hAnsi="Arial" w:cs="Arial"/>
          <w:position w:val="-1"/>
          <w:lang w:val="en-GB"/>
        </w:rPr>
      </w:pPr>
    </w:p>
    <w:p w14:paraId="21AB770C" w14:textId="77777777" w:rsidR="007952A7" w:rsidRPr="00A311D9" w:rsidRDefault="007952A7" w:rsidP="008B30E4">
      <w:pPr>
        <w:autoSpaceDE w:val="0"/>
        <w:spacing w:line="360" w:lineRule="auto"/>
        <w:ind w:hanging="2"/>
        <w:rPr>
          <w:rFonts w:ascii="Arial" w:eastAsia="Arial" w:hAnsi="Arial" w:cs="Arial"/>
          <w:position w:val="-1"/>
          <w:lang w:val="en-GB"/>
        </w:rPr>
      </w:pPr>
    </w:p>
    <w:p w14:paraId="0EF12AEC" w14:textId="77777777" w:rsidR="00AB084B" w:rsidRPr="00A311D9" w:rsidRDefault="00AB084B" w:rsidP="00AB084B">
      <w:pPr>
        <w:autoSpaceDE w:val="0"/>
        <w:autoSpaceDN w:val="0"/>
        <w:spacing w:after="240" w:line="360" w:lineRule="auto"/>
        <w:rPr>
          <w:rFonts w:cs="Arial"/>
          <w:b/>
          <w:color w:val="000000"/>
          <w:lang w:val="en-GB"/>
        </w:rPr>
      </w:pPr>
      <w:r w:rsidRPr="00A311D9">
        <w:rPr>
          <w:rFonts w:cs="Arial"/>
          <w:b/>
          <w:color w:val="000000"/>
          <w:sz w:val="22"/>
          <w:szCs w:val="22"/>
          <w:lang w:val="en-GB"/>
        </w:rPr>
        <w:t xml:space="preserve">III. </w:t>
      </w:r>
      <w:r w:rsidRPr="00A311D9">
        <w:rPr>
          <w:rFonts w:cs="Arial"/>
          <w:b/>
          <w:color w:val="000000"/>
          <w:sz w:val="22"/>
          <w:szCs w:val="22"/>
          <w:u w:val="single"/>
          <w:lang w:val="en-GB"/>
        </w:rPr>
        <w:t>Violence against children (Articles 19, 24.3, 28.2, 34, 37a and 39 of the Convention</w:t>
      </w:r>
      <w:r w:rsidRPr="00A311D9">
        <w:rPr>
          <w:rFonts w:cs="Arial"/>
          <w:b/>
          <w:color w:val="000000"/>
          <w:lang w:val="en-GB"/>
        </w:rPr>
        <w:t>)</w:t>
      </w:r>
    </w:p>
    <w:p w14:paraId="55086724" w14:textId="77777777" w:rsidR="00AB084B" w:rsidRPr="00A311D9" w:rsidRDefault="00AB084B" w:rsidP="00AB084B">
      <w:pPr>
        <w:spacing w:line="360" w:lineRule="auto"/>
        <w:rPr>
          <w:rFonts w:cs="Arial"/>
          <w:b/>
          <w:lang w:val="en-GB"/>
        </w:rPr>
      </w:pPr>
      <w:r w:rsidRPr="00A311D9">
        <w:rPr>
          <w:rFonts w:cs="Arial"/>
          <w:b/>
          <w:lang w:val="en-GB"/>
        </w:rPr>
        <w:t>Torture, degrading treatment and corporal punishment</w:t>
      </w:r>
    </w:p>
    <w:p w14:paraId="7740C730" w14:textId="45D4A3D0" w:rsidR="00AB084B" w:rsidRPr="00A311D9" w:rsidRDefault="00AB084B" w:rsidP="00F41823">
      <w:pPr>
        <w:pBdr>
          <w:top w:val="single" w:sz="4" w:space="1" w:color="auto"/>
          <w:left w:val="single" w:sz="4" w:space="4" w:color="auto"/>
          <w:bottom w:val="single" w:sz="4" w:space="1" w:color="auto"/>
          <w:right w:val="single" w:sz="4" w:space="4" w:color="auto"/>
        </w:pBdr>
        <w:autoSpaceDE w:val="0"/>
        <w:autoSpaceDN w:val="0"/>
        <w:spacing w:after="240" w:line="360" w:lineRule="auto"/>
        <w:rPr>
          <w:rFonts w:cs="Arial"/>
          <w:b/>
          <w:color w:val="000000"/>
          <w:lang w:val="en-GB"/>
        </w:rPr>
      </w:pPr>
      <w:r w:rsidRPr="00A311D9">
        <w:rPr>
          <w:rFonts w:cs="Arial"/>
          <w:b/>
          <w:bCs/>
          <w:lang w:val="en-GB"/>
        </w:rPr>
        <w:t>C40.</w:t>
      </w:r>
      <w:r w:rsidRPr="00A311D9">
        <w:rPr>
          <w:rFonts w:cs="Arial"/>
          <w:lang w:val="en-GB"/>
        </w:rPr>
        <w:t xml:space="preserve"> </w:t>
      </w:r>
      <w:r w:rsidRPr="00A311D9">
        <w:rPr>
          <w:rFonts w:cs="Arial"/>
          <w:b/>
          <w:color w:val="000000"/>
          <w:lang w:val="en-GB"/>
        </w:rPr>
        <w:t xml:space="preserve">The Committee urges the State party to address the widespread tolerance of corporal punishment by, inter alia, conducting awareness-raising and public education programmes with a view to encouraging the use of alternative disciplinary measures in accordance with the inherent dignity of the child, and in doing so, ensure that corporal punishment is prohibited in all settings including the family. </w:t>
      </w:r>
    </w:p>
    <w:p w14:paraId="0B266198" w14:textId="1B2CD9AF" w:rsidR="00AB084B" w:rsidRPr="00A311D9" w:rsidRDefault="00AB084B" w:rsidP="00AB084B">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bCs/>
          <w:lang w:val="en-GB"/>
        </w:rPr>
        <w:t>C42</w:t>
      </w:r>
      <w:r w:rsidRPr="00A311D9">
        <w:rPr>
          <w:rFonts w:cs="Arial"/>
          <w:lang w:val="en-GB"/>
        </w:rPr>
        <w:t xml:space="preserve">. </w:t>
      </w:r>
      <w:r w:rsidRPr="00A311D9">
        <w:rPr>
          <w:rFonts w:cs="Arial"/>
          <w:b/>
          <w:color w:val="000000"/>
          <w:lang w:val="en-GB"/>
        </w:rPr>
        <w:t xml:space="preserve">The Committee encourages the State party to continue to: </w:t>
      </w:r>
    </w:p>
    <w:p w14:paraId="5A7AC016" w14:textId="77777777" w:rsidR="00AB084B" w:rsidRPr="00A311D9" w:rsidRDefault="00AB084B" w:rsidP="00AB084B">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 xml:space="preserve">(a) Prioritize the elimination of all forms of violence against children and ensure the implementation of the recommendations of the United Nations study on violence against children (A/61/299), taking into account the outcome and recommendations of the regional consultation for Europe and Central Asia, held in Ljubljana from 5 to 7 July 2005, paying particular attention to gender; </w:t>
      </w:r>
    </w:p>
    <w:p w14:paraId="3227EADA" w14:textId="77777777" w:rsidR="00AB084B" w:rsidRPr="00A311D9" w:rsidRDefault="00AB084B" w:rsidP="00AB084B">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 xml:space="preserve">(b) Provide information concerning the implementation by the State party of the recommendations of the above-mentioned study in its next periodic report, particularly those highlighted by the Special Representative of the Secretary-General on violence against children, namely: </w:t>
      </w:r>
    </w:p>
    <w:p w14:paraId="440B1E59" w14:textId="19C0F927" w:rsidR="00AB084B" w:rsidRPr="00A311D9" w:rsidRDefault="00AB084B" w:rsidP="00AB084B">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w:t>
      </w:r>
      <w:r w:rsidR="00C54CAD" w:rsidRPr="00A311D9">
        <w:rPr>
          <w:rFonts w:cs="Arial"/>
          <w:b/>
          <w:color w:val="000000"/>
          <w:lang w:val="en-GB"/>
        </w:rPr>
        <w:t>I</w:t>
      </w:r>
      <w:r w:rsidRPr="00A311D9">
        <w:rPr>
          <w:rFonts w:cs="Arial"/>
          <w:b/>
          <w:color w:val="000000"/>
          <w:lang w:val="en-GB"/>
        </w:rPr>
        <w:t xml:space="preserve">) The development of a national comprehensive strategy to prevent and address all forms of violence against children; (ii) The introduction of an explicit national legal ban on all forms of violence against children in all settings; and (iii) The consolidation of a national system of data collection, analysis and dissemination, and a research agenda on violence against children. </w:t>
      </w:r>
    </w:p>
    <w:p w14:paraId="79980250" w14:textId="2683F2F6" w:rsidR="00AB084B" w:rsidRPr="00A311D9" w:rsidRDefault="00AB084B" w:rsidP="00AB084B">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(c) Cooperate with the Special Representative of the Secretary-General on violence against children, seek technical assistance,</w:t>
      </w:r>
      <w:r w:rsidR="00A311D9">
        <w:rPr>
          <w:rFonts w:cs="Arial"/>
          <w:b/>
          <w:color w:val="000000"/>
          <w:lang w:val="en-GB"/>
        </w:rPr>
        <w:t xml:space="preserve"> </w:t>
      </w:r>
      <w:r w:rsidR="006642BA">
        <w:rPr>
          <w:rFonts w:cs="Arial"/>
          <w:b/>
          <w:color w:val="000000"/>
          <w:lang w:val="en-GB"/>
        </w:rPr>
        <w:t>i</w:t>
      </w:r>
      <w:r w:rsidR="006642BA" w:rsidRPr="00A311D9">
        <w:rPr>
          <w:rFonts w:cs="Arial"/>
          <w:b/>
          <w:color w:val="000000"/>
          <w:lang w:val="en-GB"/>
        </w:rPr>
        <w:t>.e.</w:t>
      </w:r>
      <w:r w:rsidRPr="00A311D9">
        <w:rPr>
          <w:rFonts w:cs="Arial"/>
          <w:b/>
          <w:color w:val="000000"/>
          <w:lang w:val="en-GB"/>
        </w:rPr>
        <w:t xml:space="preserve"> from UNICEF, the Office of the High Commissioner for HR (OHCHR), World Health Organization (WHO), International Labour Office (ILO), United Nations Educational, Scientific and Cultural Organization (UNESCO), the Office of the UN High Commissioner for Refugees (UNHCR), the United Nations Office on Drugs and Crime (UNODC), as well as NGO partners. </w:t>
      </w:r>
    </w:p>
    <w:p w14:paraId="15D67E01" w14:textId="25698C68" w:rsidR="008A0843" w:rsidRPr="00A311D9" w:rsidRDefault="00F41823">
      <w:pPr>
        <w:autoSpaceDE w:val="0"/>
        <w:spacing w:line="360" w:lineRule="auto"/>
        <w:ind w:hanging="2"/>
        <w:rPr>
          <w:rFonts w:ascii="Arial" w:eastAsia="Arial" w:hAnsi="Arial" w:cs="Arial"/>
          <w:position w:val="-1"/>
          <w:lang w:val="en-GB"/>
        </w:rPr>
      </w:pPr>
      <w:r w:rsidRPr="00A311D9">
        <w:rPr>
          <w:rFonts w:ascii="Arial" w:eastAsia="Arial" w:hAnsi="Arial" w:cs="Arial"/>
          <w:position w:val="-1"/>
          <w:lang w:val="en-GB"/>
        </w:rPr>
        <w:t xml:space="preserve">The CoE </w:t>
      </w:r>
      <w:r w:rsidRPr="00A311D9">
        <w:rPr>
          <w:rFonts w:ascii="Arial" w:eastAsia="Arial" w:hAnsi="Arial" w:cs="Arial"/>
          <w:b/>
          <w:bCs/>
          <w:position w:val="-1"/>
          <w:lang w:val="en-GB"/>
        </w:rPr>
        <w:t>Convention on Preventing and Combating Violence against Women and Domestic Violence</w:t>
      </w:r>
      <w:r w:rsidRPr="00A311D9">
        <w:rPr>
          <w:rFonts w:ascii="Arial" w:eastAsia="Arial" w:hAnsi="Arial" w:cs="Arial"/>
          <w:position w:val="-1"/>
          <w:lang w:val="en-GB"/>
        </w:rPr>
        <w:t xml:space="preserve"> (G 57) has not been ratified by the State Party and there are proposals in politics to withdraw from the Convention. In practice, however, it has become clear in recent years that restrictions due to the covid-19 pandemic (distance learning, home</w:t>
      </w:r>
      <w:r w:rsidR="009A0339" w:rsidRPr="00A311D9">
        <w:rPr>
          <w:rFonts w:ascii="Arial" w:eastAsia="Arial" w:hAnsi="Arial" w:cs="Arial"/>
          <w:position w:val="-1"/>
          <w:lang w:val="en-GB"/>
        </w:rPr>
        <w:t xml:space="preserve"> office</w:t>
      </w:r>
      <w:r w:rsidRPr="00A311D9">
        <w:rPr>
          <w:rFonts w:ascii="Arial" w:eastAsia="Arial" w:hAnsi="Arial" w:cs="Arial"/>
          <w:position w:val="-1"/>
          <w:lang w:val="en-GB"/>
        </w:rPr>
        <w:t>, substantial income shortfalls, prohibition of visiting relatives in social institutions and prisons, unavailability or reduced availability of help from psychologists and psychiatrists, etc.) have increased family tensions, domestic violence and the frequency of psychological disorders in adults and children. It is estimated that while about 20% of the population needed such help before the pandemic, this proportion increased to 30% during the pandemic.</w:t>
      </w:r>
    </w:p>
    <w:p w14:paraId="606E0DD9" w14:textId="77777777" w:rsidR="00F41823" w:rsidRPr="00A311D9" w:rsidRDefault="00F41823">
      <w:pPr>
        <w:autoSpaceDE w:val="0"/>
        <w:spacing w:line="360" w:lineRule="auto"/>
        <w:ind w:hanging="2"/>
        <w:rPr>
          <w:rFonts w:ascii="Arial" w:eastAsia="Arial" w:hAnsi="Arial" w:cs="Arial"/>
          <w:position w:val="-1"/>
          <w:sz w:val="24"/>
          <w:szCs w:val="24"/>
          <w:lang w:val="en-GB"/>
        </w:rPr>
      </w:pPr>
    </w:p>
    <w:p w14:paraId="16464C4F" w14:textId="6C5A2BF3" w:rsidR="00523465" w:rsidRPr="00A311D9" w:rsidRDefault="00523465" w:rsidP="00523465">
      <w:pPr>
        <w:pStyle w:val="ListParagraph"/>
        <w:autoSpaceDE w:val="0"/>
        <w:autoSpaceDN w:val="0"/>
        <w:spacing w:after="240"/>
        <w:ind w:left="0"/>
        <w:jc w:val="both"/>
        <w:rPr>
          <w:rFonts w:cs="Arial"/>
          <w:b/>
          <w:color w:val="000000"/>
          <w:sz w:val="22"/>
          <w:szCs w:val="22"/>
          <w:u w:val="single"/>
          <w:lang w:val="en-GB"/>
        </w:rPr>
      </w:pPr>
      <w:r w:rsidRPr="00A311D9">
        <w:rPr>
          <w:rFonts w:cs="Arial"/>
          <w:b/>
          <w:color w:val="000000"/>
          <w:sz w:val="22"/>
          <w:szCs w:val="22"/>
          <w:lang w:val="en-GB"/>
        </w:rPr>
        <w:t xml:space="preserve">IV. </w:t>
      </w:r>
      <w:r w:rsidRPr="00A311D9">
        <w:rPr>
          <w:rFonts w:cs="Arial"/>
          <w:b/>
          <w:color w:val="000000"/>
          <w:sz w:val="22"/>
          <w:szCs w:val="22"/>
          <w:u w:val="single"/>
          <w:lang w:val="en-GB"/>
        </w:rPr>
        <w:t>Family Environment and Alternative Care (</w:t>
      </w:r>
      <w:r w:rsidRPr="00A311D9">
        <w:rPr>
          <w:rFonts w:cs="Arial"/>
          <w:b/>
          <w:color w:val="000000"/>
          <w:sz w:val="20"/>
          <w:szCs w:val="20"/>
          <w:lang w:val="en-GB"/>
        </w:rPr>
        <w:t xml:space="preserve">Articles </w:t>
      </w:r>
      <w:r w:rsidRPr="00A311D9">
        <w:rPr>
          <w:rFonts w:eastAsia="Arial" w:cs="Arial"/>
          <w:b/>
          <w:position w:val="-1"/>
          <w:sz w:val="20"/>
          <w:szCs w:val="20"/>
          <w:lang w:val="en-GB"/>
        </w:rPr>
        <w:t>5; 18.1,2; 9 - 11; 19 - 21; 25; 27.4 and 39)</w:t>
      </w:r>
    </w:p>
    <w:p w14:paraId="21EA1D8F" w14:textId="77777777" w:rsidR="00523465" w:rsidRPr="00A311D9" w:rsidRDefault="00523465" w:rsidP="00523465">
      <w:pPr>
        <w:autoSpaceDE w:val="0"/>
        <w:autoSpaceDN w:val="0"/>
        <w:spacing w:after="240" w:line="360" w:lineRule="auto"/>
        <w:rPr>
          <w:rFonts w:cs="Arial"/>
          <w:b/>
          <w:color w:val="000000"/>
          <w:lang w:val="en-GB"/>
        </w:rPr>
      </w:pPr>
      <w:r w:rsidRPr="00A311D9">
        <w:rPr>
          <w:rFonts w:cs="Arial"/>
          <w:b/>
          <w:color w:val="000000"/>
          <w:lang w:val="en-GB"/>
        </w:rPr>
        <w:t xml:space="preserve">Articles 5 and 18 – Family </w:t>
      </w:r>
    </w:p>
    <w:p w14:paraId="2D7CCCE5" w14:textId="77777777" w:rsidR="00523465" w:rsidRPr="00A311D9" w:rsidRDefault="00523465" w:rsidP="00523465">
      <w:pPr>
        <w:autoSpaceDE w:val="0"/>
        <w:autoSpaceDN w:val="0"/>
        <w:spacing w:after="240" w:line="360" w:lineRule="auto"/>
        <w:rPr>
          <w:rFonts w:cs="Arial"/>
          <w:b/>
          <w:color w:val="000000"/>
          <w:lang w:val="en-GB"/>
        </w:rPr>
      </w:pPr>
      <w:r w:rsidRPr="00A311D9">
        <w:rPr>
          <w:rFonts w:cs="Arial"/>
          <w:b/>
          <w:color w:val="000000"/>
          <w:lang w:val="en-GB"/>
        </w:rPr>
        <w:t>Assistance provided to parents, childcare and family care facilities and services</w:t>
      </w:r>
    </w:p>
    <w:p w14:paraId="38FD1895" w14:textId="7BB09A2D" w:rsidR="00523465" w:rsidRPr="00A311D9" w:rsidRDefault="00523465" w:rsidP="00A32EED">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b/>
          <w:color w:val="000000"/>
          <w:lang w:val="en-GB"/>
        </w:rPr>
      </w:pPr>
      <w:r w:rsidRPr="00A311D9">
        <w:rPr>
          <w:rFonts w:cs="Arial"/>
          <w:b/>
          <w:bCs/>
          <w:color w:val="000000"/>
          <w:lang w:val="en-GB"/>
        </w:rPr>
        <w:t>C 44.</w:t>
      </w:r>
      <w:r w:rsidRPr="00A311D9">
        <w:rPr>
          <w:rFonts w:cs="Arial"/>
          <w:color w:val="000000"/>
          <w:lang w:val="en-GB"/>
        </w:rPr>
        <w:t xml:space="preserve"> </w:t>
      </w:r>
      <w:r w:rsidRPr="00A311D9">
        <w:rPr>
          <w:rFonts w:cs="Arial"/>
          <w:b/>
          <w:color w:val="000000"/>
          <w:lang w:val="en-GB"/>
        </w:rPr>
        <w:t xml:space="preserve">The Committee recommends that the State party undertake measures to ensure that families in vulnerable socio-economic situations are provided with the financial resources and social support necessary so that all parents may realise their primary responsibility for their children in order for all children to enjoy the fulfilment of their rights to the greatest extent possible. The Committee further recommends that the State party provides the necessary services for parents and young children, especially those in deprived circumstances, to avoid developmental delays in children in situations of vulnerability. </w:t>
      </w:r>
    </w:p>
    <w:p w14:paraId="652D972A" w14:textId="0FC02D8B" w:rsidR="00025738" w:rsidRPr="00A311D9" w:rsidRDefault="00025738" w:rsidP="00025738">
      <w:pPr>
        <w:autoSpaceDE w:val="0"/>
        <w:spacing w:line="360" w:lineRule="auto"/>
        <w:ind w:hanging="2"/>
        <w:rPr>
          <w:rFonts w:ascii="Arial" w:eastAsia="Arial" w:hAnsi="Arial" w:cs="Arial"/>
          <w:position w:val="-1"/>
          <w:lang w:val="en-GB"/>
        </w:rPr>
      </w:pPr>
      <w:r w:rsidRPr="00A311D9">
        <w:rPr>
          <w:rFonts w:ascii="Arial" w:eastAsia="Arial" w:hAnsi="Arial" w:cs="Arial"/>
          <w:position w:val="-1"/>
          <w:lang w:val="en-GB"/>
        </w:rPr>
        <w:t xml:space="preserve">Unfortunately, parents, especially </w:t>
      </w:r>
      <w:r w:rsidRPr="00A311D9">
        <w:rPr>
          <w:rFonts w:ascii="Arial" w:eastAsia="Arial" w:hAnsi="Arial" w:cs="Arial"/>
          <w:b/>
          <w:bCs/>
          <w:position w:val="-1"/>
          <w:lang w:val="en-GB"/>
        </w:rPr>
        <w:t>vulnerable ones, are not effectively supported</w:t>
      </w:r>
      <w:r w:rsidRPr="00A311D9">
        <w:rPr>
          <w:rFonts w:ascii="Arial" w:eastAsia="Arial" w:hAnsi="Arial" w:cs="Arial"/>
          <w:position w:val="-1"/>
          <w:lang w:val="en-GB"/>
        </w:rPr>
        <w:t xml:space="preserve"> by the state in preventing difficult life situations. For example, in the area of assistance to parents with intellectual disabilities, many social workers are inexperienced and insufficiently trained, which leads to stigmatisation, prejudice and discriminatory behaviour towards these vulnerable clients. This often leads to the often-mentioned bad practice of removing newborns from parents with disabilities soon after birth and placing them in foster care or institutional care. </w:t>
      </w:r>
    </w:p>
    <w:p w14:paraId="210D21F7" w14:textId="4696BE17" w:rsidR="00025738" w:rsidRPr="00A311D9" w:rsidRDefault="00025738" w:rsidP="00025738">
      <w:pPr>
        <w:autoSpaceDE w:val="0"/>
        <w:spacing w:line="360" w:lineRule="auto"/>
        <w:ind w:hanging="2"/>
        <w:rPr>
          <w:rFonts w:ascii="Arial" w:eastAsia="Arial" w:hAnsi="Arial" w:cs="Arial"/>
          <w:position w:val="-1"/>
          <w:lang w:val="en-GB"/>
        </w:rPr>
      </w:pPr>
      <w:r w:rsidRPr="00A311D9">
        <w:rPr>
          <w:rFonts w:ascii="Arial" w:eastAsia="Arial" w:hAnsi="Arial" w:cs="Arial"/>
          <w:position w:val="-1"/>
          <w:lang w:val="en-GB"/>
        </w:rPr>
        <w:t xml:space="preserve">We welcome that in recent weeks an amendment to the law has been adopted to introduce a </w:t>
      </w:r>
      <w:r w:rsidRPr="00A311D9">
        <w:rPr>
          <w:rFonts w:ascii="Arial" w:eastAsia="Arial" w:hAnsi="Arial" w:cs="Arial"/>
          <w:b/>
          <w:bCs/>
          <w:position w:val="-1"/>
          <w:lang w:val="en-GB"/>
        </w:rPr>
        <w:t>requirement for teaching qualifications</w:t>
      </w:r>
      <w:r w:rsidRPr="00A311D9">
        <w:rPr>
          <w:rFonts w:ascii="Arial" w:eastAsia="Arial" w:hAnsi="Arial" w:cs="Arial"/>
          <w:position w:val="-1"/>
          <w:lang w:val="en-GB"/>
        </w:rPr>
        <w:t xml:space="preserve"> for staff in the measure referred to in G 44 (playgroups), thereby respecting children's right to quality pre-school education. </w:t>
      </w:r>
    </w:p>
    <w:p w14:paraId="785D8D1A" w14:textId="0DCBADE5" w:rsidR="008A0843" w:rsidRPr="00A311D9" w:rsidRDefault="00025738" w:rsidP="00025738">
      <w:pPr>
        <w:autoSpaceDE w:val="0"/>
        <w:spacing w:line="360" w:lineRule="auto"/>
        <w:ind w:hanging="2"/>
        <w:rPr>
          <w:rFonts w:ascii="Arial" w:eastAsia="Arial" w:hAnsi="Arial" w:cs="Arial"/>
          <w:i/>
          <w:position w:val="-1"/>
          <w:lang w:val="en-GB"/>
        </w:rPr>
      </w:pPr>
      <w:r w:rsidRPr="00A311D9">
        <w:rPr>
          <w:rFonts w:ascii="Arial" w:eastAsia="Arial" w:hAnsi="Arial" w:cs="Arial"/>
          <w:position w:val="-1"/>
          <w:lang w:val="en-GB"/>
        </w:rPr>
        <w:t xml:space="preserve">The measures listed in G 68 </w:t>
      </w:r>
      <w:r w:rsidRPr="00A311D9">
        <w:rPr>
          <w:rFonts w:ascii="Arial" w:eastAsia="Arial" w:hAnsi="Arial" w:cs="Arial"/>
          <w:b/>
          <w:bCs/>
          <w:position w:val="-1"/>
          <w:lang w:val="en-GB"/>
        </w:rPr>
        <w:t xml:space="preserve">do not help the </w:t>
      </w:r>
      <w:r w:rsidR="006642BA" w:rsidRPr="00A311D9">
        <w:rPr>
          <w:rFonts w:ascii="Arial" w:eastAsia="Arial" w:hAnsi="Arial" w:cs="Arial"/>
          <w:b/>
          <w:bCs/>
          <w:position w:val="-1"/>
          <w:lang w:val="en-GB"/>
        </w:rPr>
        <w:t>neediest</w:t>
      </w:r>
      <w:r w:rsidRPr="00A311D9">
        <w:rPr>
          <w:rFonts w:ascii="Arial" w:eastAsia="Arial" w:hAnsi="Arial" w:cs="Arial"/>
          <w:b/>
          <w:bCs/>
          <w:position w:val="-1"/>
          <w:lang w:val="en-GB"/>
        </w:rPr>
        <w:t xml:space="preserve"> children</w:t>
      </w:r>
      <w:r w:rsidRPr="00A311D9">
        <w:rPr>
          <w:rFonts w:ascii="Arial" w:eastAsia="Arial" w:hAnsi="Arial" w:cs="Arial"/>
          <w:position w:val="-1"/>
          <w:lang w:val="en-GB"/>
        </w:rPr>
        <w:t xml:space="preserve"> as they are conditional on the child's parent</w:t>
      </w:r>
      <w:r w:rsidR="00EE42EF" w:rsidRPr="00A311D9">
        <w:rPr>
          <w:rFonts w:ascii="Arial" w:eastAsia="Arial" w:hAnsi="Arial" w:cs="Arial"/>
          <w:position w:val="-1"/>
          <w:lang w:val="en-GB"/>
        </w:rPr>
        <w:t>(</w:t>
      </w:r>
      <w:r w:rsidRPr="00A311D9">
        <w:rPr>
          <w:rFonts w:ascii="Arial" w:eastAsia="Arial" w:hAnsi="Arial" w:cs="Arial"/>
          <w:position w:val="-1"/>
          <w:lang w:val="en-GB"/>
        </w:rPr>
        <w:t>s</w:t>
      </w:r>
      <w:r w:rsidR="00EE42EF" w:rsidRPr="00A311D9">
        <w:rPr>
          <w:rFonts w:ascii="Arial" w:eastAsia="Arial" w:hAnsi="Arial" w:cs="Arial"/>
          <w:position w:val="-1"/>
          <w:lang w:val="en-GB"/>
        </w:rPr>
        <w:t>)</w:t>
      </w:r>
      <w:r w:rsidRPr="00A311D9">
        <w:rPr>
          <w:rFonts w:ascii="Arial" w:eastAsia="Arial" w:hAnsi="Arial" w:cs="Arial"/>
          <w:position w:val="-1"/>
          <w:lang w:val="en-GB"/>
        </w:rPr>
        <w:t xml:space="preserve"> working. The increase in child allowances that the government pushed through in June 2021 is two-tiered: the highest allowances will go to children of working parents. This is </w:t>
      </w:r>
      <w:r w:rsidRPr="00A311D9">
        <w:rPr>
          <w:rFonts w:ascii="Arial" w:eastAsia="Arial" w:hAnsi="Arial" w:cs="Arial"/>
          <w:b/>
          <w:bCs/>
          <w:position w:val="-1"/>
          <w:lang w:val="en-GB"/>
        </w:rPr>
        <w:t>indirect (institutional) discrimination</w:t>
      </w:r>
      <w:r w:rsidRPr="00A311D9">
        <w:rPr>
          <w:rFonts w:ascii="Arial" w:eastAsia="Arial" w:hAnsi="Arial" w:cs="Arial"/>
          <w:position w:val="-1"/>
          <w:lang w:val="en-GB"/>
        </w:rPr>
        <w:t xml:space="preserve"> - data from the Labour Office show that in districts with a higher representation of the Roma minority, especially in excluded localities, of which there are over 600, unemployment is also higher. Therefore, children </w:t>
      </w:r>
      <w:r w:rsidR="00EE42EF" w:rsidRPr="00A311D9">
        <w:rPr>
          <w:rFonts w:ascii="Arial" w:eastAsia="Arial" w:hAnsi="Arial" w:cs="Arial"/>
          <w:position w:val="-1"/>
          <w:lang w:val="en-GB"/>
        </w:rPr>
        <w:t xml:space="preserve">living there </w:t>
      </w:r>
      <w:r w:rsidRPr="00A311D9">
        <w:rPr>
          <w:rFonts w:ascii="Arial" w:eastAsia="Arial" w:hAnsi="Arial" w:cs="Arial"/>
          <w:position w:val="-1"/>
          <w:lang w:val="en-GB"/>
        </w:rPr>
        <w:t>will on average receive lower benefits.</w:t>
      </w:r>
    </w:p>
    <w:p w14:paraId="20C8A895" w14:textId="77777777" w:rsidR="00414964" w:rsidRPr="00A311D9" w:rsidRDefault="00414964">
      <w:pPr>
        <w:autoSpaceDE w:val="0"/>
        <w:spacing w:line="360" w:lineRule="auto"/>
        <w:ind w:hanging="2"/>
        <w:rPr>
          <w:rFonts w:ascii="Arial" w:eastAsia="Arial" w:hAnsi="Arial" w:cs="Arial"/>
          <w:b/>
          <w:position w:val="-1"/>
          <w:lang w:val="en-GB"/>
        </w:rPr>
      </w:pPr>
    </w:p>
    <w:p w14:paraId="58ADE815" w14:textId="77777777" w:rsidR="004972AE" w:rsidRPr="00A311D9" w:rsidRDefault="004972AE" w:rsidP="004972AE">
      <w:pPr>
        <w:autoSpaceDE w:val="0"/>
        <w:autoSpaceDN w:val="0"/>
        <w:spacing w:after="240" w:line="360" w:lineRule="auto"/>
        <w:rPr>
          <w:rFonts w:cs="Arial"/>
          <w:b/>
          <w:color w:val="000000"/>
          <w:lang w:val="en-GB"/>
        </w:rPr>
      </w:pPr>
      <w:r w:rsidRPr="00A311D9">
        <w:rPr>
          <w:rFonts w:cs="Arial"/>
          <w:b/>
          <w:color w:val="000000"/>
          <w:lang w:val="en-GB"/>
        </w:rPr>
        <w:t>Children Removed from Parents (Alternative Family and Institutional Care for Children)</w:t>
      </w:r>
    </w:p>
    <w:p w14:paraId="712D83A1" w14:textId="459639BD" w:rsidR="004972AE" w:rsidRPr="00A311D9" w:rsidRDefault="004972AE" w:rsidP="004972AE">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 xml:space="preserve">C 46 (2011). Drawing attention to the Guidelines for the Alternative Care of Children contained in General Assembly resolution 64/142 adopted on 20 November 2009, the Committee calls upon the State party to urgently formulate a coherent national policy on de-institutionalisation, and in particular :       (a) Develop comprehensive assessments of the family situation, preventive services, admission criteria and strategies to reduce the number of children living in care institutions and ensure that placement of children in institutions is only used as a last resort and regularly monitored and reviewed in instances of it being applied; </w:t>
      </w:r>
    </w:p>
    <w:p w14:paraId="7A1F9B97" w14:textId="28E68F0B" w:rsidR="004972AE" w:rsidRPr="00A311D9" w:rsidRDefault="004972AE" w:rsidP="004972AE">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 xml:space="preserve">(b) Develop family type services and foster care to avoid institutionalisation of children. </w:t>
      </w:r>
    </w:p>
    <w:p w14:paraId="29A0E379" w14:textId="77777777" w:rsidR="004972AE" w:rsidRPr="00A311D9" w:rsidRDefault="004972AE" w:rsidP="004972AE">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 xml:space="preserve">(c) Make the necessary amendments to the Orphanage Ordinance expeditiously so as to enforce a mandatory registration requirement for childcare institutions, criminalize running an institution without a license, establish uniform standards for public and private institutions and voluntary homes and a system to monitor them regularly; </w:t>
      </w:r>
    </w:p>
    <w:p w14:paraId="1C4356ED" w14:textId="77777777" w:rsidR="004972AE" w:rsidRPr="00A311D9" w:rsidRDefault="004972AE" w:rsidP="004972AE">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 xml:space="preserve">(d) Urgently improve the facilities within institutions for children and allocate the necessary resources for the effective functioning and monitoring of child care institutions; and, take measures to increase the number of social workers available while establishing criteria for the selection of child-care workers and also ensure that they are adequately trained; and </w:t>
      </w:r>
    </w:p>
    <w:p w14:paraId="5E6A7DE4" w14:textId="77777777" w:rsidR="004972AE" w:rsidRPr="00A311D9" w:rsidRDefault="004972AE" w:rsidP="004972AE">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 xml:space="preserve">(e) Ensure the timely development of individual child care plans from the time the child enters the institution and strengthen inclusive education policies and practices, and in doing so facilitate the child’s return to a family-type environment expeditiously; </w:t>
      </w:r>
    </w:p>
    <w:p w14:paraId="366C6BB8" w14:textId="77777777" w:rsidR="004972AE" w:rsidRPr="00A311D9" w:rsidRDefault="004972AE" w:rsidP="004972AE">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color w:val="000000"/>
          <w:lang w:val="en-GB"/>
        </w:rPr>
      </w:pPr>
      <w:r w:rsidRPr="00A311D9">
        <w:rPr>
          <w:rFonts w:cs="Arial"/>
          <w:b/>
          <w:color w:val="000000"/>
          <w:lang w:val="en-GB"/>
        </w:rPr>
        <w:t xml:space="preserve">(f) Promote and facilitate contact between the child in institutional care and his/her family, as well as implement mechanisms to expand and stimulate the reintegration of children with their families, and; </w:t>
      </w:r>
    </w:p>
    <w:p w14:paraId="786D4E27" w14:textId="77777777" w:rsidR="004972AE" w:rsidRPr="00A311D9" w:rsidRDefault="004972AE" w:rsidP="004972AE">
      <w:pPr>
        <w:pBdr>
          <w:top w:val="single" w:sz="4" w:space="1" w:color="000000"/>
          <w:left w:val="single" w:sz="4" w:space="4" w:color="000000"/>
          <w:bottom w:val="single" w:sz="4" w:space="1" w:color="000000"/>
          <w:right w:val="single" w:sz="4" w:space="4" w:color="000000"/>
        </w:pBdr>
        <w:autoSpaceDE w:val="0"/>
        <w:autoSpaceDN w:val="0"/>
        <w:spacing w:after="240" w:line="360" w:lineRule="auto"/>
        <w:rPr>
          <w:rFonts w:cs="Arial"/>
          <w:b/>
          <w:color w:val="000000"/>
          <w:lang w:val="en-GB"/>
        </w:rPr>
      </w:pPr>
      <w:r w:rsidRPr="00A311D9">
        <w:rPr>
          <w:rFonts w:cs="Arial"/>
          <w:b/>
          <w:color w:val="000000"/>
          <w:lang w:val="en-GB"/>
        </w:rPr>
        <w:t xml:space="preserve">(g) Ensure that the proposed improvements to the system of institutional care are guided by a clear timeline with concrete benchmarks for implementation that are effectively monitored at regular intervals. </w:t>
      </w:r>
    </w:p>
    <w:p w14:paraId="0CD11B3A" w14:textId="77777777" w:rsidR="00414964" w:rsidRPr="00A311D9" w:rsidRDefault="00414964" w:rsidP="00CA035D">
      <w:pPr>
        <w:spacing w:after="0" w:line="360" w:lineRule="auto"/>
        <w:rPr>
          <w:rFonts w:ascii="Arial" w:eastAsia="Times New Roman" w:hAnsi="Arial" w:cs="Arial"/>
          <w:b/>
          <w:bCs/>
          <w:lang w:val="en-GB"/>
        </w:rPr>
      </w:pPr>
    </w:p>
    <w:p w14:paraId="1665B84F" w14:textId="69EBEBFD" w:rsidR="004972AE" w:rsidRPr="00A311D9" w:rsidRDefault="004972AE" w:rsidP="004972AE">
      <w:pPr>
        <w:spacing w:after="0" w:line="360" w:lineRule="auto"/>
        <w:rPr>
          <w:rFonts w:ascii="Arial" w:eastAsia="Times New Roman" w:hAnsi="Arial" w:cs="Arial"/>
          <w:lang w:val="en-GB"/>
        </w:rPr>
      </w:pPr>
      <w:r w:rsidRPr="00A311D9">
        <w:rPr>
          <w:rFonts w:ascii="Arial" w:eastAsia="Times New Roman" w:hAnsi="Arial" w:cs="Arial"/>
          <w:lang w:val="en-GB"/>
        </w:rPr>
        <w:t xml:space="preserve">Czechia </w:t>
      </w:r>
      <w:r w:rsidRPr="00A311D9">
        <w:rPr>
          <w:rFonts w:ascii="Arial" w:eastAsia="Times New Roman" w:hAnsi="Arial" w:cs="Arial"/>
          <w:b/>
          <w:bCs/>
          <w:lang w:val="en-GB"/>
        </w:rPr>
        <w:t>lacks a system of preparation and support for children before they leave institutional care</w:t>
      </w:r>
      <w:r w:rsidRPr="00A311D9">
        <w:rPr>
          <w:rFonts w:ascii="Arial" w:eastAsia="Times New Roman" w:hAnsi="Arial" w:cs="Arial"/>
          <w:lang w:val="en-GB"/>
        </w:rPr>
        <w:t xml:space="preserve"> and afterwards - the current system of support does not provide adequate protection of the rights of children and young adults and does not reflect their specific needs. </w:t>
      </w:r>
    </w:p>
    <w:p w14:paraId="37FE4F73" w14:textId="680156A4" w:rsidR="00414964" w:rsidRPr="00A311D9" w:rsidRDefault="004972AE" w:rsidP="004972AE">
      <w:pPr>
        <w:spacing w:after="0" w:line="360" w:lineRule="auto"/>
        <w:rPr>
          <w:rFonts w:ascii="Arial" w:eastAsia="Times New Roman" w:hAnsi="Arial" w:cs="Arial"/>
          <w:lang w:val="en-GB"/>
        </w:rPr>
      </w:pPr>
      <w:r w:rsidRPr="00A311D9">
        <w:rPr>
          <w:rFonts w:ascii="Arial" w:eastAsia="Times New Roman" w:hAnsi="Arial" w:cs="Arial"/>
          <w:b/>
          <w:bCs/>
          <w:lang w:val="en-GB"/>
        </w:rPr>
        <w:t>There are no regular checks on the fulfilment of the rights of children living in institutional care facilities, treatment centres, detention centres, prison facilities, police cells.</w:t>
      </w:r>
    </w:p>
    <w:p w14:paraId="3A087462" w14:textId="672EF2C7" w:rsidR="00B81902" w:rsidRPr="00A311D9" w:rsidRDefault="00B81902" w:rsidP="00B81902">
      <w:pPr>
        <w:autoSpaceDE w:val="0"/>
        <w:spacing w:line="360" w:lineRule="auto"/>
        <w:ind w:hanging="2"/>
        <w:rPr>
          <w:rFonts w:ascii="Arial" w:eastAsia="Times New Roman" w:hAnsi="Arial" w:cs="Arial"/>
          <w:lang w:val="en-GB"/>
        </w:rPr>
      </w:pPr>
      <w:r w:rsidRPr="00A311D9">
        <w:rPr>
          <w:rFonts w:ascii="Arial" w:eastAsia="Times New Roman" w:hAnsi="Arial" w:cs="Arial"/>
          <w:lang w:val="en-GB"/>
        </w:rPr>
        <w:t xml:space="preserve">In August 2021, the Chamber of Deputies adopted an amendment to the Act on Social and Legal Protection of Children, which proposes </w:t>
      </w:r>
      <w:r w:rsidRPr="00A311D9">
        <w:rPr>
          <w:rFonts w:ascii="Arial" w:eastAsia="Times New Roman" w:hAnsi="Arial" w:cs="Arial"/>
          <w:b/>
          <w:bCs/>
          <w:lang w:val="en-GB"/>
        </w:rPr>
        <w:t>a ban on placing children under the age of 3 in institutional settings</w:t>
      </w:r>
      <w:r w:rsidRPr="00A311D9">
        <w:rPr>
          <w:rFonts w:ascii="Arial" w:eastAsia="Times New Roman" w:hAnsi="Arial" w:cs="Arial"/>
          <w:lang w:val="en-GB"/>
        </w:rPr>
        <w:t xml:space="preserve"> from 2025 on, except for children with disabilities (in the 3rd and 4th degree of dependency) and larger sibling groups of children (often Roma). It proposes that these two kinds of children can continue to be placed in institutional settings. The amendment also proposes to introduce support for young people leaving institutional care and foster care in the form of a so-called maintenance allowance. The amendment </w:t>
      </w:r>
      <w:r w:rsidRPr="00A311D9">
        <w:rPr>
          <w:rFonts w:ascii="Arial" w:eastAsia="Times New Roman" w:hAnsi="Arial" w:cs="Arial"/>
          <w:b/>
          <w:bCs/>
          <w:lang w:val="en-GB"/>
        </w:rPr>
        <w:t>is not yet in force</w:t>
      </w:r>
      <w:r w:rsidRPr="00A311D9">
        <w:rPr>
          <w:rFonts w:ascii="Arial" w:eastAsia="Times New Roman" w:hAnsi="Arial" w:cs="Arial"/>
          <w:lang w:val="en-GB"/>
        </w:rPr>
        <w:t>, pending approval by the Senate and the signature of the President.</w:t>
      </w:r>
    </w:p>
    <w:p w14:paraId="79F95C38" w14:textId="5FE7D5F6" w:rsidR="008A0843" w:rsidRPr="00A311D9" w:rsidRDefault="00B81902" w:rsidP="00B81902">
      <w:pPr>
        <w:autoSpaceDE w:val="0"/>
        <w:spacing w:line="360" w:lineRule="auto"/>
        <w:ind w:hanging="2"/>
        <w:rPr>
          <w:rFonts w:ascii="Arial" w:eastAsia="Arial" w:hAnsi="Arial" w:cs="Arial"/>
          <w:b/>
          <w:position w:val="-1"/>
          <w:sz w:val="24"/>
          <w:szCs w:val="24"/>
          <w:lang w:val="en-GB"/>
        </w:rPr>
      </w:pPr>
      <w:r w:rsidRPr="00A311D9">
        <w:rPr>
          <w:rFonts w:ascii="Arial" w:eastAsia="Times New Roman" w:hAnsi="Arial" w:cs="Arial"/>
          <w:lang w:val="en-GB"/>
        </w:rPr>
        <w:t>There is still the issue of the inappropriate mixing of institutional and protective education in educational institutions, where children who do not belong in the latter detention facilities (i.e. children in substitute care - with court-ordered institutional education) are placed there.</w:t>
      </w:r>
    </w:p>
    <w:p w14:paraId="144905E9" w14:textId="77777777" w:rsidR="00414964" w:rsidRPr="00A311D9" w:rsidRDefault="00414964">
      <w:pPr>
        <w:autoSpaceDE w:val="0"/>
        <w:spacing w:line="360" w:lineRule="auto"/>
        <w:ind w:hanging="2"/>
        <w:rPr>
          <w:rFonts w:ascii="Arial" w:eastAsia="Arial" w:hAnsi="Arial" w:cs="Arial"/>
          <w:b/>
          <w:position w:val="-1"/>
          <w:sz w:val="24"/>
          <w:szCs w:val="24"/>
          <w:lang w:val="en-GB"/>
        </w:rPr>
      </w:pPr>
    </w:p>
    <w:p w14:paraId="1DF76883" w14:textId="77777777" w:rsidR="00414964" w:rsidRPr="00A311D9" w:rsidRDefault="00414964">
      <w:pPr>
        <w:autoSpaceDE w:val="0"/>
        <w:spacing w:line="360" w:lineRule="auto"/>
        <w:ind w:hanging="2"/>
        <w:rPr>
          <w:rFonts w:ascii="Arial" w:eastAsia="Arial" w:hAnsi="Arial" w:cs="Arial"/>
          <w:b/>
          <w:position w:val="-1"/>
          <w:sz w:val="24"/>
          <w:szCs w:val="24"/>
          <w:lang w:val="en-GB"/>
        </w:rPr>
      </w:pPr>
    </w:p>
    <w:p w14:paraId="4716F538" w14:textId="6F9568E5" w:rsidR="0088239F" w:rsidRPr="00A311D9" w:rsidRDefault="00637D46" w:rsidP="00676DC9">
      <w:pPr>
        <w:pStyle w:val="ListParagraph"/>
        <w:autoSpaceDE w:val="0"/>
        <w:autoSpaceDN w:val="0"/>
        <w:spacing w:after="240"/>
        <w:ind w:left="0"/>
        <w:jc w:val="both"/>
        <w:rPr>
          <w:rFonts w:cs="Arial"/>
          <w:color w:val="000000"/>
          <w:sz w:val="22"/>
          <w:szCs w:val="22"/>
          <w:u w:val="single"/>
          <w:lang w:val="en-GB"/>
        </w:rPr>
      </w:pPr>
      <w:r w:rsidRPr="00A311D9">
        <w:rPr>
          <w:rFonts w:cs="Arial"/>
          <w:b/>
          <w:color w:val="000000"/>
          <w:sz w:val="22"/>
          <w:szCs w:val="22"/>
          <w:lang w:val="en-GB"/>
        </w:rPr>
        <w:t xml:space="preserve">V. </w:t>
      </w:r>
      <w:r w:rsidRPr="00A311D9">
        <w:rPr>
          <w:rFonts w:cs="Arial"/>
          <w:b/>
          <w:color w:val="000000"/>
          <w:sz w:val="22"/>
          <w:szCs w:val="22"/>
          <w:u w:val="single"/>
          <w:lang w:val="en-GB"/>
        </w:rPr>
        <w:t xml:space="preserve">Basic Health and Welfare </w:t>
      </w:r>
      <w:r w:rsidRPr="00A311D9">
        <w:rPr>
          <w:rFonts w:eastAsia="Arial" w:cs="Arial"/>
          <w:b/>
          <w:position w:val="-1"/>
          <w:sz w:val="22"/>
          <w:szCs w:val="22"/>
          <w:u w:val="single"/>
          <w:lang w:val="en-GB"/>
        </w:rPr>
        <w:t>(Articles 6; 18.3; 23; 24; 26; 27.1-3)</w:t>
      </w:r>
    </w:p>
    <w:p w14:paraId="49A5A853" w14:textId="73375510" w:rsidR="00676DC9" w:rsidRPr="00A311D9" w:rsidRDefault="00676DC9" w:rsidP="00676DC9">
      <w:pPr>
        <w:autoSpaceDE w:val="0"/>
        <w:autoSpaceDN w:val="0"/>
        <w:adjustRightInd w:val="0"/>
        <w:spacing w:after="0" w:line="240" w:lineRule="auto"/>
        <w:jc w:val="left"/>
        <w:rPr>
          <w:rFonts w:ascii="Arial" w:eastAsia="Times New Roman" w:hAnsi="Arial" w:cs="Arial"/>
          <w:b/>
          <w:bCs/>
          <w:color w:val="000000"/>
          <w:lang w:val="en-GB"/>
        </w:rPr>
      </w:pPr>
      <w:r w:rsidRPr="00A311D9">
        <w:rPr>
          <w:rFonts w:ascii="Arial" w:eastAsia="Times New Roman" w:hAnsi="Arial" w:cs="Arial"/>
          <w:b/>
          <w:bCs/>
          <w:color w:val="000000"/>
          <w:lang w:val="en-GB"/>
        </w:rPr>
        <w:t>Violations of the rights of minors in hospitals</w:t>
      </w:r>
    </w:p>
    <w:p w14:paraId="2CC729A5" w14:textId="77777777" w:rsidR="00676DC9" w:rsidRPr="00A311D9" w:rsidRDefault="00676DC9" w:rsidP="00676DC9">
      <w:pPr>
        <w:autoSpaceDE w:val="0"/>
        <w:autoSpaceDN w:val="0"/>
        <w:adjustRightInd w:val="0"/>
        <w:spacing w:after="0" w:line="240" w:lineRule="auto"/>
        <w:jc w:val="left"/>
        <w:rPr>
          <w:rFonts w:ascii="Arial" w:eastAsia="Times New Roman" w:hAnsi="Arial" w:cs="Arial"/>
          <w:b/>
          <w:bCs/>
          <w:color w:val="000000"/>
          <w:lang w:val="en-GB"/>
        </w:rPr>
      </w:pPr>
    </w:p>
    <w:p w14:paraId="10173C09" w14:textId="77777777" w:rsidR="00B03B8C" w:rsidRPr="00A311D9" w:rsidRDefault="00B03B8C" w:rsidP="00B03B8C">
      <w:pPr>
        <w:autoSpaceDE w:val="0"/>
        <w:autoSpaceDN w:val="0"/>
        <w:adjustRightInd w:val="0"/>
        <w:spacing w:after="0" w:line="240" w:lineRule="auto"/>
        <w:jc w:val="left"/>
        <w:rPr>
          <w:rFonts w:ascii="Arial" w:eastAsia="Times New Roman" w:hAnsi="Arial" w:cs="Arial"/>
          <w:b/>
          <w:bCs/>
          <w:i/>
          <w:iCs/>
          <w:color w:val="000000"/>
          <w:lang w:val="en-GB"/>
        </w:rPr>
      </w:pPr>
    </w:p>
    <w:p w14:paraId="5E94949C" w14:textId="6FCC30D4" w:rsidR="0088239F" w:rsidRPr="00A311D9" w:rsidRDefault="0088239F" w:rsidP="0088239F">
      <w:pPr>
        <w:autoSpaceDE w:val="0"/>
        <w:autoSpaceDN w:val="0"/>
        <w:adjustRightInd w:val="0"/>
        <w:spacing w:after="0" w:line="360" w:lineRule="auto"/>
        <w:rPr>
          <w:rFonts w:ascii="Arial" w:eastAsia="ArialMT" w:hAnsi="Arial" w:cs="Arial"/>
          <w:color w:val="000000"/>
          <w:lang w:val="en-GB"/>
        </w:rPr>
      </w:pPr>
      <w:r w:rsidRPr="00A311D9">
        <w:rPr>
          <w:rFonts w:ascii="Arial" w:eastAsia="ArialMT" w:hAnsi="Arial" w:cs="Arial"/>
          <w:color w:val="000000"/>
          <w:lang w:val="en-GB"/>
        </w:rPr>
        <w:t>Violations of the rights of newborns and older children are a long-standing problem that existed before the covid crisis and will clearly continue to occur. One of the main problematic factors is the real unenforceability of the rights of the child and his or her parents in a given situation, where there is separation of the child from the parent, refusal to provide medical care because the parent does not want to leave the child alone during the examination, or when the hospital refuses to discharge the child for home treatment.</w:t>
      </w:r>
    </w:p>
    <w:p w14:paraId="27F7FEF9" w14:textId="77777777" w:rsidR="0088239F" w:rsidRPr="00A311D9" w:rsidRDefault="0088239F" w:rsidP="0088239F">
      <w:pPr>
        <w:autoSpaceDE w:val="0"/>
        <w:autoSpaceDN w:val="0"/>
        <w:adjustRightInd w:val="0"/>
        <w:spacing w:after="0" w:line="360" w:lineRule="auto"/>
        <w:rPr>
          <w:rFonts w:ascii="Arial" w:eastAsia="ArialMT" w:hAnsi="Arial" w:cs="Arial"/>
          <w:color w:val="000000"/>
          <w:lang w:val="en-GB"/>
        </w:rPr>
      </w:pPr>
    </w:p>
    <w:p w14:paraId="2ADEEFF8" w14:textId="77777777" w:rsidR="0088239F" w:rsidRPr="00A311D9" w:rsidRDefault="0088239F" w:rsidP="0088239F">
      <w:pPr>
        <w:autoSpaceDE w:val="0"/>
        <w:autoSpaceDN w:val="0"/>
        <w:adjustRightInd w:val="0"/>
        <w:spacing w:after="0" w:line="360" w:lineRule="auto"/>
        <w:rPr>
          <w:rFonts w:ascii="Arial" w:eastAsia="ArialMT" w:hAnsi="Arial" w:cs="Arial"/>
          <w:color w:val="000000"/>
          <w:lang w:val="en-GB"/>
        </w:rPr>
      </w:pPr>
      <w:r w:rsidRPr="00A311D9">
        <w:rPr>
          <w:rFonts w:ascii="Arial" w:eastAsia="ArialMT" w:hAnsi="Arial" w:cs="Arial"/>
          <w:color w:val="000000"/>
          <w:lang w:val="en-GB"/>
        </w:rPr>
        <w:t>We repeatedly encounter the following situations:</w:t>
      </w:r>
    </w:p>
    <w:p w14:paraId="673F2EB5" w14:textId="13BCB2AE" w:rsidR="00702912" w:rsidRPr="00A311D9" w:rsidRDefault="0088239F" w:rsidP="0088239F">
      <w:pPr>
        <w:autoSpaceDE w:val="0"/>
        <w:autoSpaceDN w:val="0"/>
        <w:adjustRightInd w:val="0"/>
        <w:spacing w:after="0" w:line="360" w:lineRule="auto"/>
        <w:rPr>
          <w:rFonts w:ascii="Arial" w:eastAsia="ArialMT" w:hAnsi="Arial" w:cs="Arial"/>
          <w:color w:val="000000"/>
          <w:lang w:val="en-GB"/>
        </w:rPr>
      </w:pPr>
      <w:r w:rsidRPr="00A311D9">
        <w:rPr>
          <w:rFonts w:ascii="Arial" w:eastAsia="ArialMT" w:hAnsi="Arial" w:cs="Arial"/>
          <w:color w:val="000000"/>
          <w:lang w:val="en-GB"/>
        </w:rPr>
        <w:t>● The hospital refuses to allow parents to enter and accompany their child throughout the child's hospitalization. Hospitals often mistake a parent's presence with a hospitalized child as a visit. However, a parent is not a visitor. He or she has the right to be with the child at all times (subject to legal conditions). Hospitals often use the excuse that they do not have a bed for the parent or want to charge for the parent's presence. However, none of this is legitimate.</w:t>
      </w:r>
      <w:r w:rsidR="00702912" w:rsidRPr="00A311D9">
        <w:rPr>
          <w:rFonts w:ascii="Arial" w:eastAsia="ArialMT" w:hAnsi="Arial" w:cs="Arial"/>
          <w:color w:val="000000"/>
          <w:lang w:val="en-GB"/>
        </w:rPr>
        <w:t xml:space="preserve"> In the context of covid, it was often a total ban on parents being present with their hospitalized children (as well as a ban on fathers being present at birth, which was intensively addressed in the spring of 2020).</w:t>
      </w:r>
    </w:p>
    <w:p w14:paraId="36DE213B" w14:textId="1E4B72D4" w:rsidR="0088239F" w:rsidRPr="00A311D9" w:rsidRDefault="0088239F" w:rsidP="0088239F">
      <w:pPr>
        <w:autoSpaceDE w:val="0"/>
        <w:autoSpaceDN w:val="0"/>
        <w:adjustRightInd w:val="0"/>
        <w:spacing w:after="0" w:line="360" w:lineRule="auto"/>
        <w:rPr>
          <w:rFonts w:ascii="Arial" w:eastAsia="ArialMT" w:hAnsi="Arial" w:cs="Arial"/>
          <w:color w:val="000000"/>
          <w:lang w:val="en-GB"/>
        </w:rPr>
      </w:pPr>
      <w:r w:rsidRPr="00A311D9">
        <w:rPr>
          <w:rFonts w:ascii="Arial" w:eastAsia="ArialMT" w:hAnsi="Arial" w:cs="Arial"/>
          <w:color w:val="000000"/>
          <w:lang w:val="en-GB"/>
        </w:rPr>
        <w:t>● Hospitals refuse to allow parents‘ presence at anaesthesia and/or wake the child after surgery.</w:t>
      </w:r>
    </w:p>
    <w:p w14:paraId="02ADA5F6" w14:textId="77777777" w:rsidR="0088239F" w:rsidRPr="00A311D9" w:rsidRDefault="0088239F" w:rsidP="0088239F">
      <w:pPr>
        <w:autoSpaceDE w:val="0"/>
        <w:autoSpaceDN w:val="0"/>
        <w:adjustRightInd w:val="0"/>
        <w:spacing w:after="0" w:line="360" w:lineRule="auto"/>
        <w:rPr>
          <w:rFonts w:ascii="Arial" w:eastAsia="ArialMT" w:hAnsi="Arial" w:cs="Arial"/>
          <w:color w:val="000000"/>
          <w:lang w:val="en-GB"/>
        </w:rPr>
      </w:pPr>
      <w:r w:rsidRPr="00A311D9">
        <w:rPr>
          <w:rFonts w:ascii="Arial" w:eastAsia="ArialMT" w:hAnsi="Arial" w:cs="Arial"/>
          <w:color w:val="000000"/>
          <w:lang w:val="en-GB"/>
        </w:rPr>
        <w:t>● The hospital refuses to discharge the child to home care (if the child's condition allows it - blocking the child from leaving with the parent by refusing to issue a negative reverter).</w:t>
      </w:r>
    </w:p>
    <w:p w14:paraId="1AD55271" w14:textId="5B821B88" w:rsidR="00773EEA" w:rsidRPr="00A311D9" w:rsidRDefault="0088239F" w:rsidP="0088239F">
      <w:pPr>
        <w:autoSpaceDE w:val="0"/>
        <w:autoSpaceDN w:val="0"/>
        <w:adjustRightInd w:val="0"/>
        <w:spacing w:after="0" w:line="360" w:lineRule="auto"/>
        <w:rPr>
          <w:rFonts w:ascii="Arial" w:eastAsia="ArialMT" w:hAnsi="Arial" w:cs="Arial"/>
          <w:color w:val="000000"/>
          <w:lang w:val="en-GB"/>
        </w:rPr>
      </w:pPr>
      <w:r w:rsidRPr="00A311D9">
        <w:rPr>
          <w:rFonts w:ascii="Arial" w:eastAsia="ArialMT" w:hAnsi="Arial" w:cs="Arial"/>
          <w:color w:val="000000"/>
          <w:lang w:val="en-GB"/>
        </w:rPr>
        <w:t>● The hospital does not allow the mother or father access to the newborn child (it separates the child from his/her guardian if the child is hospitalized in the intensive care unit).</w:t>
      </w:r>
    </w:p>
    <w:p w14:paraId="296718DC" w14:textId="77777777" w:rsidR="0088239F" w:rsidRPr="00A311D9" w:rsidRDefault="0088239F" w:rsidP="0088239F">
      <w:pPr>
        <w:autoSpaceDE w:val="0"/>
        <w:autoSpaceDN w:val="0"/>
        <w:adjustRightInd w:val="0"/>
        <w:spacing w:after="0" w:line="360" w:lineRule="auto"/>
        <w:rPr>
          <w:rFonts w:ascii="Arial" w:eastAsia="ArialMT" w:hAnsi="Arial" w:cs="Arial"/>
          <w:lang w:val="en-GB"/>
        </w:rPr>
      </w:pPr>
    </w:p>
    <w:p w14:paraId="7487249D" w14:textId="77777777" w:rsidR="00676DC9" w:rsidRPr="00A311D9" w:rsidRDefault="00676DC9" w:rsidP="00676DC9">
      <w:pPr>
        <w:autoSpaceDE w:val="0"/>
        <w:autoSpaceDN w:val="0"/>
        <w:adjustRightInd w:val="0"/>
        <w:spacing w:after="0" w:line="360" w:lineRule="auto"/>
        <w:rPr>
          <w:rFonts w:ascii="Arial" w:eastAsia="ArialMT" w:hAnsi="Arial" w:cs="Arial"/>
          <w:lang w:val="en-GB"/>
        </w:rPr>
      </w:pPr>
      <w:r w:rsidRPr="00A311D9">
        <w:rPr>
          <w:rFonts w:ascii="Arial" w:eastAsia="ArialMT" w:hAnsi="Arial" w:cs="Arial"/>
          <w:lang w:val="en-GB"/>
        </w:rPr>
        <w:t xml:space="preserve">These practices are in gross violation not only of </w:t>
      </w:r>
      <w:r w:rsidRPr="00A311D9">
        <w:rPr>
          <w:rFonts w:ascii="Arial" w:eastAsia="ArialMT" w:hAnsi="Arial" w:cs="Arial"/>
          <w:b/>
          <w:bCs/>
          <w:lang w:val="en-GB"/>
        </w:rPr>
        <w:t>international legislation</w:t>
      </w:r>
      <w:r w:rsidRPr="00A311D9">
        <w:rPr>
          <w:rFonts w:ascii="Arial" w:eastAsia="ArialMT" w:hAnsi="Arial" w:cs="Arial"/>
          <w:lang w:val="en-GB"/>
        </w:rPr>
        <w:t xml:space="preserve"> (the Convention on the Rights of the Child, the Convention on Human Rights and Biomedicine), but also, of course, in violation of the current legislation of the Czech Republic, primarily </w:t>
      </w:r>
      <w:r w:rsidRPr="00A311D9">
        <w:rPr>
          <w:rFonts w:ascii="Arial" w:eastAsia="ArialMT" w:hAnsi="Arial" w:cs="Arial"/>
          <w:b/>
          <w:bCs/>
          <w:lang w:val="en-GB"/>
        </w:rPr>
        <w:t>the Health Services Act and the Civil Code</w:t>
      </w:r>
      <w:r w:rsidRPr="00A311D9">
        <w:rPr>
          <w:rFonts w:ascii="Arial" w:eastAsia="ArialMT" w:hAnsi="Arial" w:cs="Arial"/>
          <w:lang w:val="en-GB"/>
        </w:rPr>
        <w:t xml:space="preserve">. The Health Services Act clearly states that </w:t>
      </w:r>
      <w:r w:rsidRPr="00A311D9">
        <w:rPr>
          <w:rFonts w:ascii="Arial" w:eastAsia="ArialMT" w:hAnsi="Arial" w:cs="Arial"/>
          <w:b/>
          <w:bCs/>
          <w:lang w:val="en-GB"/>
        </w:rPr>
        <w:t>the child has the right to the continuous presence of a legal representative</w:t>
      </w:r>
      <w:r w:rsidRPr="00A311D9">
        <w:rPr>
          <w:rFonts w:ascii="Arial" w:eastAsia="ArialMT" w:hAnsi="Arial" w:cs="Arial"/>
          <w:lang w:val="en-GB"/>
        </w:rPr>
        <w:t xml:space="preserve"> (in accordance with the internal regulations and other applicable legislation, including applicable hygiene measures). However, the child's very right to have uninterrupted contact with his/her legal representative must not be interfered with or completely prevented. </w:t>
      </w:r>
    </w:p>
    <w:p w14:paraId="7F94837B" w14:textId="77777777" w:rsidR="00676DC9" w:rsidRPr="00A311D9" w:rsidRDefault="00676DC9" w:rsidP="00676DC9">
      <w:pPr>
        <w:autoSpaceDE w:val="0"/>
        <w:autoSpaceDN w:val="0"/>
        <w:adjustRightInd w:val="0"/>
        <w:spacing w:after="0" w:line="360" w:lineRule="auto"/>
        <w:rPr>
          <w:rFonts w:ascii="Arial" w:eastAsia="ArialMT" w:hAnsi="Arial" w:cs="Arial"/>
          <w:lang w:val="en-GB"/>
        </w:rPr>
      </w:pPr>
    </w:p>
    <w:p w14:paraId="2E76193F" w14:textId="7E12DA5C" w:rsidR="00676DC9" w:rsidRPr="00A311D9" w:rsidRDefault="00676DC9" w:rsidP="00676DC9">
      <w:pPr>
        <w:autoSpaceDE w:val="0"/>
        <w:autoSpaceDN w:val="0"/>
        <w:adjustRightInd w:val="0"/>
        <w:spacing w:after="0" w:line="360" w:lineRule="auto"/>
        <w:rPr>
          <w:rFonts w:ascii="Arial" w:eastAsia="ArialMT" w:hAnsi="Arial" w:cs="Arial"/>
          <w:lang w:val="en-GB"/>
        </w:rPr>
      </w:pPr>
      <w:r w:rsidRPr="00A311D9">
        <w:rPr>
          <w:rFonts w:ascii="Arial" w:eastAsia="ArialMT" w:hAnsi="Arial" w:cs="Arial"/>
          <w:lang w:val="en-GB"/>
        </w:rPr>
        <w:t>Furthermore, this practice is contrary to the legislation relating to the provision of health services, where hospitals violate the Health Services Act in situations where a child receives medical treatment that is not life-saving and thus not urgent, but the parent has not given explicit consent (</w:t>
      </w:r>
      <w:r w:rsidR="00C54CAD" w:rsidRPr="00A311D9">
        <w:rPr>
          <w:rFonts w:ascii="Arial" w:eastAsia="ArialMT" w:hAnsi="Arial" w:cs="Arial"/>
          <w:lang w:val="en-GB"/>
        </w:rPr>
        <w:t>e.g.,</w:t>
      </w:r>
      <w:r w:rsidRPr="00A311D9">
        <w:rPr>
          <w:rFonts w:ascii="Arial" w:eastAsia="ArialMT" w:hAnsi="Arial" w:cs="Arial"/>
          <w:lang w:val="en-GB"/>
        </w:rPr>
        <w:t xml:space="preserve"> is not informed of it in absentia). </w:t>
      </w:r>
    </w:p>
    <w:p w14:paraId="03B34F3F" w14:textId="77777777" w:rsidR="00676DC9" w:rsidRPr="00A311D9" w:rsidRDefault="00676DC9" w:rsidP="00676DC9">
      <w:pPr>
        <w:autoSpaceDE w:val="0"/>
        <w:autoSpaceDN w:val="0"/>
        <w:adjustRightInd w:val="0"/>
        <w:spacing w:after="0" w:line="360" w:lineRule="auto"/>
        <w:rPr>
          <w:rFonts w:ascii="Arial" w:eastAsia="ArialMT" w:hAnsi="Arial" w:cs="Arial"/>
          <w:lang w:val="en-GB"/>
        </w:rPr>
      </w:pPr>
      <w:r w:rsidRPr="00A311D9">
        <w:rPr>
          <w:rFonts w:ascii="Arial" w:eastAsia="ArialMT" w:hAnsi="Arial" w:cs="Arial"/>
          <w:lang w:val="en-GB"/>
        </w:rPr>
        <w:t xml:space="preserve">At the same time, it is a violation of the rights of minor patients in the form of </w:t>
      </w:r>
      <w:r w:rsidRPr="00A311D9">
        <w:rPr>
          <w:rFonts w:ascii="Arial" w:eastAsia="ArialMT" w:hAnsi="Arial" w:cs="Arial"/>
          <w:b/>
          <w:bCs/>
          <w:lang w:val="en-GB"/>
        </w:rPr>
        <w:t>preventing continuous contact with the child's legal representatives</w:t>
      </w:r>
      <w:r w:rsidRPr="00A311D9">
        <w:rPr>
          <w:rFonts w:ascii="Arial" w:eastAsia="ArialMT" w:hAnsi="Arial" w:cs="Arial"/>
          <w:lang w:val="en-GB"/>
        </w:rPr>
        <w:t>, or providing medical services to a child without the informed consent of the parents, without this being a situation regulated by law where such consent is not required. This is contrary to the regulation of rights and obligations (and their possible limitations) arising from parental responsibility under the Civil Code.</w:t>
      </w:r>
    </w:p>
    <w:p w14:paraId="10F3D0B2" w14:textId="77777777" w:rsidR="00676DC9" w:rsidRPr="00A311D9" w:rsidRDefault="00676DC9" w:rsidP="00676DC9">
      <w:pPr>
        <w:autoSpaceDE w:val="0"/>
        <w:autoSpaceDN w:val="0"/>
        <w:adjustRightInd w:val="0"/>
        <w:spacing w:after="0" w:line="360" w:lineRule="auto"/>
        <w:rPr>
          <w:rFonts w:ascii="Arial" w:eastAsia="ArialMT" w:hAnsi="Arial" w:cs="Arial"/>
          <w:lang w:val="en-GB"/>
        </w:rPr>
      </w:pPr>
    </w:p>
    <w:p w14:paraId="749A07F7" w14:textId="77777777" w:rsidR="00676DC9" w:rsidRPr="00A311D9" w:rsidRDefault="00676DC9" w:rsidP="00676DC9">
      <w:pPr>
        <w:autoSpaceDE w:val="0"/>
        <w:autoSpaceDN w:val="0"/>
        <w:adjustRightInd w:val="0"/>
        <w:spacing w:after="0" w:line="360" w:lineRule="auto"/>
        <w:rPr>
          <w:rFonts w:ascii="Arial" w:eastAsia="ArialMT" w:hAnsi="Arial" w:cs="Arial"/>
          <w:lang w:val="en-GB"/>
        </w:rPr>
      </w:pPr>
      <w:r w:rsidRPr="00A311D9">
        <w:rPr>
          <w:rFonts w:ascii="Arial" w:eastAsia="ArialMT" w:hAnsi="Arial" w:cs="Arial"/>
          <w:lang w:val="en-GB"/>
        </w:rPr>
        <w:t xml:space="preserve">In some health care institutions, we encounter that the internal and operational regulations contain provisions that are illegal and do not respect the rights of the legal representatives or the child. This includes, for example, </w:t>
      </w:r>
      <w:r w:rsidRPr="00A311D9">
        <w:rPr>
          <w:rFonts w:ascii="Arial" w:eastAsia="ArialMT" w:hAnsi="Arial" w:cs="Arial"/>
          <w:b/>
          <w:bCs/>
          <w:lang w:val="en-GB"/>
        </w:rPr>
        <w:t>restricting the ability of parents or other close persons to make audio or video recordings</w:t>
      </w:r>
      <w:r w:rsidRPr="00A311D9">
        <w:rPr>
          <w:rFonts w:ascii="Arial" w:eastAsia="ArialMT" w:hAnsi="Arial" w:cs="Arial"/>
          <w:lang w:val="en-GB"/>
        </w:rPr>
        <w:t xml:space="preserve"> in situations where the parents or the child believe that their rights are being violated.</w:t>
      </w:r>
    </w:p>
    <w:p w14:paraId="54307DA0" w14:textId="77777777" w:rsidR="00676DC9" w:rsidRPr="00A311D9" w:rsidRDefault="00676DC9" w:rsidP="00676DC9">
      <w:pPr>
        <w:autoSpaceDE w:val="0"/>
        <w:autoSpaceDN w:val="0"/>
        <w:adjustRightInd w:val="0"/>
        <w:spacing w:after="0" w:line="360" w:lineRule="auto"/>
        <w:rPr>
          <w:rFonts w:ascii="Arial" w:eastAsia="ArialMT" w:hAnsi="Arial" w:cs="Arial"/>
          <w:lang w:val="en-GB"/>
        </w:rPr>
      </w:pPr>
    </w:p>
    <w:p w14:paraId="6350365E" w14:textId="77777777" w:rsidR="00676DC9" w:rsidRPr="00A311D9" w:rsidRDefault="00676DC9" w:rsidP="00676DC9">
      <w:pPr>
        <w:autoSpaceDE w:val="0"/>
        <w:autoSpaceDN w:val="0"/>
        <w:adjustRightInd w:val="0"/>
        <w:spacing w:after="0" w:line="360" w:lineRule="auto"/>
        <w:rPr>
          <w:rFonts w:ascii="Arial" w:eastAsia="ArialMT" w:hAnsi="Arial" w:cs="Arial"/>
          <w:lang w:val="en-GB"/>
        </w:rPr>
      </w:pPr>
      <w:r w:rsidRPr="00A311D9">
        <w:rPr>
          <w:rFonts w:ascii="Arial" w:eastAsia="ArialMT" w:hAnsi="Arial" w:cs="Arial"/>
          <w:lang w:val="en-GB"/>
        </w:rPr>
        <w:t xml:space="preserve">In addition, for example, legal guardians are denied the ability to inspect or </w:t>
      </w:r>
      <w:r w:rsidRPr="00A311D9">
        <w:rPr>
          <w:rFonts w:ascii="Arial" w:eastAsia="ArialMT" w:hAnsi="Arial" w:cs="Arial"/>
          <w:b/>
          <w:bCs/>
          <w:lang w:val="en-GB"/>
        </w:rPr>
        <w:t>make a copy of the child's medical records</w:t>
      </w:r>
      <w:r w:rsidRPr="00A311D9">
        <w:rPr>
          <w:rFonts w:ascii="Arial" w:eastAsia="ArialMT" w:hAnsi="Arial" w:cs="Arial"/>
          <w:lang w:val="en-GB"/>
        </w:rPr>
        <w:t>, even if the parents need these documents to secure a second medical opinion when consulting or seeking other appropriate treatment for the child).</w:t>
      </w:r>
    </w:p>
    <w:p w14:paraId="1742ACC9" w14:textId="77777777" w:rsidR="00676DC9" w:rsidRPr="00A311D9" w:rsidRDefault="00676DC9" w:rsidP="00676DC9">
      <w:pPr>
        <w:autoSpaceDE w:val="0"/>
        <w:autoSpaceDN w:val="0"/>
        <w:adjustRightInd w:val="0"/>
        <w:spacing w:after="0" w:line="360" w:lineRule="auto"/>
        <w:rPr>
          <w:rFonts w:ascii="Arial" w:eastAsia="ArialMT" w:hAnsi="Arial" w:cs="Arial"/>
          <w:lang w:val="en-GB"/>
        </w:rPr>
      </w:pPr>
    </w:p>
    <w:p w14:paraId="73EB5F6D" w14:textId="3D1FC155" w:rsidR="00676DC9" w:rsidRPr="00A311D9" w:rsidRDefault="00676DC9" w:rsidP="00676DC9">
      <w:pPr>
        <w:autoSpaceDE w:val="0"/>
        <w:autoSpaceDN w:val="0"/>
        <w:adjustRightInd w:val="0"/>
        <w:spacing w:after="0" w:line="360" w:lineRule="auto"/>
        <w:rPr>
          <w:rFonts w:ascii="Arial" w:eastAsia="ArialMT" w:hAnsi="Arial" w:cs="Arial"/>
          <w:lang w:val="en-GB"/>
        </w:rPr>
      </w:pPr>
      <w:r w:rsidRPr="00A311D9">
        <w:rPr>
          <w:rFonts w:ascii="Arial" w:eastAsia="ArialMT" w:hAnsi="Arial" w:cs="Arial"/>
          <w:lang w:val="en-GB"/>
        </w:rPr>
        <w:t xml:space="preserve">Particularly at the beginning of the pandemic, there was a big problem with police officers or city guards patrolling the entrances to hospitals and </w:t>
      </w:r>
      <w:r w:rsidRPr="00A311D9">
        <w:rPr>
          <w:rFonts w:ascii="Arial" w:eastAsia="ArialMT" w:hAnsi="Arial" w:cs="Arial"/>
          <w:b/>
          <w:bCs/>
          <w:lang w:val="en-GB"/>
        </w:rPr>
        <w:t>not letting parents see their children</w:t>
      </w:r>
      <w:r w:rsidRPr="00A311D9">
        <w:rPr>
          <w:rFonts w:ascii="Arial" w:eastAsia="ArialMT" w:hAnsi="Arial" w:cs="Arial"/>
          <w:lang w:val="en-GB"/>
        </w:rPr>
        <w:t xml:space="preserve">, or being called to escort parents out of the hospital. Even now, the police are called to a hospital, either by doctors, parents, or another caring person. Unfortunately, these situations then often escalate unnecessarily, as the police do not have a methodological guideline to clarify the situations and do not have sufficient knowledge in the medical field (which is not surprising from the logic of the matter) or in the field of health law. </w:t>
      </w:r>
    </w:p>
    <w:p w14:paraId="0648BD9D" w14:textId="77777777" w:rsidR="00676DC9" w:rsidRPr="00A311D9" w:rsidRDefault="00676DC9" w:rsidP="00676DC9">
      <w:pPr>
        <w:autoSpaceDE w:val="0"/>
        <w:autoSpaceDN w:val="0"/>
        <w:adjustRightInd w:val="0"/>
        <w:spacing w:after="0" w:line="360" w:lineRule="auto"/>
        <w:rPr>
          <w:rFonts w:ascii="Arial" w:eastAsia="ArialMT" w:hAnsi="Arial" w:cs="Arial"/>
          <w:lang w:val="en-GB"/>
        </w:rPr>
      </w:pPr>
    </w:p>
    <w:p w14:paraId="5EB580F8" w14:textId="77777777" w:rsidR="00BD7B1B" w:rsidRPr="00A311D9" w:rsidRDefault="00676DC9" w:rsidP="00676DC9">
      <w:pPr>
        <w:autoSpaceDE w:val="0"/>
        <w:autoSpaceDN w:val="0"/>
        <w:adjustRightInd w:val="0"/>
        <w:spacing w:after="0" w:line="360" w:lineRule="auto"/>
        <w:rPr>
          <w:rFonts w:ascii="Arial" w:eastAsia="ArialMT" w:hAnsi="Arial" w:cs="Arial"/>
          <w:lang w:val="en-GB"/>
        </w:rPr>
      </w:pPr>
      <w:r w:rsidRPr="00A311D9">
        <w:rPr>
          <w:rFonts w:ascii="Arial" w:eastAsia="ArialMT" w:hAnsi="Arial" w:cs="Arial"/>
          <w:lang w:val="en-GB"/>
        </w:rPr>
        <w:t xml:space="preserve">Therefore, one possible solution is the creation of </w:t>
      </w:r>
      <w:r w:rsidRPr="00A311D9">
        <w:rPr>
          <w:rFonts w:ascii="Arial" w:eastAsia="ArialMT" w:hAnsi="Arial" w:cs="Arial"/>
          <w:b/>
          <w:bCs/>
          <w:lang w:val="en-GB"/>
        </w:rPr>
        <w:t>a methodological guideline for police officers</w:t>
      </w:r>
      <w:r w:rsidRPr="00A311D9">
        <w:rPr>
          <w:rFonts w:ascii="Arial" w:eastAsia="ArialMT" w:hAnsi="Arial" w:cs="Arial"/>
          <w:lang w:val="en-GB"/>
        </w:rPr>
        <w:t>. For a long time and repeatedly, we have encountered arguments from operational officers that this does not fall within the competence of the Police of the Czech Republic, and their officer refuses to order a patrol. The paradoxical situation is that these situations are treated clearly in the law, but the real enforceability is practically zero.</w:t>
      </w:r>
    </w:p>
    <w:p w14:paraId="27B8D295" w14:textId="5D3F4135" w:rsidR="00676DC9" w:rsidRPr="00A311D9" w:rsidRDefault="00676DC9" w:rsidP="00676DC9">
      <w:pPr>
        <w:autoSpaceDE w:val="0"/>
        <w:autoSpaceDN w:val="0"/>
        <w:adjustRightInd w:val="0"/>
        <w:spacing w:after="0" w:line="360" w:lineRule="auto"/>
        <w:rPr>
          <w:rFonts w:ascii="Arial" w:eastAsia="ArialMT" w:hAnsi="Arial" w:cs="Arial"/>
          <w:lang w:val="en-GB"/>
        </w:rPr>
      </w:pPr>
      <w:r w:rsidRPr="00A311D9">
        <w:rPr>
          <w:rFonts w:ascii="Arial" w:eastAsia="ArialMT" w:hAnsi="Arial" w:cs="Arial"/>
          <w:lang w:val="en-GB"/>
        </w:rPr>
        <w:t xml:space="preserve"> </w:t>
      </w:r>
    </w:p>
    <w:p w14:paraId="78736CE0" w14:textId="77777777" w:rsidR="00676DC9" w:rsidRPr="00A311D9" w:rsidRDefault="00676DC9" w:rsidP="00676DC9">
      <w:pPr>
        <w:autoSpaceDE w:val="0"/>
        <w:autoSpaceDN w:val="0"/>
        <w:adjustRightInd w:val="0"/>
        <w:spacing w:after="0" w:line="360" w:lineRule="auto"/>
        <w:rPr>
          <w:rFonts w:ascii="Arial" w:eastAsia="ArialMT" w:hAnsi="Arial" w:cs="Arial"/>
          <w:lang w:val="en-GB"/>
        </w:rPr>
      </w:pPr>
      <w:r w:rsidRPr="00A311D9">
        <w:rPr>
          <w:rFonts w:ascii="Arial" w:eastAsia="ArialMT" w:hAnsi="Arial" w:cs="Arial"/>
          <w:lang w:val="en-GB"/>
        </w:rPr>
        <w:t xml:space="preserve">It can be concluded that </w:t>
      </w:r>
      <w:r w:rsidRPr="00A311D9">
        <w:rPr>
          <w:rFonts w:ascii="Arial" w:eastAsia="ArialMT" w:hAnsi="Arial" w:cs="Arial"/>
          <w:b/>
          <w:bCs/>
          <w:lang w:val="en-GB"/>
        </w:rPr>
        <w:t>the mechanism for filing complaints</w:t>
      </w:r>
      <w:r w:rsidRPr="00A311D9">
        <w:rPr>
          <w:rFonts w:ascii="Arial" w:eastAsia="ArialMT" w:hAnsi="Arial" w:cs="Arial"/>
          <w:lang w:val="en-GB"/>
        </w:rPr>
        <w:t xml:space="preserve"> and dealing with situations of violation of the rights of minors is not functional. The complaint system against health service providers is often dysfunctional. First, a complaint is filed with the provider itself, which is usually unsuccessful, and only the regional authority can realistically help. However, sometimes the staff of the regional authorities are very partial to the hospital, do not respect the rights of the patient and do not want to actively solve the problem. It would therefore be good to establish at least some </w:t>
      </w:r>
      <w:r w:rsidRPr="00A311D9">
        <w:rPr>
          <w:rFonts w:ascii="Arial" w:eastAsia="ArialMT" w:hAnsi="Arial" w:cs="Arial"/>
          <w:b/>
          <w:bCs/>
          <w:lang w:val="en-GB"/>
        </w:rPr>
        <w:t>methodology for evaluating these complaints</w:t>
      </w:r>
      <w:r w:rsidRPr="00A311D9">
        <w:rPr>
          <w:rFonts w:ascii="Arial" w:eastAsia="ArialMT" w:hAnsi="Arial" w:cs="Arial"/>
          <w:lang w:val="en-GB"/>
        </w:rPr>
        <w:t xml:space="preserve">. It would also be good to create </w:t>
      </w:r>
      <w:r w:rsidRPr="00A311D9">
        <w:rPr>
          <w:rFonts w:ascii="Arial" w:eastAsia="ArialMT" w:hAnsi="Arial" w:cs="Arial"/>
          <w:b/>
          <w:bCs/>
          <w:lang w:val="en-GB"/>
        </w:rPr>
        <w:t>a methodology for drawing up the internal regulations of hospitals</w:t>
      </w:r>
      <w:r w:rsidRPr="00A311D9">
        <w:rPr>
          <w:rFonts w:ascii="Arial" w:eastAsia="ArialMT" w:hAnsi="Arial" w:cs="Arial"/>
          <w:lang w:val="en-GB"/>
        </w:rPr>
        <w:t xml:space="preserve">, because very many of them contravene patients' rights and are not monitored by the regional authorities. </w:t>
      </w:r>
    </w:p>
    <w:p w14:paraId="7F24C9E7" w14:textId="77777777" w:rsidR="00676DC9" w:rsidRPr="00A311D9" w:rsidRDefault="00676DC9" w:rsidP="00676DC9">
      <w:pPr>
        <w:autoSpaceDE w:val="0"/>
        <w:autoSpaceDN w:val="0"/>
        <w:adjustRightInd w:val="0"/>
        <w:spacing w:after="0" w:line="360" w:lineRule="auto"/>
        <w:rPr>
          <w:rFonts w:ascii="Arial" w:eastAsia="ArialMT" w:hAnsi="Arial" w:cs="Arial"/>
          <w:lang w:val="en-GB"/>
        </w:rPr>
      </w:pPr>
    </w:p>
    <w:p w14:paraId="41629EED" w14:textId="77777777" w:rsidR="00676DC9" w:rsidRPr="00A311D9" w:rsidRDefault="00676DC9" w:rsidP="00676DC9">
      <w:pPr>
        <w:autoSpaceDE w:val="0"/>
        <w:autoSpaceDN w:val="0"/>
        <w:adjustRightInd w:val="0"/>
        <w:spacing w:after="0" w:line="360" w:lineRule="auto"/>
        <w:rPr>
          <w:rFonts w:ascii="Arial" w:eastAsia="ArialMT" w:hAnsi="Arial" w:cs="Arial"/>
          <w:b/>
          <w:bCs/>
          <w:lang w:val="en-GB"/>
        </w:rPr>
      </w:pPr>
      <w:r w:rsidRPr="00A311D9">
        <w:rPr>
          <w:rFonts w:ascii="Arial" w:eastAsia="ArialMT" w:hAnsi="Arial" w:cs="Arial"/>
          <w:b/>
          <w:bCs/>
          <w:lang w:val="en-GB"/>
        </w:rPr>
        <w:t>Recommendation:</w:t>
      </w:r>
    </w:p>
    <w:p w14:paraId="73E1CC57" w14:textId="7F77B53F" w:rsidR="008A0843" w:rsidRPr="00A311D9" w:rsidRDefault="00676DC9" w:rsidP="00676DC9">
      <w:pPr>
        <w:autoSpaceDE w:val="0"/>
        <w:autoSpaceDN w:val="0"/>
        <w:adjustRightInd w:val="0"/>
        <w:spacing w:after="0" w:line="360" w:lineRule="auto"/>
        <w:rPr>
          <w:rFonts w:ascii="Arial" w:eastAsia="Arial" w:hAnsi="Arial" w:cs="Arial"/>
          <w:i/>
          <w:iCs/>
          <w:position w:val="-1"/>
          <w:lang w:val="en-GB"/>
        </w:rPr>
      </w:pPr>
      <w:r w:rsidRPr="00A311D9">
        <w:rPr>
          <w:rFonts w:ascii="Arial" w:eastAsia="ArialMT" w:hAnsi="Arial" w:cs="Arial"/>
          <w:i/>
          <w:iCs/>
          <w:lang w:val="en-GB"/>
        </w:rPr>
        <w:t>The Committee could suggest that the State party conduct an education and awareness-raising campaign aimed at medical staff and parents, as well as an awareness-raising campaign aimed directly at children and their awareness of the rights of minors in hospital.</w:t>
      </w:r>
    </w:p>
    <w:sectPr w:rsidR="008A0843" w:rsidRPr="00A311D9">
      <w:pgSz w:w="11905" w:h="16837"/>
      <w:pgMar w:top="1134" w:right="1134" w:bottom="1134" w:left="1134" w:header="708" w:footer="708" w:gutter="0"/>
      <w:cols w:space="708"/>
      <w:docGrid w:linePitch="360" w:charSpace="614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CF4872" w14:textId="77777777" w:rsidR="00557712" w:rsidRDefault="00557712">
      <w:pPr>
        <w:spacing w:after="0" w:line="240" w:lineRule="auto"/>
      </w:pPr>
      <w:r>
        <w:separator/>
      </w:r>
    </w:p>
  </w:endnote>
  <w:endnote w:type="continuationSeparator" w:id="0">
    <w:p w14:paraId="789DEC3D" w14:textId="77777777" w:rsidR="00557712" w:rsidRDefault="00557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MT">
    <w:altName w:val="Yu Gothic UI"/>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A7A185" w14:textId="77777777" w:rsidR="00557712" w:rsidRDefault="00557712">
      <w:r>
        <w:separator/>
      </w:r>
    </w:p>
  </w:footnote>
  <w:footnote w:type="continuationSeparator" w:id="0">
    <w:p w14:paraId="5334150C" w14:textId="77777777" w:rsidR="00557712" w:rsidRDefault="005577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000000"/>
    <w:multiLevelType w:val="hybridMultilevel"/>
    <w:tmpl w:val="1F000014"/>
    <w:lvl w:ilvl="0" w:tplc="D7601954">
      <w:start w:val="1"/>
      <w:numFmt w:val="decimalHalfWidth"/>
      <w:lvlText w:val="%1."/>
      <w:lvlJc w:val="left"/>
      <w:pPr>
        <w:snapToGrid w:val="0"/>
        <w:spacing w:line="0" w:lineRule="auto"/>
        <w:ind w:left="720" w:hanging="360"/>
      </w:pPr>
      <w:rPr>
        <w:rFonts w:ascii="Segoe UI" w:eastAsia="Segoe UI" w:hAnsi="Segoe UI" w:cs="Segoe UI"/>
        <w:color w:val="auto"/>
        <w:spacing w:val="0"/>
        <w:sz w:val="20"/>
        <w:szCs w:val="20"/>
        <w:rtl w:val="0"/>
      </w:rPr>
    </w:lvl>
    <w:lvl w:ilvl="1" w:tplc="268AF37E">
      <w:start w:val="1"/>
      <w:numFmt w:val="lowerLetter"/>
      <w:lvlText w:val="%2."/>
      <w:lvlJc w:val="left"/>
      <w:pPr>
        <w:snapToGrid w:val="0"/>
        <w:spacing w:line="0" w:lineRule="auto"/>
        <w:ind w:left="1440" w:hanging="360"/>
      </w:pPr>
      <w:rPr>
        <w:rFonts w:ascii="Segoe UI" w:eastAsia="Segoe UI" w:hAnsi="Segoe UI" w:cs="Segoe UI"/>
        <w:color w:val="auto"/>
        <w:spacing w:val="0"/>
        <w:sz w:val="20"/>
        <w:szCs w:val="20"/>
        <w:rtl w:val="0"/>
      </w:rPr>
    </w:lvl>
    <w:lvl w:ilvl="2" w:tplc="CB5AE95E">
      <w:start w:val="1"/>
      <w:numFmt w:val="lowerRoman"/>
      <w:lvlText w:val="%3."/>
      <w:lvlJc w:val="right"/>
      <w:pPr>
        <w:snapToGrid w:val="0"/>
        <w:spacing w:line="0" w:lineRule="auto"/>
        <w:ind w:left="2160" w:hanging="180"/>
      </w:pPr>
      <w:rPr>
        <w:rFonts w:ascii="Segoe UI" w:eastAsia="Segoe UI" w:hAnsi="Segoe UI" w:cs="Segoe UI"/>
        <w:color w:val="auto"/>
        <w:spacing w:val="0"/>
        <w:sz w:val="20"/>
        <w:szCs w:val="20"/>
        <w:rtl w:val="0"/>
      </w:rPr>
    </w:lvl>
    <w:lvl w:ilvl="3" w:tplc="4F7C9BA8">
      <w:start w:val="1"/>
      <w:numFmt w:val="decimalHalfWidth"/>
      <w:lvlText w:val="%4."/>
      <w:lvlJc w:val="left"/>
      <w:pPr>
        <w:snapToGrid w:val="0"/>
        <w:spacing w:line="0" w:lineRule="auto"/>
        <w:ind w:left="2880" w:hanging="360"/>
      </w:pPr>
      <w:rPr>
        <w:rFonts w:ascii="Segoe UI" w:eastAsia="Segoe UI" w:hAnsi="Segoe UI" w:cs="Segoe UI"/>
        <w:color w:val="auto"/>
        <w:spacing w:val="0"/>
        <w:sz w:val="20"/>
        <w:szCs w:val="20"/>
        <w:rtl w:val="0"/>
      </w:rPr>
    </w:lvl>
    <w:lvl w:ilvl="4" w:tplc="F4C23B92">
      <w:start w:val="1"/>
      <w:numFmt w:val="lowerLetter"/>
      <w:lvlText w:val="%5."/>
      <w:lvlJc w:val="left"/>
      <w:pPr>
        <w:snapToGrid w:val="0"/>
        <w:spacing w:line="0" w:lineRule="auto"/>
        <w:ind w:left="3600" w:hanging="360"/>
      </w:pPr>
      <w:rPr>
        <w:rFonts w:ascii="Segoe UI" w:eastAsia="Segoe UI" w:hAnsi="Segoe UI" w:cs="Segoe UI"/>
        <w:color w:val="auto"/>
        <w:spacing w:val="0"/>
        <w:sz w:val="20"/>
        <w:szCs w:val="20"/>
        <w:rtl w:val="0"/>
      </w:rPr>
    </w:lvl>
    <w:lvl w:ilvl="5" w:tplc="E01A05B0">
      <w:start w:val="1"/>
      <w:numFmt w:val="lowerRoman"/>
      <w:lvlText w:val="%6."/>
      <w:lvlJc w:val="right"/>
      <w:pPr>
        <w:snapToGrid w:val="0"/>
        <w:spacing w:line="0" w:lineRule="auto"/>
        <w:ind w:left="4320" w:hanging="180"/>
      </w:pPr>
      <w:rPr>
        <w:rFonts w:ascii="Segoe UI" w:eastAsia="Segoe UI" w:hAnsi="Segoe UI" w:cs="Segoe UI"/>
        <w:color w:val="auto"/>
        <w:spacing w:val="0"/>
        <w:sz w:val="20"/>
        <w:szCs w:val="20"/>
        <w:rtl w:val="0"/>
      </w:rPr>
    </w:lvl>
    <w:lvl w:ilvl="6" w:tplc="AD8E9812">
      <w:start w:val="1"/>
      <w:numFmt w:val="decimalHalfWidth"/>
      <w:lvlText w:val="%7."/>
      <w:lvlJc w:val="left"/>
      <w:pPr>
        <w:snapToGrid w:val="0"/>
        <w:spacing w:line="0" w:lineRule="auto"/>
        <w:ind w:left="5040" w:hanging="360"/>
      </w:pPr>
      <w:rPr>
        <w:rFonts w:ascii="Segoe UI" w:eastAsia="Segoe UI" w:hAnsi="Segoe UI" w:cs="Segoe UI"/>
        <w:color w:val="auto"/>
        <w:spacing w:val="0"/>
        <w:sz w:val="20"/>
        <w:szCs w:val="20"/>
        <w:rtl w:val="0"/>
      </w:rPr>
    </w:lvl>
    <w:lvl w:ilvl="7" w:tplc="8500E452">
      <w:start w:val="1"/>
      <w:numFmt w:val="lowerLetter"/>
      <w:lvlText w:val="%8."/>
      <w:lvlJc w:val="left"/>
      <w:pPr>
        <w:snapToGrid w:val="0"/>
        <w:spacing w:line="0" w:lineRule="auto"/>
        <w:ind w:left="5760" w:hanging="360"/>
      </w:pPr>
      <w:rPr>
        <w:rFonts w:ascii="Segoe UI" w:eastAsia="Segoe UI" w:hAnsi="Segoe UI" w:cs="Segoe UI"/>
        <w:color w:val="auto"/>
        <w:spacing w:val="0"/>
        <w:sz w:val="20"/>
        <w:szCs w:val="20"/>
        <w:rtl w:val="0"/>
      </w:rPr>
    </w:lvl>
    <w:lvl w:ilvl="8" w:tplc="DA84A3C2">
      <w:start w:val="1"/>
      <w:numFmt w:val="lowerRoman"/>
      <w:lvlText w:val="%9."/>
      <w:lvlJc w:val="right"/>
      <w:pPr>
        <w:snapToGrid w:val="0"/>
        <w:spacing w:line="0" w:lineRule="auto"/>
        <w:ind w:left="6480" w:hanging="180"/>
      </w:pPr>
      <w:rPr>
        <w:rFonts w:ascii="Segoe UI" w:eastAsia="Segoe UI" w:hAnsi="Segoe UI" w:cs="Segoe UI"/>
        <w:color w:val="auto"/>
        <w:spacing w:val="0"/>
        <w:sz w:val="20"/>
        <w:szCs w:val="20"/>
        <w:rtl w:val="0"/>
      </w:rPr>
    </w:lvl>
  </w:abstractNum>
  <w:abstractNum w:abstractNumId="1" w15:restartNumberingAfterBreak="0">
    <w:nsid w:val="2F000001"/>
    <w:multiLevelType w:val="hybridMultilevel"/>
    <w:tmpl w:val="1F002411"/>
    <w:lvl w:ilvl="0" w:tplc="70A878FE">
      <w:start w:val="1"/>
      <w:numFmt w:val="decimalHalfWidth"/>
      <w:lvlText w:val="%1."/>
      <w:lvlJc w:val="left"/>
      <w:pPr>
        <w:tabs>
          <w:tab w:val="left" w:pos="720"/>
        </w:tabs>
        <w:snapToGrid w:val="0"/>
        <w:spacing w:line="0" w:lineRule="auto"/>
        <w:ind w:left="720" w:hanging="360"/>
      </w:pPr>
      <w:rPr>
        <w:rFonts w:ascii="Segoe UI" w:eastAsia="Segoe UI" w:hAnsi="Segoe UI" w:cs="Segoe UI"/>
        <w:color w:val="auto"/>
        <w:spacing w:val="0"/>
        <w:sz w:val="20"/>
        <w:szCs w:val="20"/>
        <w:rtl w:val="0"/>
      </w:rPr>
    </w:lvl>
    <w:lvl w:ilvl="1" w:tplc="06D2236E">
      <w:start w:val="1"/>
      <w:numFmt w:val="decimalHalfWidth"/>
      <w:lvlText w:val="%2."/>
      <w:lvlJc w:val="left"/>
      <w:pPr>
        <w:tabs>
          <w:tab w:val="left" w:pos="1440"/>
        </w:tabs>
        <w:snapToGrid w:val="0"/>
        <w:spacing w:line="0" w:lineRule="auto"/>
        <w:ind w:left="1440" w:hanging="360"/>
      </w:pPr>
      <w:rPr>
        <w:rFonts w:ascii="Segoe UI" w:eastAsia="Segoe UI" w:hAnsi="Segoe UI" w:cs="Segoe UI"/>
        <w:color w:val="auto"/>
        <w:spacing w:val="0"/>
        <w:sz w:val="20"/>
        <w:szCs w:val="20"/>
        <w:rtl w:val="0"/>
      </w:rPr>
    </w:lvl>
    <w:lvl w:ilvl="2" w:tplc="AF0600E0">
      <w:start w:val="1"/>
      <w:numFmt w:val="decimalHalfWidth"/>
      <w:lvlText w:val="%3."/>
      <w:lvlJc w:val="left"/>
      <w:pPr>
        <w:tabs>
          <w:tab w:val="left" w:pos="2160"/>
        </w:tabs>
        <w:snapToGrid w:val="0"/>
        <w:spacing w:line="0" w:lineRule="auto"/>
        <w:ind w:left="2160" w:hanging="360"/>
      </w:pPr>
      <w:rPr>
        <w:rFonts w:ascii="Segoe UI" w:eastAsia="Segoe UI" w:hAnsi="Segoe UI" w:cs="Segoe UI"/>
        <w:color w:val="auto"/>
        <w:spacing w:val="0"/>
        <w:sz w:val="20"/>
        <w:szCs w:val="20"/>
        <w:rtl w:val="0"/>
      </w:rPr>
    </w:lvl>
    <w:lvl w:ilvl="3" w:tplc="F698CEFC">
      <w:start w:val="1"/>
      <w:numFmt w:val="decimalHalfWidth"/>
      <w:lvlText w:val="%4."/>
      <w:lvlJc w:val="left"/>
      <w:pPr>
        <w:tabs>
          <w:tab w:val="left" w:pos="2880"/>
        </w:tabs>
        <w:snapToGrid w:val="0"/>
        <w:spacing w:line="0" w:lineRule="auto"/>
        <w:ind w:left="2880" w:hanging="360"/>
      </w:pPr>
      <w:rPr>
        <w:rFonts w:ascii="Segoe UI" w:eastAsia="Segoe UI" w:hAnsi="Segoe UI" w:cs="Segoe UI"/>
        <w:color w:val="auto"/>
        <w:spacing w:val="0"/>
        <w:sz w:val="20"/>
        <w:szCs w:val="20"/>
        <w:rtl w:val="0"/>
      </w:rPr>
    </w:lvl>
    <w:lvl w:ilvl="4" w:tplc="3BACAE22">
      <w:start w:val="1"/>
      <w:numFmt w:val="decimalHalfWidth"/>
      <w:lvlText w:val="%5."/>
      <w:lvlJc w:val="left"/>
      <w:pPr>
        <w:tabs>
          <w:tab w:val="left" w:pos="3600"/>
        </w:tabs>
        <w:snapToGrid w:val="0"/>
        <w:spacing w:line="0" w:lineRule="auto"/>
        <w:ind w:left="3600" w:hanging="360"/>
      </w:pPr>
      <w:rPr>
        <w:rFonts w:ascii="Segoe UI" w:eastAsia="Segoe UI" w:hAnsi="Segoe UI" w:cs="Segoe UI"/>
        <w:color w:val="auto"/>
        <w:spacing w:val="0"/>
        <w:sz w:val="20"/>
        <w:szCs w:val="20"/>
        <w:rtl w:val="0"/>
      </w:rPr>
    </w:lvl>
    <w:lvl w:ilvl="5" w:tplc="D35ADB0C">
      <w:start w:val="1"/>
      <w:numFmt w:val="decimalHalfWidth"/>
      <w:lvlText w:val="%6."/>
      <w:lvlJc w:val="left"/>
      <w:pPr>
        <w:tabs>
          <w:tab w:val="left" w:pos="4320"/>
        </w:tabs>
        <w:snapToGrid w:val="0"/>
        <w:spacing w:line="0" w:lineRule="auto"/>
        <w:ind w:left="4320" w:hanging="360"/>
      </w:pPr>
      <w:rPr>
        <w:rFonts w:ascii="Segoe UI" w:eastAsia="Segoe UI" w:hAnsi="Segoe UI" w:cs="Segoe UI"/>
        <w:color w:val="auto"/>
        <w:spacing w:val="0"/>
        <w:sz w:val="20"/>
        <w:szCs w:val="20"/>
        <w:rtl w:val="0"/>
      </w:rPr>
    </w:lvl>
    <w:lvl w:ilvl="6" w:tplc="D4DC73A0">
      <w:start w:val="1"/>
      <w:numFmt w:val="decimalHalfWidth"/>
      <w:lvlText w:val="%7."/>
      <w:lvlJc w:val="left"/>
      <w:pPr>
        <w:tabs>
          <w:tab w:val="left" w:pos="5040"/>
        </w:tabs>
        <w:snapToGrid w:val="0"/>
        <w:spacing w:line="0" w:lineRule="auto"/>
        <w:ind w:left="5040" w:hanging="360"/>
      </w:pPr>
      <w:rPr>
        <w:rFonts w:ascii="Segoe UI" w:eastAsia="Segoe UI" w:hAnsi="Segoe UI" w:cs="Segoe UI"/>
        <w:color w:val="auto"/>
        <w:spacing w:val="0"/>
        <w:sz w:val="20"/>
        <w:szCs w:val="20"/>
        <w:rtl w:val="0"/>
      </w:rPr>
    </w:lvl>
    <w:lvl w:ilvl="7" w:tplc="2EE8D12E">
      <w:start w:val="1"/>
      <w:numFmt w:val="decimalHalfWidth"/>
      <w:lvlText w:val="%8."/>
      <w:lvlJc w:val="left"/>
      <w:pPr>
        <w:tabs>
          <w:tab w:val="left" w:pos="5760"/>
        </w:tabs>
        <w:snapToGrid w:val="0"/>
        <w:spacing w:line="0" w:lineRule="auto"/>
        <w:ind w:left="5760" w:hanging="360"/>
      </w:pPr>
      <w:rPr>
        <w:rFonts w:ascii="Segoe UI" w:eastAsia="Segoe UI" w:hAnsi="Segoe UI" w:cs="Segoe UI"/>
        <w:color w:val="auto"/>
        <w:spacing w:val="0"/>
        <w:sz w:val="20"/>
        <w:szCs w:val="20"/>
        <w:rtl w:val="0"/>
      </w:rPr>
    </w:lvl>
    <w:lvl w:ilvl="8" w:tplc="8120375E">
      <w:start w:val="1"/>
      <w:numFmt w:val="decimalHalfWidth"/>
      <w:lvlText w:val="%9."/>
      <w:lvlJc w:val="left"/>
      <w:pPr>
        <w:tabs>
          <w:tab w:val="left" w:pos="6480"/>
        </w:tabs>
        <w:snapToGrid w:val="0"/>
        <w:spacing w:line="0" w:lineRule="auto"/>
        <w:ind w:left="6480" w:hanging="360"/>
      </w:pPr>
      <w:rPr>
        <w:rFonts w:ascii="Segoe UI" w:eastAsia="Segoe UI" w:hAnsi="Segoe UI" w:cs="Segoe UI"/>
        <w:color w:val="auto"/>
        <w:spacing w:val="0"/>
        <w:sz w:val="20"/>
        <w:szCs w:val="20"/>
        <w:rtl w:val="0"/>
      </w:rPr>
    </w:lvl>
  </w:abstractNum>
  <w:abstractNum w:abstractNumId="2" w15:restartNumberingAfterBreak="0">
    <w:nsid w:val="2F000003"/>
    <w:multiLevelType w:val="hybridMultilevel"/>
    <w:tmpl w:val="1F0033C2"/>
    <w:lvl w:ilvl="0" w:tplc="6A88561E">
      <w:start w:val="1"/>
      <w:numFmt w:val="upperRoman"/>
      <w:lvlText w:val="%1."/>
      <w:lvlJc w:val="left"/>
      <w:pPr>
        <w:ind w:left="1080" w:hanging="720"/>
      </w:pPr>
      <w:rPr>
        <w:rFonts w:hint="default"/>
      </w:rPr>
    </w:lvl>
    <w:lvl w:ilvl="1" w:tplc="26FC0E5C">
      <w:start w:val="1"/>
      <w:numFmt w:val="lowerLetter"/>
      <w:lvlText w:val="%2."/>
      <w:lvlJc w:val="left"/>
      <w:pPr>
        <w:ind w:left="1440" w:hanging="360"/>
      </w:pPr>
    </w:lvl>
    <w:lvl w:ilvl="2" w:tplc="456A7A4E">
      <w:start w:val="1"/>
      <w:numFmt w:val="lowerRoman"/>
      <w:lvlText w:val="%3."/>
      <w:lvlJc w:val="right"/>
      <w:pPr>
        <w:ind w:left="2160" w:hanging="180"/>
      </w:pPr>
    </w:lvl>
    <w:lvl w:ilvl="3" w:tplc="6442C044">
      <w:start w:val="1"/>
      <w:numFmt w:val="decimal"/>
      <w:lvlText w:val="%4."/>
      <w:lvlJc w:val="left"/>
      <w:pPr>
        <w:ind w:left="2880" w:hanging="360"/>
      </w:pPr>
    </w:lvl>
    <w:lvl w:ilvl="4" w:tplc="9C4485DA">
      <w:start w:val="1"/>
      <w:numFmt w:val="lowerLetter"/>
      <w:lvlText w:val="%5."/>
      <w:lvlJc w:val="left"/>
      <w:pPr>
        <w:ind w:left="3600" w:hanging="360"/>
      </w:pPr>
    </w:lvl>
    <w:lvl w:ilvl="5" w:tplc="96CEE6EC">
      <w:start w:val="1"/>
      <w:numFmt w:val="lowerRoman"/>
      <w:lvlText w:val="%6."/>
      <w:lvlJc w:val="right"/>
      <w:pPr>
        <w:ind w:left="4320" w:hanging="180"/>
      </w:pPr>
    </w:lvl>
    <w:lvl w:ilvl="6" w:tplc="7B80452C">
      <w:start w:val="1"/>
      <w:numFmt w:val="decimal"/>
      <w:lvlText w:val="%7."/>
      <w:lvlJc w:val="left"/>
      <w:pPr>
        <w:ind w:left="5040" w:hanging="360"/>
      </w:pPr>
    </w:lvl>
    <w:lvl w:ilvl="7" w:tplc="FBDA8550">
      <w:start w:val="1"/>
      <w:numFmt w:val="lowerLetter"/>
      <w:lvlText w:val="%8."/>
      <w:lvlJc w:val="left"/>
      <w:pPr>
        <w:ind w:left="5760" w:hanging="360"/>
      </w:pPr>
    </w:lvl>
    <w:lvl w:ilvl="8" w:tplc="F684E8A8">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hyphenationZone w:val="425"/>
  <w:displayHorizontalDrawingGridEvery w:val="0"/>
  <w:displayVerticalDrawingGridEvery w:val="2"/>
  <w:noPunctuationKerning/>
  <w:characterSpacingControl w:val="doNotCompress"/>
  <w:footnotePr>
    <w:footnote w:id="-1"/>
    <w:footnote w:id="0"/>
  </w:footnotePr>
  <w:endnotePr>
    <w:endnote w:id="-1"/>
    <w:endnote w:id="0"/>
  </w:endnotePr>
  <w:compat>
    <w:balanceSingleByteDoubleByteWidth/>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843"/>
    <w:rsid w:val="00025738"/>
    <w:rsid w:val="00136293"/>
    <w:rsid w:val="001879BC"/>
    <w:rsid w:val="001D0908"/>
    <w:rsid w:val="001F50B0"/>
    <w:rsid w:val="002006A3"/>
    <w:rsid w:val="00226276"/>
    <w:rsid w:val="002C37B5"/>
    <w:rsid w:val="002D43E1"/>
    <w:rsid w:val="003457DB"/>
    <w:rsid w:val="00391E5A"/>
    <w:rsid w:val="003A4DDA"/>
    <w:rsid w:val="003D65E1"/>
    <w:rsid w:val="003F3E76"/>
    <w:rsid w:val="00414964"/>
    <w:rsid w:val="00416A38"/>
    <w:rsid w:val="00430A0F"/>
    <w:rsid w:val="00451CFE"/>
    <w:rsid w:val="00460493"/>
    <w:rsid w:val="004745FF"/>
    <w:rsid w:val="004850C6"/>
    <w:rsid w:val="004972AE"/>
    <w:rsid w:val="004D175E"/>
    <w:rsid w:val="004E2D28"/>
    <w:rsid w:val="00523465"/>
    <w:rsid w:val="0055765B"/>
    <w:rsid w:val="00557712"/>
    <w:rsid w:val="00590F24"/>
    <w:rsid w:val="00637D46"/>
    <w:rsid w:val="006565E9"/>
    <w:rsid w:val="006642BA"/>
    <w:rsid w:val="00676DC9"/>
    <w:rsid w:val="006A00E9"/>
    <w:rsid w:val="00702912"/>
    <w:rsid w:val="007055CE"/>
    <w:rsid w:val="00773EEA"/>
    <w:rsid w:val="007952A7"/>
    <w:rsid w:val="007A1A56"/>
    <w:rsid w:val="007D4735"/>
    <w:rsid w:val="00850CCF"/>
    <w:rsid w:val="00880B86"/>
    <w:rsid w:val="0088239F"/>
    <w:rsid w:val="008A0843"/>
    <w:rsid w:val="008B30E4"/>
    <w:rsid w:val="008C3257"/>
    <w:rsid w:val="008F62E0"/>
    <w:rsid w:val="00914AE0"/>
    <w:rsid w:val="009665FD"/>
    <w:rsid w:val="009A0339"/>
    <w:rsid w:val="009A38BA"/>
    <w:rsid w:val="009A4BD4"/>
    <w:rsid w:val="009B1C18"/>
    <w:rsid w:val="009B532E"/>
    <w:rsid w:val="009F3664"/>
    <w:rsid w:val="00A311D9"/>
    <w:rsid w:val="00A32EED"/>
    <w:rsid w:val="00AB084B"/>
    <w:rsid w:val="00AB2E78"/>
    <w:rsid w:val="00B03B8C"/>
    <w:rsid w:val="00B32E90"/>
    <w:rsid w:val="00B81902"/>
    <w:rsid w:val="00B96637"/>
    <w:rsid w:val="00BC51D4"/>
    <w:rsid w:val="00BD7B1B"/>
    <w:rsid w:val="00BE0954"/>
    <w:rsid w:val="00C54042"/>
    <w:rsid w:val="00C54CAD"/>
    <w:rsid w:val="00C93002"/>
    <w:rsid w:val="00CA035D"/>
    <w:rsid w:val="00CA33C8"/>
    <w:rsid w:val="00CC3258"/>
    <w:rsid w:val="00D5090A"/>
    <w:rsid w:val="00D94072"/>
    <w:rsid w:val="00E23BAC"/>
    <w:rsid w:val="00E5502B"/>
    <w:rsid w:val="00E77FD9"/>
    <w:rsid w:val="00EE42EF"/>
    <w:rsid w:val="00F0776F"/>
    <w:rsid w:val="00F41823"/>
  </w:rsids>
  <m:mathPr>
    <m:mathFont m:val="Cambria Math"/>
    <m:brkBin m:val="before"/>
    <m:brkBinSub m:val="--"/>
    <m:smallFrac/>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9396C7"/>
  <w15:docId w15:val="{1784648C-5E25-4FBE-BCA7-87CEA8F4F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59" w:lineRule="auto"/>
      <w:jc w:val="both"/>
    </w:pPr>
    <w:rPr>
      <w:rFonts w:ascii="Segoe UI" w:eastAsia="Segoe UI" w:hAnsi="Segoe UI" w:cs="Segoe UI"/>
    </w:rPr>
  </w:style>
  <w:style w:type="paragraph" w:styleId="Heading1">
    <w:name w:val="heading 1"/>
    <w:basedOn w:val="Normal"/>
    <w:next w:val="Normal"/>
    <w:link w:val="Heading1Char"/>
    <w:uiPriority w:val="9"/>
    <w:qFormat/>
    <w:rsid w:val="00CA33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38"/>
    <w:pPr>
      <w:spacing w:after="0"/>
    </w:p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styleId="PlainTable1">
    <w:name w:val="Plain Table 1"/>
    <w:basedOn w:val="TableNormal"/>
    <w:uiPriority w:val="39"/>
    <w:pPr>
      <w:spacing w:after="0"/>
    </w:p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styleId="PlainTable2">
    <w:name w:val="Plain Table 2"/>
    <w:basedOn w:val="TableNormal"/>
    <w:uiPriority w:val="40"/>
    <w:pPr>
      <w:spacing w:after="0"/>
    </w:p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styleId="PlainTable3">
    <w:name w:val="Plain Table 3"/>
    <w:basedOn w:val="TableNormal"/>
    <w:uiPriority w:val="41"/>
    <w:pPr>
      <w:spacing w:after="0"/>
    </w:p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2"/>
    <w:pPr>
      <w:spacing w:after="0"/>
    </w:p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styleId="PlainTable5">
    <w:name w:val="Plain Table 5"/>
    <w:basedOn w:val="TableNormal"/>
    <w:uiPriority w:val="43"/>
    <w:pPr>
      <w:spacing w:after="0"/>
    </w:pPr>
    <w:tblPr>
      <w:tblStyleRowBandSize w:val="1"/>
      <w:tblStyleColBandSize w:val="1"/>
    </w:tblPr>
    <w:tblStylePr w:type="firstRow">
      <w:rPr>
        <w:i/>
        <w:sz w:val="26"/>
        <w:szCs w:val="26"/>
      </w:rPr>
      <w:tblPr/>
      <w:tcPr>
        <w:tcBorders>
          <w:bottom w:val="single" w:sz="4" w:space="0" w:color="808080" w:themeColor="text1" w:themeTint="7F"/>
        </w:tcBorders>
        <w:shd w:val="clear" w:color="000000" w:fill="FFFFFF" w:themeFill="background1"/>
      </w:tcPr>
    </w:tblStylePr>
    <w:tblStylePr w:type="lastRow">
      <w:rPr>
        <w:i/>
        <w:sz w:val="26"/>
        <w:szCs w:val="26"/>
      </w:rPr>
      <w:tblPr/>
      <w:tcPr>
        <w:tcBorders>
          <w:top w:val="single" w:sz="4" w:space="0" w:color="808080" w:themeColor="text1" w:themeTint="7F"/>
        </w:tcBorders>
        <w:shd w:val="clear" w:color="000000" w:fill="FFFFFF" w:themeFill="background1"/>
      </w:tcPr>
    </w:tblStylePr>
    <w:tblStylePr w:type="firstCol">
      <w:pPr>
        <w:jc w:val="right"/>
      </w:pPr>
      <w:rPr>
        <w:i/>
        <w:sz w:val="26"/>
        <w:szCs w:val="26"/>
      </w:rPr>
      <w:tblPr/>
      <w:tcPr>
        <w:tcBorders>
          <w:right w:val="single" w:sz="4" w:space="0" w:color="808080" w:themeColor="text1" w:themeTint="7F"/>
        </w:tcBorders>
        <w:shd w:val="clear" w:color="000000" w:fill="FFFFFF" w:themeFill="background1"/>
      </w:tcPr>
    </w:tblStylePr>
    <w:tblStylePr w:type="lastCol">
      <w:rPr>
        <w:i/>
        <w:sz w:val="26"/>
        <w:szCs w:val="26"/>
      </w:rPr>
      <w:tblPr/>
      <w:tcPr>
        <w:tcBorders>
          <w:left w:val="single" w:sz="4" w:space="0" w:color="808080" w:themeColor="text1" w:themeTint="7F"/>
        </w:tcBorders>
        <w:shd w:val="clear" w:color="000000" w:fill="FFFFFF" w:themeFill="background1"/>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4"/>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styleId="GridTable1Light-Accent1">
    <w:name w:val="Grid Table 1 Light Accent 1"/>
    <w:basedOn w:val="TableNormal"/>
    <w:uiPriority w:val="45"/>
    <w:pPr>
      <w:spacing w:after="0"/>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styleId="GridTable1Light-Accent2">
    <w:name w:val="Grid Table 1 Light Accent 2"/>
    <w:basedOn w:val="TableNormal"/>
    <w:uiPriority w:val="46"/>
    <w:pPr>
      <w:spacing w:after="0"/>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styleId="GridTable1Light-Accent3">
    <w:name w:val="Grid Table 1 Light Accent 3"/>
    <w:basedOn w:val="TableNormal"/>
    <w:uiPriority w:val="47"/>
    <w:pPr>
      <w:spacing w:after="0"/>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styleId="GridTable1Light-Accent4">
    <w:name w:val="Grid Table 1 Light Accent 4"/>
    <w:basedOn w:val="TableNormal"/>
    <w:uiPriority w:val="48"/>
    <w:pPr>
      <w:spacing w:after="0"/>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styleId="GridTable1Light-Accent5">
    <w:name w:val="Grid Table 1 Light Accent 5"/>
    <w:basedOn w:val="TableNormal"/>
    <w:uiPriority w:val="49"/>
    <w:pPr>
      <w:spacing w:after="0"/>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styleId="GridTable1Light-Accent6">
    <w:name w:val="Grid Table 1 Light Accent 6"/>
    <w:basedOn w:val="TableNormal"/>
    <w:uiPriority w:val="50"/>
    <w:pPr>
      <w:spacing w:after="0"/>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styleId="GridTable2">
    <w:name w:val="Grid Table 2"/>
    <w:basedOn w:val="TableNormal"/>
    <w:uiPriority w:val="51"/>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000000" w:fill="FFFFFF" w:themeFill="background1"/>
      </w:tcPr>
    </w:tblStylePr>
    <w:tblStylePr w:type="lastRow">
      <w:rPr>
        <w:b/>
      </w:rPr>
      <w:tblPr/>
      <w:tcPr>
        <w:tcBorders>
          <w:top w:val="double" w:sz="2" w:space="0" w:color="666666" w:themeColor="text1"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GridTable2-Accent1">
    <w:name w:val="Grid Table 2 Accent 1"/>
    <w:basedOn w:val="TableNormal"/>
    <w:uiPriority w:val="52"/>
    <w:pPr>
      <w:spacing w:after="0"/>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000000" w:fill="FFFFFF" w:themeFill="background1"/>
      </w:tcPr>
    </w:tblStylePr>
    <w:tblStylePr w:type="lastRow">
      <w:rPr>
        <w:b/>
      </w:rPr>
      <w:tblPr/>
      <w:tcPr>
        <w:tcBorders>
          <w:top w:val="double" w:sz="2" w:space="0" w:color="9CC2E5" w:themeColor="accent1"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styleId="GridTable2-Accent2">
    <w:name w:val="Grid Table 2 Accent 2"/>
    <w:basedOn w:val="TableNormal"/>
    <w:uiPriority w:val="53"/>
    <w:pPr>
      <w:spacing w:after="0"/>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000000" w:fill="FFFFFF" w:themeFill="background1"/>
      </w:tcPr>
    </w:tblStylePr>
    <w:tblStylePr w:type="lastRow">
      <w:rPr>
        <w:b/>
      </w:rPr>
      <w:tblPr/>
      <w:tcPr>
        <w:tcBorders>
          <w:top w:val="double" w:sz="2" w:space="0" w:color="F4B083" w:themeColor="accent2"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GridTable2-Accent3">
    <w:name w:val="Grid Table 2 Accent 3"/>
    <w:basedOn w:val="TableNormal"/>
    <w:uiPriority w:val="54"/>
    <w:pPr>
      <w:spacing w:after="0"/>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000000" w:fill="FFFFFF" w:themeFill="background1"/>
      </w:tcPr>
    </w:tblStylePr>
    <w:tblStylePr w:type="lastRow">
      <w:rPr>
        <w:b/>
      </w:rPr>
      <w:tblPr/>
      <w:tcPr>
        <w:tcBorders>
          <w:top w:val="double" w:sz="2" w:space="0" w:color="C9C9C9" w:themeColor="accent3"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GridTable2-Accent4">
    <w:name w:val="Grid Table 2 Accent 4"/>
    <w:basedOn w:val="TableNormal"/>
    <w:uiPriority w:val="55"/>
    <w:pPr>
      <w:spacing w:after="0"/>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000000" w:fill="FFFFFF" w:themeFill="background1"/>
      </w:tcPr>
    </w:tblStylePr>
    <w:tblStylePr w:type="lastRow">
      <w:rPr>
        <w:b/>
      </w:rPr>
      <w:tblPr/>
      <w:tcPr>
        <w:tcBorders>
          <w:top w:val="double" w:sz="2" w:space="0" w:color="FFD966" w:themeColor="accent4"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GridTable2-Accent5">
    <w:name w:val="Grid Table 2 Accent 5"/>
    <w:basedOn w:val="TableNormal"/>
    <w:uiPriority w:val="56"/>
    <w:pPr>
      <w:spacing w:after="0"/>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000000" w:fill="FFFFFF" w:themeFill="background1"/>
      </w:tcPr>
    </w:tblStylePr>
    <w:tblStylePr w:type="lastRow">
      <w:rPr>
        <w:b/>
      </w:rPr>
      <w:tblPr/>
      <w:tcPr>
        <w:tcBorders>
          <w:top w:val="double" w:sz="2" w:space="0" w:color="8EAADB" w:themeColor="accent5"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styleId="GridTable2-Accent6">
    <w:name w:val="Grid Table 2 Accent 6"/>
    <w:basedOn w:val="TableNormal"/>
    <w:uiPriority w:val="57"/>
    <w:pPr>
      <w:spacing w:after="0"/>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000000" w:fill="FFFFFF" w:themeFill="background1"/>
      </w:tcPr>
    </w:tblStylePr>
    <w:tblStylePr w:type="lastRow">
      <w:rPr>
        <w:b/>
      </w:rPr>
      <w:tblPr/>
      <w:tcPr>
        <w:tcBorders>
          <w:top w:val="double" w:sz="2" w:space="0" w:color="A8D08D" w:themeColor="accent6"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styleId="GridTable3">
    <w:name w:val="Grid Table 3"/>
    <w:basedOn w:val="TableNormal"/>
    <w:uiPriority w:val="5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59"/>
    <w:pPr>
      <w:spacing w:after="0"/>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60"/>
    <w:pPr>
      <w:spacing w:after="0"/>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61"/>
    <w:pPr>
      <w:spacing w:after="0"/>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62"/>
    <w:pPr>
      <w:spacing w:after="0"/>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63"/>
    <w:pPr>
      <w:spacing w:after="0"/>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64"/>
    <w:pPr>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65"/>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000000"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GridTable4-Accent1">
    <w:name w:val="Grid Table 4 Accent 1"/>
    <w:basedOn w:val="TableNormal"/>
    <w:uiPriority w:val="66"/>
    <w:pPr>
      <w:spacing w:after="0"/>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000000"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styleId="GridTable4-Accent2">
    <w:name w:val="Grid Table 4 Accent 2"/>
    <w:basedOn w:val="TableNormal"/>
    <w:uiPriority w:val="67"/>
    <w:pPr>
      <w:spacing w:after="0"/>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000000"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GridTable4-Accent3">
    <w:name w:val="Grid Table 4 Accent 3"/>
    <w:basedOn w:val="TableNormal"/>
    <w:uiPriority w:val="68"/>
    <w:pPr>
      <w:spacing w:after="0"/>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000000"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GridTable4-Accent4">
    <w:name w:val="Grid Table 4 Accent 4"/>
    <w:basedOn w:val="TableNormal"/>
    <w:uiPriority w:val="69"/>
    <w:pPr>
      <w:spacing w:after="0"/>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000000"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GridTable4-Accent5">
    <w:name w:val="Grid Table 4 Accent 5"/>
    <w:basedOn w:val="TableNormal"/>
    <w:uiPriority w:val="70"/>
    <w:pPr>
      <w:spacing w:after="0"/>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000000"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styleId="GridTable4-Accent6">
    <w:name w:val="Grid Table 4 Accent 6"/>
    <w:basedOn w:val="TableNormal"/>
    <w:uiPriority w:val="71"/>
    <w:pPr>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000000"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styleId="GridTable5Dark">
    <w:name w:val="Grid Table 5 Dark"/>
    <w:basedOn w:val="TableNormal"/>
    <w:uiPriority w:val="72"/>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000000" w:themeFill="text1"/>
      </w:tcPr>
    </w:tblStylePr>
    <w:tblStylePr w:type="band1Vert">
      <w:tblPr/>
      <w:tcPr>
        <w:shd w:val="clear" w:color="000000" w:fill="999999" w:themeFill="text1" w:themeFillTint="66"/>
      </w:tcPr>
    </w:tblStylePr>
    <w:tblStylePr w:type="band1Horz">
      <w:tblPr/>
      <w:tcPr>
        <w:shd w:val="clear" w:color="000000" w:fill="999999" w:themeFill="text1" w:themeFillTint="66"/>
      </w:tcPr>
    </w:tblStylePr>
  </w:style>
  <w:style w:type="table" w:styleId="GridTable5Dark-Accent1">
    <w:name w:val="Grid Table 5 Dark Accent 1"/>
    <w:basedOn w:val="TableNormal"/>
    <w:uiPriority w:val="73"/>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5B9BD5" w:themeFill="accent1"/>
      </w:tcPr>
    </w:tblStylePr>
    <w:tblStylePr w:type="band1Vert">
      <w:tblPr/>
      <w:tcPr>
        <w:shd w:val="clear" w:color="000000" w:fill="BDD6EE" w:themeFill="accent1" w:themeFillTint="66"/>
      </w:tcPr>
    </w:tblStylePr>
    <w:tblStylePr w:type="band1Horz">
      <w:tblPr/>
      <w:tcPr>
        <w:shd w:val="clear" w:color="000000" w:fill="BDD6EE" w:themeFill="accent1" w:themeFillTint="66"/>
      </w:tcPr>
    </w:tblStylePr>
  </w:style>
  <w:style w:type="table" w:styleId="GridTable5Dark-Accent2">
    <w:name w:val="Grid Table 5 Dark Accent 2"/>
    <w:basedOn w:val="TableNormal"/>
    <w:uiPriority w:val="74"/>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ED7D31" w:themeFill="accent2"/>
      </w:tcPr>
    </w:tblStylePr>
    <w:tblStylePr w:type="band1Vert">
      <w:tblPr/>
      <w:tcPr>
        <w:shd w:val="clear" w:color="000000" w:fill="F7CAAC" w:themeFill="accent2" w:themeFillTint="66"/>
      </w:tcPr>
    </w:tblStylePr>
    <w:tblStylePr w:type="band1Horz">
      <w:tblPr/>
      <w:tcPr>
        <w:shd w:val="clear" w:color="000000" w:fill="F7CAAC" w:themeFill="accent2" w:themeFillTint="66"/>
      </w:tcPr>
    </w:tblStylePr>
  </w:style>
  <w:style w:type="table" w:styleId="GridTable5Dark-Accent3">
    <w:name w:val="Grid Table 5 Dark Accent 3"/>
    <w:basedOn w:val="TableNormal"/>
    <w:uiPriority w:val="75"/>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A5A5A5" w:themeFill="accent3"/>
      </w:tcPr>
    </w:tblStylePr>
    <w:tblStylePr w:type="band1Vert">
      <w:tblPr/>
      <w:tcPr>
        <w:shd w:val="clear" w:color="000000" w:fill="DBDBDB" w:themeFill="accent3" w:themeFillTint="66"/>
      </w:tcPr>
    </w:tblStylePr>
    <w:tblStylePr w:type="band1Horz">
      <w:tblPr/>
      <w:tcPr>
        <w:shd w:val="clear" w:color="000000" w:fill="DBDBDB" w:themeFill="accent3" w:themeFillTint="66"/>
      </w:tcPr>
    </w:tblStylePr>
  </w:style>
  <w:style w:type="table" w:styleId="GridTable5Dark-Accent4">
    <w:name w:val="Grid Table 5 Dark Accent 4"/>
    <w:basedOn w:val="TableNormal"/>
    <w:uiPriority w:val="76"/>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FFC000" w:themeFill="accent4"/>
      </w:tcPr>
    </w:tblStylePr>
    <w:tblStylePr w:type="band1Vert">
      <w:tblPr/>
      <w:tcPr>
        <w:shd w:val="clear" w:color="000000" w:fill="FFE599" w:themeFill="accent4" w:themeFillTint="66"/>
      </w:tcPr>
    </w:tblStylePr>
    <w:tblStylePr w:type="band1Horz">
      <w:tblPr/>
      <w:tcPr>
        <w:shd w:val="clear" w:color="000000" w:fill="FFE599" w:themeFill="accent4" w:themeFillTint="66"/>
      </w:tcPr>
    </w:tblStylePr>
  </w:style>
  <w:style w:type="table" w:styleId="GridTable5Dark-Accent5">
    <w:name w:val="Grid Table 5 Dark Accent 5"/>
    <w:basedOn w:val="TableNormal"/>
    <w:uiPriority w:val="77"/>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4472C4" w:themeFill="accent5"/>
      </w:tcPr>
    </w:tblStylePr>
    <w:tblStylePr w:type="band1Vert">
      <w:tblPr/>
      <w:tcPr>
        <w:shd w:val="clear" w:color="000000" w:fill="B4C6E7" w:themeFill="accent5" w:themeFillTint="66"/>
      </w:tcPr>
    </w:tblStylePr>
    <w:tblStylePr w:type="band1Horz">
      <w:tblPr/>
      <w:tcPr>
        <w:shd w:val="clear" w:color="000000" w:fill="B4C6E7" w:themeFill="accent5" w:themeFillTint="66"/>
      </w:tcPr>
    </w:tblStylePr>
  </w:style>
  <w:style w:type="table" w:styleId="GridTable5Dark-Accent6">
    <w:name w:val="Grid Table 5 Dark Accent 6"/>
    <w:basedOn w:val="TableNormal"/>
    <w:uiPriority w:val="7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70AD47" w:themeFill="accent6"/>
      </w:tcPr>
    </w:tblStylePr>
    <w:tblStylePr w:type="band1Vert">
      <w:tblPr/>
      <w:tcPr>
        <w:shd w:val="clear" w:color="000000" w:fill="C5E0B3" w:themeFill="accent6" w:themeFillTint="66"/>
      </w:tcPr>
    </w:tblStylePr>
    <w:tblStylePr w:type="band1Horz">
      <w:tblPr/>
      <w:tcPr>
        <w:shd w:val="clear" w:color="000000" w:fill="C5E0B3" w:themeFill="accent6" w:themeFillTint="66"/>
      </w:tcPr>
    </w:tblStylePr>
  </w:style>
  <w:style w:type="table" w:styleId="GridTable6Colorful">
    <w:name w:val="Grid Table 6 Colorful"/>
    <w:basedOn w:val="TableNormal"/>
    <w:uiPriority w:val="79"/>
    <w:pPr>
      <w:spacing w:after="0"/>
    </w:pPr>
    <w:rPr>
      <w:color w:val="000000" w:themeColor="text1" w:themeShade="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GridTable6Colorful-Accent1">
    <w:name w:val="Grid Table 6 Colorful Accent 1"/>
    <w:basedOn w:val="TableNormal"/>
    <w:uiPriority w:val="80"/>
    <w:pPr>
      <w:spacing w:after="0"/>
    </w:pPr>
    <w:rPr>
      <w:color w:val="2E74B4" w:themeColor="accent1" w:themeShade="BE"/>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styleId="GridTable6Colorful-Accent2">
    <w:name w:val="Grid Table 6 Colorful Accent 2"/>
    <w:basedOn w:val="TableNormal"/>
    <w:uiPriority w:val="81"/>
    <w:pPr>
      <w:spacing w:after="0"/>
    </w:pPr>
    <w:rPr>
      <w:color w:val="C35911" w:themeColor="accent2" w:themeShade="B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GridTable6Colorful-Accent3">
    <w:name w:val="Grid Table 6 Colorful Accent 3"/>
    <w:basedOn w:val="TableNormal"/>
    <w:uiPriority w:val="82"/>
    <w:pPr>
      <w:spacing w:after="0"/>
    </w:pPr>
    <w:rPr>
      <w:color w:val="7A7A7A" w:themeColor="accent3" w:themeShade="B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GridTable6Colorful-Accent4">
    <w:name w:val="Grid Table 6 Colorful Accent 4"/>
    <w:basedOn w:val="TableNormal"/>
    <w:uiPriority w:val="83"/>
    <w:pPr>
      <w:spacing w:after="0"/>
    </w:pPr>
    <w:rPr>
      <w:color w:val="BE8F00" w:themeColor="accent4" w:themeShade="B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GridTable6Colorful-Accent5">
    <w:name w:val="Grid Table 6 Colorful Accent 5"/>
    <w:basedOn w:val="TableNormal"/>
    <w:uiPriority w:val="84"/>
    <w:pPr>
      <w:spacing w:after="0"/>
    </w:pPr>
    <w:rPr>
      <w:color w:val="2F5395" w:themeColor="accent5" w:themeShade="BE"/>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styleId="GridTable6Colorful-Accent6">
    <w:name w:val="Grid Table 6 Colorful Accent 6"/>
    <w:basedOn w:val="TableNormal"/>
    <w:uiPriority w:val="85"/>
    <w:pPr>
      <w:spacing w:after="0"/>
    </w:pPr>
    <w:rPr>
      <w:color w:val="538035" w:themeColor="accent6" w:themeShade="B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styleId="GridTable7Colorful">
    <w:name w:val="Grid Table 7 Colorful"/>
    <w:basedOn w:val="TableNormal"/>
    <w:uiPriority w:val="86"/>
    <w:pPr>
      <w:spacing w:after="0"/>
    </w:pPr>
    <w:rPr>
      <w:color w:val="000000" w:themeColor="text1" w:themeShade="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87"/>
    <w:pPr>
      <w:spacing w:after="0"/>
    </w:pPr>
    <w:rPr>
      <w:color w:val="2E74B4" w:themeColor="accent1" w:themeShade="BE"/>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88"/>
    <w:pPr>
      <w:spacing w:after="0"/>
    </w:pPr>
    <w:rPr>
      <w:color w:val="C35911" w:themeColor="accent2" w:themeShade="B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89"/>
    <w:pPr>
      <w:spacing w:after="0"/>
    </w:pPr>
    <w:rPr>
      <w:color w:val="7A7A7A" w:themeColor="accent3" w:themeShade="B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90"/>
    <w:pPr>
      <w:spacing w:after="0"/>
    </w:pPr>
    <w:rPr>
      <w:color w:val="BE8F00" w:themeColor="accent4" w:themeShade="B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91"/>
    <w:pPr>
      <w:spacing w:after="0"/>
    </w:pPr>
    <w:rPr>
      <w:color w:val="2F5395" w:themeColor="accent5" w:themeShade="BE"/>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6">
    <w:name w:val="Grid Table 7 Colorful Accent 6"/>
    <w:basedOn w:val="TableNormal"/>
    <w:uiPriority w:val="92"/>
    <w:pPr>
      <w:spacing w:after="0"/>
    </w:pPr>
    <w:rPr>
      <w:color w:val="538035" w:themeColor="accent6" w:themeShade="B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ListTable1Light">
    <w:name w:val="List Table 1 Light"/>
    <w:basedOn w:val="TableNormal"/>
    <w:uiPriority w:val="93"/>
    <w:pPr>
      <w:spacing w:after="0"/>
    </w:p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ListTable1Light-Accent1">
    <w:name w:val="List Table 1 Light Accent 1"/>
    <w:basedOn w:val="TableNormal"/>
    <w:uiPriority w:val="94"/>
    <w:pPr>
      <w:spacing w:after="0"/>
    </w:p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styleId="ListTable1Light-Accent2">
    <w:name w:val="List Table 1 Light Accent 2"/>
    <w:basedOn w:val="TableNormal"/>
    <w:uiPriority w:val="95"/>
    <w:pPr>
      <w:spacing w:after="0"/>
    </w:p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ListTable1Light-Accent3">
    <w:name w:val="List Table 1 Light Accent 3"/>
    <w:basedOn w:val="TableNormal"/>
    <w:uiPriority w:val="96"/>
    <w:pPr>
      <w:spacing w:after="0"/>
    </w:p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ListTable1Light-Accent4">
    <w:name w:val="List Table 1 Light Accent 4"/>
    <w:basedOn w:val="TableNormal"/>
    <w:uiPriority w:val="97"/>
    <w:pPr>
      <w:spacing w:after="0"/>
    </w:p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ListTable1Light-Accent5">
    <w:name w:val="List Table 1 Light Accent 5"/>
    <w:basedOn w:val="TableNormal"/>
    <w:uiPriority w:val="98"/>
    <w:pPr>
      <w:spacing w:after="0"/>
    </w:p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styleId="ListTable1Light-Accent6">
    <w:name w:val="List Table 1 Light Accent 6"/>
    <w:basedOn w:val="TableNormal"/>
    <w:uiPriority w:val="99"/>
    <w:pPr>
      <w:spacing w:after="0"/>
    </w:p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styleId="ListTable2">
    <w:name w:val="List Table 2"/>
    <w:basedOn w:val="TableNormal"/>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ListTable2-Accent1">
    <w:name w:val="List Table 2 Accent 1"/>
    <w:basedOn w:val="TableNormal"/>
    <w:pPr>
      <w:spacing w:after="0"/>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styleId="ListTable2-Accent2">
    <w:name w:val="List Table 2 Accent 2"/>
    <w:basedOn w:val="TableNormal"/>
    <w:pPr>
      <w:spacing w:after="0"/>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ListTable2-Accent3">
    <w:name w:val="List Table 2 Accent 3"/>
    <w:basedOn w:val="TableNormal"/>
    <w:pPr>
      <w:spacing w:after="0"/>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ListTable2-Accent4">
    <w:name w:val="List Table 2 Accent 4"/>
    <w:basedOn w:val="TableNormal"/>
    <w:pPr>
      <w:spacing w:after="0"/>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ListTable2-Accent5">
    <w:name w:val="List Table 2 Accent 5"/>
    <w:basedOn w:val="TableNormal"/>
    <w:pPr>
      <w:spacing w:after="0"/>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styleId="ListTable2-Accent6">
    <w:name w:val="List Table 2 Accent 6"/>
    <w:basedOn w:val="TableNormal"/>
    <w:pPr>
      <w:spacing w:after="0"/>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styleId="ListTable3">
    <w:name w:val="List Table 3"/>
    <w:basedOn w:val="TableNormal"/>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000000" w:fill="000000" w:themeFill="text1"/>
      </w:tcPr>
    </w:tblStylePr>
    <w:tblStylePr w:type="lastRow">
      <w:rPr>
        <w:b/>
      </w:rPr>
      <w:tblPr/>
      <w:tcPr>
        <w:tcBorders>
          <w:top w:val="double" w:sz="4" w:space="0" w:color="000000" w:themeColor="text1"/>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pPr>
      <w:spacing w:after="0"/>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000000" w:fill="5B9BD5" w:themeFill="accent1"/>
      </w:tcPr>
    </w:tblStylePr>
    <w:tblStylePr w:type="lastRow">
      <w:rPr>
        <w:b/>
      </w:rPr>
      <w:tblPr/>
      <w:tcPr>
        <w:tcBorders>
          <w:top w:val="double" w:sz="4" w:space="0" w:color="5B9BD5" w:themeColor="accent1"/>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pPr>
      <w:spacing w:after="0"/>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000000" w:fill="ED7D31" w:themeFill="accent2"/>
      </w:tcPr>
    </w:tblStylePr>
    <w:tblStylePr w:type="lastRow">
      <w:rPr>
        <w:b/>
      </w:rPr>
      <w:tblPr/>
      <w:tcPr>
        <w:tcBorders>
          <w:top w:val="double" w:sz="4" w:space="0" w:color="ED7D31" w:themeColor="accent2"/>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pPr>
      <w:spacing w:after="0"/>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000000" w:fill="A5A5A5" w:themeFill="accent3"/>
      </w:tcPr>
    </w:tblStylePr>
    <w:tblStylePr w:type="lastRow">
      <w:rPr>
        <w:b/>
      </w:rPr>
      <w:tblPr/>
      <w:tcPr>
        <w:tcBorders>
          <w:top w:val="double" w:sz="4" w:space="0" w:color="A5A5A5" w:themeColor="accent3"/>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pPr>
      <w:spacing w:after="0"/>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000000" w:fill="FFC000" w:themeFill="accent4"/>
      </w:tcPr>
    </w:tblStylePr>
    <w:tblStylePr w:type="lastRow">
      <w:rPr>
        <w:b/>
      </w:rPr>
      <w:tblPr/>
      <w:tcPr>
        <w:tcBorders>
          <w:top w:val="double" w:sz="4" w:space="0" w:color="FFC000" w:themeColor="accent4"/>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pPr>
      <w:spacing w:after="0"/>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000000" w:fill="4472C4" w:themeFill="accent5"/>
      </w:tcPr>
    </w:tblStylePr>
    <w:tblStylePr w:type="lastRow">
      <w:rPr>
        <w:b/>
      </w:rPr>
      <w:tblPr/>
      <w:tcPr>
        <w:tcBorders>
          <w:top w:val="double" w:sz="4" w:space="0" w:color="4472C4" w:themeColor="accent5"/>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3-Accent6">
    <w:name w:val="List Table 3 Accent 6"/>
    <w:basedOn w:val="TableNormal"/>
    <w:pPr>
      <w:spacing w:after="0"/>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000000" w:fill="70AD47" w:themeFill="accent6"/>
      </w:tcPr>
    </w:tblStylePr>
    <w:tblStylePr w:type="lastRow">
      <w:rPr>
        <w:b/>
      </w:rPr>
      <w:tblPr/>
      <w:tcPr>
        <w:tcBorders>
          <w:top w:val="double" w:sz="4" w:space="0" w:color="70AD47" w:themeColor="accent6"/>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000000"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ListTable4-Accent1">
    <w:name w:val="List Table 4 Accent 1"/>
    <w:basedOn w:val="TableNormal"/>
    <w:pPr>
      <w:spacing w:after="0"/>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000000"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styleId="ListTable4-Accent2">
    <w:name w:val="List Table 4 Accent 2"/>
    <w:basedOn w:val="TableNormal"/>
    <w:pPr>
      <w:spacing w:after="0"/>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000000"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ListTable4-Accent3">
    <w:name w:val="List Table 4 Accent 3"/>
    <w:basedOn w:val="TableNormal"/>
    <w:pPr>
      <w:spacing w:after="0"/>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000000"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ListTable4-Accent4">
    <w:name w:val="List Table 4 Accent 4"/>
    <w:basedOn w:val="TableNormal"/>
    <w:pPr>
      <w:spacing w:after="0"/>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000000"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ListTable4-Accent5">
    <w:name w:val="List Table 4 Accent 5"/>
    <w:basedOn w:val="TableNormal"/>
    <w:pPr>
      <w:spacing w:after="0"/>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000000"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styleId="ListTable4-Accent6">
    <w:name w:val="List Table 4 Accent 6"/>
    <w:basedOn w:val="TableNormal"/>
    <w:pPr>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000000"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ListTable5">
    <w:name w:val="List Table 5"/>
    <w:basedOn w:val="TableNormal"/>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000000" w:fill="000000" w:themeFill="tex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
    <w:name w:val="List Table 5 Accent 1"/>
    <w:basedOn w:val="TableNormal"/>
    <w:pPr>
      <w:spacing w:after="0"/>
    </w:pPr>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000000" w:fill="5B9BD5" w:themeFill="accen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
    <w:name w:val="List Table 5 Accent 2"/>
    <w:basedOn w:val="TableNormal"/>
    <w:pPr>
      <w:spacing w:after="0"/>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000000" w:fill="ED7D31" w:themeFill="accent2"/>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
    <w:name w:val="List Table 5 Accent 3"/>
    <w:basedOn w:val="TableNormal"/>
    <w:pPr>
      <w:spacing w:after="0"/>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000000" w:fill="A5A5A5" w:themeFill="accent3"/>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
    <w:name w:val="List Table 5 Accent 4"/>
    <w:basedOn w:val="TableNormal"/>
    <w:pPr>
      <w:spacing w:after="0"/>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000000" w:fill="FFC000" w:themeFill="accent4"/>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
    <w:name w:val="List Table 5 Accent 5"/>
    <w:basedOn w:val="TableNormal"/>
    <w:pPr>
      <w:spacing w:after="0"/>
    </w:pPr>
    <w:rPr>
      <w:color w:val="FFFFFF" w:themeColor="background1"/>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000000" w:fill="4472C4" w:themeFill="accent5"/>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
    <w:name w:val="List Table 5 Accent 6"/>
    <w:basedOn w:val="TableNormal"/>
    <w:pPr>
      <w:spacing w:after="0"/>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000000" w:fill="70AD47" w:themeFill="accent6"/>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pPr>
      <w:spacing w:after="0"/>
    </w:pPr>
    <w:rPr>
      <w:color w:val="000000" w:themeColor="text1" w:themeShade="BE"/>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ListTable6Colorful-Accent1">
    <w:name w:val="List Table 6 Colorful Accent 1"/>
    <w:basedOn w:val="TableNormal"/>
    <w:pPr>
      <w:spacing w:after="0"/>
    </w:pPr>
    <w:rPr>
      <w:color w:val="2E74B4" w:themeColor="accent1" w:themeShade="BE"/>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styleId="ListTable6Colorful-Accent2">
    <w:name w:val="List Table 6 Colorful Accent 2"/>
    <w:basedOn w:val="TableNormal"/>
    <w:pPr>
      <w:spacing w:after="0"/>
    </w:pPr>
    <w:rPr>
      <w:color w:val="C35911" w:themeColor="accent2" w:themeShade="BE"/>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ListTable6Colorful-Accent3">
    <w:name w:val="List Table 6 Colorful Accent 3"/>
    <w:basedOn w:val="TableNormal"/>
    <w:pPr>
      <w:spacing w:after="0"/>
    </w:pPr>
    <w:rPr>
      <w:color w:val="7A7A7A" w:themeColor="accent3" w:themeShade="BE"/>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ListTable6Colorful-Accent4">
    <w:name w:val="List Table 6 Colorful Accent 4"/>
    <w:basedOn w:val="TableNormal"/>
    <w:pPr>
      <w:spacing w:after="0"/>
    </w:pPr>
    <w:rPr>
      <w:color w:val="BE8F00" w:themeColor="accent4" w:themeShade="BE"/>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ListTable6Colorful-Accent5">
    <w:name w:val="List Table 6 Colorful Accent 5"/>
    <w:basedOn w:val="TableNormal"/>
    <w:pPr>
      <w:spacing w:after="0"/>
    </w:pPr>
    <w:rPr>
      <w:color w:val="2F5395" w:themeColor="accent5" w:themeShade="BE"/>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styleId="ListTable6Colorful-Accent6">
    <w:name w:val="List Table 6 Colorful Accent 6"/>
    <w:basedOn w:val="TableNormal"/>
    <w:pPr>
      <w:spacing w:after="0"/>
    </w:pPr>
    <w:rPr>
      <w:color w:val="538035" w:themeColor="accent6" w:themeShade="BE"/>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styleId="ListTable7Colorful">
    <w:name w:val="List Table 7 Colorful"/>
    <w:basedOn w:val="TableNormal"/>
    <w:pPr>
      <w:spacing w:after="0"/>
    </w:pPr>
    <w:rPr>
      <w:color w:val="000000" w:themeColor="text1" w:themeShade="BE"/>
    </w:rPr>
    <w:tblPr>
      <w:tblStyleRowBandSize w:val="1"/>
      <w:tblStyleColBandSize w:val="1"/>
    </w:tblPr>
    <w:tblStylePr w:type="firstRow">
      <w:rPr>
        <w:i/>
        <w:sz w:val="26"/>
        <w:szCs w:val="26"/>
      </w:rPr>
      <w:tblPr/>
      <w:tcPr>
        <w:tcBorders>
          <w:bottom w:val="single" w:sz="4" w:space="0" w:color="000000" w:themeColor="text1"/>
        </w:tcBorders>
        <w:shd w:val="clear" w:color="000000" w:fill="FFFFFF" w:themeFill="background1"/>
      </w:tcPr>
    </w:tblStylePr>
    <w:tblStylePr w:type="lastRow">
      <w:rPr>
        <w:i/>
        <w:sz w:val="26"/>
        <w:szCs w:val="26"/>
      </w:rPr>
      <w:tblPr/>
      <w:tcPr>
        <w:tcBorders>
          <w:top w:val="single" w:sz="4" w:space="0" w:color="000000" w:themeColor="text1"/>
        </w:tcBorders>
        <w:shd w:val="clear" w:color="000000" w:fill="FFFFFF" w:themeFill="background1"/>
      </w:tcPr>
    </w:tblStylePr>
    <w:tblStylePr w:type="firstCol">
      <w:pPr>
        <w:jc w:val="right"/>
      </w:pPr>
      <w:rPr>
        <w:i/>
        <w:sz w:val="26"/>
        <w:szCs w:val="26"/>
      </w:rPr>
      <w:tblPr/>
      <w:tcPr>
        <w:tcBorders>
          <w:right w:val="single" w:sz="4" w:space="0" w:color="000000" w:themeColor="text1"/>
        </w:tcBorders>
        <w:shd w:val="clear" w:color="000000" w:fill="FFFFFF" w:themeFill="background1"/>
      </w:tcPr>
    </w:tblStylePr>
    <w:tblStylePr w:type="lastCol">
      <w:rPr>
        <w:i/>
        <w:sz w:val="26"/>
        <w:szCs w:val="26"/>
      </w:rPr>
      <w:tblPr/>
      <w:tcPr>
        <w:tcBorders>
          <w:left w:val="single" w:sz="4" w:space="0" w:color="000000" w:themeColor="text1"/>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pPr>
      <w:spacing w:after="0"/>
    </w:pPr>
    <w:rPr>
      <w:color w:val="2E74B4" w:themeColor="accent1" w:themeShade="BE"/>
    </w:rPr>
    <w:tblPr>
      <w:tblStyleRowBandSize w:val="1"/>
      <w:tblStyleColBandSize w:val="1"/>
    </w:tblPr>
    <w:tblStylePr w:type="firstRow">
      <w:rPr>
        <w:i/>
        <w:sz w:val="26"/>
        <w:szCs w:val="26"/>
      </w:rPr>
      <w:tblPr/>
      <w:tcPr>
        <w:tcBorders>
          <w:bottom w:val="single" w:sz="4" w:space="0" w:color="5B9BD5" w:themeColor="accent1"/>
        </w:tcBorders>
        <w:shd w:val="clear" w:color="000000" w:fill="FFFFFF" w:themeFill="background1"/>
      </w:tcPr>
    </w:tblStylePr>
    <w:tblStylePr w:type="lastRow">
      <w:rPr>
        <w:i/>
        <w:sz w:val="26"/>
        <w:szCs w:val="26"/>
      </w:rPr>
      <w:tblPr/>
      <w:tcPr>
        <w:tcBorders>
          <w:top w:val="single" w:sz="4" w:space="0" w:color="5B9BD5" w:themeColor="accent1"/>
        </w:tcBorders>
        <w:shd w:val="clear" w:color="000000" w:fill="FFFFFF" w:themeFill="background1"/>
      </w:tcPr>
    </w:tblStylePr>
    <w:tblStylePr w:type="firstCol">
      <w:pPr>
        <w:jc w:val="right"/>
      </w:pPr>
      <w:rPr>
        <w:i/>
        <w:sz w:val="26"/>
        <w:szCs w:val="26"/>
      </w:rPr>
      <w:tblPr/>
      <w:tcPr>
        <w:tcBorders>
          <w:right w:val="single" w:sz="4" w:space="0" w:color="5B9BD5" w:themeColor="accent1"/>
        </w:tcBorders>
        <w:shd w:val="clear" w:color="000000" w:fill="FFFFFF" w:themeFill="background1"/>
      </w:tcPr>
    </w:tblStylePr>
    <w:tblStylePr w:type="lastCol">
      <w:rPr>
        <w:i/>
        <w:sz w:val="26"/>
        <w:szCs w:val="26"/>
      </w:rPr>
      <w:tblPr/>
      <w:tcPr>
        <w:tcBorders>
          <w:left w:val="single" w:sz="4" w:space="0" w:color="5B9BD5" w:themeColor="accent1"/>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pPr>
      <w:spacing w:after="0"/>
    </w:pPr>
    <w:rPr>
      <w:color w:val="C35911" w:themeColor="accent2" w:themeShade="BE"/>
    </w:rPr>
    <w:tblPr>
      <w:tblStyleRowBandSize w:val="1"/>
      <w:tblStyleColBandSize w:val="1"/>
    </w:tblPr>
    <w:tblStylePr w:type="firstRow">
      <w:rPr>
        <w:i/>
        <w:sz w:val="26"/>
        <w:szCs w:val="26"/>
      </w:rPr>
      <w:tblPr/>
      <w:tcPr>
        <w:tcBorders>
          <w:bottom w:val="single" w:sz="4" w:space="0" w:color="ED7D31" w:themeColor="accent2"/>
        </w:tcBorders>
        <w:shd w:val="clear" w:color="000000" w:fill="FFFFFF" w:themeFill="background1"/>
      </w:tcPr>
    </w:tblStylePr>
    <w:tblStylePr w:type="lastRow">
      <w:rPr>
        <w:i/>
        <w:sz w:val="26"/>
        <w:szCs w:val="26"/>
      </w:rPr>
      <w:tblPr/>
      <w:tcPr>
        <w:tcBorders>
          <w:top w:val="single" w:sz="4" w:space="0" w:color="ED7D31" w:themeColor="accent2"/>
        </w:tcBorders>
        <w:shd w:val="clear" w:color="000000" w:fill="FFFFFF" w:themeFill="background1"/>
      </w:tcPr>
    </w:tblStylePr>
    <w:tblStylePr w:type="firstCol">
      <w:pPr>
        <w:jc w:val="right"/>
      </w:pPr>
      <w:rPr>
        <w:i/>
        <w:sz w:val="26"/>
        <w:szCs w:val="26"/>
      </w:rPr>
      <w:tblPr/>
      <w:tcPr>
        <w:tcBorders>
          <w:right w:val="single" w:sz="4" w:space="0" w:color="ED7D31" w:themeColor="accent2"/>
        </w:tcBorders>
        <w:shd w:val="clear" w:color="000000" w:fill="FFFFFF" w:themeFill="background1"/>
      </w:tcPr>
    </w:tblStylePr>
    <w:tblStylePr w:type="lastCol">
      <w:rPr>
        <w:i/>
        <w:sz w:val="26"/>
        <w:szCs w:val="26"/>
      </w:rPr>
      <w:tblPr/>
      <w:tcPr>
        <w:tcBorders>
          <w:left w:val="single" w:sz="4" w:space="0" w:color="ED7D31" w:themeColor="accent2"/>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pPr>
      <w:spacing w:after="0"/>
    </w:pPr>
    <w:rPr>
      <w:color w:val="7A7A7A" w:themeColor="accent3" w:themeShade="BE"/>
    </w:rPr>
    <w:tblPr>
      <w:tblStyleRowBandSize w:val="1"/>
      <w:tblStyleColBandSize w:val="1"/>
    </w:tblPr>
    <w:tblStylePr w:type="firstRow">
      <w:rPr>
        <w:i/>
        <w:sz w:val="26"/>
        <w:szCs w:val="26"/>
      </w:rPr>
      <w:tblPr/>
      <w:tcPr>
        <w:tcBorders>
          <w:bottom w:val="single" w:sz="4" w:space="0" w:color="A5A5A5" w:themeColor="accent3"/>
        </w:tcBorders>
        <w:shd w:val="clear" w:color="000000" w:fill="FFFFFF" w:themeFill="background1"/>
      </w:tcPr>
    </w:tblStylePr>
    <w:tblStylePr w:type="lastRow">
      <w:rPr>
        <w:i/>
        <w:sz w:val="26"/>
        <w:szCs w:val="26"/>
      </w:rPr>
      <w:tblPr/>
      <w:tcPr>
        <w:tcBorders>
          <w:top w:val="single" w:sz="4" w:space="0" w:color="A5A5A5" w:themeColor="accent3"/>
        </w:tcBorders>
        <w:shd w:val="clear" w:color="000000" w:fill="FFFFFF" w:themeFill="background1"/>
      </w:tcPr>
    </w:tblStylePr>
    <w:tblStylePr w:type="firstCol">
      <w:pPr>
        <w:jc w:val="right"/>
      </w:pPr>
      <w:rPr>
        <w:i/>
        <w:sz w:val="26"/>
        <w:szCs w:val="26"/>
      </w:rPr>
      <w:tblPr/>
      <w:tcPr>
        <w:tcBorders>
          <w:right w:val="single" w:sz="4" w:space="0" w:color="A5A5A5" w:themeColor="accent3"/>
        </w:tcBorders>
        <w:shd w:val="clear" w:color="000000" w:fill="FFFFFF" w:themeFill="background1"/>
      </w:tcPr>
    </w:tblStylePr>
    <w:tblStylePr w:type="lastCol">
      <w:rPr>
        <w:i/>
        <w:sz w:val="26"/>
        <w:szCs w:val="26"/>
      </w:rPr>
      <w:tblPr/>
      <w:tcPr>
        <w:tcBorders>
          <w:left w:val="single" w:sz="4" w:space="0" w:color="A5A5A5" w:themeColor="accent3"/>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pPr>
      <w:spacing w:after="0"/>
    </w:pPr>
    <w:rPr>
      <w:color w:val="BE8F00" w:themeColor="accent4" w:themeShade="BE"/>
    </w:rPr>
    <w:tblPr>
      <w:tblStyleRowBandSize w:val="1"/>
      <w:tblStyleColBandSize w:val="1"/>
    </w:tblPr>
    <w:tblStylePr w:type="firstRow">
      <w:rPr>
        <w:i/>
        <w:sz w:val="26"/>
        <w:szCs w:val="26"/>
      </w:rPr>
      <w:tblPr/>
      <w:tcPr>
        <w:tcBorders>
          <w:bottom w:val="single" w:sz="4" w:space="0" w:color="FFC000" w:themeColor="accent4"/>
        </w:tcBorders>
        <w:shd w:val="clear" w:color="000000" w:fill="FFFFFF" w:themeFill="background1"/>
      </w:tcPr>
    </w:tblStylePr>
    <w:tblStylePr w:type="lastRow">
      <w:rPr>
        <w:i/>
        <w:sz w:val="26"/>
        <w:szCs w:val="26"/>
      </w:rPr>
      <w:tblPr/>
      <w:tcPr>
        <w:tcBorders>
          <w:top w:val="single" w:sz="4" w:space="0" w:color="FFC000" w:themeColor="accent4"/>
        </w:tcBorders>
        <w:shd w:val="clear" w:color="000000" w:fill="FFFFFF" w:themeFill="background1"/>
      </w:tcPr>
    </w:tblStylePr>
    <w:tblStylePr w:type="firstCol">
      <w:pPr>
        <w:jc w:val="right"/>
      </w:pPr>
      <w:rPr>
        <w:i/>
        <w:sz w:val="26"/>
        <w:szCs w:val="26"/>
      </w:rPr>
      <w:tblPr/>
      <w:tcPr>
        <w:tcBorders>
          <w:right w:val="single" w:sz="4" w:space="0" w:color="FFC000" w:themeColor="accent4"/>
        </w:tcBorders>
        <w:shd w:val="clear" w:color="000000" w:fill="FFFFFF" w:themeFill="background1"/>
      </w:tcPr>
    </w:tblStylePr>
    <w:tblStylePr w:type="lastCol">
      <w:rPr>
        <w:i/>
        <w:sz w:val="26"/>
        <w:szCs w:val="26"/>
      </w:rPr>
      <w:tblPr/>
      <w:tcPr>
        <w:tcBorders>
          <w:left w:val="single" w:sz="4" w:space="0" w:color="FFC000" w:themeColor="accent4"/>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pPr>
      <w:spacing w:after="0"/>
    </w:pPr>
    <w:rPr>
      <w:color w:val="2F5395" w:themeColor="accent5" w:themeShade="BE"/>
    </w:rPr>
    <w:tblPr>
      <w:tblStyleRowBandSize w:val="1"/>
      <w:tblStyleColBandSize w:val="1"/>
    </w:tblPr>
    <w:tblStylePr w:type="firstRow">
      <w:rPr>
        <w:i/>
        <w:sz w:val="26"/>
        <w:szCs w:val="26"/>
      </w:rPr>
      <w:tblPr/>
      <w:tcPr>
        <w:tcBorders>
          <w:bottom w:val="single" w:sz="4" w:space="0" w:color="4472C4" w:themeColor="accent5"/>
        </w:tcBorders>
        <w:shd w:val="clear" w:color="000000" w:fill="FFFFFF" w:themeFill="background1"/>
      </w:tcPr>
    </w:tblStylePr>
    <w:tblStylePr w:type="lastRow">
      <w:rPr>
        <w:i/>
        <w:sz w:val="26"/>
        <w:szCs w:val="26"/>
      </w:rPr>
      <w:tblPr/>
      <w:tcPr>
        <w:tcBorders>
          <w:top w:val="single" w:sz="4" w:space="0" w:color="4472C4" w:themeColor="accent5"/>
        </w:tcBorders>
        <w:shd w:val="clear" w:color="000000" w:fill="FFFFFF" w:themeFill="background1"/>
      </w:tcPr>
    </w:tblStylePr>
    <w:tblStylePr w:type="firstCol">
      <w:pPr>
        <w:jc w:val="right"/>
      </w:pPr>
      <w:rPr>
        <w:i/>
        <w:sz w:val="26"/>
        <w:szCs w:val="26"/>
      </w:rPr>
      <w:tblPr/>
      <w:tcPr>
        <w:tcBorders>
          <w:right w:val="single" w:sz="4" w:space="0" w:color="4472C4" w:themeColor="accent5"/>
        </w:tcBorders>
        <w:shd w:val="clear" w:color="000000" w:fill="FFFFFF" w:themeFill="background1"/>
      </w:tcPr>
    </w:tblStylePr>
    <w:tblStylePr w:type="lastCol">
      <w:rPr>
        <w:i/>
        <w:sz w:val="26"/>
        <w:szCs w:val="26"/>
      </w:rPr>
      <w:tblPr/>
      <w:tcPr>
        <w:tcBorders>
          <w:left w:val="single" w:sz="4" w:space="0" w:color="4472C4" w:themeColor="accent5"/>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pPr>
      <w:spacing w:after="0"/>
    </w:pPr>
    <w:rPr>
      <w:color w:val="538035" w:themeColor="accent6" w:themeShade="BE"/>
    </w:rPr>
    <w:tblPr>
      <w:tblStyleRowBandSize w:val="1"/>
      <w:tblStyleColBandSize w:val="1"/>
    </w:tblPr>
    <w:tblStylePr w:type="firstRow">
      <w:rPr>
        <w:i/>
        <w:sz w:val="26"/>
        <w:szCs w:val="26"/>
      </w:rPr>
      <w:tblPr/>
      <w:tcPr>
        <w:tcBorders>
          <w:bottom w:val="single" w:sz="4" w:space="0" w:color="70AD47" w:themeColor="accent6"/>
        </w:tcBorders>
        <w:shd w:val="clear" w:color="000000" w:fill="FFFFFF" w:themeFill="background1"/>
      </w:tcPr>
    </w:tblStylePr>
    <w:tblStylePr w:type="lastRow">
      <w:rPr>
        <w:i/>
        <w:sz w:val="26"/>
        <w:szCs w:val="26"/>
      </w:rPr>
      <w:tblPr/>
      <w:tcPr>
        <w:tcBorders>
          <w:top w:val="single" w:sz="4" w:space="0" w:color="70AD47" w:themeColor="accent6"/>
        </w:tcBorders>
        <w:shd w:val="clear" w:color="000000" w:fill="FFFFFF" w:themeFill="background1"/>
      </w:tcPr>
    </w:tblStylePr>
    <w:tblStylePr w:type="firstCol">
      <w:pPr>
        <w:jc w:val="right"/>
      </w:pPr>
      <w:rPr>
        <w:i/>
        <w:sz w:val="26"/>
        <w:szCs w:val="26"/>
      </w:rPr>
      <w:tblPr/>
      <w:tcPr>
        <w:tcBorders>
          <w:right w:val="single" w:sz="4" w:space="0" w:color="70AD47" w:themeColor="accent6"/>
        </w:tcBorders>
        <w:shd w:val="clear" w:color="000000" w:fill="FFFFFF" w:themeFill="background1"/>
      </w:tcPr>
    </w:tblStylePr>
    <w:tblStylePr w:type="lastCol">
      <w:rPr>
        <w:i/>
        <w:sz w:val="26"/>
        <w:szCs w:val="26"/>
      </w:rPr>
      <w:tblPr/>
      <w:tcPr>
        <w:tcBorders>
          <w:left w:val="single" w:sz="4" w:space="0" w:color="70AD47" w:themeColor="accent6"/>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CommentText">
    <w:name w:val="annotation text"/>
    <w:basedOn w:val="Normal"/>
    <w:unhideWhenUsed/>
    <w:pPr>
      <w:spacing w:line="240" w:lineRule="auto"/>
    </w:p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006A3"/>
    <w:pPr>
      <w:spacing w:after="0" w:line="240" w:lineRule="auto"/>
    </w:pPr>
    <w:rPr>
      <w:sz w:val="18"/>
      <w:szCs w:val="18"/>
    </w:rPr>
  </w:style>
  <w:style w:type="character" w:customStyle="1" w:styleId="BalloonTextChar">
    <w:name w:val="Balloon Text Char"/>
    <w:basedOn w:val="DefaultParagraphFont"/>
    <w:link w:val="BalloonText"/>
    <w:uiPriority w:val="99"/>
    <w:semiHidden/>
    <w:rsid w:val="002006A3"/>
    <w:rPr>
      <w:rFonts w:ascii="Segoe UI" w:eastAsia="Segoe UI" w:hAnsi="Segoe UI" w:cs="Segoe UI"/>
      <w:sz w:val="18"/>
      <w:szCs w:val="18"/>
    </w:rPr>
  </w:style>
  <w:style w:type="paragraph" w:styleId="ListParagraph">
    <w:name w:val="List Paragraph"/>
    <w:basedOn w:val="Normal"/>
    <w:uiPriority w:val="26"/>
    <w:qFormat/>
    <w:rsid w:val="009B532E"/>
    <w:pPr>
      <w:spacing w:after="200" w:line="360" w:lineRule="auto"/>
      <w:ind w:left="720"/>
      <w:contextualSpacing/>
      <w:jc w:val="left"/>
    </w:pPr>
    <w:rPr>
      <w:rFonts w:ascii="Arial" w:eastAsia="Calibri" w:hAnsi="Arial" w:cs="Times New Roman"/>
      <w:sz w:val="24"/>
      <w:szCs w:val="24"/>
    </w:rPr>
  </w:style>
  <w:style w:type="character" w:customStyle="1" w:styleId="Heading1Char">
    <w:name w:val="Heading 1 Char"/>
    <w:basedOn w:val="DefaultParagraphFont"/>
    <w:link w:val="Heading1"/>
    <w:uiPriority w:val="9"/>
    <w:rsid w:val="00CA33C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58754">
      <w:bodyDiv w:val="1"/>
      <w:marLeft w:val="0"/>
      <w:marRight w:val="0"/>
      <w:marTop w:val="0"/>
      <w:marBottom w:val="0"/>
      <w:divBdr>
        <w:top w:val="none" w:sz="0" w:space="0" w:color="auto"/>
        <w:left w:val="none" w:sz="0" w:space="0" w:color="auto"/>
        <w:bottom w:val="none" w:sz="0" w:space="0" w:color="auto"/>
        <w:right w:val="none" w:sz="0" w:space="0" w:color="auto"/>
      </w:divBdr>
      <w:divsChild>
        <w:div w:id="85738229">
          <w:marLeft w:val="0"/>
          <w:marRight w:val="0"/>
          <w:marTop w:val="0"/>
          <w:marBottom w:val="0"/>
          <w:divBdr>
            <w:top w:val="none" w:sz="0" w:space="0" w:color="auto"/>
            <w:left w:val="none" w:sz="0" w:space="0" w:color="auto"/>
            <w:bottom w:val="none" w:sz="0" w:space="0" w:color="auto"/>
            <w:right w:val="none" w:sz="0" w:space="0" w:color="auto"/>
          </w:divBdr>
        </w:div>
        <w:div w:id="1076437507">
          <w:marLeft w:val="0"/>
          <w:marRight w:val="0"/>
          <w:marTop w:val="0"/>
          <w:marBottom w:val="0"/>
          <w:divBdr>
            <w:top w:val="none" w:sz="0" w:space="0" w:color="auto"/>
            <w:left w:val="none" w:sz="0" w:space="0" w:color="auto"/>
            <w:bottom w:val="none" w:sz="0" w:space="0" w:color="auto"/>
            <w:right w:val="none" w:sz="0" w:space="0" w:color="auto"/>
          </w:divBdr>
        </w:div>
        <w:div w:id="1335914716">
          <w:marLeft w:val="0"/>
          <w:marRight w:val="0"/>
          <w:marTop w:val="0"/>
          <w:marBottom w:val="0"/>
          <w:divBdr>
            <w:top w:val="none" w:sz="0" w:space="0" w:color="auto"/>
            <w:left w:val="none" w:sz="0" w:space="0" w:color="auto"/>
            <w:bottom w:val="none" w:sz="0" w:space="0" w:color="auto"/>
            <w:right w:val="none" w:sz="0" w:space="0" w:color="auto"/>
          </w:divBdr>
        </w:div>
      </w:divsChild>
    </w:div>
    <w:div w:id="1006323680">
      <w:bodyDiv w:val="1"/>
      <w:marLeft w:val="0"/>
      <w:marRight w:val="0"/>
      <w:marTop w:val="0"/>
      <w:marBottom w:val="0"/>
      <w:divBdr>
        <w:top w:val="none" w:sz="0" w:space="0" w:color="auto"/>
        <w:left w:val="none" w:sz="0" w:space="0" w:color="auto"/>
        <w:bottom w:val="none" w:sz="0" w:space="0" w:color="auto"/>
        <w:right w:val="none" w:sz="0" w:space="0" w:color="auto"/>
      </w:divBdr>
      <w:divsChild>
        <w:div w:id="2100565122">
          <w:marLeft w:val="0"/>
          <w:marRight w:val="0"/>
          <w:marTop w:val="0"/>
          <w:marBottom w:val="0"/>
          <w:divBdr>
            <w:top w:val="none" w:sz="0" w:space="0" w:color="auto"/>
            <w:left w:val="none" w:sz="0" w:space="0" w:color="auto"/>
            <w:bottom w:val="none" w:sz="0" w:space="0" w:color="auto"/>
            <w:right w:val="none" w:sz="0" w:space="0" w:color="auto"/>
          </w:divBdr>
        </w:div>
      </w:divsChild>
    </w:div>
    <w:div w:id="1936554565">
      <w:bodyDiv w:val="1"/>
      <w:marLeft w:val="0"/>
      <w:marRight w:val="0"/>
      <w:marTop w:val="0"/>
      <w:marBottom w:val="0"/>
      <w:divBdr>
        <w:top w:val="none" w:sz="0" w:space="0" w:color="auto"/>
        <w:left w:val="none" w:sz="0" w:space="0" w:color="auto"/>
        <w:bottom w:val="none" w:sz="0" w:space="0" w:color="auto"/>
        <w:right w:val="none" w:sz="0" w:space="0" w:color="auto"/>
      </w:divBdr>
      <w:divsChild>
        <w:div w:id="10933603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73270C-4A2A-4A03-BE8E-AAF2730C176B}"/>
</file>

<file path=customXml/itemProps2.xml><?xml version="1.0" encoding="utf-8"?>
<ds:datastoreItem xmlns:ds="http://schemas.openxmlformats.org/officeDocument/2006/customXml" ds:itemID="{7C6562B7-E1F5-4FD6-A723-56F4CAC01080}"/>
</file>

<file path=customXml/itemProps3.xml><?xml version="1.0" encoding="utf-8"?>
<ds:datastoreItem xmlns:ds="http://schemas.openxmlformats.org/officeDocument/2006/customXml" ds:itemID="{4F81D1A6-0ECA-49D6-B7F3-515EE9C7280F}"/>
</file>

<file path=docProps/app.xml><?xml version="1.0" encoding="utf-8"?>
<Properties xmlns="http://schemas.openxmlformats.org/officeDocument/2006/extended-properties" xmlns:vt="http://schemas.openxmlformats.org/officeDocument/2006/docPropsVTypes">
  <Template>Normal.dotm</Template>
  <TotalTime>1</TotalTime>
  <Pages>11</Pages>
  <Words>4101</Words>
  <Characters>22601</Characters>
  <Application>Microsoft Office Word</Application>
  <DocSecurity>0</DocSecurity>
  <Lines>188</Lines>
  <Paragraphs>53</Paragraphs>
  <MMClips>0</MMClips>
  <ScaleCrop>false</ScaleCrop>
  <HeadingPairs>
    <vt:vector size="6" baseType="variant">
      <vt:variant>
        <vt:lpstr>Title</vt:lpstr>
      </vt:variant>
      <vt:variant>
        <vt:i4>1</vt:i4>
      </vt:variant>
      <vt:variant>
        <vt:lpstr>Název</vt:lpstr>
      </vt:variant>
      <vt:variant>
        <vt:i4>1</vt:i4>
      </vt:variant>
      <vt:variant>
        <vt:lpstr>제목</vt:lpstr>
      </vt:variant>
      <vt:variant>
        <vt:i4>1</vt:i4>
      </vt:variant>
    </vt:vector>
  </HeadingPairs>
  <TitlesOfParts>
    <vt:vector size="3" baseType="lpstr">
      <vt:lpstr/>
      <vt:lpstr/>
      <vt:lpstr>Title text</vt:lpstr>
    </vt:vector>
  </TitlesOfParts>
  <Company/>
  <LinksUpToDate>false</LinksUpToDate>
  <CharactersWithSpaces>26649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Miroslav Prokeš</dc:creator>
  <cp:lastModifiedBy>BOIT James</cp:lastModifiedBy>
  <cp:revision>2</cp:revision>
  <dcterms:created xsi:type="dcterms:W3CDTF">2021-09-04T11:41:00Z</dcterms:created>
  <dcterms:modified xsi:type="dcterms:W3CDTF">2021-09-04T11:41:00Z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