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5AF48" w14:textId="77777777" w:rsidR="00EF392E" w:rsidRPr="00223597" w:rsidRDefault="00EF392E" w:rsidP="00836220">
      <w:pPr>
        <w:jc w:val="cente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Submission to the UN Committee on Economic, Social and Cultural Rights</w:t>
      </w:r>
    </w:p>
    <w:p w14:paraId="3117F4CB" w14:textId="77777777" w:rsidR="00836220" w:rsidRPr="00223597" w:rsidRDefault="00EF392E" w:rsidP="00836220">
      <w:pPr>
        <w:jc w:val="cente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National Human Rights Commission of Korea</w:t>
      </w:r>
    </w:p>
    <w:p w14:paraId="2B8222E2" w14:textId="00433BA6" w:rsidR="00836220" w:rsidRPr="00223597" w:rsidRDefault="00EF392E" w:rsidP="00836220">
      <w:pPr>
        <w:jc w:val="cente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Opinion on the List of Issues</w:t>
      </w:r>
      <w:r w:rsidRPr="00223597">
        <w:rPr>
          <w:rFonts w:ascii="Times New Roman" w:hAnsi="Times New Roman" w:cs="Times New Roman"/>
          <w:color w:val="000000" w:themeColor="text1"/>
          <w:sz w:val="24"/>
          <w:szCs w:val="28"/>
        </w:rPr>
        <w:br/>
      </w:r>
      <w:r w:rsidR="00836220" w:rsidRPr="00223597">
        <w:rPr>
          <w:rFonts w:ascii="Times New Roman" w:hAnsi="Times New Roman" w:cs="Times New Roman"/>
          <w:color w:val="000000" w:themeColor="text1"/>
          <w:sz w:val="24"/>
          <w:szCs w:val="28"/>
        </w:rPr>
        <w:t>(For the Review of the Fifth Periodic Report of the Republic of Korea)</w:t>
      </w:r>
    </w:p>
    <w:p w14:paraId="165D69D0" w14:textId="77777777" w:rsidR="00836220" w:rsidRPr="00223597" w:rsidRDefault="00836220" w:rsidP="00836220">
      <w:pPr>
        <w:jc w:val="center"/>
        <w:rPr>
          <w:rFonts w:ascii="Times New Roman" w:hAnsi="Times New Roman" w:cs="Times New Roman"/>
          <w:color w:val="000000" w:themeColor="text1"/>
          <w:sz w:val="24"/>
          <w:szCs w:val="28"/>
        </w:rPr>
      </w:pPr>
    </w:p>
    <w:p w14:paraId="6EC3C0E8" w14:textId="2D52B735" w:rsidR="00D37E9F" w:rsidRPr="00223597" w:rsidRDefault="00D37E9F" w:rsidP="00D37E9F">
      <w:pPr>
        <w:numPr>
          <w:ilvl w:val="0"/>
          <w:numId w:val="1"/>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w:t>
      </w:r>
      <w:r w:rsidR="00A37ACC" w:rsidRPr="00223597">
        <w:rPr>
          <w:rFonts w:ascii="Times New Roman" w:hAnsi="Times New Roman" w:cs="Times New Roman"/>
          <w:color w:val="000000" w:themeColor="text1"/>
          <w:sz w:val="24"/>
          <w:szCs w:val="28"/>
        </w:rPr>
        <w:t xml:space="preserve">he National Human Rights Commission of Korea (hereinafter </w:t>
      </w:r>
      <w:r w:rsidR="00112F49" w:rsidRPr="00223597">
        <w:rPr>
          <w:rFonts w:ascii="Times New Roman" w:hAnsi="Times New Roman" w:cs="Times New Roman"/>
          <w:color w:val="000000" w:themeColor="text1"/>
          <w:sz w:val="24"/>
          <w:szCs w:val="28"/>
        </w:rPr>
        <w:t xml:space="preserve">the </w:t>
      </w:r>
      <w:r w:rsidR="00A37ACC" w:rsidRPr="00223597">
        <w:rPr>
          <w:rFonts w:ascii="Times New Roman" w:hAnsi="Times New Roman" w:cs="Times New Roman"/>
          <w:color w:val="000000" w:themeColor="text1"/>
          <w:sz w:val="24"/>
          <w:szCs w:val="28"/>
        </w:rPr>
        <w:t xml:space="preserve">“NHRCK”) submits this written statement to provide information to assist the Committee on Economic, Social and Cultural Rights (hereinafter “the Committee”) in preparing the List of Issues prior to its consideration of the </w:t>
      </w:r>
      <w:r w:rsidR="00451FA0" w:rsidRPr="00223597">
        <w:rPr>
          <w:rFonts w:ascii="Times New Roman" w:hAnsi="Times New Roman" w:cs="Times New Roman"/>
          <w:color w:val="000000" w:themeColor="text1"/>
          <w:sz w:val="24"/>
          <w:szCs w:val="28"/>
        </w:rPr>
        <w:t>F</w:t>
      </w:r>
      <w:r w:rsidR="00A37ACC" w:rsidRPr="00223597">
        <w:rPr>
          <w:rFonts w:ascii="Times New Roman" w:hAnsi="Times New Roman" w:cs="Times New Roman"/>
          <w:color w:val="000000" w:themeColor="text1"/>
          <w:sz w:val="24"/>
          <w:szCs w:val="28"/>
        </w:rPr>
        <w:t xml:space="preserve">ifth </w:t>
      </w:r>
      <w:r w:rsidR="00451FA0" w:rsidRPr="00223597">
        <w:rPr>
          <w:rFonts w:ascii="Times New Roman" w:hAnsi="Times New Roman" w:cs="Times New Roman"/>
          <w:color w:val="000000" w:themeColor="text1"/>
          <w:sz w:val="24"/>
          <w:szCs w:val="28"/>
        </w:rPr>
        <w:t>P</w:t>
      </w:r>
      <w:r w:rsidR="00A37ACC" w:rsidRPr="00223597">
        <w:rPr>
          <w:rFonts w:ascii="Times New Roman" w:hAnsi="Times New Roman" w:cs="Times New Roman"/>
          <w:color w:val="000000" w:themeColor="text1"/>
          <w:sz w:val="24"/>
          <w:szCs w:val="28"/>
        </w:rPr>
        <w:t xml:space="preserve">eriodic </w:t>
      </w:r>
      <w:r w:rsidR="00451FA0" w:rsidRPr="00223597">
        <w:rPr>
          <w:rFonts w:ascii="Times New Roman" w:hAnsi="Times New Roman" w:cs="Times New Roman"/>
          <w:color w:val="000000" w:themeColor="text1"/>
          <w:sz w:val="24"/>
          <w:szCs w:val="28"/>
        </w:rPr>
        <w:t>R</w:t>
      </w:r>
      <w:r w:rsidR="00A37ACC" w:rsidRPr="00223597">
        <w:rPr>
          <w:rFonts w:ascii="Times New Roman" w:hAnsi="Times New Roman" w:cs="Times New Roman"/>
          <w:color w:val="000000" w:themeColor="text1"/>
          <w:sz w:val="24"/>
          <w:szCs w:val="28"/>
        </w:rPr>
        <w:t>eport of the Republic of Korea on the implementation of the International Covenant on Economic, Social and Cultural Rights (hereinafter “the</w:t>
      </w:r>
      <w:r w:rsidR="00673DDF" w:rsidRPr="00223597">
        <w:rPr>
          <w:rFonts w:ascii="Times New Roman" w:hAnsi="Times New Roman" w:cs="Times New Roman"/>
          <w:color w:val="000000" w:themeColor="text1"/>
          <w:sz w:val="24"/>
          <w:szCs w:val="28"/>
        </w:rPr>
        <w:t xml:space="preserve"> Convention</w:t>
      </w:r>
      <w:r w:rsidR="00A37ACC" w:rsidRPr="00223597">
        <w:rPr>
          <w:rFonts w:ascii="Times New Roman" w:hAnsi="Times New Roman" w:cs="Times New Roman"/>
          <w:color w:val="000000" w:themeColor="text1"/>
          <w:sz w:val="24"/>
          <w:szCs w:val="28"/>
        </w:rPr>
        <w:t>”). This written statement reflects the situation as of March 202</w:t>
      </w:r>
      <w:r w:rsidR="007F7F34" w:rsidRPr="00223597">
        <w:rPr>
          <w:rFonts w:ascii="Times New Roman" w:hAnsi="Times New Roman" w:cs="Times New Roman"/>
          <w:color w:val="000000" w:themeColor="text1"/>
          <w:sz w:val="24"/>
          <w:szCs w:val="28"/>
        </w:rPr>
        <w:t xml:space="preserve">5. </w:t>
      </w:r>
    </w:p>
    <w:p w14:paraId="71BD39B1" w14:textId="77777777" w:rsidR="008974FB" w:rsidRPr="00223597" w:rsidRDefault="008974FB" w:rsidP="008974FB">
      <w:pPr>
        <w:rPr>
          <w:rFonts w:ascii="Times New Roman" w:hAnsi="Times New Roman" w:cs="Times New Roman"/>
          <w:color w:val="000000" w:themeColor="text1"/>
          <w:sz w:val="24"/>
          <w:szCs w:val="28"/>
        </w:rPr>
      </w:pPr>
    </w:p>
    <w:p w14:paraId="0DA654AA" w14:textId="035B257A" w:rsidR="004268F6" w:rsidRPr="00223597" w:rsidRDefault="004268F6" w:rsidP="00673DDF">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Issue 1: Domestic Application of the Convention, Remedies for Violation of Rights and Social Expenditure Investment</w:t>
      </w:r>
      <w:r w:rsidR="008974FB" w:rsidRPr="00223597">
        <w:rPr>
          <w:rFonts w:ascii="Times New Roman" w:hAnsi="Times New Roman" w:cs="Times New Roman"/>
          <w:b/>
          <w:bCs/>
          <w:color w:val="000000" w:themeColor="text1"/>
          <w:sz w:val="24"/>
          <w:szCs w:val="28"/>
        </w:rPr>
        <w:t xml:space="preserve"> </w:t>
      </w:r>
      <w:r w:rsidRPr="00223597">
        <w:rPr>
          <w:rFonts w:ascii="Times New Roman" w:hAnsi="Times New Roman" w:cs="Times New Roman"/>
          <w:b/>
          <w:bCs/>
          <w:color w:val="000000" w:themeColor="text1"/>
          <w:sz w:val="24"/>
          <w:szCs w:val="28"/>
        </w:rPr>
        <w:t>(Concluding Observation paras. 6, 8, 12, 16, 69)</w:t>
      </w:r>
    </w:p>
    <w:p w14:paraId="4FD74047" w14:textId="1996E876" w:rsidR="004268F6" w:rsidRPr="00223597" w:rsidRDefault="004268F6" w:rsidP="00673DDF">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 xml:space="preserve">Current Status </w:t>
      </w:r>
    </w:p>
    <w:p w14:paraId="49B835E2" w14:textId="5E532788" w:rsidR="007A32C3" w:rsidRPr="00223597" w:rsidRDefault="00D37E9F" w:rsidP="00EF392E">
      <w:pPr>
        <w:numPr>
          <w:ilvl w:val="0"/>
          <w:numId w:val="1"/>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The </w:t>
      </w:r>
      <w:r w:rsidR="00451FA0" w:rsidRPr="00223597">
        <w:rPr>
          <w:rFonts w:ascii="Times New Roman" w:hAnsi="Times New Roman" w:cs="Times New Roman"/>
          <w:color w:val="000000" w:themeColor="text1"/>
          <w:sz w:val="24"/>
          <w:szCs w:val="28"/>
        </w:rPr>
        <w:t>F</w:t>
      </w:r>
      <w:r w:rsidRPr="00223597">
        <w:rPr>
          <w:rFonts w:ascii="Times New Roman" w:hAnsi="Times New Roman" w:cs="Times New Roman"/>
          <w:color w:val="000000" w:themeColor="text1"/>
          <w:sz w:val="24"/>
          <w:szCs w:val="28"/>
        </w:rPr>
        <w:t xml:space="preserve">ourth </w:t>
      </w:r>
      <w:r w:rsidR="00673DDF" w:rsidRPr="00223597">
        <w:rPr>
          <w:rFonts w:ascii="Times New Roman" w:hAnsi="Times New Roman" w:cs="Times New Roman"/>
          <w:color w:val="000000" w:themeColor="text1"/>
          <w:sz w:val="24"/>
          <w:szCs w:val="28"/>
        </w:rPr>
        <w:t xml:space="preserve">National Action Plan for the Promotion and Protection of Human Rights (NAP) (2023–2027) was belatedly established and announced in March 2024, one year after the expiration of the </w:t>
      </w:r>
      <w:r w:rsidR="00451FA0" w:rsidRPr="00223597">
        <w:rPr>
          <w:rFonts w:ascii="Times New Roman" w:hAnsi="Times New Roman" w:cs="Times New Roman"/>
          <w:color w:val="000000" w:themeColor="text1"/>
          <w:sz w:val="24"/>
          <w:szCs w:val="28"/>
        </w:rPr>
        <w:t>T</w:t>
      </w:r>
      <w:r w:rsidR="00673DDF" w:rsidRPr="00223597">
        <w:rPr>
          <w:rFonts w:ascii="Times New Roman" w:hAnsi="Times New Roman" w:cs="Times New Roman"/>
          <w:color w:val="000000" w:themeColor="text1"/>
          <w:sz w:val="24"/>
          <w:szCs w:val="28"/>
        </w:rPr>
        <w:t xml:space="preserve">hird NAP (2018–2022). A review of the initiatives in the area of economic, social, and cultural rights (hereinafter “ESCR”) under the </w:t>
      </w:r>
      <w:r w:rsidR="00451FA0" w:rsidRPr="00223597">
        <w:rPr>
          <w:rFonts w:ascii="Times New Roman" w:hAnsi="Times New Roman" w:cs="Times New Roman"/>
          <w:color w:val="000000" w:themeColor="text1"/>
          <w:sz w:val="24"/>
          <w:szCs w:val="28"/>
        </w:rPr>
        <w:t>F</w:t>
      </w:r>
      <w:r w:rsidR="00673DDF" w:rsidRPr="00223597">
        <w:rPr>
          <w:rFonts w:ascii="Times New Roman" w:hAnsi="Times New Roman" w:cs="Times New Roman"/>
          <w:color w:val="000000" w:themeColor="text1"/>
          <w:sz w:val="24"/>
          <w:szCs w:val="28"/>
        </w:rPr>
        <w:t xml:space="preserve">ourth NAP indicates that it is difficult to assess that the Committee’s previous </w:t>
      </w:r>
      <w:r w:rsidR="00451FA0" w:rsidRPr="00223597">
        <w:rPr>
          <w:rFonts w:ascii="Times New Roman" w:hAnsi="Times New Roman" w:cs="Times New Roman"/>
          <w:color w:val="000000" w:themeColor="text1"/>
          <w:sz w:val="24"/>
          <w:szCs w:val="28"/>
        </w:rPr>
        <w:t>C</w:t>
      </w:r>
      <w:r w:rsidR="00673DDF" w:rsidRPr="00223597">
        <w:rPr>
          <w:rFonts w:ascii="Times New Roman" w:hAnsi="Times New Roman" w:cs="Times New Roman"/>
          <w:color w:val="000000" w:themeColor="text1"/>
          <w:sz w:val="24"/>
          <w:szCs w:val="28"/>
        </w:rPr>
        <w:t xml:space="preserve">oncluding </w:t>
      </w:r>
      <w:r w:rsidR="00451FA0" w:rsidRPr="00223597">
        <w:rPr>
          <w:rFonts w:ascii="Times New Roman" w:hAnsi="Times New Roman" w:cs="Times New Roman"/>
          <w:color w:val="000000" w:themeColor="text1"/>
          <w:sz w:val="24"/>
          <w:szCs w:val="28"/>
        </w:rPr>
        <w:t>O</w:t>
      </w:r>
      <w:r w:rsidR="00673DDF" w:rsidRPr="00223597">
        <w:rPr>
          <w:rFonts w:ascii="Times New Roman" w:hAnsi="Times New Roman" w:cs="Times New Roman"/>
          <w:color w:val="000000" w:themeColor="text1"/>
          <w:sz w:val="24"/>
          <w:szCs w:val="28"/>
        </w:rPr>
        <w:t>bservations and the NHRC</w:t>
      </w:r>
      <w:r w:rsidR="00C44408" w:rsidRPr="00223597">
        <w:rPr>
          <w:rFonts w:ascii="Times New Roman" w:hAnsi="Times New Roman" w:cs="Times New Roman"/>
          <w:color w:val="000000" w:themeColor="text1"/>
          <w:sz w:val="24"/>
          <w:szCs w:val="28"/>
        </w:rPr>
        <w:t>K</w:t>
      </w:r>
      <w:r w:rsidR="00673DDF" w:rsidRPr="00223597">
        <w:rPr>
          <w:rFonts w:ascii="Times New Roman" w:hAnsi="Times New Roman" w:cs="Times New Roman"/>
          <w:color w:val="000000" w:themeColor="text1"/>
          <w:sz w:val="24"/>
          <w:szCs w:val="28"/>
        </w:rPr>
        <w:t>’s recommendations have been actively taken into consideration.</w:t>
      </w:r>
      <w:r w:rsidR="00C44408" w:rsidRPr="00223597">
        <w:rPr>
          <w:rStyle w:val="ab"/>
          <w:rFonts w:ascii="Times New Roman" w:hAnsi="Times New Roman" w:cs="Times New Roman"/>
          <w:color w:val="000000" w:themeColor="text1"/>
          <w:sz w:val="24"/>
          <w:szCs w:val="28"/>
        </w:rPr>
        <w:footnoteReference w:id="1"/>
      </w:r>
    </w:p>
    <w:p w14:paraId="321BCFA8" w14:textId="3FD665A7" w:rsidR="00EF392E" w:rsidRPr="00223597" w:rsidRDefault="00EF392E" w:rsidP="00EF392E">
      <w:pPr>
        <w:numPr>
          <w:ilvl w:val="0"/>
          <w:numId w:val="1"/>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In 2021, the Ministry of Justice and the NHRC</w:t>
      </w:r>
      <w:r w:rsidR="00C44408" w:rsidRPr="00223597">
        <w:rPr>
          <w:rFonts w:ascii="Times New Roman" w:hAnsi="Times New Roman" w:cs="Times New Roman"/>
          <w:color w:val="000000" w:themeColor="text1"/>
          <w:sz w:val="24"/>
          <w:szCs w:val="28"/>
        </w:rPr>
        <w:t>K</w:t>
      </w:r>
      <w:r w:rsidRPr="00223597">
        <w:rPr>
          <w:rFonts w:ascii="Times New Roman" w:hAnsi="Times New Roman" w:cs="Times New Roman"/>
          <w:color w:val="000000" w:themeColor="text1"/>
          <w:sz w:val="24"/>
          <w:szCs w:val="28"/>
        </w:rPr>
        <w:t xml:space="preserve"> drafted the Framework Act on Human Rights Policy, which stipulates the legal basis and procedures related to the human rights obligations of the State and local governments, the domestic implementation of recommendations by international human rights treaty bodies, and the establishment of the NAP. The bill was submitted to the National Assembly in December 2021 but was discarded upon the expiration of the 21st National Assembly (</w:t>
      </w:r>
      <w:r w:rsidR="005211D7" w:rsidRPr="00223597">
        <w:rPr>
          <w:rFonts w:ascii="Times New Roman" w:hAnsi="Times New Roman" w:cs="Times New Roman" w:hint="eastAsia"/>
          <w:color w:val="000000" w:themeColor="text1"/>
          <w:sz w:val="24"/>
          <w:szCs w:val="28"/>
        </w:rPr>
        <w:t>30/05/</w:t>
      </w:r>
      <w:r w:rsidRPr="00223597">
        <w:rPr>
          <w:rFonts w:ascii="Times New Roman" w:hAnsi="Times New Roman" w:cs="Times New Roman"/>
          <w:color w:val="000000" w:themeColor="text1"/>
          <w:sz w:val="24"/>
          <w:szCs w:val="28"/>
        </w:rPr>
        <w:t>2020–</w:t>
      </w:r>
      <w:r w:rsidR="005211D7" w:rsidRPr="00223597">
        <w:rPr>
          <w:rFonts w:ascii="Times New Roman" w:hAnsi="Times New Roman" w:cs="Times New Roman" w:hint="eastAsia"/>
          <w:color w:val="000000" w:themeColor="text1"/>
          <w:sz w:val="24"/>
          <w:szCs w:val="28"/>
        </w:rPr>
        <w:t>29/05/</w:t>
      </w:r>
      <w:r w:rsidRPr="00223597">
        <w:rPr>
          <w:rFonts w:ascii="Times New Roman" w:hAnsi="Times New Roman" w:cs="Times New Roman"/>
          <w:color w:val="000000" w:themeColor="text1"/>
          <w:sz w:val="24"/>
          <w:szCs w:val="28"/>
        </w:rPr>
        <w:t>2024). It was re-submitted to the 22nd National Assembly on March 28, 2025, and is currently pending.</w:t>
      </w:r>
    </w:p>
    <w:p w14:paraId="6FFA2809" w14:textId="57459228" w:rsidR="00EF392E" w:rsidRPr="00223597" w:rsidRDefault="00EF392E" w:rsidP="00EF392E">
      <w:pPr>
        <w:numPr>
          <w:ilvl w:val="0"/>
          <w:numId w:val="1"/>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The courts' attitude towards judicial review of ESCR remains passive. Although in 2018 the Supreme Court </w:t>
      </w:r>
      <w:proofErr w:type="spellStart"/>
      <w:r w:rsidRPr="00223597">
        <w:rPr>
          <w:rFonts w:ascii="Times New Roman" w:hAnsi="Times New Roman" w:cs="Times New Roman"/>
          <w:color w:val="000000" w:themeColor="text1"/>
          <w:sz w:val="24"/>
          <w:szCs w:val="28"/>
        </w:rPr>
        <w:t>en</w:t>
      </w:r>
      <w:proofErr w:type="spellEnd"/>
      <w:r w:rsidRPr="00223597">
        <w:rPr>
          <w:rFonts w:ascii="Times New Roman" w:hAnsi="Times New Roman" w:cs="Times New Roman"/>
          <w:color w:val="000000" w:themeColor="text1"/>
          <w:sz w:val="24"/>
          <w:szCs w:val="28"/>
        </w:rPr>
        <w:t xml:space="preserve"> banc issued a supplementary opinion emphasizing the duty to interpret domestic law in conformity with international law in a case on conscientious objection to military service</w:t>
      </w:r>
      <w:r w:rsidR="004960A3" w:rsidRPr="00223597">
        <w:rPr>
          <w:rStyle w:val="ab"/>
          <w:rFonts w:ascii="Times New Roman" w:hAnsi="Times New Roman" w:cs="Times New Roman"/>
          <w:color w:val="000000" w:themeColor="text1"/>
          <w:sz w:val="24"/>
          <w:szCs w:val="28"/>
        </w:rPr>
        <w:footnoteReference w:id="2"/>
      </w:r>
      <w:r w:rsidRPr="00223597">
        <w:rPr>
          <w:rFonts w:ascii="Times New Roman" w:hAnsi="Times New Roman" w:cs="Times New Roman"/>
          <w:color w:val="000000" w:themeColor="text1"/>
          <w:sz w:val="24"/>
          <w:szCs w:val="28"/>
        </w:rPr>
        <w:t xml:space="preserve">, this opinion did not address ESCR </w:t>
      </w:r>
      <w:r w:rsidRPr="00223597">
        <w:rPr>
          <w:rFonts w:ascii="Times New Roman" w:hAnsi="Times New Roman" w:cs="Times New Roman"/>
          <w:color w:val="000000" w:themeColor="text1"/>
          <w:sz w:val="24"/>
          <w:szCs w:val="28"/>
        </w:rPr>
        <w:lastRenderedPageBreak/>
        <w:t>violations.</w:t>
      </w:r>
    </w:p>
    <w:p w14:paraId="6ADED076" w14:textId="062C2AAD" w:rsidR="00EF392E" w:rsidRPr="00223597" w:rsidRDefault="00EF392E" w:rsidP="00EF392E">
      <w:pPr>
        <w:numPr>
          <w:ilvl w:val="0"/>
          <w:numId w:val="1"/>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To strengthen remedies for ESCR violations, a bill to amend the National Human Rights Commission Act to include ESCR violations within the NHRC</w:t>
      </w:r>
      <w:r w:rsidR="003C5B5F" w:rsidRPr="00223597">
        <w:rPr>
          <w:rFonts w:ascii="Times New Roman" w:hAnsi="Times New Roman" w:cs="Times New Roman"/>
          <w:color w:val="000000" w:themeColor="text1"/>
          <w:sz w:val="24"/>
          <w:szCs w:val="28"/>
        </w:rPr>
        <w:t>K</w:t>
      </w:r>
      <w:r w:rsidRPr="00223597">
        <w:rPr>
          <w:rFonts w:ascii="Times New Roman" w:hAnsi="Times New Roman" w:cs="Times New Roman"/>
          <w:color w:val="000000" w:themeColor="text1"/>
          <w:sz w:val="24"/>
          <w:szCs w:val="28"/>
        </w:rPr>
        <w:t>’s investigatory mandate was introduced in the National Assembly in December 2024. The NHRC</w:t>
      </w:r>
      <w:r w:rsidR="003C5B5F" w:rsidRPr="00223597">
        <w:rPr>
          <w:rFonts w:ascii="Times New Roman" w:hAnsi="Times New Roman" w:cs="Times New Roman"/>
          <w:color w:val="000000" w:themeColor="text1"/>
          <w:sz w:val="24"/>
          <w:szCs w:val="28"/>
        </w:rPr>
        <w:t>K</w:t>
      </w:r>
      <w:r w:rsidRPr="00223597">
        <w:rPr>
          <w:rFonts w:ascii="Times New Roman" w:hAnsi="Times New Roman" w:cs="Times New Roman"/>
          <w:color w:val="000000" w:themeColor="text1"/>
          <w:sz w:val="24"/>
          <w:szCs w:val="28"/>
        </w:rPr>
        <w:t xml:space="preserve"> also commissioned a research project in 2023 regarding the ratification of the Optional Protocol to the </w:t>
      </w:r>
      <w:r w:rsidR="003C5B5F" w:rsidRPr="00223597">
        <w:rPr>
          <w:rFonts w:ascii="Times New Roman" w:hAnsi="Times New Roman" w:cs="Times New Roman"/>
          <w:color w:val="000000" w:themeColor="text1"/>
          <w:sz w:val="24"/>
          <w:szCs w:val="28"/>
        </w:rPr>
        <w:t xml:space="preserve">Convention. </w:t>
      </w:r>
    </w:p>
    <w:p w14:paraId="5EC8C667" w14:textId="77777777" w:rsidR="001412E5" w:rsidRPr="00223597" w:rsidRDefault="00EF392E" w:rsidP="00B537D6">
      <w:pPr>
        <w:numPr>
          <w:ilvl w:val="0"/>
          <w:numId w:val="1"/>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Public social expenditure as a percentage of GDP has increased from 10.1% in 2017 to a projected 14.8% in 2022, but it remains below the OECD average of 23%. </w:t>
      </w:r>
      <w:r w:rsidR="001412E5" w:rsidRPr="00223597">
        <w:rPr>
          <w:rFonts w:ascii="Times New Roman" w:hAnsi="Times New Roman" w:cs="Times New Roman"/>
          <w:color w:val="000000" w:themeColor="text1"/>
          <w:sz w:val="24"/>
          <w:szCs w:val="28"/>
        </w:rPr>
        <w:t>In addition, the scale of public social expenditure, which had been increasing by more than 1 percentage point annually, has shown signs of slowing down since reaching 14.4% in 2020. Compared to 2017, the areas where expenditure has increased by more than 1 percentage point are limited to old-age benefits and health, while the growth in spending on other areas such as active labor market programs, unemployment, and housing has not been significant.</w:t>
      </w:r>
    </w:p>
    <w:p w14:paraId="192104C6" w14:textId="11AAC15D" w:rsidR="00EF392E" w:rsidRPr="00223597" w:rsidRDefault="00EF392E" w:rsidP="00B537D6">
      <w:pPr>
        <w:numPr>
          <w:ilvl w:val="0"/>
          <w:numId w:val="1"/>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According to the Poverty Statistics Yearbook published annually by the Korea Institute for Health and Social Affairs, which analyzes data from the Household Finance and Welfare Survey, indicators of income distribution between classes showed slight improvement between 2017 and 2021. However, poverty rates among older persons and youth have not meaningfully improved.</w:t>
      </w:r>
    </w:p>
    <w:p w14:paraId="22C0ECCF" w14:textId="77777777" w:rsidR="00EF392E" w:rsidRPr="00223597" w:rsidRDefault="00EF392E" w:rsidP="00EF392E">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5E498E1D" w14:textId="67BC21B4" w:rsidR="00EF392E" w:rsidRPr="00223597" w:rsidRDefault="00EF392E" w:rsidP="00EF392E">
      <w:pPr>
        <w:numPr>
          <w:ilvl w:val="0"/>
          <w:numId w:val="2"/>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provide the </w:t>
      </w:r>
      <w:r w:rsidR="007053EA" w:rsidRPr="00223597">
        <w:rPr>
          <w:rFonts w:ascii="Times New Roman" w:hAnsi="Times New Roman" w:cs="Times New Roman"/>
          <w:color w:val="000000" w:themeColor="text1"/>
          <w:sz w:val="24"/>
          <w:szCs w:val="28"/>
        </w:rPr>
        <w:t>F</w:t>
      </w:r>
      <w:r w:rsidRPr="00223597">
        <w:rPr>
          <w:rFonts w:ascii="Times New Roman" w:hAnsi="Times New Roman" w:cs="Times New Roman"/>
          <w:color w:val="000000" w:themeColor="text1"/>
          <w:sz w:val="24"/>
          <w:szCs w:val="28"/>
        </w:rPr>
        <w:t xml:space="preserve">ourth NAP established by the State party. Please also provide information that will enable the Committee to verify the extent to which its previous </w:t>
      </w:r>
      <w:r w:rsidR="007053EA" w:rsidRPr="00223597">
        <w:rPr>
          <w:rFonts w:ascii="Times New Roman" w:hAnsi="Times New Roman" w:cs="Times New Roman"/>
          <w:color w:val="000000" w:themeColor="text1"/>
          <w:sz w:val="24"/>
          <w:szCs w:val="28"/>
        </w:rPr>
        <w:t>C</w:t>
      </w:r>
      <w:r w:rsidRPr="00223597">
        <w:rPr>
          <w:rFonts w:ascii="Times New Roman" w:hAnsi="Times New Roman" w:cs="Times New Roman"/>
          <w:color w:val="000000" w:themeColor="text1"/>
          <w:sz w:val="24"/>
          <w:szCs w:val="28"/>
        </w:rPr>
        <w:t xml:space="preserve">oncluding </w:t>
      </w:r>
      <w:r w:rsidR="007053EA" w:rsidRPr="00223597">
        <w:rPr>
          <w:rFonts w:ascii="Times New Roman" w:hAnsi="Times New Roman" w:cs="Times New Roman"/>
          <w:color w:val="000000" w:themeColor="text1"/>
          <w:sz w:val="24"/>
          <w:szCs w:val="28"/>
        </w:rPr>
        <w:t>O</w:t>
      </w:r>
      <w:r w:rsidRPr="00223597">
        <w:rPr>
          <w:rFonts w:ascii="Times New Roman" w:hAnsi="Times New Roman" w:cs="Times New Roman"/>
          <w:color w:val="000000" w:themeColor="text1"/>
          <w:sz w:val="24"/>
          <w:szCs w:val="28"/>
        </w:rPr>
        <w:t>bservations were considered in preparing the fourth NAP.</w:t>
      </w:r>
    </w:p>
    <w:p w14:paraId="46DDC69D" w14:textId="50F13346" w:rsidR="00EF392E" w:rsidRPr="00223597" w:rsidRDefault="00042078" w:rsidP="00EF392E">
      <w:pPr>
        <w:numPr>
          <w:ilvl w:val="0"/>
          <w:numId w:val="2"/>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w:t>
      </w:r>
      <w:r w:rsidR="00EF392E" w:rsidRPr="00223597">
        <w:rPr>
          <w:rFonts w:ascii="Times New Roman" w:hAnsi="Times New Roman" w:cs="Times New Roman"/>
          <w:color w:val="000000" w:themeColor="text1"/>
          <w:sz w:val="24"/>
          <w:szCs w:val="28"/>
        </w:rPr>
        <w:t xml:space="preserve">lease provide basic information — including case numbers, details, and outcomes — on lawsuits filed in the State party alleging violations of constitutional social rights (Articles 31–36 of the Constitution) or </w:t>
      </w:r>
      <w:r w:rsidRPr="00223597">
        <w:rPr>
          <w:rFonts w:ascii="Times New Roman" w:hAnsi="Times New Roman" w:cs="Times New Roman"/>
          <w:color w:val="000000" w:themeColor="text1"/>
          <w:sz w:val="24"/>
          <w:szCs w:val="28"/>
        </w:rPr>
        <w:t>rights under the Convention since the fo</w:t>
      </w:r>
      <w:r w:rsidR="00DC49BF" w:rsidRPr="00223597">
        <w:rPr>
          <w:rFonts w:ascii="Times New Roman" w:hAnsi="Times New Roman" w:cs="Times New Roman"/>
          <w:color w:val="000000" w:themeColor="text1"/>
          <w:sz w:val="24"/>
          <w:szCs w:val="28"/>
        </w:rPr>
        <w:t>u</w:t>
      </w:r>
      <w:r w:rsidRPr="00223597">
        <w:rPr>
          <w:rFonts w:ascii="Times New Roman" w:hAnsi="Times New Roman" w:cs="Times New Roman"/>
          <w:color w:val="000000" w:themeColor="text1"/>
          <w:sz w:val="24"/>
          <w:szCs w:val="28"/>
        </w:rPr>
        <w:t xml:space="preserve">rth review. </w:t>
      </w:r>
    </w:p>
    <w:p w14:paraId="45194F8C" w14:textId="5048D37A" w:rsidR="00EF392E" w:rsidRPr="00223597" w:rsidRDefault="00EF392E" w:rsidP="00EF392E">
      <w:pPr>
        <w:numPr>
          <w:ilvl w:val="0"/>
          <w:numId w:val="2"/>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indicate </w:t>
      </w:r>
      <w:r w:rsidR="00D16FB9" w:rsidRPr="00223597">
        <w:rPr>
          <w:rFonts w:ascii="Times New Roman" w:hAnsi="Times New Roman" w:cs="Times New Roman"/>
          <w:color w:val="000000" w:themeColor="text1"/>
          <w:sz w:val="24"/>
          <w:szCs w:val="28"/>
        </w:rPr>
        <w:t xml:space="preserve">whether the State party is considering measures to strengthen the domestic application of the Convention and remedies for violations of rights, such as the enactment of a </w:t>
      </w:r>
      <w:r w:rsidR="000D42DD" w:rsidRPr="00223597">
        <w:rPr>
          <w:rFonts w:ascii="Times New Roman" w:hAnsi="Times New Roman" w:cs="Times New Roman"/>
          <w:color w:val="000000" w:themeColor="text1"/>
          <w:sz w:val="24"/>
          <w:szCs w:val="28"/>
        </w:rPr>
        <w:t>Framework Act on Human Rights Policy</w:t>
      </w:r>
      <w:r w:rsidR="00D16FB9" w:rsidRPr="00223597">
        <w:rPr>
          <w:rFonts w:ascii="Times New Roman" w:hAnsi="Times New Roman" w:cs="Times New Roman"/>
          <w:color w:val="000000" w:themeColor="text1"/>
          <w:sz w:val="24"/>
          <w:szCs w:val="28"/>
        </w:rPr>
        <w:t>, ratification of the Optional Protocol to the</w:t>
      </w:r>
      <w:r w:rsidR="000D42DD" w:rsidRPr="00223597">
        <w:rPr>
          <w:rFonts w:ascii="Times New Roman" w:hAnsi="Times New Roman" w:cs="Times New Roman"/>
          <w:color w:val="000000" w:themeColor="text1"/>
          <w:sz w:val="24"/>
          <w:szCs w:val="28"/>
        </w:rPr>
        <w:t xml:space="preserve"> Convention</w:t>
      </w:r>
      <w:r w:rsidR="00D16FB9" w:rsidRPr="00223597">
        <w:rPr>
          <w:rFonts w:ascii="Times New Roman" w:hAnsi="Times New Roman" w:cs="Times New Roman"/>
          <w:color w:val="000000" w:themeColor="text1"/>
          <w:sz w:val="24"/>
          <w:szCs w:val="28"/>
        </w:rPr>
        <w:t>, and amendment of the National Human Rights Commission Act to introduce remedial procedures within the national human rights institution</w:t>
      </w:r>
      <w:r w:rsidR="00DC49BF" w:rsidRPr="00223597">
        <w:rPr>
          <w:rFonts w:ascii="Times New Roman" w:hAnsi="Times New Roman" w:cs="Times New Roman"/>
          <w:color w:val="000000" w:themeColor="text1"/>
          <w:sz w:val="24"/>
          <w:szCs w:val="28"/>
        </w:rPr>
        <w:t>.</w:t>
      </w:r>
    </w:p>
    <w:p w14:paraId="770D97E1" w14:textId="77777777" w:rsidR="00EF392E" w:rsidRPr="00223597" w:rsidRDefault="00EF392E" w:rsidP="00EF392E">
      <w:pPr>
        <w:numPr>
          <w:ilvl w:val="0"/>
          <w:numId w:val="2"/>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the implementation efforts and policies undertaken since the fourth review to increase public social expenditure, and whether such policies included long-term targets and appropriate management mechanisms.</w:t>
      </w:r>
    </w:p>
    <w:p w14:paraId="63E1486C" w14:textId="77777777" w:rsidR="001D2C1E" w:rsidRPr="00223597" w:rsidRDefault="001D2C1E" w:rsidP="00EF392E">
      <w:pPr>
        <w:rPr>
          <w:rFonts w:ascii="Times New Roman" w:hAnsi="Times New Roman" w:cs="Times New Roman"/>
          <w:b/>
          <w:bCs/>
          <w:color w:val="000000" w:themeColor="text1"/>
          <w:sz w:val="24"/>
          <w:szCs w:val="28"/>
        </w:rPr>
      </w:pPr>
    </w:p>
    <w:p w14:paraId="759C0BBC" w14:textId="1ACA746D" w:rsidR="00EF392E" w:rsidRPr="00223597" w:rsidRDefault="00EF392E" w:rsidP="00EF392E">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Issue 2: Business and Human Rights (Concluding Observation para. 18)</w:t>
      </w:r>
    </w:p>
    <w:p w14:paraId="7E7B2EB8" w14:textId="77777777" w:rsidR="00EF392E" w:rsidRPr="00223597" w:rsidRDefault="00EF392E" w:rsidP="00EF392E">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56BC39C2" w14:textId="077088F0" w:rsidR="00EF392E" w:rsidRPr="00223597" w:rsidRDefault="00106DB8" w:rsidP="00614569">
      <w:pPr>
        <w:numPr>
          <w:ilvl w:val="0"/>
          <w:numId w:val="3"/>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 issue of legislating human rights due diligence, as recommended in the Committee</w:t>
      </w:r>
      <w:r w:rsidR="008970C9" w:rsidRPr="00223597">
        <w:rPr>
          <w:rFonts w:ascii="Times New Roman" w:hAnsi="Times New Roman" w:cs="Times New Roman"/>
          <w:color w:val="000000" w:themeColor="text1"/>
          <w:sz w:val="24"/>
          <w:szCs w:val="28"/>
        </w:rPr>
        <w:t xml:space="preserve">’s </w:t>
      </w:r>
      <w:r w:rsidRPr="00223597">
        <w:rPr>
          <w:rFonts w:ascii="Times New Roman" w:hAnsi="Times New Roman" w:cs="Times New Roman"/>
          <w:color w:val="000000" w:themeColor="text1"/>
          <w:sz w:val="24"/>
          <w:szCs w:val="28"/>
        </w:rPr>
        <w:t xml:space="preserve">Fourth </w:t>
      </w:r>
      <w:r w:rsidR="00451FA0" w:rsidRPr="00223597">
        <w:rPr>
          <w:rFonts w:ascii="Times New Roman" w:hAnsi="Times New Roman" w:cs="Times New Roman"/>
          <w:color w:val="000000" w:themeColor="text1"/>
          <w:sz w:val="24"/>
          <w:szCs w:val="28"/>
        </w:rPr>
        <w:t>Co</w:t>
      </w:r>
      <w:r w:rsidRPr="00223597">
        <w:rPr>
          <w:rFonts w:ascii="Times New Roman" w:hAnsi="Times New Roman" w:cs="Times New Roman"/>
          <w:color w:val="000000" w:themeColor="text1"/>
          <w:sz w:val="24"/>
          <w:szCs w:val="28"/>
        </w:rPr>
        <w:t xml:space="preserve">ncluding </w:t>
      </w:r>
      <w:r w:rsidR="00451FA0" w:rsidRPr="00223597">
        <w:rPr>
          <w:rFonts w:ascii="Times New Roman" w:hAnsi="Times New Roman" w:cs="Times New Roman"/>
          <w:color w:val="000000" w:themeColor="text1"/>
          <w:sz w:val="24"/>
          <w:szCs w:val="28"/>
        </w:rPr>
        <w:t>O</w:t>
      </w:r>
      <w:r w:rsidRPr="00223597">
        <w:rPr>
          <w:rFonts w:ascii="Times New Roman" w:hAnsi="Times New Roman" w:cs="Times New Roman"/>
          <w:color w:val="000000" w:themeColor="text1"/>
          <w:sz w:val="24"/>
          <w:szCs w:val="28"/>
        </w:rPr>
        <w:t xml:space="preserve">bservations, has not been reflected in either the Third or Fourth NAP. The Fourth NAP fails to include key issues currently under </w:t>
      </w:r>
      <w:r w:rsidRPr="00223597">
        <w:rPr>
          <w:rFonts w:ascii="Times New Roman" w:hAnsi="Times New Roman" w:cs="Times New Roman"/>
          <w:color w:val="000000" w:themeColor="text1"/>
          <w:sz w:val="24"/>
          <w:szCs w:val="28"/>
        </w:rPr>
        <w:lastRenderedPageBreak/>
        <w:t>active discussion both domestically and internationally, such as the enactment of a human rights and environmental due diligence law and the establishment of a legal framework for ESG disclosure. With regard to the prevention of human rights violations against local workers by Korean enterprises operating abroad, the NAP merely refers to limited measures such as providing information to companies and holding labor management briefings. In addition, the recommendations made by the NHRCK concerning the National Contact Point (NCP) system have not been adequately incorporated.</w:t>
      </w:r>
      <w:r w:rsidR="00080E4D" w:rsidRPr="00223597">
        <w:rPr>
          <w:rStyle w:val="ab"/>
          <w:rFonts w:ascii="Times New Roman" w:hAnsi="Times New Roman" w:cs="Times New Roman"/>
          <w:color w:val="000000" w:themeColor="text1"/>
          <w:sz w:val="24"/>
          <w:szCs w:val="28"/>
        </w:rPr>
        <w:footnoteReference w:id="3"/>
      </w:r>
      <w:r w:rsidRPr="00223597">
        <w:rPr>
          <w:rFonts w:ascii="Times New Roman" w:hAnsi="Times New Roman" w:cs="Times New Roman"/>
          <w:color w:val="000000" w:themeColor="text1"/>
          <w:sz w:val="24"/>
          <w:szCs w:val="28"/>
        </w:rPr>
        <w:t xml:space="preserve"> </w:t>
      </w:r>
    </w:p>
    <w:p w14:paraId="0E00BD7E" w14:textId="7818FA76" w:rsidR="00EF392E" w:rsidRPr="00223597" w:rsidRDefault="00EF392E" w:rsidP="009D71E7">
      <w:pPr>
        <w:numPr>
          <w:ilvl w:val="0"/>
          <w:numId w:val="3"/>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Paragraph 121 of the </w:t>
      </w:r>
      <w:r w:rsidR="00225F80" w:rsidRPr="00223597">
        <w:rPr>
          <w:rFonts w:ascii="Times New Roman" w:hAnsi="Times New Roman" w:cs="Times New Roman"/>
          <w:color w:val="000000" w:themeColor="text1"/>
          <w:sz w:val="24"/>
          <w:szCs w:val="28"/>
        </w:rPr>
        <w:t>Fifth Periodic Re</w:t>
      </w:r>
      <w:r w:rsidRPr="00223597">
        <w:rPr>
          <w:rFonts w:ascii="Times New Roman" w:hAnsi="Times New Roman" w:cs="Times New Roman"/>
          <w:color w:val="000000" w:themeColor="text1"/>
          <w:sz w:val="24"/>
          <w:szCs w:val="28"/>
        </w:rPr>
        <w:t>port states that judicial remedies are already in place for human rights violations by businesses, and</w:t>
      </w:r>
      <w:r w:rsidR="009D71E7" w:rsidRPr="00223597">
        <w:rPr>
          <w:rFonts w:ascii="Times New Roman" w:hAnsi="Times New Roman" w:cs="Times New Roman"/>
          <w:color w:val="000000" w:themeColor="text1"/>
          <w:sz w:val="24"/>
          <w:szCs w:val="28"/>
        </w:rPr>
        <w:t xml:space="preserve"> pursuant to the international jurisdiction provisions in the Act on Private International Law, affected persons may file </w:t>
      </w:r>
      <w:r w:rsidR="00347092" w:rsidRPr="00223597">
        <w:rPr>
          <w:rFonts w:ascii="Times New Roman" w:hAnsi="Times New Roman" w:cs="Times New Roman"/>
          <w:color w:val="000000" w:themeColor="text1"/>
          <w:sz w:val="24"/>
          <w:szCs w:val="28"/>
        </w:rPr>
        <w:t>a suit</w:t>
      </w:r>
      <w:r w:rsidR="009D71E7" w:rsidRPr="00223597">
        <w:rPr>
          <w:rFonts w:ascii="Times New Roman" w:hAnsi="Times New Roman" w:cs="Times New Roman"/>
          <w:color w:val="000000" w:themeColor="text1"/>
          <w:sz w:val="24"/>
          <w:szCs w:val="28"/>
        </w:rPr>
        <w:t xml:space="preserve"> in the Courts of the Republic of Korea if international jurisdiction is recognized</w:t>
      </w:r>
      <w:r w:rsidRPr="00223597">
        <w:rPr>
          <w:rFonts w:ascii="Times New Roman" w:hAnsi="Times New Roman" w:cs="Times New Roman"/>
          <w:color w:val="000000" w:themeColor="text1"/>
          <w:sz w:val="24"/>
          <w:szCs w:val="28"/>
        </w:rPr>
        <w:t>. However, in August 2021, the Seoul Central District Court dismissed a lawsuit filed by 17 Myanmar residents against a Korean company operating in Myanmar for lack of jurisdiction.</w:t>
      </w:r>
      <w:r w:rsidR="00225F80" w:rsidRPr="00223597">
        <w:rPr>
          <w:rStyle w:val="ab"/>
          <w:rFonts w:ascii="Times New Roman" w:hAnsi="Times New Roman" w:cs="Times New Roman"/>
          <w:color w:val="000000" w:themeColor="text1"/>
          <w:sz w:val="24"/>
          <w:szCs w:val="28"/>
        </w:rPr>
        <w:footnoteReference w:id="4"/>
      </w:r>
      <w:r w:rsidRPr="00223597">
        <w:rPr>
          <w:rFonts w:ascii="Times New Roman" w:hAnsi="Times New Roman" w:cs="Times New Roman"/>
          <w:color w:val="000000" w:themeColor="text1"/>
          <w:sz w:val="24"/>
          <w:szCs w:val="28"/>
        </w:rPr>
        <w:t xml:space="preserve"> This illustrates the difficulty of securing judicial remedies in Korean courts for human rights violations by Korean companies overseas. Additionally, the Korean NCP closed (essentially dismissed) a complaint filed by civil society in 2021 regarding a Korean company implicated in human rights violations in Myanmar during its initial assessment in 2022.</w:t>
      </w:r>
    </w:p>
    <w:p w14:paraId="4D724178" w14:textId="77777777" w:rsidR="00EF392E" w:rsidRPr="00223597" w:rsidRDefault="00EF392E" w:rsidP="00EF392E">
      <w:pPr>
        <w:numPr>
          <w:ilvl w:val="0"/>
          <w:numId w:val="3"/>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Legislative bills aimed at imposing mandatory human rights due diligence on businesses were submitted to the 21st National Assembly but were discarded upon its expiration.</w:t>
      </w:r>
    </w:p>
    <w:p w14:paraId="3346895D" w14:textId="77777777" w:rsidR="00EF392E" w:rsidRPr="00223597" w:rsidRDefault="00EF392E" w:rsidP="00EF392E">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3410766C" w14:textId="77777777" w:rsidR="00EF392E" w:rsidRPr="00223597" w:rsidRDefault="00EF392E" w:rsidP="00EF392E">
      <w:pPr>
        <w:numPr>
          <w:ilvl w:val="0"/>
          <w:numId w:val="4"/>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indicate the State party’s position on legislating mandatory human rights due diligence, and what efforts the government plans to make during the term of the 22nd National Assembly in this regard.</w:t>
      </w:r>
    </w:p>
    <w:p w14:paraId="769BEB91" w14:textId="77777777" w:rsidR="00EF392E" w:rsidRPr="00223597" w:rsidRDefault="00EF392E" w:rsidP="00EF392E">
      <w:pPr>
        <w:numPr>
          <w:ilvl w:val="0"/>
          <w:numId w:val="4"/>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basic information — including case numbers, details, and outcomes — on lawsuits filed in domestic courts concerning allegations of human rights violations by overseas operations of Korean companies. What are the requirements for Korean courts to recognize jurisdiction in such cases?</w:t>
      </w:r>
    </w:p>
    <w:p w14:paraId="56A90DD0" w14:textId="4CEE2C9D" w:rsidR="00EF392E" w:rsidRPr="00223597" w:rsidRDefault="00EF392E" w:rsidP="00EF392E">
      <w:pPr>
        <w:numPr>
          <w:ilvl w:val="0"/>
          <w:numId w:val="4"/>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provide additional information, such as basic statistics on the number of NCP meetings held and case handling, to </w:t>
      </w:r>
      <w:r w:rsidR="000277D9" w:rsidRPr="00223597">
        <w:rPr>
          <w:rFonts w:ascii="Times New Roman" w:hAnsi="Times New Roman" w:cs="Times New Roman"/>
          <w:color w:val="000000" w:themeColor="text1"/>
          <w:sz w:val="24"/>
          <w:szCs w:val="28"/>
        </w:rPr>
        <w:t>verify</w:t>
      </w:r>
      <w:r w:rsidRPr="00223597">
        <w:rPr>
          <w:rFonts w:ascii="Times New Roman" w:hAnsi="Times New Roman" w:cs="Times New Roman"/>
          <w:color w:val="000000" w:themeColor="text1"/>
          <w:sz w:val="24"/>
          <w:szCs w:val="28"/>
        </w:rPr>
        <w:t xml:space="preserve"> </w:t>
      </w:r>
      <w:r w:rsidR="000277D9" w:rsidRPr="00223597">
        <w:rPr>
          <w:rFonts w:ascii="Times New Roman" w:hAnsi="Times New Roman" w:cs="Times New Roman"/>
          <w:color w:val="000000" w:themeColor="text1"/>
          <w:sz w:val="24"/>
          <w:szCs w:val="28"/>
        </w:rPr>
        <w:t>t</w:t>
      </w:r>
      <w:r w:rsidRPr="00223597">
        <w:rPr>
          <w:rFonts w:ascii="Times New Roman" w:hAnsi="Times New Roman" w:cs="Times New Roman"/>
          <w:color w:val="000000" w:themeColor="text1"/>
          <w:sz w:val="24"/>
          <w:szCs w:val="28"/>
        </w:rPr>
        <w:t>he transparency and effectiveness of the NCP.</w:t>
      </w:r>
    </w:p>
    <w:p w14:paraId="12146052" w14:textId="77777777" w:rsidR="00940C56" w:rsidRPr="00223597" w:rsidRDefault="00940C56" w:rsidP="00EF392E">
      <w:pPr>
        <w:rPr>
          <w:rFonts w:ascii="Times New Roman" w:hAnsi="Times New Roman" w:cs="Times New Roman"/>
          <w:b/>
          <w:bCs/>
          <w:color w:val="000000" w:themeColor="text1"/>
          <w:sz w:val="24"/>
          <w:szCs w:val="28"/>
        </w:rPr>
      </w:pPr>
    </w:p>
    <w:p w14:paraId="125122E2" w14:textId="02304D5B" w:rsidR="00EF392E" w:rsidRPr="00223597" w:rsidRDefault="00EF392E" w:rsidP="00EF392E">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 xml:space="preserve">Issue 3: Comprehensive Anti-Discrimination Legislation (Concluding Observations </w:t>
      </w:r>
      <w:r w:rsidRPr="00223597">
        <w:rPr>
          <w:rFonts w:ascii="Times New Roman" w:hAnsi="Times New Roman" w:cs="Times New Roman"/>
          <w:b/>
          <w:bCs/>
          <w:color w:val="000000" w:themeColor="text1"/>
          <w:sz w:val="24"/>
          <w:szCs w:val="28"/>
        </w:rPr>
        <w:lastRenderedPageBreak/>
        <w:t>paras. 23, 25(c))</w:t>
      </w:r>
    </w:p>
    <w:p w14:paraId="4DB3E821" w14:textId="77777777" w:rsidR="00EF392E" w:rsidRPr="00223597" w:rsidRDefault="00EF392E" w:rsidP="00EF392E">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09DD2464" w14:textId="69EBF201" w:rsidR="00EF392E" w:rsidRPr="00223597" w:rsidRDefault="00EF392E" w:rsidP="00EF392E">
      <w:pPr>
        <w:numPr>
          <w:ilvl w:val="0"/>
          <w:numId w:val="5"/>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In June 2020, the NHRC</w:t>
      </w:r>
      <w:r w:rsidR="00CB1D8D" w:rsidRPr="00223597">
        <w:rPr>
          <w:rFonts w:ascii="Times New Roman" w:hAnsi="Times New Roman" w:cs="Times New Roman"/>
          <w:color w:val="000000" w:themeColor="text1"/>
          <w:sz w:val="24"/>
          <w:szCs w:val="28"/>
        </w:rPr>
        <w:t>K</w:t>
      </w:r>
      <w:r w:rsidRPr="00223597">
        <w:rPr>
          <w:rFonts w:ascii="Times New Roman" w:hAnsi="Times New Roman" w:cs="Times New Roman"/>
          <w:color w:val="000000" w:themeColor="text1"/>
          <w:sz w:val="24"/>
          <w:szCs w:val="28"/>
        </w:rPr>
        <w:t xml:space="preserve"> proposed the “Equality and Anti-Discrimination Act” to the National Assembly and called for its swift enactment. Between June 2020 and August 2021, four bills proposing comprehensive anti-discrimination legislation were submitted to the 21st National Assembly, but they were discarded upon the Assembly’s expiration without substantial deliberation.</w:t>
      </w:r>
    </w:p>
    <w:p w14:paraId="03C9C11C" w14:textId="5E771144" w:rsidR="00EF392E" w:rsidRPr="00223597" w:rsidRDefault="00EF392E" w:rsidP="00EF392E">
      <w:pPr>
        <w:numPr>
          <w:ilvl w:val="0"/>
          <w:numId w:val="5"/>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The </w:t>
      </w:r>
      <w:r w:rsidR="00946E9F" w:rsidRPr="00223597">
        <w:rPr>
          <w:rFonts w:ascii="Times New Roman" w:hAnsi="Times New Roman" w:cs="Times New Roman"/>
          <w:color w:val="000000" w:themeColor="text1"/>
          <w:sz w:val="24"/>
          <w:szCs w:val="28"/>
        </w:rPr>
        <w:t>F</w:t>
      </w:r>
      <w:r w:rsidRPr="00223597">
        <w:rPr>
          <w:rFonts w:ascii="Times New Roman" w:hAnsi="Times New Roman" w:cs="Times New Roman"/>
          <w:color w:val="000000" w:themeColor="text1"/>
          <w:sz w:val="24"/>
          <w:szCs w:val="28"/>
        </w:rPr>
        <w:t>ourth NAP merely lists “submitting reasonable opinions during National Assembly discussions on basic legislation on non-discrimination” as an initiative. It does not demonstrate the government’s commitment to or present a concrete plan for enacting comprehensive anti-discrimination legislation.</w:t>
      </w:r>
    </w:p>
    <w:p w14:paraId="6E020C29" w14:textId="77777777" w:rsidR="00EF392E" w:rsidRPr="00223597" w:rsidRDefault="00EF392E" w:rsidP="00EF392E">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5F997B8D" w14:textId="77777777" w:rsidR="00EF392E" w:rsidRPr="00223597" w:rsidRDefault="00EF392E" w:rsidP="00EF392E">
      <w:pPr>
        <w:numPr>
          <w:ilvl w:val="0"/>
          <w:numId w:val="6"/>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clarify the State party’s position on the Committee’s recommendation to enact comprehensive anti-discrimination legislation.</w:t>
      </w:r>
    </w:p>
    <w:p w14:paraId="5874AC39" w14:textId="21BB04F8" w:rsidR="007B046D" w:rsidRPr="00223597" w:rsidRDefault="00A434F5" w:rsidP="007B046D">
      <w:pPr>
        <w:numPr>
          <w:ilvl w:val="0"/>
          <w:numId w:val="6"/>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the domestic conflicts that have arisen in relation to the legislative process following the introduction of the draft Comprehensive Anti-Discrimination Act to the 21st National Assembly, as well as the measures taken to address these conflicts. In addition, please indicate whether there is a strategy or timeline in place to overcome the delays in the enactment of the legislation.</w:t>
      </w:r>
    </w:p>
    <w:p w14:paraId="73414EFA" w14:textId="77777777" w:rsidR="001D2C1E" w:rsidRPr="00223597" w:rsidRDefault="001D2C1E" w:rsidP="007B046D">
      <w:pPr>
        <w:rPr>
          <w:rFonts w:ascii="Times New Roman" w:hAnsi="Times New Roman" w:cs="Times New Roman"/>
          <w:b/>
          <w:bCs/>
          <w:color w:val="000000" w:themeColor="text1"/>
          <w:sz w:val="24"/>
          <w:szCs w:val="28"/>
        </w:rPr>
      </w:pPr>
    </w:p>
    <w:p w14:paraId="37234F00" w14:textId="3A79F1E2" w:rsidR="007B046D" w:rsidRPr="00223597" w:rsidRDefault="007B046D" w:rsidP="007B046D">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Issue 4: Gender Pay Gap, Gender Representation, and</w:t>
      </w:r>
      <w:r w:rsidR="002C6A78" w:rsidRPr="00223597">
        <w:rPr>
          <w:rFonts w:ascii="Times New Roman" w:hAnsi="Times New Roman" w:cs="Times New Roman"/>
          <w:b/>
          <w:bCs/>
          <w:color w:val="000000" w:themeColor="text1"/>
          <w:sz w:val="24"/>
          <w:szCs w:val="28"/>
        </w:rPr>
        <w:t xml:space="preserve"> Right to</w:t>
      </w:r>
      <w:r w:rsidRPr="00223597">
        <w:rPr>
          <w:rFonts w:ascii="Times New Roman" w:hAnsi="Times New Roman" w:cs="Times New Roman"/>
          <w:b/>
          <w:bCs/>
          <w:color w:val="000000" w:themeColor="text1"/>
          <w:sz w:val="24"/>
          <w:szCs w:val="28"/>
        </w:rPr>
        <w:t xml:space="preserve"> Sexual and Reproductive Health (Concluding Observations paras. 35(a), (b), (c), 60)</w:t>
      </w:r>
    </w:p>
    <w:p w14:paraId="609A95FB" w14:textId="77777777" w:rsidR="007B046D" w:rsidRPr="00223597" w:rsidRDefault="007B046D" w:rsidP="007B046D">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25789600" w14:textId="526F7443" w:rsidR="007B046D" w:rsidRPr="00223597" w:rsidRDefault="007B046D" w:rsidP="0057358C">
      <w:pPr>
        <w:numPr>
          <w:ilvl w:val="0"/>
          <w:numId w:val="7"/>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According to the 2024 Lives of Women and Men in Statistics published by the Ministry of Gender Equality and Family, in 2023 the average hourly wage for women was KRW 18,502, representing 71.0% of men’s average hourly wage of KRW 26,042. Among regular workers, women earned 73.0% of men’s average hourly wage (KRW 20,205 for women versus KRW 27,695 for men)</w:t>
      </w:r>
      <w:r w:rsidR="00211EA1" w:rsidRPr="00223597">
        <w:rPr>
          <w:rFonts w:ascii="Times New Roman" w:hAnsi="Times New Roman" w:cs="Times New Roman"/>
          <w:color w:val="000000" w:themeColor="text1"/>
          <w:sz w:val="24"/>
          <w:szCs w:val="28"/>
        </w:rPr>
        <w:t>.</w:t>
      </w:r>
      <w:r w:rsidRPr="00223597">
        <w:rPr>
          <w:rFonts w:ascii="Times New Roman" w:hAnsi="Times New Roman" w:cs="Times New Roman"/>
          <w:color w:val="000000" w:themeColor="text1"/>
          <w:sz w:val="24"/>
          <w:szCs w:val="28"/>
        </w:rPr>
        <w:t xml:space="preserve"> </w:t>
      </w:r>
      <w:r w:rsidR="0057358C" w:rsidRPr="00223597">
        <w:rPr>
          <w:rFonts w:ascii="Times New Roman" w:hAnsi="Times New Roman" w:cs="Times New Roman"/>
          <w:color w:val="000000" w:themeColor="text1"/>
          <w:sz w:val="24"/>
          <w:szCs w:val="28"/>
        </w:rPr>
        <w:t xml:space="preserve">This indicates that the gender wage gap is smaller among full-time workers compared to the overall workforce, which implies </w:t>
      </w:r>
      <w:r w:rsidRPr="00223597">
        <w:rPr>
          <w:rFonts w:ascii="Times New Roman" w:hAnsi="Times New Roman" w:cs="Times New Roman"/>
          <w:color w:val="000000" w:themeColor="text1"/>
          <w:sz w:val="24"/>
          <w:szCs w:val="28"/>
        </w:rPr>
        <w:t>that job quality impacts the gender pay gap. Women also made up 1.6 times more of the low-wage workforce (earning less than two-thirds of the median wage): 1.907 million women compared to 1.172 million men. Furthermore, 27.4% of female workers were in the bottom 20% in terms of hourly wages, compared to 13.9% of male workers.</w:t>
      </w:r>
    </w:p>
    <w:p w14:paraId="1E1F5359" w14:textId="67A20688" w:rsidR="007B046D" w:rsidRPr="00223597" w:rsidRDefault="007B046D" w:rsidP="007B046D">
      <w:pPr>
        <w:numPr>
          <w:ilvl w:val="0"/>
          <w:numId w:val="7"/>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 employment rate of women aged 15 and older has steadily increased to 60% as of 2022. In 2021, the proportion of female managers among wage workers exceeded 15% for the first time, though this remains below half the OECD average of 33.2%. According to The Economist’s Glass Ceiling Index, Korea has consistently ranked at the bottom since the index’s inception in 2013. While affirmative action</w:t>
      </w:r>
      <w:r w:rsidR="00BC30C3" w:rsidRPr="00223597">
        <w:rPr>
          <w:rStyle w:val="ab"/>
          <w:rFonts w:ascii="Times New Roman" w:hAnsi="Times New Roman" w:cs="Times New Roman"/>
          <w:color w:val="000000" w:themeColor="text1"/>
          <w:sz w:val="24"/>
          <w:szCs w:val="28"/>
        </w:rPr>
        <w:footnoteReference w:id="5"/>
      </w:r>
      <w:r w:rsidRPr="00223597">
        <w:rPr>
          <w:rFonts w:ascii="Times New Roman" w:hAnsi="Times New Roman" w:cs="Times New Roman"/>
          <w:color w:val="000000" w:themeColor="text1"/>
          <w:sz w:val="24"/>
          <w:szCs w:val="28"/>
        </w:rPr>
        <w:t xml:space="preserve"> has </w:t>
      </w:r>
      <w:r w:rsidRPr="00223597">
        <w:rPr>
          <w:rFonts w:ascii="Times New Roman" w:hAnsi="Times New Roman" w:cs="Times New Roman"/>
          <w:color w:val="000000" w:themeColor="text1"/>
          <w:sz w:val="24"/>
          <w:szCs w:val="28"/>
        </w:rPr>
        <w:lastRenderedPageBreak/>
        <w:t>increased the proportion of female managers from 12.5% in 2008 to 21.8% in 2022 and 22.1% in 2023 (a 9.6 percentage point increase over 15 years), this growth is minimal considering women’s improved education levels and changes in industrial composition. In large private companies with over 1,000 employees, female executives accounted for only 12.5% in 2023, up 3.8 percentage points from 2015</w:t>
      </w:r>
      <w:r w:rsidR="00BC30C3" w:rsidRPr="00223597">
        <w:rPr>
          <w:rStyle w:val="ab"/>
          <w:rFonts w:ascii="Times New Roman" w:hAnsi="Times New Roman" w:cs="Times New Roman"/>
          <w:color w:val="000000" w:themeColor="text1"/>
          <w:sz w:val="24"/>
          <w:szCs w:val="28"/>
        </w:rPr>
        <w:footnoteReference w:id="6"/>
      </w:r>
      <w:r w:rsidRPr="00223597">
        <w:rPr>
          <w:rFonts w:ascii="Times New Roman" w:hAnsi="Times New Roman" w:cs="Times New Roman"/>
          <w:color w:val="000000" w:themeColor="text1"/>
          <w:sz w:val="24"/>
          <w:szCs w:val="28"/>
        </w:rPr>
        <w:t xml:space="preserve">. </w:t>
      </w:r>
      <w:r w:rsidR="001E65D6" w:rsidRPr="00223597">
        <w:rPr>
          <w:rFonts w:ascii="Times New Roman" w:hAnsi="Times New Roman" w:cs="Times New Roman"/>
          <w:color w:val="000000" w:themeColor="text1"/>
          <w:sz w:val="24"/>
          <w:szCs w:val="28"/>
        </w:rPr>
        <w:t>Meanwhile, t</w:t>
      </w:r>
      <w:r w:rsidRPr="00223597">
        <w:rPr>
          <w:rFonts w:ascii="Times New Roman" w:hAnsi="Times New Roman" w:cs="Times New Roman"/>
          <w:color w:val="000000" w:themeColor="text1"/>
          <w:sz w:val="24"/>
          <w:szCs w:val="28"/>
        </w:rPr>
        <w:t>he limited scope of affirmative action, and the weaknesses in implementation such as insufficient enforcement mechanisms for submitting improvement plans, have drawn criticism.</w:t>
      </w:r>
    </w:p>
    <w:p w14:paraId="32CD2C8A" w14:textId="0852E2F5" w:rsidR="007B046D" w:rsidRPr="00223597" w:rsidRDefault="007B046D" w:rsidP="007B046D">
      <w:pPr>
        <w:numPr>
          <w:ilvl w:val="0"/>
          <w:numId w:val="7"/>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Persistent gender asymmetry in work-life balance, caused by gendered expectations of child-rearing, domestic and care work, long working hours, </w:t>
      </w:r>
      <w:r w:rsidR="00CE3EB6" w:rsidRPr="00223597">
        <w:rPr>
          <w:rFonts w:ascii="Times New Roman" w:hAnsi="Times New Roman" w:cs="Times New Roman"/>
          <w:color w:val="000000" w:themeColor="text1"/>
          <w:sz w:val="24"/>
          <w:szCs w:val="28"/>
        </w:rPr>
        <w:t>low income</w:t>
      </w:r>
      <w:r w:rsidR="00940C56" w:rsidRPr="00223597">
        <w:rPr>
          <w:rFonts w:ascii="Times New Roman" w:hAnsi="Times New Roman" w:cs="Times New Roman"/>
          <w:color w:val="000000" w:themeColor="text1"/>
          <w:sz w:val="24"/>
          <w:szCs w:val="28"/>
        </w:rPr>
        <w:t>-</w:t>
      </w:r>
      <w:r w:rsidRPr="00223597">
        <w:rPr>
          <w:rFonts w:ascii="Times New Roman" w:hAnsi="Times New Roman" w:cs="Times New Roman"/>
          <w:color w:val="000000" w:themeColor="text1"/>
          <w:sz w:val="24"/>
          <w:szCs w:val="28"/>
        </w:rPr>
        <w:t xml:space="preserve">replacement rate of parental leave benefits, and low paternal leave usage, continues to result in high rates of career interruption for women, </w:t>
      </w:r>
      <w:r w:rsidR="0060297F" w:rsidRPr="00223597">
        <w:rPr>
          <w:rFonts w:ascii="Times New Roman" w:hAnsi="Times New Roman" w:cs="Times New Roman"/>
          <w:color w:val="000000" w:themeColor="text1"/>
          <w:sz w:val="24"/>
          <w:szCs w:val="28"/>
        </w:rPr>
        <w:t xml:space="preserve">but government measures and support remains </w:t>
      </w:r>
      <w:r w:rsidRPr="00223597">
        <w:rPr>
          <w:rFonts w:ascii="Times New Roman" w:hAnsi="Times New Roman" w:cs="Times New Roman"/>
          <w:color w:val="000000" w:themeColor="text1"/>
          <w:sz w:val="24"/>
          <w:szCs w:val="28"/>
        </w:rPr>
        <w:t>insufficient</w:t>
      </w:r>
      <w:r w:rsidR="0060297F"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 xml:space="preserve"> </w:t>
      </w:r>
    </w:p>
    <w:p w14:paraId="7FFE15EC" w14:textId="77777777" w:rsidR="003769F4" w:rsidRPr="00223597" w:rsidRDefault="003769F4" w:rsidP="003769F4">
      <w:pPr>
        <w:numPr>
          <w:ilvl w:val="0"/>
          <w:numId w:val="7"/>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In relation to the constitutional complaint case (2017Hun-Ba127) concerning whether the provisions of the Criminal Act—Article 269(1), which criminalizes a pregnant woman's self-induced abortion, and the portion of Article 270(1) that punishes a physician for performing an abortion at the request or with the consent of the pregnant woman—violate the woman’s right to self-determination, the Constitutional Court ruled on April 11, 2019, that these provisions are inconsistent with the Constitution. The Court ordered the legislature to revise the laws by December 31, 2020. In response, the Ministry of Justice and the Ministry of Health and Welfare each proposed amendments to the Criminal Act and the Mother and Child Health Act, respectively; however, no legal amendments have been enacted to date.</w:t>
      </w:r>
    </w:p>
    <w:p w14:paraId="2867CA01" w14:textId="2D6DD068" w:rsidR="00561584" w:rsidRPr="00223597" w:rsidRDefault="00561584" w:rsidP="0083622F">
      <w:pPr>
        <w:numPr>
          <w:ilvl w:val="0"/>
          <w:numId w:val="7"/>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 introduction of medical abortion pills has been delayed, and as a result, some medical institutions are using medications that have not been officially approved as abortion-inducing drugs, negatively affecting the health of women who have decided to terminate a pregnancy. In this context, when women purchase such drugs online, it is difficult to obtain accurate information about the ingredients, proper dosage, or post-treatment care, placing their health at even greater risk. Nevertheless, follow-up legislation—such as amendments to the Medical Service Act, the Pharmaceutical Affairs Act, and the National Health Insurance Act—necessary to ensure safe access to abortion services, has yet to be enacted.</w:t>
      </w:r>
    </w:p>
    <w:p w14:paraId="54F00C16" w14:textId="77777777" w:rsidR="007B046D" w:rsidRPr="00223597" w:rsidRDefault="007B046D" w:rsidP="007B046D">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180C7CAA" w14:textId="5DBAE68F" w:rsidR="007B046D" w:rsidRPr="00223597" w:rsidRDefault="005B01EE" w:rsidP="005B01EE">
      <w:pPr>
        <w:numPr>
          <w:ilvl w:val="0"/>
          <w:numId w:val="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detailed plans on what legal and institutional measures the State party intends to take to reduce the gender wage gap.</w:t>
      </w:r>
    </w:p>
    <w:p w14:paraId="321742FA" w14:textId="38EF3D87" w:rsidR="007B046D" w:rsidRPr="00223597" w:rsidRDefault="006B750F" w:rsidP="006B750F">
      <w:pPr>
        <w:numPr>
          <w:ilvl w:val="0"/>
          <w:numId w:val="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explain the reasons for the limited effectiveness of </w:t>
      </w:r>
      <w:r w:rsidR="0083622F" w:rsidRPr="00223597">
        <w:rPr>
          <w:rFonts w:ascii="Times New Roman" w:hAnsi="Times New Roman" w:cs="Times New Roman"/>
          <w:color w:val="000000" w:themeColor="text1"/>
          <w:sz w:val="24"/>
          <w:szCs w:val="28"/>
        </w:rPr>
        <w:t xml:space="preserve">affirmative action </w:t>
      </w:r>
      <w:r w:rsidRPr="00223597">
        <w:rPr>
          <w:rFonts w:ascii="Times New Roman" w:hAnsi="Times New Roman" w:cs="Times New Roman"/>
          <w:color w:val="000000" w:themeColor="text1"/>
          <w:sz w:val="24"/>
          <w:szCs w:val="28"/>
        </w:rPr>
        <w:t>as well as the factors contributing to the low proportion of women in managerial positions despite the high rate of women’s economic participation. Additionally, provide information on the State party’s plans to strengthen women’s representation, particularly whether there are any concrete gender equality measures to increase the proportion of women in managerial positions in the private sector.</w:t>
      </w:r>
    </w:p>
    <w:p w14:paraId="417133A8" w14:textId="77777777" w:rsidR="007B046D" w:rsidRPr="00223597" w:rsidRDefault="007B046D" w:rsidP="007B046D">
      <w:pPr>
        <w:numPr>
          <w:ilvl w:val="0"/>
          <w:numId w:val="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lastRenderedPageBreak/>
        <w:t>Please provide information on the implementation status and improvement plans for policies and systems aimed at preventing women’s career interruption and promoting gender-equal work-life balance.</w:t>
      </w:r>
    </w:p>
    <w:p w14:paraId="3FBE66EA" w14:textId="77777777" w:rsidR="00FE2B34" w:rsidRPr="00223597" w:rsidRDefault="00403744" w:rsidP="007B046D">
      <w:pPr>
        <w:numPr>
          <w:ilvl w:val="0"/>
          <w:numId w:val="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provide information on the current legislative framework to ensure safe abortion and </w:t>
      </w:r>
      <w:r w:rsidR="00E46316" w:rsidRPr="00223597">
        <w:rPr>
          <w:rFonts w:ascii="Times New Roman" w:hAnsi="Times New Roman" w:cs="Times New Roman"/>
          <w:color w:val="000000" w:themeColor="text1"/>
          <w:sz w:val="24"/>
          <w:szCs w:val="28"/>
        </w:rPr>
        <w:t xml:space="preserve">right to </w:t>
      </w:r>
      <w:r w:rsidRPr="00223597">
        <w:rPr>
          <w:rFonts w:ascii="Times New Roman" w:hAnsi="Times New Roman" w:cs="Times New Roman"/>
          <w:color w:val="000000" w:themeColor="text1"/>
          <w:sz w:val="24"/>
          <w:szCs w:val="28"/>
        </w:rPr>
        <w:t>sexual and reproductive healt</w:t>
      </w:r>
      <w:r w:rsidR="00E46316" w:rsidRPr="00223597">
        <w:rPr>
          <w:rFonts w:ascii="Times New Roman" w:hAnsi="Times New Roman" w:cs="Times New Roman"/>
          <w:color w:val="000000" w:themeColor="text1"/>
          <w:sz w:val="24"/>
          <w:szCs w:val="28"/>
        </w:rPr>
        <w:t>h</w:t>
      </w:r>
      <w:r w:rsidRPr="00223597">
        <w:rPr>
          <w:rFonts w:ascii="Times New Roman" w:hAnsi="Times New Roman" w:cs="Times New Roman"/>
          <w:color w:val="000000" w:themeColor="text1"/>
          <w:sz w:val="24"/>
          <w:szCs w:val="28"/>
        </w:rPr>
        <w:t>, as well as concrete implementation plans regarding the inclusion of abortion services under the national health insurance system and the official approval of medical abortion drugs.</w:t>
      </w:r>
    </w:p>
    <w:p w14:paraId="1917436B" w14:textId="474DFF3C" w:rsidR="00FE2B34" w:rsidRPr="00223597" w:rsidRDefault="00FE2B34" w:rsidP="00FE2B34">
      <w:pPr>
        <w:numPr>
          <w:ilvl w:val="0"/>
          <w:numId w:val="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the legislative plans following the Constitutional Court’s decision of unconstitutionality regarding the provisions of the Criminal Act that penalize women who self-induce abortion and doctors who perform abortion upon the request or consent of pregnant women.</w:t>
      </w:r>
    </w:p>
    <w:p w14:paraId="61A40872" w14:textId="77777777" w:rsidR="001D2C1E" w:rsidRPr="00223597" w:rsidRDefault="001D2C1E" w:rsidP="00FE2B34">
      <w:pPr>
        <w:rPr>
          <w:rFonts w:ascii="Times New Roman" w:hAnsi="Times New Roman" w:cs="Times New Roman"/>
          <w:b/>
          <w:bCs/>
          <w:color w:val="000000" w:themeColor="text1"/>
          <w:sz w:val="24"/>
          <w:szCs w:val="28"/>
        </w:rPr>
      </w:pPr>
    </w:p>
    <w:p w14:paraId="3199FB64" w14:textId="2B7FD1E5" w:rsidR="007B046D" w:rsidRPr="00223597" w:rsidRDefault="007B046D" w:rsidP="00FE2B34">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Issue 5: Prohibition of Discrimination Against and Social Security for LGBTI Persons (Concluding Observations paras. 25(a), (b))</w:t>
      </w:r>
    </w:p>
    <w:p w14:paraId="7B4DF32E" w14:textId="77777777" w:rsidR="007B046D" w:rsidRPr="00223597" w:rsidRDefault="007B046D" w:rsidP="007B046D">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78773354" w14:textId="7E5B57A2" w:rsidR="007B046D" w:rsidRPr="00223597" w:rsidRDefault="006302CE" w:rsidP="006302CE">
      <w:pPr>
        <w:numPr>
          <w:ilvl w:val="0"/>
          <w:numId w:val="9"/>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According to the Supreme Court </w:t>
      </w:r>
      <w:proofErr w:type="spellStart"/>
      <w:r w:rsidRPr="00223597">
        <w:rPr>
          <w:rFonts w:ascii="Times New Roman" w:hAnsi="Times New Roman" w:cs="Times New Roman"/>
          <w:color w:val="000000" w:themeColor="text1"/>
          <w:sz w:val="24"/>
          <w:szCs w:val="28"/>
        </w:rPr>
        <w:t>en</w:t>
      </w:r>
      <w:proofErr w:type="spellEnd"/>
      <w:r w:rsidRPr="00223597">
        <w:rPr>
          <w:rFonts w:ascii="Times New Roman" w:hAnsi="Times New Roman" w:cs="Times New Roman"/>
          <w:color w:val="000000" w:themeColor="text1"/>
          <w:sz w:val="24"/>
          <w:szCs w:val="28"/>
        </w:rPr>
        <w:t xml:space="preserve"> banc decision delivered on April 21, 2022 (Supreme Court Decision 2019Do3047), consensual sexual acts between same-sex military personnel in a private setting no longer fall under the scope of Article 92-6 of the Military Criminal Act.</w:t>
      </w:r>
    </w:p>
    <w:p w14:paraId="0FF91508" w14:textId="47BBDC9D" w:rsidR="007B046D" w:rsidRPr="00223597" w:rsidRDefault="007B046D" w:rsidP="00F30345">
      <w:pPr>
        <w:numPr>
          <w:ilvl w:val="0"/>
          <w:numId w:val="9"/>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 NHRC</w:t>
      </w:r>
      <w:r w:rsidR="00F30345" w:rsidRPr="00223597">
        <w:rPr>
          <w:rFonts w:ascii="Times New Roman" w:hAnsi="Times New Roman" w:cs="Times New Roman"/>
          <w:color w:val="000000" w:themeColor="text1"/>
          <w:sz w:val="24"/>
          <w:szCs w:val="28"/>
        </w:rPr>
        <w:t>K</w:t>
      </w:r>
      <w:r w:rsidRPr="00223597">
        <w:rPr>
          <w:rFonts w:ascii="Times New Roman" w:hAnsi="Times New Roman" w:cs="Times New Roman"/>
          <w:color w:val="000000" w:themeColor="text1"/>
          <w:sz w:val="24"/>
          <w:szCs w:val="28"/>
        </w:rPr>
        <w:t xml:space="preserve"> submitted opinions to the Constitutional Court in 2010 and 2022 asserting that the provisions of the Military Criminal Act criminalizing same-sex acts violate the Constitution. However, in October 2023, the Constitutional Court ruled that the clause criminalizing “other indecent acts” under Article 92-6 is constitutional (5 judges in favor, 4 against)</w:t>
      </w:r>
      <w:r w:rsidR="00671D0F" w:rsidRPr="00223597">
        <w:rPr>
          <w:rFonts w:ascii="Times New Roman" w:hAnsi="Times New Roman" w:cs="Times New Roman"/>
          <w:color w:val="000000" w:themeColor="text1"/>
          <w:sz w:val="24"/>
          <w:szCs w:val="28"/>
        </w:rPr>
        <w:t xml:space="preserve"> </w:t>
      </w:r>
      <w:r w:rsidR="00F30345" w:rsidRPr="00223597">
        <w:rPr>
          <w:rFonts w:ascii="Times New Roman" w:hAnsi="Times New Roman" w:cs="Times New Roman"/>
          <w:color w:val="000000" w:themeColor="text1"/>
          <w:sz w:val="24"/>
          <w:szCs w:val="28"/>
        </w:rPr>
        <w:t>(Constitutional Court Decisions 2017Hun-Ga16 and 2020Hun-Ga3, delivered on October 26, 2023)</w:t>
      </w:r>
      <w:r w:rsidRPr="00223597">
        <w:rPr>
          <w:rFonts w:ascii="Times New Roman" w:hAnsi="Times New Roman" w:cs="Times New Roman"/>
          <w:color w:val="000000" w:themeColor="text1"/>
          <w:sz w:val="24"/>
          <w:szCs w:val="28"/>
        </w:rPr>
        <w:t>.</w:t>
      </w:r>
    </w:p>
    <w:p w14:paraId="61A87C97" w14:textId="2CF0A66B" w:rsidR="007B046D" w:rsidRPr="00223597" w:rsidRDefault="00FF3592" w:rsidP="00FF3592">
      <w:pPr>
        <w:numPr>
          <w:ilvl w:val="0"/>
          <w:numId w:val="9"/>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In accordance with the above Supreme Court </w:t>
      </w:r>
      <w:proofErr w:type="spellStart"/>
      <w:r w:rsidRPr="00223597">
        <w:rPr>
          <w:rFonts w:ascii="Times New Roman" w:hAnsi="Times New Roman" w:cs="Times New Roman"/>
          <w:color w:val="000000" w:themeColor="text1"/>
          <w:sz w:val="24"/>
          <w:szCs w:val="28"/>
        </w:rPr>
        <w:t>en</w:t>
      </w:r>
      <w:proofErr w:type="spellEnd"/>
      <w:r w:rsidRPr="00223597">
        <w:rPr>
          <w:rFonts w:ascii="Times New Roman" w:hAnsi="Times New Roman" w:cs="Times New Roman"/>
          <w:color w:val="000000" w:themeColor="text1"/>
          <w:sz w:val="24"/>
          <w:szCs w:val="28"/>
        </w:rPr>
        <w:t xml:space="preserve"> banc decision and the Constitutional Court’s decision upholding the constitutionality of the provision, consensual sexual acts between same-sex military personnel remain subject to Article 92-6 of the Military Criminal Act</w:t>
      </w:r>
      <w:r w:rsidR="005C13FB"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the “indecent act” provision</w:t>
      </w:r>
      <w:r w:rsidR="005C13FB" w:rsidRPr="00223597">
        <w:rPr>
          <w:rFonts w:ascii="Times New Roman" w:hAnsi="Times New Roman" w:cs="Times New Roman"/>
          <w:color w:val="000000" w:themeColor="text1"/>
          <w:sz w:val="24"/>
          <w:szCs w:val="28"/>
        </w:rPr>
        <w:t>, i</w:t>
      </w:r>
      <w:r w:rsidRPr="00223597">
        <w:rPr>
          <w:rFonts w:ascii="Times New Roman" w:hAnsi="Times New Roman" w:cs="Times New Roman"/>
          <w:color w:val="000000" w:themeColor="text1"/>
          <w:sz w:val="24"/>
          <w:szCs w:val="28"/>
        </w:rPr>
        <w:t>f such acts occur in the workplace or during the performance of military duties.</w:t>
      </w:r>
    </w:p>
    <w:p w14:paraId="17C09EE6" w14:textId="2F6C306D" w:rsidR="007B046D" w:rsidRPr="00223597" w:rsidRDefault="00141660" w:rsidP="00141660">
      <w:pPr>
        <w:numPr>
          <w:ilvl w:val="0"/>
          <w:numId w:val="9"/>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Rights related to survivors’ benefits under the National Pension and Government Employees Pension schemes, as well as housing policies, are granted to different-sex couples in de facto marriages but are not recognized for same-sex couples. In 2023, a proposed amendment to the Civil Act to legalize same-sex marriage and a bill to enact the Act on Life Partnership Relations, which would provide certain social security benefits to non-married couples regardless of gender, were introduced. However, both bills were discarded upon the expiration of the 21st National Assembly's term.</w:t>
      </w:r>
    </w:p>
    <w:p w14:paraId="1351DEFE" w14:textId="6C84F4CE" w:rsidR="00A2555F" w:rsidRPr="00223597" w:rsidRDefault="00A2555F" w:rsidP="00A2555F">
      <w:pPr>
        <w:numPr>
          <w:ilvl w:val="0"/>
          <w:numId w:val="9"/>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In 2023, the Seoul High Court issued the first ruling recognizing a same-sex partner as a dependent under the National Health Insurance scheme (Seoul High Court Decision 2022Nu32797, delivered on February 21, 2023).</w:t>
      </w:r>
      <w:r w:rsidR="00DB4D3A" w:rsidRPr="00223597">
        <w:rPr>
          <w:rStyle w:val="ab"/>
          <w:rFonts w:ascii="Times New Roman" w:hAnsi="Times New Roman" w:cs="Times New Roman"/>
          <w:color w:val="000000" w:themeColor="text1"/>
          <w:sz w:val="24"/>
          <w:szCs w:val="28"/>
        </w:rPr>
        <w:footnoteReference w:id="7"/>
      </w:r>
      <w:r w:rsidRPr="00223597">
        <w:rPr>
          <w:rFonts w:ascii="Times New Roman" w:hAnsi="Times New Roman" w:cs="Times New Roman"/>
          <w:color w:val="000000" w:themeColor="text1"/>
          <w:sz w:val="24"/>
          <w:szCs w:val="28"/>
        </w:rPr>
        <w:t xml:space="preserve"> Although the National </w:t>
      </w:r>
      <w:r w:rsidRPr="00223597">
        <w:rPr>
          <w:rFonts w:ascii="Times New Roman" w:hAnsi="Times New Roman" w:cs="Times New Roman"/>
          <w:color w:val="000000" w:themeColor="text1"/>
          <w:sz w:val="24"/>
          <w:szCs w:val="28"/>
        </w:rPr>
        <w:lastRenderedPageBreak/>
        <w:t>Health Insurance Service appealed the decision, the Supreme Court upheld the plaintiff’s victory on July 18, 2024 (Supreme Court Decision 2023Du36800), thereby finalizing the ruling.</w:t>
      </w:r>
    </w:p>
    <w:p w14:paraId="3B155351" w14:textId="40D46CBC" w:rsidR="007B046D" w:rsidRPr="00223597" w:rsidRDefault="00450608" w:rsidP="00C13A5A">
      <w:pPr>
        <w:numPr>
          <w:ilvl w:val="0"/>
          <w:numId w:val="9"/>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In Korea, transgender individuals are required to undergo gender</w:t>
      </w:r>
      <w:r w:rsidR="005211D7" w:rsidRPr="00223597">
        <w:rPr>
          <w:rFonts w:ascii="Times New Roman" w:hAnsi="Times New Roman" w:cs="Times New Roman" w:hint="eastAsia"/>
          <w:color w:val="000000" w:themeColor="text1"/>
          <w:sz w:val="24"/>
          <w:szCs w:val="28"/>
        </w:rPr>
        <w:t xml:space="preserve"> </w:t>
      </w:r>
      <w:r w:rsidRPr="00223597">
        <w:rPr>
          <w:rFonts w:ascii="Times New Roman" w:hAnsi="Times New Roman" w:cs="Times New Roman"/>
          <w:color w:val="000000" w:themeColor="text1"/>
          <w:sz w:val="24"/>
          <w:szCs w:val="28"/>
        </w:rPr>
        <w:t xml:space="preserve">affirming </w:t>
      </w:r>
      <w:r w:rsidR="005211D7" w:rsidRPr="00223597">
        <w:rPr>
          <w:rFonts w:ascii="Times New Roman" w:hAnsi="Times New Roman" w:cs="Times New Roman"/>
          <w:color w:val="000000" w:themeColor="text1"/>
          <w:sz w:val="24"/>
          <w:szCs w:val="28"/>
        </w:rPr>
        <w:t>genital</w:t>
      </w:r>
      <w:r w:rsidR="005211D7"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 xml:space="preserve">surgery at their own expense in order to legally change their gender. In its </w:t>
      </w:r>
      <w:proofErr w:type="spellStart"/>
      <w:r w:rsidRPr="00223597">
        <w:rPr>
          <w:rFonts w:ascii="Times New Roman" w:hAnsi="Times New Roman" w:cs="Times New Roman"/>
          <w:color w:val="000000" w:themeColor="text1"/>
          <w:sz w:val="24"/>
          <w:szCs w:val="28"/>
        </w:rPr>
        <w:t>en</w:t>
      </w:r>
      <w:proofErr w:type="spellEnd"/>
      <w:r w:rsidRPr="00223597">
        <w:rPr>
          <w:rFonts w:ascii="Times New Roman" w:hAnsi="Times New Roman" w:cs="Times New Roman"/>
          <w:color w:val="000000" w:themeColor="text1"/>
          <w:sz w:val="24"/>
          <w:szCs w:val="28"/>
        </w:rPr>
        <w:t xml:space="preserve"> banc decision on November 24, 2022 (Supreme Court Decision 2020Su616), the Supreme Court stated that decisions regarding legal gender recognition must aim to maximize the protection of fundamental rights as human beings. </w:t>
      </w:r>
      <w:r w:rsidR="00F943DE" w:rsidRPr="00223597">
        <w:rPr>
          <w:rFonts w:ascii="Times New Roman" w:hAnsi="Times New Roman" w:cs="Times New Roman"/>
          <w:color w:val="000000" w:themeColor="text1"/>
          <w:sz w:val="24"/>
          <w:szCs w:val="28"/>
        </w:rPr>
        <w:t>However, the Guidelines for the Handling of Legal Gender Recognition Applications by Transgender Individuals</w:t>
      </w:r>
      <w:r w:rsidR="00C13A5A" w:rsidRPr="00223597">
        <w:rPr>
          <w:rStyle w:val="ab"/>
          <w:rFonts w:ascii="Times New Roman" w:hAnsi="Times New Roman" w:cs="Times New Roman"/>
          <w:color w:val="000000" w:themeColor="text1"/>
          <w:sz w:val="24"/>
          <w:szCs w:val="28"/>
        </w:rPr>
        <w:footnoteReference w:id="8"/>
      </w:r>
      <w:r w:rsidR="00F943DE" w:rsidRPr="00223597">
        <w:rPr>
          <w:rFonts w:ascii="Times New Roman" w:hAnsi="Times New Roman" w:cs="Times New Roman"/>
          <w:color w:val="000000" w:themeColor="text1"/>
          <w:sz w:val="24"/>
          <w:szCs w:val="28"/>
        </w:rPr>
        <w:t>, which were expected to reflect the intent of the above Supreme Court decision, have not been revised. As a result, the completion of gender-affirming surgery and the removal of reproductive capacity continue to serve as de facto criteria in the assessment of legal gender recognition applications.</w:t>
      </w:r>
    </w:p>
    <w:p w14:paraId="3C2A1E92" w14:textId="7964E11F" w:rsidR="007B046D" w:rsidRPr="00223597" w:rsidRDefault="007D7DCE" w:rsidP="00275CBD">
      <w:pPr>
        <w:numPr>
          <w:ilvl w:val="0"/>
          <w:numId w:val="9"/>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Byun </w:t>
      </w:r>
      <w:proofErr w:type="spellStart"/>
      <w:r w:rsidRPr="00223597">
        <w:rPr>
          <w:rFonts w:ascii="Times New Roman" w:hAnsi="Times New Roman" w:cs="Times New Roman"/>
          <w:color w:val="000000" w:themeColor="text1"/>
          <w:sz w:val="24"/>
          <w:szCs w:val="28"/>
        </w:rPr>
        <w:t>Hee-soo</w:t>
      </w:r>
      <w:proofErr w:type="spellEnd"/>
      <w:r w:rsidRPr="00223597">
        <w:rPr>
          <w:rFonts w:ascii="Times New Roman" w:hAnsi="Times New Roman" w:cs="Times New Roman"/>
          <w:color w:val="000000" w:themeColor="text1"/>
          <w:sz w:val="24"/>
          <w:szCs w:val="28"/>
        </w:rPr>
        <w:t>, a transgender soldier, was forcibly discharged from the military on January 22, 2020, after being classified as having Level 3 physical and mental disability due to undergoing gender-affirming surgery from male to female during her military service. Despite her strong desire to continue serving in the military after the surgery, and the NHRCK recommending that the discharge be reversed on the grounds that it constituted a human rights violation, the recommendation was not accepted. On March 3, 2021, Byun was found dead by suicide at her home.</w:t>
      </w:r>
      <w:r w:rsidR="00275CBD"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On October 7, 2021, the Daejeon District Court ruled that the discharge should be annulled, stating that the discharge review should have been conducted on the basis of her legal gender as female. As the defendant, the Army Chief of Staff, did not appeal, the ruling became final.</w:t>
      </w:r>
    </w:p>
    <w:p w14:paraId="36E3A034" w14:textId="12587D31" w:rsidR="007B046D" w:rsidRPr="00223597" w:rsidRDefault="007B046D" w:rsidP="007B046D">
      <w:pPr>
        <w:numPr>
          <w:ilvl w:val="0"/>
          <w:numId w:val="9"/>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 NHRC</w:t>
      </w:r>
      <w:r w:rsidR="00275CBD" w:rsidRPr="00223597">
        <w:rPr>
          <w:rFonts w:ascii="Times New Roman" w:hAnsi="Times New Roman" w:cs="Times New Roman"/>
          <w:color w:val="000000" w:themeColor="text1"/>
          <w:sz w:val="24"/>
          <w:szCs w:val="28"/>
        </w:rPr>
        <w:t>K</w:t>
      </w:r>
      <w:r w:rsidRPr="00223597">
        <w:rPr>
          <w:rFonts w:ascii="Times New Roman" w:hAnsi="Times New Roman" w:cs="Times New Roman"/>
          <w:color w:val="000000" w:themeColor="text1"/>
          <w:sz w:val="24"/>
          <w:szCs w:val="28"/>
        </w:rPr>
        <w:t xml:space="preserve"> recommended in December 2021 that the government include questions on the size and status of sexual minorities in national surveys, such as the Population and Housing Census and the Survey on Family Structure. However, no official statistics on sexual minorities have been produced, and sexual minorities remain unrecognized as a population group in policymaking.</w:t>
      </w:r>
    </w:p>
    <w:p w14:paraId="5585CA93" w14:textId="77777777" w:rsidR="007B046D" w:rsidRPr="00223597" w:rsidRDefault="007B046D" w:rsidP="007B046D">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08B94186" w14:textId="77777777" w:rsidR="007B046D" w:rsidRPr="00223597" w:rsidRDefault="007B046D" w:rsidP="007B046D">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the State party’s position on the recommendation to repeal Article 92-6 of the Military Criminal Act.</w:t>
      </w:r>
    </w:p>
    <w:p w14:paraId="4613562B" w14:textId="77777777" w:rsidR="007B046D" w:rsidRPr="00223597" w:rsidRDefault="007B046D" w:rsidP="007B046D">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Since the Supreme Court ruling, what changes have there been in the investigation and prosecution of Article 92-6 violations? Are there related regulations or guidelines?</w:t>
      </w:r>
    </w:p>
    <w:p w14:paraId="18217C32" w14:textId="77777777" w:rsidR="00DB2A08" w:rsidRPr="00223597" w:rsidRDefault="00DB2A08" w:rsidP="00DB2A08">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lastRenderedPageBreak/>
        <w:t>Please provide information on how, following the Supreme Court’s final ruling in the case concerning the cancellation of the insurance contribution imposition (2023Du36800), discrimination against same-sex couples in de facto marital relationships has been addressed in areas beyond the recognition of dependents under the National Health Insurance scheme—such as survivors’ benefits, housing policy, and other relevant systems.</w:t>
      </w:r>
    </w:p>
    <w:p w14:paraId="686DF33D" w14:textId="77777777" w:rsidR="00DB2A08" w:rsidRPr="00223597" w:rsidRDefault="00DB2A08" w:rsidP="00DB2A08">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indicate whether, since the fourth review, there have been any cases in which transgender individuals have legally changed their gender without undergoing gender-affirming surgery. Additionally, please clarify whether any standards or guidelines regarding the military service of transgender personnel have been established following the case of the late Staff Sergeant Byun </w:t>
      </w:r>
      <w:proofErr w:type="spellStart"/>
      <w:r w:rsidRPr="00223597">
        <w:rPr>
          <w:rFonts w:ascii="Times New Roman" w:hAnsi="Times New Roman" w:cs="Times New Roman"/>
          <w:color w:val="000000" w:themeColor="text1"/>
          <w:sz w:val="24"/>
          <w:szCs w:val="28"/>
        </w:rPr>
        <w:t>Hee-soo</w:t>
      </w:r>
      <w:proofErr w:type="spellEnd"/>
      <w:r w:rsidRPr="00223597">
        <w:rPr>
          <w:rFonts w:ascii="Times New Roman" w:hAnsi="Times New Roman" w:cs="Times New Roman"/>
          <w:color w:val="000000" w:themeColor="text1"/>
          <w:sz w:val="24"/>
          <w:szCs w:val="28"/>
        </w:rPr>
        <w:t>.</w:t>
      </w:r>
    </w:p>
    <w:p w14:paraId="3313838D" w14:textId="46F0D239" w:rsidR="007B046D" w:rsidRPr="00223597" w:rsidRDefault="007B046D" w:rsidP="00FC5F9D">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the State party’s position and plans regarding the collection of data on sexual minorities.</w:t>
      </w:r>
    </w:p>
    <w:p w14:paraId="1C8643B8" w14:textId="77777777" w:rsidR="001D2C1E" w:rsidRPr="00223597" w:rsidRDefault="001D2C1E" w:rsidP="001772B8">
      <w:pPr>
        <w:rPr>
          <w:rFonts w:ascii="Times New Roman" w:hAnsi="Times New Roman" w:cs="Times New Roman"/>
          <w:b/>
          <w:bCs/>
          <w:color w:val="000000" w:themeColor="text1"/>
          <w:sz w:val="24"/>
          <w:szCs w:val="28"/>
        </w:rPr>
      </w:pPr>
    </w:p>
    <w:p w14:paraId="7C4C4059" w14:textId="5AB99497" w:rsidR="007B046D" w:rsidRPr="00223597" w:rsidRDefault="007B046D" w:rsidP="001772B8">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Issue 6: Labor Rights and Social Security for Foreigners, Refugees, and Migrant Workers (Concluding Observations paras. 27, 31, 70)</w:t>
      </w:r>
    </w:p>
    <w:p w14:paraId="144D8B00" w14:textId="77777777" w:rsidR="007B046D" w:rsidRPr="00223597" w:rsidRDefault="007B046D" w:rsidP="001772B8">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7DDA2B6E" w14:textId="4548C8AC" w:rsidR="007B046D" w:rsidRPr="00223597" w:rsidRDefault="00056FBF" w:rsidP="005B260B">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 Constitutional Court’s position remains unchanged in that whether foreigners can be holders of fundamental rights under the Constitution depends on the nature of each right. The Court has recognized that foreigners may be entitled to fundamental rights that are considered inherent to human beings in nature—such as human dignity and value, the right to pursue happiness, personal liberty, the inviolability of the home, the right to receive assistance from legal counsel, the right to a trial, and the right to minimum working conditions. However, it has held that social rights that involve claims against the state for economic and social policy measures are granted only to Korean nationals (Constitutional Court Decision 2004Hun-Ma670, rendered on August 30, 2007). In 2018, a constitutional amendment bill that proposed changing the term “citizens” to “persons” as the holders of fundamental rights was submitted to the National Assembly, but it failed to pass due to a lack of quorum.</w:t>
      </w:r>
    </w:p>
    <w:p w14:paraId="35C11026" w14:textId="24E0AEF0" w:rsidR="007B046D" w:rsidRPr="00223597" w:rsidRDefault="00E41712" w:rsidP="00E41712">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With regard to the application of social security schemes to foreigners, exceptions are made—excluding industrial accident compensation insurance—by limiting the scope of coverage or the range of benefits. The special provision under the National Basic Living Security Act (Article 5-2) concerning foreigners has remained unchanged since it was last amended on December 30, 2014.</w:t>
      </w:r>
    </w:p>
    <w:p w14:paraId="4A955EF1" w14:textId="77777777" w:rsidR="007B046D" w:rsidRPr="00223597" w:rsidRDefault="007B046D" w:rsidP="007B046D">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Since July 2019, foreigners and overseas Koreans residing in Korea for six months or longer have been subject to mandatory enrollment in the National Health Insurance as local subscribers. However, as it is difficult to assess the income and assets of foreigners, and they may leave the country at any time, their premiums are based on the average premium of all subscribers, significantly increasing their financial burden.</w:t>
      </w:r>
    </w:p>
    <w:p w14:paraId="5F6814EC" w14:textId="08E56891" w:rsidR="007B046D" w:rsidRPr="00223597" w:rsidRDefault="007B046D" w:rsidP="00A10582">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 2019 amendment to the Act on the Employment of Foreign Workers added inadequate dormitory conditions as a legitimate reason for changing workplaces without counting toward the allowed number of changes. However, the fundamental framework limiting workplace changes remains: three times during the initial three years and twice during the reemployment period of 22 months. I</w:t>
      </w:r>
      <w:r w:rsidR="00A10582" w:rsidRPr="00223597">
        <w:rPr>
          <w:rFonts w:ascii="Times New Roman" w:hAnsi="Times New Roman" w:cs="Times New Roman"/>
          <w:color w:val="000000" w:themeColor="text1"/>
          <w:sz w:val="24"/>
          <w:szCs w:val="28"/>
        </w:rPr>
        <w:t xml:space="preserve">n July 2023, the </w:t>
      </w:r>
      <w:r w:rsidR="00A10582" w:rsidRPr="00223597">
        <w:rPr>
          <w:rFonts w:ascii="Times New Roman" w:hAnsi="Times New Roman" w:cs="Times New Roman"/>
          <w:color w:val="000000" w:themeColor="text1"/>
          <w:sz w:val="24"/>
          <w:szCs w:val="28"/>
        </w:rPr>
        <w:lastRenderedPageBreak/>
        <w:t>Foreign Workforce Policy Committee decided to restrict the workplace change system for non-professional foreign workers under the Employment Permit System, allowing changes of workplace only within designated regions and industries.</w:t>
      </w:r>
    </w:p>
    <w:p w14:paraId="36F7859D" w14:textId="36F3357E" w:rsidR="007B046D" w:rsidRPr="00223597" w:rsidRDefault="00345F95" w:rsidP="00345F95">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On June 24, 2024, a fire broke out at a primary battery manufacturing plant located in </w:t>
      </w:r>
      <w:proofErr w:type="spellStart"/>
      <w:r w:rsidRPr="00223597">
        <w:rPr>
          <w:rFonts w:ascii="Times New Roman" w:hAnsi="Times New Roman" w:cs="Times New Roman"/>
          <w:color w:val="000000" w:themeColor="text1"/>
          <w:sz w:val="24"/>
          <w:szCs w:val="28"/>
        </w:rPr>
        <w:t>Hwaseong</w:t>
      </w:r>
      <w:proofErr w:type="spellEnd"/>
      <w:r w:rsidRPr="00223597">
        <w:rPr>
          <w:rFonts w:ascii="Times New Roman" w:hAnsi="Times New Roman" w:cs="Times New Roman"/>
          <w:color w:val="000000" w:themeColor="text1"/>
          <w:sz w:val="24"/>
          <w:szCs w:val="28"/>
        </w:rPr>
        <w:t>, Gyeonggi Province, resulting in the deaths of 23 workers. It was later confirmed that 18 of the deceased were foreign workers. The proportion and number of foreign nationals among all occupational accident fatalities were 7% (78 deaths) in 2010, 11.7% (114 deaths) in 2018, and 12.3% (102 deaths) in 2024.</w:t>
      </w:r>
    </w:p>
    <w:p w14:paraId="50CDB6BE" w14:textId="74F4C1BE" w:rsidR="007B046D" w:rsidRPr="00223597" w:rsidRDefault="00682DD3" w:rsidP="006C28FE">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In July 2023, the Act on Registration of Family Relations was amended to introduce a </w:t>
      </w:r>
      <w:r w:rsidR="00601572" w:rsidRPr="00223597">
        <w:rPr>
          <w:rFonts w:ascii="Times New Roman" w:hAnsi="Times New Roman" w:cs="Times New Roman" w:hint="eastAsia"/>
          <w:color w:val="000000" w:themeColor="text1"/>
          <w:sz w:val="24"/>
          <w:szCs w:val="28"/>
        </w:rPr>
        <w:t xml:space="preserve">mandatory </w:t>
      </w:r>
      <w:r w:rsidRPr="00223597">
        <w:rPr>
          <w:rFonts w:ascii="Times New Roman" w:hAnsi="Times New Roman" w:cs="Times New Roman"/>
          <w:color w:val="000000" w:themeColor="text1"/>
          <w:sz w:val="24"/>
          <w:szCs w:val="28"/>
        </w:rPr>
        <w:t>birth notification system for Korean children, which has been in effect since July 2024. While this represents legislative progress from a child rights perspective, foreign children are not included under the scope of this law. In response, a bill titled the Act on the Birth Registration of Foreign Children, which aimed to establish procedures for birth registration of foreign children born in Korea and impose notification obligations on medical professionals and other relevant parties, was proposed but discarded due to the expiration of the 21st National Assembly's term. As of now, three similar bills have been proposed in the 22nd National Assembly.</w:t>
      </w:r>
    </w:p>
    <w:p w14:paraId="7EE887A3" w14:textId="3EC4B4B5" w:rsidR="007B046D" w:rsidRPr="00223597" w:rsidRDefault="006C28FE" w:rsidP="0042368E">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Migrant children, except in cases where support is provided by certain local governments, are not eligible for childcare subsidies. Furthermore, undocumented migrant children are excluded even from the support provided by local governments.</w:t>
      </w:r>
      <w:r w:rsidR="0042368E" w:rsidRPr="00223597">
        <w:rPr>
          <w:rStyle w:val="ab"/>
          <w:rFonts w:ascii="Times New Roman" w:hAnsi="Times New Roman" w:cs="Times New Roman"/>
          <w:color w:val="000000" w:themeColor="text1"/>
          <w:sz w:val="24"/>
          <w:szCs w:val="28"/>
        </w:rPr>
        <w:footnoteReference w:id="9"/>
      </w:r>
    </w:p>
    <w:p w14:paraId="40BC48AE" w14:textId="209653D5" w:rsidR="00DB2ADB" w:rsidRPr="00223597" w:rsidRDefault="00DB2ADB" w:rsidP="00DB2ADB">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Article 31 of the Refugee Act stipulates that recognized refugees shall receive the same level of social security as nationals. However, individual laws and administrative guidelines often restrict eligibility to “nationals” or require “resident registration,” resulting in cases where even recognized refugees are denied the treatment guaranteed under the Refugee Act.</w:t>
      </w:r>
      <w:r w:rsidR="00F3507F" w:rsidRPr="00223597">
        <w:rPr>
          <w:rStyle w:val="ab"/>
          <w:rFonts w:ascii="Times New Roman" w:hAnsi="Times New Roman" w:cs="Times New Roman"/>
          <w:color w:val="000000" w:themeColor="text1"/>
          <w:sz w:val="24"/>
          <w:szCs w:val="28"/>
        </w:rPr>
        <w:footnoteReference w:id="10"/>
      </w:r>
      <w:r w:rsidRPr="00223597">
        <w:rPr>
          <w:rFonts w:ascii="Times New Roman" w:hAnsi="Times New Roman" w:cs="Times New Roman"/>
          <w:color w:val="000000" w:themeColor="text1"/>
          <w:sz w:val="24"/>
          <w:szCs w:val="28"/>
        </w:rPr>
        <w:t xml:space="preserve"> Furthermore, the Ministry of Justice, which oversees the Refugee Act, announced a draft amendment on December 12, 2023, proposing to add subparagraph 5 to Article 19 of the Act</w:t>
      </w:r>
      <w:r w:rsidR="000D0ED8" w:rsidRPr="00223597">
        <w:rPr>
          <w:rStyle w:val="ab"/>
          <w:rFonts w:ascii="Times New Roman" w:hAnsi="Times New Roman" w:cs="Times New Roman"/>
          <w:color w:val="000000" w:themeColor="text1"/>
          <w:sz w:val="24"/>
          <w:szCs w:val="28"/>
        </w:rPr>
        <w:footnoteReference w:id="11"/>
      </w:r>
      <w:r w:rsidRPr="00223597">
        <w:rPr>
          <w:rFonts w:ascii="Times New Roman" w:hAnsi="Times New Roman" w:cs="Times New Roman"/>
          <w:color w:val="000000" w:themeColor="text1"/>
          <w:sz w:val="24"/>
          <w:szCs w:val="28"/>
        </w:rPr>
        <w:t xml:space="preserve"> to expand the grounds for exclusion from refugee recognition. This amendment also includes provisions to allow for the cancellation and withdrawal of refugee status based on those grounds. The proposed amendment was submitted to the National Assembly on September 23, 2024.</w:t>
      </w:r>
    </w:p>
    <w:p w14:paraId="0F29124F" w14:textId="0BCB2F25" w:rsidR="007B046D" w:rsidRPr="00223597" w:rsidRDefault="00200DF2" w:rsidP="00200DF2">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A large number of workers employed in the agriculture, livestock, and fisheries sectors are foreign nationals or individuals in vulnerable positions within the labor market. Labor standards such as working hours, rest breaks, and holidays under the Labor Standards Act do not apply to these workers. As a result, they are more exposed to risks of industrial accidents, including long working hours and extreme weather conditions such as heatwaves and cold spells caused by the climate crisis.</w:t>
      </w:r>
    </w:p>
    <w:p w14:paraId="32386F63" w14:textId="269BC246" w:rsidR="0007293D" w:rsidRPr="00223597" w:rsidRDefault="0007293D" w:rsidP="0007293D">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lastRenderedPageBreak/>
        <w:t xml:space="preserve">The death of a migrant worker living in greenhouse during the harsh winter of 2020 brought public attention to the poor housing conditions faced by migrant agricultural workers. In response, the </w:t>
      </w:r>
      <w:r w:rsidR="004622B1" w:rsidRPr="00223597">
        <w:rPr>
          <w:rFonts w:ascii="Times New Roman" w:hAnsi="Times New Roman" w:cs="Times New Roman"/>
          <w:color w:val="000000" w:themeColor="text1"/>
          <w:sz w:val="24"/>
          <w:szCs w:val="28"/>
        </w:rPr>
        <w:t xml:space="preserve">NHRCK </w:t>
      </w:r>
      <w:r w:rsidRPr="00223597">
        <w:rPr>
          <w:rFonts w:ascii="Times New Roman" w:hAnsi="Times New Roman" w:cs="Times New Roman"/>
          <w:color w:val="000000" w:themeColor="text1"/>
          <w:sz w:val="24"/>
          <w:szCs w:val="28"/>
        </w:rPr>
        <w:t>recommended the establishment of legal housing standards for migrant workers, the revision of the “Guidelines on the Provision of Accommodation Information and the Collection of Accommodation Fees for Foreign Workers,” the construction of public dormitories for agricultural migrant workers, and a ban on the advance deduction of accommodation and meal costs by employers.</w:t>
      </w:r>
      <w:r w:rsidR="003D1FEB" w:rsidRPr="00223597">
        <w:rPr>
          <w:rStyle w:val="ab"/>
          <w:rFonts w:ascii="Times New Roman" w:hAnsi="Times New Roman" w:cs="Times New Roman"/>
          <w:color w:val="000000" w:themeColor="text1"/>
          <w:sz w:val="24"/>
          <w:szCs w:val="28"/>
        </w:rPr>
        <w:footnoteReference w:id="12"/>
      </w:r>
    </w:p>
    <w:p w14:paraId="7D96278E" w14:textId="1E1B4BED" w:rsidR="00D61D54" w:rsidRPr="00223597" w:rsidRDefault="00D61D54" w:rsidP="00D61D54">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In August 2024, 100 Filipino domestic workers arrived in Seoul, and as of February 2025, 98 of them are providing care services. These workers are employed by government-certified service providers and are guaranteed the minimum wage and coverage under the four major social insurance programs. However, on March 24, 2025, the Seoul Metropolitan Government announced a pilot project in collaboration with the Ministry of Justice to allow foreign nationals residing in Korea to engage in domestic and childcare work. This pilot adopts a private contract system based on individual agreements between domestic workers and client households, meaning that labor laws such as minimum wage protections do not apply.</w:t>
      </w:r>
    </w:p>
    <w:p w14:paraId="60ACD190" w14:textId="77777777" w:rsidR="007B046D" w:rsidRPr="00223597" w:rsidRDefault="007B046D" w:rsidP="003D6D1A">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60F07B85" w14:textId="69B1489A" w:rsidR="007B046D" w:rsidRPr="00223597" w:rsidRDefault="00AE64A9" w:rsidP="00AE64A9">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provide data to assess the progress in the enjoyment of </w:t>
      </w:r>
      <w:r w:rsidR="00AD4791" w:rsidRPr="00223597">
        <w:rPr>
          <w:rFonts w:ascii="Times New Roman" w:hAnsi="Times New Roman" w:cs="Times New Roman"/>
          <w:color w:val="000000" w:themeColor="text1"/>
          <w:sz w:val="24"/>
          <w:szCs w:val="28"/>
        </w:rPr>
        <w:t xml:space="preserve">the </w:t>
      </w:r>
      <w:r w:rsidRPr="00223597">
        <w:rPr>
          <w:rFonts w:ascii="Times New Roman" w:hAnsi="Times New Roman" w:cs="Times New Roman"/>
          <w:color w:val="000000" w:themeColor="text1"/>
          <w:sz w:val="24"/>
          <w:szCs w:val="28"/>
        </w:rPr>
        <w:t>rights</w:t>
      </w:r>
      <w:r w:rsidR="00AD4791" w:rsidRPr="00223597">
        <w:rPr>
          <w:rFonts w:ascii="Times New Roman" w:hAnsi="Times New Roman" w:cs="Times New Roman"/>
          <w:color w:val="000000" w:themeColor="text1"/>
          <w:sz w:val="24"/>
          <w:szCs w:val="28"/>
        </w:rPr>
        <w:t xml:space="preserve"> under the </w:t>
      </w:r>
      <w:r w:rsidR="003D6D1A" w:rsidRPr="00223597">
        <w:rPr>
          <w:rFonts w:ascii="Times New Roman" w:hAnsi="Times New Roman" w:cs="Times New Roman"/>
          <w:color w:val="000000" w:themeColor="text1"/>
          <w:sz w:val="24"/>
          <w:szCs w:val="28"/>
        </w:rPr>
        <w:t>C</w:t>
      </w:r>
      <w:r w:rsidR="00AD4791" w:rsidRPr="00223597">
        <w:rPr>
          <w:rFonts w:ascii="Times New Roman" w:hAnsi="Times New Roman" w:cs="Times New Roman"/>
          <w:color w:val="000000" w:themeColor="text1"/>
          <w:sz w:val="24"/>
          <w:szCs w:val="28"/>
        </w:rPr>
        <w:t>onvention</w:t>
      </w:r>
      <w:r w:rsidRPr="00223597">
        <w:rPr>
          <w:rFonts w:ascii="Times New Roman" w:hAnsi="Times New Roman" w:cs="Times New Roman"/>
          <w:color w:val="000000" w:themeColor="text1"/>
          <w:sz w:val="24"/>
          <w:szCs w:val="28"/>
        </w:rPr>
        <w:t xml:space="preserve"> by foreigners, including the number of foreigners residing in the country, the number of refugee applicants and recognized refugees (by nationality), the number of foreign children </w:t>
      </w:r>
      <w:r w:rsidR="0040445D" w:rsidRPr="00223597">
        <w:rPr>
          <w:rFonts w:ascii="Times New Roman" w:hAnsi="Times New Roman" w:cs="Times New Roman"/>
          <w:color w:val="000000" w:themeColor="text1"/>
          <w:sz w:val="24"/>
          <w:szCs w:val="28"/>
        </w:rPr>
        <w:t>born in Korea</w:t>
      </w:r>
      <w:r w:rsidRPr="00223597">
        <w:rPr>
          <w:rFonts w:ascii="Times New Roman" w:hAnsi="Times New Roman" w:cs="Times New Roman"/>
          <w:color w:val="000000" w:themeColor="text1"/>
          <w:sz w:val="24"/>
          <w:szCs w:val="28"/>
        </w:rPr>
        <w:t>, the number of foreign children without birth registration or foreigner registration, statistics on foreigners receiving basic livelihood security benefits, immigrant unemployment rates and statistics on unemployment benefits paid to foreigners, as well as foreigners’ health insurance enrollment rates and data on benefit limitations</w:t>
      </w:r>
      <w:r w:rsidR="00CD5B39" w:rsidRPr="00223597">
        <w:rPr>
          <w:rFonts w:ascii="Times New Roman" w:hAnsi="Times New Roman" w:cs="Times New Roman"/>
          <w:color w:val="000000" w:themeColor="text1"/>
          <w:sz w:val="24"/>
          <w:szCs w:val="28"/>
        </w:rPr>
        <w:t xml:space="preserve"> since the fourth review</w:t>
      </w:r>
      <w:r w:rsidR="007B046D" w:rsidRPr="00223597">
        <w:rPr>
          <w:rFonts w:ascii="Times New Roman" w:hAnsi="Times New Roman" w:cs="Times New Roman"/>
          <w:color w:val="000000" w:themeColor="text1"/>
          <w:sz w:val="24"/>
          <w:szCs w:val="28"/>
        </w:rPr>
        <w:t>.</w:t>
      </w:r>
    </w:p>
    <w:p w14:paraId="04BF80FA" w14:textId="4158988D" w:rsidR="007B046D" w:rsidRPr="00223597" w:rsidRDefault="007B046D" w:rsidP="007B046D">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plans for addressing</w:t>
      </w:r>
      <w:r w:rsidR="00C168E1" w:rsidRPr="00223597">
        <w:rPr>
          <w:rFonts w:ascii="Times New Roman" w:hAnsi="Times New Roman" w:cs="Times New Roman"/>
          <w:color w:val="000000" w:themeColor="text1"/>
          <w:sz w:val="24"/>
          <w:szCs w:val="28"/>
        </w:rPr>
        <w:t xml:space="preserve"> any</w:t>
      </w:r>
      <w:r w:rsidRPr="00223597">
        <w:rPr>
          <w:rFonts w:ascii="Times New Roman" w:hAnsi="Times New Roman" w:cs="Times New Roman"/>
          <w:color w:val="000000" w:themeColor="text1"/>
          <w:sz w:val="24"/>
          <w:szCs w:val="28"/>
        </w:rPr>
        <w:t xml:space="preserve"> discriminatory treatment of foreigners in relation to the right to health.</w:t>
      </w:r>
    </w:p>
    <w:p w14:paraId="41C39A43" w14:textId="77777777" w:rsidR="007B046D" w:rsidRPr="00223597" w:rsidRDefault="007B046D" w:rsidP="007B046D">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indicate whether the State party plans to ease restrictions on workplace changes for non-professional foreign workers under the Employment Permit System, given the Committee’s recommendation to abolish such restrictions.</w:t>
      </w:r>
    </w:p>
    <w:p w14:paraId="0801D2F6" w14:textId="4EAFB0CB" w:rsidR="007B046D" w:rsidRPr="00223597" w:rsidRDefault="009B2773" w:rsidP="009B2773">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relevant statistics on the number and proportion of industrial accident fatalities classified by nationals and foreigners. Additionally, please inform us about the policies being implemented to reduce industrial accidents among foreign workers and their effectiveness.</w:t>
      </w:r>
    </w:p>
    <w:p w14:paraId="4906D9F2" w14:textId="56861639" w:rsidR="007B046D" w:rsidRPr="00223597" w:rsidRDefault="00A4420D" w:rsidP="00A4420D">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provide details on the key features and implementation timeline of the “birth registration system for foreign children” reported in paragraph 26 of the State party’s report. In addition, please indicate whether the March 2020 recommendation of the </w:t>
      </w:r>
      <w:r w:rsidR="00EA3A30" w:rsidRPr="00223597">
        <w:rPr>
          <w:rFonts w:ascii="Times New Roman" w:hAnsi="Times New Roman" w:cs="Times New Roman"/>
          <w:color w:val="000000" w:themeColor="text1"/>
          <w:sz w:val="24"/>
          <w:szCs w:val="28"/>
        </w:rPr>
        <w:t>NHRCK</w:t>
      </w:r>
      <w:r w:rsidR="00435D1F" w:rsidRPr="00223597">
        <w:rPr>
          <w:rFonts w:ascii="Times New Roman" w:hAnsi="Times New Roman" w:cs="Times New Roman"/>
          <w:color w:val="000000" w:themeColor="text1"/>
          <w:sz w:val="24"/>
          <w:szCs w:val="28"/>
        </w:rPr>
        <w:t xml:space="preserve"> t</w:t>
      </w:r>
      <w:r w:rsidRPr="00223597">
        <w:rPr>
          <w:rFonts w:ascii="Times New Roman" w:hAnsi="Times New Roman" w:cs="Times New Roman"/>
          <w:color w:val="000000" w:themeColor="text1"/>
          <w:sz w:val="24"/>
          <w:szCs w:val="28"/>
        </w:rPr>
        <w:t>o cease the unconditional deportation of undocumented migrant children with long-term residence and to establish a system for granting appropriate residency status based on specific and transparent criteria that take into account the best interests of the child</w:t>
      </w:r>
      <w:r w:rsidR="00435D1F"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 xml:space="preserve">has been implemented, and if so, provide information on the </w:t>
      </w:r>
      <w:r w:rsidRPr="00223597">
        <w:rPr>
          <w:rFonts w:ascii="Times New Roman" w:hAnsi="Times New Roman" w:cs="Times New Roman"/>
          <w:color w:val="000000" w:themeColor="text1"/>
          <w:sz w:val="24"/>
          <w:szCs w:val="28"/>
        </w:rPr>
        <w:lastRenderedPageBreak/>
        <w:t>implementation plan.</w:t>
      </w:r>
    </w:p>
    <w:p w14:paraId="7B05DC51" w14:textId="77777777" w:rsidR="002A6A9B" w:rsidRPr="00223597" w:rsidRDefault="002A6A9B" w:rsidP="002A6A9B">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Civil society has expressed concerns and opposition regarding the government-led 2023 partial amendment bill to the Refugee Act, which seeks to expand the grounds for restricting refugee recognition. Please explain how the government plans to address and alleviate these concerns moving forward.</w:t>
      </w:r>
    </w:p>
    <w:p w14:paraId="7BF34217" w14:textId="77777777" w:rsidR="00FE247D" w:rsidRPr="00223597" w:rsidRDefault="00FE247D" w:rsidP="00FE247D">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a detailed explanation of the reasons why it is difficult to apply labor standards such as working hours, rest breaks, and holidays without discrimination to workers in the agriculture, livestock, and fisheries sectors. Also, specify the challenges that need to be addressed in order to ensure such standards can be applied in the future.</w:t>
      </w:r>
    </w:p>
    <w:p w14:paraId="76BC7F62" w14:textId="02DC7DED" w:rsidR="007B046D" w:rsidRPr="00223597" w:rsidRDefault="007B046D" w:rsidP="007B046D">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the State party’s implementation of the NHRC</w:t>
      </w:r>
      <w:r w:rsidR="00FA415D" w:rsidRPr="00223597">
        <w:rPr>
          <w:rFonts w:ascii="Times New Roman" w:hAnsi="Times New Roman" w:cs="Times New Roman"/>
          <w:color w:val="000000" w:themeColor="text1"/>
          <w:sz w:val="24"/>
          <w:szCs w:val="28"/>
        </w:rPr>
        <w:t>K</w:t>
      </w:r>
      <w:r w:rsidRPr="00223597">
        <w:rPr>
          <w:rFonts w:ascii="Times New Roman" w:hAnsi="Times New Roman" w:cs="Times New Roman"/>
          <w:color w:val="000000" w:themeColor="text1"/>
          <w:sz w:val="24"/>
          <w:szCs w:val="28"/>
        </w:rPr>
        <w:t>’s recommendations on housing standards for migrant workers and prohibition of pre-deducting housing costs, as well as future plans.</w:t>
      </w:r>
    </w:p>
    <w:p w14:paraId="389F89A2" w14:textId="420F7B37" w:rsidR="007B046D" w:rsidRPr="00223597" w:rsidRDefault="007B046D" w:rsidP="00FC5F9D">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provide the State party’s position on criticism that the pilot program for foreign domestic workers </w:t>
      </w:r>
      <w:r w:rsidR="00FA415D" w:rsidRPr="00223597">
        <w:rPr>
          <w:rFonts w:ascii="Times New Roman" w:hAnsi="Times New Roman" w:cs="Times New Roman"/>
          <w:color w:val="000000" w:themeColor="text1"/>
          <w:sz w:val="24"/>
          <w:szCs w:val="28"/>
        </w:rPr>
        <w:t xml:space="preserve">by the Seoul Metropolitan Government and the Ministry of Justice </w:t>
      </w:r>
      <w:r w:rsidRPr="00223597">
        <w:rPr>
          <w:rFonts w:ascii="Times New Roman" w:hAnsi="Times New Roman" w:cs="Times New Roman"/>
          <w:color w:val="000000" w:themeColor="text1"/>
          <w:sz w:val="24"/>
          <w:szCs w:val="28"/>
        </w:rPr>
        <w:t>creates a loophole in labor protections by relying on individual contracts that exclude workers from minimum wage and labor law coverage.</w:t>
      </w:r>
    </w:p>
    <w:p w14:paraId="74C0E74E" w14:textId="77777777" w:rsidR="001D2C1E" w:rsidRPr="00223597" w:rsidRDefault="001D2C1E" w:rsidP="00BD73D7">
      <w:pPr>
        <w:rPr>
          <w:rFonts w:ascii="Times New Roman" w:hAnsi="Times New Roman" w:cs="Times New Roman"/>
          <w:b/>
          <w:bCs/>
          <w:color w:val="000000" w:themeColor="text1"/>
          <w:sz w:val="24"/>
          <w:szCs w:val="28"/>
        </w:rPr>
      </w:pPr>
    </w:p>
    <w:p w14:paraId="36AB3DE9" w14:textId="277682AA" w:rsidR="00BD73D7" w:rsidRPr="00223597" w:rsidRDefault="007B046D" w:rsidP="00BD73D7">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 xml:space="preserve">Issue 7: </w:t>
      </w:r>
      <w:r w:rsidR="00BD73D7" w:rsidRPr="00223597">
        <w:rPr>
          <w:rFonts w:ascii="Times New Roman" w:hAnsi="Times New Roman" w:cs="Times New Roman"/>
          <w:b/>
          <w:bCs/>
          <w:color w:val="000000" w:themeColor="text1"/>
          <w:sz w:val="24"/>
          <w:szCs w:val="28"/>
        </w:rPr>
        <w:t xml:space="preserve">Workers in non-standard forms of employment, such as </w:t>
      </w:r>
      <w:r w:rsidR="00E07225" w:rsidRPr="00223597">
        <w:rPr>
          <w:rFonts w:ascii="Times New Roman" w:hAnsi="Times New Roman" w:cs="Times New Roman"/>
          <w:b/>
          <w:bCs/>
          <w:color w:val="000000" w:themeColor="text1"/>
          <w:sz w:val="24"/>
          <w:szCs w:val="28"/>
        </w:rPr>
        <w:t>persons in special type of employment and</w:t>
      </w:r>
      <w:r w:rsidR="00BD73D7" w:rsidRPr="00223597">
        <w:rPr>
          <w:rFonts w:ascii="Times New Roman" w:hAnsi="Times New Roman" w:cs="Times New Roman"/>
          <w:b/>
          <w:bCs/>
          <w:color w:val="000000" w:themeColor="text1"/>
          <w:sz w:val="24"/>
          <w:szCs w:val="28"/>
        </w:rPr>
        <w:t xml:space="preserve"> platform workers</w:t>
      </w:r>
      <w:r w:rsidR="001D2C1E" w:rsidRPr="00223597">
        <w:rPr>
          <w:rFonts w:ascii="Times New Roman" w:hAnsi="Times New Roman" w:cs="Times New Roman"/>
          <w:b/>
          <w:bCs/>
          <w:color w:val="000000" w:themeColor="text1"/>
          <w:sz w:val="24"/>
          <w:szCs w:val="28"/>
        </w:rPr>
        <w:t xml:space="preserve"> </w:t>
      </w:r>
      <w:r w:rsidR="00BD73D7" w:rsidRPr="00223597">
        <w:rPr>
          <w:rFonts w:ascii="Times New Roman" w:hAnsi="Times New Roman" w:cs="Times New Roman"/>
          <w:b/>
          <w:bCs/>
          <w:color w:val="000000" w:themeColor="text1"/>
          <w:sz w:val="24"/>
          <w:szCs w:val="28"/>
        </w:rPr>
        <w:t xml:space="preserve">(Concluding Observations para. 29) </w:t>
      </w:r>
    </w:p>
    <w:p w14:paraId="629317F0" w14:textId="77777777" w:rsidR="007B046D" w:rsidRPr="00223597" w:rsidRDefault="007B046D" w:rsidP="00A552F7">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47F94F6D" w14:textId="79313A94" w:rsidR="006C29CC" w:rsidRPr="00223597" w:rsidRDefault="006C29CC" w:rsidP="006C29CC">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There has been a continued increase in the number of workers engaged in non-standard forms of employment, such as </w:t>
      </w:r>
      <w:r w:rsidR="00E07225" w:rsidRPr="00223597">
        <w:rPr>
          <w:rFonts w:ascii="Times New Roman" w:hAnsi="Times New Roman" w:cs="Times New Roman"/>
          <w:color w:val="000000" w:themeColor="text1"/>
          <w:sz w:val="24"/>
          <w:szCs w:val="28"/>
        </w:rPr>
        <w:t>persons in special type</w:t>
      </w:r>
      <w:r w:rsidR="00A552F7" w:rsidRPr="00223597">
        <w:rPr>
          <w:rFonts w:ascii="Times New Roman" w:hAnsi="Times New Roman" w:cs="Times New Roman"/>
          <w:color w:val="000000" w:themeColor="text1"/>
          <w:sz w:val="24"/>
          <w:szCs w:val="28"/>
        </w:rPr>
        <w:t>s</w:t>
      </w:r>
      <w:r w:rsidR="00E07225" w:rsidRPr="00223597">
        <w:rPr>
          <w:rFonts w:ascii="Times New Roman" w:hAnsi="Times New Roman" w:cs="Times New Roman"/>
          <w:color w:val="000000" w:themeColor="text1"/>
          <w:sz w:val="24"/>
          <w:szCs w:val="28"/>
        </w:rPr>
        <w:t xml:space="preserve"> of employment </w:t>
      </w:r>
      <w:r w:rsidRPr="00223597">
        <w:rPr>
          <w:rFonts w:ascii="Times New Roman" w:hAnsi="Times New Roman" w:cs="Times New Roman"/>
          <w:color w:val="000000" w:themeColor="text1"/>
          <w:sz w:val="24"/>
          <w:szCs w:val="28"/>
        </w:rPr>
        <w:t>and platform workers, who differ from employees working under formal labor contracts. These workers are typically classified as “independent contractors” because they enter into service contracts with the parties to whom they provide labor, and as a result, they are not protected under the Labor Standards Act and the Trade Union and Labor Relations Adjustment Act (hereinafter “Trade Union Act”). Although the scope of coverage under the Industrial Accident Compensation Insurance Act and the Employment Insurance Act has been gradually expanding, the approach remains exceptional, applying only to certain occupations specifically listed in special provisions or enforcement decrees.</w:t>
      </w:r>
    </w:p>
    <w:p w14:paraId="7F1788D6" w14:textId="77777777" w:rsidR="00AC281A" w:rsidRPr="00223597" w:rsidRDefault="00AC281A" w:rsidP="00AC281A">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Platform workers are typically paid based on a unit rate per task, and their actual income is determined after deducting the commission fees charged by the platform. These commission rates, which range from as low as 5–10% to as high as 20–30%, have raised concerns due to their excessive nature.</w:t>
      </w:r>
    </w:p>
    <w:p w14:paraId="0AB29628" w14:textId="3818E3E9" w:rsidR="007B046D" w:rsidRPr="00223597" w:rsidRDefault="0001592E" w:rsidP="00591319">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In March 2021, a bill titled the “Act on the Protection and Support of Platform Workers” was proposed to safeguard the fundamental rights and interests of platform workers. In relation to this bill, the NHRCK expressed the view that it was necessary to include a legal presumption of employee status for platform workers who provide labor through platforms that influence the allocation of work</w:t>
      </w:r>
      <w:r w:rsidR="00591319" w:rsidRPr="00223597">
        <w:rPr>
          <w:rStyle w:val="ab"/>
          <w:rFonts w:ascii="Times New Roman" w:hAnsi="Times New Roman" w:cs="Times New Roman"/>
          <w:color w:val="000000" w:themeColor="text1"/>
          <w:sz w:val="24"/>
          <w:szCs w:val="28"/>
        </w:rPr>
        <w:footnoteReference w:id="13"/>
      </w:r>
      <w:r w:rsidRPr="00223597">
        <w:rPr>
          <w:rFonts w:ascii="Times New Roman" w:hAnsi="Times New Roman" w:cs="Times New Roman"/>
          <w:color w:val="000000" w:themeColor="text1"/>
          <w:sz w:val="24"/>
          <w:szCs w:val="28"/>
        </w:rPr>
        <w:t xml:space="preserve">. The Commission also </w:t>
      </w:r>
      <w:r w:rsidRPr="00223597">
        <w:rPr>
          <w:rFonts w:ascii="Times New Roman" w:hAnsi="Times New Roman" w:cs="Times New Roman"/>
          <w:color w:val="000000" w:themeColor="text1"/>
          <w:sz w:val="24"/>
          <w:szCs w:val="28"/>
        </w:rPr>
        <w:lastRenderedPageBreak/>
        <w:t>recommended supplementing the bill with provisions explicitly guaranteeing collective rights such as the right to organize and collective bargaining, as well as regulations on commission rates. However, the bill was discarded due to the expiration of the 21st National Assembly’s term.</w:t>
      </w:r>
      <w:r w:rsidR="00591319"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In the 22nd National Assembly, an amendment to the Labor Standards Act has been proposed to expand the definition of “worker” by introducing the principle of presumed employee status for individuals providing labor.</w:t>
      </w:r>
    </w:p>
    <w:p w14:paraId="534D4DE7" w14:textId="5909E05B" w:rsidR="00140BA2" w:rsidRPr="00223597" w:rsidRDefault="00140BA2" w:rsidP="00140BA2">
      <w:pPr>
        <w:pStyle w:val="a6"/>
        <w:widowControl/>
        <w:numPr>
          <w:ilvl w:val="0"/>
          <w:numId w:val="10"/>
        </w:numPr>
        <w:wordWrap/>
        <w:autoSpaceDE/>
        <w:autoSpaceDN/>
        <w:spacing w:before="100" w:beforeAutospacing="1" w:after="100" w:afterAutospacing="1"/>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In paragraph 33 of its fifth periodic report, the government outlines its plan to promote legislation to protect all labor providers, including </w:t>
      </w:r>
      <w:r w:rsidR="00191596" w:rsidRPr="00223597">
        <w:rPr>
          <w:rFonts w:ascii="Times New Roman" w:hAnsi="Times New Roman" w:cs="Times New Roman"/>
          <w:color w:val="000000" w:themeColor="text1"/>
          <w:sz w:val="24"/>
          <w:szCs w:val="28"/>
        </w:rPr>
        <w:t xml:space="preserve">persons in </w:t>
      </w:r>
      <w:r w:rsidRPr="00223597">
        <w:rPr>
          <w:rFonts w:ascii="Times New Roman" w:hAnsi="Times New Roman" w:cs="Times New Roman"/>
          <w:color w:val="000000" w:themeColor="text1"/>
          <w:sz w:val="24"/>
          <w:szCs w:val="28"/>
        </w:rPr>
        <w:t>specia</w:t>
      </w:r>
      <w:r w:rsidR="00191596" w:rsidRPr="00223597">
        <w:rPr>
          <w:rFonts w:ascii="Times New Roman" w:hAnsi="Times New Roman" w:cs="Times New Roman"/>
          <w:color w:val="000000" w:themeColor="text1"/>
          <w:sz w:val="24"/>
          <w:szCs w:val="28"/>
        </w:rPr>
        <w:t xml:space="preserve">l </w:t>
      </w:r>
      <w:r w:rsidRPr="00223597">
        <w:rPr>
          <w:rFonts w:ascii="Times New Roman" w:hAnsi="Times New Roman" w:cs="Times New Roman"/>
          <w:color w:val="000000" w:themeColor="text1"/>
          <w:sz w:val="24"/>
          <w:szCs w:val="28"/>
        </w:rPr>
        <w:t>type</w:t>
      </w:r>
      <w:r w:rsidR="00B42443" w:rsidRPr="00223597">
        <w:rPr>
          <w:rFonts w:ascii="Times New Roman" w:hAnsi="Times New Roman" w:cs="Times New Roman"/>
          <w:color w:val="000000" w:themeColor="text1"/>
          <w:sz w:val="24"/>
          <w:szCs w:val="28"/>
        </w:rPr>
        <w:t>s</w:t>
      </w:r>
      <w:r w:rsidR="00191596" w:rsidRPr="00223597">
        <w:rPr>
          <w:rFonts w:ascii="Times New Roman" w:hAnsi="Times New Roman" w:cs="Times New Roman"/>
          <w:color w:val="000000" w:themeColor="text1"/>
          <w:sz w:val="24"/>
          <w:szCs w:val="28"/>
        </w:rPr>
        <w:t xml:space="preserve"> of employment.</w:t>
      </w:r>
      <w:r w:rsidRPr="00223597">
        <w:rPr>
          <w:rFonts w:ascii="Times New Roman" w:hAnsi="Times New Roman" w:cs="Times New Roman"/>
          <w:color w:val="000000" w:themeColor="text1"/>
          <w:sz w:val="24"/>
          <w:szCs w:val="28"/>
        </w:rPr>
        <w:t xml:space="preserve"> However, the specific contents of the “fundamental rights” to be included in the legislation currently under development remain unclear.</w:t>
      </w:r>
    </w:p>
    <w:p w14:paraId="623097C4" w14:textId="77777777" w:rsidR="007B046D" w:rsidRPr="00223597" w:rsidRDefault="007B046D" w:rsidP="00B42443">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7D3B1B4F" w14:textId="79BA38E9" w:rsidR="007B046D" w:rsidRPr="00223597" w:rsidRDefault="00D11E92" w:rsidP="00AE29D0">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indicate the State party’s position on the view that appropriate regulatory measures are needed, such as setting an upper limit on the commission rates unilaterally determined by platform operators and requiring the disclosure of algorithmic information related to task allocation. In addition, please provide information on whether there are any legislative plans in this regard.</w:t>
      </w:r>
    </w:p>
    <w:p w14:paraId="34205BDE" w14:textId="77777777" w:rsidR="00702D70" w:rsidRPr="00223597" w:rsidRDefault="00702D70" w:rsidP="00702D70">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detailed information on the specific contents of the “fundamental rights of all labor providers” that are to be included in the labor protection legislation currently being developed by the State party.</w:t>
      </w:r>
    </w:p>
    <w:p w14:paraId="2B9CDEBB" w14:textId="2E6E6F0A" w:rsidR="002B0718" w:rsidRPr="00223597" w:rsidRDefault="007B046D" w:rsidP="002B0718">
      <w:pPr>
        <w:numPr>
          <w:ilvl w:val="0"/>
          <w:numId w:val="10"/>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plans for expanding industrial accident and employment insurance coverage to workers</w:t>
      </w:r>
      <w:r w:rsidR="002B0718" w:rsidRPr="00223597">
        <w:rPr>
          <w:rFonts w:ascii="Times New Roman" w:hAnsi="Times New Roman" w:cs="Times New Roman"/>
          <w:color w:val="000000" w:themeColor="text1"/>
          <w:sz w:val="24"/>
          <w:szCs w:val="28"/>
        </w:rPr>
        <w:t xml:space="preserve"> in non-standard forms of employment. </w:t>
      </w:r>
    </w:p>
    <w:p w14:paraId="1D711A66" w14:textId="77777777" w:rsidR="001D2C1E" w:rsidRPr="00223597" w:rsidRDefault="001D2C1E" w:rsidP="00CD7BB1">
      <w:pPr>
        <w:rPr>
          <w:rFonts w:ascii="Times New Roman" w:hAnsi="Times New Roman" w:cs="Times New Roman"/>
          <w:b/>
          <w:bCs/>
          <w:color w:val="000000" w:themeColor="text1"/>
          <w:sz w:val="24"/>
          <w:szCs w:val="28"/>
        </w:rPr>
      </w:pPr>
    </w:p>
    <w:p w14:paraId="04988E7B" w14:textId="087F79D2" w:rsidR="00CD7BB1" w:rsidRPr="00223597" w:rsidRDefault="00CD7BB1" w:rsidP="00CD7BB1">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 xml:space="preserve">Issue 8: </w:t>
      </w:r>
      <w:r w:rsidR="00FA1343" w:rsidRPr="00223597">
        <w:rPr>
          <w:rFonts w:ascii="Times New Roman" w:hAnsi="Times New Roman" w:cs="Times New Roman"/>
          <w:b/>
          <w:bCs/>
          <w:color w:val="000000" w:themeColor="text1"/>
          <w:sz w:val="24"/>
          <w:szCs w:val="28"/>
        </w:rPr>
        <w:t xml:space="preserve">Expansion of the application of the three fundamental labor rights and the coverage of the Labor Standards Act </w:t>
      </w:r>
      <w:r w:rsidRPr="00223597">
        <w:rPr>
          <w:rFonts w:ascii="Times New Roman" w:hAnsi="Times New Roman" w:cs="Times New Roman"/>
          <w:b/>
          <w:bCs/>
          <w:color w:val="000000" w:themeColor="text1"/>
          <w:sz w:val="24"/>
          <w:szCs w:val="28"/>
        </w:rPr>
        <w:t>(Concluding Observations para. 39)</w:t>
      </w:r>
    </w:p>
    <w:p w14:paraId="6B9EB396" w14:textId="77777777" w:rsidR="00CD7BB1" w:rsidRPr="00223597" w:rsidRDefault="00CD7BB1" w:rsidP="00CD7BB1">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07DA4F1F" w14:textId="77777777" w:rsidR="00014453" w:rsidRPr="00223597" w:rsidRDefault="00014453" w:rsidP="00014453">
      <w:pPr>
        <w:numPr>
          <w:ilvl w:val="0"/>
          <w:numId w:val="15"/>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There continue to be cases in which principal contractors, despite exercising substantial control over the working conditions of subcontracted workers, refuse to engage in collective bargaining with subcontractor unions on the grounds that they are not parties to the employment contract. Additionally, subcontracted workers who participate in strikes are frequently subjected to excessive damages claims, as exemplified by ○○ Shipbuilding &amp; Marine Engineering filing a 47 billion KRW damages lawsuit against five subcontracted workers.</w:t>
      </w:r>
    </w:p>
    <w:p w14:paraId="4C2AB65E" w14:textId="4A615E10" w:rsidR="0013167D" w:rsidRPr="00223597" w:rsidRDefault="0013167D" w:rsidP="0013167D">
      <w:pPr>
        <w:numPr>
          <w:ilvl w:val="0"/>
          <w:numId w:val="15"/>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On April 20, 2021, ILO Conventions No. 87 and No. 98 were ratified and acquired the same legal effect as domestic law. The ILO has long made it clear that workers in non-standard forms of employment, including special-type workers, are also entitled to the rights guaranteed under these conventions, such as the right to organize. It has </w:t>
      </w:r>
      <w:r w:rsidR="009F5813" w:rsidRPr="00223597">
        <w:rPr>
          <w:rFonts w:ascii="Times New Roman" w:hAnsi="Times New Roman" w:cs="Times New Roman"/>
          <w:color w:val="000000" w:themeColor="text1"/>
          <w:sz w:val="24"/>
          <w:szCs w:val="28"/>
        </w:rPr>
        <w:t>been recommended</w:t>
      </w:r>
      <w:r w:rsidRPr="00223597">
        <w:rPr>
          <w:rFonts w:ascii="Times New Roman" w:hAnsi="Times New Roman" w:cs="Times New Roman"/>
          <w:color w:val="000000" w:themeColor="text1"/>
          <w:sz w:val="24"/>
          <w:szCs w:val="28"/>
        </w:rPr>
        <w:t xml:space="preserve"> that member states take legislative and policy measures to recognize the collective rights of such workers. However, even after the ratification of </w:t>
      </w:r>
      <w:r w:rsidRPr="00223597">
        <w:rPr>
          <w:rFonts w:ascii="Times New Roman" w:hAnsi="Times New Roman" w:cs="Times New Roman"/>
          <w:color w:val="000000" w:themeColor="text1"/>
          <w:sz w:val="24"/>
          <w:szCs w:val="28"/>
        </w:rPr>
        <w:lastRenderedPageBreak/>
        <w:t xml:space="preserve">the two conventions, government bodies such as the Fair Trade Commission and the Ministry of Land, Infrastructure and Transport have continued to treat construction unions and the Cargo Truckers Solidarity, which are composed of </w:t>
      </w:r>
      <w:r w:rsidR="008C1811" w:rsidRPr="00223597">
        <w:rPr>
          <w:rFonts w:ascii="Times New Roman" w:hAnsi="Times New Roman" w:cs="Times New Roman"/>
          <w:color w:val="000000" w:themeColor="text1"/>
          <w:sz w:val="24"/>
          <w:szCs w:val="28"/>
        </w:rPr>
        <w:t xml:space="preserve">workers in </w:t>
      </w:r>
      <w:r w:rsidRPr="00223597">
        <w:rPr>
          <w:rFonts w:ascii="Times New Roman" w:hAnsi="Times New Roman" w:cs="Times New Roman"/>
          <w:color w:val="000000" w:themeColor="text1"/>
          <w:sz w:val="24"/>
          <w:szCs w:val="28"/>
        </w:rPr>
        <w:t>special</w:t>
      </w:r>
      <w:r w:rsidR="008C1811"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type</w:t>
      </w:r>
      <w:r w:rsidR="008C1811" w:rsidRPr="00223597">
        <w:rPr>
          <w:rFonts w:ascii="Times New Roman" w:hAnsi="Times New Roman" w:cs="Times New Roman"/>
          <w:color w:val="000000" w:themeColor="text1"/>
          <w:sz w:val="24"/>
          <w:szCs w:val="28"/>
        </w:rPr>
        <w:t xml:space="preserve"> of employment</w:t>
      </w:r>
      <w:r w:rsidRPr="00223597">
        <w:rPr>
          <w:rFonts w:ascii="Times New Roman" w:hAnsi="Times New Roman" w:cs="Times New Roman"/>
          <w:color w:val="000000" w:themeColor="text1"/>
          <w:sz w:val="24"/>
          <w:szCs w:val="28"/>
        </w:rPr>
        <w:t>, as "business associations," imposing fines, referring them to prosecution, and issuing back-to-work orders.</w:t>
      </w:r>
    </w:p>
    <w:p w14:paraId="5CC59FE7" w14:textId="77777777" w:rsidR="00CD7BB1" w:rsidRPr="00223597" w:rsidRDefault="00CD7BB1" w:rsidP="008C1811">
      <w:pPr>
        <w:numPr>
          <w:ilvl w:val="0"/>
          <w:numId w:val="15"/>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There has been no change in the legal requirements for lawful strikes or the scope of essential maintenance services under the Trade Union Act since the fourth review.</w:t>
      </w:r>
    </w:p>
    <w:p w14:paraId="24943F8E" w14:textId="08A495C1" w:rsidR="00CD7BB1" w:rsidRPr="00223597" w:rsidRDefault="00AD391E" w:rsidP="00B522F8">
      <w:pPr>
        <w:numPr>
          <w:ilvl w:val="0"/>
          <w:numId w:val="15"/>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On November 9, 2023, the “Partial Amendment to the Trade Union and Labor Relations Adjustment Act” (commonly referred to as the “Yellow Envelope Bill”), which aimed to revise Article 2 (expanding the definitions of ‘worker’ and ‘employer’ and the scope of lawful industrial action) and Article 3 (limiting claims for damages and provisional seizures related to industrial action), was passed by both the 21st and 22nd National Assemblies. However, on both occasions, the bill was not promulgated due to the exercise of the presidential veto and was ultimately discarded.</w:t>
      </w:r>
    </w:p>
    <w:p w14:paraId="6656EDDF" w14:textId="05AF4519" w:rsidR="00CD7BB1" w:rsidRPr="00223597" w:rsidRDefault="00065D57" w:rsidP="00CE0A78">
      <w:pPr>
        <w:numPr>
          <w:ilvl w:val="0"/>
          <w:numId w:val="15"/>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In workplaces with fewer than five regular employees, key provisions of the Labor Standards Act—such as statutory working hours, prohibition of dismissal without just cause, limits on overtime work, public holidays, paid annual leave, and allowances for overtime, night, and holiday work—do not apply. This situation has not changed since the fourth review. Even when new labor-related legislation is enacted, exemptions based on the number of regular employees in workplace remain. A representative example is the prohibition of workplace harassment (Article 76-2 of the Labor Standards Act), introduced in 2019, which does not apply to workplaces with fewer than five employees</w:t>
      </w:r>
      <w:r w:rsidR="00CD7BB1" w:rsidRPr="00223597">
        <w:rPr>
          <w:rFonts w:ascii="Times New Roman" w:hAnsi="Times New Roman" w:cs="Times New Roman"/>
          <w:color w:val="000000" w:themeColor="text1"/>
          <w:sz w:val="24"/>
          <w:szCs w:val="28"/>
        </w:rPr>
        <w:t>.</w:t>
      </w:r>
    </w:p>
    <w:p w14:paraId="2FF06233" w14:textId="77777777" w:rsidR="00CD7BB1" w:rsidRPr="00223597" w:rsidRDefault="00CD7BB1" w:rsidP="00CD7BB1">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35BE7098" w14:textId="00EB9ED2" w:rsidR="003F1A21" w:rsidRPr="00223597" w:rsidRDefault="003F1A21" w:rsidP="003F1A21">
      <w:pPr>
        <w:numPr>
          <w:ilvl w:val="0"/>
          <w:numId w:val="16"/>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additional information, such as statistics or indicators, that can demonstrate any progress made since the fourth review regarding the formation and joining of trade unions by indirectly employed workers, including dispatched, subcontracted, and outsourced workers, as well as workers in special forms of employment.</w:t>
      </w:r>
    </w:p>
    <w:p w14:paraId="61695007" w14:textId="3CA2A11C" w:rsidR="003F1A21" w:rsidRPr="00223597" w:rsidRDefault="003F1A21" w:rsidP="003F1A21">
      <w:pPr>
        <w:numPr>
          <w:ilvl w:val="0"/>
          <w:numId w:val="16"/>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clarify whether there are any plans to legally guarantee the exercise of collective rights by workers in special forms of employment, in line with the ratification of ILO Conventions No. 87 and No. 98.</w:t>
      </w:r>
    </w:p>
    <w:p w14:paraId="61298C9E" w14:textId="52059E9C" w:rsidR="00CD7BB1" w:rsidRPr="00223597" w:rsidRDefault="00E3441F" w:rsidP="00E3441F">
      <w:pPr>
        <w:numPr>
          <w:ilvl w:val="0"/>
          <w:numId w:val="16"/>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explain which aspects of the proposed Partial Amendment to the Trade Union and Labor Relations Adjustment Act, which was passed by the 21st National Assembly but ultimately discarded, the State party found difficult to accept, and the reasons for this. Additionally, please clarify what alternative legislative or policy measures the State party is considering to ensure the protection of the three basic labor rights of subcontracted workers and workers in special forms of employment, and to prevent the abusive use of claims for damages.</w:t>
      </w:r>
    </w:p>
    <w:p w14:paraId="106B4DCB" w14:textId="23FBE969" w:rsidR="005C404D" w:rsidRPr="00223597" w:rsidRDefault="006A0B0E" w:rsidP="005C404D">
      <w:pPr>
        <w:numPr>
          <w:ilvl w:val="0"/>
          <w:numId w:val="16"/>
        </w:numPr>
        <w:rPr>
          <w:rFonts w:ascii="Times New Roman" w:hAnsi="Times New Roman" w:cs="Times New Roman"/>
          <w:b/>
          <w:bCs/>
          <w:color w:val="000000" w:themeColor="text1"/>
          <w:sz w:val="24"/>
          <w:szCs w:val="28"/>
        </w:rPr>
      </w:pPr>
      <w:r w:rsidRPr="00223597">
        <w:rPr>
          <w:rFonts w:ascii="Times New Roman" w:hAnsi="Times New Roman" w:cs="Times New Roman"/>
          <w:color w:val="000000" w:themeColor="text1"/>
          <w:sz w:val="24"/>
          <w:szCs w:val="28"/>
        </w:rPr>
        <w:t>Please provide information on the efforts made and future plans of the State party to expand the application of the Labor Standards Act to workplaces with fewer than five employees since the fourth review.</w:t>
      </w:r>
    </w:p>
    <w:p w14:paraId="21B2D20F" w14:textId="77777777" w:rsidR="001D2C1E" w:rsidRPr="00223597" w:rsidRDefault="001D2C1E" w:rsidP="005C404D">
      <w:pPr>
        <w:rPr>
          <w:rFonts w:ascii="Times New Roman" w:hAnsi="Times New Roman" w:cs="Times New Roman"/>
          <w:b/>
          <w:bCs/>
          <w:color w:val="000000" w:themeColor="text1"/>
          <w:sz w:val="24"/>
          <w:szCs w:val="28"/>
        </w:rPr>
      </w:pPr>
    </w:p>
    <w:p w14:paraId="0382DB7F" w14:textId="170E7BDF" w:rsidR="00CD7BB1" w:rsidRPr="00223597" w:rsidRDefault="00CD7BB1" w:rsidP="005C404D">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lastRenderedPageBreak/>
        <w:t>Issue 9: National Basic Livelihood Security System (Concluding Observations para. 43)</w:t>
      </w:r>
    </w:p>
    <w:p w14:paraId="795882AF" w14:textId="548747C6" w:rsidR="005C404D" w:rsidRPr="00223597" w:rsidRDefault="00CD7BB1" w:rsidP="005C404D">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539A6588" w14:textId="6E3EAD97" w:rsidR="005C404D" w:rsidRPr="00223597" w:rsidRDefault="005C404D" w:rsidP="005C404D">
      <w:pPr>
        <w:numPr>
          <w:ilvl w:val="0"/>
          <w:numId w:val="17"/>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 dependency criteria for education benefits were abolished in 2015, and for housing benefits in 2018. However, with regard to livelihood benefits, even after the 2021 amendment to the National Basic Living Security Act, individuals are still not eligible for support if they have a high-income (annual income of 130 million KRW) or high-asset (assets worth more than 1.2 billion KRW) supporter as of 2025. In the case of medical benefits, the eligibility is also restricted by the dependency criteria, except for persons with severe disabilities.</w:t>
      </w:r>
    </w:p>
    <w:p w14:paraId="304C8A31" w14:textId="75966CB8" w:rsidR="006A0B0E" w:rsidRPr="00223597" w:rsidRDefault="006A0B0E" w:rsidP="006A0B0E">
      <w:pPr>
        <w:numPr>
          <w:ilvl w:val="0"/>
          <w:numId w:val="17"/>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Paragraph 63 of the fifth periodic report states that the standard median income, which serves as the basis for determining eligibility for benefits and the amount of assistance, has been continuously increased. However, Annex Table-23 provides information only on the standard median income for the year 2023, making it impossible to assess the trend of its increase since the fourth review.</w:t>
      </w:r>
    </w:p>
    <w:p w14:paraId="2061E19C" w14:textId="77777777" w:rsidR="00CD7BB1" w:rsidRPr="00223597" w:rsidRDefault="00CD7BB1" w:rsidP="00CD7BB1">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6618DE42" w14:textId="21BE9132" w:rsidR="00CD7BB1" w:rsidRPr="00223597" w:rsidRDefault="003B6B10" w:rsidP="00F06E32">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explain the reasons for maintaining the dependency criteria for livelihood benefits</w:t>
      </w:r>
      <w:r w:rsidRPr="00223597">
        <w:rPr>
          <w:rStyle w:val="ab"/>
          <w:rFonts w:ascii="Times New Roman" w:hAnsi="Times New Roman" w:cs="Times New Roman"/>
          <w:color w:val="000000" w:themeColor="text1"/>
          <w:sz w:val="24"/>
          <w:szCs w:val="28"/>
        </w:rPr>
        <w:footnoteReference w:id="14"/>
      </w:r>
      <w:r w:rsidRPr="00223597">
        <w:rPr>
          <w:rFonts w:ascii="Times New Roman" w:hAnsi="Times New Roman" w:cs="Times New Roman"/>
          <w:color w:val="000000" w:themeColor="text1"/>
          <w:sz w:val="24"/>
          <w:szCs w:val="28"/>
        </w:rPr>
        <w:t xml:space="preserve"> and medical benefits, unlike other types of benefits. Please also indicate whether there are any plans to abolish the dependency criteria for livelihood and medical benefits in the future</w:t>
      </w:r>
      <w:r w:rsidR="00F06E32" w:rsidRPr="00223597">
        <w:rPr>
          <w:rFonts w:ascii="Times New Roman" w:hAnsi="Times New Roman" w:cs="Times New Roman"/>
          <w:color w:val="000000" w:themeColor="text1"/>
          <w:sz w:val="24"/>
          <w:szCs w:val="28"/>
        </w:rPr>
        <w:t>.</w:t>
      </w:r>
      <w:r w:rsidR="00CD7BB1" w:rsidRPr="00223597">
        <w:rPr>
          <w:rFonts w:ascii="Times New Roman" w:hAnsi="Times New Roman" w:cs="Times New Roman"/>
          <w:color w:val="000000" w:themeColor="text1"/>
          <w:sz w:val="24"/>
          <w:szCs w:val="28"/>
        </w:rPr>
        <w:t xml:space="preserve"> </w:t>
      </w:r>
    </w:p>
    <w:p w14:paraId="40357C8E" w14:textId="6F2C640C" w:rsidR="00211BBC" w:rsidRPr="00223597" w:rsidRDefault="00F06E32" w:rsidP="00F06E32">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With regard to Annex Table-23 (Standard Median Income) of the fifth periodic report, please provide statistics showing the trend of increases in the standard median income during the period from 2017 to 2023. Please also include the annual inflation rates for each corresponding year, so that the real effect of the increases in the standard median income can be assessed.</w:t>
      </w:r>
    </w:p>
    <w:p w14:paraId="54F76859" w14:textId="77777777" w:rsidR="001D2C1E" w:rsidRPr="00223597" w:rsidRDefault="001D2C1E" w:rsidP="0058383E">
      <w:pPr>
        <w:rPr>
          <w:rFonts w:ascii="Times New Roman" w:hAnsi="Times New Roman" w:cs="Times New Roman"/>
          <w:b/>
          <w:bCs/>
          <w:color w:val="000000" w:themeColor="text1"/>
          <w:sz w:val="24"/>
          <w:szCs w:val="28"/>
        </w:rPr>
      </w:pPr>
    </w:p>
    <w:p w14:paraId="5EBA91CD" w14:textId="64315E31" w:rsidR="00211BBC" w:rsidRPr="00223597" w:rsidRDefault="00211BBC" w:rsidP="0058383E">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Issue 10: Poverty</w:t>
      </w:r>
      <w:r w:rsidR="00837464" w:rsidRPr="00223597">
        <w:rPr>
          <w:rFonts w:ascii="Times New Roman" w:hAnsi="Times New Roman" w:cs="Times New Roman"/>
          <w:b/>
          <w:bCs/>
          <w:color w:val="000000" w:themeColor="text1"/>
          <w:sz w:val="24"/>
          <w:szCs w:val="28"/>
        </w:rPr>
        <w:t xml:space="preserve"> of</w:t>
      </w:r>
      <w:r w:rsidRPr="00223597">
        <w:rPr>
          <w:rFonts w:ascii="Times New Roman" w:hAnsi="Times New Roman" w:cs="Times New Roman"/>
          <w:b/>
          <w:bCs/>
          <w:color w:val="000000" w:themeColor="text1"/>
          <w:sz w:val="24"/>
          <w:szCs w:val="28"/>
        </w:rPr>
        <w:t xml:space="preserve"> and Care for Older Persons (Concluding Observations para. 47)</w:t>
      </w:r>
    </w:p>
    <w:p w14:paraId="36785677" w14:textId="77777777" w:rsidR="00211BBC" w:rsidRPr="00223597" w:rsidRDefault="00211BBC" w:rsidP="00211BBC">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4199E9C6" w14:textId="44AD09BB" w:rsidR="00211BBC" w:rsidRPr="00223597" w:rsidRDefault="0050179F" w:rsidP="00211BBC">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 relative poverty rate of elderly persons aged 65 and over in Korean society, defined as the proportion with income below 50% of the median income, has improved from 49.6%</w:t>
      </w:r>
      <w:r w:rsidRPr="00223597">
        <w:rPr>
          <w:rStyle w:val="ab"/>
          <w:rFonts w:ascii="Times New Roman" w:hAnsi="Times New Roman" w:cs="Times New Roman"/>
          <w:color w:val="000000" w:themeColor="text1"/>
          <w:sz w:val="24"/>
          <w:szCs w:val="28"/>
        </w:rPr>
        <w:footnoteReference w:id="15"/>
      </w:r>
      <w:r w:rsidRPr="00223597">
        <w:rPr>
          <w:rFonts w:ascii="Times New Roman" w:hAnsi="Times New Roman" w:cs="Times New Roman"/>
          <w:color w:val="000000" w:themeColor="text1"/>
          <w:sz w:val="24"/>
          <w:szCs w:val="28"/>
        </w:rPr>
        <w:t xml:space="preserve"> in 2013 to 38.1% in 2022. However, it remains the highest level among OECD member countries. Among all elderly persons aged 65 and over, 9.6% are recipients of livelihood benefits.</w:t>
      </w:r>
    </w:p>
    <w:p w14:paraId="6F651E29" w14:textId="05FEC109" w:rsidR="00AB222D" w:rsidRPr="00223597" w:rsidRDefault="0094025D" w:rsidP="00DC7ADA">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 income replacement rate of the National Pension in 2022, based on a 40-year contribution period, is approximately 43% of the average income. However, the actual contribution period of pension recipients is shorter than this, resulting in a substantially lower effective replacement rate. As of 2022, the average contribution period of new pension recipients was 19.3 years, and the average pension amount was 685,000 KRW per month.</w:t>
      </w:r>
      <w:r w:rsidR="00A76CDE" w:rsidRPr="00223597">
        <w:rPr>
          <w:rStyle w:val="ab"/>
          <w:rFonts w:ascii="Times New Roman" w:hAnsi="Times New Roman" w:cs="Times New Roman"/>
          <w:color w:val="000000" w:themeColor="text1"/>
          <w:sz w:val="24"/>
          <w:szCs w:val="28"/>
        </w:rPr>
        <w:footnoteReference w:id="16"/>
      </w:r>
      <w:r w:rsidR="00A76CDE"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 xml:space="preserve">In this context, aiming to strengthen the </w:t>
      </w:r>
      <w:r w:rsidR="001C1FF7" w:rsidRPr="00223597">
        <w:rPr>
          <w:rFonts w:ascii="Times New Roman" w:hAnsi="Times New Roman" w:cs="Times New Roman" w:hint="eastAsia"/>
          <w:color w:val="000000" w:themeColor="text1"/>
          <w:sz w:val="24"/>
          <w:szCs w:val="28"/>
        </w:rPr>
        <w:t>security</w:t>
      </w:r>
      <w:r w:rsidRPr="00223597">
        <w:rPr>
          <w:rFonts w:ascii="Times New Roman" w:hAnsi="Times New Roman" w:cs="Times New Roman"/>
          <w:color w:val="000000" w:themeColor="text1"/>
          <w:sz w:val="24"/>
          <w:szCs w:val="28"/>
        </w:rPr>
        <w:t xml:space="preserve"> and </w:t>
      </w:r>
      <w:r w:rsidRPr="00223597">
        <w:rPr>
          <w:rFonts w:ascii="Times New Roman" w:hAnsi="Times New Roman" w:cs="Times New Roman"/>
          <w:color w:val="000000" w:themeColor="text1"/>
          <w:sz w:val="24"/>
          <w:szCs w:val="28"/>
        </w:rPr>
        <w:lastRenderedPageBreak/>
        <w:t xml:space="preserve">ensure the financial stability of the National Pension, a Special Committee on Pension </w:t>
      </w:r>
      <w:proofErr w:type="gramStart"/>
      <w:r w:rsidRPr="00223597">
        <w:rPr>
          <w:rFonts w:ascii="Times New Roman" w:hAnsi="Times New Roman" w:cs="Times New Roman"/>
          <w:color w:val="000000" w:themeColor="text1"/>
          <w:sz w:val="24"/>
          <w:szCs w:val="28"/>
        </w:rPr>
        <w:t>Reform(</w:t>
      </w:r>
      <w:proofErr w:type="gramEnd"/>
      <w:r w:rsidR="00B150F3" w:rsidRPr="00223597">
        <w:rPr>
          <w:rFonts w:ascii="Times New Roman" w:hAnsi="Times New Roman" w:cs="Times New Roman"/>
          <w:color w:val="000000" w:themeColor="text1"/>
          <w:sz w:val="24"/>
          <w:szCs w:val="28"/>
        </w:rPr>
        <w:t>Special Pension Committee</w:t>
      </w:r>
      <w:r w:rsidRPr="00223597">
        <w:rPr>
          <w:rFonts w:ascii="Times New Roman" w:hAnsi="Times New Roman" w:cs="Times New Roman"/>
          <w:color w:val="000000" w:themeColor="text1"/>
          <w:sz w:val="24"/>
          <w:szCs w:val="28"/>
        </w:rPr>
        <w:t>) was established in the National Assembly in July 2022. In April 2024, the</w:t>
      </w:r>
      <w:r w:rsidR="00FB5BD6" w:rsidRPr="00223597">
        <w:rPr>
          <w:rFonts w:ascii="Times New Roman" w:hAnsi="Times New Roman" w:cs="Times New Roman"/>
          <w:color w:val="000000" w:themeColor="text1"/>
          <w:sz w:val="24"/>
          <w:szCs w:val="28"/>
        </w:rPr>
        <w:t xml:space="preserve"> Public Deliberation Subcommittee of</w:t>
      </w:r>
      <w:r w:rsidRPr="00223597">
        <w:rPr>
          <w:rFonts w:ascii="Times New Roman" w:hAnsi="Times New Roman" w:cs="Times New Roman"/>
          <w:color w:val="000000" w:themeColor="text1"/>
          <w:sz w:val="24"/>
          <w:szCs w:val="28"/>
        </w:rPr>
        <w:t xml:space="preserve"> </w:t>
      </w:r>
      <w:r w:rsidR="00EC7A00" w:rsidRPr="00223597">
        <w:rPr>
          <w:rFonts w:ascii="Times New Roman" w:hAnsi="Times New Roman" w:cs="Times New Roman"/>
          <w:color w:val="000000" w:themeColor="text1"/>
          <w:sz w:val="24"/>
          <w:szCs w:val="28"/>
        </w:rPr>
        <w:t xml:space="preserve">the </w:t>
      </w:r>
      <w:r w:rsidRPr="00223597">
        <w:rPr>
          <w:rFonts w:ascii="Times New Roman" w:hAnsi="Times New Roman" w:cs="Times New Roman"/>
          <w:color w:val="000000" w:themeColor="text1"/>
          <w:sz w:val="24"/>
          <w:szCs w:val="28"/>
        </w:rPr>
        <w:t>National Assembly’s Pension Special Committee</w:t>
      </w:r>
      <w:r w:rsidR="00FB5BD6"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proposed a unified pension reform plan recommending a 13% contribution rate and a 50% income replacement rate. On March 20, 2025, an amendment to the National Pension Act to gradually raise the contribution rate to 13% and set the income replacement rate at 43% was adopted by bipartisan agreement in the plenary session of the National Assembly.</w:t>
      </w:r>
    </w:p>
    <w:p w14:paraId="4209C6D1" w14:textId="43E3B225" w:rsidR="00211BBC" w:rsidRPr="00223597" w:rsidRDefault="00C06126" w:rsidP="00C06126">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The Basic Pension, introduced in July 2014, is provided to elderly persons aged 65 and over who fall within the lowest 70% income group. The monthly pension amount began at 200,000 KRW for all eligible recipients in 2014 and has increased to 300,000 KRW per month for all eligible recipients since 2021.</w:t>
      </w:r>
    </w:p>
    <w:p w14:paraId="123AFE65" w14:textId="7E166B42" w:rsidR="00F83931" w:rsidRPr="00223597" w:rsidRDefault="00F83931" w:rsidP="006A4AF6">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According to the 2023 Long-Term Care Insurance Statistics Yearbook, out of a total of 1,073,452 long-term care benefit recipients, 266,903 received institutional care benefits—247,221 in nursing homes and 19,682 in group homes for the elderly. In the same year, the number of beds in long-term care hospitals was 264,714, and it is estimated that approximately 80% of hospitalized patients were elderly persons aged 65 and over. This suggests that around 470,000 older persons are living in institutions due to the lack of sufficient social infrastructure to support ageing in place within the community or at home.</w:t>
      </w:r>
      <w:r w:rsidR="00E44CBC"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In contrast, the</w:t>
      </w:r>
      <w:r w:rsidR="00DC7ADA" w:rsidRPr="00223597">
        <w:rPr>
          <w:rFonts w:ascii="Times New Roman" w:hAnsi="Times New Roman" w:cs="Times New Roman"/>
          <w:color w:val="000000" w:themeColor="text1"/>
          <w:sz w:val="24"/>
          <w:szCs w:val="28"/>
        </w:rPr>
        <w:t xml:space="preserve"> 2024 report of the</w:t>
      </w:r>
      <w:r w:rsidRPr="00223597">
        <w:rPr>
          <w:rFonts w:ascii="Times New Roman" w:hAnsi="Times New Roman" w:cs="Times New Roman"/>
          <w:color w:val="000000" w:themeColor="text1"/>
          <w:sz w:val="24"/>
          <w:szCs w:val="28"/>
        </w:rPr>
        <w:t xml:space="preserve"> Korea Institute for Health and Social Affairs titled “Living Environment and Perception of Later Life among the Elderly” found that 87.2% of elderly respondents stated they would prefer to continue living in their current home if they were in good health. Even among those unable to live independently, 48.9% still wished to remain in their home, while only 27.7% said they would choose to enter a nursing facility.</w:t>
      </w:r>
      <w:r w:rsidR="000E44E5"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To address the need for integrated and coordinated care—including medical services and long-term care—so that persons experiencing frailty, disability, illness, or injury can continue to live healthily in their own homes, the Act on the Integrated Support for Community-Based Medical and Long-Term Care was enacted in March 2024 and is scheduled to take effect in March 2026.</w:t>
      </w:r>
    </w:p>
    <w:p w14:paraId="54FC1428" w14:textId="77777777" w:rsidR="00211BBC" w:rsidRPr="00223597" w:rsidRDefault="00211BBC" w:rsidP="009C6CA2">
      <w:pPr>
        <w:ind w:left="360"/>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3358DECF" w14:textId="26F40129" w:rsidR="004312F7" w:rsidRPr="00223597" w:rsidRDefault="004312F7" w:rsidP="004312F7">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clarify whether the State party has specific target figures for reducing the elderly poverty rate, which remains significantly higher than the OECD average. If so, please indicate by when and </w:t>
      </w:r>
      <w:r w:rsidR="006A4AF6" w:rsidRPr="00223597">
        <w:rPr>
          <w:rFonts w:ascii="Times New Roman" w:hAnsi="Times New Roman" w:cs="Times New Roman"/>
          <w:color w:val="000000" w:themeColor="text1"/>
          <w:sz w:val="24"/>
          <w:szCs w:val="28"/>
        </w:rPr>
        <w:t>how</w:t>
      </w:r>
      <w:r w:rsidRPr="00223597">
        <w:rPr>
          <w:rFonts w:ascii="Times New Roman" w:hAnsi="Times New Roman" w:cs="Times New Roman"/>
          <w:color w:val="000000" w:themeColor="text1"/>
          <w:sz w:val="24"/>
          <w:szCs w:val="28"/>
        </w:rPr>
        <w:t xml:space="preserve"> these targets are expected to be achieved.</w:t>
      </w:r>
    </w:p>
    <w:p w14:paraId="7F42C834" w14:textId="319668A9" w:rsidR="00211BBC" w:rsidRPr="00223597" w:rsidRDefault="00245A8F" w:rsidP="00423A33">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the number of National Pension beneficiaries by year since the fourth review, as well as the annual trends in the average contribution period and income replacement rate of new beneficiaries. In addition, please indicate whether there has been actual improvement in the elderly poverty rate and in the gender gap in poverty rates since the fourth review.</w:t>
      </w:r>
    </w:p>
    <w:p w14:paraId="40077544" w14:textId="77777777" w:rsidR="00211BBC" w:rsidRPr="00223597" w:rsidRDefault="00211BBC" w:rsidP="00211BBC">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lastRenderedPageBreak/>
        <w:t>Please provide information on any plans to further increase the Basic Pension benefit level.</w:t>
      </w:r>
    </w:p>
    <w:p w14:paraId="17A8CC98" w14:textId="4458F5DD" w:rsidR="00A202DB" w:rsidRPr="00223597" w:rsidRDefault="00A202DB" w:rsidP="00A202DB">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the current status and trends of elderly hospitalizations in long-term care hospitals, as well as data on institutional care recipients under the long-term care insurance scheme. In addition, please provide details on relevant legislation aimed at ensuring community-based care, including its implementation plans and any identified issues or areas requiring further preparation or improvement.</w:t>
      </w:r>
    </w:p>
    <w:p w14:paraId="792A8DA3" w14:textId="41BDA3BB" w:rsidR="00211BBC" w:rsidRPr="00223597" w:rsidRDefault="00211BBC" w:rsidP="00604380">
      <w:pPr>
        <w:rPr>
          <w:rFonts w:ascii="Times New Roman" w:hAnsi="Times New Roman" w:cs="Times New Roman"/>
          <w:color w:val="000000" w:themeColor="text1"/>
          <w:sz w:val="24"/>
          <w:szCs w:val="28"/>
        </w:rPr>
      </w:pPr>
    </w:p>
    <w:p w14:paraId="44AA5119" w14:textId="77777777" w:rsidR="00211BBC" w:rsidRPr="00223597" w:rsidRDefault="00211BBC" w:rsidP="00FC5F9D">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Issue 11: COVID-19 and Human Rights, Health Disparities by Income and Region</w:t>
      </w:r>
    </w:p>
    <w:p w14:paraId="54F612CF" w14:textId="77777777" w:rsidR="00211BBC" w:rsidRPr="00223597" w:rsidRDefault="00211BBC" w:rsidP="009C6CA2">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07D8E701" w14:textId="7276765E" w:rsidR="00B36F1D" w:rsidRPr="00223597" w:rsidRDefault="00B36F1D" w:rsidP="00BC71F8">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During the COVID-19 pandemic, cohort isolation measures implemented in long-term care facilities and geriatric hospitals where confirmed cases occurred caused significant harm to elderly persons residing in such group medical and residential institutions. In addition, the emphasis on ‘social distancing’ to prevent and control the spread of infection led to the temporary suspension of social support and care services for vulnerable populations such as homeless persons, persons with disabilities, elderly people living alone, and children. This had wide-ranging impacts on their lives, health, and education, among other areas.</w:t>
      </w:r>
      <w:r w:rsidR="00BC71F8"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Moreover,</w:t>
      </w:r>
      <w:r w:rsidR="00BC71F8"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personal information of confirmed COVID-19 patients</w:t>
      </w:r>
      <w:r w:rsidR="00BC71F8" w:rsidRPr="00223597">
        <w:rPr>
          <w:rFonts w:ascii="Times New Roman" w:hAnsi="Times New Roman" w:cs="Times New Roman"/>
          <w:color w:val="000000" w:themeColor="text1"/>
          <w:sz w:val="24"/>
          <w:szCs w:val="28"/>
        </w:rPr>
        <w:t xml:space="preserve"> were excessively disclosed</w:t>
      </w:r>
      <w:r w:rsidRPr="00223597">
        <w:rPr>
          <w:rFonts w:ascii="Times New Roman" w:hAnsi="Times New Roman" w:cs="Times New Roman"/>
          <w:color w:val="000000" w:themeColor="text1"/>
          <w:sz w:val="24"/>
          <w:szCs w:val="28"/>
        </w:rPr>
        <w:t xml:space="preserve"> </w:t>
      </w:r>
      <w:r w:rsidR="00BC71F8" w:rsidRPr="00223597">
        <w:rPr>
          <w:rFonts w:ascii="Times New Roman" w:hAnsi="Times New Roman" w:cs="Times New Roman"/>
          <w:color w:val="000000" w:themeColor="text1"/>
          <w:sz w:val="24"/>
          <w:szCs w:val="28"/>
        </w:rPr>
        <w:t xml:space="preserve">and migrants and foreigners were excluded </w:t>
      </w:r>
      <w:r w:rsidRPr="00223597">
        <w:rPr>
          <w:rFonts w:ascii="Times New Roman" w:hAnsi="Times New Roman" w:cs="Times New Roman"/>
          <w:color w:val="000000" w:themeColor="text1"/>
          <w:sz w:val="24"/>
          <w:szCs w:val="28"/>
        </w:rPr>
        <w:t>from support systems and policy measures</w:t>
      </w:r>
      <w:r w:rsidR="00BC71F8" w:rsidRPr="00223597">
        <w:rPr>
          <w:rFonts w:ascii="Times New Roman" w:hAnsi="Times New Roman" w:cs="Times New Roman"/>
          <w:color w:val="000000" w:themeColor="text1"/>
          <w:sz w:val="24"/>
          <w:szCs w:val="28"/>
        </w:rPr>
        <w:t xml:space="preserve"> and faced </w:t>
      </w:r>
      <w:r w:rsidRPr="00223597">
        <w:rPr>
          <w:rFonts w:ascii="Times New Roman" w:hAnsi="Times New Roman" w:cs="Times New Roman"/>
          <w:color w:val="000000" w:themeColor="text1"/>
          <w:sz w:val="24"/>
          <w:szCs w:val="28"/>
        </w:rPr>
        <w:t>increased discrimination and hat</w:t>
      </w:r>
      <w:r w:rsidR="00A950EE" w:rsidRPr="00223597">
        <w:rPr>
          <w:rFonts w:ascii="Times New Roman" w:hAnsi="Times New Roman" w:cs="Times New Roman"/>
          <w:color w:val="000000" w:themeColor="text1"/>
          <w:sz w:val="24"/>
          <w:szCs w:val="28"/>
        </w:rPr>
        <w:t>red</w:t>
      </w:r>
      <w:r w:rsidRPr="00223597">
        <w:rPr>
          <w:rFonts w:ascii="Times New Roman" w:hAnsi="Times New Roman" w:cs="Times New Roman"/>
          <w:color w:val="000000" w:themeColor="text1"/>
          <w:sz w:val="24"/>
          <w:szCs w:val="28"/>
        </w:rPr>
        <w:t>.</w:t>
      </w:r>
    </w:p>
    <w:p w14:paraId="4BC1945D" w14:textId="364E2B88" w:rsidR="00211BBC" w:rsidRPr="00223597" w:rsidRDefault="001A7E92" w:rsidP="00C73D2D">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As of 2020, there were 221 public medical institutions in Korea, accounting for only 5.5% of all medical institutions. Public hospital beds made up just 9.2% of total hospital beds, which is significantly lower than the OECD average of 71.6%. In addition, the concentration of medical personnel and infrastructure in the Seoul metropolitan area, along with a shortage of public hospitals in other regions, has worsened regional disparities in healthcare access and health outcomes. In 2021, the amenable mortality rate per 100,000 population was 38.6 in Seoul, 49.6 in Gangwon Province, and 47.3 in </w:t>
      </w:r>
      <w:proofErr w:type="spellStart"/>
      <w:r w:rsidRPr="00223597">
        <w:rPr>
          <w:rFonts w:ascii="Times New Roman" w:hAnsi="Times New Roman" w:cs="Times New Roman"/>
          <w:color w:val="000000" w:themeColor="text1"/>
          <w:sz w:val="24"/>
          <w:szCs w:val="28"/>
        </w:rPr>
        <w:t>Gyeongnam</w:t>
      </w:r>
      <w:proofErr w:type="spellEnd"/>
      <w:r w:rsidRPr="00223597">
        <w:rPr>
          <w:rFonts w:ascii="Times New Roman" w:hAnsi="Times New Roman" w:cs="Times New Roman"/>
          <w:color w:val="000000" w:themeColor="text1"/>
          <w:sz w:val="24"/>
          <w:szCs w:val="28"/>
        </w:rPr>
        <w:t xml:space="preserve"> Province.</w:t>
      </w:r>
      <w:r w:rsidR="00C73D2D" w:rsidRPr="00223597">
        <w:rPr>
          <w:rStyle w:val="ab"/>
          <w:rFonts w:ascii="Times New Roman" w:hAnsi="Times New Roman" w:cs="Times New Roman"/>
          <w:color w:val="000000" w:themeColor="text1"/>
          <w:sz w:val="24"/>
          <w:szCs w:val="28"/>
        </w:rPr>
        <w:footnoteReference w:id="17"/>
      </w:r>
      <w:r w:rsidRPr="00223597">
        <w:rPr>
          <w:rFonts w:ascii="Times New Roman" w:hAnsi="Times New Roman" w:cs="Times New Roman"/>
          <w:color w:val="000000" w:themeColor="text1"/>
          <w:sz w:val="24"/>
          <w:szCs w:val="28"/>
        </w:rPr>
        <w:t xml:space="preserve"> As a result, there have been continued incidents in which patients in critical or emergency condition have died after missing the appropriate window for treatment due to the lack of timely access to care in their region.</w:t>
      </w:r>
      <w:r w:rsidR="00B14CEF" w:rsidRPr="00223597">
        <w:rPr>
          <w:rStyle w:val="ab"/>
          <w:rFonts w:ascii="Times New Roman" w:hAnsi="Times New Roman" w:cs="Times New Roman"/>
          <w:color w:val="000000" w:themeColor="text1"/>
          <w:sz w:val="24"/>
          <w:szCs w:val="28"/>
        </w:rPr>
        <w:footnoteReference w:id="18"/>
      </w:r>
    </w:p>
    <w:p w14:paraId="5C659C29" w14:textId="1EA3ED80" w:rsidR="00211BBC" w:rsidRPr="00223597" w:rsidRDefault="00A950EE" w:rsidP="00211BBC">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I</w:t>
      </w:r>
      <w:r w:rsidR="009075FF" w:rsidRPr="00223597">
        <w:rPr>
          <w:rFonts w:ascii="Times New Roman" w:hAnsi="Times New Roman" w:cs="Times New Roman"/>
          <w:color w:val="000000" w:themeColor="text1"/>
          <w:sz w:val="24"/>
          <w:szCs w:val="28"/>
        </w:rPr>
        <w:t>n January 2023, essential medical support measures were announced, followed by a policy in early 2024 to increase medical school enrollment by 2,000 students. However, this policy led to the resignation of residents at five major general hospitals, resulting in ongoing restrictions on the health rights of critically ill and emergency patients as of April 2025.</w:t>
      </w:r>
    </w:p>
    <w:p w14:paraId="4124ABB5" w14:textId="7C68BC07" w:rsidR="00211BBC" w:rsidRPr="00223597" w:rsidRDefault="006A2908" w:rsidP="00211BBC">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Sickness benefits are a system designed to compensate workers for lost income when they are unable to work due to non-work-related illness or injury, allowing them to focus on treatment. A pilot project began in July 2022 and is currently being expanded </w:t>
      </w:r>
      <w:r w:rsidRPr="00223597">
        <w:rPr>
          <w:rFonts w:ascii="Times New Roman" w:hAnsi="Times New Roman" w:cs="Times New Roman"/>
          <w:color w:val="000000" w:themeColor="text1"/>
          <w:sz w:val="24"/>
          <w:szCs w:val="28"/>
        </w:rPr>
        <w:lastRenderedPageBreak/>
        <w:t>in 14 regions.</w:t>
      </w:r>
      <w:r w:rsidRPr="00223597">
        <w:rPr>
          <w:rStyle w:val="ab"/>
          <w:rFonts w:ascii="Times New Roman" w:hAnsi="Times New Roman" w:cs="Times New Roman"/>
          <w:color w:val="000000" w:themeColor="text1"/>
          <w:sz w:val="24"/>
          <w:szCs w:val="28"/>
        </w:rPr>
        <w:footnoteReference w:id="19"/>
      </w:r>
    </w:p>
    <w:p w14:paraId="36DC1E4A" w14:textId="77777777" w:rsidR="00211BBC" w:rsidRPr="00223597" w:rsidRDefault="00211BBC" w:rsidP="00106253">
      <w:pPr>
        <w:ind w:left="360"/>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3582C710" w14:textId="77777777" w:rsidR="00211BBC" w:rsidRPr="00223597" w:rsidRDefault="00211BBC" w:rsidP="00211BBC">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the State party’s efforts and plans to establish essential social service systems that can ensure the survival, health, and care of vulnerable groups during large-scale infectious disease outbreaks.</w:t>
      </w:r>
    </w:p>
    <w:p w14:paraId="751B83E8" w14:textId="6A8CF877" w:rsidR="00211BBC" w:rsidRPr="00223597" w:rsidRDefault="00791226" w:rsidP="00791226">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explain the reasons for designating specific medical facilities for homeless recipients among medical aid beneficiaries. Please provide the relevant legal basis and the State party’s views to confirm that this system does not violate the right to non-discrimination in relation to the guarantee of rights under the Convention. </w:t>
      </w:r>
    </w:p>
    <w:p w14:paraId="6635F64A" w14:textId="77777777" w:rsidR="00E44CED" w:rsidRPr="00223597" w:rsidRDefault="00E44CED" w:rsidP="00E44CED">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the trends since the fourth review regarding the proportion of public medical institutions relative to all medical institutions, and the number of public hospital beds relative to total hospital beds. Additionally, please provide data on the number of public medical institutions by region, their medical specialties, number of physicians, and bed capacity.</w:t>
      </w:r>
    </w:p>
    <w:p w14:paraId="0EA97AD7" w14:textId="5FDF77DC" w:rsidR="00211BBC" w:rsidRPr="00223597" w:rsidRDefault="006C07D8" w:rsidP="00AD3B66">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provide additional information that confirms how </w:t>
      </w:r>
      <w:r w:rsidR="00812F1F" w:rsidRPr="00223597">
        <w:rPr>
          <w:rFonts w:ascii="Times New Roman" w:hAnsi="Times New Roman" w:cs="Times New Roman"/>
          <w:color w:val="000000" w:themeColor="text1"/>
          <w:sz w:val="24"/>
          <w:szCs w:val="28"/>
        </w:rPr>
        <w:t>the measures mentioned in paragraph 95</w:t>
      </w:r>
      <w:r w:rsidRPr="00223597">
        <w:rPr>
          <w:rFonts w:ascii="Times New Roman" w:hAnsi="Times New Roman" w:cs="Times New Roman"/>
          <w:color w:val="000000" w:themeColor="text1"/>
          <w:sz w:val="24"/>
          <w:szCs w:val="28"/>
        </w:rPr>
        <w:t xml:space="preserve"> are expected to address healthcare disparities caused by gaps in essential and regional healthcare services. Also, please indicate whether these measures are planned and implemented with consideration of the Committee’s recommendations on strengthening public healthcare.</w:t>
      </w:r>
    </w:p>
    <w:p w14:paraId="16DA369E" w14:textId="77777777" w:rsidR="00211BBC" w:rsidRPr="00223597" w:rsidRDefault="00211BBC" w:rsidP="00211BBC">
      <w:pPr>
        <w:numPr>
          <w:ilvl w:val="0"/>
          <w:numId w:val="18"/>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the outcomes of the sickness benefit pilot program and plans for its expansion.</w:t>
      </w:r>
    </w:p>
    <w:p w14:paraId="7D3DBCA3" w14:textId="77777777" w:rsidR="001D2C1E" w:rsidRPr="00223597" w:rsidRDefault="001D2C1E" w:rsidP="00211BBC">
      <w:pPr>
        <w:rPr>
          <w:rFonts w:ascii="Times New Roman" w:hAnsi="Times New Roman" w:cs="Times New Roman"/>
          <w:b/>
          <w:bCs/>
          <w:color w:val="000000" w:themeColor="text1"/>
          <w:sz w:val="24"/>
          <w:szCs w:val="28"/>
        </w:rPr>
      </w:pPr>
    </w:p>
    <w:p w14:paraId="05249EFF" w14:textId="7C5FAB5B" w:rsidR="00211BBC" w:rsidRPr="00223597" w:rsidRDefault="00211BBC" w:rsidP="00211BBC">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Issue 12: Climate Crisis and Human Rights</w:t>
      </w:r>
    </w:p>
    <w:p w14:paraId="68F45282" w14:textId="77777777" w:rsidR="00211BBC" w:rsidRPr="00223597" w:rsidRDefault="00211BBC" w:rsidP="00211BBC">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000E3613" w14:textId="2DC064F7" w:rsidR="00211BBC" w:rsidRPr="00223597" w:rsidRDefault="00211BBC" w:rsidP="00211BBC">
      <w:pPr>
        <w:numPr>
          <w:ilvl w:val="0"/>
          <w:numId w:val="24"/>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According to the </w:t>
      </w:r>
      <w:r w:rsidR="00C63052" w:rsidRPr="00223597">
        <w:rPr>
          <w:rFonts w:ascii="Times New Roman" w:hAnsi="Times New Roman" w:cs="Times New Roman"/>
          <w:color w:val="000000" w:themeColor="text1"/>
          <w:sz w:val="24"/>
          <w:szCs w:val="28"/>
        </w:rPr>
        <w:t xml:space="preserve">‘Korea Climate Change Assessment Report 2020' published by the Government of the Republic of Korea, climate change has affected all sectors of society, including changes in ecosystem distribution and species, alterations in cultivated crops, and increased incidence of diseases. These impacts directly affect the production and livelihoods of farmers and </w:t>
      </w:r>
      <w:r w:rsidR="00D77830" w:rsidRPr="00223597">
        <w:rPr>
          <w:rFonts w:ascii="Times New Roman" w:hAnsi="Times New Roman" w:cs="Times New Roman"/>
          <w:color w:val="000000" w:themeColor="text1"/>
          <w:sz w:val="24"/>
          <w:szCs w:val="28"/>
        </w:rPr>
        <w:t xml:space="preserve">fishers. </w:t>
      </w:r>
    </w:p>
    <w:p w14:paraId="3C3D1925" w14:textId="580C4429" w:rsidR="00211BBC" w:rsidRPr="00223597" w:rsidRDefault="001B4A5A" w:rsidP="00211BBC">
      <w:pPr>
        <w:numPr>
          <w:ilvl w:val="0"/>
          <w:numId w:val="24"/>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Disasters, which have become more frequent due to climate change, pose greater threats to the lives and health of socially, economically, and culturally vulnerable groups such as the poor, persons with disabilities, and migrants. In December 2020, during a cold wave warning, a migrant agricultural worker was found dead in a makeshift dormitory inside a greenhouse. In 2023, a young worker at a large supermarket died while continuing to organize shopping carts during a heatwave. Additionally, in 2021, a person with disabilities living alone in a rooftop </w:t>
      </w:r>
      <w:proofErr w:type="gramStart"/>
      <w:r w:rsidRPr="00223597">
        <w:rPr>
          <w:rFonts w:ascii="Times New Roman" w:hAnsi="Times New Roman" w:cs="Times New Roman"/>
          <w:color w:val="000000" w:themeColor="text1"/>
          <w:sz w:val="24"/>
          <w:szCs w:val="28"/>
        </w:rPr>
        <w:t>room</w:t>
      </w:r>
      <w:r w:rsidR="007105AE" w:rsidRPr="00223597">
        <w:rPr>
          <w:rFonts w:ascii="Times New Roman" w:hAnsi="Times New Roman" w:cs="Times New Roman" w:hint="eastAsia"/>
          <w:color w:val="000000" w:themeColor="text1"/>
          <w:sz w:val="24"/>
          <w:szCs w:val="28"/>
        </w:rPr>
        <w:t>(</w:t>
      </w:r>
      <w:proofErr w:type="gramEnd"/>
      <w:r w:rsidR="007105AE" w:rsidRPr="00223597">
        <w:rPr>
          <w:rFonts w:ascii="Times New Roman" w:hAnsi="Times New Roman" w:cs="Times New Roman" w:hint="eastAsia"/>
          <w:color w:val="000000" w:themeColor="text1"/>
          <w:sz w:val="24"/>
          <w:szCs w:val="28"/>
        </w:rPr>
        <w:t>a small, low-cost residential space typically located on the top floor of a building</w:t>
      </w:r>
      <w:r w:rsidR="007105AE" w:rsidRPr="00223597">
        <w:rPr>
          <w:rFonts w:ascii="Times New Roman" w:hAnsi="Times New Roman" w:cs="Times New Roman" w:hint="eastAsia"/>
          <w:color w:val="000000" w:themeColor="text1"/>
          <w:sz w:val="24"/>
          <w:szCs w:val="28"/>
        </w:rPr>
        <w:t>)</w:t>
      </w:r>
      <w:r w:rsidRPr="00223597">
        <w:rPr>
          <w:rFonts w:ascii="Times New Roman" w:hAnsi="Times New Roman" w:cs="Times New Roman"/>
          <w:color w:val="000000" w:themeColor="text1"/>
          <w:sz w:val="24"/>
          <w:szCs w:val="28"/>
        </w:rPr>
        <w:t xml:space="preserve"> in </w:t>
      </w:r>
      <w:proofErr w:type="spellStart"/>
      <w:r w:rsidRPr="00223597">
        <w:rPr>
          <w:rFonts w:ascii="Times New Roman" w:hAnsi="Times New Roman" w:cs="Times New Roman"/>
          <w:color w:val="000000" w:themeColor="text1"/>
          <w:sz w:val="24"/>
          <w:szCs w:val="28"/>
        </w:rPr>
        <w:t>Seodaemun-gu</w:t>
      </w:r>
      <w:proofErr w:type="spellEnd"/>
      <w:r w:rsidRPr="00223597">
        <w:rPr>
          <w:rFonts w:ascii="Times New Roman" w:hAnsi="Times New Roman" w:cs="Times New Roman"/>
          <w:color w:val="000000" w:themeColor="text1"/>
          <w:sz w:val="24"/>
          <w:szCs w:val="28"/>
        </w:rPr>
        <w:t xml:space="preserve">, Seoul, died due to the heatwave. In August 2022, a tragic incident occurred when a family living in a semi-basement apartment in </w:t>
      </w:r>
      <w:proofErr w:type="spellStart"/>
      <w:r w:rsidRPr="00223597">
        <w:rPr>
          <w:rFonts w:ascii="Times New Roman" w:hAnsi="Times New Roman" w:cs="Times New Roman"/>
          <w:color w:val="000000" w:themeColor="text1"/>
          <w:sz w:val="24"/>
          <w:szCs w:val="28"/>
        </w:rPr>
        <w:t>Sillim</w:t>
      </w:r>
      <w:proofErr w:type="spellEnd"/>
      <w:r w:rsidRPr="00223597">
        <w:rPr>
          <w:rFonts w:ascii="Times New Roman" w:hAnsi="Times New Roman" w:cs="Times New Roman"/>
          <w:color w:val="000000" w:themeColor="text1"/>
          <w:sz w:val="24"/>
          <w:szCs w:val="28"/>
        </w:rPr>
        <w:t xml:space="preserve">-dong, </w:t>
      </w:r>
      <w:proofErr w:type="spellStart"/>
      <w:r w:rsidRPr="00223597">
        <w:rPr>
          <w:rFonts w:ascii="Times New Roman" w:hAnsi="Times New Roman" w:cs="Times New Roman"/>
          <w:color w:val="000000" w:themeColor="text1"/>
          <w:sz w:val="24"/>
          <w:szCs w:val="28"/>
        </w:rPr>
        <w:t>Gwanak-gu</w:t>
      </w:r>
      <w:proofErr w:type="spellEnd"/>
      <w:r w:rsidRPr="00223597">
        <w:rPr>
          <w:rFonts w:ascii="Times New Roman" w:hAnsi="Times New Roman" w:cs="Times New Roman"/>
          <w:color w:val="000000" w:themeColor="text1"/>
          <w:sz w:val="24"/>
          <w:szCs w:val="28"/>
        </w:rPr>
        <w:t xml:space="preserve">, Seoul, drowned during record-breaking heavy rains, unable to escape their flooded </w:t>
      </w:r>
      <w:r w:rsidRPr="00223597">
        <w:rPr>
          <w:rFonts w:ascii="Times New Roman" w:hAnsi="Times New Roman" w:cs="Times New Roman"/>
          <w:color w:val="000000" w:themeColor="text1"/>
          <w:sz w:val="24"/>
          <w:szCs w:val="28"/>
        </w:rPr>
        <w:lastRenderedPageBreak/>
        <w:t>home</w:t>
      </w:r>
      <w:r w:rsidR="00D437C8" w:rsidRPr="00223597">
        <w:rPr>
          <w:rFonts w:ascii="Times New Roman" w:hAnsi="Times New Roman" w:cs="Times New Roman"/>
          <w:color w:val="000000" w:themeColor="text1"/>
          <w:sz w:val="24"/>
          <w:szCs w:val="28"/>
        </w:rPr>
        <w:t>.</w:t>
      </w:r>
      <w:r w:rsidR="00D437C8" w:rsidRPr="00223597">
        <w:rPr>
          <w:rStyle w:val="ab"/>
          <w:rFonts w:ascii="Times New Roman" w:hAnsi="Times New Roman" w:cs="Times New Roman"/>
          <w:color w:val="000000" w:themeColor="text1"/>
          <w:sz w:val="24"/>
          <w:szCs w:val="28"/>
        </w:rPr>
        <w:footnoteReference w:id="20"/>
      </w:r>
      <w:r w:rsidR="00D437C8" w:rsidRPr="00223597">
        <w:rPr>
          <w:rFonts w:ascii="Times New Roman" w:hAnsi="Times New Roman" w:cs="Times New Roman"/>
          <w:color w:val="000000" w:themeColor="text1"/>
          <w:sz w:val="24"/>
          <w:szCs w:val="28"/>
        </w:rPr>
        <w:t xml:space="preserve"> </w:t>
      </w:r>
    </w:p>
    <w:p w14:paraId="4F80BCB6" w14:textId="5920B4B6" w:rsidR="002135C1" w:rsidRPr="00223597" w:rsidRDefault="00911836" w:rsidP="002135C1">
      <w:pPr>
        <w:numPr>
          <w:ilvl w:val="0"/>
          <w:numId w:val="24"/>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 Amidst the global surge in climate litigation challenging government responses to the climate crisis, four constitutional complaints</w:t>
      </w:r>
      <w:r w:rsidRPr="00223597">
        <w:rPr>
          <w:rStyle w:val="ab"/>
          <w:rFonts w:ascii="Times New Roman" w:hAnsi="Times New Roman" w:cs="Times New Roman"/>
          <w:color w:val="000000" w:themeColor="text1"/>
          <w:sz w:val="24"/>
          <w:szCs w:val="28"/>
        </w:rPr>
        <w:footnoteReference w:id="21"/>
      </w:r>
      <w:r w:rsidRPr="00223597">
        <w:rPr>
          <w:rFonts w:ascii="Times New Roman" w:hAnsi="Times New Roman" w:cs="Times New Roman"/>
          <w:color w:val="000000" w:themeColor="text1"/>
          <w:sz w:val="24"/>
          <w:szCs w:val="28"/>
        </w:rPr>
        <w:t xml:space="preserve"> related to the climate crisis have been filed in Korea. The complaints argue that the nationally determined contribution (NDC) targets set by law are underestimated</w:t>
      </w:r>
      <w:r w:rsidRPr="00223597">
        <w:rPr>
          <w:rStyle w:val="ab"/>
          <w:rFonts w:ascii="Times New Roman" w:hAnsi="Times New Roman" w:cs="Times New Roman"/>
          <w:color w:val="000000" w:themeColor="text1"/>
          <w:sz w:val="24"/>
          <w:szCs w:val="28"/>
        </w:rPr>
        <w:footnoteReference w:id="22"/>
      </w:r>
      <w:r w:rsidRPr="00223597">
        <w:rPr>
          <w:rFonts w:ascii="Times New Roman" w:hAnsi="Times New Roman" w:cs="Times New Roman"/>
          <w:color w:val="000000" w:themeColor="text1"/>
          <w:sz w:val="24"/>
          <w:szCs w:val="28"/>
        </w:rPr>
        <w:t>, making it difficult to achieve the goals established by the Paris Agreement</w:t>
      </w:r>
      <w:r w:rsidRPr="00223597">
        <w:rPr>
          <w:rStyle w:val="ab"/>
          <w:rFonts w:ascii="Times New Roman" w:hAnsi="Times New Roman" w:cs="Times New Roman"/>
          <w:color w:val="000000" w:themeColor="text1"/>
          <w:sz w:val="24"/>
          <w:szCs w:val="28"/>
        </w:rPr>
        <w:footnoteReference w:id="23"/>
      </w:r>
      <w:r w:rsidRPr="00223597">
        <w:rPr>
          <w:rFonts w:ascii="Times New Roman" w:hAnsi="Times New Roman" w:cs="Times New Roman"/>
          <w:color w:val="000000" w:themeColor="text1"/>
          <w:sz w:val="24"/>
          <w:szCs w:val="28"/>
        </w:rPr>
        <w:t xml:space="preserve"> and excessively infringing upon the petitioners’ fundamental rights. On August 29, 2024, the Constitutional Court ruled that Article 8(1) of the Framework Act on Carbon Neutrality and its enforcement decree, which set the reduction target at 40% by 2030 compared to 2018 levels, do not violate the petitioners’ fundamental rights such as the right to a healthy environment. However, the Court found that the absence of any quantitative reduction targets for the period from 2031 to 2049 fails to effectively ensure gradual and sustained reductions toward the 2050 carbon neutrality goal. It concluded that this regulatory approach shifts an excessive burden to the future, thereby violating the principles of minimum protection and legal reservation, and breached the obligation to protect fundamental rights, issuing a constitutional invalidity decision. </w:t>
      </w:r>
    </w:p>
    <w:p w14:paraId="0DC24CA2" w14:textId="2B20DC6E" w:rsidR="00823D62" w:rsidRPr="00223597" w:rsidRDefault="00823D62" w:rsidP="002135C1">
      <w:pPr>
        <w:numPr>
          <w:ilvl w:val="0"/>
          <w:numId w:val="24"/>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In November 2022, the NHRCK expressed to the President that responses to the climate crisis must be approached from a human rights perspective. The main points included: (a) Recognizing the protection and promotion of the human rights of all people amid the climate crisis as a fundamental obligation of the State and improving related laws and regulations; (b) Analyzing the threats posed by climate change to vulnerable groups’ employment, working conditions, housing, health, and sanitation, and formulating measures to protect and strengthen the adaptive capacity of these groups;</w:t>
      </w:r>
      <w:r w:rsidR="008806FD"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(c) Raising the 2030 national greenhouse gas reduction target and setting reduction targets beyond 2030 in the Enforcement Decree of the Framework Act on Carbon Neutrality and Green Growth for Climate Crisis Response;</w:t>
      </w:r>
      <w:r w:rsidR="008806FD"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(d) Ensuring participation and reflection of opinions from vulnerable groups such as farmers, workers, persons with disabilities, migrants, and consumers when setting national greenhouse gas reduction targets;</w:t>
      </w:r>
      <w:r w:rsidR="008806FD"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(e) Strengthening corporate disclosure related to climate change, among other recommendations conveyed to the government.</w:t>
      </w:r>
      <w:r w:rsidR="008806FD"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 xml:space="preserve">Furthermore, on April 28, 2025, the </w:t>
      </w:r>
      <w:r w:rsidR="00612F79" w:rsidRPr="00223597">
        <w:rPr>
          <w:rFonts w:ascii="Times New Roman" w:hAnsi="Times New Roman" w:cs="Times New Roman"/>
          <w:color w:val="000000" w:themeColor="text1"/>
          <w:sz w:val="24"/>
          <w:szCs w:val="28"/>
        </w:rPr>
        <w:t>NHRCK</w:t>
      </w:r>
      <w:r w:rsidRPr="00223597">
        <w:rPr>
          <w:rFonts w:ascii="Times New Roman" w:hAnsi="Times New Roman" w:cs="Times New Roman"/>
          <w:color w:val="000000" w:themeColor="text1"/>
          <w:sz w:val="24"/>
          <w:szCs w:val="28"/>
        </w:rPr>
        <w:t xml:space="preserve"> recommended that the government establish a '2035 NDC' aligned with international standards to limit the global average temperature rise to 1.5℃, including a 60% reduction in net greenhouse gas emissions by 2035 compared to 2019 levels.</w:t>
      </w:r>
    </w:p>
    <w:p w14:paraId="51E8F152" w14:textId="77777777" w:rsidR="00211BBC" w:rsidRPr="00223597" w:rsidRDefault="00211BBC" w:rsidP="00211BBC">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lastRenderedPageBreak/>
        <w:t>Suggested Questions</w:t>
      </w:r>
    </w:p>
    <w:p w14:paraId="707EB81E" w14:textId="007A7A7D" w:rsidR="00211BBC" w:rsidRPr="00223597" w:rsidRDefault="000470A0" w:rsidP="00211BBC">
      <w:pPr>
        <w:numPr>
          <w:ilvl w:val="0"/>
          <w:numId w:val="25"/>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the implementation efforts the State party has undertaken to achieve the goal of limiting the global temperature increase to within 1.5℃. Also, please explain how the State party plans to carry out follow-up measures in response to the Constitutional Court’s decision of constitutional invalidity regarding Article 8, Paragraph 1 of the Framework Act on Carbon Neutrality and Green Growth for Climate Crisis Response</w:t>
      </w:r>
      <w:r w:rsidR="00C007D2" w:rsidRPr="00223597">
        <w:rPr>
          <w:rFonts w:ascii="Times New Roman" w:hAnsi="Times New Roman" w:cs="Times New Roman"/>
          <w:color w:val="000000" w:themeColor="text1"/>
          <w:sz w:val="24"/>
          <w:szCs w:val="28"/>
        </w:rPr>
        <w:t xml:space="preserve">. </w:t>
      </w:r>
    </w:p>
    <w:p w14:paraId="486A553A" w14:textId="6E414AE3" w:rsidR="00211BBC" w:rsidRPr="00223597" w:rsidRDefault="000470A0" w:rsidP="00211BBC">
      <w:pPr>
        <w:numPr>
          <w:ilvl w:val="0"/>
          <w:numId w:val="25"/>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What is the State party’s position on the </w:t>
      </w:r>
      <w:r w:rsidR="00C007D2" w:rsidRPr="00223597">
        <w:rPr>
          <w:rFonts w:ascii="Times New Roman" w:hAnsi="Times New Roman" w:cs="Times New Roman"/>
          <w:color w:val="000000" w:themeColor="text1"/>
          <w:sz w:val="24"/>
          <w:szCs w:val="28"/>
        </w:rPr>
        <w:t xml:space="preserve">NHRCK’s </w:t>
      </w:r>
      <w:r w:rsidRPr="00223597">
        <w:rPr>
          <w:rFonts w:ascii="Times New Roman" w:hAnsi="Times New Roman" w:cs="Times New Roman"/>
          <w:color w:val="000000" w:themeColor="text1"/>
          <w:sz w:val="24"/>
          <w:szCs w:val="28"/>
        </w:rPr>
        <w:t>2022 opinion statement on the climate crisis and human rights? If any measures have been taken to implement the contents of the opinion statement, please provide relevant information</w:t>
      </w:r>
      <w:r w:rsidR="00C007D2" w:rsidRPr="00223597">
        <w:rPr>
          <w:rFonts w:ascii="Times New Roman" w:hAnsi="Times New Roman" w:cs="Times New Roman"/>
          <w:color w:val="000000" w:themeColor="text1"/>
          <w:sz w:val="24"/>
          <w:szCs w:val="28"/>
        </w:rPr>
        <w:t xml:space="preserve">. </w:t>
      </w:r>
    </w:p>
    <w:p w14:paraId="32547580" w14:textId="40248E91" w:rsidR="00211BBC" w:rsidRPr="00223597" w:rsidRDefault="00C007D2" w:rsidP="00211BBC">
      <w:pPr>
        <w:numPr>
          <w:ilvl w:val="0"/>
          <w:numId w:val="25"/>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the policies that the State party is currently implementing or plans to implement to protect the life and health of residents living in inadequate housing vulnerable to climate crisis-related disasters</w:t>
      </w:r>
      <w:r w:rsidR="00211BBC" w:rsidRPr="00223597">
        <w:rPr>
          <w:rFonts w:ascii="Times New Roman" w:hAnsi="Times New Roman" w:cs="Times New Roman"/>
          <w:color w:val="000000" w:themeColor="text1"/>
          <w:sz w:val="24"/>
          <w:szCs w:val="28"/>
        </w:rPr>
        <w:t>.</w:t>
      </w:r>
    </w:p>
    <w:p w14:paraId="75E7504E" w14:textId="77777777" w:rsidR="007005CE" w:rsidRPr="00223597" w:rsidRDefault="007005CE" w:rsidP="00211BBC">
      <w:pPr>
        <w:rPr>
          <w:rFonts w:ascii="Times New Roman" w:hAnsi="Times New Roman" w:cs="Times New Roman"/>
          <w:b/>
          <w:bCs/>
          <w:color w:val="000000" w:themeColor="text1"/>
          <w:sz w:val="24"/>
          <w:szCs w:val="28"/>
        </w:rPr>
      </w:pPr>
    </w:p>
    <w:p w14:paraId="60D43DD2" w14:textId="5A7FDA52" w:rsidR="00211BBC" w:rsidRPr="00223597" w:rsidRDefault="00211BBC" w:rsidP="00211BBC">
      <w:pPr>
        <w:rPr>
          <w:rFonts w:ascii="Times New Roman" w:hAnsi="Times New Roman" w:cs="Times New Roman"/>
          <w:b/>
          <w:bCs/>
          <w:color w:val="000000" w:themeColor="text1"/>
          <w:sz w:val="24"/>
          <w:szCs w:val="28"/>
        </w:rPr>
      </w:pPr>
      <w:r w:rsidRPr="00223597">
        <w:rPr>
          <w:rFonts w:ascii="Times New Roman" w:hAnsi="Times New Roman" w:cs="Times New Roman"/>
          <w:b/>
          <w:bCs/>
          <w:color w:val="000000" w:themeColor="text1"/>
          <w:sz w:val="24"/>
          <w:szCs w:val="28"/>
        </w:rPr>
        <w:t xml:space="preserve">Issue 13: </w:t>
      </w:r>
      <w:r w:rsidR="00CB0F35" w:rsidRPr="00223597">
        <w:rPr>
          <w:rFonts w:ascii="Times New Roman" w:hAnsi="Times New Roman" w:cs="Times New Roman"/>
          <w:b/>
          <w:bCs/>
          <w:color w:val="000000" w:themeColor="text1"/>
          <w:sz w:val="24"/>
          <w:szCs w:val="28"/>
        </w:rPr>
        <w:t xml:space="preserve">Competitive </w:t>
      </w:r>
      <w:r w:rsidR="00FA0F80" w:rsidRPr="00223597">
        <w:rPr>
          <w:rFonts w:ascii="Times New Roman" w:hAnsi="Times New Roman" w:cs="Times New Roman"/>
          <w:b/>
          <w:bCs/>
          <w:color w:val="000000" w:themeColor="text1"/>
          <w:sz w:val="24"/>
          <w:szCs w:val="28"/>
        </w:rPr>
        <w:t>S</w:t>
      </w:r>
      <w:r w:rsidR="00CB0F35" w:rsidRPr="00223597">
        <w:rPr>
          <w:rFonts w:ascii="Times New Roman" w:hAnsi="Times New Roman" w:cs="Times New Roman"/>
          <w:b/>
          <w:bCs/>
          <w:color w:val="000000" w:themeColor="text1"/>
          <w:sz w:val="24"/>
          <w:szCs w:val="28"/>
        </w:rPr>
        <w:t>chooling relying o</w:t>
      </w:r>
      <w:r w:rsidR="008B363E" w:rsidRPr="00223597">
        <w:rPr>
          <w:rFonts w:ascii="Times New Roman" w:hAnsi="Times New Roman" w:cs="Times New Roman"/>
          <w:b/>
          <w:bCs/>
          <w:color w:val="000000" w:themeColor="text1"/>
          <w:sz w:val="24"/>
          <w:szCs w:val="28"/>
        </w:rPr>
        <w:t>n Private Education</w:t>
      </w:r>
      <w:r w:rsidR="00CB0F35" w:rsidRPr="00223597">
        <w:rPr>
          <w:rFonts w:ascii="Times New Roman" w:hAnsi="Times New Roman" w:cs="Times New Roman"/>
          <w:b/>
          <w:bCs/>
          <w:color w:val="000000" w:themeColor="text1"/>
          <w:sz w:val="24"/>
          <w:szCs w:val="28"/>
        </w:rPr>
        <w:t xml:space="preserve"> </w:t>
      </w:r>
      <w:r w:rsidR="008B363E" w:rsidRPr="00223597">
        <w:rPr>
          <w:rFonts w:ascii="Times New Roman" w:hAnsi="Times New Roman" w:cs="Times New Roman"/>
          <w:b/>
          <w:bCs/>
          <w:color w:val="000000" w:themeColor="text1"/>
          <w:sz w:val="24"/>
          <w:szCs w:val="28"/>
        </w:rPr>
        <w:t>and the Possibility of Upward Social Mobility (Concluding Observations, para. 64)</w:t>
      </w:r>
    </w:p>
    <w:p w14:paraId="4954792E" w14:textId="77777777" w:rsidR="00211BBC" w:rsidRPr="00223597" w:rsidRDefault="00211BBC" w:rsidP="00211BBC">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Current Status</w:t>
      </w:r>
    </w:p>
    <w:p w14:paraId="48B9B606" w14:textId="231E0206" w:rsidR="00211BBC" w:rsidRPr="00223597" w:rsidRDefault="00CB0F35" w:rsidP="00211BBC">
      <w:pPr>
        <w:numPr>
          <w:ilvl w:val="0"/>
          <w:numId w:val="26"/>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Although nearly ten years have passed since the enforcement of the Special Act on the Promotion of Normalization of Public Education and Regulation of Preemptive Education (abbreviated as the “Public Education Normalization Act”), the scope of regulation remains limited to school curricula and individual school admission procedures, excluding the College Scholastic Ability Test, which has the greatest impact on the majority of students.</w:t>
      </w:r>
      <w:r w:rsidR="00196028" w:rsidRPr="00223597">
        <w:rPr>
          <w:rStyle w:val="ab"/>
          <w:rFonts w:ascii="Times New Roman" w:hAnsi="Times New Roman" w:cs="Times New Roman"/>
          <w:color w:val="000000" w:themeColor="text1"/>
          <w:sz w:val="24"/>
          <w:szCs w:val="28"/>
        </w:rPr>
        <w:footnoteReference w:id="24"/>
      </w:r>
    </w:p>
    <w:p w14:paraId="1788D5A1" w14:textId="2C9B8588" w:rsidR="00211BBC" w:rsidRPr="00223597" w:rsidRDefault="003B20B9" w:rsidP="003B20B9">
      <w:pPr>
        <w:numPr>
          <w:ilvl w:val="0"/>
          <w:numId w:val="26"/>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In Korea, the rate of participation in private education temporarily declined at the onset of the COVID-19 pandemic but soon returned to pre-pandemic levels, reaching an all-time high in 2024</w:t>
      </w:r>
      <w:r w:rsidRPr="00223597">
        <w:rPr>
          <w:rStyle w:val="ab"/>
          <w:rFonts w:ascii="Times New Roman" w:hAnsi="Times New Roman" w:cs="Times New Roman"/>
          <w:color w:val="000000" w:themeColor="text1"/>
          <w:sz w:val="24"/>
          <w:szCs w:val="28"/>
        </w:rPr>
        <w:footnoteReference w:id="25"/>
      </w:r>
      <w:r w:rsidRPr="00223597">
        <w:rPr>
          <w:rFonts w:ascii="Times New Roman" w:hAnsi="Times New Roman" w:cs="Times New Roman"/>
          <w:color w:val="000000" w:themeColor="text1"/>
          <w:sz w:val="24"/>
          <w:szCs w:val="28"/>
        </w:rPr>
        <w:t>. As is widely known, participation in private education and the amount spent on it are closely linked to parents’ economic status.</w:t>
      </w:r>
      <w:r w:rsidRPr="00223597">
        <w:rPr>
          <w:rStyle w:val="ab"/>
          <w:rFonts w:ascii="Times New Roman" w:hAnsi="Times New Roman" w:cs="Times New Roman"/>
          <w:color w:val="000000" w:themeColor="text1"/>
          <w:sz w:val="24"/>
          <w:szCs w:val="28"/>
        </w:rPr>
        <w:footnoteReference w:id="26"/>
      </w:r>
    </w:p>
    <w:p w14:paraId="777845F8" w14:textId="77777777" w:rsidR="00211BBC" w:rsidRPr="00223597" w:rsidRDefault="00211BBC" w:rsidP="00211BBC">
      <w:pPr>
        <w:numPr>
          <w:ilvl w:val="0"/>
          <w:numId w:val="26"/>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Early involvement in private education contributes to insufficient rest and excessive competition, harming children’s healthy development. The financial burden of private education reduces parents’ disposable income, undermining their ability to prepare for </w:t>
      </w:r>
      <w:r w:rsidRPr="00223597">
        <w:rPr>
          <w:rFonts w:ascii="Times New Roman" w:hAnsi="Times New Roman" w:cs="Times New Roman"/>
          <w:color w:val="000000" w:themeColor="text1"/>
          <w:sz w:val="24"/>
          <w:szCs w:val="28"/>
        </w:rPr>
        <w:lastRenderedPageBreak/>
        <w:t>retirement.</w:t>
      </w:r>
    </w:p>
    <w:p w14:paraId="1207843F" w14:textId="4CAE4D68" w:rsidR="00810218" w:rsidRPr="00223597" w:rsidRDefault="00810218" w:rsidP="0063564C">
      <w:pPr>
        <w:numPr>
          <w:ilvl w:val="0"/>
          <w:numId w:val="26"/>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On November 10, 2022, a constitutional complaint</w:t>
      </w:r>
      <w:r w:rsidR="0063564C" w:rsidRPr="00223597">
        <w:rPr>
          <w:rFonts w:ascii="Times New Roman" w:hAnsi="Times New Roman" w:cs="Times New Roman"/>
          <w:color w:val="000000" w:themeColor="text1"/>
          <w:sz w:val="24"/>
          <w:szCs w:val="28"/>
        </w:rPr>
        <w:t xml:space="preserve"> regarding relative evaluation system for college admission </w:t>
      </w:r>
      <w:r w:rsidRPr="00223597">
        <w:rPr>
          <w:rFonts w:ascii="Times New Roman" w:hAnsi="Times New Roman" w:cs="Times New Roman"/>
          <w:color w:val="000000" w:themeColor="text1"/>
          <w:sz w:val="24"/>
          <w:szCs w:val="28"/>
        </w:rPr>
        <w:t>was filed by high school second- and third-year students, claiming that the current relative evaluation system for college admissions violates their rights to education, the pursuit of happiness, health, sleep, and leisure. The case is currently under review by the Constitutional Court.</w:t>
      </w:r>
    </w:p>
    <w:p w14:paraId="02096311" w14:textId="77777777" w:rsidR="00211BBC" w:rsidRPr="00223597" w:rsidRDefault="00211BBC" w:rsidP="00211BBC">
      <w:pPr>
        <w:rPr>
          <w:rFonts w:ascii="Times New Roman" w:hAnsi="Times New Roman" w:cs="Times New Roman"/>
          <w:color w:val="000000" w:themeColor="text1"/>
          <w:sz w:val="24"/>
          <w:szCs w:val="28"/>
        </w:rPr>
      </w:pPr>
      <w:r w:rsidRPr="00223597">
        <w:rPr>
          <w:rFonts w:ascii="Times New Roman" w:hAnsi="Times New Roman" w:cs="Times New Roman"/>
          <w:b/>
          <w:bCs/>
          <w:color w:val="000000" w:themeColor="text1"/>
          <w:sz w:val="24"/>
          <w:szCs w:val="28"/>
        </w:rPr>
        <w:t>Suggested Questions</w:t>
      </w:r>
    </w:p>
    <w:p w14:paraId="3D2A3A53" w14:textId="77777777" w:rsidR="00211BBC" w:rsidRPr="00223597" w:rsidRDefault="00211BBC" w:rsidP="00211BBC">
      <w:pPr>
        <w:numPr>
          <w:ilvl w:val="0"/>
          <w:numId w:val="27"/>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Please provide information on legislative or policy measures planned to reduce excessive reliance on private education and incentives for preemptive learning.</w:t>
      </w:r>
    </w:p>
    <w:p w14:paraId="180C5002" w14:textId="54CE5518" w:rsidR="00211BBC" w:rsidRPr="00223597" w:rsidRDefault="00211BBC" w:rsidP="00211BBC">
      <w:pPr>
        <w:numPr>
          <w:ilvl w:val="0"/>
          <w:numId w:val="27"/>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provide data assessing the impact of the </w:t>
      </w:r>
      <w:r w:rsidR="00EE5D16" w:rsidRPr="00223597">
        <w:rPr>
          <w:rFonts w:ascii="Times New Roman" w:hAnsi="Times New Roman" w:cs="Times New Roman"/>
          <w:color w:val="000000" w:themeColor="text1"/>
          <w:sz w:val="24"/>
          <w:szCs w:val="28"/>
        </w:rPr>
        <w:t xml:space="preserve">Public Education Normalization Act </w:t>
      </w:r>
      <w:r w:rsidRPr="00223597">
        <w:rPr>
          <w:rFonts w:ascii="Times New Roman" w:hAnsi="Times New Roman" w:cs="Times New Roman"/>
          <w:color w:val="000000" w:themeColor="text1"/>
          <w:sz w:val="24"/>
          <w:szCs w:val="28"/>
        </w:rPr>
        <w:t>over the past 10 years, particularly its effects on reducing incentives for preemptive learning, alleviating private education burdens, and ensuring equal access to education for students from low-income families.</w:t>
      </w:r>
    </w:p>
    <w:p w14:paraId="73F7AA83" w14:textId="08017842" w:rsidR="00470D65" w:rsidRPr="00223597" w:rsidRDefault="00EE5D16" w:rsidP="007005CE">
      <w:pPr>
        <w:numPr>
          <w:ilvl w:val="0"/>
          <w:numId w:val="27"/>
        </w:numPr>
        <w:rPr>
          <w:rFonts w:ascii="Times New Roman" w:hAnsi="Times New Roman" w:cs="Times New Roman"/>
          <w:color w:val="000000" w:themeColor="text1"/>
          <w:sz w:val="24"/>
          <w:szCs w:val="28"/>
        </w:rPr>
      </w:pPr>
      <w:r w:rsidRPr="00223597">
        <w:rPr>
          <w:rFonts w:ascii="Times New Roman" w:hAnsi="Times New Roman" w:cs="Times New Roman"/>
          <w:color w:val="000000" w:themeColor="text1"/>
          <w:sz w:val="24"/>
          <w:szCs w:val="28"/>
        </w:rPr>
        <w:t xml:space="preserve">Please provide statistics </w:t>
      </w:r>
      <w:r w:rsidR="00755BDF" w:rsidRPr="00223597">
        <w:rPr>
          <w:rFonts w:ascii="Times New Roman" w:hAnsi="Times New Roman" w:cs="Times New Roman"/>
          <w:color w:val="000000" w:themeColor="text1"/>
          <w:sz w:val="24"/>
          <w:szCs w:val="28"/>
        </w:rPr>
        <w:t>from</w:t>
      </w:r>
      <w:r w:rsidRPr="00223597">
        <w:rPr>
          <w:rFonts w:ascii="Times New Roman" w:hAnsi="Times New Roman" w:cs="Times New Roman"/>
          <w:color w:val="000000" w:themeColor="text1"/>
          <w:sz w:val="24"/>
          <w:szCs w:val="28"/>
        </w:rPr>
        <w:t xml:space="preserve"> 2017</w:t>
      </w:r>
      <w:r w:rsidR="0097048D" w:rsidRPr="00223597">
        <w:rPr>
          <w:rFonts w:ascii="Times New Roman" w:hAnsi="Times New Roman" w:cs="Times New Roman"/>
          <w:color w:val="000000" w:themeColor="text1"/>
          <w:sz w:val="24"/>
          <w:szCs w:val="28"/>
        </w:rPr>
        <w:t xml:space="preserve"> on </w:t>
      </w:r>
      <w:r w:rsidRPr="00223597">
        <w:rPr>
          <w:rFonts w:ascii="Times New Roman" w:hAnsi="Times New Roman" w:cs="Times New Roman"/>
          <w:color w:val="000000" w:themeColor="text1"/>
          <w:sz w:val="24"/>
          <w:szCs w:val="28"/>
        </w:rPr>
        <w:t>the rate of participation in private education among kindergarten, primary, middle, and high school students</w:t>
      </w:r>
      <w:r w:rsidR="0097048D"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per-student private education expenditures by household income level; and</w:t>
      </w:r>
      <w:r w:rsidR="0097048D" w:rsidRPr="00223597">
        <w:rPr>
          <w:rFonts w:ascii="Times New Roman" w:hAnsi="Times New Roman" w:cs="Times New Roman"/>
          <w:color w:val="000000" w:themeColor="text1"/>
          <w:sz w:val="24"/>
          <w:szCs w:val="28"/>
        </w:rPr>
        <w:t xml:space="preserve"> </w:t>
      </w:r>
      <w:r w:rsidRPr="00223597">
        <w:rPr>
          <w:rFonts w:ascii="Times New Roman" w:hAnsi="Times New Roman" w:cs="Times New Roman"/>
          <w:color w:val="000000" w:themeColor="text1"/>
          <w:sz w:val="24"/>
          <w:szCs w:val="28"/>
        </w:rPr>
        <w:t>the household income levels of students admitted to top-ranking universities.</w:t>
      </w:r>
    </w:p>
    <w:sectPr w:rsidR="00470D65" w:rsidRPr="002235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C60C1" w14:textId="77777777" w:rsidR="00253F05" w:rsidRDefault="00253F05" w:rsidP="00C44408">
      <w:pPr>
        <w:spacing w:after="0"/>
      </w:pPr>
      <w:r>
        <w:separator/>
      </w:r>
    </w:p>
  </w:endnote>
  <w:endnote w:type="continuationSeparator" w:id="0">
    <w:p w14:paraId="0F06CA86" w14:textId="77777777" w:rsidR="00253F05" w:rsidRDefault="00253F05" w:rsidP="00C4440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E87E7" w14:textId="77777777" w:rsidR="00253F05" w:rsidRDefault="00253F05" w:rsidP="00C44408">
      <w:pPr>
        <w:spacing w:after="0"/>
      </w:pPr>
      <w:r>
        <w:separator/>
      </w:r>
    </w:p>
  </w:footnote>
  <w:footnote w:type="continuationSeparator" w:id="0">
    <w:p w14:paraId="2E58CB58" w14:textId="77777777" w:rsidR="00253F05" w:rsidRDefault="00253F05" w:rsidP="00C44408">
      <w:pPr>
        <w:spacing w:after="0"/>
      </w:pPr>
      <w:r>
        <w:continuationSeparator/>
      </w:r>
    </w:p>
  </w:footnote>
  <w:footnote w:id="1">
    <w:p w14:paraId="33CB999E" w14:textId="59B5C78C" w:rsidR="00C44408" w:rsidRPr="008E0A01" w:rsidRDefault="00C44408"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4960A3" w:rsidRPr="008E0A01">
        <w:rPr>
          <w:rFonts w:ascii="Times New Roman" w:hAnsi="Times New Roman" w:cs="Times New Roman"/>
          <w:sz w:val="18"/>
          <w:szCs w:val="18"/>
        </w:rPr>
        <w:t>NHRCK, Material Book, Debate on 4</w:t>
      </w:r>
      <w:r w:rsidR="004960A3" w:rsidRPr="008E0A01">
        <w:rPr>
          <w:rFonts w:ascii="Times New Roman" w:hAnsi="Times New Roman" w:cs="Times New Roman"/>
          <w:sz w:val="18"/>
          <w:szCs w:val="18"/>
          <w:vertAlign w:val="superscript"/>
        </w:rPr>
        <w:t>th</w:t>
      </w:r>
      <w:r w:rsidR="004960A3" w:rsidRPr="008E0A01">
        <w:rPr>
          <w:rFonts w:ascii="Times New Roman" w:hAnsi="Times New Roman" w:cs="Times New Roman"/>
          <w:sz w:val="18"/>
          <w:szCs w:val="18"/>
        </w:rPr>
        <w:t xml:space="preserve"> National Human Rights Plans of Action</w:t>
      </w:r>
      <w:r w:rsidR="001D2C1E" w:rsidRPr="008E0A01">
        <w:rPr>
          <w:rFonts w:ascii="Times New Roman" w:hAnsi="Times New Roman" w:cs="Times New Roman"/>
          <w:sz w:val="18"/>
          <w:szCs w:val="18"/>
        </w:rPr>
        <w:t xml:space="preserve"> </w:t>
      </w:r>
      <w:r w:rsidR="004960A3" w:rsidRPr="008E0A01">
        <w:rPr>
          <w:rFonts w:ascii="Times New Roman" w:hAnsi="Times New Roman" w:cs="Times New Roman"/>
          <w:sz w:val="18"/>
          <w:szCs w:val="18"/>
        </w:rPr>
        <w:t>(2024. 5)</w:t>
      </w:r>
    </w:p>
  </w:footnote>
  <w:footnote w:id="2">
    <w:p w14:paraId="2304E37F" w14:textId="1825BC7A" w:rsidR="004960A3" w:rsidRPr="008E0A01" w:rsidRDefault="004960A3"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00446AF9" w:rsidRPr="008E0A01">
        <w:rPr>
          <w:rFonts w:ascii="Times New Roman" w:hAnsi="Times New Roman" w:cs="Times New Roman"/>
          <w:sz w:val="18"/>
          <w:szCs w:val="18"/>
        </w:rPr>
        <w:t xml:space="preserve"> “</w:t>
      </w:r>
      <w:r w:rsidRPr="008E0A01">
        <w:rPr>
          <w:rFonts w:ascii="Times New Roman" w:hAnsi="Times New Roman" w:cs="Times New Roman"/>
          <w:sz w:val="18"/>
          <w:szCs w:val="18"/>
        </w:rPr>
        <w:t>In the case of international human rights treaties such as the International Covenant on Civil and Political Rights (ICCPR), the courts must endeavor to interpret not only constitutional fundamental rights but also statutes in a manner consistent with such treaties. Interpreting laws in harmony with international human rights treaties is a duty the judiciary must uphold from the perspective of universal human rights.</w:t>
      </w:r>
      <w:r w:rsidR="00C91A64" w:rsidRPr="008E0A01">
        <w:rPr>
          <w:rFonts w:ascii="Times New Roman" w:hAnsi="Times New Roman" w:cs="Times New Roman"/>
          <w:sz w:val="18"/>
          <w:szCs w:val="18"/>
        </w:rPr>
        <w:t>” “C</w:t>
      </w:r>
      <w:r w:rsidRPr="008E0A01">
        <w:rPr>
          <w:rFonts w:ascii="Times New Roman" w:hAnsi="Times New Roman" w:cs="Times New Roman"/>
          <w:sz w:val="18"/>
          <w:szCs w:val="18"/>
        </w:rPr>
        <w:t xml:space="preserve">onscientious objection to military service should be regarded as constituting a ‘justifiable ground’ under Article 88(1) of the Military Service Act, pursuant to Article 18 of the ICCPR, which, under Article 6(1) of the Constitution, has the same effect as domestic law." (Second supplementary opinion to the majority opinion, Supreme Court </w:t>
      </w:r>
      <w:proofErr w:type="spellStart"/>
      <w:r w:rsidRPr="008E0A01">
        <w:rPr>
          <w:rFonts w:ascii="Times New Roman" w:hAnsi="Times New Roman" w:cs="Times New Roman"/>
          <w:sz w:val="18"/>
          <w:szCs w:val="18"/>
        </w:rPr>
        <w:t>en</w:t>
      </w:r>
      <w:proofErr w:type="spellEnd"/>
      <w:r w:rsidRPr="008E0A01">
        <w:rPr>
          <w:rFonts w:ascii="Times New Roman" w:hAnsi="Times New Roman" w:cs="Times New Roman"/>
          <w:sz w:val="18"/>
          <w:szCs w:val="18"/>
        </w:rPr>
        <w:t xml:space="preserve"> banc decision, 2016Do10912, rendered on November 1, 2018)</w:t>
      </w:r>
    </w:p>
  </w:footnote>
  <w:footnote w:id="3">
    <w:p w14:paraId="2C7AB2E6" w14:textId="44EB9608" w:rsidR="00080E4D" w:rsidRPr="008E0A01" w:rsidRDefault="00080E4D" w:rsidP="007005CE">
      <w:pPr>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To the Minister of Trade, Industry and Energy, it is recommended to (1) enhance </w:t>
      </w:r>
      <w:r w:rsidR="00A035B3" w:rsidRPr="008E0A01">
        <w:rPr>
          <w:rFonts w:ascii="Times New Roman" w:hAnsi="Times New Roman" w:cs="Times New Roman"/>
          <w:sz w:val="18"/>
          <w:szCs w:val="18"/>
        </w:rPr>
        <w:t>t</w:t>
      </w:r>
      <w:r w:rsidRPr="008E0A01">
        <w:rPr>
          <w:rFonts w:ascii="Times New Roman" w:hAnsi="Times New Roman" w:cs="Times New Roman"/>
          <w:sz w:val="18"/>
          <w:szCs w:val="18"/>
        </w:rPr>
        <w:t>he diversity of NCP members; (2) reconsider the delegation of the ‘initial assessment’ function; (3) ensure that the NCP Secretariat is operated directly by a government agency; and (4) establish an advisory body, strengthening cooperation with foreign NCPs, and improve transparency in NCP operations.</w:t>
      </w:r>
      <w:r w:rsidR="00EC5CE0" w:rsidRPr="008E0A01">
        <w:rPr>
          <w:rFonts w:ascii="Times New Roman" w:hAnsi="Times New Roman" w:cs="Times New Roman"/>
          <w:sz w:val="18"/>
          <w:szCs w:val="18"/>
        </w:rPr>
        <w:t>(2024.12.12)</w:t>
      </w:r>
    </w:p>
  </w:footnote>
  <w:footnote w:id="4">
    <w:p w14:paraId="10EBF58E" w14:textId="54A4345F" w:rsidR="00225F80" w:rsidRPr="008E0A01" w:rsidRDefault="00225F80"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0277D9" w:rsidRPr="008E0A01">
        <w:rPr>
          <w:rFonts w:ascii="Times New Roman" w:hAnsi="Times New Roman" w:cs="Times New Roman"/>
          <w:sz w:val="18"/>
          <w:szCs w:val="18"/>
        </w:rPr>
        <w:t>Local residents in Myanmar filed a damages lawsuit in 2016 against Company A, claiming that the company failed to provide adequate explanation and compensation during the development of a gas field in Myanmar, and that local administrative bodies had been coerced into signing land use transfer agreements under the then-military dictatorship. In response, the court ruled that it was reasonable to conclude that Korean courts did not have jurisdiction over the case, noting that the land use rights had in fact been acquired and provided by a Myanmar state-owned enterprise, and that all evidence necessary for valuing the land was located in Myanmar, making it difficult to proceed with the trial in Korea.</w:t>
      </w:r>
    </w:p>
  </w:footnote>
  <w:footnote w:id="5">
    <w:p w14:paraId="6B50F646" w14:textId="35A36DA9" w:rsidR="00BC30C3" w:rsidRPr="008E0A01" w:rsidRDefault="00BC30C3"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Affirmative Action, introduced in 2006, refers to a temporary preferential measure for a specific gender aimed at eliminating gender discrimination in employment or promoting equality. This system applies to public institutions, local public enterprises, and private companies with 500 or more employees. It requires companies whose proportion of female workers and managers falls below 70% of the industry average (by size and sector) to submit an implementation plan, and their progress is subsequently monitored.</w:t>
      </w:r>
    </w:p>
  </w:footnote>
  <w:footnote w:id="6">
    <w:p w14:paraId="1FABE39B" w14:textId="349F35F1" w:rsidR="00BC30C3" w:rsidRPr="008E0A01" w:rsidRDefault="00BC30C3"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276141" w:rsidRPr="008E0A01">
        <w:rPr>
          <w:rFonts w:ascii="Times New Roman" w:hAnsi="Times New Roman" w:cs="Times New Roman"/>
          <w:sz w:val="18"/>
          <w:szCs w:val="18"/>
        </w:rPr>
        <w:t xml:space="preserve">Independent Report Submitted by the </w:t>
      </w:r>
      <w:r w:rsidR="005B01EE" w:rsidRPr="008E0A01">
        <w:rPr>
          <w:rFonts w:ascii="Times New Roman" w:hAnsi="Times New Roman" w:cs="Times New Roman"/>
          <w:sz w:val="18"/>
          <w:szCs w:val="18"/>
        </w:rPr>
        <w:t xml:space="preserve">NHRCK </w:t>
      </w:r>
      <w:r w:rsidR="00276141" w:rsidRPr="008E0A01">
        <w:rPr>
          <w:rFonts w:ascii="Times New Roman" w:hAnsi="Times New Roman" w:cs="Times New Roman"/>
          <w:sz w:val="18"/>
          <w:szCs w:val="18"/>
        </w:rPr>
        <w:t>to the UN Committee on the Elimination of Discrimination against Women (April 15, 2024)</w:t>
      </w:r>
    </w:p>
  </w:footnote>
  <w:footnote w:id="7">
    <w:p w14:paraId="43B06CB6" w14:textId="03F97041" w:rsidR="00DB4D3A" w:rsidRPr="008E0A01" w:rsidRDefault="00DB4D3A"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The court of first instance dismissed the claim on the grounds that marriage is premised on a union between a man and a woman, and that same-sex and different-sex unions cannot be regarded as essentially the same; therefore, differential treatment did not violate the principle of equality. However, the appellate court—the Seoul High Court—held that, in light of the meaning and purpose of the National Health Insurance dependent coverage system, the group of “different-sex de facto spouses of insured employees” and the group of “same-sex partners of insured employees” can be considered essentially the same. The only difference lies in whether the partner in the cohabiting relationship is of the same or opposite sex—a distinction based on sexual orientation. The court concluded that the National Health Insurance Service’s refusal to recognize the plaintiff’s partner as a dependent constituted discriminatory treatment based on sexual orientation toward fundamentally equivalent groups.</w:t>
      </w:r>
    </w:p>
  </w:footnote>
  <w:footnote w:id="8">
    <w:p w14:paraId="0D29396A" w14:textId="01A4DA54" w:rsidR="00C13A5A" w:rsidRPr="008E0A01" w:rsidRDefault="00C13A5A"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534D96" w:rsidRPr="008E0A01">
        <w:rPr>
          <w:rFonts w:ascii="Times New Roman" w:hAnsi="Times New Roman" w:cs="Times New Roman"/>
          <w:sz w:val="18"/>
          <w:szCs w:val="18"/>
        </w:rPr>
        <w:t xml:space="preserve">Article 6 of the Supreme Court’s </w:t>
      </w:r>
      <w:r w:rsidR="00534D96" w:rsidRPr="008E0A01">
        <w:rPr>
          <w:rFonts w:ascii="Times New Roman" w:hAnsi="Times New Roman" w:cs="Times New Roman"/>
          <w:i/>
          <w:iCs/>
          <w:sz w:val="18"/>
          <w:szCs w:val="18"/>
        </w:rPr>
        <w:t>Guidelines for the Handling of Legal Gender Recognition Applications by Transgender Individuals</w:t>
      </w:r>
      <w:r w:rsidR="00534D96" w:rsidRPr="008E0A01">
        <w:rPr>
          <w:rFonts w:ascii="Times New Roman" w:hAnsi="Times New Roman" w:cs="Times New Roman"/>
          <w:sz w:val="18"/>
          <w:szCs w:val="18"/>
        </w:rPr>
        <w:t xml:space="preserve"> lists factors such as whether the applicant has undergone gender-affirming surgery, the removal of reproductive capacity, and whether the applicant has minor children as requirements for legal gender recognition. While these factors are formally described as reference points for consideration, they in practice function as decisive criteria in determining whether to grant legal gender recognition.</w:t>
      </w:r>
    </w:p>
  </w:footnote>
  <w:footnote w:id="9">
    <w:p w14:paraId="2FEAD5C9" w14:textId="523B4C1B" w:rsidR="0042368E" w:rsidRPr="008E0A01" w:rsidRDefault="0042368E"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NHRCK, Policy Recommendation for Institutional Improvement to Guarantee the Childcare Rights of Migrant Children (May 2019)</w:t>
      </w:r>
    </w:p>
  </w:footnote>
  <w:footnote w:id="10">
    <w:p w14:paraId="1A172BC6" w14:textId="0E8B0993" w:rsidR="00F3507F" w:rsidRPr="008E0A01" w:rsidRDefault="00F3507F"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992EA6" w:rsidRPr="008E0A01">
        <w:rPr>
          <w:rFonts w:ascii="Times New Roman" w:hAnsi="Times New Roman" w:cs="Times New Roman"/>
          <w:sz w:val="18"/>
          <w:szCs w:val="18"/>
        </w:rPr>
        <w:t>Housing support programs for the residentially vulnerable, public rental housing programs, and support programs for reducing out-of-pocket medical expenses for individuals just above the poverty line.</w:t>
      </w:r>
    </w:p>
  </w:footnote>
  <w:footnote w:id="11">
    <w:p w14:paraId="421ACC99" w14:textId="2687D91D" w:rsidR="000D0ED8" w:rsidRPr="008E0A01" w:rsidRDefault="000D0ED8"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B803E8" w:rsidRPr="008E0A01">
        <w:rPr>
          <w:rFonts w:ascii="Times New Roman" w:hAnsi="Times New Roman" w:cs="Times New Roman"/>
          <w:sz w:val="18"/>
          <w:szCs w:val="18"/>
        </w:rPr>
        <w:t>Article 19 (Restrictions on Refugee Recognition) of the Partial Amendment to the Refugee Act (Government Bill)</w:t>
      </w:r>
      <w:r w:rsidR="00B803E8" w:rsidRPr="008E0A01">
        <w:rPr>
          <w:rFonts w:ascii="Times New Roman" w:hAnsi="Times New Roman" w:cs="Times New Roman"/>
          <w:sz w:val="18"/>
          <w:szCs w:val="18"/>
        </w:rPr>
        <w:br/>
        <w:t>Even if the Minister of Justice recognizes that a refugee applicant qualifies as a refugee, the Minister may issue a decision of non-recognition of refugee status notwithstanding Article 18(1), if there is reasonable ground to believe that the person falls under any of the following subparagraphs:</w:t>
      </w:r>
      <w:r w:rsidR="00B803E8" w:rsidRPr="008E0A01">
        <w:rPr>
          <w:rFonts w:ascii="Times New Roman" w:hAnsi="Times New Roman" w:cs="Times New Roman"/>
          <w:sz w:val="18"/>
          <w:szCs w:val="18"/>
        </w:rPr>
        <w:br/>
        <w:t>5. Where the individual has harmed or is likely to harm national security, public order, or the public interest.</w:t>
      </w:r>
    </w:p>
  </w:footnote>
  <w:footnote w:id="12">
    <w:p w14:paraId="4078C654" w14:textId="59AF5646" w:rsidR="003D1FEB" w:rsidRPr="008E0A01" w:rsidRDefault="003D1FEB"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803F35" w:rsidRPr="008E0A01">
        <w:rPr>
          <w:rFonts w:ascii="Times New Roman" w:hAnsi="Times New Roman" w:cs="Times New Roman"/>
          <w:sz w:val="18"/>
          <w:szCs w:val="18"/>
        </w:rPr>
        <w:t>Policy Recommendation for the Improvement of the Human Rights Situation of Migrant Workers in the Agriculture and Livestock Sector (2014),</w:t>
      </w:r>
      <w:r w:rsidR="00D151B4" w:rsidRPr="008E0A01">
        <w:rPr>
          <w:rFonts w:ascii="Times New Roman" w:hAnsi="Times New Roman" w:cs="Times New Roman"/>
          <w:sz w:val="18"/>
          <w:szCs w:val="18"/>
        </w:rPr>
        <w:t xml:space="preserve"> </w:t>
      </w:r>
      <w:r w:rsidR="00803F35" w:rsidRPr="008E0A01">
        <w:rPr>
          <w:rFonts w:ascii="Times New Roman" w:hAnsi="Times New Roman" w:cs="Times New Roman"/>
          <w:sz w:val="18"/>
          <w:szCs w:val="18"/>
        </w:rPr>
        <w:t>Policy Recommendation for the Guarantee of the Right to Housing for Migrant Agricultural Workers (2022), and others</w:t>
      </w:r>
    </w:p>
  </w:footnote>
  <w:footnote w:id="13">
    <w:p w14:paraId="2DEC3797" w14:textId="1A71EE85" w:rsidR="00591319" w:rsidRPr="008E0A01" w:rsidRDefault="00591319"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017370" w:rsidRPr="008E0A01">
        <w:rPr>
          <w:rFonts w:ascii="Times New Roman" w:hAnsi="Times New Roman" w:cs="Times New Roman"/>
          <w:sz w:val="18"/>
          <w:szCs w:val="18"/>
        </w:rPr>
        <w:t xml:space="preserve">In this context, in April 2024, the European Parliament adopted the </w:t>
      </w:r>
      <w:r w:rsidR="00017370" w:rsidRPr="008E0A01">
        <w:rPr>
          <w:rFonts w:ascii="Times New Roman" w:hAnsi="Times New Roman" w:cs="Times New Roman"/>
          <w:i/>
          <w:iCs/>
          <w:sz w:val="18"/>
          <w:szCs w:val="18"/>
        </w:rPr>
        <w:t>Directive on Improving Working Conditions in Platform Work</w:t>
      </w:r>
      <w:r w:rsidR="00017370" w:rsidRPr="008E0A01">
        <w:rPr>
          <w:rFonts w:ascii="Times New Roman" w:hAnsi="Times New Roman" w:cs="Times New Roman"/>
          <w:sz w:val="18"/>
          <w:szCs w:val="18"/>
        </w:rPr>
        <w:t>, which establishes a legal presumption that individuals who are subject to the control and direction of a digital platform are to be regarded as platform workers. The directive requires EU member states to incorporate this presumption into their national labor laws.</w:t>
      </w:r>
    </w:p>
  </w:footnote>
  <w:footnote w:id="14">
    <w:p w14:paraId="5F895B71" w14:textId="2877646E" w:rsidR="003B6B10" w:rsidRPr="008E0A01" w:rsidRDefault="003B6B10"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Livelihood benefit = 32% of the standard median income – recognized income</w:t>
      </w:r>
    </w:p>
  </w:footnote>
  <w:footnote w:id="15">
    <w:p w14:paraId="59495D77" w14:textId="6E939477" w:rsidR="00347C2C" w:rsidRPr="008E0A01" w:rsidRDefault="0050179F"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OECD (2017), Poverty rate (indicator). </w:t>
      </w:r>
      <w:proofErr w:type="spellStart"/>
      <w:r w:rsidRPr="008E0A01">
        <w:rPr>
          <w:rFonts w:ascii="Times New Roman" w:hAnsi="Times New Roman" w:cs="Times New Roman"/>
          <w:sz w:val="18"/>
          <w:szCs w:val="18"/>
        </w:rPr>
        <w:t>doi</w:t>
      </w:r>
      <w:proofErr w:type="spellEnd"/>
      <w:r w:rsidRPr="008E0A01">
        <w:rPr>
          <w:rFonts w:ascii="Times New Roman" w:hAnsi="Times New Roman" w:cs="Times New Roman"/>
          <w:sz w:val="18"/>
          <w:szCs w:val="18"/>
        </w:rPr>
        <w:t>: 10.1787/0fe1315d-en (Accessed on 10 February 2017)</w:t>
      </w:r>
    </w:p>
  </w:footnote>
  <w:footnote w:id="16">
    <w:p w14:paraId="271D16AD" w14:textId="2AACDC6A" w:rsidR="00123CB3" w:rsidRPr="008E0A01" w:rsidRDefault="00A76CDE"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FE061B" w:rsidRPr="008E0A01">
        <w:rPr>
          <w:rFonts w:ascii="Times New Roman" w:hAnsi="Times New Roman" w:cs="Times New Roman"/>
          <w:sz w:val="18"/>
          <w:szCs w:val="18"/>
        </w:rPr>
        <w:t>Ministry of Health and Welfare, ‘5</w:t>
      </w:r>
      <w:r w:rsidR="00FE061B" w:rsidRPr="008E0A01">
        <w:rPr>
          <w:rFonts w:ascii="Times New Roman" w:hAnsi="Times New Roman" w:cs="Times New Roman"/>
          <w:sz w:val="18"/>
          <w:szCs w:val="18"/>
          <w:vertAlign w:val="superscript"/>
        </w:rPr>
        <w:t>th</w:t>
      </w:r>
      <w:r w:rsidR="00FE061B" w:rsidRPr="008E0A01">
        <w:rPr>
          <w:rFonts w:ascii="Times New Roman" w:hAnsi="Times New Roman" w:cs="Times New Roman"/>
          <w:sz w:val="18"/>
          <w:szCs w:val="18"/>
        </w:rPr>
        <w:t xml:space="preserve"> Comprehensive National Pension Operation </w:t>
      </w:r>
      <w:proofErr w:type="gramStart"/>
      <w:r w:rsidR="00FE061B" w:rsidRPr="008E0A01">
        <w:rPr>
          <w:rFonts w:ascii="Times New Roman" w:hAnsi="Times New Roman" w:cs="Times New Roman"/>
          <w:sz w:val="18"/>
          <w:szCs w:val="18"/>
        </w:rPr>
        <w:t>Plan(</w:t>
      </w:r>
      <w:proofErr w:type="gramEnd"/>
      <w:r w:rsidR="00FE061B" w:rsidRPr="008E0A01">
        <w:rPr>
          <w:rFonts w:ascii="Times New Roman" w:hAnsi="Times New Roman" w:cs="Times New Roman"/>
          <w:sz w:val="18"/>
          <w:szCs w:val="18"/>
        </w:rPr>
        <w:t xml:space="preserve">Draft), (October 30, 2023))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300"/>
        <w:gridCol w:w="1673"/>
        <w:gridCol w:w="1673"/>
        <w:gridCol w:w="1685"/>
        <w:gridCol w:w="1685"/>
      </w:tblGrid>
      <w:tr w:rsidR="00AB222D" w:rsidRPr="00347C2C" w14:paraId="696CBD1A" w14:textId="77777777" w:rsidTr="00123CB3">
        <w:trPr>
          <w:trHeight w:val="378"/>
        </w:trPr>
        <w:tc>
          <w:tcPr>
            <w:tcW w:w="2423" w:type="dxa"/>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hideMark/>
          </w:tcPr>
          <w:p w14:paraId="21FBC31E" w14:textId="69C750BB" w:rsidR="00123CB3" w:rsidRPr="00347C2C" w:rsidRDefault="00FE061B"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 xml:space="preserve">New Recipients </w:t>
            </w:r>
          </w:p>
        </w:tc>
        <w:tc>
          <w:tcPr>
            <w:tcW w:w="1786" w:type="dxa"/>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hideMark/>
          </w:tcPr>
          <w:p w14:paraId="527913D3" w14:textId="3D5B266C"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2022</w:t>
            </w:r>
          </w:p>
        </w:tc>
        <w:tc>
          <w:tcPr>
            <w:tcW w:w="1786" w:type="dxa"/>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hideMark/>
          </w:tcPr>
          <w:p w14:paraId="09FA7782" w14:textId="6CDDCEC1"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2030</w:t>
            </w:r>
          </w:p>
        </w:tc>
        <w:tc>
          <w:tcPr>
            <w:tcW w:w="1786" w:type="dxa"/>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hideMark/>
          </w:tcPr>
          <w:p w14:paraId="68C77CF5" w14:textId="1451B3EF"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2050</w:t>
            </w:r>
          </w:p>
        </w:tc>
        <w:tc>
          <w:tcPr>
            <w:tcW w:w="1786" w:type="dxa"/>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hideMark/>
          </w:tcPr>
          <w:p w14:paraId="4811AED3" w14:textId="1D708801"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2070</w:t>
            </w:r>
          </w:p>
        </w:tc>
      </w:tr>
      <w:tr w:rsidR="00151D8C" w:rsidRPr="00347C2C" w14:paraId="03C13A90" w14:textId="77777777" w:rsidTr="00123CB3">
        <w:trPr>
          <w:trHeight w:val="414"/>
        </w:trPr>
        <w:tc>
          <w:tcPr>
            <w:tcW w:w="24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B9F703B" w14:textId="3EB33379" w:rsidR="00123CB3" w:rsidRPr="00347C2C" w:rsidRDefault="00151D8C"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 xml:space="preserve">Average Pension </w:t>
            </w:r>
            <w:proofErr w:type="gramStart"/>
            <w:r w:rsidRPr="00347C2C">
              <w:rPr>
                <w:rFonts w:ascii="Times New Roman" w:hAnsi="Times New Roman" w:cs="Times New Roman"/>
                <w:sz w:val="18"/>
                <w:szCs w:val="18"/>
              </w:rPr>
              <w:t>Amount(</w:t>
            </w:r>
            <w:proofErr w:type="gramEnd"/>
            <w:r w:rsidRPr="00347C2C">
              <w:rPr>
                <w:rFonts w:ascii="Times New Roman" w:hAnsi="Times New Roman" w:cs="Times New Roman"/>
                <w:sz w:val="18"/>
                <w:szCs w:val="18"/>
              </w:rPr>
              <w:t>KRW)</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EA13C7B" w14:textId="0A3ABBD2"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685</w:t>
            </w:r>
            <w:r w:rsidR="00AB222D" w:rsidRPr="00347C2C">
              <w:rPr>
                <w:rFonts w:ascii="Times New Roman" w:hAnsi="Times New Roman" w:cs="Times New Roman"/>
                <w:sz w:val="18"/>
                <w:szCs w:val="18"/>
              </w:rPr>
              <w:t>,</w:t>
            </w:r>
            <w:r w:rsidR="00D057D4" w:rsidRPr="00347C2C">
              <w:rPr>
                <w:rFonts w:ascii="Times New Roman" w:hAnsi="Times New Roman" w:cs="Times New Roman"/>
                <w:sz w:val="18"/>
                <w:szCs w:val="18"/>
              </w:rPr>
              <w:t>000</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A9A2B9B" w14:textId="3D456A0C"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888</w:t>
            </w:r>
            <w:r w:rsidR="00AB222D" w:rsidRPr="00347C2C">
              <w:rPr>
                <w:rFonts w:ascii="Times New Roman" w:hAnsi="Times New Roman" w:cs="Times New Roman"/>
                <w:sz w:val="18"/>
                <w:szCs w:val="18"/>
              </w:rPr>
              <w:t>,</w:t>
            </w:r>
            <w:r w:rsidR="00D057D4" w:rsidRPr="00347C2C">
              <w:rPr>
                <w:rFonts w:ascii="Times New Roman" w:hAnsi="Times New Roman" w:cs="Times New Roman"/>
                <w:sz w:val="18"/>
                <w:szCs w:val="18"/>
              </w:rPr>
              <w:t>000</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7878298" w14:textId="0DEE359F"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1</w:t>
            </w:r>
            <w:r w:rsidR="00AB222D" w:rsidRPr="00347C2C">
              <w:rPr>
                <w:rFonts w:ascii="Times New Roman" w:hAnsi="Times New Roman" w:cs="Times New Roman"/>
                <w:sz w:val="18"/>
                <w:szCs w:val="18"/>
              </w:rPr>
              <w:t>,</w:t>
            </w:r>
            <w:r w:rsidRPr="00347C2C">
              <w:rPr>
                <w:rFonts w:ascii="Times New Roman" w:hAnsi="Times New Roman" w:cs="Times New Roman"/>
                <w:sz w:val="18"/>
                <w:szCs w:val="18"/>
              </w:rPr>
              <w:t>267</w:t>
            </w:r>
            <w:r w:rsidR="00AB222D" w:rsidRPr="00347C2C">
              <w:rPr>
                <w:rFonts w:ascii="Times New Roman" w:hAnsi="Times New Roman" w:cs="Times New Roman"/>
                <w:sz w:val="18"/>
                <w:szCs w:val="18"/>
              </w:rPr>
              <w:t>,</w:t>
            </w:r>
            <w:r w:rsidR="00D057D4" w:rsidRPr="00347C2C">
              <w:rPr>
                <w:rFonts w:ascii="Times New Roman" w:hAnsi="Times New Roman" w:cs="Times New Roman"/>
                <w:sz w:val="18"/>
                <w:szCs w:val="18"/>
              </w:rPr>
              <w:t>000</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4A9DE49" w14:textId="52CC980B"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1</w:t>
            </w:r>
            <w:r w:rsidR="00AB222D" w:rsidRPr="00347C2C">
              <w:rPr>
                <w:rFonts w:ascii="Times New Roman" w:hAnsi="Times New Roman" w:cs="Times New Roman"/>
                <w:sz w:val="18"/>
                <w:szCs w:val="18"/>
              </w:rPr>
              <w:t>,</w:t>
            </w:r>
            <w:r w:rsidRPr="00347C2C">
              <w:rPr>
                <w:rFonts w:ascii="Times New Roman" w:hAnsi="Times New Roman" w:cs="Times New Roman"/>
                <w:sz w:val="18"/>
                <w:szCs w:val="18"/>
              </w:rPr>
              <w:t>92</w:t>
            </w:r>
            <w:r w:rsidR="00D057D4" w:rsidRPr="00347C2C">
              <w:rPr>
                <w:rFonts w:ascii="Times New Roman" w:hAnsi="Times New Roman" w:cs="Times New Roman"/>
                <w:sz w:val="18"/>
                <w:szCs w:val="18"/>
              </w:rPr>
              <w:t>0</w:t>
            </w:r>
            <w:r w:rsidR="00AB222D" w:rsidRPr="00347C2C">
              <w:rPr>
                <w:rFonts w:ascii="Times New Roman" w:hAnsi="Times New Roman" w:cs="Times New Roman"/>
                <w:sz w:val="18"/>
                <w:szCs w:val="18"/>
              </w:rPr>
              <w:t>,</w:t>
            </w:r>
            <w:r w:rsidR="00D057D4" w:rsidRPr="00347C2C">
              <w:rPr>
                <w:rFonts w:ascii="Times New Roman" w:hAnsi="Times New Roman" w:cs="Times New Roman"/>
                <w:sz w:val="18"/>
                <w:szCs w:val="18"/>
              </w:rPr>
              <w:t>000</w:t>
            </w:r>
          </w:p>
        </w:tc>
      </w:tr>
      <w:tr w:rsidR="00151D8C" w:rsidRPr="00347C2C" w14:paraId="0D27A61D" w14:textId="77777777" w:rsidTr="00123CB3">
        <w:trPr>
          <w:trHeight w:val="370"/>
        </w:trPr>
        <w:tc>
          <w:tcPr>
            <w:tcW w:w="2423" w:type="dxa"/>
            <w:tcBorders>
              <w:top w:val="single" w:sz="2"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6F067F4" w14:textId="76C35D31" w:rsidR="00123CB3" w:rsidRPr="00347C2C" w:rsidRDefault="00151D8C"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 xml:space="preserve">Average Contribution Period(years) </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FD0B39C" w14:textId="1456FC9A"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19.3</w:t>
            </w:r>
            <w:r w:rsidR="00151D8C" w:rsidRPr="00347C2C">
              <w:rPr>
                <w:rFonts w:ascii="Times New Roman" w:hAnsi="Times New Roman" w:cs="Times New Roman"/>
                <w:sz w:val="18"/>
                <w:szCs w:val="18"/>
              </w:rPr>
              <w:t xml:space="preserve"> years</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4875BD0" w14:textId="672BC4EC"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20.3</w:t>
            </w:r>
            <w:r w:rsidR="00151D8C" w:rsidRPr="00347C2C">
              <w:rPr>
                <w:rFonts w:ascii="Times New Roman" w:hAnsi="Times New Roman" w:cs="Times New Roman"/>
                <w:sz w:val="18"/>
                <w:szCs w:val="18"/>
              </w:rPr>
              <w:t xml:space="preserve"> years</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47DA0305" w14:textId="17C0CA43"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24.3</w:t>
            </w:r>
            <w:r w:rsidR="00151D8C" w:rsidRPr="00347C2C">
              <w:rPr>
                <w:rFonts w:ascii="Times New Roman" w:hAnsi="Times New Roman" w:cs="Times New Roman"/>
                <w:sz w:val="18"/>
                <w:szCs w:val="18"/>
              </w:rPr>
              <w:t xml:space="preserve"> years</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1B2A319" w14:textId="677D448B"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27.6</w:t>
            </w:r>
            <w:r w:rsidR="00151D8C" w:rsidRPr="00347C2C">
              <w:rPr>
                <w:rFonts w:ascii="Times New Roman" w:hAnsi="Times New Roman" w:cs="Times New Roman"/>
                <w:sz w:val="18"/>
                <w:szCs w:val="18"/>
              </w:rPr>
              <w:t xml:space="preserve"> years </w:t>
            </w:r>
          </w:p>
        </w:tc>
      </w:tr>
      <w:tr w:rsidR="00151D8C" w:rsidRPr="00347C2C" w14:paraId="7896F3C1" w14:textId="77777777" w:rsidTr="00123CB3">
        <w:trPr>
          <w:trHeight w:val="370"/>
        </w:trPr>
        <w:tc>
          <w:tcPr>
            <w:tcW w:w="2423" w:type="dxa"/>
            <w:tcBorders>
              <w:top w:val="single" w:sz="2"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451C6A92" w14:textId="36CDB4D6" w:rsidR="00123CB3" w:rsidRPr="00347C2C" w:rsidRDefault="00151D8C"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 xml:space="preserve">Coverage </w:t>
            </w:r>
            <w:proofErr w:type="gramStart"/>
            <w:r w:rsidRPr="00347C2C">
              <w:rPr>
                <w:rFonts w:ascii="Times New Roman" w:hAnsi="Times New Roman" w:cs="Times New Roman"/>
                <w:sz w:val="18"/>
                <w:szCs w:val="18"/>
              </w:rPr>
              <w:t>Rate(</w:t>
            </w:r>
            <w:proofErr w:type="gramEnd"/>
            <w:r w:rsidRPr="00347C2C">
              <w:rPr>
                <w:rFonts w:ascii="Times New Roman" w:hAnsi="Times New Roman" w:cs="Times New Roman"/>
                <w:sz w:val="18"/>
                <w:szCs w:val="18"/>
              </w:rPr>
              <w:t xml:space="preserve">% of total elderly) </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E313A2E" w14:textId="77777777"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41.9%</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191DA10" w14:textId="77777777"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51.9%</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36792A0" w14:textId="77777777"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75%</w:t>
            </w:r>
          </w:p>
        </w:tc>
        <w:tc>
          <w:tcPr>
            <w:tcW w:w="1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770AC83" w14:textId="77777777" w:rsidR="00123CB3" w:rsidRPr="00347C2C" w:rsidRDefault="00123CB3" w:rsidP="007005CE">
            <w:pPr>
              <w:pStyle w:val="aa"/>
              <w:spacing w:after="0"/>
              <w:rPr>
                <w:rFonts w:ascii="Times New Roman" w:hAnsi="Times New Roman" w:cs="Times New Roman"/>
                <w:sz w:val="18"/>
                <w:szCs w:val="18"/>
              </w:rPr>
            </w:pPr>
            <w:r w:rsidRPr="00347C2C">
              <w:rPr>
                <w:rFonts w:ascii="Times New Roman" w:hAnsi="Times New Roman" w:cs="Times New Roman"/>
                <w:sz w:val="18"/>
                <w:szCs w:val="18"/>
              </w:rPr>
              <w:t>84.2%</w:t>
            </w:r>
          </w:p>
        </w:tc>
      </w:tr>
    </w:tbl>
    <w:p w14:paraId="22481FCD" w14:textId="008FC8F5" w:rsidR="00A76CDE" w:rsidRPr="00347C2C" w:rsidRDefault="00A76CDE" w:rsidP="007005CE">
      <w:pPr>
        <w:pStyle w:val="aa"/>
        <w:spacing w:after="0"/>
        <w:rPr>
          <w:rFonts w:ascii="Times New Roman" w:hAnsi="Times New Roman" w:cs="Times New Roman"/>
          <w:sz w:val="16"/>
          <w:szCs w:val="16"/>
        </w:rPr>
      </w:pPr>
    </w:p>
  </w:footnote>
  <w:footnote w:id="17">
    <w:p w14:paraId="4092A8B4" w14:textId="626DC00C" w:rsidR="00C73D2D" w:rsidRPr="008E0A01" w:rsidRDefault="00C73D2D"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Ministry of Health and Welfare, </w:t>
      </w:r>
      <w:r w:rsidRPr="008E0A01">
        <w:rPr>
          <w:rFonts w:ascii="Times New Roman" w:hAnsi="Times New Roman" w:cs="Times New Roman"/>
          <w:i/>
          <w:iCs/>
          <w:sz w:val="18"/>
          <w:szCs w:val="18"/>
        </w:rPr>
        <w:t>Second Comprehensive National Health Insurance Plan (Draft), 2024–2028</w:t>
      </w:r>
      <w:r w:rsidRPr="008E0A01">
        <w:rPr>
          <w:rFonts w:ascii="Times New Roman" w:hAnsi="Times New Roman" w:cs="Times New Roman"/>
          <w:sz w:val="18"/>
          <w:szCs w:val="18"/>
        </w:rPr>
        <w:t>, (February 2, 2024), p.3.</w:t>
      </w:r>
    </w:p>
  </w:footnote>
  <w:footnote w:id="18">
    <w:p w14:paraId="6FE8E39C" w14:textId="4F65E122" w:rsidR="00B14CEF" w:rsidRPr="008E0A01" w:rsidRDefault="00B14CEF"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A representative case occurred in March 2023, when a patient who had fallen was denied admission by four major hospitals in Daegu and was transported around for two hours before dying in an ambulance.</w:t>
      </w:r>
    </w:p>
  </w:footnote>
  <w:footnote w:id="19">
    <w:p w14:paraId="6C4E706A" w14:textId="326B0369" w:rsidR="006A2908" w:rsidRPr="008E0A01" w:rsidRDefault="006A2908" w:rsidP="007005CE">
      <w:pPr>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Phase 1 (</w:t>
      </w:r>
      <w:proofErr w:type="spellStart"/>
      <w:r w:rsidRPr="008E0A01">
        <w:rPr>
          <w:rFonts w:ascii="Times New Roman" w:hAnsi="Times New Roman" w:cs="Times New Roman"/>
          <w:sz w:val="18"/>
          <w:szCs w:val="18"/>
        </w:rPr>
        <w:t>Bucheon</w:t>
      </w:r>
      <w:proofErr w:type="spellEnd"/>
      <w:r w:rsidRPr="008E0A01">
        <w:rPr>
          <w:rFonts w:ascii="Times New Roman" w:hAnsi="Times New Roman" w:cs="Times New Roman"/>
          <w:sz w:val="18"/>
          <w:szCs w:val="18"/>
        </w:rPr>
        <w:t>, Pohang, Jongno, Cheonan, Suncheon, Changwon), Phase 2 (</w:t>
      </w:r>
      <w:proofErr w:type="spellStart"/>
      <w:r w:rsidRPr="008E0A01">
        <w:rPr>
          <w:rFonts w:ascii="Times New Roman" w:hAnsi="Times New Roman" w:cs="Times New Roman"/>
          <w:sz w:val="18"/>
          <w:szCs w:val="18"/>
        </w:rPr>
        <w:t>Dalseo</w:t>
      </w:r>
      <w:proofErr w:type="spellEnd"/>
      <w:r w:rsidRPr="008E0A01">
        <w:rPr>
          <w:rFonts w:ascii="Times New Roman" w:hAnsi="Times New Roman" w:cs="Times New Roman"/>
          <w:sz w:val="18"/>
          <w:szCs w:val="18"/>
        </w:rPr>
        <w:t xml:space="preserve">, Anyang, </w:t>
      </w:r>
      <w:proofErr w:type="spellStart"/>
      <w:r w:rsidRPr="008E0A01">
        <w:rPr>
          <w:rFonts w:ascii="Times New Roman" w:hAnsi="Times New Roman" w:cs="Times New Roman"/>
          <w:sz w:val="18"/>
          <w:szCs w:val="18"/>
        </w:rPr>
        <w:t>Yongin</w:t>
      </w:r>
      <w:proofErr w:type="spellEnd"/>
      <w:r w:rsidRPr="008E0A01">
        <w:rPr>
          <w:rFonts w:ascii="Times New Roman" w:hAnsi="Times New Roman" w:cs="Times New Roman"/>
          <w:sz w:val="18"/>
          <w:szCs w:val="18"/>
        </w:rPr>
        <w:t xml:space="preserve">, </w:t>
      </w:r>
      <w:proofErr w:type="spellStart"/>
      <w:r w:rsidRPr="008E0A01">
        <w:rPr>
          <w:rFonts w:ascii="Times New Roman" w:hAnsi="Times New Roman" w:cs="Times New Roman"/>
          <w:sz w:val="18"/>
          <w:szCs w:val="18"/>
        </w:rPr>
        <w:t>Iksan</w:t>
      </w:r>
      <w:proofErr w:type="spellEnd"/>
      <w:r w:rsidRPr="008E0A01">
        <w:rPr>
          <w:rFonts w:ascii="Times New Roman" w:hAnsi="Times New Roman" w:cs="Times New Roman"/>
          <w:sz w:val="18"/>
          <w:szCs w:val="18"/>
        </w:rPr>
        <w:t>), and Phase 3 (</w:t>
      </w:r>
      <w:proofErr w:type="spellStart"/>
      <w:r w:rsidRPr="008E0A01">
        <w:rPr>
          <w:rFonts w:ascii="Times New Roman" w:hAnsi="Times New Roman" w:cs="Times New Roman"/>
          <w:sz w:val="18"/>
          <w:szCs w:val="18"/>
        </w:rPr>
        <w:t>Chungju</w:t>
      </w:r>
      <w:proofErr w:type="spellEnd"/>
      <w:r w:rsidRPr="008E0A01">
        <w:rPr>
          <w:rFonts w:ascii="Times New Roman" w:hAnsi="Times New Roman" w:cs="Times New Roman"/>
          <w:sz w:val="18"/>
          <w:szCs w:val="18"/>
        </w:rPr>
        <w:t xml:space="preserve">, </w:t>
      </w:r>
      <w:proofErr w:type="spellStart"/>
      <w:r w:rsidRPr="008E0A01">
        <w:rPr>
          <w:rFonts w:ascii="Times New Roman" w:hAnsi="Times New Roman" w:cs="Times New Roman"/>
          <w:sz w:val="18"/>
          <w:szCs w:val="18"/>
        </w:rPr>
        <w:t>Hongseong</w:t>
      </w:r>
      <w:proofErr w:type="spellEnd"/>
      <w:r w:rsidRPr="008E0A01">
        <w:rPr>
          <w:rFonts w:ascii="Times New Roman" w:hAnsi="Times New Roman" w:cs="Times New Roman"/>
          <w:sz w:val="18"/>
          <w:szCs w:val="18"/>
        </w:rPr>
        <w:t xml:space="preserve">, Jeonju, </w:t>
      </w:r>
      <w:proofErr w:type="spellStart"/>
      <w:r w:rsidRPr="008E0A01">
        <w:rPr>
          <w:rFonts w:ascii="Times New Roman" w:hAnsi="Times New Roman" w:cs="Times New Roman"/>
          <w:sz w:val="18"/>
          <w:szCs w:val="18"/>
        </w:rPr>
        <w:t>Wonju</w:t>
      </w:r>
      <w:proofErr w:type="spellEnd"/>
      <w:proofErr w:type="gramStart"/>
      <w:r w:rsidRPr="008E0A01">
        <w:rPr>
          <w:rFonts w:ascii="Times New Roman" w:hAnsi="Times New Roman" w:cs="Times New Roman"/>
          <w:sz w:val="18"/>
          <w:szCs w:val="18"/>
        </w:rPr>
        <w:t>)..</w:t>
      </w:r>
      <w:proofErr w:type="gramEnd"/>
    </w:p>
  </w:footnote>
  <w:footnote w:id="20">
    <w:p w14:paraId="771AE623" w14:textId="021CFFC1" w:rsidR="00D437C8" w:rsidRPr="008E0A01" w:rsidRDefault="00D437C8"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The family who died in the semi-basement apartment in </w:t>
      </w:r>
      <w:proofErr w:type="spellStart"/>
      <w:r w:rsidRPr="008E0A01">
        <w:rPr>
          <w:rFonts w:ascii="Times New Roman" w:hAnsi="Times New Roman" w:cs="Times New Roman"/>
          <w:sz w:val="18"/>
          <w:szCs w:val="18"/>
        </w:rPr>
        <w:t>Sillim</w:t>
      </w:r>
      <w:proofErr w:type="spellEnd"/>
      <w:r w:rsidRPr="008E0A01">
        <w:rPr>
          <w:rFonts w:ascii="Times New Roman" w:hAnsi="Times New Roman" w:cs="Times New Roman"/>
          <w:sz w:val="18"/>
          <w:szCs w:val="18"/>
        </w:rPr>
        <w:t>-dong, Seoul, consisted of three members: a female person with a disability receiving basic livelihood support, a female worker, and a young elementary school-aged girl</w:t>
      </w:r>
    </w:p>
  </w:footnote>
  <w:footnote w:id="21">
    <w:p w14:paraId="62F702FC" w14:textId="148DD8B9" w:rsidR="00911836" w:rsidRPr="008E0A01" w:rsidRDefault="00911836"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CD7D93" w:rsidRPr="008E0A01">
        <w:rPr>
          <w:rFonts w:ascii="Times New Roman" w:hAnsi="Times New Roman" w:cs="Times New Roman"/>
          <w:sz w:val="18"/>
          <w:szCs w:val="18"/>
        </w:rPr>
        <w:t>Constitutional complaints regarding Article 8, Paragraph 1 of the Framework Act on Carbon Neutrality and Green Growth for Climate Crisis Response (Cases 2021HeonMa1264, 2022HeonMa854, and additional claims for Cases 2020HeonMa389 and 2020HeonMa1516).</w:t>
      </w:r>
    </w:p>
  </w:footnote>
  <w:footnote w:id="22">
    <w:p w14:paraId="14371315" w14:textId="0A184685" w:rsidR="00911836" w:rsidRPr="008E0A01" w:rsidRDefault="00911836"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CD7D93" w:rsidRPr="008E0A01">
        <w:rPr>
          <w:rFonts w:ascii="Times New Roman" w:hAnsi="Times New Roman" w:cs="Times New Roman"/>
          <w:sz w:val="18"/>
          <w:szCs w:val="18"/>
        </w:rPr>
        <w:t>Article 8, Paragraph 1 of the Framework Act on Carbon Neutrality and Green Growth for Climate Crisis Response stipulates that 'greenhouse gas emissions shall be reduced by a percentage set by Presidential Decree within the range of at least 35 percent compared to the national greenhouse gas emissions in 2018 by 2030.' Article 3, Paragraph 1 of the Enforcement Decree of the same Act defines the percentage set by Presidential Decree in Article 8, Paragraph 1 as 40 percent</w:t>
      </w:r>
      <w:r w:rsidR="008074BF" w:rsidRPr="008E0A01">
        <w:rPr>
          <w:rFonts w:ascii="Times New Roman" w:hAnsi="Times New Roman" w:cs="Times New Roman"/>
          <w:sz w:val="18"/>
          <w:szCs w:val="18"/>
        </w:rPr>
        <w:t xml:space="preserve">. </w:t>
      </w:r>
    </w:p>
  </w:footnote>
  <w:footnote w:id="23">
    <w:p w14:paraId="4E7BC8A5" w14:textId="341E7C2B" w:rsidR="00911836" w:rsidRPr="008E0A01" w:rsidRDefault="00911836"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8074BF" w:rsidRPr="008E0A01">
        <w:rPr>
          <w:rFonts w:ascii="Times New Roman" w:hAnsi="Times New Roman" w:cs="Times New Roman"/>
          <w:sz w:val="18"/>
          <w:szCs w:val="18"/>
        </w:rPr>
        <w:t>The Paris Agreement was adopted on December 12, 2015, at the United Nations Framework Convention on Climate Change Conference of the Parties held in Paris. The Republic of Korea, after deliberation at the 38th Cabinet Meeting on August 30, 2016, obtained ratification approval at the 11th plenary session of the 346th National Assembly (regular session) on November 3, 2016, and deposited its instrument of ratification with the Secretary-General of the United Nations, thereby bringing the Agreement into force on December 3, 2016.</w:t>
      </w:r>
    </w:p>
  </w:footnote>
  <w:footnote w:id="24">
    <w:p w14:paraId="514058E6" w14:textId="78430C56" w:rsidR="00196028" w:rsidRPr="008E0A01" w:rsidRDefault="00196028"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A partial amendment to the </w:t>
      </w:r>
      <w:r w:rsidRPr="008E0A01">
        <w:rPr>
          <w:rFonts w:ascii="Times New Roman" w:hAnsi="Times New Roman" w:cs="Times New Roman"/>
          <w:i/>
          <w:iCs/>
          <w:sz w:val="18"/>
          <w:szCs w:val="18"/>
        </w:rPr>
        <w:t>Public Education Normalization Act</w:t>
      </w:r>
      <w:r w:rsidRPr="008E0A01">
        <w:rPr>
          <w:rFonts w:ascii="Times New Roman" w:hAnsi="Times New Roman" w:cs="Times New Roman"/>
          <w:sz w:val="18"/>
          <w:szCs w:val="18"/>
        </w:rPr>
        <w:t>—which includes provisions to prohibit the inclusion of content that exceeds the scope and level of the high school curriculum in the College Scholastic Ability Test</w:t>
      </w:r>
      <w:r w:rsidR="00610F32" w:rsidRPr="008E0A01">
        <w:rPr>
          <w:rFonts w:ascii="Times New Roman" w:hAnsi="Times New Roman" w:cs="Times New Roman"/>
          <w:sz w:val="18"/>
          <w:szCs w:val="18"/>
        </w:rPr>
        <w:t>(CSAT)</w:t>
      </w:r>
      <w:r w:rsidRPr="008E0A01">
        <w:rPr>
          <w:rFonts w:ascii="Times New Roman" w:hAnsi="Times New Roman" w:cs="Times New Roman"/>
          <w:sz w:val="18"/>
          <w:szCs w:val="18"/>
        </w:rPr>
        <w:t xml:space="preserve"> by explicitly including the CSAT within the scope of the Act—was proposed to the 22nd National Assembly on September 23, 2024, by Representative Baek Seung-ah and 14 other members.</w:t>
      </w:r>
    </w:p>
  </w:footnote>
  <w:footnote w:id="25">
    <w:p w14:paraId="5E891403" w14:textId="659BE37B" w:rsidR="003B20B9" w:rsidRPr="008E0A01" w:rsidRDefault="003B20B9"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505B15" w:rsidRPr="008E0A01">
        <w:rPr>
          <w:rFonts w:ascii="Times New Roman" w:hAnsi="Times New Roman" w:cs="Times New Roman"/>
          <w:sz w:val="18"/>
          <w:szCs w:val="18"/>
        </w:rPr>
        <w:t xml:space="preserve">According to the </w:t>
      </w:r>
      <w:r w:rsidR="00505B15" w:rsidRPr="008E0A01">
        <w:rPr>
          <w:rFonts w:ascii="Times New Roman" w:hAnsi="Times New Roman" w:cs="Times New Roman"/>
          <w:i/>
          <w:iCs/>
          <w:sz w:val="18"/>
          <w:szCs w:val="18"/>
        </w:rPr>
        <w:t>2024 Survey on Private Education Expenditures for Primary and Secondary School Students</w:t>
      </w:r>
      <w:r w:rsidR="00505B15" w:rsidRPr="008E0A01">
        <w:rPr>
          <w:rFonts w:ascii="Times New Roman" w:hAnsi="Times New Roman" w:cs="Times New Roman"/>
          <w:sz w:val="18"/>
          <w:szCs w:val="18"/>
        </w:rPr>
        <w:t xml:space="preserve"> (Statistics Korea, Ministry of Education), total private education spending in 2024 amounted to 29.2 trillion KRW, marking a record high and representing an increase of approximately 2.1 trillion KRW (7.7%) compared to the previous record of 27.1 trillion KRW in 2023. In contrast, the number of primary and secondary school students declined by about 80,000 from 2023, totaling approximately 5.13 million, resulting in a sharp rise in per-student private education spending.</w:t>
      </w:r>
    </w:p>
  </w:footnote>
  <w:footnote w:id="26">
    <w:p w14:paraId="586B79DF" w14:textId="2210D339" w:rsidR="003B20B9" w:rsidRPr="008E0A01" w:rsidRDefault="003B20B9" w:rsidP="007005CE">
      <w:pPr>
        <w:pStyle w:val="aa"/>
        <w:spacing w:after="0"/>
        <w:rPr>
          <w:rFonts w:ascii="Times New Roman" w:hAnsi="Times New Roman" w:cs="Times New Roman"/>
          <w:sz w:val="18"/>
          <w:szCs w:val="18"/>
        </w:rPr>
      </w:pPr>
      <w:r w:rsidRPr="008E0A01">
        <w:rPr>
          <w:rStyle w:val="ab"/>
          <w:rFonts w:ascii="Times New Roman" w:hAnsi="Times New Roman" w:cs="Times New Roman"/>
          <w:sz w:val="18"/>
          <w:szCs w:val="18"/>
        </w:rPr>
        <w:footnoteRef/>
      </w:r>
      <w:r w:rsidRPr="008E0A01">
        <w:rPr>
          <w:rFonts w:ascii="Times New Roman" w:hAnsi="Times New Roman" w:cs="Times New Roman"/>
          <w:sz w:val="18"/>
          <w:szCs w:val="18"/>
        </w:rPr>
        <w:t xml:space="preserve"> </w:t>
      </w:r>
      <w:r w:rsidR="00D93491" w:rsidRPr="008E0A01">
        <w:rPr>
          <w:rFonts w:ascii="Times New Roman" w:hAnsi="Times New Roman" w:cs="Times New Roman"/>
          <w:sz w:val="18"/>
          <w:szCs w:val="18"/>
        </w:rPr>
        <w:t>The private education participation rate among students from households with a monthly income of 7 million KRW or more is approximately 90%, whereas the rate for those from households earning less than 2 million KRW per month is around 50%, indicating a significant disparity</w:t>
      </w:r>
      <w:r w:rsidR="008974FB" w:rsidRPr="008E0A01">
        <w:rPr>
          <w:rFonts w:ascii="Times New Roman" w:hAnsi="Times New Roman" w:cs="Times New Roman"/>
          <w:sz w:val="18"/>
          <w:szCs w:val="18"/>
        </w:rPr>
        <w:t xml:space="preserve"> </w:t>
      </w:r>
      <w:r w:rsidR="00D93491" w:rsidRPr="008E0A01">
        <w:rPr>
          <w:rFonts w:ascii="Times New Roman" w:hAnsi="Times New Roman" w:cs="Times New Roman"/>
          <w:sz w:val="18"/>
          <w:szCs w:val="18"/>
        </w:rPr>
        <w:t>(</w:t>
      </w:r>
      <w:r w:rsidR="00D93491" w:rsidRPr="008E0A01">
        <w:rPr>
          <w:rFonts w:ascii="Times New Roman" w:hAnsi="Times New Roman" w:cs="Times New Roman"/>
          <w:i/>
          <w:iCs/>
          <w:sz w:val="18"/>
          <w:szCs w:val="18"/>
        </w:rPr>
        <w:t>Social Trends in Korea 2022</w:t>
      </w:r>
      <w:r w:rsidR="00D93491" w:rsidRPr="008E0A01">
        <w:rPr>
          <w:rFonts w:ascii="Times New Roman" w:hAnsi="Times New Roman" w:cs="Times New Roman"/>
          <w:sz w:val="18"/>
          <w:szCs w:val="18"/>
        </w:rPr>
        <w:t xml:space="preserve"> (Statistics Korea, Statistical Research Institute, p.137)). There is also a large gap in private education expenditures by household income level. In 2023, the average monthly private education spending per student in households earning over 8 million KRW per month was approximately 670,000 KRW—3.7 times higher than the 183,000 KRW spent by households earning less than 3 million KRW per month (</w:t>
      </w:r>
      <w:r w:rsidR="00D93491" w:rsidRPr="008E0A01">
        <w:rPr>
          <w:rFonts w:ascii="Times New Roman" w:hAnsi="Times New Roman" w:cs="Times New Roman"/>
          <w:i/>
          <w:iCs/>
          <w:sz w:val="18"/>
          <w:szCs w:val="18"/>
        </w:rPr>
        <w:t>2023 Survey on Private Education Expenditures for Primary and Secondary School Students</w:t>
      </w:r>
      <w:r w:rsidR="00D93491" w:rsidRPr="008E0A01">
        <w:rPr>
          <w:rFonts w:ascii="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686"/>
    <w:multiLevelType w:val="multilevel"/>
    <w:tmpl w:val="A4E8EFB2"/>
    <w:lvl w:ilvl="0">
      <w:start w:val="10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A55B2"/>
    <w:multiLevelType w:val="multilevel"/>
    <w:tmpl w:val="B386AA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CC3D5D"/>
    <w:multiLevelType w:val="multilevel"/>
    <w:tmpl w:val="A726EBD2"/>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0030A"/>
    <w:multiLevelType w:val="multilevel"/>
    <w:tmpl w:val="ACFE0892"/>
    <w:lvl w:ilvl="0">
      <w:start w:val="7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B73923"/>
    <w:multiLevelType w:val="multilevel"/>
    <w:tmpl w:val="561271FA"/>
    <w:lvl w:ilvl="0">
      <w:start w:val="1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FD68AB"/>
    <w:multiLevelType w:val="multilevel"/>
    <w:tmpl w:val="7EAC0896"/>
    <w:lvl w:ilvl="0">
      <w:start w:val="9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F43363"/>
    <w:multiLevelType w:val="multilevel"/>
    <w:tmpl w:val="2C9CD0AA"/>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120697"/>
    <w:multiLevelType w:val="multilevel"/>
    <w:tmpl w:val="E37CCE82"/>
    <w:lvl w:ilvl="0">
      <w:start w:val="77"/>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F444B5"/>
    <w:multiLevelType w:val="multilevel"/>
    <w:tmpl w:val="1486C3D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7A3885"/>
    <w:multiLevelType w:val="multilevel"/>
    <w:tmpl w:val="1D280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AE7BDF"/>
    <w:multiLevelType w:val="multilevel"/>
    <w:tmpl w:val="EEDE415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FC04FF"/>
    <w:multiLevelType w:val="multilevel"/>
    <w:tmpl w:val="D570D25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220219"/>
    <w:multiLevelType w:val="multilevel"/>
    <w:tmpl w:val="5DB6953E"/>
    <w:lvl w:ilvl="0">
      <w:start w:val="8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5A1E10"/>
    <w:multiLevelType w:val="multilevel"/>
    <w:tmpl w:val="EBE078D2"/>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4655D9"/>
    <w:multiLevelType w:val="multilevel"/>
    <w:tmpl w:val="79D8E564"/>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0F3E6A"/>
    <w:multiLevelType w:val="multilevel"/>
    <w:tmpl w:val="53B01A3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F6333E"/>
    <w:multiLevelType w:val="multilevel"/>
    <w:tmpl w:val="0A98DBD6"/>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C43CA1"/>
    <w:multiLevelType w:val="multilevel"/>
    <w:tmpl w:val="77D8F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C30852"/>
    <w:multiLevelType w:val="multilevel"/>
    <w:tmpl w:val="CD6435AC"/>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990724"/>
    <w:multiLevelType w:val="multilevel"/>
    <w:tmpl w:val="4A68DEDC"/>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634451"/>
    <w:multiLevelType w:val="multilevel"/>
    <w:tmpl w:val="2FAE7E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655CB2"/>
    <w:multiLevelType w:val="multilevel"/>
    <w:tmpl w:val="BCA46832"/>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501537"/>
    <w:multiLevelType w:val="multilevel"/>
    <w:tmpl w:val="1D06C50C"/>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2D01FE"/>
    <w:multiLevelType w:val="multilevel"/>
    <w:tmpl w:val="46D85C5A"/>
    <w:lvl w:ilvl="0">
      <w:start w:val="9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3638D6"/>
    <w:multiLevelType w:val="multilevel"/>
    <w:tmpl w:val="69A8CE7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87A2906"/>
    <w:multiLevelType w:val="multilevel"/>
    <w:tmpl w:val="124EB078"/>
    <w:lvl w:ilvl="0">
      <w:start w:val="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28518E"/>
    <w:multiLevelType w:val="hybridMultilevel"/>
    <w:tmpl w:val="0D20043C"/>
    <w:lvl w:ilvl="0" w:tplc="5A62E8D6">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7" w15:restartNumberingAfterBreak="0">
    <w:nsid w:val="7B0E2521"/>
    <w:multiLevelType w:val="multilevel"/>
    <w:tmpl w:val="1B6EC966"/>
    <w:lvl w:ilvl="0">
      <w:start w:val="10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9126982">
    <w:abstractNumId w:val="17"/>
  </w:num>
  <w:num w:numId="2" w16cid:durableId="1970087115">
    <w:abstractNumId w:val="20"/>
  </w:num>
  <w:num w:numId="3" w16cid:durableId="1169559769">
    <w:abstractNumId w:val="1"/>
  </w:num>
  <w:num w:numId="4" w16cid:durableId="1632008356">
    <w:abstractNumId w:val="11"/>
  </w:num>
  <w:num w:numId="5" w16cid:durableId="1721174876">
    <w:abstractNumId w:val="8"/>
  </w:num>
  <w:num w:numId="6" w16cid:durableId="1462914996">
    <w:abstractNumId w:val="10"/>
  </w:num>
  <w:num w:numId="7" w16cid:durableId="1767727381">
    <w:abstractNumId w:val="24"/>
  </w:num>
  <w:num w:numId="8" w16cid:durableId="1815289765">
    <w:abstractNumId w:val="15"/>
  </w:num>
  <w:num w:numId="9" w16cid:durableId="1997955170">
    <w:abstractNumId w:val="21"/>
  </w:num>
  <w:num w:numId="10" w16cid:durableId="1525824865">
    <w:abstractNumId w:val="14"/>
  </w:num>
  <w:num w:numId="11" w16cid:durableId="669600419">
    <w:abstractNumId w:val="2"/>
  </w:num>
  <w:num w:numId="12" w16cid:durableId="1606814732">
    <w:abstractNumId w:val="6"/>
  </w:num>
  <w:num w:numId="13" w16cid:durableId="1507473164">
    <w:abstractNumId w:val="18"/>
  </w:num>
  <w:num w:numId="14" w16cid:durableId="1667978602">
    <w:abstractNumId w:val="22"/>
  </w:num>
  <w:num w:numId="15" w16cid:durableId="706954511">
    <w:abstractNumId w:val="3"/>
  </w:num>
  <w:num w:numId="16" w16cid:durableId="1769037271">
    <w:abstractNumId w:val="7"/>
  </w:num>
  <w:num w:numId="17" w16cid:durableId="2121296017">
    <w:abstractNumId w:val="16"/>
  </w:num>
  <w:num w:numId="18" w16cid:durableId="1736389062">
    <w:abstractNumId w:val="25"/>
  </w:num>
  <w:num w:numId="19" w16cid:durableId="419178869">
    <w:abstractNumId w:val="26"/>
  </w:num>
  <w:num w:numId="20" w16cid:durableId="483394691">
    <w:abstractNumId w:val="13"/>
  </w:num>
  <w:num w:numId="21" w16cid:durableId="1161316900">
    <w:abstractNumId w:val="12"/>
  </w:num>
  <w:num w:numId="22" w16cid:durableId="705371975">
    <w:abstractNumId w:val="23"/>
  </w:num>
  <w:num w:numId="23" w16cid:durableId="1105420597">
    <w:abstractNumId w:val="5"/>
  </w:num>
  <w:num w:numId="24" w16cid:durableId="1715425743">
    <w:abstractNumId w:val="27"/>
  </w:num>
  <w:num w:numId="25" w16cid:durableId="1749113012">
    <w:abstractNumId w:val="19"/>
  </w:num>
  <w:num w:numId="26" w16cid:durableId="393889300">
    <w:abstractNumId w:val="0"/>
  </w:num>
  <w:num w:numId="27" w16cid:durableId="700397271">
    <w:abstractNumId w:val="4"/>
  </w:num>
  <w:num w:numId="28" w16cid:durableId="19246835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92E"/>
    <w:rsid w:val="00011E73"/>
    <w:rsid w:val="00014453"/>
    <w:rsid w:val="000153D1"/>
    <w:rsid w:val="0001592E"/>
    <w:rsid w:val="00017370"/>
    <w:rsid w:val="000277D9"/>
    <w:rsid w:val="00042078"/>
    <w:rsid w:val="000470A0"/>
    <w:rsid w:val="00056FBF"/>
    <w:rsid w:val="00065D57"/>
    <w:rsid w:val="0006642B"/>
    <w:rsid w:val="0007293D"/>
    <w:rsid w:val="00080E4D"/>
    <w:rsid w:val="000A0DEE"/>
    <w:rsid w:val="000D0ED8"/>
    <w:rsid w:val="000D42DD"/>
    <w:rsid w:val="000E44E5"/>
    <w:rsid w:val="00106253"/>
    <w:rsid w:val="00106DB8"/>
    <w:rsid w:val="00112F49"/>
    <w:rsid w:val="00123CB3"/>
    <w:rsid w:val="001279DF"/>
    <w:rsid w:val="0013167D"/>
    <w:rsid w:val="00133CA1"/>
    <w:rsid w:val="00140BA2"/>
    <w:rsid w:val="001412E5"/>
    <w:rsid w:val="00141660"/>
    <w:rsid w:val="00151D8C"/>
    <w:rsid w:val="00161C4B"/>
    <w:rsid w:val="00164769"/>
    <w:rsid w:val="001772B8"/>
    <w:rsid w:val="00190619"/>
    <w:rsid w:val="00191596"/>
    <w:rsid w:val="00196028"/>
    <w:rsid w:val="001A7E92"/>
    <w:rsid w:val="001B4599"/>
    <w:rsid w:val="001B4A5A"/>
    <w:rsid w:val="001C1FF7"/>
    <w:rsid w:val="001D2C1E"/>
    <w:rsid w:val="001E65D6"/>
    <w:rsid w:val="001F6F96"/>
    <w:rsid w:val="00200DF2"/>
    <w:rsid w:val="00205742"/>
    <w:rsid w:val="00211BBC"/>
    <w:rsid w:val="00211EA1"/>
    <w:rsid w:val="002135C1"/>
    <w:rsid w:val="00215CFC"/>
    <w:rsid w:val="002230F9"/>
    <w:rsid w:val="00223597"/>
    <w:rsid w:val="00225F80"/>
    <w:rsid w:val="00245A8F"/>
    <w:rsid w:val="00253F05"/>
    <w:rsid w:val="00275CBD"/>
    <w:rsid w:val="00276141"/>
    <w:rsid w:val="00282ABD"/>
    <w:rsid w:val="002967EC"/>
    <w:rsid w:val="002A6A9B"/>
    <w:rsid w:val="002A7D4E"/>
    <w:rsid w:val="002B0718"/>
    <w:rsid w:val="002B30D8"/>
    <w:rsid w:val="002C6A78"/>
    <w:rsid w:val="002D1672"/>
    <w:rsid w:val="003008A3"/>
    <w:rsid w:val="00306DB2"/>
    <w:rsid w:val="00345F95"/>
    <w:rsid w:val="00347092"/>
    <w:rsid w:val="00347C2C"/>
    <w:rsid w:val="003769F4"/>
    <w:rsid w:val="00390DA0"/>
    <w:rsid w:val="003B20B9"/>
    <w:rsid w:val="003B5E34"/>
    <w:rsid w:val="003B6B10"/>
    <w:rsid w:val="003C36E3"/>
    <w:rsid w:val="003C5B5F"/>
    <w:rsid w:val="003D1FEB"/>
    <w:rsid w:val="003D6D1A"/>
    <w:rsid w:val="003F1A21"/>
    <w:rsid w:val="00403744"/>
    <w:rsid w:val="0040445D"/>
    <w:rsid w:val="0042368E"/>
    <w:rsid w:val="00423A33"/>
    <w:rsid w:val="004268F6"/>
    <w:rsid w:val="004312F7"/>
    <w:rsid w:val="00431546"/>
    <w:rsid w:val="00435D1F"/>
    <w:rsid w:val="004409E4"/>
    <w:rsid w:val="0044499D"/>
    <w:rsid w:val="004459C4"/>
    <w:rsid w:val="00445E69"/>
    <w:rsid w:val="00446AF9"/>
    <w:rsid w:val="00450608"/>
    <w:rsid w:val="00451FA0"/>
    <w:rsid w:val="004523E6"/>
    <w:rsid w:val="004622B1"/>
    <w:rsid w:val="00470D65"/>
    <w:rsid w:val="00471B31"/>
    <w:rsid w:val="00487D4B"/>
    <w:rsid w:val="004960A3"/>
    <w:rsid w:val="004A753F"/>
    <w:rsid w:val="004C253F"/>
    <w:rsid w:val="004C3241"/>
    <w:rsid w:val="004C376D"/>
    <w:rsid w:val="004F2352"/>
    <w:rsid w:val="0050179F"/>
    <w:rsid w:val="00505B15"/>
    <w:rsid w:val="005211D7"/>
    <w:rsid w:val="00534D96"/>
    <w:rsid w:val="0055120D"/>
    <w:rsid w:val="00561584"/>
    <w:rsid w:val="00570757"/>
    <w:rsid w:val="0057358C"/>
    <w:rsid w:val="00580A18"/>
    <w:rsid w:val="0058383E"/>
    <w:rsid w:val="00583AF8"/>
    <w:rsid w:val="00591319"/>
    <w:rsid w:val="00594A08"/>
    <w:rsid w:val="005B01EE"/>
    <w:rsid w:val="005B260B"/>
    <w:rsid w:val="005C13FB"/>
    <w:rsid w:val="005C15CD"/>
    <w:rsid w:val="005C404D"/>
    <w:rsid w:val="005E4A36"/>
    <w:rsid w:val="005F4254"/>
    <w:rsid w:val="00601572"/>
    <w:rsid w:val="0060297F"/>
    <w:rsid w:val="00604380"/>
    <w:rsid w:val="00610F32"/>
    <w:rsid w:val="00611179"/>
    <w:rsid w:val="00612F79"/>
    <w:rsid w:val="00614569"/>
    <w:rsid w:val="00623C7E"/>
    <w:rsid w:val="006251B5"/>
    <w:rsid w:val="0062789D"/>
    <w:rsid w:val="006302CE"/>
    <w:rsid w:val="0063564C"/>
    <w:rsid w:val="00646855"/>
    <w:rsid w:val="00665850"/>
    <w:rsid w:val="00671D0F"/>
    <w:rsid w:val="00673DDF"/>
    <w:rsid w:val="00682DD3"/>
    <w:rsid w:val="006A0B0E"/>
    <w:rsid w:val="006A2908"/>
    <w:rsid w:val="006A4AF6"/>
    <w:rsid w:val="006B4612"/>
    <w:rsid w:val="006B750F"/>
    <w:rsid w:val="006C07D8"/>
    <w:rsid w:val="006C28FE"/>
    <w:rsid w:val="006C29CC"/>
    <w:rsid w:val="006E2A87"/>
    <w:rsid w:val="007005CE"/>
    <w:rsid w:val="00702D70"/>
    <w:rsid w:val="007053EA"/>
    <w:rsid w:val="007105AE"/>
    <w:rsid w:val="007115FF"/>
    <w:rsid w:val="00733B35"/>
    <w:rsid w:val="00752F1E"/>
    <w:rsid w:val="00755BDF"/>
    <w:rsid w:val="00781DAD"/>
    <w:rsid w:val="00791226"/>
    <w:rsid w:val="007A32C3"/>
    <w:rsid w:val="007B046D"/>
    <w:rsid w:val="007C5FDC"/>
    <w:rsid w:val="007D7DCE"/>
    <w:rsid w:val="007F7F34"/>
    <w:rsid w:val="00802F89"/>
    <w:rsid w:val="00803F35"/>
    <w:rsid w:val="008074BF"/>
    <w:rsid w:val="00807CB2"/>
    <w:rsid w:val="00810218"/>
    <w:rsid w:val="00812F1F"/>
    <w:rsid w:val="00823D62"/>
    <w:rsid w:val="00836220"/>
    <w:rsid w:val="0083622F"/>
    <w:rsid w:val="00837464"/>
    <w:rsid w:val="00840B8C"/>
    <w:rsid w:val="00843897"/>
    <w:rsid w:val="00850537"/>
    <w:rsid w:val="00871A73"/>
    <w:rsid w:val="008806FD"/>
    <w:rsid w:val="00886163"/>
    <w:rsid w:val="008970C9"/>
    <w:rsid w:val="008974FB"/>
    <w:rsid w:val="008A221A"/>
    <w:rsid w:val="008B363E"/>
    <w:rsid w:val="008C1811"/>
    <w:rsid w:val="008C7C42"/>
    <w:rsid w:val="008E0A01"/>
    <w:rsid w:val="008F3A7A"/>
    <w:rsid w:val="008F47D9"/>
    <w:rsid w:val="009075FF"/>
    <w:rsid w:val="00911836"/>
    <w:rsid w:val="0091368F"/>
    <w:rsid w:val="009149D2"/>
    <w:rsid w:val="00915728"/>
    <w:rsid w:val="00932BA3"/>
    <w:rsid w:val="0094025D"/>
    <w:rsid w:val="00940C56"/>
    <w:rsid w:val="00941D2D"/>
    <w:rsid w:val="00946E9F"/>
    <w:rsid w:val="0097048D"/>
    <w:rsid w:val="00975632"/>
    <w:rsid w:val="00992EA6"/>
    <w:rsid w:val="009B2773"/>
    <w:rsid w:val="009C4A43"/>
    <w:rsid w:val="009C6CA2"/>
    <w:rsid w:val="009D6CA3"/>
    <w:rsid w:val="009D71E7"/>
    <w:rsid w:val="009E7B9F"/>
    <w:rsid w:val="009F4147"/>
    <w:rsid w:val="009F5813"/>
    <w:rsid w:val="00A035B3"/>
    <w:rsid w:val="00A05090"/>
    <w:rsid w:val="00A10582"/>
    <w:rsid w:val="00A202DB"/>
    <w:rsid w:val="00A2555F"/>
    <w:rsid w:val="00A37ACC"/>
    <w:rsid w:val="00A434F5"/>
    <w:rsid w:val="00A4420D"/>
    <w:rsid w:val="00A552F7"/>
    <w:rsid w:val="00A55B2A"/>
    <w:rsid w:val="00A76CDE"/>
    <w:rsid w:val="00A8385D"/>
    <w:rsid w:val="00A950EE"/>
    <w:rsid w:val="00AB222D"/>
    <w:rsid w:val="00AC281A"/>
    <w:rsid w:val="00AC5732"/>
    <w:rsid w:val="00AD391E"/>
    <w:rsid w:val="00AD4791"/>
    <w:rsid w:val="00AE29D0"/>
    <w:rsid w:val="00AE64A9"/>
    <w:rsid w:val="00B005D3"/>
    <w:rsid w:val="00B04307"/>
    <w:rsid w:val="00B14CEF"/>
    <w:rsid w:val="00B150F3"/>
    <w:rsid w:val="00B36F1D"/>
    <w:rsid w:val="00B42443"/>
    <w:rsid w:val="00B522F8"/>
    <w:rsid w:val="00B803E8"/>
    <w:rsid w:val="00B81372"/>
    <w:rsid w:val="00BC30C3"/>
    <w:rsid w:val="00BC71F8"/>
    <w:rsid w:val="00BD73D7"/>
    <w:rsid w:val="00BF290F"/>
    <w:rsid w:val="00C007D2"/>
    <w:rsid w:val="00C06126"/>
    <w:rsid w:val="00C13A5A"/>
    <w:rsid w:val="00C168E1"/>
    <w:rsid w:val="00C44408"/>
    <w:rsid w:val="00C63052"/>
    <w:rsid w:val="00C73D2D"/>
    <w:rsid w:val="00C91A64"/>
    <w:rsid w:val="00CB0F35"/>
    <w:rsid w:val="00CB1D8D"/>
    <w:rsid w:val="00CB69B5"/>
    <w:rsid w:val="00CD5B39"/>
    <w:rsid w:val="00CD7BB1"/>
    <w:rsid w:val="00CD7D93"/>
    <w:rsid w:val="00CE0A78"/>
    <w:rsid w:val="00CE3EB6"/>
    <w:rsid w:val="00D017CA"/>
    <w:rsid w:val="00D057D4"/>
    <w:rsid w:val="00D11E92"/>
    <w:rsid w:val="00D151B4"/>
    <w:rsid w:val="00D16FB9"/>
    <w:rsid w:val="00D37630"/>
    <w:rsid w:val="00D37E9F"/>
    <w:rsid w:val="00D437C8"/>
    <w:rsid w:val="00D61D54"/>
    <w:rsid w:val="00D77830"/>
    <w:rsid w:val="00D93491"/>
    <w:rsid w:val="00D95926"/>
    <w:rsid w:val="00DB2A08"/>
    <w:rsid w:val="00DB2ADB"/>
    <w:rsid w:val="00DB4D3A"/>
    <w:rsid w:val="00DC49BF"/>
    <w:rsid w:val="00DC7ADA"/>
    <w:rsid w:val="00DD1565"/>
    <w:rsid w:val="00DF67A8"/>
    <w:rsid w:val="00E07225"/>
    <w:rsid w:val="00E26C30"/>
    <w:rsid w:val="00E3202A"/>
    <w:rsid w:val="00E3321E"/>
    <w:rsid w:val="00E3441F"/>
    <w:rsid w:val="00E41712"/>
    <w:rsid w:val="00E44CBC"/>
    <w:rsid w:val="00E44CED"/>
    <w:rsid w:val="00E46316"/>
    <w:rsid w:val="00E563E8"/>
    <w:rsid w:val="00EA3A30"/>
    <w:rsid w:val="00EB695B"/>
    <w:rsid w:val="00EC5CE0"/>
    <w:rsid w:val="00EC7A00"/>
    <w:rsid w:val="00ED426C"/>
    <w:rsid w:val="00ED6446"/>
    <w:rsid w:val="00EE5D16"/>
    <w:rsid w:val="00EF2BE6"/>
    <w:rsid w:val="00EF392E"/>
    <w:rsid w:val="00F06E32"/>
    <w:rsid w:val="00F154F6"/>
    <w:rsid w:val="00F2271B"/>
    <w:rsid w:val="00F30345"/>
    <w:rsid w:val="00F3507F"/>
    <w:rsid w:val="00F83931"/>
    <w:rsid w:val="00F9335E"/>
    <w:rsid w:val="00F943DE"/>
    <w:rsid w:val="00FA0F80"/>
    <w:rsid w:val="00FA1343"/>
    <w:rsid w:val="00FA415D"/>
    <w:rsid w:val="00FB5BD6"/>
    <w:rsid w:val="00FC5F9D"/>
    <w:rsid w:val="00FD48C1"/>
    <w:rsid w:val="00FD62E6"/>
    <w:rsid w:val="00FE061B"/>
    <w:rsid w:val="00FE247D"/>
    <w:rsid w:val="00FE2B34"/>
    <w:rsid w:val="00FF359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62374"/>
  <w15:chartTrackingRefBased/>
  <w15:docId w15:val="{1C9EBF0F-B994-4D1E-BF26-E5F87D479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EF392E"/>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EF392E"/>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EF392E"/>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EF392E"/>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EF392E"/>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EF392E"/>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EF392E"/>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EF392E"/>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EF392E"/>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EF392E"/>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F392E"/>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EF392E"/>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EF392E"/>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F392E"/>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F392E"/>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F392E"/>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F392E"/>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F392E"/>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F392E"/>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EF392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F392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EF392E"/>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F392E"/>
    <w:pPr>
      <w:spacing w:before="160"/>
      <w:jc w:val="center"/>
    </w:pPr>
    <w:rPr>
      <w:i/>
      <w:iCs/>
      <w:color w:val="404040" w:themeColor="text1" w:themeTint="BF"/>
    </w:rPr>
  </w:style>
  <w:style w:type="character" w:customStyle="1" w:styleId="Char1">
    <w:name w:val="인용 Char"/>
    <w:basedOn w:val="a0"/>
    <w:link w:val="a5"/>
    <w:uiPriority w:val="29"/>
    <w:rsid w:val="00EF392E"/>
    <w:rPr>
      <w:i/>
      <w:iCs/>
      <w:color w:val="404040" w:themeColor="text1" w:themeTint="BF"/>
    </w:rPr>
  </w:style>
  <w:style w:type="paragraph" w:styleId="a6">
    <w:name w:val="List Paragraph"/>
    <w:basedOn w:val="a"/>
    <w:uiPriority w:val="34"/>
    <w:qFormat/>
    <w:rsid w:val="00EF392E"/>
    <w:pPr>
      <w:ind w:left="720"/>
      <w:contextualSpacing/>
    </w:pPr>
  </w:style>
  <w:style w:type="character" w:styleId="a7">
    <w:name w:val="Intense Emphasis"/>
    <w:basedOn w:val="a0"/>
    <w:uiPriority w:val="21"/>
    <w:qFormat/>
    <w:rsid w:val="00EF392E"/>
    <w:rPr>
      <w:i/>
      <w:iCs/>
      <w:color w:val="0F4761" w:themeColor="accent1" w:themeShade="BF"/>
    </w:rPr>
  </w:style>
  <w:style w:type="paragraph" w:styleId="a8">
    <w:name w:val="Intense Quote"/>
    <w:basedOn w:val="a"/>
    <w:next w:val="a"/>
    <w:link w:val="Char2"/>
    <w:uiPriority w:val="30"/>
    <w:qFormat/>
    <w:rsid w:val="00EF39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EF392E"/>
    <w:rPr>
      <w:i/>
      <w:iCs/>
      <w:color w:val="0F4761" w:themeColor="accent1" w:themeShade="BF"/>
    </w:rPr>
  </w:style>
  <w:style w:type="character" w:styleId="a9">
    <w:name w:val="Intense Reference"/>
    <w:basedOn w:val="a0"/>
    <w:uiPriority w:val="32"/>
    <w:qFormat/>
    <w:rsid w:val="00EF392E"/>
    <w:rPr>
      <w:b/>
      <w:bCs/>
      <w:smallCaps/>
      <w:color w:val="0F4761" w:themeColor="accent1" w:themeShade="BF"/>
      <w:spacing w:val="5"/>
    </w:rPr>
  </w:style>
  <w:style w:type="paragraph" w:styleId="aa">
    <w:name w:val="footnote text"/>
    <w:basedOn w:val="a"/>
    <w:link w:val="Char3"/>
    <w:uiPriority w:val="99"/>
    <w:semiHidden/>
    <w:unhideWhenUsed/>
    <w:rsid w:val="00C44408"/>
    <w:pPr>
      <w:snapToGrid w:val="0"/>
    </w:pPr>
  </w:style>
  <w:style w:type="character" w:customStyle="1" w:styleId="Char3">
    <w:name w:val="각주 텍스트 Char"/>
    <w:basedOn w:val="a0"/>
    <w:link w:val="aa"/>
    <w:uiPriority w:val="99"/>
    <w:semiHidden/>
    <w:rsid w:val="00C44408"/>
  </w:style>
  <w:style w:type="character" w:styleId="ab">
    <w:name w:val="footnote reference"/>
    <w:basedOn w:val="a0"/>
    <w:uiPriority w:val="99"/>
    <w:semiHidden/>
    <w:unhideWhenUsed/>
    <w:rsid w:val="00C44408"/>
    <w:rPr>
      <w:vertAlign w:val="superscript"/>
    </w:rPr>
  </w:style>
  <w:style w:type="paragraph" w:styleId="ac">
    <w:name w:val="Normal (Web)"/>
    <w:basedOn w:val="a"/>
    <w:uiPriority w:val="99"/>
    <w:semiHidden/>
    <w:unhideWhenUsed/>
    <w:rsid w:val="000277D9"/>
    <w:rPr>
      <w:rFonts w:ascii="Times New Roman" w:hAnsi="Times New Roman" w:cs="Times New Roman"/>
      <w:sz w:val="24"/>
    </w:rPr>
  </w:style>
  <w:style w:type="character" w:styleId="ad">
    <w:name w:val="Strong"/>
    <w:basedOn w:val="a0"/>
    <w:uiPriority w:val="22"/>
    <w:qFormat/>
    <w:rsid w:val="00A434F5"/>
    <w:rPr>
      <w:b/>
      <w:bCs/>
    </w:rPr>
  </w:style>
  <w:style w:type="character" w:styleId="ae">
    <w:name w:val="Emphasis"/>
    <w:basedOn w:val="a0"/>
    <w:uiPriority w:val="20"/>
    <w:qFormat/>
    <w:rsid w:val="004506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6220">
      <w:bodyDiv w:val="1"/>
      <w:marLeft w:val="0"/>
      <w:marRight w:val="0"/>
      <w:marTop w:val="0"/>
      <w:marBottom w:val="0"/>
      <w:divBdr>
        <w:top w:val="none" w:sz="0" w:space="0" w:color="auto"/>
        <w:left w:val="none" w:sz="0" w:space="0" w:color="auto"/>
        <w:bottom w:val="none" w:sz="0" w:space="0" w:color="auto"/>
        <w:right w:val="none" w:sz="0" w:space="0" w:color="auto"/>
      </w:divBdr>
    </w:div>
    <w:div w:id="32270611">
      <w:bodyDiv w:val="1"/>
      <w:marLeft w:val="0"/>
      <w:marRight w:val="0"/>
      <w:marTop w:val="0"/>
      <w:marBottom w:val="0"/>
      <w:divBdr>
        <w:top w:val="none" w:sz="0" w:space="0" w:color="auto"/>
        <w:left w:val="none" w:sz="0" w:space="0" w:color="auto"/>
        <w:bottom w:val="none" w:sz="0" w:space="0" w:color="auto"/>
        <w:right w:val="none" w:sz="0" w:space="0" w:color="auto"/>
      </w:divBdr>
    </w:div>
    <w:div w:id="35738870">
      <w:bodyDiv w:val="1"/>
      <w:marLeft w:val="0"/>
      <w:marRight w:val="0"/>
      <w:marTop w:val="0"/>
      <w:marBottom w:val="0"/>
      <w:divBdr>
        <w:top w:val="none" w:sz="0" w:space="0" w:color="auto"/>
        <w:left w:val="none" w:sz="0" w:space="0" w:color="auto"/>
        <w:bottom w:val="none" w:sz="0" w:space="0" w:color="auto"/>
        <w:right w:val="none" w:sz="0" w:space="0" w:color="auto"/>
      </w:divBdr>
    </w:div>
    <w:div w:id="40059129">
      <w:bodyDiv w:val="1"/>
      <w:marLeft w:val="0"/>
      <w:marRight w:val="0"/>
      <w:marTop w:val="0"/>
      <w:marBottom w:val="0"/>
      <w:divBdr>
        <w:top w:val="none" w:sz="0" w:space="0" w:color="auto"/>
        <w:left w:val="none" w:sz="0" w:space="0" w:color="auto"/>
        <w:bottom w:val="none" w:sz="0" w:space="0" w:color="auto"/>
        <w:right w:val="none" w:sz="0" w:space="0" w:color="auto"/>
      </w:divBdr>
    </w:div>
    <w:div w:id="56517205">
      <w:bodyDiv w:val="1"/>
      <w:marLeft w:val="0"/>
      <w:marRight w:val="0"/>
      <w:marTop w:val="0"/>
      <w:marBottom w:val="0"/>
      <w:divBdr>
        <w:top w:val="none" w:sz="0" w:space="0" w:color="auto"/>
        <w:left w:val="none" w:sz="0" w:space="0" w:color="auto"/>
        <w:bottom w:val="none" w:sz="0" w:space="0" w:color="auto"/>
        <w:right w:val="none" w:sz="0" w:space="0" w:color="auto"/>
      </w:divBdr>
    </w:div>
    <w:div w:id="57747120">
      <w:bodyDiv w:val="1"/>
      <w:marLeft w:val="0"/>
      <w:marRight w:val="0"/>
      <w:marTop w:val="0"/>
      <w:marBottom w:val="0"/>
      <w:divBdr>
        <w:top w:val="none" w:sz="0" w:space="0" w:color="auto"/>
        <w:left w:val="none" w:sz="0" w:space="0" w:color="auto"/>
        <w:bottom w:val="none" w:sz="0" w:space="0" w:color="auto"/>
        <w:right w:val="none" w:sz="0" w:space="0" w:color="auto"/>
      </w:divBdr>
    </w:div>
    <w:div w:id="75370298">
      <w:bodyDiv w:val="1"/>
      <w:marLeft w:val="0"/>
      <w:marRight w:val="0"/>
      <w:marTop w:val="0"/>
      <w:marBottom w:val="0"/>
      <w:divBdr>
        <w:top w:val="none" w:sz="0" w:space="0" w:color="auto"/>
        <w:left w:val="none" w:sz="0" w:space="0" w:color="auto"/>
        <w:bottom w:val="none" w:sz="0" w:space="0" w:color="auto"/>
        <w:right w:val="none" w:sz="0" w:space="0" w:color="auto"/>
      </w:divBdr>
    </w:div>
    <w:div w:id="86199071">
      <w:bodyDiv w:val="1"/>
      <w:marLeft w:val="0"/>
      <w:marRight w:val="0"/>
      <w:marTop w:val="0"/>
      <w:marBottom w:val="0"/>
      <w:divBdr>
        <w:top w:val="none" w:sz="0" w:space="0" w:color="auto"/>
        <w:left w:val="none" w:sz="0" w:space="0" w:color="auto"/>
        <w:bottom w:val="none" w:sz="0" w:space="0" w:color="auto"/>
        <w:right w:val="none" w:sz="0" w:space="0" w:color="auto"/>
      </w:divBdr>
    </w:div>
    <w:div w:id="92017274">
      <w:bodyDiv w:val="1"/>
      <w:marLeft w:val="0"/>
      <w:marRight w:val="0"/>
      <w:marTop w:val="0"/>
      <w:marBottom w:val="0"/>
      <w:divBdr>
        <w:top w:val="none" w:sz="0" w:space="0" w:color="auto"/>
        <w:left w:val="none" w:sz="0" w:space="0" w:color="auto"/>
        <w:bottom w:val="none" w:sz="0" w:space="0" w:color="auto"/>
        <w:right w:val="none" w:sz="0" w:space="0" w:color="auto"/>
      </w:divBdr>
    </w:div>
    <w:div w:id="95755343">
      <w:bodyDiv w:val="1"/>
      <w:marLeft w:val="0"/>
      <w:marRight w:val="0"/>
      <w:marTop w:val="0"/>
      <w:marBottom w:val="0"/>
      <w:divBdr>
        <w:top w:val="none" w:sz="0" w:space="0" w:color="auto"/>
        <w:left w:val="none" w:sz="0" w:space="0" w:color="auto"/>
        <w:bottom w:val="none" w:sz="0" w:space="0" w:color="auto"/>
        <w:right w:val="none" w:sz="0" w:space="0" w:color="auto"/>
      </w:divBdr>
    </w:div>
    <w:div w:id="146754123">
      <w:bodyDiv w:val="1"/>
      <w:marLeft w:val="0"/>
      <w:marRight w:val="0"/>
      <w:marTop w:val="0"/>
      <w:marBottom w:val="0"/>
      <w:divBdr>
        <w:top w:val="none" w:sz="0" w:space="0" w:color="auto"/>
        <w:left w:val="none" w:sz="0" w:space="0" w:color="auto"/>
        <w:bottom w:val="none" w:sz="0" w:space="0" w:color="auto"/>
        <w:right w:val="none" w:sz="0" w:space="0" w:color="auto"/>
      </w:divBdr>
    </w:div>
    <w:div w:id="147089087">
      <w:bodyDiv w:val="1"/>
      <w:marLeft w:val="0"/>
      <w:marRight w:val="0"/>
      <w:marTop w:val="0"/>
      <w:marBottom w:val="0"/>
      <w:divBdr>
        <w:top w:val="none" w:sz="0" w:space="0" w:color="auto"/>
        <w:left w:val="none" w:sz="0" w:space="0" w:color="auto"/>
        <w:bottom w:val="none" w:sz="0" w:space="0" w:color="auto"/>
        <w:right w:val="none" w:sz="0" w:space="0" w:color="auto"/>
      </w:divBdr>
    </w:div>
    <w:div w:id="152524550">
      <w:bodyDiv w:val="1"/>
      <w:marLeft w:val="0"/>
      <w:marRight w:val="0"/>
      <w:marTop w:val="0"/>
      <w:marBottom w:val="0"/>
      <w:divBdr>
        <w:top w:val="none" w:sz="0" w:space="0" w:color="auto"/>
        <w:left w:val="none" w:sz="0" w:space="0" w:color="auto"/>
        <w:bottom w:val="none" w:sz="0" w:space="0" w:color="auto"/>
        <w:right w:val="none" w:sz="0" w:space="0" w:color="auto"/>
      </w:divBdr>
    </w:div>
    <w:div w:id="161244115">
      <w:bodyDiv w:val="1"/>
      <w:marLeft w:val="0"/>
      <w:marRight w:val="0"/>
      <w:marTop w:val="0"/>
      <w:marBottom w:val="0"/>
      <w:divBdr>
        <w:top w:val="none" w:sz="0" w:space="0" w:color="auto"/>
        <w:left w:val="none" w:sz="0" w:space="0" w:color="auto"/>
        <w:bottom w:val="none" w:sz="0" w:space="0" w:color="auto"/>
        <w:right w:val="none" w:sz="0" w:space="0" w:color="auto"/>
      </w:divBdr>
    </w:div>
    <w:div w:id="194202088">
      <w:bodyDiv w:val="1"/>
      <w:marLeft w:val="0"/>
      <w:marRight w:val="0"/>
      <w:marTop w:val="0"/>
      <w:marBottom w:val="0"/>
      <w:divBdr>
        <w:top w:val="none" w:sz="0" w:space="0" w:color="auto"/>
        <w:left w:val="none" w:sz="0" w:space="0" w:color="auto"/>
        <w:bottom w:val="none" w:sz="0" w:space="0" w:color="auto"/>
        <w:right w:val="none" w:sz="0" w:space="0" w:color="auto"/>
      </w:divBdr>
    </w:div>
    <w:div w:id="226766716">
      <w:bodyDiv w:val="1"/>
      <w:marLeft w:val="0"/>
      <w:marRight w:val="0"/>
      <w:marTop w:val="0"/>
      <w:marBottom w:val="0"/>
      <w:divBdr>
        <w:top w:val="none" w:sz="0" w:space="0" w:color="auto"/>
        <w:left w:val="none" w:sz="0" w:space="0" w:color="auto"/>
        <w:bottom w:val="none" w:sz="0" w:space="0" w:color="auto"/>
        <w:right w:val="none" w:sz="0" w:space="0" w:color="auto"/>
      </w:divBdr>
    </w:div>
    <w:div w:id="227764935">
      <w:bodyDiv w:val="1"/>
      <w:marLeft w:val="0"/>
      <w:marRight w:val="0"/>
      <w:marTop w:val="0"/>
      <w:marBottom w:val="0"/>
      <w:divBdr>
        <w:top w:val="none" w:sz="0" w:space="0" w:color="auto"/>
        <w:left w:val="none" w:sz="0" w:space="0" w:color="auto"/>
        <w:bottom w:val="none" w:sz="0" w:space="0" w:color="auto"/>
        <w:right w:val="none" w:sz="0" w:space="0" w:color="auto"/>
      </w:divBdr>
    </w:div>
    <w:div w:id="235212613">
      <w:bodyDiv w:val="1"/>
      <w:marLeft w:val="0"/>
      <w:marRight w:val="0"/>
      <w:marTop w:val="0"/>
      <w:marBottom w:val="0"/>
      <w:divBdr>
        <w:top w:val="none" w:sz="0" w:space="0" w:color="auto"/>
        <w:left w:val="none" w:sz="0" w:space="0" w:color="auto"/>
        <w:bottom w:val="none" w:sz="0" w:space="0" w:color="auto"/>
        <w:right w:val="none" w:sz="0" w:space="0" w:color="auto"/>
      </w:divBdr>
    </w:div>
    <w:div w:id="240064776">
      <w:bodyDiv w:val="1"/>
      <w:marLeft w:val="0"/>
      <w:marRight w:val="0"/>
      <w:marTop w:val="0"/>
      <w:marBottom w:val="0"/>
      <w:divBdr>
        <w:top w:val="none" w:sz="0" w:space="0" w:color="auto"/>
        <w:left w:val="none" w:sz="0" w:space="0" w:color="auto"/>
        <w:bottom w:val="none" w:sz="0" w:space="0" w:color="auto"/>
        <w:right w:val="none" w:sz="0" w:space="0" w:color="auto"/>
      </w:divBdr>
    </w:div>
    <w:div w:id="242616592">
      <w:bodyDiv w:val="1"/>
      <w:marLeft w:val="0"/>
      <w:marRight w:val="0"/>
      <w:marTop w:val="0"/>
      <w:marBottom w:val="0"/>
      <w:divBdr>
        <w:top w:val="none" w:sz="0" w:space="0" w:color="auto"/>
        <w:left w:val="none" w:sz="0" w:space="0" w:color="auto"/>
        <w:bottom w:val="none" w:sz="0" w:space="0" w:color="auto"/>
        <w:right w:val="none" w:sz="0" w:space="0" w:color="auto"/>
      </w:divBdr>
    </w:div>
    <w:div w:id="296226217">
      <w:bodyDiv w:val="1"/>
      <w:marLeft w:val="0"/>
      <w:marRight w:val="0"/>
      <w:marTop w:val="0"/>
      <w:marBottom w:val="0"/>
      <w:divBdr>
        <w:top w:val="none" w:sz="0" w:space="0" w:color="auto"/>
        <w:left w:val="none" w:sz="0" w:space="0" w:color="auto"/>
        <w:bottom w:val="none" w:sz="0" w:space="0" w:color="auto"/>
        <w:right w:val="none" w:sz="0" w:space="0" w:color="auto"/>
      </w:divBdr>
    </w:div>
    <w:div w:id="332803590">
      <w:bodyDiv w:val="1"/>
      <w:marLeft w:val="0"/>
      <w:marRight w:val="0"/>
      <w:marTop w:val="0"/>
      <w:marBottom w:val="0"/>
      <w:divBdr>
        <w:top w:val="none" w:sz="0" w:space="0" w:color="auto"/>
        <w:left w:val="none" w:sz="0" w:space="0" w:color="auto"/>
        <w:bottom w:val="none" w:sz="0" w:space="0" w:color="auto"/>
        <w:right w:val="none" w:sz="0" w:space="0" w:color="auto"/>
      </w:divBdr>
    </w:div>
    <w:div w:id="338240790">
      <w:bodyDiv w:val="1"/>
      <w:marLeft w:val="0"/>
      <w:marRight w:val="0"/>
      <w:marTop w:val="0"/>
      <w:marBottom w:val="0"/>
      <w:divBdr>
        <w:top w:val="none" w:sz="0" w:space="0" w:color="auto"/>
        <w:left w:val="none" w:sz="0" w:space="0" w:color="auto"/>
        <w:bottom w:val="none" w:sz="0" w:space="0" w:color="auto"/>
        <w:right w:val="none" w:sz="0" w:space="0" w:color="auto"/>
      </w:divBdr>
    </w:div>
    <w:div w:id="348915617">
      <w:bodyDiv w:val="1"/>
      <w:marLeft w:val="0"/>
      <w:marRight w:val="0"/>
      <w:marTop w:val="0"/>
      <w:marBottom w:val="0"/>
      <w:divBdr>
        <w:top w:val="none" w:sz="0" w:space="0" w:color="auto"/>
        <w:left w:val="none" w:sz="0" w:space="0" w:color="auto"/>
        <w:bottom w:val="none" w:sz="0" w:space="0" w:color="auto"/>
        <w:right w:val="none" w:sz="0" w:space="0" w:color="auto"/>
      </w:divBdr>
    </w:div>
    <w:div w:id="349726888">
      <w:bodyDiv w:val="1"/>
      <w:marLeft w:val="0"/>
      <w:marRight w:val="0"/>
      <w:marTop w:val="0"/>
      <w:marBottom w:val="0"/>
      <w:divBdr>
        <w:top w:val="none" w:sz="0" w:space="0" w:color="auto"/>
        <w:left w:val="none" w:sz="0" w:space="0" w:color="auto"/>
        <w:bottom w:val="none" w:sz="0" w:space="0" w:color="auto"/>
        <w:right w:val="none" w:sz="0" w:space="0" w:color="auto"/>
      </w:divBdr>
    </w:div>
    <w:div w:id="351614934">
      <w:bodyDiv w:val="1"/>
      <w:marLeft w:val="0"/>
      <w:marRight w:val="0"/>
      <w:marTop w:val="0"/>
      <w:marBottom w:val="0"/>
      <w:divBdr>
        <w:top w:val="none" w:sz="0" w:space="0" w:color="auto"/>
        <w:left w:val="none" w:sz="0" w:space="0" w:color="auto"/>
        <w:bottom w:val="none" w:sz="0" w:space="0" w:color="auto"/>
        <w:right w:val="none" w:sz="0" w:space="0" w:color="auto"/>
      </w:divBdr>
    </w:div>
    <w:div w:id="364328836">
      <w:bodyDiv w:val="1"/>
      <w:marLeft w:val="0"/>
      <w:marRight w:val="0"/>
      <w:marTop w:val="0"/>
      <w:marBottom w:val="0"/>
      <w:divBdr>
        <w:top w:val="none" w:sz="0" w:space="0" w:color="auto"/>
        <w:left w:val="none" w:sz="0" w:space="0" w:color="auto"/>
        <w:bottom w:val="none" w:sz="0" w:space="0" w:color="auto"/>
        <w:right w:val="none" w:sz="0" w:space="0" w:color="auto"/>
      </w:divBdr>
    </w:div>
    <w:div w:id="377558155">
      <w:bodyDiv w:val="1"/>
      <w:marLeft w:val="0"/>
      <w:marRight w:val="0"/>
      <w:marTop w:val="0"/>
      <w:marBottom w:val="0"/>
      <w:divBdr>
        <w:top w:val="none" w:sz="0" w:space="0" w:color="auto"/>
        <w:left w:val="none" w:sz="0" w:space="0" w:color="auto"/>
        <w:bottom w:val="none" w:sz="0" w:space="0" w:color="auto"/>
        <w:right w:val="none" w:sz="0" w:space="0" w:color="auto"/>
      </w:divBdr>
    </w:div>
    <w:div w:id="386805437">
      <w:bodyDiv w:val="1"/>
      <w:marLeft w:val="0"/>
      <w:marRight w:val="0"/>
      <w:marTop w:val="0"/>
      <w:marBottom w:val="0"/>
      <w:divBdr>
        <w:top w:val="none" w:sz="0" w:space="0" w:color="auto"/>
        <w:left w:val="none" w:sz="0" w:space="0" w:color="auto"/>
        <w:bottom w:val="none" w:sz="0" w:space="0" w:color="auto"/>
        <w:right w:val="none" w:sz="0" w:space="0" w:color="auto"/>
      </w:divBdr>
    </w:div>
    <w:div w:id="401099010">
      <w:bodyDiv w:val="1"/>
      <w:marLeft w:val="0"/>
      <w:marRight w:val="0"/>
      <w:marTop w:val="0"/>
      <w:marBottom w:val="0"/>
      <w:divBdr>
        <w:top w:val="none" w:sz="0" w:space="0" w:color="auto"/>
        <w:left w:val="none" w:sz="0" w:space="0" w:color="auto"/>
        <w:bottom w:val="none" w:sz="0" w:space="0" w:color="auto"/>
        <w:right w:val="none" w:sz="0" w:space="0" w:color="auto"/>
      </w:divBdr>
    </w:div>
    <w:div w:id="406802769">
      <w:bodyDiv w:val="1"/>
      <w:marLeft w:val="0"/>
      <w:marRight w:val="0"/>
      <w:marTop w:val="0"/>
      <w:marBottom w:val="0"/>
      <w:divBdr>
        <w:top w:val="none" w:sz="0" w:space="0" w:color="auto"/>
        <w:left w:val="none" w:sz="0" w:space="0" w:color="auto"/>
        <w:bottom w:val="none" w:sz="0" w:space="0" w:color="auto"/>
        <w:right w:val="none" w:sz="0" w:space="0" w:color="auto"/>
      </w:divBdr>
    </w:div>
    <w:div w:id="420297370">
      <w:bodyDiv w:val="1"/>
      <w:marLeft w:val="0"/>
      <w:marRight w:val="0"/>
      <w:marTop w:val="0"/>
      <w:marBottom w:val="0"/>
      <w:divBdr>
        <w:top w:val="none" w:sz="0" w:space="0" w:color="auto"/>
        <w:left w:val="none" w:sz="0" w:space="0" w:color="auto"/>
        <w:bottom w:val="none" w:sz="0" w:space="0" w:color="auto"/>
        <w:right w:val="none" w:sz="0" w:space="0" w:color="auto"/>
      </w:divBdr>
    </w:div>
    <w:div w:id="435293648">
      <w:bodyDiv w:val="1"/>
      <w:marLeft w:val="0"/>
      <w:marRight w:val="0"/>
      <w:marTop w:val="0"/>
      <w:marBottom w:val="0"/>
      <w:divBdr>
        <w:top w:val="none" w:sz="0" w:space="0" w:color="auto"/>
        <w:left w:val="none" w:sz="0" w:space="0" w:color="auto"/>
        <w:bottom w:val="none" w:sz="0" w:space="0" w:color="auto"/>
        <w:right w:val="none" w:sz="0" w:space="0" w:color="auto"/>
      </w:divBdr>
    </w:div>
    <w:div w:id="440802740">
      <w:bodyDiv w:val="1"/>
      <w:marLeft w:val="0"/>
      <w:marRight w:val="0"/>
      <w:marTop w:val="0"/>
      <w:marBottom w:val="0"/>
      <w:divBdr>
        <w:top w:val="none" w:sz="0" w:space="0" w:color="auto"/>
        <w:left w:val="none" w:sz="0" w:space="0" w:color="auto"/>
        <w:bottom w:val="none" w:sz="0" w:space="0" w:color="auto"/>
        <w:right w:val="none" w:sz="0" w:space="0" w:color="auto"/>
      </w:divBdr>
    </w:div>
    <w:div w:id="471295281">
      <w:bodyDiv w:val="1"/>
      <w:marLeft w:val="0"/>
      <w:marRight w:val="0"/>
      <w:marTop w:val="0"/>
      <w:marBottom w:val="0"/>
      <w:divBdr>
        <w:top w:val="none" w:sz="0" w:space="0" w:color="auto"/>
        <w:left w:val="none" w:sz="0" w:space="0" w:color="auto"/>
        <w:bottom w:val="none" w:sz="0" w:space="0" w:color="auto"/>
        <w:right w:val="none" w:sz="0" w:space="0" w:color="auto"/>
      </w:divBdr>
    </w:div>
    <w:div w:id="474295415">
      <w:bodyDiv w:val="1"/>
      <w:marLeft w:val="0"/>
      <w:marRight w:val="0"/>
      <w:marTop w:val="0"/>
      <w:marBottom w:val="0"/>
      <w:divBdr>
        <w:top w:val="none" w:sz="0" w:space="0" w:color="auto"/>
        <w:left w:val="none" w:sz="0" w:space="0" w:color="auto"/>
        <w:bottom w:val="none" w:sz="0" w:space="0" w:color="auto"/>
        <w:right w:val="none" w:sz="0" w:space="0" w:color="auto"/>
      </w:divBdr>
    </w:div>
    <w:div w:id="481652928">
      <w:bodyDiv w:val="1"/>
      <w:marLeft w:val="0"/>
      <w:marRight w:val="0"/>
      <w:marTop w:val="0"/>
      <w:marBottom w:val="0"/>
      <w:divBdr>
        <w:top w:val="none" w:sz="0" w:space="0" w:color="auto"/>
        <w:left w:val="none" w:sz="0" w:space="0" w:color="auto"/>
        <w:bottom w:val="none" w:sz="0" w:space="0" w:color="auto"/>
        <w:right w:val="none" w:sz="0" w:space="0" w:color="auto"/>
      </w:divBdr>
    </w:div>
    <w:div w:id="489057104">
      <w:bodyDiv w:val="1"/>
      <w:marLeft w:val="0"/>
      <w:marRight w:val="0"/>
      <w:marTop w:val="0"/>
      <w:marBottom w:val="0"/>
      <w:divBdr>
        <w:top w:val="none" w:sz="0" w:space="0" w:color="auto"/>
        <w:left w:val="none" w:sz="0" w:space="0" w:color="auto"/>
        <w:bottom w:val="none" w:sz="0" w:space="0" w:color="auto"/>
        <w:right w:val="none" w:sz="0" w:space="0" w:color="auto"/>
      </w:divBdr>
    </w:div>
    <w:div w:id="491410014">
      <w:bodyDiv w:val="1"/>
      <w:marLeft w:val="0"/>
      <w:marRight w:val="0"/>
      <w:marTop w:val="0"/>
      <w:marBottom w:val="0"/>
      <w:divBdr>
        <w:top w:val="none" w:sz="0" w:space="0" w:color="auto"/>
        <w:left w:val="none" w:sz="0" w:space="0" w:color="auto"/>
        <w:bottom w:val="none" w:sz="0" w:space="0" w:color="auto"/>
        <w:right w:val="none" w:sz="0" w:space="0" w:color="auto"/>
      </w:divBdr>
    </w:div>
    <w:div w:id="503472554">
      <w:bodyDiv w:val="1"/>
      <w:marLeft w:val="0"/>
      <w:marRight w:val="0"/>
      <w:marTop w:val="0"/>
      <w:marBottom w:val="0"/>
      <w:divBdr>
        <w:top w:val="none" w:sz="0" w:space="0" w:color="auto"/>
        <w:left w:val="none" w:sz="0" w:space="0" w:color="auto"/>
        <w:bottom w:val="none" w:sz="0" w:space="0" w:color="auto"/>
        <w:right w:val="none" w:sz="0" w:space="0" w:color="auto"/>
      </w:divBdr>
    </w:div>
    <w:div w:id="514614754">
      <w:bodyDiv w:val="1"/>
      <w:marLeft w:val="0"/>
      <w:marRight w:val="0"/>
      <w:marTop w:val="0"/>
      <w:marBottom w:val="0"/>
      <w:divBdr>
        <w:top w:val="none" w:sz="0" w:space="0" w:color="auto"/>
        <w:left w:val="none" w:sz="0" w:space="0" w:color="auto"/>
        <w:bottom w:val="none" w:sz="0" w:space="0" w:color="auto"/>
        <w:right w:val="none" w:sz="0" w:space="0" w:color="auto"/>
      </w:divBdr>
    </w:div>
    <w:div w:id="514735618">
      <w:bodyDiv w:val="1"/>
      <w:marLeft w:val="0"/>
      <w:marRight w:val="0"/>
      <w:marTop w:val="0"/>
      <w:marBottom w:val="0"/>
      <w:divBdr>
        <w:top w:val="none" w:sz="0" w:space="0" w:color="auto"/>
        <w:left w:val="none" w:sz="0" w:space="0" w:color="auto"/>
        <w:bottom w:val="none" w:sz="0" w:space="0" w:color="auto"/>
        <w:right w:val="none" w:sz="0" w:space="0" w:color="auto"/>
      </w:divBdr>
    </w:div>
    <w:div w:id="520166146">
      <w:bodyDiv w:val="1"/>
      <w:marLeft w:val="0"/>
      <w:marRight w:val="0"/>
      <w:marTop w:val="0"/>
      <w:marBottom w:val="0"/>
      <w:divBdr>
        <w:top w:val="none" w:sz="0" w:space="0" w:color="auto"/>
        <w:left w:val="none" w:sz="0" w:space="0" w:color="auto"/>
        <w:bottom w:val="none" w:sz="0" w:space="0" w:color="auto"/>
        <w:right w:val="none" w:sz="0" w:space="0" w:color="auto"/>
      </w:divBdr>
    </w:div>
    <w:div w:id="549877922">
      <w:bodyDiv w:val="1"/>
      <w:marLeft w:val="0"/>
      <w:marRight w:val="0"/>
      <w:marTop w:val="0"/>
      <w:marBottom w:val="0"/>
      <w:divBdr>
        <w:top w:val="none" w:sz="0" w:space="0" w:color="auto"/>
        <w:left w:val="none" w:sz="0" w:space="0" w:color="auto"/>
        <w:bottom w:val="none" w:sz="0" w:space="0" w:color="auto"/>
        <w:right w:val="none" w:sz="0" w:space="0" w:color="auto"/>
      </w:divBdr>
    </w:div>
    <w:div w:id="586233252">
      <w:bodyDiv w:val="1"/>
      <w:marLeft w:val="0"/>
      <w:marRight w:val="0"/>
      <w:marTop w:val="0"/>
      <w:marBottom w:val="0"/>
      <w:divBdr>
        <w:top w:val="none" w:sz="0" w:space="0" w:color="auto"/>
        <w:left w:val="none" w:sz="0" w:space="0" w:color="auto"/>
        <w:bottom w:val="none" w:sz="0" w:space="0" w:color="auto"/>
        <w:right w:val="none" w:sz="0" w:space="0" w:color="auto"/>
      </w:divBdr>
    </w:div>
    <w:div w:id="612131411">
      <w:bodyDiv w:val="1"/>
      <w:marLeft w:val="0"/>
      <w:marRight w:val="0"/>
      <w:marTop w:val="0"/>
      <w:marBottom w:val="0"/>
      <w:divBdr>
        <w:top w:val="none" w:sz="0" w:space="0" w:color="auto"/>
        <w:left w:val="none" w:sz="0" w:space="0" w:color="auto"/>
        <w:bottom w:val="none" w:sz="0" w:space="0" w:color="auto"/>
        <w:right w:val="none" w:sz="0" w:space="0" w:color="auto"/>
      </w:divBdr>
    </w:div>
    <w:div w:id="628053991">
      <w:bodyDiv w:val="1"/>
      <w:marLeft w:val="0"/>
      <w:marRight w:val="0"/>
      <w:marTop w:val="0"/>
      <w:marBottom w:val="0"/>
      <w:divBdr>
        <w:top w:val="none" w:sz="0" w:space="0" w:color="auto"/>
        <w:left w:val="none" w:sz="0" w:space="0" w:color="auto"/>
        <w:bottom w:val="none" w:sz="0" w:space="0" w:color="auto"/>
        <w:right w:val="none" w:sz="0" w:space="0" w:color="auto"/>
      </w:divBdr>
    </w:div>
    <w:div w:id="646662933">
      <w:bodyDiv w:val="1"/>
      <w:marLeft w:val="0"/>
      <w:marRight w:val="0"/>
      <w:marTop w:val="0"/>
      <w:marBottom w:val="0"/>
      <w:divBdr>
        <w:top w:val="none" w:sz="0" w:space="0" w:color="auto"/>
        <w:left w:val="none" w:sz="0" w:space="0" w:color="auto"/>
        <w:bottom w:val="none" w:sz="0" w:space="0" w:color="auto"/>
        <w:right w:val="none" w:sz="0" w:space="0" w:color="auto"/>
      </w:divBdr>
    </w:div>
    <w:div w:id="652100293">
      <w:bodyDiv w:val="1"/>
      <w:marLeft w:val="0"/>
      <w:marRight w:val="0"/>
      <w:marTop w:val="0"/>
      <w:marBottom w:val="0"/>
      <w:divBdr>
        <w:top w:val="none" w:sz="0" w:space="0" w:color="auto"/>
        <w:left w:val="none" w:sz="0" w:space="0" w:color="auto"/>
        <w:bottom w:val="none" w:sz="0" w:space="0" w:color="auto"/>
        <w:right w:val="none" w:sz="0" w:space="0" w:color="auto"/>
      </w:divBdr>
    </w:div>
    <w:div w:id="652833317">
      <w:bodyDiv w:val="1"/>
      <w:marLeft w:val="0"/>
      <w:marRight w:val="0"/>
      <w:marTop w:val="0"/>
      <w:marBottom w:val="0"/>
      <w:divBdr>
        <w:top w:val="none" w:sz="0" w:space="0" w:color="auto"/>
        <w:left w:val="none" w:sz="0" w:space="0" w:color="auto"/>
        <w:bottom w:val="none" w:sz="0" w:space="0" w:color="auto"/>
        <w:right w:val="none" w:sz="0" w:space="0" w:color="auto"/>
      </w:divBdr>
    </w:div>
    <w:div w:id="661667971">
      <w:bodyDiv w:val="1"/>
      <w:marLeft w:val="0"/>
      <w:marRight w:val="0"/>
      <w:marTop w:val="0"/>
      <w:marBottom w:val="0"/>
      <w:divBdr>
        <w:top w:val="none" w:sz="0" w:space="0" w:color="auto"/>
        <w:left w:val="none" w:sz="0" w:space="0" w:color="auto"/>
        <w:bottom w:val="none" w:sz="0" w:space="0" w:color="auto"/>
        <w:right w:val="none" w:sz="0" w:space="0" w:color="auto"/>
      </w:divBdr>
    </w:div>
    <w:div w:id="677150302">
      <w:bodyDiv w:val="1"/>
      <w:marLeft w:val="0"/>
      <w:marRight w:val="0"/>
      <w:marTop w:val="0"/>
      <w:marBottom w:val="0"/>
      <w:divBdr>
        <w:top w:val="none" w:sz="0" w:space="0" w:color="auto"/>
        <w:left w:val="none" w:sz="0" w:space="0" w:color="auto"/>
        <w:bottom w:val="none" w:sz="0" w:space="0" w:color="auto"/>
        <w:right w:val="none" w:sz="0" w:space="0" w:color="auto"/>
      </w:divBdr>
    </w:div>
    <w:div w:id="715542896">
      <w:bodyDiv w:val="1"/>
      <w:marLeft w:val="0"/>
      <w:marRight w:val="0"/>
      <w:marTop w:val="0"/>
      <w:marBottom w:val="0"/>
      <w:divBdr>
        <w:top w:val="none" w:sz="0" w:space="0" w:color="auto"/>
        <w:left w:val="none" w:sz="0" w:space="0" w:color="auto"/>
        <w:bottom w:val="none" w:sz="0" w:space="0" w:color="auto"/>
        <w:right w:val="none" w:sz="0" w:space="0" w:color="auto"/>
      </w:divBdr>
    </w:div>
    <w:div w:id="743647287">
      <w:bodyDiv w:val="1"/>
      <w:marLeft w:val="0"/>
      <w:marRight w:val="0"/>
      <w:marTop w:val="0"/>
      <w:marBottom w:val="0"/>
      <w:divBdr>
        <w:top w:val="none" w:sz="0" w:space="0" w:color="auto"/>
        <w:left w:val="none" w:sz="0" w:space="0" w:color="auto"/>
        <w:bottom w:val="none" w:sz="0" w:space="0" w:color="auto"/>
        <w:right w:val="none" w:sz="0" w:space="0" w:color="auto"/>
      </w:divBdr>
    </w:div>
    <w:div w:id="746072683">
      <w:bodyDiv w:val="1"/>
      <w:marLeft w:val="0"/>
      <w:marRight w:val="0"/>
      <w:marTop w:val="0"/>
      <w:marBottom w:val="0"/>
      <w:divBdr>
        <w:top w:val="none" w:sz="0" w:space="0" w:color="auto"/>
        <w:left w:val="none" w:sz="0" w:space="0" w:color="auto"/>
        <w:bottom w:val="none" w:sz="0" w:space="0" w:color="auto"/>
        <w:right w:val="none" w:sz="0" w:space="0" w:color="auto"/>
      </w:divBdr>
    </w:div>
    <w:div w:id="769010955">
      <w:bodyDiv w:val="1"/>
      <w:marLeft w:val="0"/>
      <w:marRight w:val="0"/>
      <w:marTop w:val="0"/>
      <w:marBottom w:val="0"/>
      <w:divBdr>
        <w:top w:val="none" w:sz="0" w:space="0" w:color="auto"/>
        <w:left w:val="none" w:sz="0" w:space="0" w:color="auto"/>
        <w:bottom w:val="none" w:sz="0" w:space="0" w:color="auto"/>
        <w:right w:val="none" w:sz="0" w:space="0" w:color="auto"/>
      </w:divBdr>
    </w:div>
    <w:div w:id="790780088">
      <w:bodyDiv w:val="1"/>
      <w:marLeft w:val="0"/>
      <w:marRight w:val="0"/>
      <w:marTop w:val="0"/>
      <w:marBottom w:val="0"/>
      <w:divBdr>
        <w:top w:val="none" w:sz="0" w:space="0" w:color="auto"/>
        <w:left w:val="none" w:sz="0" w:space="0" w:color="auto"/>
        <w:bottom w:val="none" w:sz="0" w:space="0" w:color="auto"/>
        <w:right w:val="none" w:sz="0" w:space="0" w:color="auto"/>
      </w:divBdr>
    </w:div>
    <w:div w:id="802696906">
      <w:bodyDiv w:val="1"/>
      <w:marLeft w:val="0"/>
      <w:marRight w:val="0"/>
      <w:marTop w:val="0"/>
      <w:marBottom w:val="0"/>
      <w:divBdr>
        <w:top w:val="none" w:sz="0" w:space="0" w:color="auto"/>
        <w:left w:val="none" w:sz="0" w:space="0" w:color="auto"/>
        <w:bottom w:val="none" w:sz="0" w:space="0" w:color="auto"/>
        <w:right w:val="none" w:sz="0" w:space="0" w:color="auto"/>
      </w:divBdr>
    </w:div>
    <w:div w:id="812872810">
      <w:bodyDiv w:val="1"/>
      <w:marLeft w:val="0"/>
      <w:marRight w:val="0"/>
      <w:marTop w:val="0"/>
      <w:marBottom w:val="0"/>
      <w:divBdr>
        <w:top w:val="none" w:sz="0" w:space="0" w:color="auto"/>
        <w:left w:val="none" w:sz="0" w:space="0" w:color="auto"/>
        <w:bottom w:val="none" w:sz="0" w:space="0" w:color="auto"/>
        <w:right w:val="none" w:sz="0" w:space="0" w:color="auto"/>
      </w:divBdr>
    </w:div>
    <w:div w:id="845244398">
      <w:bodyDiv w:val="1"/>
      <w:marLeft w:val="0"/>
      <w:marRight w:val="0"/>
      <w:marTop w:val="0"/>
      <w:marBottom w:val="0"/>
      <w:divBdr>
        <w:top w:val="none" w:sz="0" w:space="0" w:color="auto"/>
        <w:left w:val="none" w:sz="0" w:space="0" w:color="auto"/>
        <w:bottom w:val="none" w:sz="0" w:space="0" w:color="auto"/>
        <w:right w:val="none" w:sz="0" w:space="0" w:color="auto"/>
      </w:divBdr>
    </w:div>
    <w:div w:id="847251760">
      <w:bodyDiv w:val="1"/>
      <w:marLeft w:val="0"/>
      <w:marRight w:val="0"/>
      <w:marTop w:val="0"/>
      <w:marBottom w:val="0"/>
      <w:divBdr>
        <w:top w:val="none" w:sz="0" w:space="0" w:color="auto"/>
        <w:left w:val="none" w:sz="0" w:space="0" w:color="auto"/>
        <w:bottom w:val="none" w:sz="0" w:space="0" w:color="auto"/>
        <w:right w:val="none" w:sz="0" w:space="0" w:color="auto"/>
      </w:divBdr>
    </w:div>
    <w:div w:id="865950817">
      <w:bodyDiv w:val="1"/>
      <w:marLeft w:val="0"/>
      <w:marRight w:val="0"/>
      <w:marTop w:val="0"/>
      <w:marBottom w:val="0"/>
      <w:divBdr>
        <w:top w:val="none" w:sz="0" w:space="0" w:color="auto"/>
        <w:left w:val="none" w:sz="0" w:space="0" w:color="auto"/>
        <w:bottom w:val="none" w:sz="0" w:space="0" w:color="auto"/>
        <w:right w:val="none" w:sz="0" w:space="0" w:color="auto"/>
      </w:divBdr>
    </w:div>
    <w:div w:id="913399231">
      <w:bodyDiv w:val="1"/>
      <w:marLeft w:val="0"/>
      <w:marRight w:val="0"/>
      <w:marTop w:val="0"/>
      <w:marBottom w:val="0"/>
      <w:divBdr>
        <w:top w:val="none" w:sz="0" w:space="0" w:color="auto"/>
        <w:left w:val="none" w:sz="0" w:space="0" w:color="auto"/>
        <w:bottom w:val="none" w:sz="0" w:space="0" w:color="auto"/>
        <w:right w:val="none" w:sz="0" w:space="0" w:color="auto"/>
      </w:divBdr>
    </w:div>
    <w:div w:id="940646452">
      <w:bodyDiv w:val="1"/>
      <w:marLeft w:val="0"/>
      <w:marRight w:val="0"/>
      <w:marTop w:val="0"/>
      <w:marBottom w:val="0"/>
      <w:divBdr>
        <w:top w:val="none" w:sz="0" w:space="0" w:color="auto"/>
        <w:left w:val="none" w:sz="0" w:space="0" w:color="auto"/>
        <w:bottom w:val="none" w:sz="0" w:space="0" w:color="auto"/>
        <w:right w:val="none" w:sz="0" w:space="0" w:color="auto"/>
      </w:divBdr>
    </w:div>
    <w:div w:id="963926783">
      <w:bodyDiv w:val="1"/>
      <w:marLeft w:val="0"/>
      <w:marRight w:val="0"/>
      <w:marTop w:val="0"/>
      <w:marBottom w:val="0"/>
      <w:divBdr>
        <w:top w:val="none" w:sz="0" w:space="0" w:color="auto"/>
        <w:left w:val="none" w:sz="0" w:space="0" w:color="auto"/>
        <w:bottom w:val="none" w:sz="0" w:space="0" w:color="auto"/>
        <w:right w:val="none" w:sz="0" w:space="0" w:color="auto"/>
      </w:divBdr>
    </w:div>
    <w:div w:id="987132873">
      <w:bodyDiv w:val="1"/>
      <w:marLeft w:val="0"/>
      <w:marRight w:val="0"/>
      <w:marTop w:val="0"/>
      <w:marBottom w:val="0"/>
      <w:divBdr>
        <w:top w:val="none" w:sz="0" w:space="0" w:color="auto"/>
        <w:left w:val="none" w:sz="0" w:space="0" w:color="auto"/>
        <w:bottom w:val="none" w:sz="0" w:space="0" w:color="auto"/>
        <w:right w:val="none" w:sz="0" w:space="0" w:color="auto"/>
      </w:divBdr>
    </w:div>
    <w:div w:id="1040784127">
      <w:bodyDiv w:val="1"/>
      <w:marLeft w:val="0"/>
      <w:marRight w:val="0"/>
      <w:marTop w:val="0"/>
      <w:marBottom w:val="0"/>
      <w:divBdr>
        <w:top w:val="none" w:sz="0" w:space="0" w:color="auto"/>
        <w:left w:val="none" w:sz="0" w:space="0" w:color="auto"/>
        <w:bottom w:val="none" w:sz="0" w:space="0" w:color="auto"/>
        <w:right w:val="none" w:sz="0" w:space="0" w:color="auto"/>
      </w:divBdr>
    </w:div>
    <w:div w:id="1060327604">
      <w:bodyDiv w:val="1"/>
      <w:marLeft w:val="0"/>
      <w:marRight w:val="0"/>
      <w:marTop w:val="0"/>
      <w:marBottom w:val="0"/>
      <w:divBdr>
        <w:top w:val="none" w:sz="0" w:space="0" w:color="auto"/>
        <w:left w:val="none" w:sz="0" w:space="0" w:color="auto"/>
        <w:bottom w:val="none" w:sz="0" w:space="0" w:color="auto"/>
        <w:right w:val="none" w:sz="0" w:space="0" w:color="auto"/>
      </w:divBdr>
    </w:div>
    <w:div w:id="1071806868">
      <w:bodyDiv w:val="1"/>
      <w:marLeft w:val="0"/>
      <w:marRight w:val="0"/>
      <w:marTop w:val="0"/>
      <w:marBottom w:val="0"/>
      <w:divBdr>
        <w:top w:val="none" w:sz="0" w:space="0" w:color="auto"/>
        <w:left w:val="none" w:sz="0" w:space="0" w:color="auto"/>
        <w:bottom w:val="none" w:sz="0" w:space="0" w:color="auto"/>
        <w:right w:val="none" w:sz="0" w:space="0" w:color="auto"/>
      </w:divBdr>
    </w:div>
    <w:div w:id="1075127211">
      <w:bodyDiv w:val="1"/>
      <w:marLeft w:val="0"/>
      <w:marRight w:val="0"/>
      <w:marTop w:val="0"/>
      <w:marBottom w:val="0"/>
      <w:divBdr>
        <w:top w:val="none" w:sz="0" w:space="0" w:color="auto"/>
        <w:left w:val="none" w:sz="0" w:space="0" w:color="auto"/>
        <w:bottom w:val="none" w:sz="0" w:space="0" w:color="auto"/>
        <w:right w:val="none" w:sz="0" w:space="0" w:color="auto"/>
      </w:divBdr>
    </w:div>
    <w:div w:id="1079254259">
      <w:bodyDiv w:val="1"/>
      <w:marLeft w:val="0"/>
      <w:marRight w:val="0"/>
      <w:marTop w:val="0"/>
      <w:marBottom w:val="0"/>
      <w:divBdr>
        <w:top w:val="none" w:sz="0" w:space="0" w:color="auto"/>
        <w:left w:val="none" w:sz="0" w:space="0" w:color="auto"/>
        <w:bottom w:val="none" w:sz="0" w:space="0" w:color="auto"/>
        <w:right w:val="none" w:sz="0" w:space="0" w:color="auto"/>
      </w:divBdr>
    </w:div>
    <w:div w:id="1106582797">
      <w:bodyDiv w:val="1"/>
      <w:marLeft w:val="0"/>
      <w:marRight w:val="0"/>
      <w:marTop w:val="0"/>
      <w:marBottom w:val="0"/>
      <w:divBdr>
        <w:top w:val="none" w:sz="0" w:space="0" w:color="auto"/>
        <w:left w:val="none" w:sz="0" w:space="0" w:color="auto"/>
        <w:bottom w:val="none" w:sz="0" w:space="0" w:color="auto"/>
        <w:right w:val="none" w:sz="0" w:space="0" w:color="auto"/>
      </w:divBdr>
    </w:div>
    <w:div w:id="1111825780">
      <w:bodyDiv w:val="1"/>
      <w:marLeft w:val="0"/>
      <w:marRight w:val="0"/>
      <w:marTop w:val="0"/>
      <w:marBottom w:val="0"/>
      <w:divBdr>
        <w:top w:val="none" w:sz="0" w:space="0" w:color="auto"/>
        <w:left w:val="none" w:sz="0" w:space="0" w:color="auto"/>
        <w:bottom w:val="none" w:sz="0" w:space="0" w:color="auto"/>
        <w:right w:val="none" w:sz="0" w:space="0" w:color="auto"/>
      </w:divBdr>
    </w:div>
    <w:div w:id="1130243164">
      <w:bodyDiv w:val="1"/>
      <w:marLeft w:val="0"/>
      <w:marRight w:val="0"/>
      <w:marTop w:val="0"/>
      <w:marBottom w:val="0"/>
      <w:divBdr>
        <w:top w:val="none" w:sz="0" w:space="0" w:color="auto"/>
        <w:left w:val="none" w:sz="0" w:space="0" w:color="auto"/>
        <w:bottom w:val="none" w:sz="0" w:space="0" w:color="auto"/>
        <w:right w:val="none" w:sz="0" w:space="0" w:color="auto"/>
      </w:divBdr>
    </w:div>
    <w:div w:id="1143886576">
      <w:bodyDiv w:val="1"/>
      <w:marLeft w:val="0"/>
      <w:marRight w:val="0"/>
      <w:marTop w:val="0"/>
      <w:marBottom w:val="0"/>
      <w:divBdr>
        <w:top w:val="none" w:sz="0" w:space="0" w:color="auto"/>
        <w:left w:val="none" w:sz="0" w:space="0" w:color="auto"/>
        <w:bottom w:val="none" w:sz="0" w:space="0" w:color="auto"/>
        <w:right w:val="none" w:sz="0" w:space="0" w:color="auto"/>
      </w:divBdr>
    </w:div>
    <w:div w:id="1145315347">
      <w:bodyDiv w:val="1"/>
      <w:marLeft w:val="0"/>
      <w:marRight w:val="0"/>
      <w:marTop w:val="0"/>
      <w:marBottom w:val="0"/>
      <w:divBdr>
        <w:top w:val="none" w:sz="0" w:space="0" w:color="auto"/>
        <w:left w:val="none" w:sz="0" w:space="0" w:color="auto"/>
        <w:bottom w:val="none" w:sz="0" w:space="0" w:color="auto"/>
        <w:right w:val="none" w:sz="0" w:space="0" w:color="auto"/>
      </w:divBdr>
    </w:div>
    <w:div w:id="1149400035">
      <w:bodyDiv w:val="1"/>
      <w:marLeft w:val="0"/>
      <w:marRight w:val="0"/>
      <w:marTop w:val="0"/>
      <w:marBottom w:val="0"/>
      <w:divBdr>
        <w:top w:val="none" w:sz="0" w:space="0" w:color="auto"/>
        <w:left w:val="none" w:sz="0" w:space="0" w:color="auto"/>
        <w:bottom w:val="none" w:sz="0" w:space="0" w:color="auto"/>
        <w:right w:val="none" w:sz="0" w:space="0" w:color="auto"/>
      </w:divBdr>
    </w:div>
    <w:div w:id="1175732257">
      <w:bodyDiv w:val="1"/>
      <w:marLeft w:val="0"/>
      <w:marRight w:val="0"/>
      <w:marTop w:val="0"/>
      <w:marBottom w:val="0"/>
      <w:divBdr>
        <w:top w:val="none" w:sz="0" w:space="0" w:color="auto"/>
        <w:left w:val="none" w:sz="0" w:space="0" w:color="auto"/>
        <w:bottom w:val="none" w:sz="0" w:space="0" w:color="auto"/>
        <w:right w:val="none" w:sz="0" w:space="0" w:color="auto"/>
      </w:divBdr>
    </w:div>
    <w:div w:id="1183742002">
      <w:bodyDiv w:val="1"/>
      <w:marLeft w:val="0"/>
      <w:marRight w:val="0"/>
      <w:marTop w:val="0"/>
      <w:marBottom w:val="0"/>
      <w:divBdr>
        <w:top w:val="none" w:sz="0" w:space="0" w:color="auto"/>
        <w:left w:val="none" w:sz="0" w:space="0" w:color="auto"/>
        <w:bottom w:val="none" w:sz="0" w:space="0" w:color="auto"/>
        <w:right w:val="none" w:sz="0" w:space="0" w:color="auto"/>
      </w:divBdr>
    </w:div>
    <w:div w:id="1206721003">
      <w:bodyDiv w:val="1"/>
      <w:marLeft w:val="0"/>
      <w:marRight w:val="0"/>
      <w:marTop w:val="0"/>
      <w:marBottom w:val="0"/>
      <w:divBdr>
        <w:top w:val="none" w:sz="0" w:space="0" w:color="auto"/>
        <w:left w:val="none" w:sz="0" w:space="0" w:color="auto"/>
        <w:bottom w:val="none" w:sz="0" w:space="0" w:color="auto"/>
        <w:right w:val="none" w:sz="0" w:space="0" w:color="auto"/>
      </w:divBdr>
    </w:div>
    <w:div w:id="1209147851">
      <w:bodyDiv w:val="1"/>
      <w:marLeft w:val="0"/>
      <w:marRight w:val="0"/>
      <w:marTop w:val="0"/>
      <w:marBottom w:val="0"/>
      <w:divBdr>
        <w:top w:val="none" w:sz="0" w:space="0" w:color="auto"/>
        <w:left w:val="none" w:sz="0" w:space="0" w:color="auto"/>
        <w:bottom w:val="none" w:sz="0" w:space="0" w:color="auto"/>
        <w:right w:val="none" w:sz="0" w:space="0" w:color="auto"/>
      </w:divBdr>
    </w:div>
    <w:div w:id="1223785695">
      <w:bodyDiv w:val="1"/>
      <w:marLeft w:val="0"/>
      <w:marRight w:val="0"/>
      <w:marTop w:val="0"/>
      <w:marBottom w:val="0"/>
      <w:divBdr>
        <w:top w:val="none" w:sz="0" w:space="0" w:color="auto"/>
        <w:left w:val="none" w:sz="0" w:space="0" w:color="auto"/>
        <w:bottom w:val="none" w:sz="0" w:space="0" w:color="auto"/>
        <w:right w:val="none" w:sz="0" w:space="0" w:color="auto"/>
      </w:divBdr>
    </w:div>
    <w:div w:id="1232236023">
      <w:bodyDiv w:val="1"/>
      <w:marLeft w:val="0"/>
      <w:marRight w:val="0"/>
      <w:marTop w:val="0"/>
      <w:marBottom w:val="0"/>
      <w:divBdr>
        <w:top w:val="none" w:sz="0" w:space="0" w:color="auto"/>
        <w:left w:val="none" w:sz="0" w:space="0" w:color="auto"/>
        <w:bottom w:val="none" w:sz="0" w:space="0" w:color="auto"/>
        <w:right w:val="none" w:sz="0" w:space="0" w:color="auto"/>
      </w:divBdr>
    </w:div>
    <w:div w:id="1234588885">
      <w:bodyDiv w:val="1"/>
      <w:marLeft w:val="0"/>
      <w:marRight w:val="0"/>
      <w:marTop w:val="0"/>
      <w:marBottom w:val="0"/>
      <w:divBdr>
        <w:top w:val="none" w:sz="0" w:space="0" w:color="auto"/>
        <w:left w:val="none" w:sz="0" w:space="0" w:color="auto"/>
        <w:bottom w:val="none" w:sz="0" w:space="0" w:color="auto"/>
        <w:right w:val="none" w:sz="0" w:space="0" w:color="auto"/>
      </w:divBdr>
    </w:div>
    <w:div w:id="1253320942">
      <w:bodyDiv w:val="1"/>
      <w:marLeft w:val="0"/>
      <w:marRight w:val="0"/>
      <w:marTop w:val="0"/>
      <w:marBottom w:val="0"/>
      <w:divBdr>
        <w:top w:val="none" w:sz="0" w:space="0" w:color="auto"/>
        <w:left w:val="none" w:sz="0" w:space="0" w:color="auto"/>
        <w:bottom w:val="none" w:sz="0" w:space="0" w:color="auto"/>
        <w:right w:val="none" w:sz="0" w:space="0" w:color="auto"/>
      </w:divBdr>
    </w:div>
    <w:div w:id="1269504822">
      <w:bodyDiv w:val="1"/>
      <w:marLeft w:val="0"/>
      <w:marRight w:val="0"/>
      <w:marTop w:val="0"/>
      <w:marBottom w:val="0"/>
      <w:divBdr>
        <w:top w:val="none" w:sz="0" w:space="0" w:color="auto"/>
        <w:left w:val="none" w:sz="0" w:space="0" w:color="auto"/>
        <w:bottom w:val="none" w:sz="0" w:space="0" w:color="auto"/>
        <w:right w:val="none" w:sz="0" w:space="0" w:color="auto"/>
      </w:divBdr>
    </w:div>
    <w:div w:id="1293831398">
      <w:bodyDiv w:val="1"/>
      <w:marLeft w:val="0"/>
      <w:marRight w:val="0"/>
      <w:marTop w:val="0"/>
      <w:marBottom w:val="0"/>
      <w:divBdr>
        <w:top w:val="none" w:sz="0" w:space="0" w:color="auto"/>
        <w:left w:val="none" w:sz="0" w:space="0" w:color="auto"/>
        <w:bottom w:val="none" w:sz="0" w:space="0" w:color="auto"/>
        <w:right w:val="none" w:sz="0" w:space="0" w:color="auto"/>
      </w:divBdr>
    </w:div>
    <w:div w:id="1294291497">
      <w:bodyDiv w:val="1"/>
      <w:marLeft w:val="0"/>
      <w:marRight w:val="0"/>
      <w:marTop w:val="0"/>
      <w:marBottom w:val="0"/>
      <w:divBdr>
        <w:top w:val="none" w:sz="0" w:space="0" w:color="auto"/>
        <w:left w:val="none" w:sz="0" w:space="0" w:color="auto"/>
        <w:bottom w:val="none" w:sz="0" w:space="0" w:color="auto"/>
        <w:right w:val="none" w:sz="0" w:space="0" w:color="auto"/>
      </w:divBdr>
    </w:div>
    <w:div w:id="1303927441">
      <w:bodyDiv w:val="1"/>
      <w:marLeft w:val="0"/>
      <w:marRight w:val="0"/>
      <w:marTop w:val="0"/>
      <w:marBottom w:val="0"/>
      <w:divBdr>
        <w:top w:val="none" w:sz="0" w:space="0" w:color="auto"/>
        <w:left w:val="none" w:sz="0" w:space="0" w:color="auto"/>
        <w:bottom w:val="none" w:sz="0" w:space="0" w:color="auto"/>
        <w:right w:val="none" w:sz="0" w:space="0" w:color="auto"/>
      </w:divBdr>
    </w:div>
    <w:div w:id="1304650838">
      <w:bodyDiv w:val="1"/>
      <w:marLeft w:val="0"/>
      <w:marRight w:val="0"/>
      <w:marTop w:val="0"/>
      <w:marBottom w:val="0"/>
      <w:divBdr>
        <w:top w:val="none" w:sz="0" w:space="0" w:color="auto"/>
        <w:left w:val="none" w:sz="0" w:space="0" w:color="auto"/>
        <w:bottom w:val="none" w:sz="0" w:space="0" w:color="auto"/>
        <w:right w:val="none" w:sz="0" w:space="0" w:color="auto"/>
      </w:divBdr>
    </w:div>
    <w:div w:id="1307931434">
      <w:bodyDiv w:val="1"/>
      <w:marLeft w:val="0"/>
      <w:marRight w:val="0"/>
      <w:marTop w:val="0"/>
      <w:marBottom w:val="0"/>
      <w:divBdr>
        <w:top w:val="none" w:sz="0" w:space="0" w:color="auto"/>
        <w:left w:val="none" w:sz="0" w:space="0" w:color="auto"/>
        <w:bottom w:val="none" w:sz="0" w:space="0" w:color="auto"/>
        <w:right w:val="none" w:sz="0" w:space="0" w:color="auto"/>
      </w:divBdr>
    </w:div>
    <w:div w:id="1338654085">
      <w:bodyDiv w:val="1"/>
      <w:marLeft w:val="0"/>
      <w:marRight w:val="0"/>
      <w:marTop w:val="0"/>
      <w:marBottom w:val="0"/>
      <w:divBdr>
        <w:top w:val="none" w:sz="0" w:space="0" w:color="auto"/>
        <w:left w:val="none" w:sz="0" w:space="0" w:color="auto"/>
        <w:bottom w:val="none" w:sz="0" w:space="0" w:color="auto"/>
        <w:right w:val="none" w:sz="0" w:space="0" w:color="auto"/>
      </w:divBdr>
    </w:div>
    <w:div w:id="1342783744">
      <w:bodyDiv w:val="1"/>
      <w:marLeft w:val="0"/>
      <w:marRight w:val="0"/>
      <w:marTop w:val="0"/>
      <w:marBottom w:val="0"/>
      <w:divBdr>
        <w:top w:val="none" w:sz="0" w:space="0" w:color="auto"/>
        <w:left w:val="none" w:sz="0" w:space="0" w:color="auto"/>
        <w:bottom w:val="none" w:sz="0" w:space="0" w:color="auto"/>
        <w:right w:val="none" w:sz="0" w:space="0" w:color="auto"/>
      </w:divBdr>
    </w:div>
    <w:div w:id="1428381391">
      <w:bodyDiv w:val="1"/>
      <w:marLeft w:val="0"/>
      <w:marRight w:val="0"/>
      <w:marTop w:val="0"/>
      <w:marBottom w:val="0"/>
      <w:divBdr>
        <w:top w:val="none" w:sz="0" w:space="0" w:color="auto"/>
        <w:left w:val="none" w:sz="0" w:space="0" w:color="auto"/>
        <w:bottom w:val="none" w:sz="0" w:space="0" w:color="auto"/>
        <w:right w:val="none" w:sz="0" w:space="0" w:color="auto"/>
      </w:divBdr>
    </w:div>
    <w:div w:id="1432435300">
      <w:bodyDiv w:val="1"/>
      <w:marLeft w:val="0"/>
      <w:marRight w:val="0"/>
      <w:marTop w:val="0"/>
      <w:marBottom w:val="0"/>
      <w:divBdr>
        <w:top w:val="none" w:sz="0" w:space="0" w:color="auto"/>
        <w:left w:val="none" w:sz="0" w:space="0" w:color="auto"/>
        <w:bottom w:val="none" w:sz="0" w:space="0" w:color="auto"/>
        <w:right w:val="none" w:sz="0" w:space="0" w:color="auto"/>
      </w:divBdr>
    </w:div>
    <w:div w:id="1443383340">
      <w:bodyDiv w:val="1"/>
      <w:marLeft w:val="0"/>
      <w:marRight w:val="0"/>
      <w:marTop w:val="0"/>
      <w:marBottom w:val="0"/>
      <w:divBdr>
        <w:top w:val="none" w:sz="0" w:space="0" w:color="auto"/>
        <w:left w:val="none" w:sz="0" w:space="0" w:color="auto"/>
        <w:bottom w:val="none" w:sz="0" w:space="0" w:color="auto"/>
        <w:right w:val="none" w:sz="0" w:space="0" w:color="auto"/>
      </w:divBdr>
    </w:div>
    <w:div w:id="1448742451">
      <w:bodyDiv w:val="1"/>
      <w:marLeft w:val="0"/>
      <w:marRight w:val="0"/>
      <w:marTop w:val="0"/>
      <w:marBottom w:val="0"/>
      <w:divBdr>
        <w:top w:val="none" w:sz="0" w:space="0" w:color="auto"/>
        <w:left w:val="none" w:sz="0" w:space="0" w:color="auto"/>
        <w:bottom w:val="none" w:sz="0" w:space="0" w:color="auto"/>
        <w:right w:val="none" w:sz="0" w:space="0" w:color="auto"/>
      </w:divBdr>
    </w:div>
    <w:div w:id="1456606629">
      <w:bodyDiv w:val="1"/>
      <w:marLeft w:val="0"/>
      <w:marRight w:val="0"/>
      <w:marTop w:val="0"/>
      <w:marBottom w:val="0"/>
      <w:divBdr>
        <w:top w:val="none" w:sz="0" w:space="0" w:color="auto"/>
        <w:left w:val="none" w:sz="0" w:space="0" w:color="auto"/>
        <w:bottom w:val="none" w:sz="0" w:space="0" w:color="auto"/>
        <w:right w:val="none" w:sz="0" w:space="0" w:color="auto"/>
      </w:divBdr>
    </w:div>
    <w:div w:id="1475295552">
      <w:bodyDiv w:val="1"/>
      <w:marLeft w:val="0"/>
      <w:marRight w:val="0"/>
      <w:marTop w:val="0"/>
      <w:marBottom w:val="0"/>
      <w:divBdr>
        <w:top w:val="none" w:sz="0" w:space="0" w:color="auto"/>
        <w:left w:val="none" w:sz="0" w:space="0" w:color="auto"/>
        <w:bottom w:val="none" w:sz="0" w:space="0" w:color="auto"/>
        <w:right w:val="none" w:sz="0" w:space="0" w:color="auto"/>
      </w:divBdr>
    </w:div>
    <w:div w:id="1477382332">
      <w:bodyDiv w:val="1"/>
      <w:marLeft w:val="0"/>
      <w:marRight w:val="0"/>
      <w:marTop w:val="0"/>
      <w:marBottom w:val="0"/>
      <w:divBdr>
        <w:top w:val="none" w:sz="0" w:space="0" w:color="auto"/>
        <w:left w:val="none" w:sz="0" w:space="0" w:color="auto"/>
        <w:bottom w:val="none" w:sz="0" w:space="0" w:color="auto"/>
        <w:right w:val="none" w:sz="0" w:space="0" w:color="auto"/>
      </w:divBdr>
    </w:div>
    <w:div w:id="1530754669">
      <w:bodyDiv w:val="1"/>
      <w:marLeft w:val="0"/>
      <w:marRight w:val="0"/>
      <w:marTop w:val="0"/>
      <w:marBottom w:val="0"/>
      <w:divBdr>
        <w:top w:val="none" w:sz="0" w:space="0" w:color="auto"/>
        <w:left w:val="none" w:sz="0" w:space="0" w:color="auto"/>
        <w:bottom w:val="none" w:sz="0" w:space="0" w:color="auto"/>
        <w:right w:val="none" w:sz="0" w:space="0" w:color="auto"/>
      </w:divBdr>
    </w:div>
    <w:div w:id="1542203167">
      <w:bodyDiv w:val="1"/>
      <w:marLeft w:val="0"/>
      <w:marRight w:val="0"/>
      <w:marTop w:val="0"/>
      <w:marBottom w:val="0"/>
      <w:divBdr>
        <w:top w:val="none" w:sz="0" w:space="0" w:color="auto"/>
        <w:left w:val="none" w:sz="0" w:space="0" w:color="auto"/>
        <w:bottom w:val="none" w:sz="0" w:space="0" w:color="auto"/>
        <w:right w:val="none" w:sz="0" w:space="0" w:color="auto"/>
      </w:divBdr>
    </w:div>
    <w:div w:id="1559704995">
      <w:bodyDiv w:val="1"/>
      <w:marLeft w:val="0"/>
      <w:marRight w:val="0"/>
      <w:marTop w:val="0"/>
      <w:marBottom w:val="0"/>
      <w:divBdr>
        <w:top w:val="none" w:sz="0" w:space="0" w:color="auto"/>
        <w:left w:val="none" w:sz="0" w:space="0" w:color="auto"/>
        <w:bottom w:val="none" w:sz="0" w:space="0" w:color="auto"/>
        <w:right w:val="none" w:sz="0" w:space="0" w:color="auto"/>
      </w:divBdr>
    </w:div>
    <w:div w:id="1562594594">
      <w:bodyDiv w:val="1"/>
      <w:marLeft w:val="0"/>
      <w:marRight w:val="0"/>
      <w:marTop w:val="0"/>
      <w:marBottom w:val="0"/>
      <w:divBdr>
        <w:top w:val="none" w:sz="0" w:space="0" w:color="auto"/>
        <w:left w:val="none" w:sz="0" w:space="0" w:color="auto"/>
        <w:bottom w:val="none" w:sz="0" w:space="0" w:color="auto"/>
        <w:right w:val="none" w:sz="0" w:space="0" w:color="auto"/>
      </w:divBdr>
    </w:div>
    <w:div w:id="1573470138">
      <w:bodyDiv w:val="1"/>
      <w:marLeft w:val="0"/>
      <w:marRight w:val="0"/>
      <w:marTop w:val="0"/>
      <w:marBottom w:val="0"/>
      <w:divBdr>
        <w:top w:val="none" w:sz="0" w:space="0" w:color="auto"/>
        <w:left w:val="none" w:sz="0" w:space="0" w:color="auto"/>
        <w:bottom w:val="none" w:sz="0" w:space="0" w:color="auto"/>
        <w:right w:val="none" w:sz="0" w:space="0" w:color="auto"/>
      </w:divBdr>
    </w:div>
    <w:div w:id="1574391125">
      <w:bodyDiv w:val="1"/>
      <w:marLeft w:val="0"/>
      <w:marRight w:val="0"/>
      <w:marTop w:val="0"/>
      <w:marBottom w:val="0"/>
      <w:divBdr>
        <w:top w:val="none" w:sz="0" w:space="0" w:color="auto"/>
        <w:left w:val="none" w:sz="0" w:space="0" w:color="auto"/>
        <w:bottom w:val="none" w:sz="0" w:space="0" w:color="auto"/>
        <w:right w:val="none" w:sz="0" w:space="0" w:color="auto"/>
      </w:divBdr>
    </w:div>
    <w:div w:id="1578858841">
      <w:bodyDiv w:val="1"/>
      <w:marLeft w:val="0"/>
      <w:marRight w:val="0"/>
      <w:marTop w:val="0"/>
      <w:marBottom w:val="0"/>
      <w:divBdr>
        <w:top w:val="none" w:sz="0" w:space="0" w:color="auto"/>
        <w:left w:val="none" w:sz="0" w:space="0" w:color="auto"/>
        <w:bottom w:val="none" w:sz="0" w:space="0" w:color="auto"/>
        <w:right w:val="none" w:sz="0" w:space="0" w:color="auto"/>
      </w:divBdr>
    </w:div>
    <w:div w:id="1588687348">
      <w:bodyDiv w:val="1"/>
      <w:marLeft w:val="0"/>
      <w:marRight w:val="0"/>
      <w:marTop w:val="0"/>
      <w:marBottom w:val="0"/>
      <w:divBdr>
        <w:top w:val="none" w:sz="0" w:space="0" w:color="auto"/>
        <w:left w:val="none" w:sz="0" w:space="0" w:color="auto"/>
        <w:bottom w:val="none" w:sz="0" w:space="0" w:color="auto"/>
        <w:right w:val="none" w:sz="0" w:space="0" w:color="auto"/>
      </w:divBdr>
    </w:div>
    <w:div w:id="1604000019">
      <w:bodyDiv w:val="1"/>
      <w:marLeft w:val="0"/>
      <w:marRight w:val="0"/>
      <w:marTop w:val="0"/>
      <w:marBottom w:val="0"/>
      <w:divBdr>
        <w:top w:val="none" w:sz="0" w:space="0" w:color="auto"/>
        <w:left w:val="none" w:sz="0" w:space="0" w:color="auto"/>
        <w:bottom w:val="none" w:sz="0" w:space="0" w:color="auto"/>
        <w:right w:val="none" w:sz="0" w:space="0" w:color="auto"/>
      </w:divBdr>
    </w:div>
    <w:div w:id="1610964815">
      <w:bodyDiv w:val="1"/>
      <w:marLeft w:val="0"/>
      <w:marRight w:val="0"/>
      <w:marTop w:val="0"/>
      <w:marBottom w:val="0"/>
      <w:divBdr>
        <w:top w:val="none" w:sz="0" w:space="0" w:color="auto"/>
        <w:left w:val="none" w:sz="0" w:space="0" w:color="auto"/>
        <w:bottom w:val="none" w:sz="0" w:space="0" w:color="auto"/>
        <w:right w:val="none" w:sz="0" w:space="0" w:color="auto"/>
      </w:divBdr>
    </w:div>
    <w:div w:id="1615593922">
      <w:bodyDiv w:val="1"/>
      <w:marLeft w:val="0"/>
      <w:marRight w:val="0"/>
      <w:marTop w:val="0"/>
      <w:marBottom w:val="0"/>
      <w:divBdr>
        <w:top w:val="none" w:sz="0" w:space="0" w:color="auto"/>
        <w:left w:val="none" w:sz="0" w:space="0" w:color="auto"/>
        <w:bottom w:val="none" w:sz="0" w:space="0" w:color="auto"/>
        <w:right w:val="none" w:sz="0" w:space="0" w:color="auto"/>
      </w:divBdr>
    </w:div>
    <w:div w:id="1622112058">
      <w:bodyDiv w:val="1"/>
      <w:marLeft w:val="0"/>
      <w:marRight w:val="0"/>
      <w:marTop w:val="0"/>
      <w:marBottom w:val="0"/>
      <w:divBdr>
        <w:top w:val="none" w:sz="0" w:space="0" w:color="auto"/>
        <w:left w:val="none" w:sz="0" w:space="0" w:color="auto"/>
        <w:bottom w:val="none" w:sz="0" w:space="0" w:color="auto"/>
        <w:right w:val="none" w:sz="0" w:space="0" w:color="auto"/>
      </w:divBdr>
    </w:div>
    <w:div w:id="1633516410">
      <w:bodyDiv w:val="1"/>
      <w:marLeft w:val="0"/>
      <w:marRight w:val="0"/>
      <w:marTop w:val="0"/>
      <w:marBottom w:val="0"/>
      <w:divBdr>
        <w:top w:val="none" w:sz="0" w:space="0" w:color="auto"/>
        <w:left w:val="none" w:sz="0" w:space="0" w:color="auto"/>
        <w:bottom w:val="none" w:sz="0" w:space="0" w:color="auto"/>
        <w:right w:val="none" w:sz="0" w:space="0" w:color="auto"/>
      </w:divBdr>
    </w:div>
    <w:div w:id="1638800638">
      <w:bodyDiv w:val="1"/>
      <w:marLeft w:val="0"/>
      <w:marRight w:val="0"/>
      <w:marTop w:val="0"/>
      <w:marBottom w:val="0"/>
      <w:divBdr>
        <w:top w:val="none" w:sz="0" w:space="0" w:color="auto"/>
        <w:left w:val="none" w:sz="0" w:space="0" w:color="auto"/>
        <w:bottom w:val="none" w:sz="0" w:space="0" w:color="auto"/>
        <w:right w:val="none" w:sz="0" w:space="0" w:color="auto"/>
      </w:divBdr>
    </w:div>
    <w:div w:id="1700810534">
      <w:bodyDiv w:val="1"/>
      <w:marLeft w:val="0"/>
      <w:marRight w:val="0"/>
      <w:marTop w:val="0"/>
      <w:marBottom w:val="0"/>
      <w:divBdr>
        <w:top w:val="none" w:sz="0" w:space="0" w:color="auto"/>
        <w:left w:val="none" w:sz="0" w:space="0" w:color="auto"/>
        <w:bottom w:val="none" w:sz="0" w:space="0" w:color="auto"/>
        <w:right w:val="none" w:sz="0" w:space="0" w:color="auto"/>
      </w:divBdr>
    </w:div>
    <w:div w:id="1717004447">
      <w:bodyDiv w:val="1"/>
      <w:marLeft w:val="0"/>
      <w:marRight w:val="0"/>
      <w:marTop w:val="0"/>
      <w:marBottom w:val="0"/>
      <w:divBdr>
        <w:top w:val="none" w:sz="0" w:space="0" w:color="auto"/>
        <w:left w:val="none" w:sz="0" w:space="0" w:color="auto"/>
        <w:bottom w:val="none" w:sz="0" w:space="0" w:color="auto"/>
        <w:right w:val="none" w:sz="0" w:space="0" w:color="auto"/>
      </w:divBdr>
    </w:div>
    <w:div w:id="1754818605">
      <w:bodyDiv w:val="1"/>
      <w:marLeft w:val="0"/>
      <w:marRight w:val="0"/>
      <w:marTop w:val="0"/>
      <w:marBottom w:val="0"/>
      <w:divBdr>
        <w:top w:val="none" w:sz="0" w:space="0" w:color="auto"/>
        <w:left w:val="none" w:sz="0" w:space="0" w:color="auto"/>
        <w:bottom w:val="none" w:sz="0" w:space="0" w:color="auto"/>
        <w:right w:val="none" w:sz="0" w:space="0" w:color="auto"/>
      </w:divBdr>
    </w:div>
    <w:div w:id="1758288574">
      <w:bodyDiv w:val="1"/>
      <w:marLeft w:val="0"/>
      <w:marRight w:val="0"/>
      <w:marTop w:val="0"/>
      <w:marBottom w:val="0"/>
      <w:divBdr>
        <w:top w:val="none" w:sz="0" w:space="0" w:color="auto"/>
        <w:left w:val="none" w:sz="0" w:space="0" w:color="auto"/>
        <w:bottom w:val="none" w:sz="0" w:space="0" w:color="auto"/>
        <w:right w:val="none" w:sz="0" w:space="0" w:color="auto"/>
      </w:divBdr>
    </w:div>
    <w:div w:id="1805151007">
      <w:bodyDiv w:val="1"/>
      <w:marLeft w:val="0"/>
      <w:marRight w:val="0"/>
      <w:marTop w:val="0"/>
      <w:marBottom w:val="0"/>
      <w:divBdr>
        <w:top w:val="none" w:sz="0" w:space="0" w:color="auto"/>
        <w:left w:val="none" w:sz="0" w:space="0" w:color="auto"/>
        <w:bottom w:val="none" w:sz="0" w:space="0" w:color="auto"/>
        <w:right w:val="none" w:sz="0" w:space="0" w:color="auto"/>
      </w:divBdr>
    </w:div>
    <w:div w:id="1819685600">
      <w:bodyDiv w:val="1"/>
      <w:marLeft w:val="0"/>
      <w:marRight w:val="0"/>
      <w:marTop w:val="0"/>
      <w:marBottom w:val="0"/>
      <w:divBdr>
        <w:top w:val="none" w:sz="0" w:space="0" w:color="auto"/>
        <w:left w:val="none" w:sz="0" w:space="0" w:color="auto"/>
        <w:bottom w:val="none" w:sz="0" w:space="0" w:color="auto"/>
        <w:right w:val="none" w:sz="0" w:space="0" w:color="auto"/>
      </w:divBdr>
    </w:div>
    <w:div w:id="1828786685">
      <w:bodyDiv w:val="1"/>
      <w:marLeft w:val="0"/>
      <w:marRight w:val="0"/>
      <w:marTop w:val="0"/>
      <w:marBottom w:val="0"/>
      <w:divBdr>
        <w:top w:val="none" w:sz="0" w:space="0" w:color="auto"/>
        <w:left w:val="none" w:sz="0" w:space="0" w:color="auto"/>
        <w:bottom w:val="none" w:sz="0" w:space="0" w:color="auto"/>
        <w:right w:val="none" w:sz="0" w:space="0" w:color="auto"/>
      </w:divBdr>
    </w:div>
    <w:div w:id="1839080576">
      <w:bodyDiv w:val="1"/>
      <w:marLeft w:val="0"/>
      <w:marRight w:val="0"/>
      <w:marTop w:val="0"/>
      <w:marBottom w:val="0"/>
      <w:divBdr>
        <w:top w:val="none" w:sz="0" w:space="0" w:color="auto"/>
        <w:left w:val="none" w:sz="0" w:space="0" w:color="auto"/>
        <w:bottom w:val="none" w:sz="0" w:space="0" w:color="auto"/>
        <w:right w:val="none" w:sz="0" w:space="0" w:color="auto"/>
      </w:divBdr>
    </w:div>
    <w:div w:id="1849246458">
      <w:bodyDiv w:val="1"/>
      <w:marLeft w:val="0"/>
      <w:marRight w:val="0"/>
      <w:marTop w:val="0"/>
      <w:marBottom w:val="0"/>
      <w:divBdr>
        <w:top w:val="none" w:sz="0" w:space="0" w:color="auto"/>
        <w:left w:val="none" w:sz="0" w:space="0" w:color="auto"/>
        <w:bottom w:val="none" w:sz="0" w:space="0" w:color="auto"/>
        <w:right w:val="none" w:sz="0" w:space="0" w:color="auto"/>
      </w:divBdr>
    </w:div>
    <w:div w:id="1852183153">
      <w:bodyDiv w:val="1"/>
      <w:marLeft w:val="0"/>
      <w:marRight w:val="0"/>
      <w:marTop w:val="0"/>
      <w:marBottom w:val="0"/>
      <w:divBdr>
        <w:top w:val="none" w:sz="0" w:space="0" w:color="auto"/>
        <w:left w:val="none" w:sz="0" w:space="0" w:color="auto"/>
        <w:bottom w:val="none" w:sz="0" w:space="0" w:color="auto"/>
        <w:right w:val="none" w:sz="0" w:space="0" w:color="auto"/>
      </w:divBdr>
    </w:div>
    <w:div w:id="1892616983">
      <w:bodyDiv w:val="1"/>
      <w:marLeft w:val="0"/>
      <w:marRight w:val="0"/>
      <w:marTop w:val="0"/>
      <w:marBottom w:val="0"/>
      <w:divBdr>
        <w:top w:val="none" w:sz="0" w:space="0" w:color="auto"/>
        <w:left w:val="none" w:sz="0" w:space="0" w:color="auto"/>
        <w:bottom w:val="none" w:sz="0" w:space="0" w:color="auto"/>
        <w:right w:val="none" w:sz="0" w:space="0" w:color="auto"/>
      </w:divBdr>
    </w:div>
    <w:div w:id="1907034833">
      <w:bodyDiv w:val="1"/>
      <w:marLeft w:val="0"/>
      <w:marRight w:val="0"/>
      <w:marTop w:val="0"/>
      <w:marBottom w:val="0"/>
      <w:divBdr>
        <w:top w:val="none" w:sz="0" w:space="0" w:color="auto"/>
        <w:left w:val="none" w:sz="0" w:space="0" w:color="auto"/>
        <w:bottom w:val="none" w:sz="0" w:space="0" w:color="auto"/>
        <w:right w:val="none" w:sz="0" w:space="0" w:color="auto"/>
      </w:divBdr>
    </w:div>
    <w:div w:id="1908103179">
      <w:bodyDiv w:val="1"/>
      <w:marLeft w:val="0"/>
      <w:marRight w:val="0"/>
      <w:marTop w:val="0"/>
      <w:marBottom w:val="0"/>
      <w:divBdr>
        <w:top w:val="none" w:sz="0" w:space="0" w:color="auto"/>
        <w:left w:val="none" w:sz="0" w:space="0" w:color="auto"/>
        <w:bottom w:val="none" w:sz="0" w:space="0" w:color="auto"/>
        <w:right w:val="none" w:sz="0" w:space="0" w:color="auto"/>
      </w:divBdr>
    </w:div>
    <w:div w:id="1921211807">
      <w:bodyDiv w:val="1"/>
      <w:marLeft w:val="0"/>
      <w:marRight w:val="0"/>
      <w:marTop w:val="0"/>
      <w:marBottom w:val="0"/>
      <w:divBdr>
        <w:top w:val="none" w:sz="0" w:space="0" w:color="auto"/>
        <w:left w:val="none" w:sz="0" w:space="0" w:color="auto"/>
        <w:bottom w:val="none" w:sz="0" w:space="0" w:color="auto"/>
        <w:right w:val="none" w:sz="0" w:space="0" w:color="auto"/>
      </w:divBdr>
    </w:div>
    <w:div w:id="1931814836">
      <w:bodyDiv w:val="1"/>
      <w:marLeft w:val="0"/>
      <w:marRight w:val="0"/>
      <w:marTop w:val="0"/>
      <w:marBottom w:val="0"/>
      <w:divBdr>
        <w:top w:val="none" w:sz="0" w:space="0" w:color="auto"/>
        <w:left w:val="none" w:sz="0" w:space="0" w:color="auto"/>
        <w:bottom w:val="none" w:sz="0" w:space="0" w:color="auto"/>
        <w:right w:val="none" w:sz="0" w:space="0" w:color="auto"/>
      </w:divBdr>
    </w:div>
    <w:div w:id="1969389400">
      <w:bodyDiv w:val="1"/>
      <w:marLeft w:val="0"/>
      <w:marRight w:val="0"/>
      <w:marTop w:val="0"/>
      <w:marBottom w:val="0"/>
      <w:divBdr>
        <w:top w:val="none" w:sz="0" w:space="0" w:color="auto"/>
        <w:left w:val="none" w:sz="0" w:space="0" w:color="auto"/>
        <w:bottom w:val="none" w:sz="0" w:space="0" w:color="auto"/>
        <w:right w:val="none" w:sz="0" w:space="0" w:color="auto"/>
      </w:divBdr>
      <w:divsChild>
        <w:div w:id="1418165713">
          <w:marLeft w:val="0"/>
          <w:marRight w:val="0"/>
          <w:marTop w:val="0"/>
          <w:marBottom w:val="0"/>
          <w:divBdr>
            <w:top w:val="none" w:sz="0" w:space="0" w:color="auto"/>
            <w:left w:val="none" w:sz="0" w:space="0" w:color="auto"/>
            <w:bottom w:val="none" w:sz="0" w:space="0" w:color="auto"/>
            <w:right w:val="none" w:sz="0" w:space="0" w:color="auto"/>
          </w:divBdr>
          <w:divsChild>
            <w:div w:id="888415770">
              <w:marLeft w:val="0"/>
              <w:marRight w:val="0"/>
              <w:marTop w:val="0"/>
              <w:marBottom w:val="0"/>
              <w:divBdr>
                <w:top w:val="none" w:sz="0" w:space="0" w:color="auto"/>
                <w:left w:val="none" w:sz="0" w:space="0" w:color="auto"/>
                <w:bottom w:val="none" w:sz="0" w:space="0" w:color="auto"/>
                <w:right w:val="none" w:sz="0" w:space="0" w:color="auto"/>
              </w:divBdr>
              <w:divsChild>
                <w:div w:id="643772761">
                  <w:marLeft w:val="0"/>
                  <w:marRight w:val="0"/>
                  <w:marTop w:val="0"/>
                  <w:marBottom w:val="0"/>
                  <w:divBdr>
                    <w:top w:val="none" w:sz="0" w:space="0" w:color="auto"/>
                    <w:left w:val="none" w:sz="0" w:space="0" w:color="auto"/>
                    <w:bottom w:val="none" w:sz="0" w:space="0" w:color="auto"/>
                    <w:right w:val="none" w:sz="0" w:space="0" w:color="auto"/>
                  </w:divBdr>
                  <w:divsChild>
                    <w:div w:id="1448499891">
                      <w:marLeft w:val="0"/>
                      <w:marRight w:val="0"/>
                      <w:marTop w:val="0"/>
                      <w:marBottom w:val="0"/>
                      <w:divBdr>
                        <w:top w:val="none" w:sz="0" w:space="0" w:color="auto"/>
                        <w:left w:val="none" w:sz="0" w:space="0" w:color="auto"/>
                        <w:bottom w:val="none" w:sz="0" w:space="0" w:color="auto"/>
                        <w:right w:val="none" w:sz="0" w:space="0" w:color="auto"/>
                      </w:divBdr>
                      <w:divsChild>
                        <w:div w:id="1496725313">
                          <w:marLeft w:val="0"/>
                          <w:marRight w:val="0"/>
                          <w:marTop w:val="0"/>
                          <w:marBottom w:val="0"/>
                          <w:divBdr>
                            <w:top w:val="none" w:sz="0" w:space="0" w:color="auto"/>
                            <w:left w:val="none" w:sz="0" w:space="0" w:color="auto"/>
                            <w:bottom w:val="none" w:sz="0" w:space="0" w:color="auto"/>
                            <w:right w:val="none" w:sz="0" w:space="0" w:color="auto"/>
                          </w:divBdr>
                          <w:divsChild>
                            <w:div w:id="517886887">
                              <w:marLeft w:val="0"/>
                              <w:marRight w:val="0"/>
                              <w:marTop w:val="0"/>
                              <w:marBottom w:val="0"/>
                              <w:divBdr>
                                <w:top w:val="none" w:sz="0" w:space="0" w:color="auto"/>
                                <w:left w:val="none" w:sz="0" w:space="0" w:color="auto"/>
                                <w:bottom w:val="none" w:sz="0" w:space="0" w:color="auto"/>
                                <w:right w:val="none" w:sz="0" w:space="0" w:color="auto"/>
                              </w:divBdr>
                              <w:divsChild>
                                <w:div w:id="1114791179">
                                  <w:marLeft w:val="0"/>
                                  <w:marRight w:val="0"/>
                                  <w:marTop w:val="0"/>
                                  <w:marBottom w:val="0"/>
                                  <w:divBdr>
                                    <w:top w:val="none" w:sz="0" w:space="0" w:color="auto"/>
                                    <w:left w:val="none" w:sz="0" w:space="0" w:color="auto"/>
                                    <w:bottom w:val="none" w:sz="0" w:space="0" w:color="auto"/>
                                    <w:right w:val="none" w:sz="0" w:space="0" w:color="auto"/>
                                  </w:divBdr>
                                  <w:divsChild>
                                    <w:div w:id="123509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5256985">
      <w:bodyDiv w:val="1"/>
      <w:marLeft w:val="0"/>
      <w:marRight w:val="0"/>
      <w:marTop w:val="0"/>
      <w:marBottom w:val="0"/>
      <w:divBdr>
        <w:top w:val="none" w:sz="0" w:space="0" w:color="auto"/>
        <w:left w:val="none" w:sz="0" w:space="0" w:color="auto"/>
        <w:bottom w:val="none" w:sz="0" w:space="0" w:color="auto"/>
        <w:right w:val="none" w:sz="0" w:space="0" w:color="auto"/>
      </w:divBdr>
    </w:div>
    <w:div w:id="1999843035">
      <w:bodyDiv w:val="1"/>
      <w:marLeft w:val="0"/>
      <w:marRight w:val="0"/>
      <w:marTop w:val="0"/>
      <w:marBottom w:val="0"/>
      <w:divBdr>
        <w:top w:val="none" w:sz="0" w:space="0" w:color="auto"/>
        <w:left w:val="none" w:sz="0" w:space="0" w:color="auto"/>
        <w:bottom w:val="none" w:sz="0" w:space="0" w:color="auto"/>
        <w:right w:val="none" w:sz="0" w:space="0" w:color="auto"/>
      </w:divBdr>
    </w:div>
    <w:div w:id="2000886284">
      <w:bodyDiv w:val="1"/>
      <w:marLeft w:val="0"/>
      <w:marRight w:val="0"/>
      <w:marTop w:val="0"/>
      <w:marBottom w:val="0"/>
      <w:divBdr>
        <w:top w:val="none" w:sz="0" w:space="0" w:color="auto"/>
        <w:left w:val="none" w:sz="0" w:space="0" w:color="auto"/>
        <w:bottom w:val="none" w:sz="0" w:space="0" w:color="auto"/>
        <w:right w:val="none" w:sz="0" w:space="0" w:color="auto"/>
      </w:divBdr>
    </w:div>
    <w:div w:id="2034915384">
      <w:bodyDiv w:val="1"/>
      <w:marLeft w:val="0"/>
      <w:marRight w:val="0"/>
      <w:marTop w:val="0"/>
      <w:marBottom w:val="0"/>
      <w:divBdr>
        <w:top w:val="none" w:sz="0" w:space="0" w:color="auto"/>
        <w:left w:val="none" w:sz="0" w:space="0" w:color="auto"/>
        <w:bottom w:val="none" w:sz="0" w:space="0" w:color="auto"/>
        <w:right w:val="none" w:sz="0" w:space="0" w:color="auto"/>
      </w:divBdr>
    </w:div>
    <w:div w:id="2035762570">
      <w:bodyDiv w:val="1"/>
      <w:marLeft w:val="0"/>
      <w:marRight w:val="0"/>
      <w:marTop w:val="0"/>
      <w:marBottom w:val="0"/>
      <w:divBdr>
        <w:top w:val="none" w:sz="0" w:space="0" w:color="auto"/>
        <w:left w:val="none" w:sz="0" w:space="0" w:color="auto"/>
        <w:bottom w:val="none" w:sz="0" w:space="0" w:color="auto"/>
        <w:right w:val="none" w:sz="0" w:space="0" w:color="auto"/>
      </w:divBdr>
    </w:div>
    <w:div w:id="2048330026">
      <w:bodyDiv w:val="1"/>
      <w:marLeft w:val="0"/>
      <w:marRight w:val="0"/>
      <w:marTop w:val="0"/>
      <w:marBottom w:val="0"/>
      <w:divBdr>
        <w:top w:val="none" w:sz="0" w:space="0" w:color="auto"/>
        <w:left w:val="none" w:sz="0" w:space="0" w:color="auto"/>
        <w:bottom w:val="none" w:sz="0" w:space="0" w:color="auto"/>
        <w:right w:val="none" w:sz="0" w:space="0" w:color="auto"/>
      </w:divBdr>
    </w:div>
    <w:div w:id="2072844515">
      <w:bodyDiv w:val="1"/>
      <w:marLeft w:val="0"/>
      <w:marRight w:val="0"/>
      <w:marTop w:val="0"/>
      <w:marBottom w:val="0"/>
      <w:divBdr>
        <w:top w:val="none" w:sz="0" w:space="0" w:color="auto"/>
        <w:left w:val="none" w:sz="0" w:space="0" w:color="auto"/>
        <w:bottom w:val="none" w:sz="0" w:space="0" w:color="auto"/>
        <w:right w:val="none" w:sz="0" w:space="0" w:color="auto"/>
      </w:divBdr>
    </w:div>
    <w:div w:id="2076270420">
      <w:bodyDiv w:val="1"/>
      <w:marLeft w:val="0"/>
      <w:marRight w:val="0"/>
      <w:marTop w:val="0"/>
      <w:marBottom w:val="0"/>
      <w:divBdr>
        <w:top w:val="none" w:sz="0" w:space="0" w:color="auto"/>
        <w:left w:val="none" w:sz="0" w:space="0" w:color="auto"/>
        <w:bottom w:val="none" w:sz="0" w:space="0" w:color="auto"/>
        <w:right w:val="none" w:sz="0" w:space="0" w:color="auto"/>
      </w:divBdr>
    </w:div>
    <w:div w:id="2096238780">
      <w:bodyDiv w:val="1"/>
      <w:marLeft w:val="0"/>
      <w:marRight w:val="0"/>
      <w:marTop w:val="0"/>
      <w:marBottom w:val="0"/>
      <w:divBdr>
        <w:top w:val="none" w:sz="0" w:space="0" w:color="auto"/>
        <w:left w:val="none" w:sz="0" w:space="0" w:color="auto"/>
        <w:bottom w:val="none" w:sz="0" w:space="0" w:color="auto"/>
        <w:right w:val="none" w:sz="0" w:space="0" w:color="auto"/>
      </w:divBdr>
    </w:div>
    <w:div w:id="2105103503">
      <w:bodyDiv w:val="1"/>
      <w:marLeft w:val="0"/>
      <w:marRight w:val="0"/>
      <w:marTop w:val="0"/>
      <w:marBottom w:val="0"/>
      <w:divBdr>
        <w:top w:val="none" w:sz="0" w:space="0" w:color="auto"/>
        <w:left w:val="none" w:sz="0" w:space="0" w:color="auto"/>
        <w:bottom w:val="none" w:sz="0" w:space="0" w:color="auto"/>
        <w:right w:val="none" w:sz="0" w:space="0" w:color="auto"/>
      </w:divBdr>
    </w:div>
    <w:div w:id="212981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DA8CF-B464-4E11-A15A-CBB3FC240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20</Pages>
  <Words>8110</Words>
  <Characters>46231</Characters>
  <Application>Microsoft Office Word</Application>
  <DocSecurity>0</DocSecurity>
  <Lines>385</Lines>
  <Paragraphs>108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soyoung hwang</dc:creator>
  <cp:keywords/>
  <dc:description/>
  <cp:lastModifiedBy>user</cp:lastModifiedBy>
  <cp:revision>8</cp:revision>
  <dcterms:created xsi:type="dcterms:W3CDTF">2025-06-25T09:42:00Z</dcterms:created>
  <dcterms:modified xsi:type="dcterms:W3CDTF">2025-06-26T10:22:00Z</dcterms:modified>
</cp:coreProperties>
</file>