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163449" w14:textId="5A4767B3" w:rsidR="00214668" w:rsidRDefault="00214668" w:rsidP="00594D37">
      <w:pPr>
        <w:jc w:val="center"/>
        <w:rPr>
          <w:b/>
          <w:bCs/>
          <w:sz w:val="28"/>
          <w:szCs w:val="28"/>
          <w:rtl/>
        </w:rPr>
      </w:pPr>
      <w:bookmarkStart w:id="0" w:name="_Hlk187676529"/>
      <w:r>
        <w:rPr>
          <w:noProof/>
        </w:rPr>
        <w:drawing>
          <wp:inline distT="0" distB="0" distL="0" distR="0" wp14:anchorId="006222CF" wp14:editId="54A523E6">
            <wp:extent cx="1211406" cy="1170938"/>
            <wp:effectExtent l="0" t="0" r="8255" b="0"/>
            <wp:docPr id="292766908" name="Picture 1" descr="انجمن سلامت خانواده ایرا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نجمن سلامت خانواده ایران"/>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23249" cy="1182385"/>
                    </a:xfrm>
                    <a:prstGeom prst="rect">
                      <a:avLst/>
                    </a:prstGeom>
                    <a:noFill/>
                    <a:ln>
                      <a:noFill/>
                    </a:ln>
                  </pic:spPr>
                </pic:pic>
              </a:graphicData>
            </a:graphic>
          </wp:inline>
        </w:drawing>
      </w:r>
    </w:p>
    <w:p w14:paraId="29B782C3" w14:textId="75F16450" w:rsidR="00214668" w:rsidRDefault="00214668" w:rsidP="00214668">
      <w:pPr>
        <w:jc w:val="center"/>
        <w:rPr>
          <w:b/>
          <w:bCs/>
          <w:sz w:val="28"/>
          <w:szCs w:val="28"/>
        </w:rPr>
      </w:pPr>
      <w:r>
        <w:rPr>
          <w:b/>
          <w:bCs/>
          <w:sz w:val="28"/>
          <w:szCs w:val="28"/>
        </w:rPr>
        <w:t>Family Health Association of Iran</w:t>
      </w:r>
    </w:p>
    <w:p w14:paraId="251FDF7B" w14:textId="4F689390" w:rsidR="00214668" w:rsidRDefault="00214668" w:rsidP="00214668">
      <w:pPr>
        <w:jc w:val="center"/>
        <w:rPr>
          <w:b/>
          <w:bCs/>
          <w:sz w:val="28"/>
          <w:szCs w:val="28"/>
        </w:rPr>
      </w:pPr>
      <w:r>
        <w:rPr>
          <w:b/>
          <w:bCs/>
          <w:sz w:val="28"/>
          <w:szCs w:val="28"/>
        </w:rPr>
        <w:t xml:space="preserve">Email Address: </w:t>
      </w:r>
      <w:hyperlink r:id="rId8" w:history="1">
        <w:r w:rsidRPr="00F52525">
          <w:rPr>
            <w:rStyle w:val="Hyperlink"/>
            <w:b/>
            <w:bCs/>
            <w:sz w:val="28"/>
            <w:szCs w:val="28"/>
          </w:rPr>
          <w:t>info@fha.org.ir</w:t>
        </w:r>
      </w:hyperlink>
    </w:p>
    <w:p w14:paraId="08296319" w14:textId="77777777" w:rsidR="00214668" w:rsidRDefault="00214668" w:rsidP="00214668">
      <w:pPr>
        <w:rPr>
          <w:b/>
          <w:bCs/>
          <w:sz w:val="28"/>
          <w:szCs w:val="28"/>
        </w:rPr>
      </w:pPr>
    </w:p>
    <w:p w14:paraId="421C7A3F" w14:textId="53E093AF" w:rsidR="00BE2FA9" w:rsidRPr="00A43B71" w:rsidRDefault="00BE2FA9" w:rsidP="00A43B71">
      <w:pPr>
        <w:jc w:val="center"/>
        <w:rPr>
          <w:b/>
          <w:bCs/>
          <w:sz w:val="28"/>
          <w:szCs w:val="28"/>
        </w:rPr>
      </w:pPr>
      <w:r w:rsidRPr="00A43B71">
        <w:rPr>
          <w:b/>
          <w:bCs/>
          <w:sz w:val="28"/>
          <w:szCs w:val="28"/>
        </w:rPr>
        <w:t>Committee on International Covenant on Economic, Social, and Cultural Rights</w:t>
      </w:r>
    </w:p>
    <w:p w14:paraId="598AA185" w14:textId="77777777" w:rsidR="00BE2FA9" w:rsidRPr="00A43B71" w:rsidRDefault="00BE2FA9" w:rsidP="00A43B71">
      <w:pPr>
        <w:jc w:val="center"/>
        <w:rPr>
          <w:b/>
          <w:bCs/>
          <w:sz w:val="28"/>
          <w:szCs w:val="28"/>
        </w:rPr>
      </w:pPr>
    </w:p>
    <w:p w14:paraId="366354F7" w14:textId="77777777" w:rsidR="00BE2FA9" w:rsidRPr="00A43B71" w:rsidRDefault="00BE2FA9" w:rsidP="00A43B71">
      <w:pPr>
        <w:jc w:val="center"/>
        <w:rPr>
          <w:b/>
          <w:bCs/>
          <w:sz w:val="28"/>
          <w:szCs w:val="28"/>
        </w:rPr>
      </w:pPr>
      <w:r w:rsidRPr="00A43B71">
        <w:rPr>
          <w:b/>
          <w:bCs/>
          <w:sz w:val="28"/>
          <w:szCs w:val="28"/>
        </w:rPr>
        <w:t>77 Session (10 Feb 2025 - 28 Feb 2025)</w:t>
      </w:r>
    </w:p>
    <w:p w14:paraId="1BBF65EB" w14:textId="77777777" w:rsidR="00BE2FA9" w:rsidRPr="00A43B71" w:rsidRDefault="00BE2FA9" w:rsidP="00A43B71">
      <w:pPr>
        <w:jc w:val="center"/>
        <w:rPr>
          <w:b/>
          <w:bCs/>
          <w:sz w:val="28"/>
          <w:szCs w:val="28"/>
        </w:rPr>
      </w:pPr>
    </w:p>
    <w:p w14:paraId="300C15B4" w14:textId="18B5A836" w:rsidR="00BE2FA9" w:rsidRPr="00A43B71" w:rsidRDefault="00BE2FA9" w:rsidP="00A43B71">
      <w:pPr>
        <w:jc w:val="center"/>
        <w:rPr>
          <w:b/>
          <w:bCs/>
          <w:sz w:val="28"/>
          <w:szCs w:val="28"/>
          <w:rtl/>
        </w:rPr>
      </w:pPr>
      <w:r w:rsidRPr="00A43B71">
        <w:rPr>
          <w:b/>
          <w:bCs/>
          <w:sz w:val="28"/>
          <w:szCs w:val="28"/>
        </w:rPr>
        <w:t>Review of the “United Kingdom of Great Britain and Northern Ireland”</w:t>
      </w:r>
    </w:p>
    <w:p w14:paraId="045E3D33" w14:textId="77777777" w:rsidR="00A43B71" w:rsidRDefault="00A43B71" w:rsidP="0047782C">
      <w:pPr>
        <w:jc w:val="both"/>
        <w:rPr>
          <w:b/>
          <w:bCs/>
          <w:rtl/>
        </w:rPr>
      </w:pPr>
    </w:p>
    <w:p w14:paraId="2F9B648A" w14:textId="7BD26629" w:rsidR="00F65BE5" w:rsidRDefault="00A43B71" w:rsidP="0047782C">
      <w:pPr>
        <w:jc w:val="both"/>
        <w:rPr>
          <w:b/>
          <w:bCs/>
        </w:rPr>
      </w:pPr>
      <w:r>
        <w:rPr>
          <w:b/>
          <w:bCs/>
        </w:rPr>
        <w:t>Introduction</w:t>
      </w:r>
    </w:p>
    <w:p w14:paraId="339CBBAA" w14:textId="4F58A1AA" w:rsidR="001B7DE4" w:rsidRPr="00F65BE5" w:rsidRDefault="00F65BE5" w:rsidP="00F65BE5">
      <w:pPr>
        <w:jc w:val="both"/>
      </w:pPr>
      <w:r w:rsidRPr="00F65BE5">
        <w:t>Article 11 of the International Covenant on Economic, Social and Cultural Rights recognizes the right of every individual to an adequate standard of living for themselves and their families. This includes sufficient food, clothing, and housing, as well as the continuous improvement of living conditions. In line with this article, we believe that the United Kingdom, in accordance with its obligations, is required to address certain aspects of its social security and food provision policies</w:t>
      </w:r>
      <w:r w:rsidR="00BE2FA9" w:rsidRPr="00F65BE5">
        <w:t>.</w:t>
      </w:r>
    </w:p>
    <w:p w14:paraId="69F2B414" w14:textId="77777777" w:rsidR="001B7DE4" w:rsidRDefault="001B7DE4" w:rsidP="00272A98">
      <w:pPr>
        <w:jc w:val="both"/>
        <w:rPr>
          <w:b/>
          <w:bCs/>
        </w:rPr>
      </w:pPr>
    </w:p>
    <w:p w14:paraId="6ECE1F76" w14:textId="1ED84599" w:rsidR="00D67E3B" w:rsidRPr="00D67E3B" w:rsidRDefault="00D67E3B" w:rsidP="00272A98">
      <w:pPr>
        <w:jc w:val="both"/>
        <w:rPr>
          <w:b/>
          <w:bCs/>
          <w:rtl/>
        </w:rPr>
      </w:pPr>
      <w:r w:rsidRPr="00D67E3B">
        <w:rPr>
          <w:b/>
          <w:bCs/>
        </w:rPr>
        <w:t>Social security</w:t>
      </w:r>
    </w:p>
    <w:p w14:paraId="7499EEC5" w14:textId="77777777" w:rsidR="00D67E3B" w:rsidRPr="00D67E3B" w:rsidRDefault="00D67E3B" w:rsidP="00272A98">
      <w:pPr>
        <w:jc w:val="both"/>
      </w:pPr>
      <w:r w:rsidRPr="00D67E3B">
        <w:t>The UK government’s austerity measures have significantly affected social security support, particularly housing benefits for private tenants. In 2011, the government reformed the calculation method for Local Housing Allowance (LHA), reducing the amount of rent covered by housing benefits from 50% to 30% of local rental costs. This policy shift forced many low-income households to cover a larger portion of their rent out-of-pocket, leaving them financially strained.</w:t>
      </w:r>
      <w:r w:rsidRPr="00D67E3B">
        <w:rPr>
          <w:vertAlign w:val="superscript"/>
        </w:rPr>
        <w:footnoteReference w:id="1"/>
      </w:r>
    </w:p>
    <w:p w14:paraId="506A025D" w14:textId="77777777" w:rsidR="00D67E3B" w:rsidRPr="00D67E3B" w:rsidRDefault="00D67E3B" w:rsidP="00272A98">
      <w:pPr>
        <w:jc w:val="both"/>
      </w:pPr>
      <w:r w:rsidRPr="00D67E3B">
        <w:lastRenderedPageBreak/>
        <w:t xml:space="preserve">Simultaneously, the cost of private renting increased steadily. This mismatch between housing benefits and rising rental costs exacerbated the financial challenges faced by tenants, particularly those with low incomes. </w:t>
      </w:r>
    </w:p>
    <w:p w14:paraId="0DE97AF0" w14:textId="77777777" w:rsidR="00D67E3B" w:rsidRPr="00D67E3B" w:rsidRDefault="00D67E3B" w:rsidP="00272A98">
      <w:pPr>
        <w:jc w:val="both"/>
      </w:pPr>
      <w:r w:rsidRPr="00D67E3B">
        <w:t>Since the introduction of these reforms, the number of families living in temporary accommodation in England has surged by 65%</w:t>
      </w:r>
      <w:r w:rsidRPr="00D67E3B">
        <w:rPr>
          <w:vertAlign w:val="superscript"/>
        </w:rPr>
        <w:footnoteReference w:id="2"/>
      </w:r>
      <w:r w:rsidRPr="00D67E3B">
        <w:t>. Temporary accommodation, designed as a short-term solution for housing crises, has become a long-term reality for many households. This increase reflects the growing housing insecurity</w:t>
      </w:r>
      <w:r w:rsidRPr="00D67E3B">
        <w:rPr>
          <w:rFonts w:hint="cs"/>
          <w:rtl/>
          <w:lang w:bidi="fa-IR"/>
        </w:rPr>
        <w:t xml:space="preserve"> </w:t>
      </w:r>
      <w:r w:rsidRPr="00D67E3B">
        <w:t>which very least demonstrates the failure to fulfill these individuals' right to adequate housing.</w:t>
      </w:r>
    </w:p>
    <w:p w14:paraId="511DF1CC" w14:textId="77777777" w:rsidR="00D67E3B" w:rsidRPr="00D67E3B" w:rsidRDefault="00D67E3B" w:rsidP="00272A98">
      <w:pPr>
        <w:jc w:val="both"/>
        <w:rPr>
          <w:rtl/>
          <w:lang w:bidi="fa-IR"/>
        </w:rPr>
      </w:pPr>
      <w:r w:rsidRPr="00D67E3B">
        <w:t>As the cost of living rises, the gap between income and housing expenses widens and many human rights enshrined in the covenant fall short of being secured thus human dignity, the goal of human rights system won’t be met. this underscores the need for a review in social security system.</w:t>
      </w:r>
    </w:p>
    <w:p w14:paraId="04D20A30" w14:textId="77777777" w:rsidR="00D67E3B" w:rsidRPr="00D67E3B" w:rsidRDefault="00D67E3B" w:rsidP="00272A98">
      <w:pPr>
        <w:jc w:val="both"/>
      </w:pPr>
      <w:r w:rsidRPr="00D67E3B">
        <w:t xml:space="preserve">The </w:t>
      </w:r>
      <w:r w:rsidRPr="00D67E3B">
        <w:rPr>
          <w:b/>
          <w:bCs/>
        </w:rPr>
        <w:t>"</w:t>
      </w:r>
      <w:bookmarkStart w:id="1" w:name="_Hlk187673656"/>
      <w:r w:rsidRPr="00D67E3B">
        <w:rPr>
          <w:b/>
          <w:bCs/>
        </w:rPr>
        <w:t>two-child limit</w:t>
      </w:r>
      <w:bookmarkEnd w:id="1"/>
      <w:r w:rsidRPr="00D67E3B">
        <w:rPr>
          <w:b/>
          <w:bCs/>
        </w:rPr>
        <w:t>"</w:t>
      </w:r>
      <w:r w:rsidRPr="00D67E3B">
        <w:t xml:space="preserve"> policy, introduced in the UK in April 2017, prevents low-income families from receiving </w:t>
      </w:r>
      <w:r w:rsidRPr="00D67E3B">
        <w:rPr>
          <w:b/>
          <w:bCs/>
        </w:rPr>
        <w:t>tax credits</w:t>
      </w:r>
      <w:r w:rsidRPr="00D67E3B">
        <w:t xml:space="preserve"> for any children beyond the first two. Through changes in the social security and tax system, families with more than two children are denied financial support. This policy negatively impacts </w:t>
      </w:r>
      <w:r w:rsidRPr="00D67E3B">
        <w:rPr>
          <w:b/>
          <w:bCs/>
        </w:rPr>
        <w:t>low-income families</w:t>
      </w:r>
      <w:r w:rsidRPr="00D67E3B">
        <w:t xml:space="preserve"> and </w:t>
      </w:r>
      <w:r w:rsidRPr="00D67E3B">
        <w:rPr>
          <w:b/>
          <w:bCs/>
        </w:rPr>
        <w:t>children</w:t>
      </w:r>
      <w:r w:rsidRPr="00D67E3B">
        <w:t>, as reduced financial support exacerbates poverty and worsens living conditions.</w:t>
      </w:r>
      <w:r w:rsidRPr="00D67E3B">
        <w:rPr>
          <w:vertAlign w:val="superscript"/>
        </w:rPr>
        <w:footnoteReference w:id="3"/>
      </w:r>
    </w:p>
    <w:p w14:paraId="08DD7635" w14:textId="77777777" w:rsidR="00D67E3B" w:rsidRPr="00D67E3B" w:rsidRDefault="00D67E3B" w:rsidP="00272A98">
      <w:pPr>
        <w:jc w:val="both"/>
      </w:pPr>
      <w:r w:rsidRPr="00D67E3B">
        <w:t xml:space="preserve">The </w:t>
      </w:r>
      <w:r w:rsidRPr="00D67E3B">
        <w:rPr>
          <w:b/>
          <w:bCs/>
        </w:rPr>
        <w:t>main consequence</w:t>
      </w:r>
      <w:r w:rsidRPr="00D67E3B">
        <w:t xml:space="preserve"> of these policies is the increased financial pressure on families and deprivation of social rights. The policy which leads to increased </w:t>
      </w:r>
      <w:r w:rsidRPr="00D67E3B">
        <w:rPr>
          <w:b/>
          <w:bCs/>
        </w:rPr>
        <w:t>poverty</w:t>
      </w:r>
      <w:r w:rsidRPr="00D67E3B">
        <w:t xml:space="preserve">, </w:t>
      </w:r>
      <w:r w:rsidRPr="00D67E3B">
        <w:rPr>
          <w:b/>
          <w:bCs/>
        </w:rPr>
        <w:t>social injustice</w:t>
      </w:r>
      <w:r w:rsidRPr="00D67E3B">
        <w:t xml:space="preserve">, and greater </w:t>
      </w:r>
      <w:r w:rsidRPr="00D67E3B">
        <w:rPr>
          <w:b/>
          <w:bCs/>
        </w:rPr>
        <w:t>inequality</w:t>
      </w:r>
      <w:r w:rsidRPr="00D67E3B">
        <w:t xml:space="preserve"> in society may not be in conformity with UK’s obligations under the covenant. </w:t>
      </w:r>
    </w:p>
    <w:p w14:paraId="330C8D85" w14:textId="77777777" w:rsidR="00D67E3B" w:rsidRPr="00D67E3B" w:rsidRDefault="00D67E3B" w:rsidP="00272A98">
      <w:pPr>
        <w:jc w:val="both"/>
        <w:rPr>
          <w:b/>
          <w:bCs/>
        </w:rPr>
      </w:pPr>
      <w:r w:rsidRPr="00D67E3B">
        <w:rPr>
          <w:b/>
          <w:bCs/>
        </w:rPr>
        <w:t>Right to food</w:t>
      </w:r>
    </w:p>
    <w:p w14:paraId="039DFEFD" w14:textId="77777777" w:rsidR="00D67E3B" w:rsidRPr="00D67E3B" w:rsidRDefault="00D67E3B" w:rsidP="00272A98">
      <w:pPr>
        <w:jc w:val="both"/>
        <w:rPr>
          <w:rtl/>
          <w:lang w:bidi="fa-IR"/>
        </w:rPr>
      </w:pPr>
      <w:r w:rsidRPr="00D67E3B">
        <w:t>The right to food as a fundamental human right enshrined in the International Covenant on Economic, Social and Cultural Rights (</w:t>
      </w:r>
      <w:bookmarkStart w:id="2" w:name="_Hlk187673699"/>
      <w:r w:rsidRPr="00D67E3B">
        <w:t>ICESCR</w:t>
      </w:r>
      <w:bookmarkEnd w:id="2"/>
      <w:r w:rsidRPr="00D67E3B">
        <w:t>), obligates states to ensure that everyone has access to sufficient, nutritious, and culturally appropriate food. However, recent data highlights significant shortcomings in the UK’s efforts to uphold this right, with food insecurity affecting millions across the country.</w:t>
      </w:r>
    </w:p>
    <w:p w14:paraId="5F4BD0F4" w14:textId="77777777" w:rsidR="00D67E3B" w:rsidRPr="00D67E3B" w:rsidRDefault="00D67E3B" w:rsidP="00272A98">
      <w:pPr>
        <w:jc w:val="both"/>
        <w:rPr>
          <w:rtl/>
          <w:lang w:bidi="fa-IR"/>
        </w:rPr>
      </w:pPr>
      <w:r w:rsidRPr="00D67E3B">
        <w:t>The data from January 2024</w:t>
      </w:r>
      <w:r w:rsidRPr="00D67E3B">
        <w:rPr>
          <w:vertAlign w:val="superscript"/>
        </w:rPr>
        <w:footnoteReference w:id="4"/>
      </w:r>
      <w:r w:rsidRPr="00D67E3B">
        <w:t xml:space="preserve"> indicates a concerning trend in food insecurity in the UK, particularly when compared to the situation in 2021. In January 2024, 15% of UK households were reported to be living in food insecurity, equating to approximately eight million adults and three million children. Among households with children, this figure rose to 20%. This is a stark comparison to March 2021, when official data indicated that one in 12 households had low levels of food security, roughly about 8.3% of households</w:t>
      </w:r>
      <w:r w:rsidRPr="00D67E3B">
        <w:rPr>
          <w:vertAlign w:val="superscript"/>
        </w:rPr>
        <w:footnoteReference w:id="5"/>
      </w:r>
      <w:r w:rsidRPr="00D67E3B">
        <w:t>.</w:t>
      </w:r>
    </w:p>
    <w:p w14:paraId="7A9BFE73" w14:textId="77777777" w:rsidR="00D67E3B" w:rsidRPr="00D67E3B" w:rsidRDefault="00D67E3B" w:rsidP="00272A98">
      <w:pPr>
        <w:jc w:val="both"/>
        <w:rPr>
          <w:rtl/>
          <w:lang w:bidi="fa-IR"/>
        </w:rPr>
      </w:pPr>
      <w:r w:rsidRPr="00D67E3B">
        <w:t xml:space="preserve">the findings reveal that food insecure households are cutting back on essential food items. In January 2024, 60% of these households reported buying less fruit and 44% bought fewer vegetables. This contrasts </w:t>
      </w:r>
      <w:r w:rsidRPr="00D67E3B">
        <w:lastRenderedPageBreak/>
        <w:t>sharply with only 11% and 6% of food secure households, respectively. The decline in fresh produce consumption among vulnerable populations underscores a worsening nutritional crisis.</w:t>
      </w:r>
      <w:r w:rsidRPr="00D67E3B">
        <w:rPr>
          <w:vertAlign w:val="superscript"/>
        </w:rPr>
        <w:footnoteReference w:id="6"/>
      </w:r>
    </w:p>
    <w:p w14:paraId="4D7D6B80" w14:textId="3443C6F3" w:rsidR="00D67E3B" w:rsidRDefault="00D67E3B" w:rsidP="00272A98">
      <w:pPr>
        <w:jc w:val="both"/>
        <w:rPr>
          <w:lang w:bidi="fa-IR"/>
        </w:rPr>
      </w:pPr>
      <w:r w:rsidRPr="00D67E3B">
        <w:t>Moreover, the demand for food banks has continued to rise. The Trussell Trust reported that between April and September 2024, they distributed over 1.4 million emergency food parcels, marking a 69% increase compared to five years prior.</w:t>
      </w:r>
      <w:r w:rsidRPr="00D67E3B">
        <w:rPr>
          <w:vertAlign w:val="superscript"/>
        </w:rPr>
        <w:footnoteReference w:id="7"/>
      </w:r>
      <w:r w:rsidRPr="00D67E3B">
        <w:t xml:space="preserve"> This highlights a persistent reliance on food banks as a crucial resource for many families facing financial hardship</w:t>
      </w:r>
      <w:r w:rsidRPr="00D67E3B">
        <w:rPr>
          <w:rFonts w:hint="cs"/>
          <w:rtl/>
          <w:lang w:bidi="fa-IR"/>
        </w:rPr>
        <w:t>.</w:t>
      </w:r>
    </w:p>
    <w:p w14:paraId="27342D53" w14:textId="77777777" w:rsidR="00A43B71" w:rsidRPr="00D67E3B" w:rsidRDefault="00A43B71" w:rsidP="00272A98">
      <w:pPr>
        <w:jc w:val="both"/>
      </w:pPr>
    </w:p>
    <w:p w14:paraId="5F91F2BA" w14:textId="6DE98FEF" w:rsidR="00D67E3B" w:rsidRPr="00A43B71" w:rsidRDefault="00A43B71" w:rsidP="00272A98">
      <w:pPr>
        <w:jc w:val="both"/>
        <w:rPr>
          <w:b/>
          <w:bCs/>
        </w:rPr>
      </w:pPr>
      <w:r>
        <w:rPr>
          <w:b/>
          <w:bCs/>
        </w:rPr>
        <w:t>Recommendations</w:t>
      </w:r>
    </w:p>
    <w:p w14:paraId="43860807" w14:textId="734EF02C" w:rsidR="00732C19" w:rsidRDefault="00732C19" w:rsidP="00272A98">
      <w:pPr>
        <w:numPr>
          <w:ilvl w:val="0"/>
          <w:numId w:val="1"/>
        </w:numPr>
        <w:jc w:val="both"/>
      </w:pPr>
      <w:r>
        <w:t xml:space="preserve">We </w:t>
      </w:r>
      <w:r w:rsidR="00D106EA">
        <w:t>request</w:t>
      </w:r>
      <w:r>
        <w:t xml:space="preserve"> </w:t>
      </w:r>
      <w:r w:rsidR="007D064A">
        <w:t xml:space="preserve">the committee </w:t>
      </w:r>
      <w:r w:rsidR="00D106EA">
        <w:t xml:space="preserve">to </w:t>
      </w:r>
      <w:r w:rsidR="007D064A">
        <w:t xml:space="preserve">ask UK to </w:t>
      </w:r>
      <w:r w:rsidR="00D106EA">
        <w:t xml:space="preserve">develop a comprehensive plan to address temporary </w:t>
      </w:r>
      <w:r w:rsidR="00776211">
        <w:t>accommodations</w:t>
      </w:r>
      <w:r w:rsidR="00D106EA">
        <w:t xml:space="preserve"> and provide </w:t>
      </w:r>
      <w:r w:rsidR="00776211">
        <w:t>permanent housing in line with its</w:t>
      </w:r>
      <w:r w:rsidR="007D064A">
        <w:t xml:space="preserve"> </w:t>
      </w:r>
      <w:r w:rsidR="00776211">
        <w:t xml:space="preserve">obligations </w:t>
      </w:r>
      <w:r w:rsidR="00B55639">
        <w:t>under ICESCR and human rights standards.</w:t>
      </w:r>
    </w:p>
    <w:p w14:paraId="7D19B29E" w14:textId="286A1C52" w:rsidR="00D67E3B" w:rsidRPr="00115627" w:rsidRDefault="00D67E3B" w:rsidP="00272A98">
      <w:pPr>
        <w:numPr>
          <w:ilvl w:val="0"/>
          <w:numId w:val="1"/>
        </w:numPr>
        <w:jc w:val="both"/>
      </w:pPr>
      <w:r>
        <w:t xml:space="preserve">We recommend the committee to ask </w:t>
      </w:r>
      <w:r w:rsidR="00A43B71">
        <w:t xml:space="preserve">the </w:t>
      </w:r>
      <w:r>
        <w:t xml:space="preserve">UK if the </w:t>
      </w:r>
      <w:r w:rsidRPr="00D67E3B">
        <w:t>two-child limit</w:t>
      </w:r>
      <w:r w:rsidRPr="00115627">
        <w:t xml:space="preserve"> policy</w:t>
      </w:r>
      <w:r w:rsidR="006F7F97" w:rsidRPr="00115627">
        <w:t xml:space="preserve"> toward law-income families</w:t>
      </w:r>
      <w:r w:rsidRPr="00115627">
        <w:t xml:space="preserve"> is in conformity with its obligations, </w:t>
      </w:r>
      <w:r w:rsidR="00152380" w:rsidRPr="00115627">
        <w:t xml:space="preserve">specifically under article </w:t>
      </w:r>
      <w:r w:rsidR="00CC2982" w:rsidRPr="00115627">
        <w:t>2,10,11</w:t>
      </w:r>
      <w:r w:rsidR="00152380" w:rsidRPr="00115627">
        <w:t xml:space="preserve"> of </w:t>
      </w:r>
      <w:r w:rsidR="00152380" w:rsidRPr="00D67E3B">
        <w:t>ICESCR</w:t>
      </w:r>
      <w:r w:rsidR="00404289" w:rsidRPr="00115627">
        <w:t>.</w:t>
      </w:r>
    </w:p>
    <w:p w14:paraId="5DE64A90" w14:textId="3660D06E" w:rsidR="00D67E3B" w:rsidRPr="00115627" w:rsidRDefault="00115627" w:rsidP="00954524">
      <w:pPr>
        <w:pStyle w:val="ListParagraph"/>
        <w:numPr>
          <w:ilvl w:val="0"/>
          <w:numId w:val="1"/>
        </w:numPr>
        <w:jc w:val="both"/>
      </w:pPr>
      <w:r w:rsidRPr="00115627">
        <w:t>We recommend that the UK reconsider its policies regarding food price inflation control to ensure conformity with the right to an adequate standard of living and the right to food</w:t>
      </w:r>
      <w:r w:rsidR="00B55639">
        <w:t>.</w:t>
      </w:r>
      <w:bookmarkEnd w:id="0"/>
    </w:p>
    <w:sectPr w:rsidR="00D67E3B" w:rsidRPr="0011562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7AD896" w14:textId="77777777" w:rsidR="001A452A" w:rsidRDefault="001A452A" w:rsidP="00D67E3B">
      <w:pPr>
        <w:spacing w:after="0" w:line="240" w:lineRule="auto"/>
      </w:pPr>
      <w:r>
        <w:separator/>
      </w:r>
    </w:p>
  </w:endnote>
  <w:endnote w:type="continuationSeparator" w:id="0">
    <w:p w14:paraId="6508C776" w14:textId="77777777" w:rsidR="001A452A" w:rsidRDefault="001A452A" w:rsidP="00D67E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etaPro-Medi">
    <w:altName w:val="Calibri"/>
    <w:panose1 w:val="00000000000000000000"/>
    <w:charset w:val="00"/>
    <w:family w:val="swiss"/>
    <w:notTrueType/>
    <w:pitch w:val="variable"/>
    <w:sig w:usb0="A00002F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195D19" w14:textId="77777777" w:rsidR="001A452A" w:rsidRDefault="001A452A" w:rsidP="00D67E3B">
      <w:pPr>
        <w:spacing w:after="0" w:line="240" w:lineRule="auto"/>
      </w:pPr>
      <w:r>
        <w:separator/>
      </w:r>
    </w:p>
  </w:footnote>
  <w:footnote w:type="continuationSeparator" w:id="0">
    <w:p w14:paraId="10FEF314" w14:textId="77777777" w:rsidR="001A452A" w:rsidRDefault="001A452A" w:rsidP="00D67E3B">
      <w:pPr>
        <w:spacing w:after="0" w:line="240" w:lineRule="auto"/>
      </w:pPr>
      <w:r>
        <w:continuationSeparator/>
      </w:r>
    </w:p>
  </w:footnote>
  <w:footnote w:id="1">
    <w:p w14:paraId="4A32F4B3" w14:textId="77777777" w:rsidR="00D67E3B" w:rsidRDefault="00D67E3B" w:rsidP="00D67E3B">
      <w:pPr>
        <w:pStyle w:val="FootnoteText"/>
        <w:rPr>
          <w:rtl/>
          <w:lang w:bidi="fa-IR"/>
        </w:rPr>
      </w:pPr>
      <w:r>
        <w:rPr>
          <w:rStyle w:val="FootnoteReference"/>
        </w:rPr>
        <w:footnoteRef/>
      </w:r>
      <w:r>
        <w:t xml:space="preserve"> </w:t>
      </w:r>
      <w:r w:rsidRPr="005C0E4F">
        <w:t>https://www.hrw.org/report/2022/01/17/i-want-us-live-humans-again/families-temporary-accommodation-london-uk</w:t>
      </w:r>
    </w:p>
  </w:footnote>
  <w:footnote w:id="2">
    <w:p w14:paraId="1FE25E22" w14:textId="77777777" w:rsidR="00D67E3B" w:rsidRDefault="00D67E3B" w:rsidP="00D67E3B">
      <w:pPr>
        <w:pStyle w:val="FootnoteText"/>
        <w:rPr>
          <w:lang w:bidi="fa-IR"/>
        </w:rPr>
      </w:pPr>
      <w:r>
        <w:rPr>
          <w:rStyle w:val="FootnoteReference"/>
        </w:rPr>
        <w:footnoteRef/>
      </w:r>
      <w:r>
        <w:t xml:space="preserve"> </w:t>
      </w:r>
      <w:r>
        <w:rPr>
          <w:lang w:bidi="fa-IR"/>
        </w:rPr>
        <w:t>Ibid</w:t>
      </w:r>
    </w:p>
  </w:footnote>
  <w:footnote w:id="3">
    <w:p w14:paraId="4A41EF6E" w14:textId="77777777" w:rsidR="00D67E3B" w:rsidRDefault="00D67E3B" w:rsidP="00D67E3B">
      <w:pPr>
        <w:pStyle w:val="FootnoteText"/>
        <w:rPr>
          <w:rtl/>
          <w:lang w:bidi="fa-IR"/>
        </w:rPr>
      </w:pPr>
      <w:r>
        <w:rPr>
          <w:rStyle w:val="FootnoteReference"/>
        </w:rPr>
        <w:footnoteRef/>
      </w:r>
      <w:r>
        <w:t xml:space="preserve"> </w:t>
      </w:r>
      <w:r w:rsidRPr="008D1EB3">
        <w:rPr>
          <w:lang w:bidi="fa-IR"/>
        </w:rPr>
        <w:t>https://www.hrw.org/report/2019/05/20/nothing-left-cupboards/austerity-welfare-cuts-and-right-food-uk#3172, Chapter 2.</w:t>
      </w:r>
    </w:p>
  </w:footnote>
  <w:footnote w:id="4">
    <w:p w14:paraId="5E8B27D3" w14:textId="77777777" w:rsidR="00D67E3B" w:rsidRDefault="00D67E3B" w:rsidP="00D67E3B">
      <w:pPr>
        <w:pStyle w:val="FootnoteText"/>
        <w:rPr>
          <w:rtl/>
          <w:lang w:bidi="fa-IR"/>
        </w:rPr>
      </w:pPr>
      <w:r>
        <w:rPr>
          <w:rStyle w:val="FootnoteReference"/>
        </w:rPr>
        <w:footnoteRef/>
      </w:r>
      <w:r>
        <w:t xml:space="preserve"> </w:t>
      </w:r>
      <w:r w:rsidRPr="00A4549F">
        <w:t>https://foodfoundation.org.uk/press-release/families-stuck-food-insecurity-are-buying-less-fruit-and-veg-uks-health-divide-widens</w:t>
      </w:r>
    </w:p>
  </w:footnote>
  <w:footnote w:id="5">
    <w:p w14:paraId="1B83B3D4" w14:textId="77777777" w:rsidR="00D67E3B" w:rsidRDefault="00D67E3B" w:rsidP="00D67E3B">
      <w:pPr>
        <w:pStyle w:val="FootnoteText"/>
        <w:rPr>
          <w:rtl/>
          <w:lang w:bidi="fa-IR"/>
        </w:rPr>
      </w:pPr>
      <w:r>
        <w:rPr>
          <w:rStyle w:val="FootnoteReference"/>
        </w:rPr>
        <w:footnoteRef/>
      </w:r>
      <w:r>
        <w:t xml:space="preserve"> </w:t>
      </w:r>
      <w:r w:rsidRPr="002F247A">
        <w:rPr>
          <w:lang w:bidi="fa-IR"/>
        </w:rPr>
        <w:t xml:space="preserve">Food insecurity: now we have the data, it’s time to act, Church Action on Poverty, 26 March 2021, link: </w:t>
      </w:r>
      <w:hyperlink r:id="rId1" w:history="1">
        <w:r w:rsidRPr="002F247A">
          <w:rPr>
            <w:rStyle w:val="Hyperlink"/>
            <w:lang w:bidi="fa-IR"/>
          </w:rPr>
          <w:t>https://bit.ly/3Bu6O1z</w:t>
        </w:r>
      </w:hyperlink>
    </w:p>
  </w:footnote>
  <w:footnote w:id="6">
    <w:p w14:paraId="26968E41" w14:textId="77777777" w:rsidR="00D67E3B" w:rsidRDefault="00D67E3B" w:rsidP="00D67E3B">
      <w:pPr>
        <w:pStyle w:val="FootnoteText"/>
        <w:rPr>
          <w:rtl/>
          <w:lang w:bidi="fa-IR"/>
        </w:rPr>
      </w:pPr>
      <w:r>
        <w:rPr>
          <w:rStyle w:val="FootnoteReference"/>
        </w:rPr>
        <w:footnoteRef/>
      </w:r>
      <w:r>
        <w:t xml:space="preserve">   Ibid: </w:t>
      </w:r>
      <w:r w:rsidRPr="00DC7EC3">
        <w:t>foodfoundation</w:t>
      </w:r>
      <w:r>
        <w:t>.org.uk</w:t>
      </w:r>
    </w:p>
  </w:footnote>
  <w:footnote w:id="7">
    <w:p w14:paraId="78DC1CF7" w14:textId="77777777" w:rsidR="00D67E3B" w:rsidRDefault="00D67E3B" w:rsidP="00D67E3B">
      <w:pPr>
        <w:pStyle w:val="FootnoteText"/>
        <w:rPr>
          <w:rtl/>
          <w:lang w:bidi="fa-IR"/>
        </w:rPr>
      </w:pPr>
      <w:r>
        <w:rPr>
          <w:rStyle w:val="FootnoteReference"/>
        </w:rPr>
        <w:footnoteRef/>
      </w:r>
      <w:r>
        <w:t xml:space="preserve"> </w:t>
      </w:r>
      <w:r w:rsidRPr="00C644AB">
        <w:t>https://www.trussell.org.uk/news-and-research/latest-stats/mid-year-stats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E3E55A7"/>
    <w:multiLevelType w:val="hybridMultilevel"/>
    <w:tmpl w:val="51B296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692966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19CC"/>
    <w:rsid w:val="00105E0E"/>
    <w:rsid w:val="00115627"/>
    <w:rsid w:val="00152380"/>
    <w:rsid w:val="001A452A"/>
    <w:rsid w:val="001B7DE4"/>
    <w:rsid w:val="00214668"/>
    <w:rsid w:val="002168C8"/>
    <w:rsid w:val="00272A98"/>
    <w:rsid w:val="002A2BAB"/>
    <w:rsid w:val="00400B2F"/>
    <w:rsid w:val="00404289"/>
    <w:rsid w:val="00407C26"/>
    <w:rsid w:val="00462770"/>
    <w:rsid w:val="0047782C"/>
    <w:rsid w:val="004A4C63"/>
    <w:rsid w:val="00551E2C"/>
    <w:rsid w:val="005934B9"/>
    <w:rsid w:val="00594D37"/>
    <w:rsid w:val="005E1A18"/>
    <w:rsid w:val="00685EB1"/>
    <w:rsid w:val="006F7F97"/>
    <w:rsid w:val="00732C19"/>
    <w:rsid w:val="00776211"/>
    <w:rsid w:val="007D064A"/>
    <w:rsid w:val="00A43B71"/>
    <w:rsid w:val="00B55639"/>
    <w:rsid w:val="00BD1BE1"/>
    <w:rsid w:val="00BE2FA9"/>
    <w:rsid w:val="00C13E2F"/>
    <w:rsid w:val="00C20A04"/>
    <w:rsid w:val="00C519CC"/>
    <w:rsid w:val="00CC2982"/>
    <w:rsid w:val="00D106EA"/>
    <w:rsid w:val="00D226A0"/>
    <w:rsid w:val="00D67E3B"/>
    <w:rsid w:val="00F65BE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AB6535"/>
  <w15:chartTrackingRefBased/>
  <w15:docId w15:val="{C94CA8C4-227C-4087-B7FA-A3D98DC25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semiHidden/>
    <w:unhideWhenUsed/>
    <w:qFormat/>
    <w:rsid w:val="00D67E3B"/>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semiHidden/>
    <w:rsid w:val="00D67E3B"/>
    <w:rPr>
      <w:sz w:val="20"/>
      <w:szCs w:val="20"/>
    </w:rPr>
  </w:style>
  <w:style w:type="character" w:styleId="FootnoteReference">
    <w:name w:val="footnote reference"/>
    <w:basedOn w:val="DefaultParagraphFont"/>
    <w:uiPriority w:val="99"/>
    <w:semiHidden/>
    <w:unhideWhenUsed/>
    <w:qFormat/>
    <w:rsid w:val="00D67E3B"/>
    <w:rPr>
      <w:rFonts w:ascii="MetaPro-Medi" w:hAnsi="MetaPro-Medi" w:hint="default"/>
      <w:sz w:val="22"/>
      <w:vertAlign w:val="superscript"/>
    </w:rPr>
  </w:style>
  <w:style w:type="character" w:styleId="Hyperlink">
    <w:name w:val="Hyperlink"/>
    <w:basedOn w:val="DefaultParagraphFont"/>
    <w:uiPriority w:val="99"/>
    <w:unhideWhenUsed/>
    <w:rsid w:val="00D67E3B"/>
    <w:rPr>
      <w:color w:val="0563C1" w:themeColor="hyperlink"/>
      <w:u w:val="single"/>
    </w:rPr>
  </w:style>
  <w:style w:type="character" w:styleId="FollowedHyperlink">
    <w:name w:val="FollowedHyperlink"/>
    <w:basedOn w:val="DefaultParagraphFont"/>
    <w:uiPriority w:val="99"/>
    <w:semiHidden/>
    <w:unhideWhenUsed/>
    <w:rsid w:val="00D67E3B"/>
    <w:rPr>
      <w:color w:val="954F72" w:themeColor="followedHyperlink"/>
      <w:u w:val="single"/>
    </w:rPr>
  </w:style>
  <w:style w:type="paragraph" w:styleId="ListParagraph">
    <w:name w:val="List Paragraph"/>
    <w:basedOn w:val="Normal"/>
    <w:uiPriority w:val="34"/>
    <w:qFormat/>
    <w:rsid w:val="00115627"/>
    <w:pPr>
      <w:ind w:left="720"/>
      <w:contextualSpacing/>
    </w:pPr>
  </w:style>
  <w:style w:type="paragraph" w:styleId="Header">
    <w:name w:val="header"/>
    <w:basedOn w:val="Normal"/>
    <w:link w:val="HeaderChar"/>
    <w:uiPriority w:val="99"/>
    <w:unhideWhenUsed/>
    <w:rsid w:val="00BE2FA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E2FA9"/>
  </w:style>
  <w:style w:type="paragraph" w:styleId="Footer">
    <w:name w:val="footer"/>
    <w:basedOn w:val="Normal"/>
    <w:link w:val="FooterChar"/>
    <w:uiPriority w:val="99"/>
    <w:unhideWhenUsed/>
    <w:rsid w:val="00BE2FA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E2FA9"/>
  </w:style>
  <w:style w:type="character" w:styleId="UnresolvedMention">
    <w:name w:val="Unresolved Mention"/>
    <w:basedOn w:val="DefaultParagraphFont"/>
    <w:uiPriority w:val="99"/>
    <w:semiHidden/>
    <w:unhideWhenUsed/>
    <w:rsid w:val="002146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fha.org.ir"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bit.ly/3Bu6O1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776</Words>
  <Characters>4428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علی احمدی ادیب</dc:creator>
  <cp:keywords/>
  <dc:description/>
  <cp:lastModifiedBy>لیلا عنایتی</cp:lastModifiedBy>
  <cp:revision>2</cp:revision>
  <dcterms:created xsi:type="dcterms:W3CDTF">2025-01-13T12:35:00Z</dcterms:created>
  <dcterms:modified xsi:type="dcterms:W3CDTF">2025-01-13T12:35:00Z</dcterms:modified>
</cp:coreProperties>
</file>