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9F335" w14:textId="77777777" w:rsidR="00D07715" w:rsidRDefault="00D07715">
      <w:pPr>
        <w:rPr>
          <w:rFonts w:ascii="Arial" w:eastAsia="Arial" w:hAnsi="Arial" w:cs="Arial"/>
          <w:b/>
          <w:sz w:val="32"/>
          <w:szCs w:val="32"/>
        </w:rPr>
      </w:pPr>
    </w:p>
    <w:p w14:paraId="298420DB" w14:textId="77777777" w:rsidR="00D07715" w:rsidRDefault="00D07715">
      <w:pPr>
        <w:jc w:val="center"/>
        <w:rPr>
          <w:rFonts w:ascii="Arial" w:eastAsia="Arial" w:hAnsi="Arial" w:cs="Arial"/>
          <w:b/>
          <w:sz w:val="32"/>
          <w:szCs w:val="32"/>
        </w:rPr>
      </w:pPr>
    </w:p>
    <w:p w14:paraId="6DB1C0BD" w14:textId="77777777" w:rsidR="005D7633" w:rsidRDefault="005D7633" w:rsidP="005D7633">
      <w:pPr>
        <w:jc w:val="center"/>
        <w:rPr>
          <w:rFonts w:ascii="Arial" w:eastAsia="Arial" w:hAnsi="Arial" w:cs="Arial"/>
          <w:b/>
          <w:sz w:val="32"/>
          <w:szCs w:val="32"/>
        </w:rPr>
      </w:pPr>
    </w:p>
    <w:p w14:paraId="573BF5CA" w14:textId="77777777" w:rsidR="005D7633" w:rsidRDefault="005D7633" w:rsidP="005D7633">
      <w:pPr>
        <w:pBdr>
          <w:top w:val="nil"/>
          <w:left w:val="nil"/>
          <w:bottom w:val="nil"/>
          <w:right w:val="nil"/>
          <w:between w:val="nil"/>
        </w:pBdr>
        <w:spacing w:after="280"/>
        <w:jc w:val="center"/>
        <w:rPr>
          <w:rFonts w:ascii="Arial" w:eastAsia="Arial" w:hAnsi="Arial" w:cs="Arial"/>
          <w:b/>
          <w:color w:val="000000"/>
          <w:sz w:val="32"/>
          <w:szCs w:val="32"/>
        </w:rPr>
      </w:pPr>
    </w:p>
    <w:p w14:paraId="32512C36" w14:textId="77777777" w:rsidR="005D7633" w:rsidRDefault="005D7633" w:rsidP="005D7633">
      <w:pPr>
        <w:pBdr>
          <w:top w:val="nil"/>
          <w:left w:val="nil"/>
          <w:bottom w:val="nil"/>
          <w:right w:val="nil"/>
          <w:between w:val="nil"/>
        </w:pBdr>
        <w:spacing w:after="280"/>
        <w:jc w:val="center"/>
        <w:rPr>
          <w:rFonts w:ascii="Arial" w:eastAsia="Arial" w:hAnsi="Arial" w:cs="Arial"/>
          <w:b/>
          <w:color w:val="000000"/>
          <w:sz w:val="32"/>
          <w:szCs w:val="32"/>
        </w:rPr>
      </w:pPr>
      <w:r>
        <w:rPr>
          <w:rFonts w:ascii="Arial" w:eastAsia="Arial" w:hAnsi="Arial" w:cs="Arial"/>
          <w:b/>
          <w:color w:val="000000"/>
          <w:sz w:val="32"/>
          <w:szCs w:val="32"/>
        </w:rPr>
        <w:t>THEMATIC REPORT ON MUSLIM FAMILY LAW AND</w:t>
      </w:r>
    </w:p>
    <w:p w14:paraId="6F19E7AF" w14:textId="77777777" w:rsidR="005D7633" w:rsidRDefault="005D7633" w:rsidP="005D7633">
      <w:pPr>
        <w:pBdr>
          <w:top w:val="nil"/>
          <w:left w:val="nil"/>
          <w:bottom w:val="nil"/>
          <w:right w:val="nil"/>
          <w:between w:val="nil"/>
        </w:pBdr>
        <w:spacing w:after="280"/>
        <w:jc w:val="center"/>
        <w:rPr>
          <w:rFonts w:ascii="Arial" w:eastAsia="Arial" w:hAnsi="Arial" w:cs="Arial"/>
          <w:b/>
          <w:color w:val="000000"/>
          <w:sz w:val="32"/>
          <w:szCs w:val="32"/>
        </w:rPr>
      </w:pPr>
      <w:r>
        <w:rPr>
          <w:rFonts w:ascii="Arial" w:eastAsia="Arial" w:hAnsi="Arial" w:cs="Arial"/>
          <w:b/>
          <w:color w:val="000000"/>
          <w:sz w:val="32"/>
          <w:szCs w:val="32"/>
        </w:rPr>
        <w:t>MUSLIM WOMEN’S RIGHTS IN</w:t>
      </w:r>
    </w:p>
    <w:p w14:paraId="4FDA1D22" w14:textId="77777777" w:rsidR="005D7633" w:rsidRDefault="005D7633" w:rsidP="005D7633">
      <w:pPr>
        <w:pBdr>
          <w:top w:val="nil"/>
          <w:left w:val="nil"/>
          <w:bottom w:val="nil"/>
          <w:right w:val="nil"/>
          <w:between w:val="nil"/>
        </w:pBdr>
        <w:spacing w:after="280"/>
        <w:jc w:val="center"/>
        <w:rPr>
          <w:rFonts w:ascii="Arial" w:eastAsia="Arial" w:hAnsi="Arial" w:cs="Arial"/>
          <w:b/>
          <w:color w:val="000000"/>
          <w:sz w:val="40"/>
          <w:szCs w:val="40"/>
        </w:rPr>
      </w:pPr>
      <w:r>
        <w:rPr>
          <w:rFonts w:ascii="Arial" w:eastAsia="Arial" w:hAnsi="Arial" w:cs="Arial"/>
          <w:b/>
          <w:sz w:val="40"/>
          <w:szCs w:val="40"/>
        </w:rPr>
        <w:t>KUWAIT</w:t>
      </w:r>
    </w:p>
    <w:p w14:paraId="7D9C853A" w14:textId="77777777" w:rsidR="005D7633" w:rsidRDefault="005D7633" w:rsidP="005D7633">
      <w:pPr>
        <w:rPr>
          <w:rFonts w:ascii="Arial" w:eastAsia="Arial" w:hAnsi="Arial" w:cs="Arial"/>
          <w:b/>
          <w:sz w:val="32"/>
          <w:szCs w:val="32"/>
        </w:rPr>
      </w:pPr>
    </w:p>
    <w:p w14:paraId="78B00724" w14:textId="77777777" w:rsidR="005D7633" w:rsidRDefault="005D7633" w:rsidP="005D7633">
      <w:pPr>
        <w:jc w:val="center"/>
        <w:rPr>
          <w:rFonts w:ascii="Arial" w:eastAsia="Arial" w:hAnsi="Arial" w:cs="Arial"/>
          <w:b/>
          <w:sz w:val="32"/>
          <w:szCs w:val="32"/>
        </w:rPr>
      </w:pPr>
    </w:p>
    <w:p w14:paraId="140EE0B3" w14:textId="77777777" w:rsidR="005D7633" w:rsidRDefault="005D7633" w:rsidP="005D7633">
      <w:pPr>
        <w:spacing w:line="276" w:lineRule="auto"/>
        <w:jc w:val="center"/>
        <w:rPr>
          <w:rFonts w:ascii="Arial" w:eastAsia="Arial" w:hAnsi="Arial" w:cs="Arial"/>
          <w:b/>
          <w:sz w:val="32"/>
          <w:szCs w:val="32"/>
        </w:rPr>
      </w:pPr>
      <w:r>
        <w:rPr>
          <w:rFonts w:ascii="Arial" w:eastAsia="Arial" w:hAnsi="Arial" w:cs="Arial"/>
          <w:b/>
          <w:sz w:val="32"/>
          <w:szCs w:val="32"/>
        </w:rPr>
        <w:t>88</w:t>
      </w:r>
      <w:r>
        <w:rPr>
          <w:rFonts w:ascii="Arial" w:eastAsia="Arial" w:hAnsi="Arial" w:cs="Arial"/>
          <w:b/>
          <w:sz w:val="32"/>
          <w:szCs w:val="32"/>
          <w:vertAlign w:val="superscript"/>
        </w:rPr>
        <w:t xml:space="preserve">th </w:t>
      </w:r>
      <w:r>
        <w:rPr>
          <w:rFonts w:ascii="Arial" w:eastAsia="Arial" w:hAnsi="Arial" w:cs="Arial"/>
          <w:b/>
          <w:sz w:val="32"/>
          <w:szCs w:val="32"/>
        </w:rPr>
        <w:t>CEDAW Session</w:t>
      </w:r>
    </w:p>
    <w:p w14:paraId="19CEE6CE" w14:textId="77777777" w:rsidR="005D7633" w:rsidRDefault="005D7633" w:rsidP="005D7633">
      <w:pPr>
        <w:pBdr>
          <w:top w:val="nil"/>
          <w:left w:val="nil"/>
          <w:bottom w:val="nil"/>
          <w:right w:val="nil"/>
          <w:between w:val="nil"/>
        </w:pBdr>
        <w:spacing w:before="120" w:after="200" w:line="276" w:lineRule="auto"/>
        <w:jc w:val="center"/>
        <w:rPr>
          <w:rFonts w:ascii="Arial" w:eastAsia="Arial" w:hAnsi="Arial" w:cs="Arial"/>
          <w:b/>
          <w:color w:val="000000"/>
          <w:sz w:val="28"/>
          <w:szCs w:val="28"/>
        </w:rPr>
      </w:pPr>
      <w:r>
        <w:rPr>
          <w:rFonts w:ascii="Arial" w:eastAsia="Arial" w:hAnsi="Arial" w:cs="Arial"/>
          <w:b/>
          <w:color w:val="000000"/>
          <w:sz w:val="28"/>
          <w:szCs w:val="28"/>
        </w:rPr>
        <w:t>Geneva, Switzerland</w:t>
      </w:r>
    </w:p>
    <w:p w14:paraId="11CD6CBA" w14:textId="7A09E38B" w:rsidR="005D7633" w:rsidRPr="008948D8" w:rsidRDefault="005D7633" w:rsidP="008948D8">
      <w:pPr>
        <w:pBdr>
          <w:top w:val="nil"/>
          <w:left w:val="nil"/>
          <w:bottom w:val="nil"/>
          <w:right w:val="nil"/>
          <w:between w:val="nil"/>
        </w:pBdr>
        <w:spacing w:before="120" w:after="200" w:line="276" w:lineRule="auto"/>
        <w:jc w:val="center"/>
        <w:rPr>
          <w:rFonts w:ascii="Arial" w:eastAsia="Arial" w:hAnsi="Arial" w:cs="Arial"/>
          <w:b/>
          <w:color w:val="000000"/>
          <w:sz w:val="28"/>
          <w:szCs w:val="28"/>
        </w:rPr>
      </w:pPr>
      <w:r>
        <w:rPr>
          <w:rFonts w:ascii="Arial" w:eastAsia="Arial" w:hAnsi="Arial" w:cs="Arial"/>
          <w:b/>
          <w:sz w:val="28"/>
          <w:szCs w:val="28"/>
        </w:rPr>
        <w:t>MAY</w:t>
      </w:r>
      <w:r>
        <w:rPr>
          <w:rFonts w:ascii="Arial" w:eastAsia="Arial" w:hAnsi="Arial" w:cs="Arial"/>
          <w:b/>
          <w:color w:val="000000"/>
          <w:sz w:val="28"/>
          <w:szCs w:val="28"/>
        </w:rPr>
        <w:t xml:space="preserve"> 2024</w:t>
      </w:r>
    </w:p>
    <w:p w14:paraId="10D0C4EF" w14:textId="77777777" w:rsidR="005D7633" w:rsidRDefault="005D7633" w:rsidP="005D7633">
      <w:pPr>
        <w:pBdr>
          <w:top w:val="nil"/>
          <w:left w:val="nil"/>
          <w:bottom w:val="nil"/>
          <w:right w:val="nil"/>
          <w:between w:val="nil"/>
        </w:pBdr>
        <w:spacing w:before="120" w:after="200" w:line="276" w:lineRule="auto"/>
        <w:jc w:val="center"/>
        <w:rPr>
          <w:rFonts w:ascii="Arial" w:eastAsia="Arial" w:hAnsi="Arial" w:cs="Arial"/>
          <w:b/>
          <w:sz w:val="28"/>
          <w:szCs w:val="28"/>
        </w:rPr>
      </w:pPr>
    </w:p>
    <w:p w14:paraId="341FC27E" w14:textId="77777777" w:rsidR="005D7633" w:rsidRPr="000172FB" w:rsidRDefault="005D7633" w:rsidP="005D7633">
      <w:pPr>
        <w:jc w:val="center"/>
        <w:rPr>
          <w:rFonts w:ascii="Roboto" w:eastAsia="Roboto" w:hAnsi="Roboto" w:cs="Roboto"/>
          <w:b/>
          <w:sz w:val="20"/>
          <w:szCs w:val="20"/>
        </w:rPr>
      </w:pPr>
      <w:r>
        <w:rPr>
          <w:rFonts w:ascii="Roboto" w:eastAsia="Roboto" w:hAnsi="Roboto" w:cs="Roboto"/>
          <w:b/>
        </w:rPr>
        <w:t>SUBMITTED BY:</w:t>
      </w:r>
    </w:p>
    <w:p w14:paraId="4175220E" w14:textId="77777777" w:rsidR="005D7633" w:rsidRDefault="005D7633" w:rsidP="005D7633">
      <w:pPr>
        <w:shd w:val="clear" w:color="auto" w:fill="FFFFFF"/>
        <w:jc w:val="center"/>
        <w:rPr>
          <w:rFonts w:ascii="Roboto" w:eastAsia="Roboto" w:hAnsi="Roboto" w:cs="Roboto"/>
          <w:color w:val="0070C0"/>
          <w:sz w:val="20"/>
          <w:szCs w:val="20"/>
        </w:rPr>
      </w:pPr>
    </w:p>
    <w:p w14:paraId="45A85B76" w14:textId="77777777" w:rsidR="005D7633" w:rsidRDefault="005D7633" w:rsidP="005D7633">
      <w:pPr>
        <w:shd w:val="clear" w:color="auto" w:fill="FFFFFF"/>
        <w:rPr>
          <w:rFonts w:ascii="Roboto" w:eastAsia="Roboto" w:hAnsi="Roboto" w:cs="Roboto"/>
          <w:color w:val="0070C0"/>
          <w:sz w:val="20"/>
          <w:szCs w:val="20"/>
        </w:rPr>
      </w:pPr>
      <w:r>
        <w:rPr>
          <w:noProof/>
        </w:rPr>
        <w:drawing>
          <wp:anchor distT="0" distB="0" distL="114300" distR="114300" simplePos="0" relativeHeight="251661312" behindDoc="0" locked="0" layoutInCell="1" allowOverlap="1" wp14:anchorId="01DEEE57" wp14:editId="1A4C1632">
            <wp:simplePos x="0" y="0"/>
            <wp:positionH relativeFrom="column">
              <wp:posOffset>680720</wp:posOffset>
            </wp:positionH>
            <wp:positionV relativeFrom="paragraph">
              <wp:posOffset>208005</wp:posOffset>
            </wp:positionV>
            <wp:extent cx="1242695" cy="901065"/>
            <wp:effectExtent l="0" t="0" r="1905" b="635"/>
            <wp:wrapSquare wrapText="bothSides"/>
            <wp:docPr id="2144209287" name="officeArt object" descr="Blue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98891602" name="officeArt object" descr="Blue text on a white background&#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242695" cy="901065"/>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66C998AE" w14:textId="77777777" w:rsidR="005D7633" w:rsidRDefault="005D7633" w:rsidP="005D7633">
      <w:pPr>
        <w:shd w:val="clear" w:color="auto" w:fill="FFFFFF"/>
        <w:rPr>
          <w:rFonts w:ascii="Roboto" w:eastAsia="Roboto" w:hAnsi="Roboto" w:cs="Roboto"/>
          <w:color w:val="0070C0"/>
          <w:sz w:val="20"/>
          <w:szCs w:val="20"/>
        </w:rPr>
      </w:pPr>
      <w:r w:rsidRPr="000172FB">
        <w:rPr>
          <w:rFonts w:ascii="Roboto" w:eastAsia="Roboto" w:hAnsi="Roboto" w:cs="Roboto"/>
          <w:color w:val="0070C0"/>
          <w:sz w:val="20"/>
          <w:szCs w:val="20"/>
        </w:rPr>
        <w:t xml:space="preserve"> </w:t>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color w:val="0070C0"/>
          <w:sz w:val="20"/>
          <w:szCs w:val="20"/>
        </w:rPr>
        <w:tab/>
      </w:r>
      <w:r>
        <w:rPr>
          <w:rFonts w:ascii="Roboto" w:eastAsia="Roboto" w:hAnsi="Roboto" w:cs="Roboto"/>
          <w:noProof/>
          <w:sz w:val="20"/>
          <w:szCs w:val="20"/>
        </w:rPr>
        <w:drawing>
          <wp:inline distT="114300" distB="114300" distL="114300" distR="114300" wp14:anchorId="6705497B" wp14:editId="5C5D70E1">
            <wp:extent cx="2153920" cy="759316"/>
            <wp:effectExtent l="0" t="0" r="0" b="3175"/>
            <wp:docPr id="935323287" name="image1.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377726657" name="image1.png" descr="A logo with black text&#10;&#10;Description automatically generated"/>
                    <pic:cNvPicPr preferRelativeResize="0"/>
                  </pic:nvPicPr>
                  <pic:blipFill>
                    <a:blip r:embed="rId10"/>
                    <a:srcRect b="13385"/>
                    <a:stretch>
                      <a:fillRect/>
                    </a:stretch>
                  </pic:blipFill>
                  <pic:spPr>
                    <a:xfrm>
                      <a:off x="0" y="0"/>
                      <a:ext cx="2189449" cy="771841"/>
                    </a:xfrm>
                    <a:prstGeom prst="rect">
                      <a:avLst/>
                    </a:prstGeom>
                    <a:ln/>
                  </pic:spPr>
                </pic:pic>
              </a:graphicData>
            </a:graphic>
          </wp:inline>
        </w:drawing>
      </w:r>
    </w:p>
    <w:tbl>
      <w:tblPr>
        <w:tblStyle w:val="TableGrid"/>
        <w:tblpPr w:leftFromText="180" w:rightFromText="180" w:vertAnchor="text" w:horzAnchor="margin" w:tblpY="27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90"/>
        <w:gridCol w:w="4225"/>
        <w:gridCol w:w="275"/>
      </w:tblGrid>
      <w:tr w:rsidR="005D7633" w14:paraId="07B1ACC6" w14:textId="77777777" w:rsidTr="00505138">
        <w:trPr>
          <w:gridAfter w:val="1"/>
          <w:wAfter w:w="275" w:type="dxa"/>
        </w:trPr>
        <w:tc>
          <w:tcPr>
            <w:tcW w:w="4230" w:type="dxa"/>
          </w:tcPr>
          <w:p w14:paraId="5EF32ABE" w14:textId="77777777" w:rsidR="005D7633" w:rsidRPr="00D77B66" w:rsidRDefault="005D7633" w:rsidP="00505138">
            <w:pPr>
              <w:spacing w:after="120"/>
              <w:jc w:val="center"/>
              <w:rPr>
                <w:rFonts w:ascii="Arial" w:eastAsia="Arial" w:hAnsi="Arial" w:cs="Arial"/>
                <w:b/>
                <w:bCs/>
                <w:sz w:val="20"/>
                <w:szCs w:val="20"/>
              </w:rPr>
            </w:pPr>
            <w:r>
              <w:rPr>
                <w:rFonts w:ascii="Arial" w:eastAsia="Arial" w:hAnsi="Arial" w:cs="Arial"/>
                <w:b/>
                <w:bCs/>
                <w:sz w:val="20"/>
                <w:szCs w:val="20"/>
              </w:rPr>
              <w:t>Abolish Article 153</w:t>
            </w:r>
          </w:p>
        </w:tc>
        <w:tc>
          <w:tcPr>
            <w:tcW w:w="4315" w:type="dxa"/>
            <w:gridSpan w:val="2"/>
          </w:tcPr>
          <w:p w14:paraId="31BBAB91" w14:textId="77777777" w:rsidR="005D7633" w:rsidRPr="00D77B66" w:rsidRDefault="005D7633" w:rsidP="00505138">
            <w:pPr>
              <w:jc w:val="center"/>
              <w:rPr>
                <w:rFonts w:ascii="Arial" w:eastAsia="Arial" w:hAnsi="Arial" w:cs="Arial"/>
                <w:b/>
                <w:bCs/>
                <w:sz w:val="20"/>
                <w:szCs w:val="20"/>
              </w:rPr>
            </w:pPr>
            <w:r w:rsidRPr="00D77B66">
              <w:rPr>
                <w:rFonts w:ascii="Arial" w:eastAsia="Arial" w:hAnsi="Arial" w:cs="Arial"/>
                <w:b/>
                <w:bCs/>
                <w:sz w:val="20"/>
                <w:szCs w:val="20"/>
              </w:rPr>
              <w:t>Musawah</w:t>
            </w:r>
          </w:p>
        </w:tc>
      </w:tr>
      <w:tr w:rsidR="005D7633" w14:paraId="5C3EED6C" w14:textId="77777777" w:rsidTr="00505138">
        <w:tc>
          <w:tcPr>
            <w:tcW w:w="4320" w:type="dxa"/>
            <w:gridSpan w:val="2"/>
          </w:tcPr>
          <w:p w14:paraId="463DEC44" w14:textId="77777777" w:rsidR="005D7633" w:rsidRPr="000172FB" w:rsidRDefault="005D7633" w:rsidP="00505138">
            <w:pPr>
              <w:shd w:val="clear" w:color="auto" w:fill="FFFFFF"/>
              <w:jc w:val="center"/>
              <w:rPr>
                <w:rFonts w:ascii="Roboto" w:eastAsia="Roboto" w:hAnsi="Roboto" w:cs="Roboto"/>
                <w:sz w:val="20"/>
                <w:szCs w:val="20"/>
              </w:rPr>
            </w:pPr>
            <w:r w:rsidRPr="000172FB">
              <w:rPr>
                <w:rFonts w:ascii="Roboto" w:eastAsia="Roboto" w:hAnsi="Roboto" w:cs="Roboto"/>
                <w:sz w:val="20"/>
                <w:szCs w:val="20"/>
              </w:rPr>
              <w:t>B8 building, Second floor,</w:t>
            </w:r>
          </w:p>
          <w:p w14:paraId="509DB95B" w14:textId="77777777" w:rsidR="005D7633" w:rsidRPr="000172FB" w:rsidRDefault="005D7633" w:rsidP="00505138">
            <w:pPr>
              <w:shd w:val="clear" w:color="auto" w:fill="FFFFFF"/>
              <w:jc w:val="center"/>
              <w:rPr>
                <w:rFonts w:ascii="Roboto" w:eastAsia="Roboto" w:hAnsi="Roboto" w:cs="Roboto"/>
                <w:sz w:val="20"/>
                <w:szCs w:val="20"/>
              </w:rPr>
            </w:pPr>
            <w:r w:rsidRPr="000172FB">
              <w:rPr>
                <w:rFonts w:ascii="Roboto" w:eastAsia="Roboto" w:hAnsi="Roboto" w:cs="Roboto"/>
                <w:sz w:val="20"/>
                <w:szCs w:val="20"/>
              </w:rPr>
              <w:t xml:space="preserve">Ahmed al Jaber Street </w:t>
            </w:r>
            <w:proofErr w:type="spellStart"/>
            <w:r w:rsidRPr="000172FB">
              <w:rPr>
                <w:rFonts w:ascii="Roboto" w:eastAsia="Roboto" w:hAnsi="Roboto" w:cs="Roboto"/>
                <w:sz w:val="20"/>
                <w:szCs w:val="20"/>
              </w:rPr>
              <w:t>Sharq</w:t>
            </w:r>
            <w:proofErr w:type="spellEnd"/>
            <w:r w:rsidRPr="000172FB">
              <w:rPr>
                <w:rFonts w:ascii="Roboto" w:eastAsia="Roboto" w:hAnsi="Roboto" w:cs="Roboto"/>
                <w:sz w:val="20"/>
                <w:szCs w:val="20"/>
              </w:rPr>
              <w:t>, Kuwait</w:t>
            </w:r>
          </w:p>
          <w:p w14:paraId="4DDCAAEE" w14:textId="77777777" w:rsidR="005D7633" w:rsidRPr="000172FB" w:rsidRDefault="005D7633" w:rsidP="00505138">
            <w:pPr>
              <w:shd w:val="clear" w:color="auto" w:fill="FFFFFF"/>
              <w:jc w:val="center"/>
              <w:rPr>
                <w:rFonts w:ascii="Roboto" w:eastAsia="Roboto" w:hAnsi="Roboto" w:cs="Roboto"/>
                <w:sz w:val="20"/>
                <w:szCs w:val="20"/>
              </w:rPr>
            </w:pPr>
            <w:r w:rsidRPr="000172FB">
              <w:rPr>
                <w:rFonts w:ascii="Roboto" w:eastAsia="Roboto" w:hAnsi="Roboto" w:cs="Roboto"/>
                <w:sz w:val="20"/>
                <w:szCs w:val="20"/>
              </w:rPr>
              <w:t>Tel: +965 69964069</w:t>
            </w:r>
          </w:p>
          <w:p w14:paraId="25964241" w14:textId="77777777" w:rsidR="005D7633" w:rsidRPr="000172FB" w:rsidRDefault="005D7633" w:rsidP="00505138">
            <w:pPr>
              <w:shd w:val="clear" w:color="auto" w:fill="FFFFFF"/>
              <w:jc w:val="center"/>
              <w:rPr>
                <w:rFonts w:ascii="Roboto" w:eastAsia="Roboto" w:hAnsi="Roboto" w:cs="Roboto"/>
                <w:sz w:val="20"/>
                <w:szCs w:val="20"/>
              </w:rPr>
            </w:pPr>
            <w:r w:rsidRPr="000172FB">
              <w:rPr>
                <w:rFonts w:ascii="Roboto" w:eastAsia="Roboto" w:hAnsi="Roboto" w:cs="Roboto"/>
                <w:sz w:val="20"/>
                <w:szCs w:val="20"/>
              </w:rPr>
              <w:t xml:space="preserve">Email: </w:t>
            </w:r>
            <w:hyperlink r:id="rId11" w:history="1">
              <w:r w:rsidRPr="000172FB">
                <w:rPr>
                  <w:rStyle w:val="Hyperlink"/>
                  <w:rFonts w:ascii="Roboto" w:eastAsia="Roboto" w:hAnsi="Roboto" w:cs="Roboto"/>
                  <w:b/>
                  <w:bCs/>
                  <w:sz w:val="20"/>
                  <w:szCs w:val="20"/>
                </w:rPr>
                <w:t>info@abolish153.org</w:t>
              </w:r>
            </w:hyperlink>
          </w:p>
          <w:p w14:paraId="107890A2" w14:textId="77777777" w:rsidR="005D7633" w:rsidRDefault="005D7633" w:rsidP="00505138">
            <w:pPr>
              <w:jc w:val="center"/>
              <w:rPr>
                <w:rFonts w:ascii="Arial" w:eastAsia="Arial" w:hAnsi="Arial" w:cs="Arial"/>
                <w:sz w:val="32"/>
                <w:szCs w:val="32"/>
              </w:rPr>
            </w:pPr>
            <w:r w:rsidRPr="000172FB">
              <w:rPr>
                <w:rFonts w:ascii="Roboto" w:eastAsia="Roboto" w:hAnsi="Roboto" w:cs="Roboto"/>
                <w:sz w:val="20"/>
                <w:szCs w:val="20"/>
              </w:rPr>
              <w:t xml:space="preserve">Web: </w:t>
            </w:r>
            <w:hyperlink r:id="rId12" w:history="1">
              <w:r w:rsidRPr="000172FB">
                <w:rPr>
                  <w:rStyle w:val="Hyperlink"/>
                  <w:rFonts w:ascii="Roboto" w:eastAsia="Roboto" w:hAnsi="Roboto" w:cs="Roboto"/>
                  <w:b/>
                  <w:bCs/>
                  <w:sz w:val="20"/>
                  <w:szCs w:val="20"/>
                </w:rPr>
                <w:t>www.abolish153.org</w:t>
              </w:r>
            </w:hyperlink>
          </w:p>
        </w:tc>
        <w:tc>
          <w:tcPr>
            <w:tcW w:w="4500" w:type="dxa"/>
            <w:gridSpan w:val="2"/>
          </w:tcPr>
          <w:p w14:paraId="7C51423B" w14:textId="77777777" w:rsidR="005D7633" w:rsidRDefault="005D7633" w:rsidP="00505138">
            <w:pPr>
              <w:jc w:val="center"/>
              <w:rPr>
                <w:rFonts w:ascii="Roboto" w:eastAsia="Roboto" w:hAnsi="Roboto" w:cs="Roboto"/>
                <w:sz w:val="20"/>
                <w:szCs w:val="20"/>
              </w:rPr>
            </w:pPr>
            <w:r>
              <w:rPr>
                <w:rFonts w:ascii="Roboto" w:eastAsia="Roboto" w:hAnsi="Roboto" w:cs="Roboto"/>
                <w:sz w:val="20"/>
                <w:szCs w:val="20"/>
              </w:rPr>
              <w:t xml:space="preserve">15, Jalan </w:t>
            </w:r>
            <w:proofErr w:type="spellStart"/>
            <w:r>
              <w:rPr>
                <w:rFonts w:ascii="Roboto" w:eastAsia="Roboto" w:hAnsi="Roboto" w:cs="Roboto"/>
                <w:sz w:val="20"/>
                <w:szCs w:val="20"/>
              </w:rPr>
              <w:t>Limau</w:t>
            </w:r>
            <w:proofErr w:type="spellEnd"/>
            <w:r>
              <w:rPr>
                <w:rFonts w:ascii="Roboto" w:eastAsia="Roboto" w:hAnsi="Roboto" w:cs="Roboto"/>
                <w:sz w:val="20"/>
                <w:szCs w:val="20"/>
              </w:rPr>
              <w:t xml:space="preserve"> </w:t>
            </w:r>
            <w:proofErr w:type="spellStart"/>
            <w:r>
              <w:rPr>
                <w:rFonts w:ascii="Roboto" w:eastAsia="Roboto" w:hAnsi="Roboto" w:cs="Roboto"/>
                <w:sz w:val="20"/>
                <w:szCs w:val="20"/>
              </w:rPr>
              <w:t>Purut</w:t>
            </w:r>
            <w:proofErr w:type="spellEnd"/>
            <w:r>
              <w:rPr>
                <w:rFonts w:ascii="Roboto" w:eastAsia="Roboto" w:hAnsi="Roboto" w:cs="Roboto"/>
                <w:sz w:val="20"/>
                <w:szCs w:val="20"/>
              </w:rPr>
              <w:t xml:space="preserve">, Bangsar Park, 59000 Kuala Lumpur, Malaysia </w:t>
            </w:r>
          </w:p>
          <w:p w14:paraId="5466D827" w14:textId="77777777" w:rsidR="005D7633" w:rsidRDefault="005D7633" w:rsidP="00505138">
            <w:pPr>
              <w:jc w:val="center"/>
              <w:rPr>
                <w:rFonts w:ascii="Roboto" w:eastAsia="Roboto" w:hAnsi="Roboto" w:cs="Roboto"/>
                <w:sz w:val="20"/>
                <w:szCs w:val="20"/>
              </w:rPr>
            </w:pPr>
            <w:r>
              <w:rPr>
                <w:rFonts w:ascii="Roboto" w:eastAsia="Roboto" w:hAnsi="Roboto" w:cs="Roboto"/>
                <w:sz w:val="20"/>
                <w:szCs w:val="20"/>
              </w:rPr>
              <w:t xml:space="preserve">Tel: +603 2083 0202 Fax: +603 2202 0303 </w:t>
            </w:r>
          </w:p>
          <w:p w14:paraId="087F40A4" w14:textId="77777777" w:rsidR="005D7633" w:rsidRDefault="005D7633" w:rsidP="00505138">
            <w:pPr>
              <w:jc w:val="center"/>
              <w:rPr>
                <w:rFonts w:ascii="Roboto" w:eastAsia="Roboto" w:hAnsi="Roboto" w:cs="Roboto"/>
                <w:sz w:val="20"/>
                <w:szCs w:val="20"/>
              </w:rPr>
            </w:pPr>
            <w:r>
              <w:rPr>
                <w:rFonts w:ascii="Roboto" w:eastAsia="Roboto" w:hAnsi="Roboto" w:cs="Roboto"/>
                <w:sz w:val="20"/>
                <w:szCs w:val="20"/>
              </w:rPr>
              <w:t xml:space="preserve">Email: </w:t>
            </w:r>
            <w:hyperlink r:id="rId13">
              <w:r>
                <w:rPr>
                  <w:rFonts w:ascii="Roboto" w:eastAsia="Roboto" w:hAnsi="Roboto" w:cs="Roboto"/>
                  <w:b/>
                  <w:color w:val="1155CC"/>
                  <w:sz w:val="20"/>
                  <w:szCs w:val="20"/>
                  <w:u w:val="single"/>
                </w:rPr>
                <w:t>musawah@musawah.org</w:t>
              </w:r>
            </w:hyperlink>
          </w:p>
          <w:p w14:paraId="14DF7958" w14:textId="77777777" w:rsidR="005D7633" w:rsidRDefault="005D7633" w:rsidP="00505138">
            <w:pPr>
              <w:jc w:val="center"/>
              <w:rPr>
                <w:rFonts w:ascii="Arial" w:eastAsia="Arial" w:hAnsi="Arial" w:cs="Arial"/>
                <w:sz w:val="32"/>
                <w:szCs w:val="32"/>
              </w:rPr>
            </w:pPr>
            <w:r>
              <w:rPr>
                <w:rFonts w:ascii="Roboto" w:eastAsia="Roboto" w:hAnsi="Roboto" w:cs="Roboto"/>
                <w:sz w:val="20"/>
                <w:szCs w:val="20"/>
              </w:rPr>
              <w:t xml:space="preserve">Web: </w:t>
            </w:r>
            <w:hyperlink r:id="rId14">
              <w:r>
                <w:rPr>
                  <w:rFonts w:ascii="Roboto" w:eastAsia="Roboto" w:hAnsi="Roboto" w:cs="Roboto"/>
                  <w:b/>
                  <w:color w:val="1155CC"/>
                  <w:sz w:val="20"/>
                  <w:szCs w:val="20"/>
                  <w:u w:val="single"/>
                </w:rPr>
                <w:t>www.musawah.org</w:t>
              </w:r>
            </w:hyperlink>
          </w:p>
        </w:tc>
      </w:tr>
    </w:tbl>
    <w:p w14:paraId="75273ADF" w14:textId="77777777" w:rsidR="005D7633" w:rsidRDefault="005D7633" w:rsidP="005D7633">
      <w:pPr>
        <w:shd w:val="clear" w:color="auto" w:fill="FFFFFF"/>
        <w:rPr>
          <w:rFonts w:ascii="Roboto" w:eastAsia="Roboto" w:hAnsi="Roboto" w:cs="Roboto"/>
          <w:color w:val="0070C0"/>
          <w:sz w:val="20"/>
          <w:szCs w:val="20"/>
        </w:rPr>
      </w:pPr>
    </w:p>
    <w:p w14:paraId="7D0A79C4" w14:textId="77777777" w:rsidR="005D7633" w:rsidRDefault="005D7633" w:rsidP="005D7633">
      <w:pPr>
        <w:shd w:val="clear" w:color="auto" w:fill="FFFFFF"/>
        <w:rPr>
          <w:rFonts w:ascii="Arial" w:eastAsia="Arial" w:hAnsi="Arial" w:cs="Arial"/>
          <w:sz w:val="20"/>
          <w:szCs w:val="20"/>
        </w:rPr>
      </w:pPr>
    </w:p>
    <w:p w14:paraId="5582126E" w14:textId="77777777" w:rsidR="008948D8" w:rsidRPr="00D77B66" w:rsidRDefault="008948D8" w:rsidP="005D7633">
      <w:pPr>
        <w:shd w:val="clear" w:color="auto" w:fill="FFFFFF"/>
        <w:rPr>
          <w:rFonts w:ascii="Arial" w:eastAsia="Arial" w:hAnsi="Arial" w:cs="Arial"/>
          <w:sz w:val="20"/>
          <w:szCs w:val="20"/>
        </w:rPr>
      </w:pPr>
    </w:p>
    <w:p w14:paraId="15EE3EAE" w14:textId="77777777" w:rsidR="005D7633" w:rsidRPr="00D77B66" w:rsidRDefault="005D7633" w:rsidP="005D7633">
      <w:pPr>
        <w:shd w:val="clear" w:color="auto" w:fill="FFFFFF"/>
        <w:jc w:val="center"/>
        <w:rPr>
          <w:rFonts w:ascii="Arial" w:eastAsia="Arial" w:hAnsi="Arial" w:cs="Arial"/>
          <w:sz w:val="20"/>
          <w:szCs w:val="20"/>
        </w:rPr>
      </w:pPr>
      <w:r>
        <w:rPr>
          <w:rFonts w:ascii="Arial" w:eastAsia="Arial" w:hAnsi="Arial" w:cs="Arial"/>
          <w:b/>
          <w:noProof/>
          <w:sz w:val="28"/>
          <w:szCs w:val="28"/>
        </w:rPr>
        <w:drawing>
          <wp:inline distT="0" distB="0" distL="0" distR="0" wp14:anchorId="5CE88BF4" wp14:editId="604DE4AF">
            <wp:extent cx="1320985" cy="1124917"/>
            <wp:effectExtent l="0" t="0" r="0" b="5715"/>
            <wp:docPr id="195553046" name="Picture 1" descr="A logo of a law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3046" name="Picture 1" descr="A logo of a law school&#10;&#10;Description automatically generated"/>
                    <pic:cNvPicPr/>
                  </pic:nvPicPr>
                  <pic:blipFill rotWithShape="1">
                    <a:blip r:embed="rId15" cstate="print">
                      <a:extLst>
                        <a:ext uri="{28A0092B-C50C-407E-A947-70E740481C1C}">
                          <a14:useLocalDpi xmlns:a14="http://schemas.microsoft.com/office/drawing/2010/main" val="0"/>
                        </a:ext>
                      </a:extLst>
                    </a:blip>
                    <a:srcRect t="8519" b="6323"/>
                    <a:stretch/>
                  </pic:blipFill>
                  <pic:spPr bwMode="auto">
                    <a:xfrm>
                      <a:off x="0" y="0"/>
                      <a:ext cx="1376073" cy="1171829"/>
                    </a:xfrm>
                    <a:prstGeom prst="rect">
                      <a:avLst/>
                    </a:prstGeom>
                    <a:ln>
                      <a:noFill/>
                    </a:ln>
                    <a:extLst>
                      <a:ext uri="{53640926-AAD7-44D8-BBD7-CCE9431645EC}">
                        <a14:shadowObscured xmlns:a14="http://schemas.microsoft.com/office/drawing/2010/main"/>
                      </a:ext>
                    </a:extLst>
                  </pic:spPr>
                </pic:pic>
              </a:graphicData>
            </a:graphic>
          </wp:inline>
        </w:drawing>
      </w:r>
    </w:p>
    <w:p w14:paraId="6FE75108" w14:textId="77777777" w:rsidR="005D7633" w:rsidRDefault="005D7633" w:rsidP="005D7633">
      <w:pPr>
        <w:shd w:val="clear" w:color="auto" w:fill="FFFFFF"/>
        <w:jc w:val="center"/>
        <w:rPr>
          <w:rFonts w:ascii="Roboto" w:eastAsia="Roboto" w:hAnsi="Roboto" w:cs="Roboto"/>
          <w:b/>
          <w:sz w:val="20"/>
          <w:szCs w:val="20"/>
        </w:rPr>
      </w:pPr>
      <w:r>
        <w:rPr>
          <w:rFonts w:ascii="Roboto" w:eastAsia="Roboto" w:hAnsi="Roboto" w:cs="Roboto"/>
          <w:b/>
          <w:sz w:val="20"/>
          <w:szCs w:val="20"/>
        </w:rPr>
        <w:t>Program on Law and Society in the Muslim World</w:t>
      </w:r>
    </w:p>
    <w:p w14:paraId="181C861C" w14:textId="77777777" w:rsidR="005D7633" w:rsidRPr="00B669CB" w:rsidRDefault="005D7633" w:rsidP="005D7633">
      <w:pPr>
        <w:shd w:val="clear" w:color="auto" w:fill="FFFFFF"/>
        <w:jc w:val="center"/>
        <w:rPr>
          <w:rFonts w:ascii="Roboto" w:eastAsia="Roboto" w:hAnsi="Roboto" w:cs="Roboto"/>
          <w:b/>
          <w:sz w:val="20"/>
          <w:szCs w:val="20"/>
        </w:rPr>
      </w:pPr>
      <w:r>
        <w:rPr>
          <w:rFonts w:ascii="Roboto" w:eastAsia="Roboto" w:hAnsi="Roboto" w:cs="Roboto"/>
          <w:b/>
          <w:sz w:val="20"/>
          <w:szCs w:val="20"/>
        </w:rPr>
        <w:t>Harvard Law School</w:t>
      </w:r>
    </w:p>
    <w:p w14:paraId="1951B0B9" w14:textId="77777777" w:rsidR="005D7633" w:rsidRDefault="005D7633" w:rsidP="005D7633">
      <w:pPr>
        <w:shd w:val="clear" w:color="auto" w:fill="FFFFFF"/>
        <w:jc w:val="center"/>
        <w:rPr>
          <w:rFonts w:ascii="Roboto" w:eastAsia="Roboto" w:hAnsi="Roboto" w:cs="Roboto"/>
          <w:sz w:val="20"/>
          <w:szCs w:val="20"/>
        </w:rPr>
      </w:pPr>
      <w:r>
        <w:rPr>
          <w:rFonts w:ascii="Roboto" w:eastAsia="Roboto" w:hAnsi="Roboto" w:cs="Roboto"/>
          <w:sz w:val="20"/>
          <w:szCs w:val="20"/>
        </w:rPr>
        <w:t>1535 Massachusetts Ave, Cambridge, MA 02138, USA</w:t>
      </w:r>
    </w:p>
    <w:p w14:paraId="6DF566CC" w14:textId="77777777" w:rsidR="005D7633" w:rsidRDefault="005D7633" w:rsidP="005D7633">
      <w:pPr>
        <w:shd w:val="clear" w:color="auto" w:fill="FFFFFF"/>
        <w:jc w:val="center"/>
        <w:rPr>
          <w:rFonts w:ascii="Roboto" w:eastAsia="Roboto" w:hAnsi="Roboto" w:cs="Roboto"/>
          <w:sz w:val="20"/>
          <w:szCs w:val="20"/>
        </w:rPr>
      </w:pPr>
      <w:r>
        <w:rPr>
          <w:rFonts w:ascii="Roboto" w:eastAsia="Roboto" w:hAnsi="Roboto" w:cs="Roboto"/>
          <w:sz w:val="20"/>
          <w:szCs w:val="20"/>
        </w:rPr>
        <w:t xml:space="preserve">Email: </w:t>
      </w:r>
      <w:hyperlink r:id="rId16" w:history="1">
        <w:r w:rsidRPr="000172FB">
          <w:rPr>
            <w:rStyle w:val="Hyperlink"/>
            <w:rFonts w:ascii="Roboto" w:eastAsia="Roboto" w:hAnsi="Roboto" w:cs="Roboto"/>
            <w:b/>
            <w:bCs/>
            <w:sz w:val="20"/>
            <w:szCs w:val="20"/>
          </w:rPr>
          <w:t>plsmw@law.harvard.edu</w:t>
        </w:r>
      </w:hyperlink>
      <w:r>
        <w:rPr>
          <w:rFonts w:ascii="Roboto" w:eastAsia="Roboto" w:hAnsi="Roboto" w:cs="Roboto"/>
          <w:sz w:val="20"/>
          <w:szCs w:val="20"/>
        </w:rPr>
        <w:t xml:space="preserve"> </w:t>
      </w:r>
    </w:p>
    <w:p w14:paraId="0AA7D628" w14:textId="1EEE43E3" w:rsidR="006A27C3" w:rsidRPr="005D7633" w:rsidRDefault="005D7633" w:rsidP="005D7633">
      <w:pPr>
        <w:shd w:val="clear" w:color="auto" w:fill="FFFFFF"/>
        <w:jc w:val="center"/>
        <w:rPr>
          <w:rFonts w:ascii="Roboto" w:eastAsia="Roboto" w:hAnsi="Roboto" w:cs="Roboto"/>
          <w:b/>
          <w:bCs/>
          <w:color w:val="0070C0"/>
          <w:sz w:val="20"/>
          <w:szCs w:val="20"/>
          <w:u w:val="single"/>
        </w:rPr>
      </w:pPr>
      <w:r>
        <w:rPr>
          <w:rFonts w:ascii="Roboto" w:eastAsia="Roboto" w:hAnsi="Roboto" w:cs="Roboto"/>
          <w:sz w:val="20"/>
          <w:szCs w:val="20"/>
        </w:rPr>
        <w:t xml:space="preserve">Web: </w:t>
      </w:r>
      <w:r w:rsidRPr="000172FB">
        <w:rPr>
          <w:rFonts w:ascii="Roboto" w:eastAsia="Roboto" w:hAnsi="Roboto" w:cs="Roboto"/>
          <w:b/>
          <w:bCs/>
          <w:color w:val="0070C0"/>
          <w:sz w:val="20"/>
          <w:szCs w:val="20"/>
          <w:u w:val="single"/>
        </w:rPr>
        <w:t>plsmw.law.harvard.edu</w:t>
      </w:r>
    </w:p>
    <w:p w14:paraId="4942A453" w14:textId="538143CD" w:rsidR="00D77B66" w:rsidRPr="00D77B66" w:rsidRDefault="00D77B66" w:rsidP="00D77B66">
      <w:pPr>
        <w:tabs>
          <w:tab w:val="left" w:pos="3513"/>
        </w:tabs>
        <w:rPr>
          <w:rFonts w:ascii="Arial" w:eastAsia="Arial" w:hAnsi="Arial" w:cs="Arial"/>
          <w:sz w:val="32"/>
          <w:szCs w:val="32"/>
        </w:rPr>
        <w:sectPr w:rsidR="00D77B66" w:rsidRPr="00D77B66" w:rsidSect="002255B4">
          <w:headerReference w:type="even" r:id="rId17"/>
          <w:headerReference w:type="default" r:id="rId18"/>
          <w:footerReference w:type="even" r:id="rId19"/>
          <w:footerReference w:type="default" r:id="rId20"/>
          <w:headerReference w:type="first" r:id="rId21"/>
          <w:footerReference w:type="first" r:id="rId22"/>
          <w:pgSz w:w="11900" w:h="16820"/>
          <w:pgMar w:top="1267" w:right="1454" w:bottom="990" w:left="1526" w:header="360" w:footer="360" w:gutter="0"/>
          <w:pgNumType w:start="1"/>
          <w:cols w:space="720"/>
        </w:sectPr>
      </w:pPr>
    </w:p>
    <w:p w14:paraId="1CA6D899" w14:textId="77777777" w:rsidR="00D07715" w:rsidRDefault="00000000">
      <w:pPr>
        <w:pBdr>
          <w:top w:val="nil"/>
          <w:left w:val="nil"/>
          <w:bottom w:val="nil"/>
          <w:right w:val="nil"/>
          <w:between w:val="nil"/>
        </w:pBdr>
        <w:shd w:val="clear" w:color="auto" w:fill="BD0014"/>
        <w:tabs>
          <w:tab w:val="left" w:pos="270"/>
          <w:tab w:val="left" w:pos="630"/>
        </w:tabs>
        <w:spacing w:before="40" w:after="40"/>
        <w:ind w:left="547" w:hanging="547"/>
        <w:rPr>
          <w:rFonts w:ascii="Arial" w:eastAsia="Arial" w:hAnsi="Arial" w:cs="Arial"/>
          <w:b/>
          <w:smallCaps/>
          <w:color w:val="FFFFFF"/>
          <w:sz w:val="30"/>
          <w:szCs w:val="30"/>
        </w:rPr>
      </w:pPr>
      <w:bookmarkStart w:id="0" w:name="_heading=h.gjdgxs" w:colFirst="0" w:colLast="0"/>
      <w:bookmarkEnd w:id="0"/>
      <w:r>
        <w:rPr>
          <w:rFonts w:ascii="Arial" w:eastAsia="Arial" w:hAnsi="Arial" w:cs="Arial"/>
          <w:b/>
          <w:smallCaps/>
          <w:color w:val="FFFFFF"/>
          <w:sz w:val="30"/>
          <w:szCs w:val="30"/>
        </w:rPr>
        <w:lastRenderedPageBreak/>
        <w:t>Table of Contents</w:t>
      </w:r>
    </w:p>
    <w:p w14:paraId="47D03442" w14:textId="77777777" w:rsidR="00D07715" w:rsidRPr="002C5B71" w:rsidRDefault="00D07715">
      <w:pPr>
        <w:rPr>
          <w:rFonts w:ascii="Arial" w:eastAsia="Arial" w:hAnsi="Arial" w:cs="Arial"/>
          <w:color w:val="FFFFFF"/>
        </w:rPr>
      </w:pPr>
    </w:p>
    <w:sdt>
      <w:sdtPr>
        <w:rPr>
          <w:rFonts w:ascii="Times New Roman" w:hAnsi="Times New Roman" w:cs="Times New Roman"/>
          <w:b w:val="0"/>
          <w:bCs w:val="0"/>
          <w:i w:val="0"/>
          <w:iCs w:val="0"/>
          <w:szCs w:val="24"/>
        </w:rPr>
        <w:id w:val="1987740823"/>
        <w:docPartObj>
          <w:docPartGallery w:val="Table of Contents"/>
          <w:docPartUnique/>
        </w:docPartObj>
      </w:sdtPr>
      <w:sdtContent>
        <w:p w14:paraId="15CDF0B8" w14:textId="7BFD045F" w:rsidR="008C1050" w:rsidRDefault="00000000" w:rsidP="008C1050">
          <w:pPr>
            <w:pStyle w:val="TOC1"/>
            <w:rPr>
              <w:rFonts w:eastAsiaTheme="minorEastAsia" w:cstheme="minorBidi"/>
              <w:noProof/>
              <w:kern w:val="2"/>
              <w:szCs w:val="24"/>
              <w:lang w:eastAsia="en-US"/>
              <w14:ligatures w14:val="standardContextual"/>
            </w:rPr>
          </w:pPr>
          <w:r>
            <w:fldChar w:fldCharType="begin"/>
          </w:r>
          <w:r>
            <w:instrText xml:space="preserve"> TOC \h \u \z \t "Heading 1,1,Heading 2,2,Heading 3,3,"</w:instrText>
          </w:r>
          <w:r>
            <w:fldChar w:fldCharType="separate"/>
          </w:r>
          <w:hyperlink w:anchor="_Toc163864098" w:history="1">
            <w:r w:rsidR="008C1050" w:rsidRPr="00183339">
              <w:rPr>
                <w:rStyle w:val="Hyperlink"/>
                <w:rFonts w:ascii="Arial" w:hAnsi="Arial" w:cs="Arial"/>
                <w:noProof/>
              </w:rPr>
              <w:t>A. INTRODUCTION</w:t>
            </w:r>
            <w:r w:rsidR="008C1050">
              <w:rPr>
                <w:noProof/>
                <w:webHidden/>
              </w:rPr>
              <w:tab/>
            </w:r>
            <w:r w:rsidR="008C1050">
              <w:rPr>
                <w:noProof/>
                <w:webHidden/>
              </w:rPr>
              <w:fldChar w:fldCharType="begin"/>
            </w:r>
            <w:r w:rsidR="008C1050">
              <w:rPr>
                <w:noProof/>
                <w:webHidden/>
              </w:rPr>
              <w:instrText xml:space="preserve"> PAGEREF _Toc163864098 \h </w:instrText>
            </w:r>
            <w:r w:rsidR="008C1050">
              <w:rPr>
                <w:noProof/>
                <w:webHidden/>
              </w:rPr>
            </w:r>
            <w:r w:rsidR="008C1050">
              <w:rPr>
                <w:noProof/>
                <w:webHidden/>
              </w:rPr>
              <w:fldChar w:fldCharType="separate"/>
            </w:r>
            <w:r w:rsidR="008C1050">
              <w:rPr>
                <w:noProof/>
                <w:webHidden/>
              </w:rPr>
              <w:t>3</w:t>
            </w:r>
            <w:r w:rsidR="008C1050">
              <w:rPr>
                <w:noProof/>
                <w:webHidden/>
              </w:rPr>
              <w:fldChar w:fldCharType="end"/>
            </w:r>
          </w:hyperlink>
        </w:p>
        <w:p w14:paraId="189882D6" w14:textId="499CC382" w:rsidR="008C1050" w:rsidRDefault="00000000" w:rsidP="008C1050">
          <w:pPr>
            <w:pStyle w:val="TOC1"/>
            <w:rPr>
              <w:rFonts w:eastAsiaTheme="minorEastAsia" w:cstheme="minorBidi"/>
              <w:noProof/>
              <w:kern w:val="2"/>
              <w:szCs w:val="24"/>
              <w:lang w:eastAsia="en-US"/>
              <w14:ligatures w14:val="standardContextual"/>
            </w:rPr>
          </w:pPr>
          <w:hyperlink w:anchor="_Toc163864099" w:history="1">
            <w:r w:rsidR="008C1050" w:rsidRPr="00183339">
              <w:rPr>
                <w:rStyle w:val="Hyperlink"/>
                <w:rFonts w:ascii="Arial" w:hAnsi="Arial" w:cs="Arial"/>
                <w:noProof/>
              </w:rPr>
              <w:t>B. BACKGROUND, LEGAL FRAMEWORK AND CONTEXT</w:t>
            </w:r>
            <w:r w:rsidR="008C1050">
              <w:rPr>
                <w:noProof/>
                <w:webHidden/>
              </w:rPr>
              <w:tab/>
            </w:r>
            <w:r w:rsidR="008C1050">
              <w:rPr>
                <w:noProof/>
                <w:webHidden/>
              </w:rPr>
              <w:fldChar w:fldCharType="begin"/>
            </w:r>
            <w:r w:rsidR="008C1050">
              <w:rPr>
                <w:noProof/>
                <w:webHidden/>
              </w:rPr>
              <w:instrText xml:space="preserve"> PAGEREF _Toc163864099 \h </w:instrText>
            </w:r>
            <w:r w:rsidR="008C1050">
              <w:rPr>
                <w:noProof/>
                <w:webHidden/>
              </w:rPr>
            </w:r>
            <w:r w:rsidR="008C1050">
              <w:rPr>
                <w:noProof/>
                <w:webHidden/>
              </w:rPr>
              <w:fldChar w:fldCharType="separate"/>
            </w:r>
            <w:r w:rsidR="008C1050">
              <w:rPr>
                <w:noProof/>
                <w:webHidden/>
              </w:rPr>
              <w:t>3</w:t>
            </w:r>
            <w:r w:rsidR="008C1050">
              <w:rPr>
                <w:noProof/>
                <w:webHidden/>
              </w:rPr>
              <w:fldChar w:fldCharType="end"/>
            </w:r>
          </w:hyperlink>
        </w:p>
        <w:p w14:paraId="2DE003DD" w14:textId="382729F0" w:rsidR="008C1050" w:rsidRDefault="00000000" w:rsidP="008C1050">
          <w:pPr>
            <w:pStyle w:val="TOC1"/>
            <w:rPr>
              <w:rFonts w:eastAsiaTheme="minorEastAsia" w:cstheme="minorBidi"/>
              <w:noProof/>
              <w:kern w:val="2"/>
              <w:szCs w:val="24"/>
              <w:lang w:eastAsia="en-US"/>
              <w14:ligatures w14:val="standardContextual"/>
            </w:rPr>
          </w:pPr>
          <w:hyperlink w:anchor="_Toc163864100" w:history="1">
            <w:r w:rsidR="008C1050" w:rsidRPr="00183339">
              <w:rPr>
                <w:rStyle w:val="Hyperlink"/>
                <w:rFonts w:ascii="Arial" w:hAnsi="Arial" w:cs="Arial"/>
                <w:noProof/>
              </w:rPr>
              <w:t>C. KEY ISSUES AND RECOMMENDATIONS</w:t>
            </w:r>
            <w:r w:rsidR="008C1050">
              <w:rPr>
                <w:noProof/>
                <w:webHidden/>
              </w:rPr>
              <w:tab/>
            </w:r>
            <w:r w:rsidR="008C1050">
              <w:rPr>
                <w:noProof/>
                <w:webHidden/>
              </w:rPr>
              <w:fldChar w:fldCharType="begin"/>
            </w:r>
            <w:r w:rsidR="008C1050">
              <w:rPr>
                <w:noProof/>
                <w:webHidden/>
              </w:rPr>
              <w:instrText xml:space="preserve"> PAGEREF _Toc163864100 \h </w:instrText>
            </w:r>
            <w:r w:rsidR="008C1050">
              <w:rPr>
                <w:noProof/>
                <w:webHidden/>
              </w:rPr>
            </w:r>
            <w:r w:rsidR="008C1050">
              <w:rPr>
                <w:noProof/>
                <w:webHidden/>
              </w:rPr>
              <w:fldChar w:fldCharType="separate"/>
            </w:r>
            <w:r w:rsidR="008C1050">
              <w:rPr>
                <w:noProof/>
                <w:webHidden/>
              </w:rPr>
              <w:t>5</w:t>
            </w:r>
            <w:r w:rsidR="008C1050">
              <w:rPr>
                <w:noProof/>
                <w:webHidden/>
              </w:rPr>
              <w:fldChar w:fldCharType="end"/>
            </w:r>
          </w:hyperlink>
        </w:p>
        <w:p w14:paraId="06011100" w14:textId="01EA9FEA"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1" w:history="1">
            <w:r w:rsidR="008C1050" w:rsidRPr="00183339">
              <w:rPr>
                <w:rStyle w:val="Hyperlink"/>
                <w:rFonts w:ascii="Arial" w:hAnsi="Arial" w:cs="Arial"/>
                <w:noProof/>
              </w:rPr>
              <w:t>1.</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Gender-Based Violence</w:t>
            </w:r>
            <w:r w:rsidR="008C1050">
              <w:rPr>
                <w:noProof/>
                <w:webHidden/>
              </w:rPr>
              <w:tab/>
            </w:r>
            <w:r w:rsidR="008C1050">
              <w:rPr>
                <w:noProof/>
                <w:webHidden/>
              </w:rPr>
              <w:fldChar w:fldCharType="begin"/>
            </w:r>
            <w:r w:rsidR="008C1050">
              <w:rPr>
                <w:noProof/>
                <w:webHidden/>
              </w:rPr>
              <w:instrText xml:space="preserve"> PAGEREF _Toc163864101 \h </w:instrText>
            </w:r>
            <w:r w:rsidR="008C1050">
              <w:rPr>
                <w:noProof/>
                <w:webHidden/>
              </w:rPr>
            </w:r>
            <w:r w:rsidR="008C1050">
              <w:rPr>
                <w:noProof/>
                <w:webHidden/>
              </w:rPr>
              <w:fldChar w:fldCharType="separate"/>
            </w:r>
            <w:r w:rsidR="008C1050">
              <w:rPr>
                <w:noProof/>
                <w:webHidden/>
              </w:rPr>
              <w:t>5</w:t>
            </w:r>
            <w:r w:rsidR="008C1050">
              <w:rPr>
                <w:noProof/>
                <w:webHidden/>
              </w:rPr>
              <w:fldChar w:fldCharType="end"/>
            </w:r>
          </w:hyperlink>
        </w:p>
        <w:p w14:paraId="71F5ED10" w14:textId="39D2F1EF"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2" w:history="1">
            <w:r w:rsidR="008C1050" w:rsidRPr="00183339">
              <w:rPr>
                <w:rStyle w:val="Hyperlink"/>
                <w:rFonts w:ascii="Arial" w:hAnsi="Arial" w:cs="Arial"/>
                <w:noProof/>
              </w:rPr>
              <w:t>2.</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Women’s Legal Capacity to Enter into Marriage</w:t>
            </w:r>
            <w:r w:rsidR="008C1050">
              <w:rPr>
                <w:noProof/>
                <w:webHidden/>
              </w:rPr>
              <w:tab/>
            </w:r>
            <w:r w:rsidR="008C1050">
              <w:rPr>
                <w:noProof/>
                <w:webHidden/>
              </w:rPr>
              <w:fldChar w:fldCharType="begin"/>
            </w:r>
            <w:r w:rsidR="008C1050">
              <w:rPr>
                <w:noProof/>
                <w:webHidden/>
              </w:rPr>
              <w:instrText xml:space="preserve"> PAGEREF _Toc163864102 \h </w:instrText>
            </w:r>
            <w:r w:rsidR="008C1050">
              <w:rPr>
                <w:noProof/>
                <w:webHidden/>
              </w:rPr>
            </w:r>
            <w:r w:rsidR="008C1050">
              <w:rPr>
                <w:noProof/>
                <w:webHidden/>
              </w:rPr>
              <w:fldChar w:fldCharType="separate"/>
            </w:r>
            <w:r w:rsidR="008C1050">
              <w:rPr>
                <w:noProof/>
                <w:webHidden/>
              </w:rPr>
              <w:t>8</w:t>
            </w:r>
            <w:r w:rsidR="008C1050">
              <w:rPr>
                <w:noProof/>
                <w:webHidden/>
              </w:rPr>
              <w:fldChar w:fldCharType="end"/>
            </w:r>
          </w:hyperlink>
        </w:p>
        <w:p w14:paraId="02946445" w14:textId="3742F1F7"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3" w:history="1">
            <w:r w:rsidR="008C1050" w:rsidRPr="00183339">
              <w:rPr>
                <w:rStyle w:val="Hyperlink"/>
                <w:rFonts w:ascii="Arial" w:hAnsi="Arial" w:cs="Arial"/>
                <w:noProof/>
              </w:rPr>
              <w:t>3.</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Early and Child Marriage</w:t>
            </w:r>
            <w:r w:rsidR="008C1050">
              <w:rPr>
                <w:noProof/>
                <w:webHidden/>
              </w:rPr>
              <w:tab/>
            </w:r>
            <w:r w:rsidR="008C1050">
              <w:rPr>
                <w:noProof/>
                <w:webHidden/>
              </w:rPr>
              <w:fldChar w:fldCharType="begin"/>
            </w:r>
            <w:r w:rsidR="008C1050">
              <w:rPr>
                <w:noProof/>
                <w:webHidden/>
              </w:rPr>
              <w:instrText xml:space="preserve"> PAGEREF _Toc163864103 \h </w:instrText>
            </w:r>
            <w:r w:rsidR="008C1050">
              <w:rPr>
                <w:noProof/>
                <w:webHidden/>
              </w:rPr>
            </w:r>
            <w:r w:rsidR="008C1050">
              <w:rPr>
                <w:noProof/>
                <w:webHidden/>
              </w:rPr>
              <w:fldChar w:fldCharType="separate"/>
            </w:r>
            <w:r w:rsidR="008C1050">
              <w:rPr>
                <w:noProof/>
                <w:webHidden/>
              </w:rPr>
              <w:t>9</w:t>
            </w:r>
            <w:r w:rsidR="008C1050">
              <w:rPr>
                <w:noProof/>
                <w:webHidden/>
              </w:rPr>
              <w:fldChar w:fldCharType="end"/>
            </w:r>
          </w:hyperlink>
        </w:p>
        <w:p w14:paraId="11D75C4C" w14:textId="7EDB2795"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4" w:history="1">
            <w:r w:rsidR="008C1050" w:rsidRPr="00183339">
              <w:rPr>
                <w:rStyle w:val="Hyperlink"/>
                <w:rFonts w:ascii="Arial" w:hAnsi="Arial" w:cs="Arial"/>
                <w:noProof/>
              </w:rPr>
              <w:t>4.</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Discrimination in Divorce Rights</w:t>
            </w:r>
            <w:r w:rsidR="008C1050">
              <w:rPr>
                <w:noProof/>
                <w:webHidden/>
              </w:rPr>
              <w:tab/>
            </w:r>
            <w:r w:rsidR="008C1050">
              <w:rPr>
                <w:noProof/>
                <w:webHidden/>
              </w:rPr>
              <w:fldChar w:fldCharType="begin"/>
            </w:r>
            <w:r w:rsidR="008C1050">
              <w:rPr>
                <w:noProof/>
                <w:webHidden/>
              </w:rPr>
              <w:instrText xml:space="preserve"> PAGEREF _Toc163864104 \h </w:instrText>
            </w:r>
            <w:r w:rsidR="008C1050">
              <w:rPr>
                <w:noProof/>
                <w:webHidden/>
              </w:rPr>
            </w:r>
            <w:r w:rsidR="008C1050">
              <w:rPr>
                <w:noProof/>
                <w:webHidden/>
              </w:rPr>
              <w:fldChar w:fldCharType="separate"/>
            </w:r>
            <w:r w:rsidR="008C1050">
              <w:rPr>
                <w:noProof/>
                <w:webHidden/>
              </w:rPr>
              <w:t>11</w:t>
            </w:r>
            <w:r w:rsidR="008C1050">
              <w:rPr>
                <w:noProof/>
                <w:webHidden/>
              </w:rPr>
              <w:fldChar w:fldCharType="end"/>
            </w:r>
          </w:hyperlink>
        </w:p>
        <w:p w14:paraId="0DFC900E" w14:textId="74F3AB28"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5" w:history="1">
            <w:r w:rsidR="008C1050" w:rsidRPr="00183339">
              <w:rPr>
                <w:rStyle w:val="Hyperlink"/>
                <w:rFonts w:ascii="Arial" w:hAnsi="Arial" w:cs="Arial"/>
                <w:noProof/>
              </w:rPr>
              <w:t>5.</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Custody and Guardianship of Children</w:t>
            </w:r>
            <w:r w:rsidR="008C1050">
              <w:rPr>
                <w:noProof/>
                <w:webHidden/>
              </w:rPr>
              <w:tab/>
            </w:r>
            <w:r w:rsidR="008C1050">
              <w:rPr>
                <w:noProof/>
                <w:webHidden/>
              </w:rPr>
              <w:fldChar w:fldCharType="begin"/>
            </w:r>
            <w:r w:rsidR="008C1050">
              <w:rPr>
                <w:noProof/>
                <w:webHidden/>
              </w:rPr>
              <w:instrText xml:space="preserve"> PAGEREF _Toc163864105 \h </w:instrText>
            </w:r>
            <w:r w:rsidR="008C1050">
              <w:rPr>
                <w:noProof/>
                <w:webHidden/>
              </w:rPr>
            </w:r>
            <w:r w:rsidR="008C1050">
              <w:rPr>
                <w:noProof/>
                <w:webHidden/>
              </w:rPr>
              <w:fldChar w:fldCharType="separate"/>
            </w:r>
            <w:r w:rsidR="008C1050">
              <w:rPr>
                <w:noProof/>
                <w:webHidden/>
              </w:rPr>
              <w:t>13</w:t>
            </w:r>
            <w:r w:rsidR="008C1050">
              <w:rPr>
                <w:noProof/>
                <w:webHidden/>
              </w:rPr>
              <w:fldChar w:fldCharType="end"/>
            </w:r>
          </w:hyperlink>
        </w:p>
        <w:p w14:paraId="2D2F154C" w14:textId="4E22836A" w:rsidR="008C1050" w:rsidRDefault="00000000">
          <w:pPr>
            <w:pStyle w:val="TOC2"/>
            <w:tabs>
              <w:tab w:val="left" w:pos="720"/>
              <w:tab w:val="right" w:leader="dot" w:pos="8910"/>
            </w:tabs>
            <w:rPr>
              <w:rFonts w:eastAsiaTheme="minorEastAsia" w:cstheme="minorBidi"/>
              <w:b w:val="0"/>
              <w:bCs w:val="0"/>
              <w:noProof/>
              <w:kern w:val="2"/>
              <w:sz w:val="24"/>
              <w:szCs w:val="24"/>
              <w:lang w:eastAsia="en-US"/>
              <w14:ligatures w14:val="standardContextual"/>
            </w:rPr>
          </w:pPr>
          <w:hyperlink w:anchor="_Toc163864106" w:history="1">
            <w:r w:rsidR="008C1050" w:rsidRPr="00183339">
              <w:rPr>
                <w:rStyle w:val="Hyperlink"/>
                <w:rFonts w:ascii="Arial" w:hAnsi="Arial" w:cs="Arial"/>
                <w:noProof/>
              </w:rPr>
              <w:t>6.</w:t>
            </w:r>
            <w:r w:rsidR="008C1050">
              <w:rPr>
                <w:rFonts w:eastAsiaTheme="minorEastAsia" w:cstheme="minorBidi"/>
                <w:b w:val="0"/>
                <w:bCs w:val="0"/>
                <w:noProof/>
                <w:kern w:val="2"/>
                <w:sz w:val="24"/>
                <w:szCs w:val="24"/>
                <w:lang w:eastAsia="en-US"/>
                <w14:ligatures w14:val="standardContextual"/>
              </w:rPr>
              <w:tab/>
            </w:r>
            <w:r w:rsidR="008C1050" w:rsidRPr="00183339">
              <w:rPr>
                <w:rStyle w:val="Hyperlink"/>
                <w:rFonts w:ascii="Arial" w:hAnsi="Arial" w:cs="Arial"/>
                <w:noProof/>
              </w:rPr>
              <w:t>Nationality</w:t>
            </w:r>
            <w:r w:rsidR="008C1050">
              <w:rPr>
                <w:noProof/>
                <w:webHidden/>
              </w:rPr>
              <w:tab/>
            </w:r>
            <w:r w:rsidR="008C1050">
              <w:rPr>
                <w:noProof/>
                <w:webHidden/>
              </w:rPr>
              <w:fldChar w:fldCharType="begin"/>
            </w:r>
            <w:r w:rsidR="008C1050">
              <w:rPr>
                <w:noProof/>
                <w:webHidden/>
              </w:rPr>
              <w:instrText xml:space="preserve"> PAGEREF _Toc163864106 \h </w:instrText>
            </w:r>
            <w:r w:rsidR="008C1050">
              <w:rPr>
                <w:noProof/>
                <w:webHidden/>
              </w:rPr>
            </w:r>
            <w:r w:rsidR="008C1050">
              <w:rPr>
                <w:noProof/>
                <w:webHidden/>
              </w:rPr>
              <w:fldChar w:fldCharType="separate"/>
            </w:r>
            <w:r w:rsidR="008C1050">
              <w:rPr>
                <w:noProof/>
                <w:webHidden/>
              </w:rPr>
              <w:t>13</w:t>
            </w:r>
            <w:r w:rsidR="008C1050">
              <w:rPr>
                <w:noProof/>
                <w:webHidden/>
              </w:rPr>
              <w:fldChar w:fldCharType="end"/>
            </w:r>
          </w:hyperlink>
        </w:p>
        <w:p w14:paraId="5F77B9C6" w14:textId="0250BE88" w:rsidR="00D07715" w:rsidRDefault="00000000">
          <w:pPr>
            <w:widowControl w:val="0"/>
            <w:tabs>
              <w:tab w:val="right" w:pos="12000"/>
            </w:tabs>
            <w:spacing w:before="60"/>
            <w:ind w:left="360"/>
            <w:rPr>
              <w:rFonts w:ascii="Arial" w:eastAsia="Arial" w:hAnsi="Arial" w:cs="Arial"/>
              <w:color w:val="000000"/>
              <w:sz w:val="22"/>
              <w:szCs w:val="22"/>
            </w:rPr>
          </w:pPr>
          <w:r>
            <w:fldChar w:fldCharType="end"/>
          </w:r>
        </w:p>
      </w:sdtContent>
    </w:sdt>
    <w:p w14:paraId="434CCEA9" w14:textId="68584403" w:rsidR="00D07715" w:rsidRDefault="00D07715">
      <w:pPr>
        <w:rPr>
          <w:rFonts w:ascii="Arial" w:eastAsia="Arial" w:hAnsi="Arial" w:cs="Arial"/>
          <w:color w:val="FFFFFF"/>
          <w:sz w:val="28"/>
          <w:szCs w:val="28"/>
        </w:rPr>
      </w:pPr>
    </w:p>
    <w:p w14:paraId="74A10242" w14:textId="77777777" w:rsidR="00D07715" w:rsidRDefault="00D07715">
      <w:pPr>
        <w:rPr>
          <w:rFonts w:ascii="Arial" w:eastAsia="Arial" w:hAnsi="Arial" w:cs="Arial"/>
          <w:color w:val="FFFFFF"/>
          <w:sz w:val="28"/>
          <w:szCs w:val="28"/>
        </w:rPr>
      </w:pPr>
    </w:p>
    <w:p w14:paraId="5FE08826" w14:textId="77777777" w:rsidR="00D07715" w:rsidRDefault="00D07715">
      <w:pPr>
        <w:rPr>
          <w:rFonts w:ascii="Arial" w:eastAsia="Arial" w:hAnsi="Arial" w:cs="Arial"/>
          <w:b/>
          <w:i/>
          <w:color w:val="0563C1"/>
          <w:sz w:val="18"/>
          <w:szCs w:val="18"/>
          <w:u w:val="single"/>
        </w:rPr>
      </w:pPr>
    </w:p>
    <w:p w14:paraId="43D4027B" w14:textId="77777777" w:rsidR="00D07715" w:rsidRDefault="00D07715">
      <w:pPr>
        <w:rPr>
          <w:rFonts w:ascii="Arial" w:eastAsia="Arial" w:hAnsi="Arial" w:cs="Arial"/>
          <w:color w:val="FFFFFF"/>
          <w:sz w:val="28"/>
          <w:szCs w:val="28"/>
        </w:rPr>
      </w:pPr>
    </w:p>
    <w:p w14:paraId="376FF902" w14:textId="77777777" w:rsidR="00D07715" w:rsidRDefault="00D07715">
      <w:pPr>
        <w:rPr>
          <w:rFonts w:ascii="Arial" w:eastAsia="Arial" w:hAnsi="Arial" w:cs="Arial"/>
          <w:color w:val="FFFFFF"/>
          <w:sz w:val="28"/>
          <w:szCs w:val="28"/>
        </w:rPr>
      </w:pPr>
    </w:p>
    <w:p w14:paraId="5DB090C6" w14:textId="77777777" w:rsidR="00D07715" w:rsidRDefault="00D07715">
      <w:pPr>
        <w:rPr>
          <w:rFonts w:ascii="Arial" w:eastAsia="Arial" w:hAnsi="Arial" w:cs="Arial"/>
          <w:color w:val="FFFFFF"/>
          <w:sz w:val="28"/>
          <w:szCs w:val="28"/>
        </w:rPr>
      </w:pPr>
    </w:p>
    <w:p w14:paraId="59AEEDF8" w14:textId="77777777" w:rsidR="00D07715" w:rsidRDefault="00D07715">
      <w:pPr>
        <w:rPr>
          <w:rFonts w:ascii="Arial" w:eastAsia="Arial" w:hAnsi="Arial" w:cs="Arial"/>
          <w:color w:val="FFFFFF"/>
          <w:sz w:val="28"/>
          <w:szCs w:val="28"/>
        </w:rPr>
      </w:pPr>
    </w:p>
    <w:p w14:paraId="26EC2E78" w14:textId="77777777" w:rsidR="00D07715" w:rsidRDefault="00000000">
      <w:pPr>
        <w:rPr>
          <w:rFonts w:ascii="Arial" w:eastAsia="Arial" w:hAnsi="Arial" w:cs="Arial"/>
          <w:b/>
          <w:smallCaps/>
          <w:color w:val="FFFFFF"/>
          <w:sz w:val="28"/>
          <w:szCs w:val="28"/>
        </w:rPr>
      </w:pPr>
      <w:r>
        <w:br w:type="page"/>
      </w:r>
    </w:p>
    <w:p w14:paraId="4DBF703C" w14:textId="77777777" w:rsidR="00D07715" w:rsidRDefault="00000000" w:rsidP="00710B9A">
      <w:pPr>
        <w:pStyle w:val="Heading1"/>
        <w:spacing w:after="20"/>
        <w:ind w:left="547" w:hanging="547"/>
        <w:rPr>
          <w:rFonts w:ascii="Arial" w:hAnsi="Arial" w:cs="Arial"/>
        </w:rPr>
      </w:pPr>
      <w:bookmarkStart w:id="1" w:name="_Toc163864098"/>
      <w:r>
        <w:rPr>
          <w:rFonts w:ascii="Arial" w:hAnsi="Arial" w:cs="Arial"/>
        </w:rPr>
        <w:lastRenderedPageBreak/>
        <w:t>A. INTRODUCTION</w:t>
      </w:r>
      <w:bookmarkEnd w:id="1"/>
      <w:r>
        <w:rPr>
          <w:rFonts w:ascii="Arial" w:hAnsi="Arial" w:cs="Arial"/>
        </w:rPr>
        <w:tab/>
      </w:r>
    </w:p>
    <w:p w14:paraId="66A67FEF" w14:textId="77777777" w:rsidR="00660302" w:rsidRDefault="00660302" w:rsidP="00660302">
      <w:pPr>
        <w:pBdr>
          <w:top w:val="nil"/>
          <w:left w:val="nil"/>
          <w:bottom w:val="nil"/>
          <w:right w:val="nil"/>
          <w:between w:val="nil"/>
        </w:pBdr>
        <w:jc w:val="both"/>
        <w:rPr>
          <w:rFonts w:ascii="Arial" w:eastAsia="Arial" w:hAnsi="Arial" w:cs="Arial"/>
          <w:bCs/>
          <w:color w:val="000000"/>
          <w:sz w:val="20"/>
          <w:szCs w:val="20"/>
        </w:rPr>
      </w:pPr>
    </w:p>
    <w:p w14:paraId="6EF80E62" w14:textId="330BD99A" w:rsidR="00326C72" w:rsidRPr="00326C72" w:rsidRDefault="00C57D75" w:rsidP="00326C72">
      <w:pPr>
        <w:pBdr>
          <w:top w:val="nil"/>
          <w:left w:val="nil"/>
          <w:bottom w:val="nil"/>
          <w:right w:val="nil"/>
          <w:between w:val="nil"/>
        </w:pBdr>
        <w:jc w:val="both"/>
        <w:rPr>
          <w:rFonts w:ascii="Arial" w:eastAsia="Arial" w:hAnsi="Arial" w:cs="Arial"/>
          <w:color w:val="000000"/>
          <w:sz w:val="20"/>
          <w:szCs w:val="20"/>
        </w:rPr>
      </w:pPr>
      <w:r w:rsidRPr="00BB1525">
        <w:rPr>
          <w:rFonts w:ascii="Arial" w:eastAsia="Arial" w:hAnsi="Arial" w:cs="Arial"/>
          <w:bCs/>
          <w:color w:val="000000"/>
          <w:sz w:val="20"/>
          <w:szCs w:val="20"/>
        </w:rPr>
        <w:t>Abolish 153 Campaign</w:t>
      </w:r>
      <w:r w:rsidR="0026794E" w:rsidRPr="0026794E">
        <w:rPr>
          <w:rFonts w:ascii="Arial" w:eastAsia="Arial" w:hAnsi="Arial" w:cs="Arial"/>
          <w:bCs/>
          <w:color w:val="000000"/>
          <w:sz w:val="20"/>
          <w:szCs w:val="20"/>
        </w:rPr>
        <w:t>,</w:t>
      </w:r>
      <w:r w:rsidR="0026794E" w:rsidRPr="005D5274">
        <w:rPr>
          <w:rFonts w:ascii="Arial" w:eastAsia="Arial" w:hAnsi="Arial" w:cs="Arial"/>
          <w:bCs/>
          <w:color w:val="000000"/>
          <w:sz w:val="20"/>
          <w:szCs w:val="20"/>
        </w:rPr>
        <w:t xml:space="preserve"> the Program on Law and Society in the Muslim World</w:t>
      </w:r>
      <w:r w:rsidR="005D7633">
        <w:rPr>
          <w:rFonts w:ascii="Arial" w:eastAsia="Arial" w:hAnsi="Arial" w:cs="Arial"/>
          <w:bCs/>
          <w:color w:val="000000"/>
          <w:sz w:val="20"/>
          <w:szCs w:val="20"/>
        </w:rPr>
        <w:t xml:space="preserve"> at Harvard Law School,</w:t>
      </w:r>
      <w:r w:rsidR="00326C72">
        <w:rPr>
          <w:rFonts w:ascii="Arial" w:eastAsia="Arial" w:hAnsi="Arial" w:cs="Arial"/>
          <w:bCs/>
          <w:color w:val="000000"/>
          <w:sz w:val="20"/>
          <w:szCs w:val="20"/>
        </w:rPr>
        <w:t xml:space="preserve"> and Musawah </w:t>
      </w:r>
      <w:r w:rsidRPr="00BB1525">
        <w:rPr>
          <w:rFonts w:ascii="Arial" w:eastAsia="Arial" w:hAnsi="Arial" w:cs="Arial"/>
          <w:bCs/>
          <w:color w:val="000000"/>
          <w:sz w:val="20"/>
          <w:szCs w:val="20"/>
        </w:rPr>
        <w:t xml:space="preserve">submit this </w:t>
      </w:r>
      <w:r w:rsidR="005D7633">
        <w:rPr>
          <w:rFonts w:ascii="Arial" w:eastAsia="Arial" w:hAnsi="Arial" w:cs="Arial"/>
          <w:bCs/>
          <w:color w:val="000000"/>
          <w:sz w:val="20"/>
          <w:szCs w:val="20"/>
        </w:rPr>
        <w:t xml:space="preserve">joint </w:t>
      </w:r>
      <w:r w:rsidRPr="00BB1525">
        <w:rPr>
          <w:rFonts w:ascii="Arial" w:eastAsia="Arial" w:hAnsi="Arial" w:cs="Arial"/>
          <w:bCs/>
          <w:color w:val="000000"/>
          <w:sz w:val="20"/>
          <w:szCs w:val="20"/>
        </w:rPr>
        <w:t>Thematic Report on Article 16</w:t>
      </w:r>
      <w:r w:rsidRPr="00BB1525">
        <w:rPr>
          <w:rFonts w:ascii="Arial" w:eastAsia="Arial" w:hAnsi="Arial" w:cs="Arial"/>
          <w:bCs/>
          <w:color w:val="000000"/>
          <w:sz w:val="20"/>
          <w:szCs w:val="20"/>
          <w:vertAlign w:val="superscript"/>
        </w:rPr>
        <w:t xml:space="preserve"> </w:t>
      </w:r>
      <w:r w:rsidRPr="00BB1525">
        <w:rPr>
          <w:rFonts w:ascii="Arial" w:eastAsia="Arial" w:hAnsi="Arial" w:cs="Arial"/>
          <w:bCs/>
          <w:color w:val="000000"/>
          <w:sz w:val="20"/>
          <w:szCs w:val="20"/>
        </w:rPr>
        <w:t>and related concerns for consideration by the CEDAW Committee in its review of the Government of Kuwait, reporting before the 88</w:t>
      </w:r>
      <w:r w:rsidRPr="00BB1525">
        <w:rPr>
          <w:rFonts w:ascii="Arial" w:eastAsia="Arial" w:hAnsi="Arial" w:cs="Arial"/>
          <w:bCs/>
          <w:color w:val="000000"/>
          <w:sz w:val="20"/>
          <w:szCs w:val="20"/>
          <w:vertAlign w:val="superscript"/>
        </w:rPr>
        <w:t>th</w:t>
      </w:r>
      <w:r w:rsidRPr="00BB1525">
        <w:rPr>
          <w:rFonts w:ascii="Arial" w:eastAsia="Arial" w:hAnsi="Arial" w:cs="Arial"/>
          <w:bCs/>
          <w:color w:val="000000"/>
          <w:sz w:val="20"/>
          <w:szCs w:val="20"/>
        </w:rPr>
        <w:t xml:space="preserve"> Session of the CEDAW Committee in May 2024.</w:t>
      </w:r>
      <w:r w:rsidR="00326C72">
        <w:rPr>
          <w:rFonts w:ascii="Arial" w:eastAsia="Arial" w:hAnsi="Arial" w:cs="Arial"/>
          <w:bCs/>
          <w:color w:val="000000"/>
          <w:sz w:val="20"/>
          <w:szCs w:val="20"/>
        </w:rPr>
        <w:t xml:space="preserve"> </w:t>
      </w:r>
      <w:r w:rsidR="00326C72" w:rsidRPr="00BB1525">
        <w:rPr>
          <w:rFonts w:ascii="Arial" w:eastAsia="Arial" w:hAnsi="Arial" w:cs="Arial"/>
          <w:color w:val="000000"/>
          <w:sz w:val="20"/>
          <w:szCs w:val="20"/>
        </w:rPr>
        <w:t xml:space="preserve">We hope that the CEDAW Committee will utilize this report as a key resource during its constructive engagement with the State Party and use the recommendations to identify follow-up issues in its Concluding Observations. </w:t>
      </w:r>
    </w:p>
    <w:p w14:paraId="4419AF59" w14:textId="77777777" w:rsidR="00326C72" w:rsidRDefault="00326C72" w:rsidP="00660302">
      <w:pPr>
        <w:pBdr>
          <w:top w:val="nil"/>
          <w:left w:val="nil"/>
          <w:bottom w:val="nil"/>
          <w:right w:val="nil"/>
          <w:between w:val="nil"/>
        </w:pBdr>
        <w:jc w:val="both"/>
        <w:rPr>
          <w:rFonts w:ascii="Arial" w:eastAsia="Arial" w:hAnsi="Arial" w:cs="Arial"/>
          <w:bCs/>
          <w:color w:val="000000"/>
          <w:sz w:val="20"/>
          <w:szCs w:val="20"/>
        </w:rPr>
      </w:pPr>
    </w:p>
    <w:p w14:paraId="2022D3B8" w14:textId="4C3933CC" w:rsidR="00D07715" w:rsidRPr="00326C72" w:rsidRDefault="00C57D75" w:rsidP="00326C72">
      <w:pPr>
        <w:pBdr>
          <w:top w:val="nil"/>
          <w:left w:val="nil"/>
          <w:bottom w:val="nil"/>
          <w:right w:val="nil"/>
          <w:between w:val="nil"/>
        </w:pBdr>
        <w:jc w:val="both"/>
        <w:rPr>
          <w:rFonts w:ascii="Arial" w:eastAsia="Arial" w:hAnsi="Arial" w:cs="Arial"/>
          <w:bCs/>
          <w:color w:val="000000"/>
          <w:sz w:val="20"/>
          <w:szCs w:val="20"/>
        </w:rPr>
      </w:pPr>
      <w:r w:rsidRPr="00BB1525">
        <w:rPr>
          <w:rFonts w:ascii="Arial" w:eastAsia="Arial" w:hAnsi="Arial" w:cs="Arial"/>
          <w:sz w:val="20"/>
          <w:szCs w:val="20"/>
        </w:rPr>
        <w:t>Kuwait ratified</w:t>
      </w:r>
      <w:r w:rsidRPr="00BB1525">
        <w:rPr>
          <w:rFonts w:ascii="Arial" w:eastAsia="Arial" w:hAnsi="Arial" w:cs="Arial"/>
          <w:color w:val="000000"/>
          <w:sz w:val="20"/>
          <w:szCs w:val="20"/>
        </w:rPr>
        <w:t xml:space="preserve"> t</w:t>
      </w:r>
      <w:r w:rsidRPr="00BB1525">
        <w:rPr>
          <w:rFonts w:ascii="Arial" w:eastAsia="Arial" w:hAnsi="Arial" w:cs="Arial"/>
          <w:sz w:val="20"/>
          <w:szCs w:val="20"/>
        </w:rPr>
        <w:t>he</w:t>
      </w:r>
      <w:r w:rsidRPr="00BB1525">
        <w:rPr>
          <w:rFonts w:ascii="Arial" w:eastAsia="Arial" w:hAnsi="Arial" w:cs="Arial"/>
          <w:color w:val="000000"/>
          <w:sz w:val="20"/>
          <w:szCs w:val="20"/>
        </w:rPr>
        <w:t xml:space="preserve"> CEDAW Convention on 2 </w:t>
      </w:r>
      <w:r w:rsidRPr="00BB1525">
        <w:rPr>
          <w:rFonts w:ascii="Arial" w:eastAsia="Arial" w:hAnsi="Arial" w:cs="Arial"/>
          <w:sz w:val="20"/>
          <w:szCs w:val="20"/>
        </w:rPr>
        <w:t>September 1994 and placed reservations on Article 1</w:t>
      </w:r>
      <w:r w:rsidR="00D62FFE" w:rsidRPr="00BB1525">
        <w:rPr>
          <w:rFonts w:ascii="Arial" w:eastAsia="Arial" w:hAnsi="Arial" w:cs="Arial"/>
          <w:sz w:val="20"/>
          <w:szCs w:val="20"/>
        </w:rPr>
        <w:t>6, paragraph (f)</w:t>
      </w:r>
      <w:r w:rsidRPr="00BB1525">
        <w:rPr>
          <w:rFonts w:ascii="Arial" w:eastAsia="Arial" w:hAnsi="Arial" w:cs="Arial"/>
          <w:color w:val="000000"/>
          <w:sz w:val="20"/>
          <w:szCs w:val="20"/>
        </w:rPr>
        <w:t xml:space="preserve"> regarding</w:t>
      </w:r>
      <w:r w:rsidR="00D62FFE" w:rsidRPr="00BB1525">
        <w:rPr>
          <w:rFonts w:ascii="Arial" w:eastAsia="Arial" w:hAnsi="Arial" w:cs="Arial"/>
          <w:color w:val="000000"/>
          <w:sz w:val="20"/>
          <w:szCs w:val="20"/>
        </w:rPr>
        <w:t xml:space="preserve"> adoption, “inasmuch as it conflicts with the provisions of the </w:t>
      </w:r>
      <w:r w:rsidR="00D62FFE" w:rsidRPr="00BB1525">
        <w:rPr>
          <w:rFonts w:ascii="Arial" w:eastAsia="Arial" w:hAnsi="Arial" w:cs="Arial"/>
          <w:i/>
          <w:iCs/>
          <w:color w:val="000000"/>
          <w:sz w:val="20"/>
          <w:szCs w:val="20"/>
        </w:rPr>
        <w:t>Islamic </w:t>
      </w:r>
      <w:r w:rsidR="00D62FFE" w:rsidRPr="00BB1525">
        <w:rPr>
          <w:rFonts w:ascii="Arial" w:eastAsia="Arial" w:hAnsi="Arial" w:cs="Arial"/>
          <w:color w:val="000000"/>
          <w:sz w:val="20"/>
          <w:szCs w:val="20"/>
        </w:rPr>
        <w:t> </w:t>
      </w:r>
      <w:r w:rsidR="00D62FFE" w:rsidRPr="00BB1525">
        <w:rPr>
          <w:rFonts w:ascii="Arial" w:eastAsia="Arial" w:hAnsi="Arial" w:cs="Arial"/>
          <w:i/>
          <w:iCs/>
          <w:color w:val="000000"/>
          <w:sz w:val="20"/>
          <w:szCs w:val="20"/>
        </w:rPr>
        <w:t>Shariah</w:t>
      </w:r>
      <w:r w:rsidR="00D62FFE" w:rsidRPr="00BB1525">
        <w:rPr>
          <w:rFonts w:ascii="Arial" w:eastAsia="Arial" w:hAnsi="Arial" w:cs="Arial"/>
          <w:color w:val="000000"/>
          <w:sz w:val="20"/>
          <w:szCs w:val="20"/>
        </w:rPr>
        <w:t>,</w:t>
      </w:r>
      <w:r w:rsidR="00FD7215" w:rsidRPr="00BB1525">
        <w:rPr>
          <w:rFonts w:ascii="Arial" w:eastAsia="Arial" w:hAnsi="Arial" w:cs="Arial"/>
          <w:color w:val="000000"/>
          <w:sz w:val="20"/>
          <w:szCs w:val="20"/>
        </w:rPr>
        <w:t xml:space="preserve"> I</w:t>
      </w:r>
      <w:r w:rsidR="00D62FFE" w:rsidRPr="00BB1525">
        <w:rPr>
          <w:rFonts w:ascii="Arial" w:eastAsia="Arial" w:hAnsi="Arial" w:cs="Arial"/>
          <w:color w:val="000000"/>
          <w:sz w:val="20"/>
          <w:szCs w:val="20"/>
        </w:rPr>
        <w:t xml:space="preserve">slam being the official religion of the State,” and </w:t>
      </w:r>
      <w:r w:rsidRPr="00BB1525">
        <w:rPr>
          <w:rFonts w:ascii="Arial" w:eastAsia="Arial" w:hAnsi="Arial" w:cs="Arial"/>
          <w:color w:val="000000"/>
          <w:sz w:val="20"/>
          <w:szCs w:val="20"/>
        </w:rPr>
        <w:t>on Article 9, paragraph 2, which provides that States Parties shall grant women equal rights with men with respect to the nationality of their children</w:t>
      </w:r>
      <w:r w:rsidR="00D62FFE" w:rsidRPr="00BB1525">
        <w:rPr>
          <w:rFonts w:ascii="Arial" w:eastAsia="Arial" w:hAnsi="Arial" w:cs="Arial"/>
          <w:color w:val="000000"/>
          <w:sz w:val="20"/>
          <w:szCs w:val="20"/>
        </w:rPr>
        <w:t>, “in as much as it runs counter to the Kuwaiti Nationality Act, which stipulates that a child's nationality shall be determined by that of his father.</w:t>
      </w:r>
      <w:r w:rsidR="00FD7215" w:rsidRPr="00BB1525">
        <w:rPr>
          <w:rFonts w:ascii="Arial" w:eastAsia="Arial" w:hAnsi="Arial" w:cs="Arial"/>
          <w:color w:val="000000"/>
          <w:sz w:val="20"/>
          <w:szCs w:val="20"/>
        </w:rPr>
        <w:t>”</w:t>
      </w:r>
      <w:r w:rsidR="00D829C6" w:rsidRPr="00BB1525">
        <w:rPr>
          <w:rStyle w:val="FootnoteReference"/>
          <w:rFonts w:ascii="Arial" w:eastAsia="Arial" w:hAnsi="Arial" w:cs="Arial"/>
          <w:sz w:val="20"/>
          <w:szCs w:val="20"/>
          <w:vertAlign w:val="superscript"/>
        </w:rPr>
        <w:footnoteReference w:id="1"/>
      </w:r>
      <w:r w:rsidR="00660302">
        <w:rPr>
          <w:rFonts w:ascii="Arial" w:eastAsia="Arial" w:hAnsi="Arial" w:cs="Arial"/>
          <w:color w:val="000000"/>
          <w:sz w:val="20"/>
          <w:szCs w:val="20"/>
        </w:rPr>
        <w:t xml:space="preserve"> </w:t>
      </w:r>
      <w:r w:rsidR="00D62FFE" w:rsidRPr="00BB1525">
        <w:rPr>
          <w:rFonts w:ascii="Arial" w:eastAsia="Arial" w:hAnsi="Arial" w:cs="Arial"/>
          <w:color w:val="000000"/>
          <w:sz w:val="20"/>
          <w:szCs w:val="20"/>
        </w:rPr>
        <w:t>Kuwait</w:t>
      </w:r>
      <w:r w:rsidRPr="00BB1525">
        <w:rPr>
          <w:rFonts w:ascii="Arial" w:eastAsia="Arial" w:hAnsi="Arial" w:cs="Arial"/>
          <w:color w:val="000000"/>
          <w:sz w:val="20"/>
          <w:szCs w:val="20"/>
        </w:rPr>
        <w:t xml:space="preserve"> had also previously placed a reservation on Article </w:t>
      </w:r>
      <w:r w:rsidR="00D62FFE" w:rsidRPr="00BB1525">
        <w:rPr>
          <w:rFonts w:ascii="Arial" w:eastAsia="Arial" w:hAnsi="Arial" w:cs="Arial"/>
          <w:color w:val="000000"/>
          <w:sz w:val="20"/>
          <w:szCs w:val="20"/>
        </w:rPr>
        <w:t>7, paragraph (a),</w:t>
      </w:r>
      <w:r w:rsidRPr="00BB1525">
        <w:rPr>
          <w:rFonts w:ascii="Arial" w:eastAsia="Arial" w:hAnsi="Arial" w:cs="Arial"/>
          <w:color w:val="000000"/>
          <w:sz w:val="20"/>
          <w:szCs w:val="20"/>
        </w:rPr>
        <w:t xml:space="preserve"> which was withdrawn in </w:t>
      </w:r>
      <w:r w:rsidR="00D62FFE" w:rsidRPr="00BB1525">
        <w:rPr>
          <w:rFonts w:ascii="Arial" w:eastAsia="Arial" w:hAnsi="Arial" w:cs="Arial"/>
          <w:color w:val="000000"/>
          <w:sz w:val="20"/>
          <w:szCs w:val="20"/>
        </w:rPr>
        <w:t>2005</w:t>
      </w:r>
      <w:r w:rsidRPr="00BB1525">
        <w:rPr>
          <w:rFonts w:ascii="Arial" w:eastAsia="Arial" w:hAnsi="Arial" w:cs="Arial"/>
          <w:color w:val="000000"/>
          <w:sz w:val="20"/>
          <w:szCs w:val="20"/>
        </w:rPr>
        <w:t>.</w:t>
      </w:r>
      <w:r w:rsidR="00A21500" w:rsidRPr="00BB1525">
        <w:rPr>
          <w:rStyle w:val="FootnoteReference"/>
          <w:rFonts w:ascii="Arial" w:eastAsia="Arial" w:hAnsi="Arial" w:cs="Arial"/>
          <w:color w:val="000000"/>
          <w:sz w:val="20"/>
          <w:szCs w:val="20"/>
          <w:vertAlign w:val="superscript"/>
        </w:rPr>
        <w:footnoteReference w:id="2"/>
      </w:r>
      <w:r w:rsidR="00326C72">
        <w:rPr>
          <w:rFonts w:ascii="Arial" w:eastAsia="Arial" w:hAnsi="Arial" w:cs="Arial"/>
          <w:color w:val="000000"/>
          <w:sz w:val="20"/>
          <w:szCs w:val="20"/>
        </w:rPr>
        <w:t xml:space="preserve"> </w:t>
      </w:r>
      <w:r w:rsidR="00326C72" w:rsidRPr="00BB1525">
        <w:rPr>
          <w:rFonts w:ascii="Arial" w:eastAsia="Arial" w:hAnsi="Arial" w:cs="Arial"/>
          <w:bCs/>
          <w:color w:val="000000"/>
          <w:sz w:val="20"/>
          <w:szCs w:val="20"/>
        </w:rPr>
        <w:t xml:space="preserve">This is the CEDAW Committee’s fourth engagement with </w:t>
      </w:r>
      <w:r w:rsidR="00C41BCD">
        <w:rPr>
          <w:rFonts w:ascii="Arial" w:eastAsia="Arial" w:hAnsi="Arial" w:cs="Arial"/>
          <w:bCs/>
          <w:color w:val="000000"/>
          <w:sz w:val="20"/>
          <w:szCs w:val="20"/>
        </w:rPr>
        <w:t xml:space="preserve">the State of </w:t>
      </w:r>
      <w:r w:rsidR="00326C72" w:rsidRPr="00BB1525">
        <w:rPr>
          <w:rFonts w:ascii="Arial" w:eastAsia="Arial" w:hAnsi="Arial" w:cs="Arial"/>
          <w:bCs/>
          <w:color w:val="000000"/>
          <w:sz w:val="20"/>
          <w:szCs w:val="20"/>
        </w:rPr>
        <w:t>Kuwait</w:t>
      </w:r>
      <w:r w:rsidR="00326C72">
        <w:rPr>
          <w:rFonts w:ascii="Arial" w:eastAsia="Arial" w:hAnsi="Arial" w:cs="Arial"/>
          <w:bCs/>
          <w:color w:val="000000"/>
          <w:sz w:val="20"/>
          <w:szCs w:val="20"/>
        </w:rPr>
        <w:t>.</w:t>
      </w:r>
    </w:p>
    <w:p w14:paraId="2682A0AF" w14:textId="77777777" w:rsidR="00660302" w:rsidRPr="00BB1525" w:rsidRDefault="00660302" w:rsidP="00660302">
      <w:pPr>
        <w:pBdr>
          <w:top w:val="nil"/>
          <w:left w:val="nil"/>
          <w:bottom w:val="nil"/>
          <w:right w:val="nil"/>
          <w:between w:val="nil"/>
        </w:pBdr>
        <w:jc w:val="both"/>
        <w:rPr>
          <w:rFonts w:ascii="Arial" w:eastAsia="Arial" w:hAnsi="Arial" w:cs="Arial"/>
          <w:color w:val="000000"/>
          <w:sz w:val="20"/>
          <w:szCs w:val="20"/>
        </w:rPr>
      </w:pPr>
    </w:p>
    <w:p w14:paraId="7320F329" w14:textId="62E18B12" w:rsidR="00D07715" w:rsidRDefault="00C57D75" w:rsidP="00660302">
      <w:pPr>
        <w:pBdr>
          <w:top w:val="nil"/>
          <w:left w:val="nil"/>
          <w:bottom w:val="nil"/>
          <w:right w:val="nil"/>
          <w:between w:val="nil"/>
        </w:pBdr>
        <w:jc w:val="both"/>
        <w:rPr>
          <w:rFonts w:ascii="Arial" w:eastAsia="Arial" w:hAnsi="Arial" w:cs="Arial"/>
          <w:sz w:val="20"/>
          <w:szCs w:val="20"/>
        </w:rPr>
      </w:pPr>
      <w:r w:rsidRPr="00BB1525">
        <w:rPr>
          <w:rFonts w:ascii="Arial" w:eastAsia="Arial" w:hAnsi="Arial" w:cs="Arial"/>
          <w:sz w:val="20"/>
          <w:szCs w:val="20"/>
        </w:rPr>
        <w:t>Th</w:t>
      </w:r>
      <w:r w:rsidR="00D62FFE" w:rsidRPr="00BB1525">
        <w:rPr>
          <w:rFonts w:ascii="Arial" w:eastAsia="Arial" w:hAnsi="Arial" w:cs="Arial"/>
          <w:sz w:val="20"/>
          <w:szCs w:val="20"/>
        </w:rPr>
        <w:t>is report raises</w:t>
      </w:r>
      <w:r w:rsidRPr="00BB1525">
        <w:rPr>
          <w:rFonts w:ascii="Arial" w:eastAsia="Arial" w:hAnsi="Arial" w:cs="Arial"/>
          <w:sz w:val="20"/>
          <w:szCs w:val="20"/>
        </w:rPr>
        <w:t xml:space="preserve"> concern</w:t>
      </w:r>
      <w:r w:rsidR="00F91AF5">
        <w:rPr>
          <w:rFonts w:ascii="Arial" w:eastAsia="Arial" w:hAnsi="Arial" w:cs="Arial"/>
          <w:sz w:val="20"/>
          <w:szCs w:val="20"/>
        </w:rPr>
        <w:t>s</w:t>
      </w:r>
      <w:r w:rsidRPr="00BB1525">
        <w:rPr>
          <w:rFonts w:ascii="Arial" w:eastAsia="Arial" w:hAnsi="Arial" w:cs="Arial"/>
          <w:sz w:val="20"/>
          <w:szCs w:val="20"/>
        </w:rPr>
        <w:t xml:space="preserve"> </w:t>
      </w:r>
      <w:r w:rsidR="00D62FFE" w:rsidRPr="00BB1525">
        <w:rPr>
          <w:rFonts w:ascii="Arial" w:eastAsia="Arial" w:hAnsi="Arial" w:cs="Arial"/>
          <w:sz w:val="20"/>
          <w:szCs w:val="20"/>
        </w:rPr>
        <w:t>with respect to Kuwait’s</w:t>
      </w:r>
      <w:r w:rsidRPr="00BB1525">
        <w:rPr>
          <w:rFonts w:ascii="Arial" w:eastAsia="Arial" w:hAnsi="Arial" w:cs="Arial"/>
          <w:sz w:val="20"/>
          <w:szCs w:val="20"/>
        </w:rPr>
        <w:t xml:space="preserve"> continued non-implementation of the Convention in the context of marriage and family rights of Muslim wome</w:t>
      </w:r>
      <w:r w:rsidR="00D62FFE" w:rsidRPr="00BB1525">
        <w:rPr>
          <w:rFonts w:ascii="Arial" w:eastAsia="Arial" w:hAnsi="Arial" w:cs="Arial"/>
          <w:sz w:val="20"/>
          <w:szCs w:val="20"/>
        </w:rPr>
        <w:t>n and gender-based violence</w:t>
      </w:r>
      <w:r w:rsidRPr="00BB1525">
        <w:rPr>
          <w:rFonts w:ascii="Arial" w:eastAsia="Arial" w:hAnsi="Arial" w:cs="Arial"/>
          <w:sz w:val="20"/>
          <w:szCs w:val="20"/>
        </w:rPr>
        <w:t>.</w:t>
      </w:r>
      <w:r w:rsidR="00660302">
        <w:rPr>
          <w:rFonts w:ascii="Arial" w:eastAsia="Arial" w:hAnsi="Arial" w:cs="Arial"/>
          <w:sz w:val="20"/>
          <w:szCs w:val="20"/>
        </w:rPr>
        <w:t xml:space="preserve"> </w:t>
      </w:r>
      <w:r w:rsidRPr="00BB1525">
        <w:rPr>
          <w:rFonts w:ascii="Arial" w:eastAsia="Arial" w:hAnsi="Arial" w:cs="Arial"/>
          <w:sz w:val="20"/>
          <w:szCs w:val="20"/>
        </w:rPr>
        <w:t>This report highlights key legal inequalities that Muslim women face in</w:t>
      </w:r>
      <w:r w:rsidR="00D62FFE" w:rsidRPr="00BB1525">
        <w:rPr>
          <w:rFonts w:ascii="Arial" w:eastAsia="Arial" w:hAnsi="Arial" w:cs="Arial"/>
          <w:sz w:val="20"/>
          <w:szCs w:val="20"/>
        </w:rPr>
        <w:t xml:space="preserve"> the personal status sphere </w:t>
      </w:r>
      <w:r w:rsidRPr="00BB1525">
        <w:rPr>
          <w:rFonts w:ascii="Arial" w:eastAsia="Arial" w:hAnsi="Arial" w:cs="Arial"/>
          <w:sz w:val="20"/>
          <w:szCs w:val="20"/>
        </w:rPr>
        <w:t>and their resulting negative impact on women and girls, along</w:t>
      </w:r>
      <w:r w:rsidR="00D62FFE" w:rsidRPr="00BB1525">
        <w:rPr>
          <w:rFonts w:ascii="Arial" w:eastAsia="Arial" w:hAnsi="Arial" w:cs="Arial"/>
          <w:sz w:val="20"/>
          <w:szCs w:val="20"/>
        </w:rPr>
        <w:t xml:space="preserve"> with gaps in protection from gender-based violence, including sexual harassment,</w:t>
      </w:r>
      <w:r w:rsidRPr="00BB1525">
        <w:rPr>
          <w:rFonts w:ascii="Arial" w:eastAsia="Arial" w:hAnsi="Arial" w:cs="Arial"/>
          <w:sz w:val="20"/>
          <w:szCs w:val="20"/>
        </w:rPr>
        <w:t xml:space="preserve"> with recommendations to address gaps.</w:t>
      </w:r>
      <w:r w:rsidR="00660302">
        <w:rPr>
          <w:rFonts w:ascii="Arial" w:eastAsia="Arial" w:hAnsi="Arial" w:cs="Arial"/>
          <w:sz w:val="20"/>
          <w:szCs w:val="20"/>
        </w:rPr>
        <w:t xml:space="preserve"> </w:t>
      </w:r>
      <w:r w:rsidRPr="00BB1525">
        <w:rPr>
          <w:rFonts w:ascii="Arial" w:eastAsia="Arial" w:hAnsi="Arial" w:cs="Arial"/>
          <w:sz w:val="20"/>
          <w:szCs w:val="20"/>
        </w:rPr>
        <w:t xml:space="preserve">We encourage the </w:t>
      </w:r>
      <w:r w:rsidR="00D62FFE" w:rsidRPr="00BB1525">
        <w:rPr>
          <w:rFonts w:ascii="Arial" w:eastAsia="Arial" w:hAnsi="Arial" w:cs="Arial"/>
          <w:sz w:val="20"/>
          <w:szCs w:val="20"/>
        </w:rPr>
        <w:t>Kuwait</w:t>
      </w:r>
      <w:r w:rsidRPr="00BB1525">
        <w:rPr>
          <w:rFonts w:ascii="Arial" w:eastAsia="Arial" w:hAnsi="Arial" w:cs="Arial"/>
          <w:sz w:val="20"/>
          <w:szCs w:val="20"/>
        </w:rPr>
        <w:t xml:space="preserve"> government to continue its efforts in eliminating discrimination against women</w:t>
      </w:r>
      <w:r w:rsidR="00D62FFE" w:rsidRPr="00BB1525">
        <w:rPr>
          <w:rFonts w:ascii="Arial" w:eastAsia="Arial" w:hAnsi="Arial" w:cs="Arial"/>
          <w:sz w:val="20"/>
          <w:szCs w:val="20"/>
        </w:rPr>
        <w:t xml:space="preserve"> and reforming its laws to protect the rights of women in the private and public spheres. </w:t>
      </w:r>
    </w:p>
    <w:p w14:paraId="3290A422" w14:textId="77777777" w:rsidR="006A27C3" w:rsidRDefault="006A27C3" w:rsidP="00660302">
      <w:pPr>
        <w:pBdr>
          <w:top w:val="nil"/>
          <w:left w:val="nil"/>
          <w:bottom w:val="nil"/>
          <w:right w:val="nil"/>
          <w:between w:val="nil"/>
        </w:pBdr>
        <w:jc w:val="both"/>
        <w:rPr>
          <w:rFonts w:ascii="Arial" w:eastAsia="Arial" w:hAnsi="Arial" w:cs="Arial"/>
          <w:sz w:val="20"/>
          <w:szCs w:val="20"/>
        </w:rPr>
      </w:pPr>
    </w:p>
    <w:p w14:paraId="43105E05" w14:textId="60265618" w:rsidR="00D07715" w:rsidRDefault="006A27C3" w:rsidP="002C5B71">
      <w:pPr>
        <w:pBdr>
          <w:top w:val="nil"/>
          <w:left w:val="nil"/>
          <w:bottom w:val="nil"/>
          <w:right w:val="nil"/>
          <w:between w:val="nil"/>
        </w:pBdr>
        <w:jc w:val="both"/>
        <w:rPr>
          <w:rFonts w:ascii="Arial" w:eastAsia="Arial" w:hAnsi="Arial" w:cs="Arial"/>
          <w:sz w:val="20"/>
          <w:szCs w:val="20"/>
          <w:lang w:val="en"/>
        </w:rPr>
      </w:pPr>
      <w:r w:rsidRPr="006A27C3">
        <w:rPr>
          <w:rFonts w:ascii="Arial" w:eastAsia="Arial" w:hAnsi="Arial" w:cs="Arial"/>
          <w:sz w:val="20"/>
          <w:szCs w:val="20"/>
          <w:lang w:val="en"/>
        </w:rPr>
        <w:t>Th</w:t>
      </w:r>
      <w:r w:rsidR="00326C72">
        <w:rPr>
          <w:rFonts w:ascii="Arial" w:eastAsia="Arial" w:hAnsi="Arial" w:cs="Arial"/>
          <w:sz w:val="20"/>
          <w:szCs w:val="20"/>
          <w:lang w:val="en"/>
        </w:rPr>
        <w:t>is</w:t>
      </w:r>
      <w:r w:rsidRPr="006A27C3">
        <w:rPr>
          <w:rFonts w:ascii="Arial" w:eastAsia="Arial" w:hAnsi="Arial" w:cs="Arial"/>
          <w:sz w:val="20"/>
          <w:szCs w:val="20"/>
          <w:lang w:val="en"/>
        </w:rPr>
        <w:t xml:space="preserve"> report was drafted by </w:t>
      </w:r>
      <w:r>
        <w:rPr>
          <w:rFonts w:ascii="Arial" w:eastAsia="Arial" w:hAnsi="Arial" w:cs="Arial"/>
          <w:sz w:val="20"/>
          <w:szCs w:val="20"/>
          <w:lang w:val="en"/>
        </w:rPr>
        <w:t xml:space="preserve">Salma </w:t>
      </w:r>
      <w:proofErr w:type="spellStart"/>
      <w:r>
        <w:rPr>
          <w:rFonts w:ascii="Arial" w:eastAsia="Arial" w:hAnsi="Arial" w:cs="Arial"/>
          <w:sz w:val="20"/>
          <w:szCs w:val="20"/>
          <w:lang w:val="en"/>
        </w:rPr>
        <w:t>Waheedi</w:t>
      </w:r>
      <w:proofErr w:type="spellEnd"/>
      <w:r>
        <w:rPr>
          <w:rFonts w:ascii="Arial" w:eastAsia="Arial" w:hAnsi="Arial" w:cs="Arial"/>
          <w:sz w:val="20"/>
          <w:szCs w:val="20"/>
          <w:lang w:val="en"/>
        </w:rPr>
        <w:t xml:space="preserve"> on behalf of </w:t>
      </w:r>
      <w:r w:rsidR="005D5274">
        <w:rPr>
          <w:rFonts w:ascii="Arial" w:eastAsia="Arial" w:hAnsi="Arial" w:cs="Arial"/>
          <w:sz w:val="20"/>
          <w:szCs w:val="20"/>
          <w:lang w:val="en"/>
        </w:rPr>
        <w:t>the submitting organizations</w:t>
      </w:r>
      <w:r>
        <w:rPr>
          <w:rFonts w:ascii="Arial" w:eastAsia="Arial" w:hAnsi="Arial" w:cs="Arial"/>
          <w:sz w:val="20"/>
          <w:szCs w:val="20"/>
          <w:lang w:val="en"/>
        </w:rPr>
        <w:t>.</w:t>
      </w:r>
      <w:r w:rsidRPr="006A27C3">
        <w:rPr>
          <w:rFonts w:ascii="Arial" w:eastAsia="Arial" w:hAnsi="Arial" w:cs="Arial"/>
          <w:sz w:val="20"/>
          <w:szCs w:val="20"/>
          <w:lang w:val="en"/>
        </w:rPr>
        <w:t xml:space="preserve"> We would like to thank </w:t>
      </w:r>
      <w:proofErr w:type="spellStart"/>
      <w:r>
        <w:rPr>
          <w:rFonts w:ascii="Arial" w:eastAsia="Arial" w:hAnsi="Arial" w:cs="Arial"/>
          <w:sz w:val="20"/>
          <w:szCs w:val="20"/>
          <w:lang w:val="en"/>
        </w:rPr>
        <w:t>Sundus</w:t>
      </w:r>
      <w:proofErr w:type="spellEnd"/>
      <w:r>
        <w:rPr>
          <w:rFonts w:ascii="Arial" w:eastAsia="Arial" w:hAnsi="Arial" w:cs="Arial"/>
          <w:sz w:val="20"/>
          <w:szCs w:val="20"/>
          <w:lang w:val="en"/>
        </w:rPr>
        <w:t xml:space="preserve"> Hussein and Sheikha </w:t>
      </w:r>
      <w:proofErr w:type="spellStart"/>
      <w:r>
        <w:rPr>
          <w:rFonts w:ascii="Arial" w:eastAsia="Arial" w:hAnsi="Arial" w:cs="Arial"/>
          <w:sz w:val="20"/>
          <w:szCs w:val="20"/>
          <w:lang w:val="en"/>
        </w:rPr>
        <w:t>Alnafisi</w:t>
      </w:r>
      <w:proofErr w:type="spellEnd"/>
      <w:r w:rsidRPr="006A27C3">
        <w:rPr>
          <w:rFonts w:ascii="Arial" w:eastAsia="Arial" w:hAnsi="Arial" w:cs="Arial"/>
          <w:sz w:val="20"/>
          <w:szCs w:val="20"/>
          <w:lang w:val="en"/>
        </w:rPr>
        <w:t xml:space="preserve"> for providing substantive insights on the lived realities of </w:t>
      </w:r>
      <w:r>
        <w:rPr>
          <w:rFonts w:ascii="Arial" w:eastAsia="Arial" w:hAnsi="Arial" w:cs="Arial"/>
          <w:sz w:val="20"/>
          <w:szCs w:val="20"/>
          <w:lang w:val="en"/>
        </w:rPr>
        <w:t>Kuwaiti</w:t>
      </w:r>
      <w:r w:rsidRPr="006A27C3">
        <w:rPr>
          <w:rFonts w:ascii="Arial" w:eastAsia="Arial" w:hAnsi="Arial" w:cs="Arial"/>
          <w:sz w:val="20"/>
          <w:szCs w:val="20"/>
          <w:lang w:val="en"/>
        </w:rPr>
        <w:t xml:space="preserve"> women</w:t>
      </w:r>
      <w:r>
        <w:rPr>
          <w:rFonts w:ascii="Arial" w:eastAsia="Arial" w:hAnsi="Arial" w:cs="Arial"/>
          <w:sz w:val="20"/>
          <w:szCs w:val="20"/>
          <w:lang w:val="en"/>
        </w:rPr>
        <w:t xml:space="preserve"> and for reviewing th</w:t>
      </w:r>
      <w:r w:rsidR="00326C72">
        <w:rPr>
          <w:rFonts w:ascii="Arial" w:eastAsia="Arial" w:hAnsi="Arial" w:cs="Arial"/>
          <w:sz w:val="20"/>
          <w:szCs w:val="20"/>
          <w:lang w:val="en"/>
        </w:rPr>
        <w:t>e</w:t>
      </w:r>
      <w:r>
        <w:rPr>
          <w:rFonts w:ascii="Arial" w:eastAsia="Arial" w:hAnsi="Arial" w:cs="Arial"/>
          <w:sz w:val="20"/>
          <w:szCs w:val="20"/>
          <w:lang w:val="en"/>
        </w:rPr>
        <w:t xml:space="preserve"> report.</w:t>
      </w:r>
    </w:p>
    <w:p w14:paraId="67EEDC0D" w14:textId="77777777" w:rsidR="00C7462F" w:rsidRPr="002C5B71" w:rsidRDefault="00C7462F">
      <w:pPr>
        <w:pBdr>
          <w:top w:val="nil"/>
          <w:left w:val="nil"/>
          <w:bottom w:val="nil"/>
          <w:right w:val="nil"/>
          <w:between w:val="nil"/>
        </w:pBdr>
        <w:jc w:val="both"/>
        <w:rPr>
          <w:rFonts w:ascii="Arial" w:eastAsia="Arial" w:hAnsi="Arial" w:cs="Arial"/>
          <w:sz w:val="28"/>
          <w:szCs w:val="28"/>
        </w:rPr>
      </w:pPr>
    </w:p>
    <w:p w14:paraId="65F3AB6C" w14:textId="77777777" w:rsidR="00D07715" w:rsidRDefault="00000000" w:rsidP="00710B9A">
      <w:pPr>
        <w:pStyle w:val="Heading1"/>
        <w:spacing w:before="60" w:after="40"/>
        <w:ind w:left="547" w:hanging="547"/>
        <w:rPr>
          <w:rFonts w:ascii="Arial" w:hAnsi="Arial" w:cs="Arial"/>
          <w:sz w:val="26"/>
          <w:szCs w:val="26"/>
        </w:rPr>
      </w:pPr>
      <w:bookmarkStart w:id="2" w:name="_Toc163864099"/>
      <w:r>
        <w:rPr>
          <w:rFonts w:ascii="Arial" w:hAnsi="Arial" w:cs="Arial"/>
        </w:rPr>
        <w:t>B. BACKGROUND, LEGAL FRAMEWORK AND CONTEXT</w:t>
      </w:r>
      <w:bookmarkEnd w:id="2"/>
    </w:p>
    <w:p w14:paraId="5004449F" w14:textId="77777777" w:rsidR="00D07715" w:rsidRPr="00604973" w:rsidRDefault="00D07715">
      <w:pPr>
        <w:pBdr>
          <w:top w:val="nil"/>
          <w:left w:val="nil"/>
          <w:bottom w:val="nil"/>
          <w:right w:val="nil"/>
          <w:between w:val="nil"/>
        </w:pBdr>
        <w:rPr>
          <w:rFonts w:ascii="Arial" w:eastAsia="Arial" w:hAnsi="Arial" w:cs="Arial"/>
          <w:sz w:val="20"/>
          <w:szCs w:val="20"/>
        </w:rPr>
      </w:pPr>
    </w:p>
    <w:p w14:paraId="4EC9614D" w14:textId="75CB39FA" w:rsidR="00D07715" w:rsidRPr="00241ECF" w:rsidRDefault="00D62FFE" w:rsidP="006A2AF3">
      <w:pPr>
        <w:pBdr>
          <w:top w:val="nil"/>
          <w:left w:val="nil"/>
          <w:bottom w:val="nil"/>
          <w:right w:val="nil"/>
          <w:between w:val="nil"/>
        </w:pBdr>
        <w:jc w:val="both"/>
        <w:rPr>
          <w:rFonts w:ascii="Arial" w:eastAsia="Arial" w:hAnsi="Arial" w:cs="Arial"/>
          <w:sz w:val="20"/>
          <w:szCs w:val="20"/>
        </w:rPr>
      </w:pPr>
      <w:r w:rsidRPr="00604973">
        <w:rPr>
          <w:rFonts w:ascii="Arial" w:eastAsia="Arial" w:hAnsi="Arial" w:cs="Arial"/>
          <w:sz w:val="20"/>
          <w:szCs w:val="20"/>
        </w:rPr>
        <w:t xml:space="preserve">Kuwait </w:t>
      </w:r>
      <w:r w:rsidR="00BB1525" w:rsidRPr="00604973">
        <w:rPr>
          <w:rFonts w:ascii="Arial" w:eastAsia="Arial" w:hAnsi="Arial" w:cs="Arial"/>
          <w:sz w:val="20"/>
          <w:szCs w:val="20"/>
        </w:rPr>
        <w:t>is located</w:t>
      </w:r>
      <w:r w:rsidRPr="00604973">
        <w:rPr>
          <w:rFonts w:ascii="Arial" w:eastAsia="Arial" w:hAnsi="Arial" w:cs="Arial"/>
          <w:sz w:val="20"/>
          <w:szCs w:val="20"/>
        </w:rPr>
        <w:t xml:space="preserve"> in the north of the Arabian Gulf, with a total surface area </w:t>
      </w:r>
      <w:r w:rsidR="00922B62" w:rsidRPr="00604973">
        <w:rPr>
          <w:rFonts w:ascii="Arial" w:eastAsia="Arial" w:hAnsi="Arial" w:cs="Arial"/>
          <w:sz w:val="20"/>
          <w:szCs w:val="20"/>
        </w:rPr>
        <w:t>of 17,818</w:t>
      </w:r>
      <w:r w:rsidRPr="00604973">
        <w:rPr>
          <w:rFonts w:ascii="Arial" w:eastAsia="Arial" w:hAnsi="Arial" w:cs="Arial"/>
          <w:sz w:val="20"/>
          <w:szCs w:val="20"/>
        </w:rPr>
        <w:t xml:space="preserve"> km</w:t>
      </w:r>
      <w:r w:rsidRPr="00604973">
        <w:rPr>
          <w:rFonts w:ascii="Arial" w:eastAsia="Arial" w:hAnsi="Arial" w:cs="Arial"/>
          <w:sz w:val="20"/>
          <w:szCs w:val="20"/>
          <w:vertAlign w:val="superscript"/>
        </w:rPr>
        <w:t>2</w:t>
      </w:r>
      <w:r w:rsidRPr="00604973">
        <w:rPr>
          <w:rFonts w:ascii="Arial" w:eastAsia="Arial" w:hAnsi="Arial" w:cs="Arial"/>
          <w:sz w:val="20"/>
          <w:szCs w:val="20"/>
        </w:rPr>
        <w:t xml:space="preserve"> and a</w:t>
      </w:r>
      <w:r w:rsidR="00922B62" w:rsidRPr="00604973">
        <w:rPr>
          <w:rFonts w:ascii="Arial" w:eastAsia="Arial" w:hAnsi="Arial" w:cs="Arial"/>
          <w:sz w:val="20"/>
          <w:szCs w:val="20"/>
        </w:rPr>
        <w:t>n estimated</w:t>
      </w:r>
      <w:r w:rsidRPr="00604973">
        <w:rPr>
          <w:rFonts w:ascii="Arial" w:eastAsia="Arial" w:hAnsi="Arial" w:cs="Arial"/>
          <w:sz w:val="20"/>
          <w:szCs w:val="20"/>
        </w:rPr>
        <w:t xml:space="preserve"> population of </w:t>
      </w:r>
      <w:r w:rsidR="00922B62" w:rsidRPr="00604973">
        <w:rPr>
          <w:rFonts w:ascii="Arial" w:eastAsia="Arial" w:hAnsi="Arial" w:cs="Arial"/>
          <w:sz w:val="20"/>
          <w:szCs w:val="20"/>
        </w:rPr>
        <w:t>4.4</w:t>
      </w:r>
      <w:r w:rsidRPr="00604973">
        <w:rPr>
          <w:rFonts w:ascii="Arial" w:eastAsia="Arial" w:hAnsi="Arial" w:cs="Arial"/>
          <w:sz w:val="20"/>
          <w:szCs w:val="20"/>
        </w:rPr>
        <w:t xml:space="preserve"> million</w:t>
      </w:r>
      <w:r w:rsidR="00922B62" w:rsidRPr="00604973">
        <w:rPr>
          <w:rFonts w:ascii="Arial" w:eastAsia="Arial" w:hAnsi="Arial" w:cs="Arial"/>
          <w:sz w:val="20"/>
          <w:szCs w:val="20"/>
        </w:rPr>
        <w:t>, of which about one-third is Kuwaiti citizens</w:t>
      </w:r>
      <w:r w:rsidRPr="00604973">
        <w:rPr>
          <w:rFonts w:ascii="Arial" w:eastAsia="Arial" w:hAnsi="Arial" w:cs="Arial"/>
          <w:sz w:val="20"/>
          <w:szCs w:val="20"/>
        </w:rPr>
        <w:t>.</w:t>
      </w:r>
      <w:r w:rsidR="006E7804" w:rsidRPr="00882DA2">
        <w:rPr>
          <w:rStyle w:val="FootnoteReference"/>
          <w:rFonts w:ascii="Arial" w:eastAsia="Arial" w:hAnsi="Arial" w:cs="Arial"/>
          <w:sz w:val="20"/>
          <w:szCs w:val="20"/>
          <w:vertAlign w:val="superscript"/>
        </w:rPr>
        <w:footnoteReference w:id="3"/>
      </w:r>
      <w:r w:rsidR="00882DA2">
        <w:rPr>
          <w:rFonts w:ascii="Arial" w:eastAsia="Arial" w:hAnsi="Arial" w:cs="Arial"/>
          <w:sz w:val="20"/>
          <w:szCs w:val="20"/>
        </w:rPr>
        <w:t xml:space="preserve"> </w:t>
      </w:r>
      <w:r w:rsidRPr="00604973">
        <w:rPr>
          <w:rFonts w:ascii="Arial" w:eastAsia="Arial" w:hAnsi="Arial" w:cs="Arial"/>
          <w:sz w:val="20"/>
          <w:szCs w:val="20"/>
        </w:rPr>
        <w:t xml:space="preserve">The </w:t>
      </w:r>
      <w:r w:rsidR="001113AB" w:rsidRPr="00604973">
        <w:rPr>
          <w:rFonts w:ascii="Arial" w:eastAsia="Arial" w:hAnsi="Arial" w:cs="Arial"/>
          <w:sz w:val="20"/>
          <w:szCs w:val="20"/>
        </w:rPr>
        <w:t xml:space="preserve">total </w:t>
      </w:r>
      <w:r w:rsidRPr="00604973">
        <w:rPr>
          <w:rFonts w:ascii="Arial" w:eastAsia="Arial" w:hAnsi="Arial" w:cs="Arial"/>
          <w:sz w:val="20"/>
          <w:szCs w:val="20"/>
        </w:rPr>
        <w:t xml:space="preserve">population of Kuwait is </w:t>
      </w:r>
      <w:r w:rsidR="00922B62" w:rsidRPr="00604973">
        <w:rPr>
          <w:rFonts w:ascii="Arial" w:eastAsia="Arial" w:hAnsi="Arial" w:cs="Arial"/>
          <w:sz w:val="20"/>
          <w:szCs w:val="20"/>
        </w:rPr>
        <w:t xml:space="preserve">about </w:t>
      </w:r>
      <w:r w:rsidR="001113AB" w:rsidRPr="00604973">
        <w:rPr>
          <w:rFonts w:ascii="Arial" w:eastAsia="Arial" w:hAnsi="Arial" w:cs="Arial"/>
          <w:sz w:val="20"/>
          <w:szCs w:val="20"/>
        </w:rPr>
        <w:t>7</w:t>
      </w:r>
      <w:r w:rsidR="006A2AF3" w:rsidRPr="00604973">
        <w:rPr>
          <w:rFonts w:ascii="Arial" w:eastAsia="Arial" w:hAnsi="Arial" w:cs="Arial"/>
          <w:sz w:val="20"/>
          <w:szCs w:val="20"/>
        </w:rPr>
        <w:t>6</w:t>
      </w:r>
      <w:r w:rsidR="001113AB" w:rsidRPr="00604973">
        <w:rPr>
          <w:rFonts w:ascii="Arial" w:eastAsia="Arial" w:hAnsi="Arial" w:cs="Arial"/>
          <w:sz w:val="20"/>
          <w:szCs w:val="20"/>
        </w:rPr>
        <w:t xml:space="preserve"> </w:t>
      </w:r>
      <w:r w:rsidR="00922B62" w:rsidRPr="00604973">
        <w:rPr>
          <w:rFonts w:ascii="Arial" w:eastAsia="Arial" w:hAnsi="Arial" w:cs="Arial"/>
          <w:sz w:val="20"/>
          <w:szCs w:val="20"/>
        </w:rPr>
        <w:t xml:space="preserve">percent </w:t>
      </w:r>
      <w:r w:rsidRPr="00604973">
        <w:rPr>
          <w:rFonts w:ascii="Arial" w:eastAsia="Arial" w:hAnsi="Arial" w:cs="Arial"/>
          <w:sz w:val="20"/>
          <w:szCs w:val="20"/>
        </w:rPr>
        <w:t>Muslim</w:t>
      </w:r>
      <w:r w:rsidR="001113AB" w:rsidRPr="00604973">
        <w:rPr>
          <w:rFonts w:ascii="Arial" w:eastAsia="Arial" w:hAnsi="Arial" w:cs="Arial"/>
          <w:sz w:val="20"/>
          <w:szCs w:val="20"/>
        </w:rPr>
        <w:t xml:space="preserve">, </w:t>
      </w:r>
      <w:r w:rsidR="006A2AF3" w:rsidRPr="00604973">
        <w:rPr>
          <w:rFonts w:ascii="Arial" w:eastAsia="Arial" w:hAnsi="Arial" w:cs="Arial"/>
          <w:sz w:val="20"/>
          <w:szCs w:val="20"/>
        </w:rPr>
        <w:t>of which an estimated 70 percent is Sunni</w:t>
      </w:r>
      <w:r w:rsidR="00882DA2">
        <w:rPr>
          <w:rFonts w:ascii="Arial" w:eastAsia="Arial" w:hAnsi="Arial" w:cs="Arial"/>
          <w:sz w:val="20"/>
          <w:szCs w:val="20"/>
        </w:rPr>
        <w:t xml:space="preserve"> and 30 percent is Shi’a (mostly </w:t>
      </w:r>
      <w:proofErr w:type="spellStart"/>
      <w:r w:rsidR="00882DA2">
        <w:rPr>
          <w:rFonts w:ascii="Arial" w:eastAsia="Arial" w:hAnsi="Arial" w:cs="Arial"/>
          <w:sz w:val="20"/>
          <w:szCs w:val="20"/>
        </w:rPr>
        <w:t>Ja’fa</w:t>
      </w:r>
      <w:r w:rsidR="00644467">
        <w:rPr>
          <w:rFonts w:ascii="Arial" w:eastAsia="Arial" w:hAnsi="Arial" w:cs="Arial"/>
          <w:sz w:val="20"/>
          <w:szCs w:val="20"/>
        </w:rPr>
        <w:t>ri</w:t>
      </w:r>
      <w:proofErr w:type="spellEnd"/>
      <w:r w:rsidR="00882DA2">
        <w:rPr>
          <w:rFonts w:ascii="Arial" w:eastAsia="Arial" w:hAnsi="Arial" w:cs="Arial"/>
          <w:sz w:val="20"/>
          <w:szCs w:val="20"/>
        </w:rPr>
        <w:t xml:space="preserve"> or Twelver Shi’a)</w:t>
      </w:r>
      <w:r w:rsidR="006A2AF3" w:rsidRPr="00604973">
        <w:rPr>
          <w:rFonts w:ascii="Arial" w:eastAsia="Arial" w:hAnsi="Arial" w:cs="Arial"/>
          <w:sz w:val="20"/>
          <w:szCs w:val="20"/>
        </w:rPr>
        <w:t>.</w:t>
      </w:r>
      <w:r w:rsidR="006A2AF3" w:rsidRPr="00604973">
        <w:rPr>
          <w:rStyle w:val="FootnoteReference"/>
          <w:rFonts w:ascii="Arial" w:eastAsia="Arial" w:hAnsi="Arial" w:cs="Arial"/>
          <w:sz w:val="20"/>
          <w:szCs w:val="20"/>
          <w:vertAlign w:val="superscript"/>
        </w:rPr>
        <w:footnoteReference w:id="4"/>
      </w:r>
      <w:r w:rsidR="006A2AF3" w:rsidRPr="00604973">
        <w:rPr>
          <w:rFonts w:ascii="Arial" w:eastAsia="Arial" w:hAnsi="Arial" w:cs="Arial"/>
          <w:sz w:val="20"/>
          <w:szCs w:val="20"/>
          <w:vertAlign w:val="superscript"/>
        </w:rPr>
        <w:t xml:space="preserve"> </w:t>
      </w:r>
      <w:r w:rsidR="00882DA2">
        <w:rPr>
          <w:rFonts w:ascii="Arial" w:eastAsia="Arial" w:hAnsi="Arial" w:cs="Arial"/>
          <w:sz w:val="20"/>
          <w:szCs w:val="20"/>
          <w:vertAlign w:val="superscript"/>
        </w:rPr>
        <w:t xml:space="preserve"> </w:t>
      </w:r>
      <w:r w:rsidR="006E7804" w:rsidRPr="00604973">
        <w:rPr>
          <w:rFonts w:ascii="Arial" w:eastAsia="Arial" w:hAnsi="Arial" w:cs="Arial"/>
          <w:sz w:val="20"/>
          <w:szCs w:val="20"/>
        </w:rPr>
        <w:t>N</w:t>
      </w:r>
      <w:r w:rsidRPr="00604973">
        <w:rPr>
          <w:rFonts w:ascii="Arial" w:eastAsia="Arial" w:hAnsi="Arial" w:cs="Arial"/>
          <w:sz w:val="20"/>
          <w:szCs w:val="20"/>
        </w:rPr>
        <w:t>on-Muslim religious communities</w:t>
      </w:r>
      <w:r w:rsidR="006A2AF3" w:rsidRPr="00604973">
        <w:rPr>
          <w:rFonts w:ascii="Arial" w:eastAsia="Arial" w:hAnsi="Arial" w:cs="Arial"/>
          <w:sz w:val="20"/>
          <w:szCs w:val="20"/>
        </w:rPr>
        <w:t>, the vast majority of which are foreign workers,</w:t>
      </w:r>
      <w:r w:rsidRPr="00604973">
        <w:rPr>
          <w:rFonts w:ascii="Arial" w:eastAsia="Arial" w:hAnsi="Arial" w:cs="Arial"/>
          <w:sz w:val="20"/>
          <w:szCs w:val="20"/>
        </w:rPr>
        <w:t xml:space="preserve"> include </w:t>
      </w:r>
      <w:r w:rsidR="006A2AF3" w:rsidRPr="00604973">
        <w:rPr>
          <w:rFonts w:ascii="Arial" w:eastAsia="Arial" w:hAnsi="Arial" w:cs="Arial"/>
          <w:sz w:val="20"/>
          <w:szCs w:val="20"/>
        </w:rPr>
        <w:t xml:space="preserve">Christians (estimated at 16 </w:t>
      </w:r>
      <w:r w:rsidR="006A2AF3" w:rsidRPr="00241ECF">
        <w:rPr>
          <w:rFonts w:ascii="Arial" w:eastAsia="Arial" w:hAnsi="Arial" w:cs="Arial"/>
          <w:sz w:val="20"/>
          <w:szCs w:val="20"/>
        </w:rPr>
        <w:t>percent of the total population), Hindus, Sikhs, Buddhists, Jains, and other smaller groups</w:t>
      </w:r>
      <w:r w:rsidRPr="00241ECF">
        <w:rPr>
          <w:rFonts w:ascii="Arial" w:eastAsia="Arial" w:hAnsi="Arial" w:cs="Arial"/>
          <w:sz w:val="20"/>
          <w:szCs w:val="20"/>
        </w:rPr>
        <w:t>.</w:t>
      </w:r>
      <w:r w:rsidRPr="00241ECF">
        <w:rPr>
          <w:rFonts w:ascii="Arial" w:eastAsia="Arial" w:hAnsi="Arial" w:cs="Arial"/>
          <w:sz w:val="20"/>
          <w:szCs w:val="20"/>
          <w:vertAlign w:val="superscript"/>
        </w:rPr>
        <w:footnoteReference w:id="5"/>
      </w:r>
      <w:r w:rsidRPr="00241ECF">
        <w:rPr>
          <w:rFonts w:ascii="Arial" w:eastAsia="Arial" w:hAnsi="Arial" w:cs="Arial"/>
          <w:sz w:val="20"/>
          <w:szCs w:val="20"/>
        </w:rPr>
        <w:t xml:space="preserve"> </w:t>
      </w:r>
    </w:p>
    <w:p w14:paraId="0DC3B796" w14:textId="77777777" w:rsidR="00E34556" w:rsidRPr="00241ECF" w:rsidRDefault="00E34556" w:rsidP="006A2AF3">
      <w:pPr>
        <w:pBdr>
          <w:top w:val="nil"/>
          <w:left w:val="nil"/>
          <w:bottom w:val="nil"/>
          <w:right w:val="nil"/>
          <w:between w:val="nil"/>
        </w:pBdr>
        <w:jc w:val="both"/>
        <w:rPr>
          <w:rFonts w:ascii="Arial" w:eastAsia="Arial" w:hAnsi="Arial" w:cs="Arial"/>
          <w:sz w:val="20"/>
          <w:szCs w:val="20"/>
        </w:rPr>
      </w:pPr>
    </w:p>
    <w:p w14:paraId="75547E3F" w14:textId="4FD5AE4F" w:rsidR="00604973" w:rsidRDefault="00BB1525" w:rsidP="00604973">
      <w:pPr>
        <w:pBdr>
          <w:top w:val="nil"/>
          <w:left w:val="nil"/>
          <w:bottom w:val="nil"/>
          <w:right w:val="nil"/>
          <w:between w:val="nil"/>
        </w:pBdr>
        <w:jc w:val="both"/>
        <w:rPr>
          <w:rFonts w:ascii="Arial" w:hAnsi="Arial" w:cs="Arial"/>
          <w:color w:val="000000" w:themeColor="text1"/>
          <w:sz w:val="20"/>
          <w:szCs w:val="20"/>
        </w:rPr>
      </w:pPr>
      <w:r w:rsidRPr="00241ECF">
        <w:rPr>
          <w:rFonts w:ascii="Arial" w:eastAsia="Arial" w:hAnsi="Arial" w:cs="Arial"/>
          <w:sz w:val="20"/>
          <w:szCs w:val="20"/>
        </w:rPr>
        <w:t>Kuwait is an Arab constitutional hereditary monarchy, with a deeply conservative and predominantly Muslim population</w:t>
      </w:r>
      <w:r w:rsidR="00F15E50">
        <w:rPr>
          <w:rFonts w:ascii="Arial" w:eastAsia="Arial" w:hAnsi="Arial" w:cs="Arial"/>
          <w:sz w:val="20"/>
          <w:szCs w:val="20"/>
        </w:rPr>
        <w:t xml:space="preserve">. </w:t>
      </w:r>
      <w:r w:rsidR="00E34556" w:rsidRPr="00241ECF">
        <w:rPr>
          <w:rFonts w:ascii="Arial" w:eastAsia="Arial" w:hAnsi="Arial" w:cs="Arial"/>
          <w:sz w:val="20"/>
          <w:szCs w:val="20"/>
        </w:rPr>
        <w:t xml:space="preserve">The Constitution of 1962 </w:t>
      </w:r>
      <w:r w:rsidR="00EF0C9D" w:rsidRPr="00241ECF">
        <w:rPr>
          <w:rFonts w:ascii="Arial" w:eastAsia="Arial" w:hAnsi="Arial" w:cs="Arial"/>
          <w:sz w:val="20"/>
          <w:szCs w:val="20"/>
        </w:rPr>
        <w:t>establishes</w:t>
      </w:r>
      <w:r w:rsidR="00E34556" w:rsidRPr="00241ECF">
        <w:rPr>
          <w:rFonts w:ascii="Arial" w:eastAsia="Arial" w:hAnsi="Arial" w:cs="Arial"/>
          <w:sz w:val="20"/>
          <w:szCs w:val="20"/>
        </w:rPr>
        <w:t xml:space="preserve"> </w:t>
      </w:r>
      <w:r w:rsidR="00EF0C9D" w:rsidRPr="00241ECF">
        <w:rPr>
          <w:rFonts w:ascii="Arial" w:eastAsia="Arial" w:hAnsi="Arial" w:cs="Arial"/>
          <w:sz w:val="20"/>
          <w:szCs w:val="20"/>
        </w:rPr>
        <w:t>Kuwait as an independent Arab and Muslim State</w:t>
      </w:r>
      <w:r w:rsidR="00E34556" w:rsidRPr="00241ECF">
        <w:rPr>
          <w:rFonts w:ascii="Arial" w:eastAsia="Arial" w:hAnsi="Arial" w:cs="Arial"/>
          <w:sz w:val="20"/>
          <w:szCs w:val="20"/>
        </w:rPr>
        <w:t>.</w:t>
      </w:r>
      <w:r w:rsidR="00E34556" w:rsidRPr="00241ECF">
        <w:rPr>
          <w:rStyle w:val="FootnoteReference"/>
          <w:rFonts w:ascii="Arial" w:eastAsia="Arial" w:hAnsi="Arial" w:cs="Arial"/>
          <w:sz w:val="20"/>
          <w:szCs w:val="20"/>
          <w:vertAlign w:val="superscript"/>
        </w:rPr>
        <w:footnoteReference w:id="6"/>
      </w:r>
      <w:r w:rsidR="00E34556" w:rsidRPr="00241ECF">
        <w:rPr>
          <w:rFonts w:ascii="Arial" w:eastAsia="Arial" w:hAnsi="Arial" w:cs="Arial"/>
          <w:sz w:val="20"/>
          <w:szCs w:val="20"/>
          <w:vertAlign w:val="superscript"/>
        </w:rPr>
        <w:t xml:space="preserve"> </w:t>
      </w:r>
      <w:r w:rsidR="0060027E">
        <w:rPr>
          <w:rFonts w:ascii="Arial" w:eastAsia="Arial" w:hAnsi="Arial" w:cs="Arial"/>
          <w:sz w:val="20"/>
          <w:szCs w:val="20"/>
          <w:vertAlign w:val="superscript"/>
        </w:rPr>
        <w:t xml:space="preserve"> </w:t>
      </w:r>
      <w:r w:rsidR="00E34556" w:rsidRPr="00241ECF">
        <w:rPr>
          <w:rFonts w:ascii="Arial" w:eastAsia="Arial" w:hAnsi="Arial" w:cs="Arial"/>
          <w:sz w:val="20"/>
          <w:szCs w:val="20"/>
        </w:rPr>
        <w:t xml:space="preserve">Article 2 of </w:t>
      </w:r>
      <w:r w:rsidR="00EF0C9D" w:rsidRPr="00241ECF">
        <w:rPr>
          <w:rFonts w:ascii="Arial" w:eastAsia="Arial" w:hAnsi="Arial" w:cs="Arial"/>
          <w:sz w:val="20"/>
          <w:szCs w:val="20"/>
        </w:rPr>
        <w:t>the</w:t>
      </w:r>
      <w:r w:rsidR="00E34556" w:rsidRPr="00241ECF">
        <w:rPr>
          <w:rFonts w:ascii="Arial" w:eastAsia="Arial" w:hAnsi="Arial" w:cs="Arial"/>
          <w:sz w:val="20"/>
          <w:szCs w:val="20"/>
        </w:rPr>
        <w:t xml:space="preserve"> Constitution provides that Islam is the religion of the State and Islamic </w:t>
      </w:r>
      <w:proofErr w:type="spellStart"/>
      <w:r w:rsidR="00E34556" w:rsidRPr="00241ECF">
        <w:rPr>
          <w:rFonts w:ascii="Arial" w:eastAsia="Arial" w:hAnsi="Arial" w:cs="Arial"/>
          <w:sz w:val="20"/>
          <w:szCs w:val="20"/>
        </w:rPr>
        <w:t>Shari’a</w:t>
      </w:r>
      <w:r w:rsidR="00FC5891" w:rsidRPr="00241ECF">
        <w:rPr>
          <w:rFonts w:ascii="Arial" w:eastAsia="Arial" w:hAnsi="Arial" w:cs="Arial"/>
          <w:sz w:val="20"/>
          <w:szCs w:val="20"/>
        </w:rPr>
        <w:t>h</w:t>
      </w:r>
      <w:proofErr w:type="spellEnd"/>
      <w:r w:rsidR="00E34556" w:rsidRPr="00241ECF">
        <w:rPr>
          <w:rFonts w:ascii="Arial" w:eastAsia="Arial" w:hAnsi="Arial" w:cs="Arial"/>
          <w:sz w:val="20"/>
          <w:szCs w:val="20"/>
        </w:rPr>
        <w:t xml:space="preserve"> is a main source of legislation.</w:t>
      </w:r>
      <w:r w:rsidR="00A21500" w:rsidRPr="00241ECF">
        <w:rPr>
          <w:rStyle w:val="FootnoteReference"/>
          <w:rFonts w:ascii="Arial" w:eastAsia="Arial" w:hAnsi="Arial" w:cs="Arial"/>
          <w:sz w:val="20"/>
          <w:szCs w:val="20"/>
          <w:vertAlign w:val="superscript"/>
        </w:rPr>
        <w:footnoteReference w:id="7"/>
      </w:r>
      <w:r w:rsidR="0060027E">
        <w:rPr>
          <w:rFonts w:ascii="Arial" w:eastAsia="Arial" w:hAnsi="Arial" w:cs="Arial"/>
          <w:sz w:val="20"/>
          <w:szCs w:val="20"/>
        </w:rPr>
        <w:t xml:space="preserve"> </w:t>
      </w:r>
      <w:r w:rsidR="000A1F33" w:rsidRPr="00241ECF">
        <w:rPr>
          <w:rFonts w:ascii="Arial" w:eastAsia="Arial" w:hAnsi="Arial" w:cs="Arial"/>
          <w:sz w:val="20"/>
          <w:szCs w:val="20"/>
        </w:rPr>
        <w:t xml:space="preserve">Other relevant articles include </w:t>
      </w:r>
      <w:r w:rsidR="000A1F33" w:rsidRPr="00241ECF">
        <w:rPr>
          <w:rFonts w:ascii="Arial" w:hAnsi="Arial" w:cs="Arial"/>
          <w:sz w:val="20"/>
          <w:szCs w:val="20"/>
          <w:lang w:val="en-GB"/>
        </w:rPr>
        <w:t>A</w:t>
      </w:r>
      <w:r w:rsidR="000A1F33" w:rsidRPr="00241ECF">
        <w:rPr>
          <w:rFonts w:ascii="Arial" w:hAnsi="Arial" w:cs="Arial"/>
          <w:color w:val="000000" w:themeColor="text1"/>
          <w:sz w:val="20"/>
          <w:szCs w:val="20"/>
          <w:lang w:val="en-GB"/>
        </w:rPr>
        <w:t xml:space="preserve">rticle 7, which states that justice, freedom and equality are the pillars of society; Article 8, which provides that the State shall preserve “the pillars of society and shall guarantee security, tranquillity and equal opportunity to all citizens,” and Article 9, which </w:t>
      </w:r>
      <w:r w:rsidR="000A1F33" w:rsidRPr="00241ECF">
        <w:rPr>
          <w:rFonts w:ascii="Arial" w:eastAsia="Arial" w:hAnsi="Arial" w:cs="Arial"/>
          <w:sz w:val="20"/>
          <w:szCs w:val="20"/>
        </w:rPr>
        <w:t>declares the family to be “the foundation of society,” and that the law shall strive to preserve it, strengthen its bonds, and protect motherhood and childhood within its structure</w:t>
      </w:r>
      <w:r w:rsidR="000A1F33" w:rsidRPr="00241ECF">
        <w:rPr>
          <w:rFonts w:ascii="Arial" w:hAnsi="Arial" w:cs="Arial"/>
          <w:color w:val="000000" w:themeColor="text1"/>
          <w:sz w:val="20"/>
          <w:szCs w:val="20"/>
          <w:lang w:val="en-GB"/>
        </w:rPr>
        <w:t>.</w:t>
      </w:r>
      <w:r w:rsidR="000A1F33" w:rsidRPr="00241ECF">
        <w:rPr>
          <w:rStyle w:val="FootnoteReference"/>
          <w:rFonts w:ascii="Arial" w:hAnsi="Arial" w:cs="Arial"/>
          <w:color w:val="000000" w:themeColor="text1"/>
          <w:sz w:val="20"/>
          <w:szCs w:val="20"/>
          <w:vertAlign w:val="superscript"/>
          <w:lang w:val="en-GB"/>
        </w:rPr>
        <w:footnoteReference w:id="8"/>
      </w:r>
      <w:r w:rsidR="000A1F33" w:rsidRPr="00241ECF">
        <w:rPr>
          <w:rFonts w:ascii="Arial" w:hAnsi="Arial" w:cs="Arial"/>
          <w:color w:val="000000" w:themeColor="text1"/>
          <w:sz w:val="20"/>
          <w:szCs w:val="20"/>
          <w:lang w:val="en-GB"/>
        </w:rPr>
        <w:t xml:space="preserve"> Article </w:t>
      </w:r>
      <w:r w:rsidR="00E34556" w:rsidRPr="00241ECF">
        <w:rPr>
          <w:rFonts w:ascii="Arial" w:eastAsia="Arial" w:hAnsi="Arial" w:cs="Arial"/>
          <w:sz w:val="20"/>
          <w:szCs w:val="20"/>
        </w:rPr>
        <w:t xml:space="preserve">29 </w:t>
      </w:r>
      <w:r w:rsidR="000A1F33" w:rsidRPr="00241ECF">
        <w:rPr>
          <w:rFonts w:ascii="Arial" w:eastAsia="Arial" w:hAnsi="Arial" w:cs="Arial"/>
          <w:sz w:val="20"/>
          <w:szCs w:val="20"/>
        </w:rPr>
        <w:t>of the Constitution</w:t>
      </w:r>
      <w:r w:rsidR="00C41BCD">
        <w:rPr>
          <w:rFonts w:ascii="Arial" w:eastAsia="Arial" w:hAnsi="Arial" w:cs="Arial"/>
          <w:sz w:val="20"/>
          <w:szCs w:val="20"/>
        </w:rPr>
        <w:t xml:space="preserve"> of Kuwait</w:t>
      </w:r>
      <w:r w:rsidR="000A1F33" w:rsidRPr="00241ECF">
        <w:rPr>
          <w:rFonts w:ascii="Arial" w:eastAsia="Arial" w:hAnsi="Arial" w:cs="Arial"/>
          <w:sz w:val="20"/>
          <w:szCs w:val="20"/>
        </w:rPr>
        <w:t xml:space="preserve"> </w:t>
      </w:r>
      <w:r w:rsidR="00E34556" w:rsidRPr="00241ECF">
        <w:rPr>
          <w:rFonts w:ascii="Arial" w:eastAsia="Arial" w:hAnsi="Arial" w:cs="Arial"/>
          <w:sz w:val="20"/>
          <w:szCs w:val="20"/>
        </w:rPr>
        <w:t>emphasizes</w:t>
      </w:r>
      <w:r w:rsidR="00A21500" w:rsidRPr="00241ECF">
        <w:rPr>
          <w:rFonts w:ascii="Arial" w:eastAsia="Arial" w:hAnsi="Arial" w:cs="Arial"/>
          <w:sz w:val="20"/>
          <w:szCs w:val="20"/>
        </w:rPr>
        <w:t xml:space="preserve"> that people are equal under the law in rights and public duties</w:t>
      </w:r>
      <w:r w:rsidR="00E34556" w:rsidRPr="00241ECF">
        <w:rPr>
          <w:rFonts w:ascii="Arial" w:eastAsia="Arial" w:hAnsi="Arial" w:cs="Arial"/>
          <w:sz w:val="20"/>
          <w:szCs w:val="20"/>
        </w:rPr>
        <w:t xml:space="preserve"> and </w:t>
      </w:r>
      <w:r w:rsidR="00A21500" w:rsidRPr="00241ECF">
        <w:rPr>
          <w:rFonts w:ascii="Arial" w:eastAsia="Arial" w:hAnsi="Arial" w:cs="Arial"/>
          <w:sz w:val="20"/>
          <w:szCs w:val="20"/>
        </w:rPr>
        <w:t>prohibit</w:t>
      </w:r>
      <w:r w:rsidR="00CE310D">
        <w:rPr>
          <w:rFonts w:ascii="Arial" w:eastAsia="Arial" w:hAnsi="Arial" w:cs="Arial"/>
          <w:sz w:val="20"/>
          <w:szCs w:val="20"/>
        </w:rPr>
        <w:t>s</w:t>
      </w:r>
      <w:r w:rsidR="00A21500" w:rsidRPr="00241ECF">
        <w:rPr>
          <w:rFonts w:ascii="Arial" w:eastAsia="Arial" w:hAnsi="Arial" w:cs="Arial"/>
          <w:sz w:val="20"/>
          <w:szCs w:val="20"/>
        </w:rPr>
        <w:t xml:space="preserve"> discrimination on the basis of sex, origin, language, or religion.</w:t>
      </w:r>
      <w:r w:rsidR="00A21500" w:rsidRPr="00241ECF">
        <w:rPr>
          <w:rStyle w:val="FootnoteReference"/>
          <w:rFonts w:ascii="Arial" w:eastAsia="Arial" w:hAnsi="Arial" w:cs="Arial"/>
          <w:sz w:val="20"/>
          <w:szCs w:val="20"/>
          <w:vertAlign w:val="superscript"/>
        </w:rPr>
        <w:footnoteReference w:id="9"/>
      </w:r>
      <w:r w:rsidR="0060027E">
        <w:rPr>
          <w:rFonts w:ascii="Arial" w:eastAsia="Arial" w:hAnsi="Arial" w:cs="Arial"/>
          <w:sz w:val="20"/>
          <w:szCs w:val="20"/>
        </w:rPr>
        <w:t xml:space="preserve"> A</w:t>
      </w:r>
      <w:r w:rsidR="00E34556" w:rsidRPr="00241ECF">
        <w:rPr>
          <w:rFonts w:ascii="Arial" w:eastAsia="Arial" w:hAnsi="Arial" w:cs="Arial"/>
          <w:sz w:val="20"/>
          <w:szCs w:val="20"/>
        </w:rPr>
        <w:t xml:space="preserve">rticle 18 further </w:t>
      </w:r>
      <w:r w:rsidR="00E34556" w:rsidRPr="00241ECF">
        <w:rPr>
          <w:rFonts w:ascii="Arial" w:eastAsia="Arial" w:hAnsi="Arial" w:cs="Arial"/>
          <w:sz w:val="20"/>
          <w:szCs w:val="20"/>
        </w:rPr>
        <w:lastRenderedPageBreak/>
        <w:t xml:space="preserve">states that </w:t>
      </w:r>
      <w:r w:rsidR="00E34556" w:rsidRPr="00241ECF">
        <w:rPr>
          <w:rFonts w:ascii="Arial" w:hAnsi="Arial" w:cs="Arial"/>
          <w:color w:val="000000" w:themeColor="text1"/>
          <w:sz w:val="20"/>
          <w:szCs w:val="20"/>
        </w:rPr>
        <w:t xml:space="preserve">matters of inheritance are to be governed by </w:t>
      </w:r>
      <w:proofErr w:type="spellStart"/>
      <w:r w:rsidR="00E34556" w:rsidRPr="00241ECF">
        <w:rPr>
          <w:rFonts w:ascii="Arial" w:hAnsi="Arial" w:cs="Arial"/>
          <w:color w:val="000000" w:themeColor="text1"/>
          <w:sz w:val="20"/>
          <w:szCs w:val="20"/>
        </w:rPr>
        <w:t>Shari’a</w:t>
      </w:r>
      <w:r w:rsidR="00FC5891" w:rsidRPr="00241ECF">
        <w:rPr>
          <w:rFonts w:ascii="Arial" w:hAnsi="Arial" w:cs="Arial"/>
          <w:color w:val="000000" w:themeColor="text1"/>
          <w:sz w:val="20"/>
          <w:szCs w:val="20"/>
        </w:rPr>
        <w:t>h</w:t>
      </w:r>
      <w:proofErr w:type="spellEnd"/>
      <w:r w:rsidR="00F15E50">
        <w:rPr>
          <w:rFonts w:ascii="Arial" w:hAnsi="Arial" w:cs="Arial"/>
          <w:color w:val="000000" w:themeColor="text1"/>
          <w:sz w:val="20"/>
          <w:szCs w:val="20"/>
        </w:rPr>
        <w:t xml:space="preserve">. </w:t>
      </w:r>
      <w:r w:rsidR="00E34556" w:rsidRPr="00241ECF">
        <w:rPr>
          <w:rFonts w:ascii="Arial" w:hAnsi="Arial" w:cs="Arial"/>
          <w:color w:val="000000" w:themeColor="text1"/>
          <w:sz w:val="20"/>
          <w:szCs w:val="20"/>
        </w:rPr>
        <w:t xml:space="preserve">The Constitution does not define </w:t>
      </w:r>
      <w:proofErr w:type="spellStart"/>
      <w:r w:rsidR="00E34556" w:rsidRPr="00241ECF">
        <w:rPr>
          <w:rFonts w:ascii="Arial" w:hAnsi="Arial" w:cs="Arial"/>
          <w:color w:val="000000" w:themeColor="text1"/>
          <w:sz w:val="20"/>
          <w:szCs w:val="20"/>
        </w:rPr>
        <w:t>Shari’a</w:t>
      </w:r>
      <w:r w:rsidR="00FC5891" w:rsidRPr="00241ECF">
        <w:rPr>
          <w:rFonts w:ascii="Arial" w:hAnsi="Arial" w:cs="Arial"/>
          <w:color w:val="000000" w:themeColor="text1"/>
          <w:sz w:val="20"/>
          <w:szCs w:val="20"/>
        </w:rPr>
        <w:t>h</w:t>
      </w:r>
      <w:proofErr w:type="spellEnd"/>
      <w:r w:rsidR="00E34556" w:rsidRPr="00241ECF">
        <w:rPr>
          <w:rFonts w:ascii="Arial" w:hAnsi="Arial" w:cs="Arial"/>
          <w:color w:val="000000" w:themeColor="text1"/>
          <w:sz w:val="20"/>
          <w:szCs w:val="20"/>
        </w:rPr>
        <w:t xml:space="preserve"> explicitly, thereby leaving the interpretation, definition, and application of </w:t>
      </w:r>
      <w:proofErr w:type="spellStart"/>
      <w:r w:rsidR="00E34556" w:rsidRPr="00241ECF">
        <w:rPr>
          <w:rFonts w:ascii="Arial" w:hAnsi="Arial" w:cs="Arial"/>
          <w:color w:val="000000" w:themeColor="text1"/>
          <w:sz w:val="20"/>
          <w:szCs w:val="20"/>
        </w:rPr>
        <w:t>Shari’a</w:t>
      </w:r>
      <w:r w:rsidR="00FC5891" w:rsidRPr="00241ECF">
        <w:rPr>
          <w:rFonts w:ascii="Arial" w:hAnsi="Arial" w:cs="Arial"/>
          <w:color w:val="000000" w:themeColor="text1"/>
          <w:sz w:val="20"/>
          <w:szCs w:val="20"/>
        </w:rPr>
        <w:t>h</w:t>
      </w:r>
      <w:proofErr w:type="spellEnd"/>
      <w:r w:rsidR="00FC5891" w:rsidRPr="00241ECF">
        <w:rPr>
          <w:rFonts w:ascii="Arial" w:hAnsi="Arial" w:cs="Arial"/>
          <w:color w:val="000000" w:themeColor="text1"/>
          <w:sz w:val="20"/>
          <w:szCs w:val="20"/>
        </w:rPr>
        <w:t xml:space="preserve"> in the </w:t>
      </w:r>
      <w:r w:rsidR="00E34556" w:rsidRPr="00241ECF">
        <w:rPr>
          <w:rFonts w:ascii="Arial" w:hAnsi="Arial" w:cs="Arial"/>
          <w:color w:val="000000" w:themeColor="text1"/>
          <w:sz w:val="20"/>
          <w:szCs w:val="20"/>
        </w:rPr>
        <w:t xml:space="preserve">hands of the legislature and </w:t>
      </w:r>
      <w:r w:rsidR="00FC5891" w:rsidRPr="00241ECF">
        <w:rPr>
          <w:rFonts w:ascii="Arial" w:hAnsi="Arial" w:cs="Arial"/>
          <w:color w:val="000000" w:themeColor="text1"/>
          <w:sz w:val="20"/>
          <w:szCs w:val="20"/>
        </w:rPr>
        <w:t xml:space="preserve">the </w:t>
      </w:r>
      <w:r w:rsidR="00E34556" w:rsidRPr="00241ECF">
        <w:rPr>
          <w:rFonts w:ascii="Arial" w:hAnsi="Arial" w:cs="Arial"/>
          <w:color w:val="000000" w:themeColor="text1"/>
          <w:sz w:val="20"/>
          <w:szCs w:val="20"/>
        </w:rPr>
        <w:t>courts.</w:t>
      </w:r>
      <w:r w:rsidR="0060027E" w:rsidRPr="00241ECF">
        <w:rPr>
          <w:rStyle w:val="FootnoteReference"/>
          <w:rFonts w:ascii="Arial" w:eastAsia="Arial" w:hAnsi="Arial" w:cs="Arial"/>
          <w:color w:val="000000" w:themeColor="text1"/>
          <w:sz w:val="20"/>
          <w:szCs w:val="20"/>
          <w:vertAlign w:val="superscript"/>
          <w:lang w:val="en-GB"/>
        </w:rPr>
        <w:footnoteReference w:id="10"/>
      </w:r>
      <w:r w:rsidR="0060027E" w:rsidRPr="00241ECF">
        <w:rPr>
          <w:rFonts w:ascii="Arial" w:eastAsia="Arial" w:hAnsi="Arial" w:cs="Arial"/>
          <w:color w:val="000000" w:themeColor="text1"/>
          <w:sz w:val="20"/>
          <w:szCs w:val="20"/>
          <w:vertAlign w:val="superscript"/>
          <w:lang w:val="en-GB"/>
        </w:rPr>
        <w:t xml:space="preserve"> </w:t>
      </w:r>
      <w:r w:rsidR="00E34556" w:rsidRPr="00241ECF">
        <w:rPr>
          <w:rFonts w:ascii="Arial" w:hAnsi="Arial" w:cs="Arial"/>
          <w:color w:val="000000" w:themeColor="text1"/>
          <w:sz w:val="20"/>
          <w:szCs w:val="20"/>
        </w:rPr>
        <w:t xml:space="preserve"> </w:t>
      </w:r>
    </w:p>
    <w:p w14:paraId="71281488" w14:textId="77777777" w:rsidR="00604973" w:rsidRPr="00241ECF" w:rsidRDefault="00604973" w:rsidP="00604973">
      <w:pPr>
        <w:pBdr>
          <w:top w:val="nil"/>
          <w:left w:val="nil"/>
          <w:bottom w:val="nil"/>
          <w:right w:val="nil"/>
          <w:between w:val="nil"/>
        </w:pBdr>
        <w:jc w:val="both"/>
        <w:rPr>
          <w:rFonts w:ascii="Arial" w:eastAsia="Arial" w:hAnsi="Arial" w:cs="Arial"/>
          <w:sz w:val="20"/>
          <w:szCs w:val="20"/>
        </w:rPr>
      </w:pPr>
    </w:p>
    <w:p w14:paraId="3E75F576" w14:textId="61D835E5" w:rsidR="000F6141" w:rsidRPr="00241ECF" w:rsidRDefault="000F6141" w:rsidP="00FD3383">
      <w:pPr>
        <w:jc w:val="both"/>
        <w:rPr>
          <w:rFonts w:ascii="Arial" w:hAnsi="Arial" w:cs="Arial"/>
          <w:color w:val="000000" w:themeColor="text1"/>
          <w:sz w:val="20"/>
          <w:szCs w:val="20"/>
        </w:rPr>
      </w:pPr>
      <w:r w:rsidRPr="00241ECF">
        <w:rPr>
          <w:rFonts w:ascii="Arial" w:hAnsi="Arial" w:cs="Arial"/>
          <w:color w:val="000000" w:themeColor="text1"/>
          <w:sz w:val="20"/>
          <w:szCs w:val="20"/>
        </w:rPr>
        <w:t xml:space="preserve">The Judiciary Law of 1990 organizes the court system in Kuwait, which comprises </w:t>
      </w:r>
      <w:r w:rsidR="00241ECF">
        <w:rPr>
          <w:rFonts w:ascii="Arial" w:hAnsi="Arial" w:cs="Arial"/>
          <w:color w:val="000000" w:themeColor="text1"/>
          <w:sz w:val="20"/>
          <w:szCs w:val="20"/>
        </w:rPr>
        <w:t>C</w:t>
      </w:r>
      <w:r w:rsidRPr="00241ECF">
        <w:rPr>
          <w:rFonts w:ascii="Arial" w:hAnsi="Arial" w:cs="Arial"/>
          <w:color w:val="000000" w:themeColor="text1"/>
          <w:sz w:val="20"/>
          <w:szCs w:val="20"/>
        </w:rPr>
        <w:t xml:space="preserve">ourts of </w:t>
      </w:r>
      <w:r w:rsidR="00241ECF">
        <w:rPr>
          <w:rFonts w:ascii="Arial" w:hAnsi="Arial" w:cs="Arial"/>
          <w:color w:val="000000" w:themeColor="text1"/>
          <w:sz w:val="20"/>
          <w:szCs w:val="20"/>
        </w:rPr>
        <w:t>F</w:t>
      </w:r>
      <w:r w:rsidRPr="00241ECF">
        <w:rPr>
          <w:rFonts w:ascii="Arial" w:hAnsi="Arial" w:cs="Arial"/>
          <w:color w:val="000000" w:themeColor="text1"/>
          <w:sz w:val="20"/>
          <w:szCs w:val="20"/>
        </w:rPr>
        <w:t xml:space="preserve">irst </w:t>
      </w:r>
      <w:r w:rsidR="00241ECF">
        <w:rPr>
          <w:rFonts w:ascii="Arial" w:hAnsi="Arial" w:cs="Arial"/>
          <w:color w:val="000000" w:themeColor="text1"/>
          <w:sz w:val="20"/>
          <w:szCs w:val="20"/>
        </w:rPr>
        <w:t>I</w:t>
      </w:r>
      <w:r w:rsidRPr="00241ECF">
        <w:rPr>
          <w:rFonts w:ascii="Arial" w:hAnsi="Arial" w:cs="Arial"/>
          <w:color w:val="000000" w:themeColor="text1"/>
          <w:sz w:val="20"/>
          <w:szCs w:val="20"/>
        </w:rPr>
        <w:t>nstance</w:t>
      </w:r>
      <w:r w:rsidR="00FC5891" w:rsidRPr="00241ECF">
        <w:rPr>
          <w:rFonts w:ascii="Arial" w:hAnsi="Arial" w:cs="Arial"/>
          <w:color w:val="000000" w:themeColor="text1"/>
          <w:sz w:val="20"/>
          <w:szCs w:val="20"/>
        </w:rPr>
        <w:t xml:space="preserve">, </w:t>
      </w:r>
      <w:r w:rsidR="00241ECF">
        <w:rPr>
          <w:rFonts w:ascii="Arial" w:hAnsi="Arial" w:cs="Arial"/>
          <w:color w:val="000000" w:themeColor="text1"/>
          <w:sz w:val="20"/>
          <w:szCs w:val="20"/>
        </w:rPr>
        <w:t>C</w:t>
      </w:r>
      <w:r w:rsidRPr="00241ECF">
        <w:rPr>
          <w:rFonts w:ascii="Arial" w:hAnsi="Arial" w:cs="Arial"/>
          <w:color w:val="000000" w:themeColor="text1"/>
          <w:sz w:val="20"/>
          <w:szCs w:val="20"/>
        </w:rPr>
        <w:t xml:space="preserve">ourts of </w:t>
      </w:r>
      <w:r w:rsidR="00241ECF">
        <w:rPr>
          <w:rFonts w:ascii="Arial" w:hAnsi="Arial" w:cs="Arial"/>
          <w:color w:val="000000" w:themeColor="text1"/>
          <w:sz w:val="20"/>
          <w:szCs w:val="20"/>
        </w:rPr>
        <w:t>A</w:t>
      </w:r>
      <w:r w:rsidRPr="00241ECF">
        <w:rPr>
          <w:rFonts w:ascii="Arial" w:hAnsi="Arial" w:cs="Arial"/>
          <w:color w:val="000000" w:themeColor="text1"/>
          <w:sz w:val="20"/>
          <w:szCs w:val="20"/>
        </w:rPr>
        <w:t>ppeal, and a Cassation Court, in addition to the Constitutional Court</w:t>
      </w:r>
      <w:r w:rsidR="00D940E9">
        <w:rPr>
          <w:rFonts w:ascii="Arial" w:hAnsi="Arial" w:cs="Arial"/>
          <w:color w:val="000000" w:themeColor="text1"/>
          <w:sz w:val="20"/>
          <w:szCs w:val="20"/>
        </w:rPr>
        <w:t>,</w:t>
      </w:r>
      <w:r w:rsidRPr="00241ECF">
        <w:rPr>
          <w:rFonts w:ascii="Arial" w:hAnsi="Arial" w:cs="Arial"/>
          <w:color w:val="000000" w:themeColor="text1"/>
          <w:sz w:val="20"/>
          <w:szCs w:val="20"/>
        </w:rPr>
        <w:t xml:space="preserve"> which has exclusive jurisdiction over constitutional questions and elections disputes.</w:t>
      </w:r>
      <w:r w:rsidRPr="00241ECF">
        <w:rPr>
          <w:rStyle w:val="FootnoteReference"/>
          <w:rFonts w:ascii="Arial" w:eastAsia="Corbel" w:hAnsi="Arial" w:cs="Arial"/>
          <w:color w:val="000000" w:themeColor="text1"/>
          <w:sz w:val="20"/>
          <w:szCs w:val="20"/>
          <w:vertAlign w:val="superscript"/>
        </w:rPr>
        <w:footnoteReference w:id="11"/>
      </w:r>
      <w:r w:rsidR="0060027E">
        <w:rPr>
          <w:rFonts w:ascii="Arial" w:hAnsi="Arial" w:cs="Arial"/>
          <w:color w:val="000000" w:themeColor="text1"/>
          <w:sz w:val="20"/>
          <w:szCs w:val="20"/>
        </w:rPr>
        <w:t xml:space="preserve"> </w:t>
      </w:r>
      <w:r w:rsidRPr="00241ECF">
        <w:rPr>
          <w:rFonts w:ascii="Arial" w:hAnsi="Arial" w:cs="Arial"/>
          <w:color w:val="000000" w:themeColor="text1"/>
          <w:sz w:val="20"/>
          <w:szCs w:val="20"/>
        </w:rPr>
        <w:t>Within each level, courts are divided into civil, criminal, commercial, administrative, and personal status</w:t>
      </w:r>
      <w:r w:rsidR="001113AB" w:rsidRPr="00241ECF">
        <w:rPr>
          <w:rFonts w:ascii="Arial" w:hAnsi="Arial" w:cs="Arial"/>
          <w:color w:val="000000" w:themeColor="text1"/>
          <w:sz w:val="20"/>
          <w:szCs w:val="20"/>
        </w:rPr>
        <w:t xml:space="preserve"> </w:t>
      </w:r>
      <w:r w:rsidR="00FC5891" w:rsidRPr="00241ECF">
        <w:rPr>
          <w:rFonts w:ascii="Arial" w:hAnsi="Arial" w:cs="Arial"/>
          <w:color w:val="000000" w:themeColor="text1"/>
          <w:sz w:val="20"/>
          <w:szCs w:val="20"/>
        </w:rPr>
        <w:t xml:space="preserve">court </w:t>
      </w:r>
      <w:r w:rsidRPr="00241ECF">
        <w:rPr>
          <w:rFonts w:ascii="Arial" w:hAnsi="Arial" w:cs="Arial"/>
          <w:color w:val="000000" w:themeColor="text1"/>
          <w:sz w:val="20"/>
          <w:szCs w:val="20"/>
        </w:rPr>
        <w:t>chambers</w:t>
      </w:r>
      <w:r w:rsidR="00FC5891" w:rsidRPr="00241ECF">
        <w:rPr>
          <w:rFonts w:ascii="Arial" w:hAnsi="Arial" w:cs="Arial"/>
          <w:color w:val="000000" w:themeColor="text1"/>
          <w:sz w:val="20"/>
          <w:szCs w:val="20"/>
        </w:rPr>
        <w:t>, including Sunni and Shi’a (</w:t>
      </w:r>
      <w:proofErr w:type="spellStart"/>
      <w:r w:rsidR="00FC5891" w:rsidRPr="00241ECF">
        <w:rPr>
          <w:rFonts w:ascii="Arial" w:hAnsi="Arial" w:cs="Arial"/>
          <w:color w:val="000000" w:themeColor="text1"/>
          <w:sz w:val="20"/>
          <w:szCs w:val="20"/>
        </w:rPr>
        <w:t>Ja’fari</w:t>
      </w:r>
      <w:proofErr w:type="spellEnd"/>
      <w:r w:rsidR="00FC5891" w:rsidRPr="00241ECF">
        <w:rPr>
          <w:rFonts w:ascii="Arial" w:hAnsi="Arial" w:cs="Arial"/>
          <w:color w:val="000000" w:themeColor="text1"/>
          <w:sz w:val="20"/>
          <w:szCs w:val="20"/>
        </w:rPr>
        <w:t>) personal status</w:t>
      </w:r>
      <w:r w:rsidR="00241ECF">
        <w:rPr>
          <w:rFonts w:ascii="Arial" w:hAnsi="Arial" w:cs="Arial"/>
          <w:color w:val="000000" w:themeColor="text1"/>
          <w:sz w:val="20"/>
          <w:szCs w:val="20"/>
        </w:rPr>
        <w:t xml:space="preserve"> </w:t>
      </w:r>
      <w:r w:rsidR="00FD3383">
        <w:rPr>
          <w:rFonts w:ascii="Arial" w:hAnsi="Arial" w:cs="Arial"/>
          <w:color w:val="000000" w:themeColor="text1"/>
          <w:sz w:val="20"/>
          <w:szCs w:val="20"/>
        </w:rPr>
        <w:t>court</w:t>
      </w:r>
      <w:r w:rsidR="00FC5891" w:rsidRPr="00241ECF">
        <w:rPr>
          <w:rFonts w:ascii="Arial" w:hAnsi="Arial" w:cs="Arial"/>
          <w:color w:val="000000" w:themeColor="text1"/>
          <w:sz w:val="20"/>
          <w:szCs w:val="20"/>
        </w:rPr>
        <w:t xml:space="preserve"> chambers</w:t>
      </w:r>
      <w:r w:rsidRPr="00241ECF">
        <w:rPr>
          <w:rFonts w:ascii="Arial" w:hAnsi="Arial" w:cs="Arial"/>
          <w:color w:val="000000" w:themeColor="text1"/>
          <w:sz w:val="20"/>
          <w:szCs w:val="20"/>
        </w:rPr>
        <w:t>.</w:t>
      </w:r>
      <w:r w:rsidRPr="00241ECF">
        <w:rPr>
          <w:rStyle w:val="FootnoteReference"/>
          <w:rFonts w:ascii="Arial" w:eastAsia="Corbel" w:hAnsi="Arial" w:cs="Arial"/>
          <w:color w:val="000000" w:themeColor="text1"/>
          <w:sz w:val="20"/>
          <w:szCs w:val="20"/>
          <w:vertAlign w:val="superscript"/>
        </w:rPr>
        <w:footnoteReference w:id="12"/>
      </w:r>
      <w:r w:rsidR="0060027E">
        <w:rPr>
          <w:rFonts w:ascii="Arial" w:hAnsi="Arial" w:cs="Arial"/>
          <w:color w:val="000000" w:themeColor="text1"/>
          <w:sz w:val="20"/>
          <w:szCs w:val="20"/>
        </w:rPr>
        <w:t xml:space="preserve"> </w:t>
      </w:r>
      <w:r w:rsidRPr="00241ECF">
        <w:rPr>
          <w:rFonts w:ascii="Arial" w:hAnsi="Arial" w:cs="Arial"/>
          <w:color w:val="000000" w:themeColor="text1"/>
          <w:sz w:val="20"/>
          <w:szCs w:val="20"/>
        </w:rPr>
        <w:t xml:space="preserve">The </w:t>
      </w:r>
      <w:r w:rsidR="001113AB" w:rsidRPr="00241ECF">
        <w:rPr>
          <w:rFonts w:ascii="Arial" w:hAnsi="Arial" w:cs="Arial"/>
          <w:color w:val="000000" w:themeColor="text1"/>
          <w:sz w:val="20"/>
          <w:szCs w:val="20"/>
        </w:rPr>
        <w:t>personal status</w:t>
      </w:r>
      <w:r w:rsidR="00FD3383">
        <w:rPr>
          <w:rFonts w:ascii="Arial" w:hAnsi="Arial" w:cs="Arial"/>
          <w:color w:val="000000" w:themeColor="text1"/>
          <w:sz w:val="20"/>
          <w:szCs w:val="20"/>
        </w:rPr>
        <w:t xml:space="preserve"> (or family)</w:t>
      </w:r>
      <w:r w:rsidRPr="00241ECF">
        <w:rPr>
          <w:rFonts w:ascii="Arial" w:hAnsi="Arial" w:cs="Arial"/>
          <w:color w:val="000000" w:themeColor="text1"/>
          <w:sz w:val="20"/>
          <w:szCs w:val="20"/>
        </w:rPr>
        <w:t xml:space="preserve"> courts in Kuwait</w:t>
      </w:r>
      <w:r w:rsidR="00A94CC1">
        <w:rPr>
          <w:rFonts w:ascii="Arial" w:hAnsi="Arial" w:cs="Arial"/>
          <w:color w:val="000000" w:themeColor="text1"/>
          <w:sz w:val="20"/>
          <w:szCs w:val="20"/>
        </w:rPr>
        <w:t xml:space="preserve"> </w:t>
      </w:r>
      <w:r w:rsidRPr="00241ECF">
        <w:rPr>
          <w:rFonts w:ascii="Arial" w:hAnsi="Arial" w:cs="Arial"/>
          <w:color w:val="000000" w:themeColor="text1"/>
          <w:sz w:val="20"/>
          <w:szCs w:val="20"/>
        </w:rPr>
        <w:t xml:space="preserve">have jurisdiction over </w:t>
      </w:r>
      <w:r w:rsidR="001113AB" w:rsidRPr="00241ECF">
        <w:rPr>
          <w:rFonts w:ascii="Arial" w:hAnsi="Arial" w:cs="Arial"/>
          <w:color w:val="000000" w:themeColor="text1"/>
          <w:sz w:val="20"/>
          <w:szCs w:val="20"/>
        </w:rPr>
        <w:t>marriage, divorce,</w:t>
      </w:r>
      <w:r w:rsidR="00FC5891" w:rsidRPr="00241ECF">
        <w:rPr>
          <w:rFonts w:ascii="Arial" w:hAnsi="Arial" w:cs="Arial"/>
          <w:color w:val="000000" w:themeColor="text1"/>
          <w:sz w:val="20"/>
          <w:szCs w:val="20"/>
        </w:rPr>
        <w:t xml:space="preserve"> inheritance,</w:t>
      </w:r>
      <w:r w:rsidR="001113AB" w:rsidRPr="00241ECF">
        <w:rPr>
          <w:rFonts w:ascii="Arial" w:hAnsi="Arial" w:cs="Arial"/>
          <w:color w:val="000000" w:themeColor="text1"/>
          <w:sz w:val="20"/>
          <w:szCs w:val="20"/>
        </w:rPr>
        <w:t xml:space="preserve"> and other </w:t>
      </w:r>
      <w:r w:rsidR="00FC5891" w:rsidRPr="00241ECF">
        <w:rPr>
          <w:rFonts w:ascii="Arial" w:hAnsi="Arial" w:cs="Arial"/>
          <w:color w:val="000000" w:themeColor="text1"/>
          <w:sz w:val="20"/>
          <w:szCs w:val="20"/>
        </w:rPr>
        <w:t>personal status matters</w:t>
      </w:r>
      <w:r w:rsidRPr="00241ECF">
        <w:rPr>
          <w:rFonts w:ascii="Arial" w:hAnsi="Arial" w:cs="Arial"/>
          <w:color w:val="000000" w:themeColor="text1"/>
          <w:sz w:val="20"/>
          <w:szCs w:val="20"/>
        </w:rPr>
        <w:t xml:space="preserve">. In 2015, Kuwait </w:t>
      </w:r>
      <w:r w:rsidR="00FC5891" w:rsidRPr="00241ECF">
        <w:rPr>
          <w:rFonts w:ascii="Arial" w:hAnsi="Arial" w:cs="Arial"/>
          <w:color w:val="000000" w:themeColor="text1"/>
          <w:sz w:val="20"/>
          <w:szCs w:val="20"/>
        </w:rPr>
        <w:t>established</w:t>
      </w:r>
      <w:r w:rsidRPr="00241ECF">
        <w:rPr>
          <w:rFonts w:ascii="Arial" w:hAnsi="Arial" w:cs="Arial"/>
          <w:color w:val="000000" w:themeColor="text1"/>
          <w:sz w:val="20"/>
          <w:szCs w:val="20"/>
        </w:rPr>
        <w:t xml:space="preserve"> family court chambers in each governorate.</w:t>
      </w:r>
      <w:r w:rsidRPr="00241ECF">
        <w:rPr>
          <w:rFonts w:ascii="Arial" w:hAnsi="Arial" w:cs="Arial"/>
          <w:color w:val="000000" w:themeColor="text1"/>
          <w:sz w:val="20"/>
          <w:szCs w:val="20"/>
          <w:vertAlign w:val="superscript"/>
        </w:rPr>
        <w:footnoteReference w:id="13"/>
      </w:r>
      <w:r w:rsidRPr="00241ECF">
        <w:rPr>
          <w:rFonts w:ascii="Arial" w:hAnsi="Arial" w:cs="Arial"/>
          <w:color w:val="000000" w:themeColor="text1"/>
          <w:sz w:val="20"/>
          <w:szCs w:val="20"/>
        </w:rPr>
        <w:t xml:space="preserve"> </w:t>
      </w:r>
      <w:r w:rsidR="001113AB" w:rsidRPr="00241ECF">
        <w:rPr>
          <w:rFonts w:ascii="Arial" w:hAnsi="Arial" w:cs="Arial"/>
          <w:color w:val="000000" w:themeColor="text1"/>
          <w:sz w:val="20"/>
          <w:szCs w:val="20"/>
        </w:rPr>
        <w:t>Non-Muslims</w:t>
      </w:r>
      <w:r w:rsidRPr="00241ECF">
        <w:rPr>
          <w:rFonts w:ascii="Arial" w:hAnsi="Arial" w:cs="Arial"/>
          <w:color w:val="000000" w:themeColor="text1"/>
          <w:sz w:val="20"/>
          <w:szCs w:val="20"/>
        </w:rPr>
        <w:t xml:space="preserve"> may request that </w:t>
      </w:r>
      <w:r w:rsidR="00FD3383">
        <w:rPr>
          <w:rFonts w:ascii="Arial" w:hAnsi="Arial" w:cs="Arial"/>
          <w:color w:val="000000" w:themeColor="text1"/>
          <w:sz w:val="20"/>
          <w:szCs w:val="20"/>
        </w:rPr>
        <w:t>family</w:t>
      </w:r>
      <w:r w:rsidR="00FC5891" w:rsidRPr="00241ECF">
        <w:rPr>
          <w:rFonts w:ascii="Arial" w:hAnsi="Arial" w:cs="Arial"/>
          <w:color w:val="000000" w:themeColor="text1"/>
          <w:sz w:val="20"/>
          <w:szCs w:val="20"/>
        </w:rPr>
        <w:t xml:space="preserve"> </w:t>
      </w:r>
      <w:r w:rsidRPr="00241ECF">
        <w:rPr>
          <w:rFonts w:ascii="Arial" w:hAnsi="Arial" w:cs="Arial"/>
          <w:color w:val="000000" w:themeColor="text1"/>
          <w:sz w:val="20"/>
          <w:szCs w:val="20"/>
        </w:rPr>
        <w:t xml:space="preserve">courts adjudicate their disputes in accordance with the customary </w:t>
      </w:r>
      <w:r w:rsidR="00FD3383">
        <w:rPr>
          <w:rFonts w:ascii="Arial" w:hAnsi="Arial" w:cs="Arial"/>
          <w:color w:val="000000" w:themeColor="text1"/>
          <w:sz w:val="20"/>
          <w:szCs w:val="20"/>
        </w:rPr>
        <w:t xml:space="preserve">laws </w:t>
      </w:r>
      <w:r w:rsidRPr="00241ECF">
        <w:rPr>
          <w:rFonts w:ascii="Arial" w:hAnsi="Arial" w:cs="Arial"/>
          <w:color w:val="000000" w:themeColor="text1"/>
          <w:sz w:val="20"/>
          <w:szCs w:val="20"/>
        </w:rPr>
        <w:t>or religious laws of their own communities.</w:t>
      </w:r>
      <w:r w:rsidRPr="00241ECF">
        <w:rPr>
          <w:rFonts w:ascii="Arial" w:hAnsi="Arial" w:cs="Arial"/>
          <w:color w:val="000000" w:themeColor="text1"/>
          <w:sz w:val="20"/>
          <w:szCs w:val="20"/>
          <w:vertAlign w:val="superscript"/>
        </w:rPr>
        <w:footnoteReference w:id="14"/>
      </w:r>
      <w:r w:rsidRPr="00241ECF">
        <w:rPr>
          <w:rFonts w:ascii="Arial" w:hAnsi="Arial" w:cs="Arial"/>
          <w:color w:val="000000" w:themeColor="text1"/>
          <w:sz w:val="20"/>
          <w:szCs w:val="20"/>
          <w:vertAlign w:val="superscript"/>
        </w:rPr>
        <w:t xml:space="preserve"> </w:t>
      </w:r>
      <w:r w:rsidRPr="00241ECF">
        <w:rPr>
          <w:rFonts w:ascii="Arial" w:hAnsi="Arial" w:cs="Arial"/>
          <w:color w:val="000000" w:themeColor="text1"/>
          <w:sz w:val="20"/>
          <w:szCs w:val="20"/>
        </w:rPr>
        <w:t xml:space="preserve"> </w:t>
      </w:r>
    </w:p>
    <w:p w14:paraId="40550159" w14:textId="703EE163" w:rsidR="00D07715" w:rsidRPr="001113AB" w:rsidRDefault="00D07715" w:rsidP="00FD3383">
      <w:pPr>
        <w:rPr>
          <w:rFonts w:ascii="Arial" w:hAnsi="Arial" w:cs="Arial"/>
          <w:color w:val="000000" w:themeColor="text1"/>
          <w:sz w:val="20"/>
          <w:szCs w:val="20"/>
        </w:rPr>
      </w:pPr>
    </w:p>
    <w:p w14:paraId="4680FBCB" w14:textId="335CD33B" w:rsidR="003B19C8" w:rsidRPr="00A64EBB" w:rsidRDefault="003B19C8" w:rsidP="00A64EBB">
      <w:pPr>
        <w:rPr>
          <w:rFonts w:ascii="Arial" w:hAnsi="Arial" w:cs="Arial"/>
          <w:b/>
          <w:bCs/>
          <w:sz w:val="20"/>
          <w:szCs w:val="20"/>
        </w:rPr>
      </w:pPr>
      <w:r w:rsidRPr="00A64EBB">
        <w:rPr>
          <w:rFonts w:ascii="Arial" w:hAnsi="Arial" w:cs="Arial"/>
          <w:b/>
          <w:bCs/>
          <w:sz w:val="20"/>
          <w:szCs w:val="20"/>
        </w:rPr>
        <w:t>PERSONAL STATUS LAW</w:t>
      </w:r>
      <w:r w:rsidR="00A830F4" w:rsidRPr="00A64EBB">
        <w:rPr>
          <w:rFonts w:ascii="Arial" w:hAnsi="Arial" w:cs="Arial"/>
          <w:b/>
          <w:bCs/>
          <w:sz w:val="20"/>
          <w:szCs w:val="20"/>
        </w:rPr>
        <w:t>S</w:t>
      </w:r>
    </w:p>
    <w:p w14:paraId="643B4AB6" w14:textId="77777777" w:rsidR="00FD3383" w:rsidRPr="00A13EDC" w:rsidRDefault="00FD3383" w:rsidP="00FD3383">
      <w:pPr>
        <w:pStyle w:val="NormalWeb"/>
        <w:spacing w:before="0" w:after="0"/>
        <w:jc w:val="both"/>
        <w:rPr>
          <w:color w:val="000000" w:themeColor="text1"/>
          <w:sz w:val="20"/>
          <w:szCs w:val="20"/>
        </w:rPr>
      </w:pPr>
    </w:p>
    <w:p w14:paraId="17C8A4AD" w14:textId="291A65DA" w:rsidR="00A830F4" w:rsidRPr="00A13EDC" w:rsidRDefault="004B35AF" w:rsidP="00FD3383">
      <w:pPr>
        <w:pStyle w:val="NormalWeb"/>
        <w:spacing w:before="0" w:after="0"/>
        <w:jc w:val="both"/>
        <w:rPr>
          <w:color w:val="000000" w:themeColor="text1"/>
          <w:sz w:val="20"/>
          <w:szCs w:val="20"/>
        </w:rPr>
      </w:pPr>
      <w:r>
        <w:rPr>
          <w:color w:val="000000" w:themeColor="text1"/>
          <w:sz w:val="20"/>
          <w:szCs w:val="20"/>
        </w:rPr>
        <w:t xml:space="preserve">There are two laws in Kuwait that govern </w:t>
      </w:r>
      <w:r w:rsidR="00D14D37">
        <w:rPr>
          <w:color w:val="000000" w:themeColor="text1"/>
          <w:sz w:val="20"/>
          <w:szCs w:val="20"/>
        </w:rPr>
        <w:t>personal status</w:t>
      </w:r>
      <w:r w:rsidR="00F15E50">
        <w:rPr>
          <w:color w:val="000000" w:themeColor="text1"/>
          <w:sz w:val="20"/>
          <w:szCs w:val="20"/>
        </w:rPr>
        <w:t xml:space="preserve">. </w:t>
      </w:r>
      <w:r w:rsidR="00A830F4" w:rsidRPr="00A13EDC">
        <w:rPr>
          <w:color w:val="000000" w:themeColor="text1"/>
          <w:sz w:val="20"/>
          <w:szCs w:val="20"/>
        </w:rPr>
        <w:t xml:space="preserve">The Kuwait Personal Status </w:t>
      </w:r>
      <w:r w:rsidR="00D51A34" w:rsidRPr="00A13EDC">
        <w:rPr>
          <w:color w:val="000000" w:themeColor="text1"/>
          <w:sz w:val="20"/>
          <w:szCs w:val="20"/>
        </w:rPr>
        <w:t>Act</w:t>
      </w:r>
      <w:r w:rsidR="00EF0C9D" w:rsidRPr="00A13EDC">
        <w:rPr>
          <w:color w:val="000000" w:themeColor="text1"/>
          <w:sz w:val="20"/>
          <w:szCs w:val="20"/>
        </w:rPr>
        <w:t xml:space="preserve"> of</w:t>
      </w:r>
      <w:r w:rsidR="00D51A34" w:rsidRPr="00A13EDC">
        <w:rPr>
          <w:color w:val="000000" w:themeColor="text1"/>
          <w:sz w:val="20"/>
          <w:szCs w:val="20"/>
        </w:rPr>
        <w:t xml:space="preserve"> </w:t>
      </w:r>
      <w:r w:rsidR="00A830F4" w:rsidRPr="00A13EDC">
        <w:rPr>
          <w:color w:val="000000" w:themeColor="text1"/>
          <w:sz w:val="20"/>
          <w:szCs w:val="20"/>
        </w:rPr>
        <w:t>1984</w:t>
      </w:r>
      <w:r w:rsidR="00C41BCD">
        <w:rPr>
          <w:color w:val="000000" w:themeColor="text1"/>
          <w:sz w:val="20"/>
          <w:szCs w:val="20"/>
        </w:rPr>
        <w:t xml:space="preserve"> </w:t>
      </w:r>
      <w:r w:rsidR="00A830F4" w:rsidRPr="00A13EDC">
        <w:rPr>
          <w:color w:val="000000" w:themeColor="text1"/>
          <w:sz w:val="20"/>
          <w:szCs w:val="20"/>
        </w:rPr>
        <w:t xml:space="preserve">is the </w:t>
      </w:r>
      <w:r w:rsidR="00C41BCD">
        <w:rPr>
          <w:color w:val="000000" w:themeColor="text1"/>
          <w:sz w:val="20"/>
          <w:szCs w:val="20"/>
        </w:rPr>
        <w:t>primary</w:t>
      </w:r>
      <w:r w:rsidR="00A830F4" w:rsidRPr="00A13EDC">
        <w:rPr>
          <w:color w:val="000000" w:themeColor="text1"/>
          <w:sz w:val="20"/>
          <w:szCs w:val="20"/>
        </w:rPr>
        <w:t xml:space="preserve"> codified law that governs matters </w:t>
      </w:r>
      <w:r w:rsidR="000F6141" w:rsidRPr="00A13EDC">
        <w:rPr>
          <w:color w:val="000000" w:themeColor="text1"/>
          <w:sz w:val="20"/>
          <w:szCs w:val="20"/>
        </w:rPr>
        <w:t>relating to personal status, including marriage, divorce, custody, and inheritance, and is applicable to the majority Sunni Muslim population in Kuwait.</w:t>
      </w:r>
      <w:r w:rsidR="00021CD4" w:rsidRPr="00A13EDC">
        <w:rPr>
          <w:color w:val="000000" w:themeColor="text1"/>
          <w:sz w:val="20"/>
          <w:szCs w:val="20"/>
          <w:vertAlign w:val="superscript"/>
        </w:rPr>
        <w:footnoteReference w:id="15"/>
      </w:r>
      <w:r w:rsidR="000F6141" w:rsidRPr="00A13EDC">
        <w:rPr>
          <w:color w:val="000000" w:themeColor="text1"/>
          <w:sz w:val="20"/>
          <w:szCs w:val="20"/>
        </w:rPr>
        <w:t xml:space="preserve"> </w:t>
      </w:r>
      <w:r w:rsidR="00A830F4" w:rsidRPr="00A13EDC">
        <w:rPr>
          <w:color w:val="000000" w:themeColor="text1"/>
          <w:sz w:val="20"/>
          <w:szCs w:val="20"/>
        </w:rPr>
        <w:t xml:space="preserve">In 2019, Kuwait enacted a separate </w:t>
      </w:r>
      <w:r w:rsidR="00664142" w:rsidRPr="00A13EDC">
        <w:rPr>
          <w:color w:val="000000" w:themeColor="text1"/>
          <w:sz w:val="20"/>
          <w:szCs w:val="20"/>
        </w:rPr>
        <w:t>law to govern personal status matters</w:t>
      </w:r>
      <w:r w:rsidR="00A830F4" w:rsidRPr="00A13EDC">
        <w:rPr>
          <w:color w:val="000000" w:themeColor="text1"/>
          <w:sz w:val="20"/>
          <w:szCs w:val="20"/>
        </w:rPr>
        <w:t xml:space="preserve"> for the minority </w:t>
      </w:r>
      <w:r w:rsidR="00FC5891" w:rsidRPr="00A13EDC">
        <w:rPr>
          <w:color w:val="000000" w:themeColor="text1"/>
          <w:sz w:val="20"/>
          <w:szCs w:val="20"/>
        </w:rPr>
        <w:t xml:space="preserve">Shi’a </w:t>
      </w:r>
      <w:proofErr w:type="spellStart"/>
      <w:r w:rsidR="00A830F4" w:rsidRPr="00A13EDC">
        <w:rPr>
          <w:color w:val="000000" w:themeColor="text1"/>
          <w:sz w:val="20"/>
          <w:szCs w:val="20"/>
        </w:rPr>
        <w:t>J</w:t>
      </w:r>
      <w:r w:rsidR="00D51A34" w:rsidRPr="00A13EDC">
        <w:rPr>
          <w:color w:val="000000" w:themeColor="text1"/>
          <w:sz w:val="20"/>
          <w:szCs w:val="20"/>
        </w:rPr>
        <w:t>a’</w:t>
      </w:r>
      <w:r w:rsidR="00A830F4" w:rsidRPr="00A13EDC">
        <w:rPr>
          <w:color w:val="000000" w:themeColor="text1"/>
          <w:sz w:val="20"/>
          <w:szCs w:val="20"/>
        </w:rPr>
        <w:t>fari</w:t>
      </w:r>
      <w:proofErr w:type="spellEnd"/>
      <w:r w:rsidR="00A830F4" w:rsidRPr="00A13EDC">
        <w:rPr>
          <w:color w:val="000000" w:themeColor="text1"/>
          <w:sz w:val="20"/>
          <w:szCs w:val="20"/>
        </w:rPr>
        <w:t xml:space="preserve"> population, </w:t>
      </w:r>
      <w:r w:rsidR="00664142" w:rsidRPr="00A13EDC">
        <w:rPr>
          <w:color w:val="000000" w:themeColor="text1"/>
          <w:sz w:val="20"/>
          <w:szCs w:val="20"/>
        </w:rPr>
        <w:t>t</w:t>
      </w:r>
      <w:r w:rsidR="00A830F4" w:rsidRPr="00A13EDC">
        <w:rPr>
          <w:color w:val="000000" w:themeColor="text1"/>
          <w:sz w:val="20"/>
          <w:szCs w:val="20"/>
        </w:rPr>
        <w:t xml:space="preserve">he </w:t>
      </w:r>
      <w:proofErr w:type="spellStart"/>
      <w:r w:rsidR="00A830F4" w:rsidRPr="00A13EDC">
        <w:rPr>
          <w:color w:val="000000" w:themeColor="text1"/>
          <w:sz w:val="20"/>
          <w:szCs w:val="20"/>
        </w:rPr>
        <w:t>Ja’fari</w:t>
      </w:r>
      <w:proofErr w:type="spellEnd"/>
      <w:r w:rsidR="00A830F4" w:rsidRPr="00A13EDC">
        <w:rPr>
          <w:color w:val="000000" w:themeColor="text1"/>
          <w:sz w:val="20"/>
          <w:szCs w:val="20"/>
        </w:rPr>
        <w:t xml:space="preserve"> Personal Status </w:t>
      </w:r>
      <w:r w:rsidR="00D51A34" w:rsidRPr="00A13EDC">
        <w:rPr>
          <w:color w:val="000000" w:themeColor="text1"/>
          <w:sz w:val="20"/>
          <w:szCs w:val="20"/>
        </w:rPr>
        <w:t>Act</w:t>
      </w:r>
      <w:r w:rsidR="00EF0C9D" w:rsidRPr="00A13EDC">
        <w:rPr>
          <w:color w:val="000000" w:themeColor="text1"/>
          <w:sz w:val="20"/>
          <w:szCs w:val="20"/>
        </w:rPr>
        <w:t xml:space="preserve"> of</w:t>
      </w:r>
      <w:r w:rsidR="00A830F4" w:rsidRPr="00A13EDC">
        <w:rPr>
          <w:color w:val="000000" w:themeColor="text1"/>
          <w:sz w:val="20"/>
          <w:szCs w:val="20"/>
        </w:rPr>
        <w:t xml:space="preserve"> 2019.</w:t>
      </w:r>
      <w:r w:rsidR="006A2AF3" w:rsidRPr="00A13EDC">
        <w:rPr>
          <w:rStyle w:val="FootnoteReference"/>
          <w:color w:val="000000" w:themeColor="text1"/>
          <w:sz w:val="20"/>
          <w:szCs w:val="20"/>
          <w:vertAlign w:val="superscript"/>
        </w:rPr>
        <w:footnoteReference w:id="16"/>
      </w:r>
    </w:p>
    <w:p w14:paraId="704BCA0B" w14:textId="77777777" w:rsidR="00FD3383" w:rsidRPr="00FD3383" w:rsidRDefault="00FD3383" w:rsidP="00FD3383">
      <w:pPr>
        <w:pStyle w:val="NormalWeb"/>
        <w:spacing w:before="0" w:after="0"/>
        <w:jc w:val="both"/>
        <w:rPr>
          <w:sz w:val="20"/>
          <w:szCs w:val="20"/>
        </w:rPr>
      </w:pPr>
    </w:p>
    <w:p w14:paraId="7CA8D36A" w14:textId="3B6383C1" w:rsidR="003B19C8" w:rsidRPr="00FD3383" w:rsidRDefault="003B19C8" w:rsidP="00EF121C">
      <w:pPr>
        <w:pStyle w:val="NormalWeb"/>
        <w:spacing w:before="0" w:after="0"/>
        <w:jc w:val="both"/>
        <w:rPr>
          <w:sz w:val="20"/>
          <w:szCs w:val="20"/>
          <w:vertAlign w:val="superscript"/>
        </w:rPr>
      </w:pPr>
      <w:r w:rsidRPr="00FD3383">
        <w:rPr>
          <w:sz w:val="20"/>
          <w:szCs w:val="20"/>
        </w:rPr>
        <w:t xml:space="preserve">The </w:t>
      </w:r>
      <w:r w:rsidR="00FD3383">
        <w:rPr>
          <w:sz w:val="20"/>
          <w:szCs w:val="20"/>
        </w:rPr>
        <w:t>Personal Status Act</w:t>
      </w:r>
      <w:r w:rsidRPr="00FD3383">
        <w:rPr>
          <w:sz w:val="20"/>
          <w:szCs w:val="20"/>
        </w:rPr>
        <w:t xml:space="preserve"> is based on an amalgamation of rules taken </w:t>
      </w:r>
      <w:r w:rsidR="00C41BCD" w:rsidRPr="00FD3383">
        <w:rPr>
          <w:sz w:val="20"/>
          <w:szCs w:val="20"/>
        </w:rPr>
        <w:t>principally</w:t>
      </w:r>
      <w:r w:rsidRPr="00FD3383">
        <w:rPr>
          <w:sz w:val="20"/>
          <w:szCs w:val="20"/>
        </w:rPr>
        <w:t xml:space="preserve"> from the four Sunni schools of jurisprudence</w:t>
      </w:r>
      <w:r w:rsidR="00C41BCD">
        <w:rPr>
          <w:sz w:val="20"/>
          <w:szCs w:val="20"/>
        </w:rPr>
        <w:t xml:space="preserve"> (</w:t>
      </w:r>
      <w:proofErr w:type="spellStart"/>
      <w:r w:rsidR="00C41BCD">
        <w:rPr>
          <w:i/>
          <w:iCs/>
          <w:sz w:val="20"/>
          <w:szCs w:val="20"/>
        </w:rPr>
        <w:t>fiqh</w:t>
      </w:r>
      <w:proofErr w:type="spellEnd"/>
      <w:r w:rsidR="00C41BCD">
        <w:rPr>
          <w:sz w:val="20"/>
          <w:szCs w:val="20"/>
        </w:rPr>
        <w:t>)</w:t>
      </w:r>
      <w:r w:rsidR="00F15E50">
        <w:rPr>
          <w:sz w:val="20"/>
          <w:szCs w:val="20"/>
        </w:rPr>
        <w:t>.</w:t>
      </w:r>
      <w:r w:rsidR="00C41BCD" w:rsidRPr="00C41BCD">
        <w:rPr>
          <w:rStyle w:val="FootnoteReference"/>
          <w:vertAlign w:val="superscript"/>
        </w:rPr>
        <w:footnoteReference w:id="17"/>
      </w:r>
      <w:r w:rsidR="00F15E50">
        <w:rPr>
          <w:sz w:val="20"/>
          <w:szCs w:val="20"/>
        </w:rPr>
        <w:t xml:space="preserve"> </w:t>
      </w:r>
      <w:r w:rsidR="00E943A9">
        <w:rPr>
          <w:sz w:val="20"/>
          <w:szCs w:val="20"/>
        </w:rPr>
        <w:t>I</w:t>
      </w:r>
      <w:r w:rsidRPr="00FD3383">
        <w:rPr>
          <w:sz w:val="20"/>
          <w:szCs w:val="20"/>
        </w:rPr>
        <w:t xml:space="preserve">n instances where </w:t>
      </w:r>
      <w:r w:rsidR="00FD3383">
        <w:rPr>
          <w:sz w:val="20"/>
          <w:szCs w:val="20"/>
        </w:rPr>
        <w:t>the provisions of the Act do</w:t>
      </w:r>
      <w:r w:rsidRPr="00FD3383">
        <w:rPr>
          <w:sz w:val="20"/>
          <w:szCs w:val="20"/>
        </w:rPr>
        <w:t xml:space="preserve"> not sufficiently address a particular </w:t>
      </w:r>
      <w:r w:rsidR="00D829C6" w:rsidRPr="00FD3383">
        <w:rPr>
          <w:sz w:val="20"/>
          <w:szCs w:val="20"/>
        </w:rPr>
        <w:t>personal status question</w:t>
      </w:r>
      <w:r w:rsidRPr="00FD3383">
        <w:rPr>
          <w:sz w:val="20"/>
          <w:szCs w:val="20"/>
        </w:rPr>
        <w:t xml:space="preserve">, a judge </w:t>
      </w:r>
      <w:r w:rsidR="00FD3383">
        <w:rPr>
          <w:sz w:val="20"/>
          <w:szCs w:val="20"/>
        </w:rPr>
        <w:t>is instructed</w:t>
      </w:r>
      <w:r w:rsidRPr="00FD3383">
        <w:rPr>
          <w:sz w:val="20"/>
          <w:szCs w:val="20"/>
        </w:rPr>
        <w:t xml:space="preserve"> </w:t>
      </w:r>
      <w:r w:rsidR="00AE7B1D">
        <w:rPr>
          <w:sz w:val="20"/>
          <w:szCs w:val="20"/>
        </w:rPr>
        <w:t xml:space="preserve">to </w:t>
      </w:r>
      <w:r w:rsidRPr="00FD3383">
        <w:rPr>
          <w:sz w:val="20"/>
          <w:szCs w:val="20"/>
        </w:rPr>
        <w:t xml:space="preserve">adjudicate </w:t>
      </w:r>
      <w:r w:rsidR="00D829C6" w:rsidRPr="00FD3383">
        <w:rPr>
          <w:sz w:val="20"/>
          <w:szCs w:val="20"/>
        </w:rPr>
        <w:t>the dispute</w:t>
      </w:r>
      <w:r w:rsidRPr="00FD3383">
        <w:rPr>
          <w:sz w:val="20"/>
          <w:szCs w:val="20"/>
        </w:rPr>
        <w:t xml:space="preserve"> in accordance with the rules and general principles of Maliki </w:t>
      </w:r>
      <w:r w:rsidR="00C41BCD">
        <w:rPr>
          <w:sz w:val="20"/>
          <w:szCs w:val="20"/>
        </w:rPr>
        <w:t>jurisprudence</w:t>
      </w:r>
      <w:r w:rsidRPr="00FD3383">
        <w:rPr>
          <w:sz w:val="20"/>
          <w:szCs w:val="20"/>
        </w:rPr>
        <w:t>.</w:t>
      </w:r>
      <w:r w:rsidRPr="00FD3383">
        <w:rPr>
          <w:rStyle w:val="FootnoteReference"/>
          <w:rFonts w:cs="Arial"/>
          <w:sz w:val="20"/>
          <w:szCs w:val="20"/>
          <w:vertAlign w:val="superscript"/>
        </w:rPr>
        <w:footnoteReference w:id="18"/>
      </w:r>
      <w:r w:rsidR="00FD3383">
        <w:rPr>
          <w:sz w:val="20"/>
          <w:szCs w:val="20"/>
        </w:rPr>
        <w:t xml:space="preserve"> </w:t>
      </w:r>
      <w:r w:rsidRPr="00FD3383">
        <w:rPr>
          <w:sz w:val="20"/>
          <w:szCs w:val="20"/>
        </w:rPr>
        <w:t xml:space="preserve">Article 346 of the </w:t>
      </w:r>
      <w:r w:rsidR="00FD3383">
        <w:rPr>
          <w:sz w:val="20"/>
          <w:szCs w:val="20"/>
        </w:rPr>
        <w:t>Personal Status Act</w:t>
      </w:r>
      <w:r w:rsidRPr="00FD3383">
        <w:rPr>
          <w:sz w:val="20"/>
          <w:szCs w:val="20"/>
        </w:rPr>
        <w:t xml:space="preserve"> </w:t>
      </w:r>
      <w:r w:rsidR="00D829C6" w:rsidRPr="00FD3383">
        <w:rPr>
          <w:sz w:val="20"/>
          <w:szCs w:val="20"/>
        </w:rPr>
        <w:t xml:space="preserve">states that </w:t>
      </w:r>
      <w:r w:rsidR="00FD3383">
        <w:rPr>
          <w:sz w:val="20"/>
          <w:szCs w:val="20"/>
        </w:rPr>
        <w:t>it shall</w:t>
      </w:r>
      <w:r w:rsidR="00D829C6" w:rsidRPr="00FD3383">
        <w:rPr>
          <w:sz w:val="20"/>
          <w:szCs w:val="20"/>
        </w:rPr>
        <w:t xml:space="preserve"> apply to non-Muslims if different parties to a dispute adhere to different religions or sects; otherwise, non-Muslims may request that disputes be adjudicated in accordance with their own communities’ </w:t>
      </w:r>
      <w:r w:rsidR="00C41BCD">
        <w:rPr>
          <w:sz w:val="20"/>
          <w:szCs w:val="20"/>
        </w:rPr>
        <w:t xml:space="preserve">customary or </w:t>
      </w:r>
      <w:r w:rsidR="00D829C6" w:rsidRPr="00FD3383">
        <w:rPr>
          <w:sz w:val="20"/>
          <w:szCs w:val="20"/>
        </w:rPr>
        <w:t>religious</w:t>
      </w:r>
      <w:r w:rsidR="00664142" w:rsidRPr="00FD3383">
        <w:rPr>
          <w:sz w:val="20"/>
          <w:szCs w:val="20"/>
        </w:rPr>
        <w:t xml:space="preserve"> laws</w:t>
      </w:r>
      <w:r w:rsidR="00D829C6" w:rsidRPr="00FD3383">
        <w:rPr>
          <w:sz w:val="20"/>
          <w:szCs w:val="20"/>
        </w:rPr>
        <w:t>.</w:t>
      </w:r>
      <w:r w:rsidRPr="00021CD4">
        <w:rPr>
          <w:rStyle w:val="FootnoteReference"/>
          <w:rFonts w:cs="Arial"/>
          <w:sz w:val="20"/>
          <w:szCs w:val="20"/>
          <w:vertAlign w:val="superscript"/>
        </w:rPr>
        <w:footnoteReference w:id="19"/>
      </w:r>
      <w:r w:rsidRPr="00021CD4">
        <w:rPr>
          <w:sz w:val="20"/>
          <w:szCs w:val="20"/>
          <w:vertAlign w:val="superscript"/>
        </w:rPr>
        <w:t xml:space="preserve"> </w:t>
      </w:r>
    </w:p>
    <w:p w14:paraId="1F6D7AE2" w14:textId="77777777" w:rsidR="00FD3383" w:rsidRPr="00FD3383" w:rsidRDefault="00FD3383" w:rsidP="00EF121C">
      <w:pPr>
        <w:pStyle w:val="NormalWeb"/>
        <w:spacing w:before="0" w:after="0"/>
        <w:jc w:val="both"/>
        <w:rPr>
          <w:sz w:val="20"/>
          <w:szCs w:val="20"/>
        </w:rPr>
      </w:pPr>
    </w:p>
    <w:p w14:paraId="73C37A46" w14:textId="1DE3A5CA" w:rsidR="003B19C8" w:rsidRPr="00FD3383" w:rsidRDefault="00241ECF" w:rsidP="00EF121C">
      <w:pPr>
        <w:pStyle w:val="NormalWeb"/>
        <w:spacing w:before="0" w:after="0"/>
        <w:jc w:val="both"/>
        <w:rPr>
          <w:sz w:val="20"/>
          <w:szCs w:val="20"/>
        </w:rPr>
      </w:pPr>
      <w:r w:rsidRPr="00FD3383">
        <w:rPr>
          <w:color w:val="000000"/>
          <w:sz w:val="20"/>
          <w:szCs w:val="20"/>
          <w:lang w:val="en-GB"/>
        </w:rPr>
        <w:t>Substantively, both</w:t>
      </w:r>
      <w:r w:rsidRPr="00FD3383">
        <w:rPr>
          <w:sz w:val="20"/>
          <w:szCs w:val="20"/>
          <w:lang w:val="en-GB"/>
        </w:rPr>
        <w:t xml:space="preserve"> </w:t>
      </w:r>
      <w:r w:rsidR="007038B7">
        <w:rPr>
          <w:color w:val="000000"/>
          <w:sz w:val="20"/>
          <w:szCs w:val="20"/>
          <w:lang w:val="en-GB"/>
        </w:rPr>
        <w:t>p</w:t>
      </w:r>
      <w:r w:rsidRPr="00FD3383">
        <w:rPr>
          <w:color w:val="000000"/>
          <w:sz w:val="20"/>
          <w:szCs w:val="20"/>
          <w:lang w:val="en-GB"/>
        </w:rPr>
        <w:t xml:space="preserve">ersonal </w:t>
      </w:r>
      <w:r w:rsidR="007038B7">
        <w:rPr>
          <w:color w:val="000000"/>
          <w:sz w:val="20"/>
          <w:szCs w:val="20"/>
          <w:lang w:val="en-GB"/>
        </w:rPr>
        <w:t>s</w:t>
      </w:r>
      <w:r w:rsidRPr="00FD3383">
        <w:rPr>
          <w:color w:val="000000"/>
          <w:sz w:val="20"/>
          <w:szCs w:val="20"/>
          <w:lang w:val="en-GB"/>
        </w:rPr>
        <w:t xml:space="preserve">tatus </w:t>
      </w:r>
      <w:r w:rsidR="007038B7">
        <w:rPr>
          <w:color w:val="000000"/>
          <w:sz w:val="20"/>
          <w:szCs w:val="20"/>
          <w:lang w:val="en-GB"/>
        </w:rPr>
        <w:t>l</w:t>
      </w:r>
      <w:r w:rsidRPr="00FD3383">
        <w:rPr>
          <w:color w:val="000000"/>
          <w:sz w:val="20"/>
          <w:szCs w:val="20"/>
          <w:lang w:val="en-GB"/>
        </w:rPr>
        <w:t xml:space="preserve">aws include provisions that discriminate </w:t>
      </w:r>
      <w:r w:rsidR="00C41BCD">
        <w:rPr>
          <w:sz w:val="20"/>
          <w:szCs w:val="20"/>
        </w:rPr>
        <w:t>based on</w:t>
      </w:r>
      <w:r w:rsidR="003B19C8" w:rsidRPr="00FD3383">
        <w:rPr>
          <w:sz w:val="20"/>
          <w:szCs w:val="20"/>
        </w:rPr>
        <w:t xml:space="preserve"> gender and violate</w:t>
      </w:r>
      <w:r w:rsidR="00C41BCD">
        <w:rPr>
          <w:sz w:val="20"/>
          <w:szCs w:val="20"/>
        </w:rPr>
        <w:t xml:space="preserve"> the State’s CEDAW commitments.</w:t>
      </w:r>
      <w:r w:rsidR="003B19C8" w:rsidRPr="00FD3383">
        <w:rPr>
          <w:sz w:val="20"/>
          <w:szCs w:val="20"/>
        </w:rPr>
        <w:t xml:space="preserve"> </w:t>
      </w:r>
      <w:r w:rsidR="00FD3383">
        <w:rPr>
          <w:sz w:val="20"/>
          <w:szCs w:val="20"/>
        </w:rPr>
        <w:t xml:space="preserve">In addition, </w:t>
      </w:r>
      <w:r w:rsidRPr="00FD3383">
        <w:rPr>
          <w:sz w:val="20"/>
          <w:szCs w:val="20"/>
        </w:rPr>
        <w:t xml:space="preserve">women in Kuwait are accorded different sets of rights, based on the Muslim sect or religious community to which they belong, in </w:t>
      </w:r>
      <w:r w:rsidR="00900258" w:rsidRPr="00FD3383">
        <w:rPr>
          <w:sz w:val="20"/>
          <w:szCs w:val="20"/>
        </w:rPr>
        <w:t>contrast</w:t>
      </w:r>
      <w:r w:rsidRPr="00FD3383">
        <w:rPr>
          <w:sz w:val="20"/>
          <w:szCs w:val="20"/>
        </w:rPr>
        <w:t xml:space="preserve"> </w:t>
      </w:r>
      <w:r w:rsidR="00900258" w:rsidRPr="00FD3383">
        <w:rPr>
          <w:sz w:val="20"/>
          <w:szCs w:val="20"/>
        </w:rPr>
        <w:t>to constitutional protections and</w:t>
      </w:r>
      <w:r w:rsidRPr="00FD3383">
        <w:rPr>
          <w:sz w:val="20"/>
          <w:szCs w:val="20"/>
        </w:rPr>
        <w:t xml:space="preserve"> provisions of equality and non-discrimination</w:t>
      </w:r>
      <w:r w:rsidR="009D0094">
        <w:rPr>
          <w:sz w:val="20"/>
          <w:szCs w:val="20"/>
        </w:rPr>
        <w:t xml:space="preserve"> that apply to all </w:t>
      </w:r>
      <w:r w:rsidR="0078019F">
        <w:rPr>
          <w:sz w:val="20"/>
          <w:szCs w:val="20"/>
        </w:rPr>
        <w:t>Kuwaitis</w:t>
      </w:r>
      <w:r w:rsidR="0075771E">
        <w:rPr>
          <w:sz w:val="20"/>
          <w:szCs w:val="20"/>
        </w:rPr>
        <w:t>.</w:t>
      </w:r>
    </w:p>
    <w:p w14:paraId="3822498C" w14:textId="77777777" w:rsidR="00FD3383" w:rsidRPr="00FD3383" w:rsidRDefault="00FD3383" w:rsidP="00EF121C">
      <w:pPr>
        <w:pStyle w:val="NormalWeb"/>
        <w:spacing w:before="0" w:after="0"/>
        <w:jc w:val="both"/>
        <w:rPr>
          <w:sz w:val="20"/>
          <w:szCs w:val="20"/>
        </w:rPr>
      </w:pPr>
    </w:p>
    <w:p w14:paraId="2D36B782" w14:textId="0B205D72" w:rsidR="003B19C8" w:rsidRDefault="003B19C8" w:rsidP="00EF121C">
      <w:pPr>
        <w:pStyle w:val="Normal1"/>
        <w:spacing w:before="0" w:after="0" w:line="240" w:lineRule="auto"/>
        <w:jc w:val="both"/>
        <w:rPr>
          <w:rFonts w:ascii="Arial" w:eastAsia="Arial" w:hAnsi="Arial" w:cs="Arial"/>
          <w:b/>
          <w:bCs/>
          <w:color w:val="2C2C2C"/>
          <w:sz w:val="20"/>
          <w:szCs w:val="20"/>
        </w:rPr>
      </w:pPr>
      <w:r w:rsidRPr="00FD3383">
        <w:rPr>
          <w:rFonts w:ascii="Arial" w:eastAsia="Arial" w:hAnsi="Arial" w:cs="Arial"/>
          <w:b/>
          <w:bCs/>
          <w:color w:val="2C2C2C"/>
          <w:sz w:val="20"/>
          <w:szCs w:val="20"/>
        </w:rPr>
        <w:t>THE PENAL CODE</w:t>
      </w:r>
    </w:p>
    <w:p w14:paraId="0F964FD4" w14:textId="77777777" w:rsidR="00FD3383" w:rsidRPr="00FD3383" w:rsidRDefault="00FD3383" w:rsidP="00EF121C">
      <w:pPr>
        <w:pStyle w:val="Normal1"/>
        <w:spacing w:before="0" w:after="0" w:line="240" w:lineRule="auto"/>
        <w:jc w:val="both"/>
        <w:rPr>
          <w:rFonts w:ascii="Arial" w:eastAsia="Arial" w:hAnsi="Arial" w:cs="Arial"/>
          <w:b/>
          <w:bCs/>
          <w:sz w:val="20"/>
          <w:szCs w:val="20"/>
        </w:rPr>
      </w:pPr>
    </w:p>
    <w:p w14:paraId="272AB53E" w14:textId="68BEDE30" w:rsidR="003B19C8" w:rsidRDefault="003B19C8" w:rsidP="003A7015">
      <w:pPr>
        <w:pStyle w:val="Normal1"/>
        <w:widowControl w:val="0"/>
        <w:spacing w:before="0" w:after="0" w:line="240" w:lineRule="auto"/>
        <w:jc w:val="both"/>
        <w:rPr>
          <w:rFonts w:ascii="Arial" w:eastAsia="Arial" w:hAnsi="Arial" w:cs="Arial"/>
          <w:sz w:val="20"/>
          <w:szCs w:val="20"/>
        </w:rPr>
      </w:pPr>
      <w:r w:rsidRPr="00FD3383">
        <w:rPr>
          <w:rFonts w:ascii="Arial" w:eastAsia="Arial" w:hAnsi="Arial" w:cs="Arial"/>
          <w:color w:val="2C2C2C"/>
          <w:sz w:val="20"/>
          <w:szCs w:val="20"/>
        </w:rPr>
        <w:t xml:space="preserve">The Kuwaiti Penal Code of 1960 includes various </w:t>
      </w:r>
      <w:r w:rsidRPr="00FD3383">
        <w:rPr>
          <w:rFonts w:ascii="Arial" w:eastAsia="Arial" w:hAnsi="Arial" w:cs="Arial"/>
          <w:sz w:val="20"/>
          <w:szCs w:val="20"/>
        </w:rPr>
        <w:t xml:space="preserve">discriminatory provisions </w:t>
      </w:r>
      <w:r w:rsidR="00904FA4">
        <w:rPr>
          <w:rFonts w:ascii="Arial" w:eastAsia="Arial" w:hAnsi="Arial" w:cs="Arial"/>
          <w:sz w:val="20"/>
          <w:szCs w:val="20"/>
        </w:rPr>
        <w:t xml:space="preserve">that </w:t>
      </w:r>
      <w:r w:rsidRPr="00FD3383">
        <w:rPr>
          <w:rFonts w:ascii="Arial" w:eastAsia="Arial" w:hAnsi="Arial" w:cs="Arial"/>
          <w:sz w:val="20"/>
          <w:szCs w:val="20"/>
        </w:rPr>
        <w:t>violate</w:t>
      </w:r>
      <w:r w:rsidR="00FD3383">
        <w:rPr>
          <w:rFonts w:ascii="Arial" w:eastAsia="Arial" w:hAnsi="Arial" w:cs="Arial"/>
          <w:sz w:val="20"/>
          <w:szCs w:val="20"/>
        </w:rPr>
        <w:t xml:space="preserve"> the</w:t>
      </w:r>
      <w:r w:rsidRPr="00FD3383">
        <w:rPr>
          <w:rFonts w:ascii="Arial" w:eastAsia="Arial" w:hAnsi="Arial" w:cs="Arial"/>
          <w:sz w:val="20"/>
          <w:szCs w:val="20"/>
        </w:rPr>
        <w:t xml:space="preserve"> rights of women and girl</w:t>
      </w:r>
      <w:r w:rsidR="003A7015">
        <w:rPr>
          <w:rFonts w:ascii="Arial" w:eastAsia="Arial" w:hAnsi="Arial" w:cs="Arial"/>
          <w:sz w:val="20"/>
          <w:szCs w:val="20"/>
        </w:rPr>
        <w:t>s</w:t>
      </w:r>
      <w:r w:rsidRPr="00FD3383">
        <w:rPr>
          <w:rFonts w:ascii="Arial" w:eastAsia="Arial" w:hAnsi="Arial" w:cs="Arial"/>
          <w:sz w:val="20"/>
          <w:szCs w:val="20"/>
        </w:rPr>
        <w:t>. Specifically, the Penal Code</w:t>
      </w:r>
      <w:r w:rsidR="00FC5891" w:rsidRPr="00FD3383">
        <w:rPr>
          <w:rFonts w:ascii="Arial" w:eastAsia="Arial" w:hAnsi="Arial" w:cs="Arial"/>
          <w:sz w:val="20"/>
          <w:szCs w:val="20"/>
        </w:rPr>
        <w:t>:</w:t>
      </w:r>
    </w:p>
    <w:p w14:paraId="03CD1C03" w14:textId="77777777" w:rsidR="00FD3383" w:rsidRPr="00FD3383" w:rsidRDefault="00FD3383" w:rsidP="00EF121C">
      <w:pPr>
        <w:pStyle w:val="Normal1"/>
        <w:widowControl w:val="0"/>
        <w:spacing w:before="0" w:after="0" w:line="240" w:lineRule="auto"/>
        <w:jc w:val="both"/>
        <w:rPr>
          <w:rFonts w:ascii="Arial" w:eastAsia="Arial" w:hAnsi="Arial" w:cs="Arial"/>
          <w:sz w:val="20"/>
          <w:szCs w:val="20"/>
        </w:rPr>
      </w:pPr>
    </w:p>
    <w:p w14:paraId="25697E79" w14:textId="54D66D5C" w:rsidR="006716A1" w:rsidRPr="00FD3383" w:rsidRDefault="006716A1" w:rsidP="00EF121C">
      <w:pPr>
        <w:pStyle w:val="Normal1"/>
        <w:widowControl w:val="0"/>
        <w:numPr>
          <w:ilvl w:val="0"/>
          <w:numId w:val="6"/>
        </w:numPr>
        <w:spacing w:before="0" w:after="0" w:line="240" w:lineRule="auto"/>
        <w:contextualSpacing/>
        <w:jc w:val="both"/>
        <w:rPr>
          <w:rFonts w:ascii="Arial" w:hAnsi="Arial" w:cs="Arial"/>
          <w:sz w:val="20"/>
          <w:szCs w:val="20"/>
        </w:rPr>
      </w:pPr>
      <w:r w:rsidRPr="00FD3383">
        <w:rPr>
          <w:rFonts w:ascii="Arial" w:hAnsi="Arial" w:cs="Arial"/>
          <w:sz w:val="20"/>
          <w:szCs w:val="20"/>
        </w:rPr>
        <w:t>Permits violence against women in the form of a right to “discipline.”</w:t>
      </w:r>
      <w:r w:rsidRPr="00021CD4">
        <w:rPr>
          <w:rStyle w:val="FootnoteReference"/>
          <w:rFonts w:ascii="Arial" w:hAnsi="Arial" w:cs="Arial"/>
          <w:sz w:val="20"/>
          <w:szCs w:val="20"/>
          <w:vertAlign w:val="superscript"/>
        </w:rPr>
        <w:footnoteReference w:id="20"/>
      </w:r>
    </w:p>
    <w:p w14:paraId="214BB00D" w14:textId="39944874" w:rsidR="006716A1" w:rsidRPr="00FD3383" w:rsidRDefault="006716A1" w:rsidP="00EF121C">
      <w:pPr>
        <w:pStyle w:val="Normal1"/>
        <w:widowControl w:val="0"/>
        <w:numPr>
          <w:ilvl w:val="0"/>
          <w:numId w:val="6"/>
        </w:numPr>
        <w:spacing w:before="0" w:after="0" w:line="240" w:lineRule="auto"/>
        <w:contextualSpacing/>
        <w:jc w:val="both"/>
        <w:rPr>
          <w:rFonts w:ascii="Arial" w:hAnsi="Arial" w:cs="Arial"/>
          <w:sz w:val="20"/>
          <w:szCs w:val="20"/>
        </w:rPr>
      </w:pPr>
      <w:r w:rsidRPr="00FD3383">
        <w:rPr>
          <w:rFonts w:ascii="Arial" w:eastAsia="Arial" w:hAnsi="Arial" w:cs="Arial"/>
          <w:sz w:val="20"/>
          <w:szCs w:val="20"/>
        </w:rPr>
        <w:t>Provides for lesser penalt</w:t>
      </w:r>
      <w:r w:rsidR="009B17E9">
        <w:rPr>
          <w:rFonts w:ascii="Arial" w:eastAsia="Arial" w:hAnsi="Arial" w:cs="Arial"/>
          <w:sz w:val="20"/>
          <w:szCs w:val="20"/>
        </w:rPr>
        <w:t>ies</w:t>
      </w:r>
      <w:r w:rsidRPr="00FD3383">
        <w:rPr>
          <w:rFonts w:ascii="Arial" w:eastAsia="Arial" w:hAnsi="Arial" w:cs="Arial"/>
          <w:sz w:val="20"/>
          <w:szCs w:val="20"/>
        </w:rPr>
        <w:t xml:space="preserve"> for violent “honor” crimes committed against women.</w:t>
      </w:r>
      <w:r w:rsidRPr="00021CD4">
        <w:rPr>
          <w:rStyle w:val="FootnoteReference"/>
          <w:rFonts w:ascii="Arial" w:eastAsia="Arial" w:hAnsi="Arial" w:cs="Arial"/>
          <w:sz w:val="20"/>
          <w:szCs w:val="20"/>
          <w:vertAlign w:val="superscript"/>
        </w:rPr>
        <w:footnoteReference w:id="21"/>
      </w:r>
    </w:p>
    <w:p w14:paraId="39DB6B58" w14:textId="10BDEE44" w:rsidR="003B19C8" w:rsidRPr="00FD3383" w:rsidRDefault="003B19C8" w:rsidP="00EF121C">
      <w:pPr>
        <w:pStyle w:val="Normal1"/>
        <w:widowControl w:val="0"/>
        <w:numPr>
          <w:ilvl w:val="0"/>
          <w:numId w:val="6"/>
        </w:numPr>
        <w:spacing w:before="0" w:after="0" w:line="240" w:lineRule="auto"/>
        <w:contextualSpacing/>
        <w:jc w:val="both"/>
        <w:rPr>
          <w:rFonts w:ascii="Arial" w:hAnsi="Arial" w:cs="Arial"/>
          <w:sz w:val="20"/>
          <w:szCs w:val="20"/>
        </w:rPr>
      </w:pPr>
      <w:r w:rsidRPr="00FD3383">
        <w:rPr>
          <w:rFonts w:ascii="Arial" w:eastAsia="Arial" w:hAnsi="Arial" w:cs="Arial"/>
          <w:sz w:val="20"/>
          <w:szCs w:val="20"/>
        </w:rPr>
        <w:t xml:space="preserve">Exempts </w:t>
      </w:r>
      <w:r w:rsidR="006716A1" w:rsidRPr="00FD3383">
        <w:rPr>
          <w:rFonts w:ascii="Arial" w:eastAsia="Arial" w:hAnsi="Arial" w:cs="Arial"/>
          <w:sz w:val="20"/>
          <w:szCs w:val="20"/>
        </w:rPr>
        <w:t>an abductor from criminal liability if he marries th</w:t>
      </w:r>
      <w:r w:rsidR="00150C63">
        <w:rPr>
          <w:rFonts w:ascii="Arial" w:eastAsia="Arial" w:hAnsi="Arial" w:cs="Arial"/>
          <w:sz w:val="20"/>
          <w:szCs w:val="20"/>
        </w:rPr>
        <w:t>e</w:t>
      </w:r>
      <w:r w:rsidR="006716A1" w:rsidRPr="00FD3383">
        <w:rPr>
          <w:rFonts w:ascii="Arial" w:eastAsia="Arial" w:hAnsi="Arial" w:cs="Arial"/>
          <w:sz w:val="20"/>
          <w:szCs w:val="20"/>
        </w:rPr>
        <w:t xml:space="preserve"> woman who </w:t>
      </w:r>
      <w:r w:rsidR="00EC02A9">
        <w:rPr>
          <w:rFonts w:ascii="Arial" w:eastAsia="Arial" w:hAnsi="Arial" w:cs="Arial"/>
          <w:sz w:val="20"/>
          <w:szCs w:val="20"/>
        </w:rPr>
        <w:t xml:space="preserve">he had abducted, provided that her guardian gives </w:t>
      </w:r>
      <w:r w:rsidR="006716A1" w:rsidRPr="00FD3383">
        <w:rPr>
          <w:rFonts w:ascii="Arial" w:eastAsia="Arial" w:hAnsi="Arial" w:cs="Arial"/>
          <w:sz w:val="20"/>
          <w:szCs w:val="20"/>
        </w:rPr>
        <w:t xml:space="preserve">permission </w:t>
      </w:r>
      <w:r w:rsidR="00EC02A9">
        <w:rPr>
          <w:rFonts w:ascii="Arial" w:eastAsia="Arial" w:hAnsi="Arial" w:cs="Arial"/>
          <w:sz w:val="20"/>
          <w:szCs w:val="20"/>
        </w:rPr>
        <w:t>for the marriage</w:t>
      </w:r>
      <w:r w:rsidR="006716A1" w:rsidRPr="00FD3383">
        <w:rPr>
          <w:rFonts w:ascii="Arial" w:eastAsia="Arial" w:hAnsi="Arial" w:cs="Arial"/>
          <w:sz w:val="20"/>
          <w:szCs w:val="20"/>
        </w:rPr>
        <w:t>.</w:t>
      </w:r>
      <w:r w:rsidR="00FC5891" w:rsidRPr="00021CD4">
        <w:rPr>
          <w:rStyle w:val="FootnoteReference"/>
          <w:rFonts w:ascii="Arial" w:eastAsia="Arial" w:hAnsi="Arial" w:cs="Arial"/>
          <w:sz w:val="20"/>
          <w:szCs w:val="20"/>
          <w:vertAlign w:val="superscript"/>
        </w:rPr>
        <w:footnoteReference w:id="22"/>
      </w:r>
    </w:p>
    <w:p w14:paraId="749D22B4" w14:textId="77777777" w:rsidR="00664142" w:rsidRDefault="00664142" w:rsidP="00EF121C">
      <w:pPr>
        <w:pStyle w:val="Normal1"/>
        <w:widowControl w:val="0"/>
        <w:spacing w:before="0" w:after="0" w:line="240" w:lineRule="auto"/>
        <w:contextualSpacing/>
        <w:jc w:val="both"/>
        <w:rPr>
          <w:rFonts w:ascii="Arial" w:eastAsia="Arial" w:hAnsi="Arial" w:cs="Arial"/>
          <w:sz w:val="20"/>
          <w:szCs w:val="20"/>
        </w:rPr>
      </w:pPr>
    </w:p>
    <w:p w14:paraId="266320FC" w14:textId="034C2111" w:rsidR="00FD3383" w:rsidRDefault="00FD3383" w:rsidP="00EF121C">
      <w:pPr>
        <w:pStyle w:val="Normal1"/>
        <w:widowControl w:val="0"/>
        <w:spacing w:before="0" w:after="0" w:line="240" w:lineRule="auto"/>
        <w:contextualSpacing/>
        <w:jc w:val="both"/>
        <w:rPr>
          <w:rFonts w:ascii="Arial" w:eastAsia="Arial" w:hAnsi="Arial" w:cs="Arial"/>
          <w:sz w:val="20"/>
          <w:szCs w:val="20"/>
        </w:rPr>
      </w:pPr>
      <w:r>
        <w:rPr>
          <w:rFonts w:ascii="Arial" w:eastAsia="Arial" w:hAnsi="Arial" w:cs="Arial"/>
          <w:sz w:val="20"/>
          <w:szCs w:val="20"/>
        </w:rPr>
        <w:lastRenderedPageBreak/>
        <w:t>The provisions above are in violation of Kuwait’s commitments under CEDAW, as well as its own constitutional provisions of human dignity and equality and its Domestic Violence Protection Act.</w:t>
      </w:r>
    </w:p>
    <w:p w14:paraId="2D7E0779" w14:textId="77777777" w:rsidR="00FD3383" w:rsidRPr="00FD3383" w:rsidRDefault="00FD3383" w:rsidP="00EF121C">
      <w:pPr>
        <w:pStyle w:val="Normal1"/>
        <w:widowControl w:val="0"/>
        <w:spacing w:before="0" w:after="0" w:line="240" w:lineRule="auto"/>
        <w:contextualSpacing/>
        <w:jc w:val="both"/>
        <w:rPr>
          <w:rFonts w:ascii="Arial" w:eastAsia="Arial" w:hAnsi="Arial" w:cs="Arial"/>
          <w:sz w:val="20"/>
          <w:szCs w:val="20"/>
        </w:rPr>
      </w:pPr>
    </w:p>
    <w:p w14:paraId="74C239BE" w14:textId="0E694B76" w:rsidR="0022605E" w:rsidRDefault="0022605E" w:rsidP="00EF121C">
      <w:pPr>
        <w:pStyle w:val="Normal1"/>
        <w:spacing w:before="0" w:after="0" w:line="240" w:lineRule="auto"/>
        <w:jc w:val="both"/>
        <w:rPr>
          <w:rFonts w:ascii="Arial" w:eastAsia="Arial" w:hAnsi="Arial" w:cs="Arial"/>
          <w:b/>
          <w:bCs/>
          <w:color w:val="2C2C2C"/>
          <w:sz w:val="20"/>
          <w:szCs w:val="20"/>
        </w:rPr>
      </w:pPr>
      <w:r w:rsidRPr="00FD3383">
        <w:rPr>
          <w:rFonts w:ascii="Arial" w:eastAsia="Arial" w:hAnsi="Arial" w:cs="Arial"/>
          <w:b/>
          <w:bCs/>
          <w:color w:val="2C2C2C"/>
          <w:sz w:val="20"/>
          <w:szCs w:val="20"/>
        </w:rPr>
        <w:t>THE</w:t>
      </w:r>
      <w:r w:rsidRPr="00FD3383">
        <w:rPr>
          <w:rFonts w:ascii="Arial" w:eastAsia="Arial" w:hAnsi="Arial" w:cs="Arial"/>
          <w:b/>
          <w:bCs/>
          <w:color w:val="2C2C2C"/>
          <w:sz w:val="20"/>
          <w:szCs w:val="20"/>
          <w:rtl/>
        </w:rPr>
        <w:t xml:space="preserve"> </w:t>
      </w:r>
      <w:r w:rsidRPr="00FD3383">
        <w:rPr>
          <w:rFonts w:ascii="Arial" w:eastAsia="Arial" w:hAnsi="Arial" w:cs="Arial"/>
          <w:b/>
          <w:bCs/>
          <w:color w:val="2C2C2C"/>
          <w:sz w:val="20"/>
          <w:szCs w:val="20"/>
        </w:rPr>
        <w:t xml:space="preserve">DOMESTIC VIOLENCE PROTECTION </w:t>
      </w:r>
      <w:r w:rsidR="006716A1" w:rsidRPr="00FD3383">
        <w:rPr>
          <w:rFonts w:ascii="Arial" w:eastAsia="Arial" w:hAnsi="Arial" w:cs="Arial"/>
          <w:b/>
          <w:bCs/>
          <w:color w:val="2C2C2C"/>
          <w:sz w:val="20"/>
          <w:szCs w:val="20"/>
        </w:rPr>
        <w:t>ACT</w:t>
      </w:r>
    </w:p>
    <w:p w14:paraId="1E17758D" w14:textId="77777777" w:rsidR="002901CB" w:rsidRDefault="002901CB" w:rsidP="002901CB">
      <w:pPr>
        <w:jc w:val="both"/>
        <w:rPr>
          <w:rFonts w:ascii="Arial" w:eastAsia="Arial" w:hAnsi="Arial" w:cs="Arial"/>
          <w:color w:val="2C2C2C"/>
          <w:sz w:val="20"/>
          <w:szCs w:val="20"/>
        </w:rPr>
      </w:pPr>
    </w:p>
    <w:p w14:paraId="383C1F09" w14:textId="0FE77FCD" w:rsidR="00596FE6" w:rsidRPr="00021CD4" w:rsidRDefault="00491FF6" w:rsidP="00596FE6">
      <w:pPr>
        <w:jc w:val="both"/>
        <w:rPr>
          <w:rFonts w:ascii="Arial" w:eastAsia="Arial" w:hAnsi="Arial" w:cs="Arial"/>
          <w:color w:val="000000" w:themeColor="text1"/>
          <w:sz w:val="20"/>
          <w:szCs w:val="20"/>
        </w:rPr>
      </w:pPr>
      <w:r w:rsidRPr="00021CD4">
        <w:rPr>
          <w:rFonts w:ascii="Arial" w:eastAsia="Arial" w:hAnsi="Arial" w:cs="Arial"/>
          <w:color w:val="000000" w:themeColor="text1"/>
          <w:sz w:val="20"/>
          <w:szCs w:val="20"/>
        </w:rPr>
        <w:t xml:space="preserve">The </w:t>
      </w:r>
      <w:r w:rsidR="003A7015">
        <w:rPr>
          <w:rFonts w:ascii="Arial" w:eastAsia="Arial" w:hAnsi="Arial" w:cs="Arial"/>
          <w:color w:val="000000" w:themeColor="text1"/>
          <w:sz w:val="20"/>
          <w:szCs w:val="20"/>
        </w:rPr>
        <w:t xml:space="preserve">passage of the </w:t>
      </w:r>
      <w:r w:rsidRPr="00021CD4">
        <w:rPr>
          <w:rFonts w:ascii="Arial" w:eastAsia="Arial" w:hAnsi="Arial" w:cs="Arial"/>
          <w:color w:val="000000" w:themeColor="text1"/>
          <w:sz w:val="20"/>
          <w:szCs w:val="20"/>
        </w:rPr>
        <w:t>Domestic Violence Protection Act of 2020 (hereinafter referred to as “the Domestic Violence Act”)</w:t>
      </w:r>
      <w:r w:rsidR="003A7015">
        <w:rPr>
          <w:rFonts w:ascii="Arial" w:eastAsia="Arial" w:hAnsi="Arial" w:cs="Arial"/>
          <w:color w:val="000000" w:themeColor="text1"/>
          <w:sz w:val="20"/>
          <w:szCs w:val="20"/>
        </w:rPr>
        <w:t xml:space="preserve"> marked a significant step towards enhancing the legal protections of women from violence. The Act</w:t>
      </w:r>
      <w:r w:rsidRPr="00021CD4">
        <w:rPr>
          <w:rFonts w:ascii="Arial" w:eastAsia="Arial" w:hAnsi="Arial" w:cs="Arial"/>
          <w:color w:val="000000" w:themeColor="text1"/>
          <w:sz w:val="20"/>
          <w:szCs w:val="20"/>
        </w:rPr>
        <w:t xml:space="preserve"> includes provisions aimed at </w:t>
      </w:r>
      <w:r w:rsidR="001A68EF" w:rsidRPr="00021CD4">
        <w:rPr>
          <w:rFonts w:ascii="Arial" w:eastAsia="Arial" w:hAnsi="Arial" w:cs="Arial"/>
          <w:color w:val="000000" w:themeColor="text1"/>
          <w:sz w:val="20"/>
          <w:szCs w:val="20"/>
        </w:rPr>
        <w:t xml:space="preserve">the prevention </w:t>
      </w:r>
      <w:r w:rsidR="00986A56" w:rsidRPr="00021CD4">
        <w:rPr>
          <w:rFonts w:ascii="Arial" w:eastAsia="Arial" w:hAnsi="Arial" w:cs="Arial"/>
          <w:color w:val="000000" w:themeColor="text1"/>
          <w:sz w:val="20"/>
          <w:szCs w:val="20"/>
        </w:rPr>
        <w:t xml:space="preserve">of </w:t>
      </w:r>
      <w:r w:rsidR="001A68EF" w:rsidRPr="00021CD4">
        <w:rPr>
          <w:rFonts w:ascii="Arial" w:eastAsia="Arial" w:hAnsi="Arial" w:cs="Arial"/>
          <w:color w:val="000000" w:themeColor="text1"/>
          <w:sz w:val="20"/>
          <w:szCs w:val="20"/>
        </w:rPr>
        <w:t>and protection from gender-based violence in the family sphere</w:t>
      </w:r>
      <w:r w:rsidR="00F15E50" w:rsidRPr="00021CD4">
        <w:rPr>
          <w:rFonts w:ascii="Arial" w:eastAsia="Arial" w:hAnsi="Arial" w:cs="Arial"/>
          <w:color w:val="000000" w:themeColor="text1"/>
          <w:sz w:val="20"/>
          <w:szCs w:val="20"/>
        </w:rPr>
        <w:t xml:space="preserve">. </w:t>
      </w:r>
      <w:r w:rsidR="003A7015">
        <w:rPr>
          <w:rFonts w:ascii="Arial" w:eastAsia="Arial" w:hAnsi="Arial" w:cs="Arial"/>
          <w:color w:val="000000" w:themeColor="text1"/>
          <w:sz w:val="20"/>
          <w:szCs w:val="20"/>
        </w:rPr>
        <w:t>It</w:t>
      </w:r>
      <w:r w:rsidR="00BA323A" w:rsidRPr="00021CD4">
        <w:rPr>
          <w:rFonts w:ascii="Arial" w:eastAsia="Arial" w:hAnsi="Arial" w:cs="Arial"/>
          <w:color w:val="000000" w:themeColor="text1"/>
          <w:sz w:val="20"/>
          <w:szCs w:val="20"/>
        </w:rPr>
        <w:t xml:space="preserve"> </w:t>
      </w:r>
      <w:r w:rsidR="003A7015">
        <w:rPr>
          <w:rFonts w:ascii="Arial" w:eastAsia="Arial" w:hAnsi="Arial" w:cs="Arial"/>
          <w:color w:val="000000" w:themeColor="text1"/>
          <w:sz w:val="20"/>
          <w:szCs w:val="20"/>
        </w:rPr>
        <w:t>criminalizes</w:t>
      </w:r>
      <w:r w:rsidR="00FD3383" w:rsidRPr="00021CD4">
        <w:rPr>
          <w:rFonts w:ascii="Arial" w:eastAsia="Arial" w:hAnsi="Arial" w:cs="Arial"/>
          <w:color w:val="000000" w:themeColor="text1"/>
          <w:sz w:val="20"/>
          <w:szCs w:val="20"/>
        </w:rPr>
        <w:t xml:space="preserve"> acts of domestic violence, including physical, psychological, sexual, and financial forms of violence, whether these </w:t>
      </w:r>
      <w:r w:rsidR="00E92EBE" w:rsidRPr="00021CD4">
        <w:rPr>
          <w:rFonts w:ascii="Arial" w:eastAsia="Arial" w:hAnsi="Arial" w:cs="Arial"/>
          <w:color w:val="000000" w:themeColor="text1"/>
          <w:sz w:val="20"/>
          <w:szCs w:val="20"/>
        </w:rPr>
        <w:t xml:space="preserve">are </w:t>
      </w:r>
      <w:r w:rsidR="00FD3383" w:rsidRPr="00021CD4">
        <w:rPr>
          <w:rFonts w:ascii="Arial" w:eastAsia="Arial" w:hAnsi="Arial" w:cs="Arial"/>
          <w:color w:val="000000" w:themeColor="text1"/>
          <w:sz w:val="20"/>
          <w:szCs w:val="20"/>
        </w:rPr>
        <w:t xml:space="preserve">a specific action (or lack thereof) or </w:t>
      </w:r>
      <w:r w:rsidR="00596FE6" w:rsidRPr="00021CD4">
        <w:rPr>
          <w:rFonts w:ascii="Arial" w:eastAsia="Arial" w:hAnsi="Arial" w:cs="Arial"/>
          <w:color w:val="000000" w:themeColor="text1"/>
          <w:sz w:val="20"/>
          <w:szCs w:val="20"/>
        </w:rPr>
        <w:t xml:space="preserve">a </w:t>
      </w:r>
      <w:r w:rsidR="00FD3383" w:rsidRPr="00021CD4">
        <w:rPr>
          <w:rFonts w:ascii="Arial" w:eastAsia="Arial" w:hAnsi="Arial" w:cs="Arial"/>
          <w:color w:val="000000" w:themeColor="text1"/>
          <w:sz w:val="20"/>
          <w:szCs w:val="20"/>
        </w:rPr>
        <w:t>threat</w:t>
      </w:r>
      <w:r w:rsidR="00596FE6" w:rsidRPr="00021CD4">
        <w:rPr>
          <w:rFonts w:ascii="Arial" w:eastAsia="Arial" w:hAnsi="Arial" w:cs="Arial"/>
          <w:color w:val="000000" w:themeColor="text1"/>
          <w:sz w:val="20"/>
          <w:szCs w:val="20"/>
        </w:rPr>
        <w:t xml:space="preserve"> of violence</w:t>
      </w:r>
      <w:r w:rsidR="00FD3383" w:rsidRPr="00021CD4">
        <w:rPr>
          <w:rFonts w:ascii="Arial" w:eastAsia="Arial" w:hAnsi="Arial" w:cs="Arial"/>
          <w:color w:val="000000" w:themeColor="text1"/>
          <w:sz w:val="20"/>
          <w:szCs w:val="20"/>
        </w:rPr>
        <w:t>.</w:t>
      </w:r>
      <w:r w:rsidR="00FD3383" w:rsidRPr="00021CD4">
        <w:rPr>
          <w:rStyle w:val="FootnoteReference"/>
          <w:rFonts w:ascii="Arial" w:eastAsia="Arial" w:hAnsi="Arial"/>
          <w:color w:val="000000" w:themeColor="text1"/>
          <w:vertAlign w:val="superscript"/>
        </w:rPr>
        <w:footnoteReference w:id="23"/>
      </w:r>
      <w:r w:rsidR="00596FE6" w:rsidRPr="00021CD4">
        <w:rPr>
          <w:rFonts w:ascii="Arial" w:eastAsia="Arial" w:hAnsi="Arial" w:cs="Arial"/>
          <w:color w:val="000000" w:themeColor="text1"/>
          <w:sz w:val="20"/>
          <w:szCs w:val="20"/>
        </w:rPr>
        <w:t xml:space="preserve"> The Act also outlines procedural guidelines for reporting </w:t>
      </w:r>
      <w:r w:rsidR="003A7015">
        <w:rPr>
          <w:rFonts w:ascii="Arial" w:eastAsia="Arial" w:hAnsi="Arial" w:cs="Arial"/>
          <w:color w:val="000000" w:themeColor="text1"/>
          <w:sz w:val="20"/>
          <w:szCs w:val="20"/>
        </w:rPr>
        <w:t xml:space="preserve">domestic </w:t>
      </w:r>
      <w:r w:rsidR="00596FE6" w:rsidRPr="00021CD4">
        <w:rPr>
          <w:rFonts w:ascii="Arial" w:eastAsia="Arial" w:hAnsi="Arial" w:cs="Arial"/>
          <w:color w:val="000000" w:themeColor="text1"/>
          <w:sz w:val="20"/>
          <w:szCs w:val="20"/>
        </w:rPr>
        <w:t xml:space="preserve">violence and affords protections and support mechanisms for victims and survivors of violence. </w:t>
      </w:r>
    </w:p>
    <w:p w14:paraId="2B6F7EF3" w14:textId="77777777" w:rsidR="00A57C66" w:rsidRDefault="00A57C66" w:rsidP="00596FE6">
      <w:pPr>
        <w:jc w:val="both"/>
        <w:rPr>
          <w:rFonts w:ascii="Arial" w:eastAsia="Arial" w:hAnsi="Arial" w:cs="Arial"/>
          <w:color w:val="000000" w:themeColor="text1"/>
          <w:sz w:val="20"/>
          <w:szCs w:val="20"/>
        </w:rPr>
      </w:pPr>
    </w:p>
    <w:p w14:paraId="420C9227" w14:textId="76F53C32" w:rsidR="002C5B71" w:rsidRPr="002C5B71" w:rsidRDefault="00A57C66" w:rsidP="002C5B71">
      <w:pPr>
        <w:jc w:val="both"/>
        <w:rPr>
          <w:rFonts w:ascii="Arial" w:hAnsi="Arial" w:cs="Arial"/>
          <w:color w:val="000000" w:themeColor="text1"/>
          <w:sz w:val="20"/>
          <w:szCs w:val="20"/>
        </w:rPr>
      </w:pPr>
      <w:r>
        <w:rPr>
          <w:rFonts w:ascii="Arial" w:eastAsia="Arial" w:hAnsi="Arial" w:cs="Arial"/>
          <w:color w:val="000000" w:themeColor="text1"/>
          <w:sz w:val="20"/>
          <w:szCs w:val="20"/>
        </w:rPr>
        <w:t xml:space="preserve">Building on these developments, further steps that are needed in order </w:t>
      </w:r>
      <w:r w:rsidR="00596FE6" w:rsidRPr="00021CD4">
        <w:rPr>
          <w:rFonts w:ascii="Arial" w:eastAsia="Arial" w:hAnsi="Arial" w:cs="Arial"/>
          <w:color w:val="000000" w:themeColor="text1"/>
          <w:sz w:val="20"/>
          <w:szCs w:val="20"/>
        </w:rPr>
        <w:t xml:space="preserve">to </w:t>
      </w:r>
      <w:r w:rsidR="00491FF6" w:rsidRPr="00021CD4">
        <w:rPr>
          <w:rFonts w:ascii="Arial" w:hAnsi="Arial" w:cs="Arial"/>
          <w:color w:val="000000" w:themeColor="text1"/>
          <w:sz w:val="20"/>
          <w:szCs w:val="20"/>
        </w:rPr>
        <w:t xml:space="preserve">give effect to the protections in the </w:t>
      </w:r>
      <w:r w:rsidR="00EF121C" w:rsidRPr="00021CD4">
        <w:rPr>
          <w:rFonts w:ascii="Arial" w:hAnsi="Arial" w:cs="Arial"/>
          <w:color w:val="000000" w:themeColor="text1"/>
          <w:sz w:val="20"/>
          <w:szCs w:val="20"/>
        </w:rPr>
        <w:t xml:space="preserve">Domestic Violence </w:t>
      </w:r>
      <w:r w:rsidR="00491FF6" w:rsidRPr="00021CD4">
        <w:rPr>
          <w:rFonts w:ascii="Arial" w:hAnsi="Arial" w:cs="Arial"/>
          <w:color w:val="000000" w:themeColor="text1"/>
          <w:sz w:val="20"/>
          <w:szCs w:val="20"/>
        </w:rPr>
        <w:t>Act and</w:t>
      </w:r>
      <w:r w:rsidR="00EF121C" w:rsidRPr="00021CD4">
        <w:rPr>
          <w:rFonts w:ascii="Arial" w:hAnsi="Arial" w:cs="Arial"/>
          <w:color w:val="000000" w:themeColor="text1"/>
          <w:sz w:val="20"/>
          <w:szCs w:val="20"/>
        </w:rPr>
        <w:t xml:space="preserve"> to</w:t>
      </w:r>
      <w:r w:rsidR="00491FF6" w:rsidRPr="00021CD4">
        <w:rPr>
          <w:rFonts w:ascii="Arial" w:hAnsi="Arial" w:cs="Arial"/>
          <w:color w:val="000000" w:themeColor="text1"/>
          <w:sz w:val="20"/>
          <w:szCs w:val="20"/>
        </w:rPr>
        <w:t xml:space="preserve"> implement its provisions effectively. In addition, further legislative changes are </w:t>
      </w:r>
      <w:r w:rsidRPr="00021CD4">
        <w:rPr>
          <w:rFonts w:ascii="Arial" w:hAnsi="Arial" w:cs="Arial"/>
          <w:color w:val="000000" w:themeColor="text1"/>
          <w:sz w:val="20"/>
          <w:szCs w:val="20"/>
        </w:rPr>
        <w:t>necessary</w:t>
      </w:r>
      <w:r w:rsidR="00491FF6" w:rsidRPr="00021CD4">
        <w:rPr>
          <w:rFonts w:ascii="Arial" w:hAnsi="Arial" w:cs="Arial"/>
          <w:color w:val="000000" w:themeColor="text1"/>
          <w:sz w:val="20"/>
          <w:szCs w:val="20"/>
        </w:rPr>
        <w:t xml:space="preserve"> to address legal gaps in protection from sexual harassment and to remove the contradictory provisions in the Penal Code</w:t>
      </w:r>
      <w:r w:rsidR="00EF121C" w:rsidRPr="00021CD4">
        <w:rPr>
          <w:rFonts w:ascii="Arial" w:hAnsi="Arial" w:cs="Arial"/>
          <w:color w:val="000000" w:themeColor="text1"/>
          <w:sz w:val="20"/>
          <w:szCs w:val="20"/>
        </w:rPr>
        <w:t>,</w:t>
      </w:r>
      <w:r w:rsidR="00491FF6" w:rsidRPr="00021CD4">
        <w:rPr>
          <w:rFonts w:ascii="Arial" w:hAnsi="Arial" w:cs="Arial"/>
          <w:color w:val="000000" w:themeColor="text1"/>
          <w:sz w:val="20"/>
          <w:szCs w:val="20"/>
        </w:rPr>
        <w:t xml:space="preserve"> </w:t>
      </w:r>
      <w:r w:rsidR="00EF121C" w:rsidRPr="00021CD4">
        <w:rPr>
          <w:rFonts w:ascii="Arial" w:hAnsi="Arial" w:cs="Arial"/>
          <w:color w:val="000000" w:themeColor="text1"/>
          <w:sz w:val="20"/>
          <w:szCs w:val="20"/>
        </w:rPr>
        <w:t xml:space="preserve">which </w:t>
      </w:r>
      <w:r w:rsidR="00491FF6" w:rsidRPr="00021CD4">
        <w:rPr>
          <w:rFonts w:ascii="Arial" w:hAnsi="Arial" w:cs="Arial"/>
          <w:color w:val="000000" w:themeColor="text1"/>
          <w:sz w:val="20"/>
          <w:szCs w:val="20"/>
        </w:rPr>
        <w:t xml:space="preserve">permit violence against women in the form of “discipline” and </w:t>
      </w:r>
      <w:r w:rsidR="00EF121C" w:rsidRPr="00021CD4">
        <w:rPr>
          <w:rFonts w:ascii="Arial" w:hAnsi="Arial" w:cs="Arial"/>
          <w:color w:val="000000" w:themeColor="text1"/>
          <w:sz w:val="20"/>
          <w:szCs w:val="20"/>
        </w:rPr>
        <w:t xml:space="preserve">fail </w:t>
      </w:r>
      <w:r w:rsidR="00596FE6" w:rsidRPr="00021CD4">
        <w:rPr>
          <w:rFonts w:ascii="Arial" w:hAnsi="Arial" w:cs="Arial"/>
          <w:color w:val="000000" w:themeColor="text1"/>
          <w:sz w:val="20"/>
          <w:szCs w:val="20"/>
        </w:rPr>
        <w:t xml:space="preserve">to </w:t>
      </w:r>
      <w:r w:rsidR="00EF121C" w:rsidRPr="00021CD4">
        <w:rPr>
          <w:rFonts w:ascii="Arial" w:hAnsi="Arial" w:cs="Arial"/>
          <w:color w:val="000000" w:themeColor="text1"/>
          <w:sz w:val="20"/>
          <w:szCs w:val="20"/>
        </w:rPr>
        <w:t xml:space="preserve">punish </w:t>
      </w:r>
      <w:r w:rsidR="00491FF6" w:rsidRPr="00021CD4">
        <w:rPr>
          <w:rFonts w:ascii="Arial" w:hAnsi="Arial" w:cs="Arial"/>
          <w:color w:val="000000" w:themeColor="text1"/>
          <w:sz w:val="20"/>
          <w:szCs w:val="20"/>
        </w:rPr>
        <w:t>honor crimes</w:t>
      </w:r>
      <w:r w:rsidR="00EF121C" w:rsidRPr="00021CD4">
        <w:rPr>
          <w:rFonts w:ascii="Arial" w:hAnsi="Arial" w:cs="Arial"/>
          <w:color w:val="000000" w:themeColor="text1"/>
          <w:sz w:val="20"/>
          <w:szCs w:val="20"/>
        </w:rPr>
        <w:t xml:space="preserve"> and abduction.</w:t>
      </w:r>
    </w:p>
    <w:p w14:paraId="5A25331A" w14:textId="77777777" w:rsidR="002C5B71" w:rsidRPr="002C5B71" w:rsidRDefault="002C5B71" w:rsidP="00FD3383">
      <w:pPr>
        <w:pStyle w:val="Normal1"/>
        <w:spacing w:before="0" w:after="0" w:line="240" w:lineRule="auto"/>
        <w:rPr>
          <w:rFonts w:ascii="Arial" w:hAnsi="Arial" w:cs="Arial"/>
          <w:sz w:val="28"/>
          <w:szCs w:val="28"/>
        </w:rPr>
      </w:pPr>
    </w:p>
    <w:p w14:paraId="59CFE70D" w14:textId="77777777" w:rsidR="00D07715" w:rsidRDefault="00000000" w:rsidP="00710B9A">
      <w:pPr>
        <w:pStyle w:val="Heading1"/>
        <w:spacing w:before="60" w:after="40"/>
        <w:ind w:left="547" w:hanging="547"/>
        <w:rPr>
          <w:rFonts w:ascii="Arial" w:hAnsi="Arial" w:cs="Arial"/>
        </w:rPr>
      </w:pPr>
      <w:bookmarkStart w:id="3" w:name="_Toc163864100"/>
      <w:r>
        <w:rPr>
          <w:rFonts w:ascii="Arial" w:hAnsi="Arial" w:cs="Arial"/>
        </w:rPr>
        <w:t>C. KEY ISSUES AND RECOMMENDATIONS</w:t>
      </w:r>
      <w:bookmarkEnd w:id="3"/>
      <w:r>
        <w:rPr>
          <w:rFonts w:ascii="Arial" w:hAnsi="Arial" w:cs="Arial"/>
        </w:rPr>
        <w:t xml:space="preserve"> </w:t>
      </w:r>
    </w:p>
    <w:p w14:paraId="17DFD024" w14:textId="77777777" w:rsidR="00D07715" w:rsidRPr="002C5B71" w:rsidRDefault="00D07715">
      <w:pPr>
        <w:rPr>
          <w:rFonts w:ascii="Arial" w:eastAsia="Arial" w:hAnsi="Arial" w:cs="Arial"/>
          <w:sz w:val="20"/>
          <w:szCs w:val="20"/>
        </w:rPr>
      </w:pPr>
      <w:bookmarkStart w:id="4" w:name="_heading=h.2et92p0" w:colFirst="0" w:colLast="0"/>
      <w:bookmarkEnd w:id="4"/>
    </w:p>
    <w:p w14:paraId="54ECF843" w14:textId="2539D0E2" w:rsidR="006E7804" w:rsidRDefault="006E7804" w:rsidP="008C1050">
      <w:pPr>
        <w:pStyle w:val="Heading2"/>
        <w:numPr>
          <w:ilvl w:val="0"/>
          <w:numId w:val="1"/>
        </w:numPr>
        <w:ind w:left="540" w:hanging="540"/>
        <w:rPr>
          <w:rFonts w:ascii="Arial" w:hAnsi="Arial" w:cs="Arial"/>
          <w:i/>
        </w:rPr>
      </w:pPr>
      <w:bookmarkStart w:id="5" w:name="_Toc163864101"/>
      <w:r>
        <w:rPr>
          <w:rFonts w:ascii="Arial" w:hAnsi="Arial" w:cs="Arial"/>
        </w:rPr>
        <w:t>Gender-Based Violence</w:t>
      </w:r>
      <w:bookmarkEnd w:id="5"/>
      <w:r w:rsidR="008C1050">
        <w:rPr>
          <w:rFonts w:ascii="Arial" w:hAnsi="Arial" w:cs="Arial"/>
        </w:rPr>
        <w:tab/>
      </w:r>
      <w:r w:rsidR="008C1050">
        <w:rPr>
          <w:rFonts w:ascii="Arial" w:hAnsi="Arial" w:cs="Arial"/>
        </w:rPr>
        <w:tab/>
      </w:r>
      <w:r w:rsidR="008C1050">
        <w:rPr>
          <w:rFonts w:ascii="Arial" w:hAnsi="Arial" w:cs="Arial"/>
        </w:rPr>
        <w:tab/>
      </w:r>
      <w:r w:rsidR="008C1050">
        <w:rPr>
          <w:rFonts w:ascii="Arial" w:hAnsi="Arial" w:cs="Arial"/>
        </w:rPr>
        <w:tab/>
      </w:r>
      <w:r>
        <w:rPr>
          <w:rFonts w:ascii="Arial" w:hAnsi="Arial" w:cs="Arial"/>
        </w:rPr>
        <w:t xml:space="preserve"> </w:t>
      </w:r>
      <w:r>
        <w:rPr>
          <w:rFonts w:ascii="Arial" w:hAnsi="Arial" w:cs="Arial"/>
        </w:rPr>
        <w:tab/>
      </w:r>
      <w:r>
        <w:rPr>
          <w:rFonts w:ascii="Arial" w:hAnsi="Arial" w:cs="Arial"/>
        </w:rPr>
        <w:tab/>
      </w:r>
      <w:r>
        <w:rPr>
          <w:rFonts w:ascii="Arial" w:hAnsi="Arial" w:cs="Arial"/>
        </w:rPr>
        <w:tab/>
      </w:r>
    </w:p>
    <w:p w14:paraId="21FD0BFE" w14:textId="77777777" w:rsidR="006E7804" w:rsidRDefault="006E7804" w:rsidP="006E7804">
      <w:pPr>
        <w:jc w:val="both"/>
        <w:rPr>
          <w:rFonts w:ascii="Arial" w:eastAsia="Arial" w:hAnsi="Arial" w:cs="Arial"/>
          <w:sz w:val="20"/>
          <w:szCs w:val="20"/>
        </w:rPr>
      </w:pPr>
    </w:p>
    <w:p w14:paraId="02B69776" w14:textId="1CF84D98" w:rsidR="00786AEF" w:rsidRDefault="00786AEF" w:rsidP="00EF121C">
      <w:pPr>
        <w:jc w:val="both"/>
        <w:rPr>
          <w:rFonts w:ascii="Arial" w:eastAsia="Arial" w:hAnsi="Arial" w:cs="Arial"/>
          <w:b/>
          <w:sz w:val="20"/>
          <w:szCs w:val="20"/>
        </w:rPr>
      </w:pPr>
      <w:r w:rsidRPr="00EF121C">
        <w:rPr>
          <w:rFonts w:ascii="Arial" w:eastAsia="Arial" w:hAnsi="Arial" w:cs="Arial"/>
          <w:b/>
          <w:sz w:val="20"/>
          <w:szCs w:val="20"/>
        </w:rPr>
        <w:t xml:space="preserve">Domestic </w:t>
      </w:r>
      <w:r w:rsidR="00EF121C">
        <w:rPr>
          <w:rFonts w:ascii="Arial" w:eastAsia="Arial" w:hAnsi="Arial" w:cs="Arial"/>
          <w:b/>
          <w:sz w:val="20"/>
          <w:szCs w:val="20"/>
        </w:rPr>
        <w:t>V</w:t>
      </w:r>
      <w:r w:rsidRPr="00EF121C">
        <w:rPr>
          <w:rFonts w:ascii="Arial" w:eastAsia="Arial" w:hAnsi="Arial" w:cs="Arial"/>
          <w:b/>
          <w:sz w:val="20"/>
          <w:szCs w:val="20"/>
        </w:rPr>
        <w:t>iolence</w:t>
      </w:r>
      <w:r w:rsidR="00EF121C">
        <w:rPr>
          <w:rFonts w:ascii="Arial" w:eastAsia="Arial" w:hAnsi="Arial" w:cs="Arial"/>
          <w:b/>
          <w:sz w:val="20"/>
          <w:szCs w:val="20"/>
        </w:rPr>
        <w:t xml:space="preserve"> Act</w:t>
      </w:r>
    </w:p>
    <w:p w14:paraId="0C4C733F" w14:textId="77777777" w:rsidR="002901CB" w:rsidRDefault="002901CB" w:rsidP="00EF121C">
      <w:pPr>
        <w:pStyle w:val="Normal1"/>
        <w:spacing w:before="0" w:after="0" w:line="240" w:lineRule="auto"/>
        <w:jc w:val="both"/>
        <w:rPr>
          <w:rFonts w:ascii="Arial" w:eastAsia="Arial" w:hAnsi="Arial" w:cs="Arial"/>
          <w:color w:val="2C2C2C"/>
          <w:sz w:val="20"/>
          <w:szCs w:val="20"/>
        </w:rPr>
      </w:pPr>
    </w:p>
    <w:p w14:paraId="105E0218" w14:textId="638E73F1" w:rsidR="00596FE6" w:rsidRPr="008C1050" w:rsidRDefault="00596FE6" w:rsidP="00EF121C">
      <w:pPr>
        <w:pStyle w:val="Normal1"/>
        <w:spacing w:before="0" w:after="0" w:line="240" w:lineRule="auto"/>
        <w:jc w:val="both"/>
        <w:rPr>
          <w:rFonts w:ascii="Arial" w:eastAsia="Arial" w:hAnsi="Arial" w:cs="Arial"/>
          <w:color w:val="000000" w:themeColor="text1"/>
          <w:sz w:val="20"/>
          <w:szCs w:val="20"/>
        </w:rPr>
      </w:pPr>
      <w:r w:rsidRPr="008C1050">
        <w:rPr>
          <w:rFonts w:ascii="Arial" w:eastAsia="Arial" w:hAnsi="Arial" w:cs="Arial"/>
          <w:color w:val="000000" w:themeColor="text1"/>
          <w:sz w:val="20"/>
          <w:szCs w:val="20"/>
        </w:rPr>
        <w:t xml:space="preserve">Kuwait enacted its first law addressing domestic violence in 2020, the Domestic Violence Act, in an important positive step towards protecting women from gender-based violence. </w:t>
      </w:r>
      <w:r w:rsidR="00A57C66">
        <w:rPr>
          <w:rFonts w:ascii="Arial" w:eastAsia="Arial" w:hAnsi="Arial" w:cs="Arial"/>
          <w:color w:val="000000" w:themeColor="text1"/>
          <w:sz w:val="20"/>
          <w:szCs w:val="20"/>
        </w:rPr>
        <w:t>Nevertheless, it is</w:t>
      </w:r>
      <w:r w:rsidRPr="008C1050">
        <w:rPr>
          <w:rFonts w:ascii="Arial" w:eastAsia="Arial" w:hAnsi="Arial" w:cs="Arial"/>
          <w:color w:val="000000" w:themeColor="text1"/>
          <w:sz w:val="20"/>
          <w:szCs w:val="20"/>
        </w:rPr>
        <w:t xml:space="preserve"> important that Kuwait continues to address gaps in legislation and implementation in order to strengthen the protection of women from violence. </w:t>
      </w:r>
    </w:p>
    <w:p w14:paraId="40CA83E5" w14:textId="77777777" w:rsidR="00596FE6" w:rsidRPr="008C1050" w:rsidRDefault="00596FE6" w:rsidP="00EF121C">
      <w:pPr>
        <w:pStyle w:val="Normal1"/>
        <w:spacing w:before="0" w:after="0" w:line="240" w:lineRule="auto"/>
        <w:jc w:val="both"/>
        <w:rPr>
          <w:rFonts w:ascii="Arial" w:eastAsia="Arial" w:hAnsi="Arial" w:cs="Arial"/>
          <w:color w:val="000000" w:themeColor="text1"/>
          <w:sz w:val="20"/>
          <w:szCs w:val="20"/>
        </w:rPr>
      </w:pPr>
    </w:p>
    <w:p w14:paraId="76CED201" w14:textId="0AA1F05D" w:rsidR="00596FE6" w:rsidRDefault="00596FE6" w:rsidP="00596FE6">
      <w:pPr>
        <w:pStyle w:val="Normal1"/>
        <w:spacing w:before="0" w:after="0" w:line="240" w:lineRule="auto"/>
        <w:jc w:val="both"/>
        <w:rPr>
          <w:rFonts w:ascii="Arial" w:hAnsi="Arial" w:cs="Arial"/>
          <w:sz w:val="20"/>
          <w:szCs w:val="20"/>
        </w:rPr>
      </w:pPr>
      <w:r w:rsidRPr="008C1050">
        <w:rPr>
          <w:rFonts w:ascii="Arial" w:hAnsi="Arial" w:cs="Arial"/>
          <w:color w:val="000000" w:themeColor="text1"/>
          <w:sz w:val="20"/>
          <w:szCs w:val="20"/>
        </w:rPr>
        <w:t>A 2022 study has shown that an estimated 1,100 cases of domestic violence are reported each year, with women comprising 80 percent of victims of violence.</w:t>
      </w:r>
      <w:r w:rsidRPr="008C1050">
        <w:rPr>
          <w:rStyle w:val="FootnoteReference"/>
          <w:rFonts w:ascii="Arial" w:hAnsi="Arial"/>
          <w:color w:val="000000" w:themeColor="text1"/>
          <w:vertAlign w:val="superscript"/>
        </w:rPr>
        <w:footnoteReference w:id="24"/>
      </w:r>
      <w:r w:rsidRPr="008C1050">
        <w:rPr>
          <w:rFonts w:ascii="Arial" w:hAnsi="Arial" w:cs="Arial"/>
          <w:color w:val="000000" w:themeColor="text1"/>
          <w:sz w:val="20"/>
          <w:szCs w:val="20"/>
        </w:rPr>
        <w:t xml:space="preserve"> Incidents of violence against women have</w:t>
      </w:r>
      <w:r w:rsidR="00750E40" w:rsidRPr="008C1050">
        <w:rPr>
          <w:rFonts w:ascii="Arial" w:hAnsi="Arial" w:cs="Arial" w:hint="cs"/>
          <w:color w:val="000000" w:themeColor="text1"/>
          <w:sz w:val="20"/>
          <w:szCs w:val="20"/>
          <w:rtl/>
        </w:rPr>
        <w:t xml:space="preserve"> </w:t>
      </w:r>
      <w:r w:rsidR="00750E40" w:rsidRPr="008C1050">
        <w:rPr>
          <w:rFonts w:ascii="Arial" w:hAnsi="Arial" w:cs="Arial"/>
          <w:color w:val="000000" w:themeColor="text1"/>
          <w:sz w:val="20"/>
          <w:szCs w:val="20"/>
        </w:rPr>
        <w:t>reportedly</w:t>
      </w:r>
      <w:r w:rsidRPr="008C1050">
        <w:rPr>
          <w:rFonts w:ascii="Arial" w:hAnsi="Arial" w:cs="Arial"/>
          <w:color w:val="000000" w:themeColor="text1"/>
          <w:sz w:val="20"/>
          <w:szCs w:val="20"/>
        </w:rPr>
        <w:t xml:space="preserve"> increased by 40 percent between 2020 and 2022, and by August 2023, the number of domestic violence complaints exceeded 3778 since the passage of the Domestic Violence Act.</w:t>
      </w:r>
      <w:r w:rsidRPr="008C1050">
        <w:rPr>
          <w:rStyle w:val="FootnoteReference"/>
          <w:rFonts w:ascii="Arial" w:hAnsi="Arial"/>
          <w:color w:val="000000" w:themeColor="text1"/>
          <w:vertAlign w:val="superscript"/>
        </w:rPr>
        <w:footnoteReference w:id="25"/>
      </w:r>
      <w:r w:rsidRPr="008C1050">
        <w:rPr>
          <w:rFonts w:ascii="Arial" w:hAnsi="Arial" w:cs="Arial"/>
          <w:color w:val="000000" w:themeColor="text1"/>
          <w:sz w:val="20"/>
          <w:szCs w:val="20"/>
        </w:rPr>
        <w:t xml:space="preserve"> In 50 percent of these cases, however, women </w:t>
      </w:r>
      <w:r>
        <w:rPr>
          <w:rFonts w:ascii="Arial" w:hAnsi="Arial" w:cs="Arial"/>
          <w:sz w:val="20"/>
          <w:szCs w:val="20"/>
        </w:rPr>
        <w:t>withdr</w:t>
      </w:r>
      <w:r w:rsidR="00ED0ABB">
        <w:rPr>
          <w:rFonts w:ascii="Arial" w:hAnsi="Arial" w:cs="Arial"/>
          <w:sz w:val="20"/>
          <w:szCs w:val="20"/>
        </w:rPr>
        <w:t>e</w:t>
      </w:r>
      <w:r>
        <w:rPr>
          <w:rFonts w:ascii="Arial" w:hAnsi="Arial" w:cs="Arial"/>
          <w:sz w:val="20"/>
          <w:szCs w:val="20"/>
        </w:rPr>
        <w:t>w their complaints due to societal and family pressure to “reconcile” with the perpetrator.</w:t>
      </w:r>
      <w:r w:rsidRPr="00596FE6">
        <w:rPr>
          <w:rStyle w:val="FootnoteReference"/>
          <w:rFonts w:ascii="Arial" w:hAnsi="Arial"/>
          <w:vertAlign w:val="superscript"/>
        </w:rPr>
        <w:footnoteReference w:id="26"/>
      </w:r>
      <w:r>
        <w:rPr>
          <w:rFonts w:ascii="Arial" w:hAnsi="Arial" w:cs="Arial"/>
          <w:sz w:val="20"/>
          <w:szCs w:val="20"/>
        </w:rPr>
        <w:t xml:space="preserve"> </w:t>
      </w:r>
      <w:r w:rsidR="00750E40">
        <w:rPr>
          <w:rFonts w:ascii="Arial" w:hAnsi="Arial" w:cs="Arial"/>
          <w:sz w:val="20"/>
          <w:szCs w:val="20"/>
        </w:rPr>
        <w:t>Furthermore, it is important to note that reported cases represent only a fraction of the overall incidents of violence, according to experts and advocates.</w:t>
      </w:r>
      <w:r w:rsidR="00750E40" w:rsidRPr="005D5274">
        <w:rPr>
          <w:rStyle w:val="FootnoteReference"/>
          <w:rFonts w:ascii="Arial" w:hAnsi="Arial"/>
          <w:vertAlign w:val="superscript"/>
        </w:rPr>
        <w:footnoteReference w:id="27"/>
      </w:r>
    </w:p>
    <w:p w14:paraId="731E91DD" w14:textId="77777777" w:rsidR="00596FE6" w:rsidRDefault="00596FE6" w:rsidP="00EF121C">
      <w:pPr>
        <w:pStyle w:val="Normal1"/>
        <w:spacing w:before="0" w:after="0" w:line="240" w:lineRule="auto"/>
        <w:jc w:val="both"/>
        <w:rPr>
          <w:rFonts w:ascii="Arial" w:eastAsia="Arial" w:hAnsi="Arial" w:cs="Arial"/>
          <w:color w:val="2C2C2C"/>
          <w:sz w:val="20"/>
          <w:szCs w:val="20"/>
        </w:rPr>
      </w:pPr>
    </w:p>
    <w:p w14:paraId="37FC630D" w14:textId="77777777" w:rsidR="006C74E5" w:rsidRDefault="00491FF6" w:rsidP="00EF121C">
      <w:pPr>
        <w:pStyle w:val="Normal1"/>
        <w:spacing w:before="0" w:after="0" w:line="240" w:lineRule="auto"/>
        <w:jc w:val="both"/>
        <w:rPr>
          <w:rFonts w:ascii="Arial" w:hAnsi="Arial" w:cs="Arial"/>
          <w:sz w:val="20"/>
          <w:szCs w:val="20"/>
          <w:vertAlign w:val="superscript"/>
        </w:rPr>
      </w:pPr>
      <w:r w:rsidRPr="00D912E4">
        <w:rPr>
          <w:rFonts w:ascii="Arial" w:eastAsia="Arial" w:hAnsi="Arial" w:cs="Arial"/>
          <w:color w:val="2C2C2C"/>
          <w:sz w:val="20"/>
          <w:szCs w:val="20"/>
        </w:rPr>
        <w:t>The Domestic Violence Act defines domestic violence as “</w:t>
      </w:r>
      <w:r w:rsidRPr="00D912E4">
        <w:rPr>
          <w:rFonts w:ascii="Arial" w:hAnsi="Arial" w:cs="Arial"/>
          <w:sz w:val="20"/>
          <w:szCs w:val="20"/>
        </w:rPr>
        <w:t>any form of physical, psychological, sexual or financial treatment – engaged in via commission, omission or threat – by one family member against one or more other members.”</w:t>
      </w:r>
      <w:r w:rsidRPr="00D912E4">
        <w:rPr>
          <w:rStyle w:val="FootnoteReference"/>
          <w:rFonts w:ascii="Arial" w:hAnsi="Arial" w:cs="Arial"/>
          <w:sz w:val="20"/>
          <w:szCs w:val="20"/>
          <w:vertAlign w:val="superscript"/>
        </w:rPr>
        <w:footnoteReference w:id="28"/>
      </w:r>
      <w:r w:rsidRPr="00D912E4">
        <w:rPr>
          <w:rFonts w:ascii="Arial" w:hAnsi="Arial" w:cs="Arial"/>
          <w:sz w:val="20"/>
          <w:szCs w:val="20"/>
        </w:rPr>
        <w:t xml:space="preserve"> The Act includes </w:t>
      </w:r>
      <w:r w:rsidR="00A57C66">
        <w:rPr>
          <w:rFonts w:ascii="Arial" w:hAnsi="Arial" w:cs="Arial"/>
          <w:sz w:val="20"/>
          <w:szCs w:val="20"/>
        </w:rPr>
        <w:t>important</w:t>
      </w:r>
      <w:r w:rsidRPr="00D912E4">
        <w:rPr>
          <w:rFonts w:ascii="Arial" w:hAnsi="Arial" w:cs="Arial"/>
          <w:sz w:val="20"/>
          <w:szCs w:val="20"/>
        </w:rPr>
        <w:t xml:space="preserve"> legal protections, including confidential reporting procedures for victims;</w:t>
      </w:r>
      <w:r w:rsidR="00EF121C" w:rsidRPr="00D912E4">
        <w:rPr>
          <w:rFonts w:ascii="Arial" w:hAnsi="Arial" w:cs="Arial"/>
          <w:sz w:val="20"/>
          <w:szCs w:val="20"/>
        </w:rPr>
        <w:t xml:space="preserve"> </w:t>
      </w:r>
      <w:r w:rsidRPr="00D912E4">
        <w:rPr>
          <w:rFonts w:ascii="Arial" w:hAnsi="Arial" w:cs="Arial"/>
          <w:sz w:val="20"/>
          <w:szCs w:val="20"/>
        </w:rPr>
        <w:t>procedures for the issuance of emergency protection orders</w:t>
      </w:r>
      <w:r w:rsidR="00EF121C" w:rsidRPr="00D912E4">
        <w:rPr>
          <w:rFonts w:ascii="Arial" w:hAnsi="Arial" w:cs="Arial"/>
          <w:sz w:val="20"/>
          <w:szCs w:val="20"/>
        </w:rPr>
        <w:t xml:space="preserve"> in the case of a</w:t>
      </w:r>
      <w:r w:rsidR="00EF121C" w:rsidRPr="00D912E4">
        <w:rPr>
          <w:rFonts w:ascii="Arial" w:hAnsi="Arial" w:cs="Arial"/>
          <w:sz w:val="20"/>
          <w:szCs w:val="20"/>
          <w:lang w:val="en-GB"/>
        </w:rPr>
        <w:t xml:space="preserve"> serious threat to the life, health, or safety of a victim</w:t>
      </w:r>
      <w:r w:rsidRPr="00D912E4">
        <w:rPr>
          <w:rFonts w:ascii="Arial" w:hAnsi="Arial" w:cs="Arial"/>
          <w:sz w:val="20"/>
          <w:szCs w:val="20"/>
        </w:rPr>
        <w:t xml:space="preserve">; </w:t>
      </w:r>
      <w:r w:rsidR="00A20166">
        <w:rPr>
          <w:rFonts w:ascii="Arial" w:hAnsi="Arial" w:cs="Arial"/>
          <w:sz w:val="20"/>
          <w:szCs w:val="20"/>
        </w:rPr>
        <w:t xml:space="preserve">a </w:t>
      </w:r>
      <w:r w:rsidRPr="00D912E4">
        <w:rPr>
          <w:rFonts w:ascii="Arial" w:hAnsi="Arial" w:cs="Arial"/>
          <w:sz w:val="20"/>
          <w:szCs w:val="20"/>
        </w:rPr>
        <w:t>provision instructing the Public Prosecutor to investigate and prosecute domestic violence incidents</w:t>
      </w:r>
      <w:r w:rsidR="00EF121C" w:rsidRPr="00D912E4">
        <w:rPr>
          <w:rFonts w:ascii="Arial" w:hAnsi="Arial" w:cs="Arial"/>
          <w:sz w:val="20"/>
          <w:szCs w:val="20"/>
        </w:rPr>
        <w:t>, and to initial criminal proceedings at the request of any “person or entity”</w:t>
      </w:r>
      <w:r w:rsidRPr="00D912E4">
        <w:rPr>
          <w:rFonts w:ascii="Arial" w:hAnsi="Arial" w:cs="Arial"/>
          <w:sz w:val="20"/>
          <w:szCs w:val="20"/>
        </w:rPr>
        <w:t xml:space="preserve">; and sanctions for violations of </w:t>
      </w:r>
      <w:r w:rsidR="00D912E4" w:rsidRPr="00D912E4">
        <w:rPr>
          <w:rFonts w:ascii="Arial" w:hAnsi="Arial" w:cs="Arial"/>
          <w:sz w:val="20"/>
          <w:szCs w:val="20"/>
        </w:rPr>
        <w:t>emergency protection orders</w:t>
      </w:r>
      <w:r w:rsidRPr="00D912E4">
        <w:rPr>
          <w:rFonts w:ascii="Arial" w:hAnsi="Arial" w:cs="Arial"/>
          <w:sz w:val="20"/>
          <w:szCs w:val="20"/>
        </w:rPr>
        <w:t>, which include both prison sentences and monetary fines.</w:t>
      </w:r>
      <w:r w:rsidRPr="00D912E4">
        <w:rPr>
          <w:rStyle w:val="FootnoteReference"/>
          <w:rFonts w:ascii="Arial" w:hAnsi="Arial" w:cs="Arial"/>
          <w:sz w:val="20"/>
          <w:szCs w:val="20"/>
          <w:vertAlign w:val="superscript"/>
        </w:rPr>
        <w:footnoteReference w:id="29"/>
      </w:r>
      <w:r w:rsidRPr="00D912E4">
        <w:rPr>
          <w:rFonts w:ascii="Arial" w:hAnsi="Arial" w:cs="Arial"/>
          <w:sz w:val="20"/>
          <w:szCs w:val="20"/>
          <w:vertAlign w:val="superscript"/>
        </w:rPr>
        <w:t xml:space="preserve"> </w:t>
      </w:r>
    </w:p>
    <w:p w14:paraId="49199C56" w14:textId="77777777" w:rsidR="006C74E5" w:rsidRDefault="006C74E5" w:rsidP="00EF121C">
      <w:pPr>
        <w:pStyle w:val="Normal1"/>
        <w:spacing w:before="0" w:after="0" w:line="240" w:lineRule="auto"/>
        <w:jc w:val="both"/>
        <w:rPr>
          <w:rFonts w:ascii="Arial" w:hAnsi="Arial" w:cs="Arial"/>
          <w:sz w:val="20"/>
          <w:szCs w:val="20"/>
          <w:vertAlign w:val="superscript"/>
        </w:rPr>
      </w:pPr>
    </w:p>
    <w:p w14:paraId="67BAA5B2" w14:textId="113D8A22" w:rsidR="00491FF6" w:rsidRPr="00A22E4C" w:rsidRDefault="00491FF6" w:rsidP="00EF121C">
      <w:pPr>
        <w:pStyle w:val="Normal1"/>
        <w:spacing w:before="0" w:after="0" w:line="240" w:lineRule="auto"/>
        <w:jc w:val="both"/>
        <w:rPr>
          <w:rFonts w:ascii="Arial" w:hAnsi="Arial" w:cs="Arial"/>
          <w:sz w:val="20"/>
          <w:szCs w:val="20"/>
          <w:vertAlign w:val="superscript"/>
        </w:rPr>
      </w:pPr>
      <w:r w:rsidRPr="00D912E4">
        <w:rPr>
          <w:rFonts w:ascii="Arial" w:hAnsi="Arial" w:cs="Arial"/>
          <w:sz w:val="20"/>
          <w:szCs w:val="20"/>
        </w:rPr>
        <w:t>Article 5 of the Act</w:t>
      </w:r>
      <w:r w:rsidR="00554BA6" w:rsidRPr="00D912E4">
        <w:rPr>
          <w:rFonts w:ascii="Arial" w:hAnsi="Arial" w:cs="Arial"/>
          <w:sz w:val="20"/>
          <w:szCs w:val="20"/>
        </w:rPr>
        <w:t xml:space="preserve"> instructs the </w:t>
      </w:r>
      <w:r w:rsidR="00554BA6" w:rsidRPr="00D912E4">
        <w:rPr>
          <w:rFonts w:ascii="Arial" w:hAnsi="Arial" w:cs="Arial"/>
          <w:sz w:val="20"/>
          <w:szCs w:val="20"/>
          <w:lang w:val="en-GB"/>
        </w:rPr>
        <w:t>Supreme Council for Family Affairs to</w:t>
      </w:r>
      <w:r w:rsidRPr="00D912E4">
        <w:rPr>
          <w:rFonts w:ascii="Arial" w:hAnsi="Arial" w:cs="Arial"/>
          <w:sz w:val="20"/>
          <w:szCs w:val="20"/>
        </w:rPr>
        <w:t xml:space="preserve"> </w:t>
      </w:r>
      <w:r w:rsidR="00554BA6" w:rsidRPr="00D912E4">
        <w:rPr>
          <w:rFonts w:ascii="Arial" w:hAnsi="Arial" w:cs="Arial"/>
          <w:sz w:val="20"/>
          <w:szCs w:val="20"/>
        </w:rPr>
        <w:t>establish</w:t>
      </w:r>
      <w:r w:rsidRPr="00D912E4">
        <w:rPr>
          <w:rFonts w:ascii="Arial" w:hAnsi="Arial" w:cs="Arial"/>
          <w:sz w:val="20"/>
          <w:szCs w:val="20"/>
        </w:rPr>
        <w:t xml:space="preserve"> shelters for victims of domestic violence</w:t>
      </w:r>
      <w:r w:rsidR="00554BA6" w:rsidRPr="00D912E4">
        <w:rPr>
          <w:rFonts w:ascii="Arial" w:hAnsi="Arial" w:cs="Arial"/>
          <w:sz w:val="20"/>
          <w:szCs w:val="20"/>
        </w:rPr>
        <w:t>,</w:t>
      </w:r>
      <w:r w:rsidR="00EF121C" w:rsidRPr="00D912E4">
        <w:rPr>
          <w:rFonts w:ascii="Arial" w:hAnsi="Arial" w:cs="Arial"/>
          <w:sz w:val="20"/>
          <w:szCs w:val="20"/>
        </w:rPr>
        <w:t xml:space="preserve"> </w:t>
      </w:r>
      <w:r w:rsidR="00554BA6" w:rsidRPr="00D912E4">
        <w:rPr>
          <w:rFonts w:ascii="Arial" w:hAnsi="Arial" w:cs="Arial"/>
          <w:sz w:val="20"/>
          <w:szCs w:val="20"/>
        </w:rPr>
        <w:t>ensure the provision of</w:t>
      </w:r>
      <w:r w:rsidR="00EF121C" w:rsidRPr="00D912E4">
        <w:rPr>
          <w:rFonts w:ascii="Arial" w:hAnsi="Arial" w:cs="Arial"/>
          <w:sz w:val="20"/>
          <w:szCs w:val="20"/>
        </w:rPr>
        <w:t xml:space="preserve"> </w:t>
      </w:r>
      <w:r w:rsidR="00554BA6" w:rsidRPr="00D912E4">
        <w:rPr>
          <w:rFonts w:ascii="Arial" w:hAnsi="Arial" w:cs="Arial"/>
          <w:sz w:val="20"/>
          <w:szCs w:val="20"/>
        </w:rPr>
        <w:t xml:space="preserve">psychological, health, and family </w:t>
      </w:r>
      <w:r w:rsidR="00EF121C" w:rsidRPr="00D912E4">
        <w:rPr>
          <w:rFonts w:ascii="Arial" w:hAnsi="Arial" w:cs="Arial"/>
          <w:sz w:val="20"/>
          <w:szCs w:val="20"/>
        </w:rPr>
        <w:t>counseling and legal assistance services</w:t>
      </w:r>
      <w:r w:rsidR="00554BA6" w:rsidRPr="00D912E4">
        <w:rPr>
          <w:rFonts w:ascii="Arial" w:hAnsi="Arial" w:cs="Arial"/>
          <w:sz w:val="20"/>
          <w:szCs w:val="20"/>
        </w:rPr>
        <w:t xml:space="preserve"> for victims, and establish a phone hotline to receive complaints.</w:t>
      </w:r>
      <w:r w:rsidR="00554BA6" w:rsidRPr="00D912E4">
        <w:rPr>
          <w:rStyle w:val="FootnoteReference"/>
          <w:rFonts w:ascii="Arial" w:hAnsi="Arial" w:cs="Arial"/>
          <w:sz w:val="20"/>
          <w:szCs w:val="20"/>
          <w:vertAlign w:val="superscript"/>
        </w:rPr>
        <w:footnoteReference w:id="30"/>
      </w:r>
      <w:r w:rsidR="00D27247" w:rsidRPr="00D912E4">
        <w:rPr>
          <w:rFonts w:ascii="Arial" w:hAnsi="Arial" w:cs="Arial"/>
          <w:sz w:val="20"/>
          <w:szCs w:val="20"/>
        </w:rPr>
        <w:t xml:space="preserve"> </w:t>
      </w:r>
      <w:r w:rsidR="006C74E5">
        <w:rPr>
          <w:rFonts w:ascii="Arial" w:hAnsi="Arial" w:cs="Arial"/>
          <w:sz w:val="20"/>
          <w:szCs w:val="20"/>
        </w:rPr>
        <w:t>The</w:t>
      </w:r>
      <w:r w:rsidR="00554BA6" w:rsidRPr="00D912E4">
        <w:rPr>
          <w:rFonts w:ascii="Arial" w:hAnsi="Arial" w:cs="Arial"/>
          <w:sz w:val="20"/>
          <w:szCs w:val="20"/>
        </w:rPr>
        <w:t xml:space="preserve"> same Article</w:t>
      </w:r>
      <w:r w:rsidR="00D27247" w:rsidRPr="00D912E4">
        <w:rPr>
          <w:rFonts w:ascii="Arial" w:hAnsi="Arial" w:cs="Arial"/>
          <w:sz w:val="20"/>
          <w:szCs w:val="20"/>
        </w:rPr>
        <w:t xml:space="preserve"> </w:t>
      </w:r>
      <w:r w:rsidR="00554BA6" w:rsidRPr="00D912E4">
        <w:rPr>
          <w:rFonts w:ascii="Arial" w:hAnsi="Arial" w:cs="Arial"/>
          <w:sz w:val="20"/>
          <w:szCs w:val="20"/>
        </w:rPr>
        <w:lastRenderedPageBreak/>
        <w:t>mandates</w:t>
      </w:r>
      <w:r w:rsidR="00D27247" w:rsidRPr="00D912E4">
        <w:rPr>
          <w:rFonts w:ascii="Arial" w:hAnsi="Arial" w:cs="Arial"/>
          <w:sz w:val="20"/>
          <w:szCs w:val="20"/>
        </w:rPr>
        <w:t xml:space="preserve"> the </w:t>
      </w:r>
      <w:r w:rsidR="00EF121C" w:rsidRPr="00D912E4">
        <w:rPr>
          <w:rFonts w:ascii="Arial" w:hAnsi="Arial" w:cs="Arial"/>
          <w:sz w:val="20"/>
          <w:szCs w:val="20"/>
        </w:rPr>
        <w:t>tracking and publishing of domestic violence statistics</w:t>
      </w:r>
      <w:r w:rsidR="00D27247" w:rsidRPr="00D912E4">
        <w:rPr>
          <w:rFonts w:ascii="Arial" w:hAnsi="Arial" w:cs="Arial"/>
          <w:sz w:val="20"/>
          <w:szCs w:val="20"/>
        </w:rPr>
        <w:t xml:space="preserve"> and indicators</w:t>
      </w:r>
      <w:r w:rsidR="00554BA6" w:rsidRPr="00D912E4">
        <w:rPr>
          <w:rFonts w:ascii="Arial" w:hAnsi="Arial" w:cs="Arial"/>
          <w:sz w:val="20"/>
          <w:szCs w:val="20"/>
        </w:rPr>
        <w:t>,</w:t>
      </w:r>
      <w:r w:rsidR="00EF121C" w:rsidRPr="00D912E4">
        <w:rPr>
          <w:rFonts w:ascii="Arial" w:hAnsi="Arial" w:cs="Arial"/>
          <w:sz w:val="20"/>
          <w:szCs w:val="20"/>
        </w:rPr>
        <w:t xml:space="preserve"> </w:t>
      </w:r>
      <w:r w:rsidR="00D27247" w:rsidRPr="00D912E4">
        <w:rPr>
          <w:rFonts w:ascii="Arial" w:hAnsi="Arial" w:cs="Arial"/>
          <w:sz w:val="20"/>
          <w:szCs w:val="20"/>
        </w:rPr>
        <w:t>development of plans</w:t>
      </w:r>
      <w:r w:rsidR="00195FE6" w:rsidRPr="00D912E4">
        <w:rPr>
          <w:rFonts w:ascii="Arial" w:hAnsi="Arial" w:cs="Arial"/>
          <w:sz w:val="20"/>
          <w:szCs w:val="20"/>
        </w:rPr>
        <w:t xml:space="preserve"> and educational programs</w:t>
      </w:r>
      <w:r w:rsidR="00D27247" w:rsidRPr="00D912E4">
        <w:rPr>
          <w:rFonts w:ascii="Arial" w:hAnsi="Arial" w:cs="Arial"/>
          <w:sz w:val="20"/>
          <w:szCs w:val="20"/>
        </w:rPr>
        <w:t xml:space="preserve"> to raise public awareness</w:t>
      </w:r>
      <w:r w:rsidR="00195FE6" w:rsidRPr="00D912E4">
        <w:rPr>
          <w:rFonts w:ascii="Arial" w:hAnsi="Arial" w:cs="Arial"/>
          <w:sz w:val="20"/>
          <w:szCs w:val="20"/>
        </w:rPr>
        <w:t xml:space="preserve"> on matters of domestic violence protection</w:t>
      </w:r>
      <w:r w:rsidR="00554BA6" w:rsidRPr="00D912E4">
        <w:rPr>
          <w:rFonts w:ascii="Arial" w:hAnsi="Arial" w:cs="Arial"/>
          <w:sz w:val="20"/>
          <w:szCs w:val="20"/>
        </w:rPr>
        <w:t>,</w:t>
      </w:r>
      <w:r w:rsidR="00D27247" w:rsidRPr="00D912E4">
        <w:rPr>
          <w:rFonts w:ascii="Arial" w:hAnsi="Arial" w:cs="Arial"/>
          <w:sz w:val="20"/>
          <w:szCs w:val="20"/>
        </w:rPr>
        <w:t xml:space="preserve"> and</w:t>
      </w:r>
      <w:r w:rsidR="00554BA6" w:rsidRPr="00D912E4">
        <w:rPr>
          <w:rFonts w:ascii="Arial" w:hAnsi="Arial" w:cs="Arial"/>
          <w:sz w:val="20"/>
          <w:szCs w:val="20"/>
        </w:rPr>
        <w:t xml:space="preserve"> training</w:t>
      </w:r>
      <w:r w:rsidR="00D27247" w:rsidRPr="00D912E4">
        <w:rPr>
          <w:rFonts w:ascii="Arial" w:hAnsi="Arial" w:cs="Arial"/>
          <w:sz w:val="20"/>
          <w:szCs w:val="20"/>
        </w:rPr>
        <w:t xml:space="preserve"> </w:t>
      </w:r>
      <w:r w:rsidR="00554BA6" w:rsidRPr="00D912E4">
        <w:rPr>
          <w:rFonts w:ascii="Arial" w:hAnsi="Arial" w:cs="Arial"/>
          <w:sz w:val="20"/>
          <w:szCs w:val="20"/>
        </w:rPr>
        <w:t xml:space="preserve">of </w:t>
      </w:r>
      <w:r w:rsidR="00D27247" w:rsidRPr="00D912E4">
        <w:rPr>
          <w:rFonts w:ascii="Arial" w:hAnsi="Arial" w:cs="Arial"/>
          <w:sz w:val="20"/>
          <w:szCs w:val="20"/>
        </w:rPr>
        <w:t>Government officials responsible for implementation of the Act</w:t>
      </w:r>
      <w:r w:rsidRPr="00D912E4">
        <w:rPr>
          <w:rFonts w:ascii="Arial" w:hAnsi="Arial" w:cs="Arial"/>
          <w:sz w:val="20"/>
          <w:szCs w:val="20"/>
        </w:rPr>
        <w:t>.</w:t>
      </w:r>
      <w:r w:rsidRPr="00D912E4">
        <w:rPr>
          <w:rStyle w:val="FootnoteReference"/>
          <w:rFonts w:ascii="Arial" w:hAnsi="Arial" w:cs="Arial"/>
          <w:sz w:val="20"/>
          <w:szCs w:val="20"/>
          <w:vertAlign w:val="superscript"/>
        </w:rPr>
        <w:footnoteReference w:id="31"/>
      </w:r>
      <w:r w:rsidRPr="00D912E4">
        <w:rPr>
          <w:rFonts w:ascii="Arial" w:hAnsi="Arial" w:cs="Arial"/>
          <w:sz w:val="20"/>
          <w:szCs w:val="20"/>
        </w:rPr>
        <w:t xml:space="preserve"> </w:t>
      </w:r>
      <w:r w:rsidR="00D912E4" w:rsidRPr="00D912E4">
        <w:rPr>
          <w:rFonts w:ascii="Arial" w:hAnsi="Arial" w:cs="Arial"/>
          <w:sz w:val="20"/>
          <w:szCs w:val="20"/>
        </w:rPr>
        <w:t xml:space="preserve">Article 23 of the Act mandates the creation of a </w:t>
      </w:r>
      <w:r w:rsidR="006C74E5">
        <w:rPr>
          <w:rFonts w:ascii="Arial" w:hAnsi="Arial" w:cs="Arial"/>
          <w:sz w:val="20"/>
          <w:szCs w:val="20"/>
        </w:rPr>
        <w:t xml:space="preserve">support </w:t>
      </w:r>
      <w:r w:rsidR="00D912E4" w:rsidRPr="00D912E4">
        <w:rPr>
          <w:rFonts w:ascii="Arial" w:hAnsi="Arial" w:cs="Arial"/>
          <w:sz w:val="20"/>
          <w:szCs w:val="20"/>
        </w:rPr>
        <w:t xml:space="preserve">fund, for which resources shall be allocated partially from the budget of the </w:t>
      </w:r>
      <w:r w:rsidR="00D912E4" w:rsidRPr="00D912E4">
        <w:rPr>
          <w:rFonts w:ascii="Arial" w:hAnsi="Arial" w:cs="Arial"/>
          <w:sz w:val="20"/>
          <w:szCs w:val="20"/>
          <w:lang w:val="en-GB"/>
        </w:rPr>
        <w:t>Supreme Council for Family Affairs,</w:t>
      </w:r>
      <w:r w:rsidR="00D912E4" w:rsidRPr="00D912E4">
        <w:rPr>
          <w:rFonts w:ascii="Arial" w:hAnsi="Arial" w:cs="Arial"/>
          <w:sz w:val="20"/>
          <w:szCs w:val="20"/>
        </w:rPr>
        <w:t xml:space="preserve"> </w:t>
      </w:r>
      <w:r w:rsidR="00D912E4" w:rsidRPr="00D912E4">
        <w:rPr>
          <w:rFonts w:ascii="Arial" w:hAnsi="Arial" w:cs="Arial"/>
          <w:sz w:val="20"/>
          <w:szCs w:val="20"/>
          <w:lang w:val="en-GB"/>
        </w:rPr>
        <w:t>to care financially for victims of domestic violenc</w:t>
      </w:r>
      <w:r w:rsidR="006C74E5">
        <w:rPr>
          <w:rFonts w:ascii="Arial" w:hAnsi="Arial" w:cs="Arial"/>
          <w:sz w:val="20"/>
          <w:szCs w:val="20"/>
          <w:lang w:val="en-GB"/>
        </w:rPr>
        <w:t>e.</w:t>
      </w:r>
      <w:r w:rsidR="00D912E4" w:rsidRPr="00A22E4C">
        <w:rPr>
          <w:rStyle w:val="FootnoteReference"/>
          <w:rFonts w:ascii="Arial" w:hAnsi="Arial" w:cs="Arial"/>
          <w:sz w:val="20"/>
          <w:szCs w:val="20"/>
          <w:vertAlign w:val="superscript"/>
          <w:lang w:val="en-GB"/>
        </w:rPr>
        <w:footnoteReference w:id="32"/>
      </w:r>
    </w:p>
    <w:p w14:paraId="5EE0F393" w14:textId="77777777" w:rsidR="00FB2AB3" w:rsidRPr="00D912E4" w:rsidRDefault="00FB2AB3" w:rsidP="00EF121C">
      <w:pPr>
        <w:pStyle w:val="Normal1"/>
        <w:spacing w:before="0" w:after="0" w:line="240" w:lineRule="auto"/>
        <w:jc w:val="both"/>
        <w:rPr>
          <w:rFonts w:ascii="Arial" w:hAnsi="Arial" w:cs="Arial"/>
          <w:sz w:val="20"/>
          <w:szCs w:val="20"/>
        </w:rPr>
      </w:pPr>
    </w:p>
    <w:p w14:paraId="08214B2B" w14:textId="0B969639" w:rsidR="00FB2AB3" w:rsidRPr="00D912E4" w:rsidRDefault="00FB2AB3" w:rsidP="00596FE6">
      <w:pPr>
        <w:pStyle w:val="Normal1"/>
        <w:spacing w:before="0" w:after="0" w:line="240" w:lineRule="auto"/>
        <w:jc w:val="both"/>
        <w:rPr>
          <w:rFonts w:ascii="Arial" w:hAnsi="Arial" w:cs="Arial"/>
          <w:sz w:val="20"/>
          <w:szCs w:val="20"/>
        </w:rPr>
      </w:pPr>
      <w:r w:rsidRPr="00D912E4">
        <w:rPr>
          <w:rFonts w:ascii="Arial" w:hAnsi="Arial" w:cs="Arial"/>
          <w:sz w:val="20"/>
          <w:szCs w:val="20"/>
        </w:rPr>
        <w:t xml:space="preserve">Notwithstanding </w:t>
      </w:r>
      <w:r w:rsidR="00A57C66">
        <w:rPr>
          <w:rFonts w:ascii="Arial" w:hAnsi="Arial" w:cs="Arial"/>
          <w:sz w:val="20"/>
          <w:szCs w:val="20"/>
        </w:rPr>
        <w:t>these provisions</w:t>
      </w:r>
      <w:r w:rsidRPr="00D912E4">
        <w:rPr>
          <w:rFonts w:ascii="Arial" w:hAnsi="Arial" w:cs="Arial"/>
          <w:sz w:val="20"/>
          <w:szCs w:val="20"/>
        </w:rPr>
        <w:t xml:space="preserve">, </w:t>
      </w:r>
      <w:r w:rsidR="00596FE6">
        <w:rPr>
          <w:rFonts w:ascii="Arial" w:hAnsi="Arial" w:cs="Arial"/>
          <w:sz w:val="20"/>
          <w:szCs w:val="20"/>
        </w:rPr>
        <w:t xml:space="preserve">the law </w:t>
      </w:r>
      <w:r w:rsidR="00A57C66">
        <w:rPr>
          <w:rFonts w:ascii="Arial" w:hAnsi="Arial" w:cs="Arial"/>
          <w:sz w:val="20"/>
          <w:szCs w:val="20"/>
        </w:rPr>
        <w:t xml:space="preserve">also </w:t>
      </w:r>
      <w:r w:rsidR="00596FE6">
        <w:rPr>
          <w:rFonts w:ascii="Arial" w:hAnsi="Arial" w:cs="Arial"/>
          <w:sz w:val="20"/>
          <w:szCs w:val="20"/>
        </w:rPr>
        <w:t xml:space="preserve">contains </w:t>
      </w:r>
      <w:r w:rsidR="00A57C66">
        <w:rPr>
          <w:rFonts w:ascii="Arial" w:hAnsi="Arial" w:cs="Arial"/>
          <w:sz w:val="20"/>
          <w:szCs w:val="20"/>
        </w:rPr>
        <w:t xml:space="preserve">some </w:t>
      </w:r>
      <w:r w:rsidR="00596FE6">
        <w:rPr>
          <w:rFonts w:ascii="Arial" w:hAnsi="Arial" w:cs="Arial"/>
          <w:sz w:val="20"/>
          <w:szCs w:val="20"/>
        </w:rPr>
        <w:t>critical gaps in protection.</w:t>
      </w:r>
      <w:r w:rsidR="00A57C66">
        <w:rPr>
          <w:rFonts w:ascii="Arial" w:hAnsi="Arial" w:cs="Arial"/>
          <w:sz w:val="20"/>
          <w:szCs w:val="20"/>
        </w:rPr>
        <w:t xml:space="preserve"> </w:t>
      </w:r>
      <w:r w:rsidR="002901CB">
        <w:rPr>
          <w:rFonts w:ascii="Arial" w:hAnsi="Arial" w:cs="Arial"/>
          <w:sz w:val="20"/>
          <w:szCs w:val="20"/>
        </w:rPr>
        <w:t>The Domestic Violence Act</w:t>
      </w:r>
      <w:r w:rsidRPr="00D912E4">
        <w:rPr>
          <w:rFonts w:ascii="Arial" w:hAnsi="Arial" w:cs="Arial"/>
          <w:sz w:val="20"/>
          <w:szCs w:val="20"/>
        </w:rPr>
        <w:t xml:space="preserve"> does not specify concrete legal consequences for domestic violence as a crime in itself; rather, the </w:t>
      </w:r>
      <w:r w:rsidR="00D912E4" w:rsidRPr="00D912E4">
        <w:rPr>
          <w:rFonts w:ascii="Arial" w:hAnsi="Arial" w:cs="Arial"/>
          <w:sz w:val="20"/>
          <w:szCs w:val="20"/>
        </w:rPr>
        <w:t>sanctions in the law only cover failure to abide by an emergency protection order, thereby relying on the Penal Code to determine punishments for acts of domestic violence (see below for discussion of the contradictory provisions of the Penal Code). The Act also only protects from violence perpetrated by members of one’s family, including spouses, children, parents, siblings, and relations by marriage.</w:t>
      </w:r>
      <w:r w:rsidR="00D912E4" w:rsidRPr="00A22E4C">
        <w:rPr>
          <w:rStyle w:val="FootnoteReference"/>
          <w:rFonts w:ascii="Arial" w:hAnsi="Arial" w:cs="Arial"/>
          <w:sz w:val="20"/>
          <w:szCs w:val="20"/>
          <w:vertAlign w:val="superscript"/>
        </w:rPr>
        <w:footnoteReference w:id="33"/>
      </w:r>
      <w:r w:rsidR="00D912E4" w:rsidRPr="00A22E4C">
        <w:rPr>
          <w:rFonts w:ascii="Arial" w:hAnsi="Arial" w:cs="Arial"/>
          <w:sz w:val="20"/>
          <w:szCs w:val="20"/>
          <w:vertAlign w:val="superscript"/>
        </w:rPr>
        <w:t xml:space="preserve"> </w:t>
      </w:r>
      <w:r w:rsidR="00D912E4" w:rsidRPr="00D912E4">
        <w:rPr>
          <w:rFonts w:ascii="Arial" w:hAnsi="Arial" w:cs="Arial"/>
          <w:sz w:val="20"/>
          <w:szCs w:val="20"/>
        </w:rPr>
        <w:t>It does not cover violence perpetrated by former spouses or by persons who are engaged in relationships outside of official marriage.</w:t>
      </w:r>
      <w:r w:rsidR="00A22E4C">
        <w:rPr>
          <w:rFonts w:ascii="Arial" w:hAnsi="Arial" w:cs="Arial"/>
          <w:sz w:val="20"/>
          <w:szCs w:val="20"/>
        </w:rPr>
        <w:t xml:space="preserve"> </w:t>
      </w:r>
    </w:p>
    <w:p w14:paraId="0296E211" w14:textId="77777777" w:rsidR="00D27247" w:rsidRPr="00D912E4" w:rsidRDefault="00D27247" w:rsidP="00EF121C">
      <w:pPr>
        <w:pStyle w:val="Normal1"/>
        <w:spacing w:before="0" w:after="0" w:line="240" w:lineRule="auto"/>
        <w:jc w:val="both"/>
        <w:rPr>
          <w:rFonts w:ascii="Arial" w:hAnsi="Arial" w:cs="Arial"/>
          <w:sz w:val="20"/>
          <w:szCs w:val="20"/>
        </w:rPr>
      </w:pPr>
    </w:p>
    <w:p w14:paraId="7B3EF46C" w14:textId="284FF3E4" w:rsidR="00EF121C" w:rsidRPr="00D912E4" w:rsidRDefault="00FB2AB3" w:rsidP="00D27247">
      <w:pPr>
        <w:pStyle w:val="Normal1"/>
        <w:spacing w:before="0" w:after="0" w:line="240" w:lineRule="auto"/>
        <w:jc w:val="both"/>
        <w:rPr>
          <w:rFonts w:ascii="Arial" w:hAnsi="Arial" w:cs="Arial"/>
          <w:sz w:val="20"/>
          <w:szCs w:val="20"/>
        </w:rPr>
      </w:pPr>
      <w:r w:rsidRPr="00D912E4">
        <w:rPr>
          <w:rFonts w:ascii="Arial" w:hAnsi="Arial" w:cs="Arial"/>
          <w:sz w:val="20"/>
          <w:szCs w:val="20"/>
        </w:rPr>
        <w:t xml:space="preserve">The </w:t>
      </w:r>
      <w:r w:rsidR="00A57C66">
        <w:rPr>
          <w:rFonts w:ascii="Arial" w:hAnsi="Arial" w:cs="Arial"/>
          <w:sz w:val="20"/>
          <w:szCs w:val="20"/>
        </w:rPr>
        <w:t>State</w:t>
      </w:r>
      <w:r w:rsidR="00D27247" w:rsidRPr="00D912E4">
        <w:rPr>
          <w:rFonts w:ascii="Arial" w:hAnsi="Arial" w:cs="Arial"/>
          <w:sz w:val="20"/>
          <w:szCs w:val="20"/>
        </w:rPr>
        <w:t xml:space="preserve"> of Kuwait must take further</w:t>
      </w:r>
      <w:r w:rsidR="008F1BDC">
        <w:rPr>
          <w:rFonts w:ascii="Arial" w:hAnsi="Arial" w:cs="Arial"/>
          <w:sz w:val="20"/>
          <w:szCs w:val="20"/>
        </w:rPr>
        <w:t xml:space="preserve"> action</w:t>
      </w:r>
      <w:r w:rsidR="00D27247" w:rsidRPr="00D912E4">
        <w:rPr>
          <w:rFonts w:ascii="Arial" w:hAnsi="Arial" w:cs="Arial"/>
          <w:sz w:val="20"/>
          <w:szCs w:val="20"/>
        </w:rPr>
        <w:t xml:space="preserve"> </w:t>
      </w:r>
      <w:r w:rsidRPr="00D912E4">
        <w:rPr>
          <w:rFonts w:ascii="Arial" w:hAnsi="Arial" w:cs="Arial"/>
          <w:sz w:val="20"/>
          <w:szCs w:val="20"/>
        </w:rPr>
        <w:t>to implement the provisions of the law effectively</w:t>
      </w:r>
      <w:r w:rsidR="00D27247" w:rsidRPr="00D912E4">
        <w:rPr>
          <w:rFonts w:ascii="Arial" w:hAnsi="Arial" w:cs="Arial"/>
          <w:sz w:val="20"/>
          <w:szCs w:val="20"/>
        </w:rPr>
        <w:t>.</w:t>
      </w:r>
      <w:r w:rsidR="00195FE6" w:rsidRPr="00D912E4">
        <w:rPr>
          <w:rFonts w:ascii="Arial" w:hAnsi="Arial" w:cs="Arial"/>
          <w:sz w:val="20"/>
          <w:szCs w:val="20"/>
        </w:rPr>
        <w:t xml:space="preserve"> </w:t>
      </w:r>
      <w:r w:rsidRPr="00D912E4">
        <w:rPr>
          <w:rFonts w:ascii="Arial" w:hAnsi="Arial" w:cs="Arial"/>
          <w:sz w:val="20"/>
          <w:szCs w:val="20"/>
        </w:rPr>
        <w:t>For example, w</w:t>
      </w:r>
      <w:r w:rsidR="00D27247" w:rsidRPr="00D912E4">
        <w:rPr>
          <w:rFonts w:ascii="Arial" w:hAnsi="Arial" w:cs="Arial"/>
          <w:sz w:val="20"/>
          <w:szCs w:val="20"/>
        </w:rPr>
        <w:t>hile the Domestic Violence Act mandates the establishment of shelters to protect victims of domestic violence, currently there is only one operational shelter in Kuwait</w:t>
      </w:r>
      <w:r w:rsidR="00195FE6" w:rsidRPr="00D912E4">
        <w:rPr>
          <w:rFonts w:ascii="Arial" w:hAnsi="Arial" w:cs="Arial"/>
          <w:sz w:val="20"/>
          <w:szCs w:val="20"/>
        </w:rPr>
        <w:t xml:space="preserve"> – Fanar Shelte</w:t>
      </w:r>
      <w:r w:rsidR="00010503">
        <w:rPr>
          <w:rFonts w:ascii="Arial" w:hAnsi="Arial" w:cs="Arial"/>
          <w:sz w:val="20"/>
          <w:szCs w:val="20"/>
        </w:rPr>
        <w:t>r, with its</w:t>
      </w:r>
      <w:r w:rsidR="00195FE6" w:rsidRPr="00D912E4">
        <w:rPr>
          <w:rFonts w:ascii="Arial" w:hAnsi="Arial" w:cs="Arial"/>
          <w:sz w:val="20"/>
          <w:szCs w:val="20"/>
        </w:rPr>
        <w:t xml:space="preserve"> associated Fanar Counseling Center</w:t>
      </w:r>
      <w:r w:rsidR="00F15E50">
        <w:rPr>
          <w:rFonts w:ascii="Arial" w:hAnsi="Arial" w:cs="Arial"/>
          <w:sz w:val="20"/>
          <w:szCs w:val="20"/>
        </w:rPr>
        <w:t xml:space="preserve">. </w:t>
      </w:r>
      <w:r w:rsidR="0060276C">
        <w:rPr>
          <w:rFonts w:ascii="Arial" w:hAnsi="Arial" w:cs="Arial"/>
          <w:sz w:val="20"/>
          <w:szCs w:val="20"/>
        </w:rPr>
        <w:t>Fanar S</w:t>
      </w:r>
      <w:r w:rsidR="00AD4085">
        <w:rPr>
          <w:rFonts w:ascii="Arial" w:hAnsi="Arial" w:cs="Arial"/>
          <w:sz w:val="20"/>
          <w:szCs w:val="20"/>
        </w:rPr>
        <w:t>helter</w:t>
      </w:r>
      <w:r w:rsidR="00010503">
        <w:rPr>
          <w:rFonts w:ascii="Arial" w:hAnsi="Arial" w:cs="Arial"/>
          <w:sz w:val="20"/>
          <w:szCs w:val="20"/>
        </w:rPr>
        <w:t xml:space="preserve"> was inaugurated in 2019 but became operational only in 2022</w:t>
      </w:r>
      <w:r w:rsidR="003514F4">
        <w:rPr>
          <w:rFonts w:ascii="Arial" w:hAnsi="Arial" w:cs="Arial"/>
          <w:sz w:val="20"/>
          <w:szCs w:val="20"/>
        </w:rPr>
        <w:t>,</w:t>
      </w:r>
      <w:r w:rsidR="00010503">
        <w:rPr>
          <w:rFonts w:ascii="Arial" w:hAnsi="Arial" w:cs="Arial"/>
          <w:sz w:val="20"/>
          <w:szCs w:val="20"/>
        </w:rPr>
        <w:t xml:space="preserve"> and continues to struggle</w:t>
      </w:r>
      <w:r w:rsidR="006A27C3">
        <w:rPr>
          <w:rFonts w:ascii="Arial" w:hAnsi="Arial" w:cs="Arial"/>
          <w:sz w:val="20"/>
          <w:szCs w:val="20"/>
        </w:rPr>
        <w:t xml:space="preserve"> </w:t>
      </w:r>
      <w:r w:rsidR="00D27247" w:rsidRPr="00D912E4">
        <w:rPr>
          <w:rFonts w:ascii="Arial" w:hAnsi="Arial" w:cs="Arial"/>
          <w:sz w:val="20"/>
          <w:szCs w:val="20"/>
        </w:rPr>
        <w:t xml:space="preserve">with limited financial and human resources and therefore inadequate capacity to </w:t>
      </w:r>
      <w:r w:rsidR="006A27C3">
        <w:rPr>
          <w:rFonts w:ascii="Arial" w:hAnsi="Arial" w:cs="Arial"/>
          <w:sz w:val="20"/>
          <w:szCs w:val="20"/>
        </w:rPr>
        <w:t xml:space="preserve">meet </w:t>
      </w:r>
      <w:r w:rsidR="003514F4">
        <w:rPr>
          <w:rFonts w:ascii="Arial" w:hAnsi="Arial" w:cs="Arial"/>
          <w:sz w:val="20"/>
          <w:szCs w:val="20"/>
        </w:rPr>
        <w:t>present needs</w:t>
      </w:r>
      <w:r w:rsidR="00010503">
        <w:rPr>
          <w:rFonts w:ascii="Arial" w:hAnsi="Arial" w:cs="Arial"/>
          <w:sz w:val="20"/>
          <w:szCs w:val="20"/>
        </w:rPr>
        <w:t>.</w:t>
      </w:r>
      <w:r w:rsidRPr="00D912E4">
        <w:rPr>
          <w:rFonts w:ascii="Arial" w:hAnsi="Arial" w:cs="Arial"/>
          <w:sz w:val="20"/>
          <w:szCs w:val="20"/>
        </w:rPr>
        <w:t xml:space="preserve"> The</w:t>
      </w:r>
      <w:r w:rsidR="00D27247" w:rsidRPr="00D912E4">
        <w:rPr>
          <w:rFonts w:ascii="Arial" w:hAnsi="Arial" w:cs="Arial"/>
          <w:sz w:val="20"/>
          <w:szCs w:val="20"/>
        </w:rPr>
        <w:t xml:space="preserve"> current shelter</w:t>
      </w:r>
      <w:r w:rsidR="00010503">
        <w:rPr>
          <w:rFonts w:ascii="Arial" w:hAnsi="Arial" w:cs="Arial"/>
          <w:sz w:val="20"/>
          <w:szCs w:val="20"/>
        </w:rPr>
        <w:t xml:space="preserve"> </w:t>
      </w:r>
      <w:r w:rsidR="00D27247" w:rsidRPr="00D912E4">
        <w:rPr>
          <w:rFonts w:ascii="Arial" w:hAnsi="Arial" w:cs="Arial"/>
          <w:sz w:val="20"/>
          <w:szCs w:val="20"/>
        </w:rPr>
        <w:t xml:space="preserve">lacks the necessary resources to provide medical, psychological, and legal support for victims of abuse; it has repeatedly rejected non-Kuwaiti women due to insufficient funding and staff; and it continues to reject victims who </w:t>
      </w:r>
      <w:r w:rsidR="00A76CCF">
        <w:rPr>
          <w:rFonts w:ascii="Arial" w:hAnsi="Arial" w:cs="Arial"/>
          <w:sz w:val="20"/>
          <w:szCs w:val="20"/>
        </w:rPr>
        <w:t xml:space="preserve">are </w:t>
      </w:r>
      <w:r w:rsidR="00D27247" w:rsidRPr="00D912E4">
        <w:rPr>
          <w:rFonts w:ascii="Arial" w:hAnsi="Arial" w:cs="Arial"/>
          <w:sz w:val="20"/>
          <w:szCs w:val="20"/>
        </w:rPr>
        <w:t>seek</w:t>
      </w:r>
      <w:r w:rsidR="00A76CCF">
        <w:rPr>
          <w:rFonts w:ascii="Arial" w:hAnsi="Arial" w:cs="Arial"/>
          <w:sz w:val="20"/>
          <w:szCs w:val="20"/>
        </w:rPr>
        <w:t>ing</w:t>
      </w:r>
      <w:r w:rsidR="00D27247" w:rsidRPr="00D912E4">
        <w:rPr>
          <w:rFonts w:ascii="Arial" w:hAnsi="Arial" w:cs="Arial"/>
          <w:sz w:val="20"/>
          <w:szCs w:val="20"/>
        </w:rPr>
        <w:t xml:space="preserve"> shelter </w:t>
      </w:r>
      <w:r w:rsidR="00883532">
        <w:rPr>
          <w:rFonts w:ascii="Arial" w:hAnsi="Arial" w:cs="Arial"/>
          <w:sz w:val="20"/>
          <w:szCs w:val="20"/>
        </w:rPr>
        <w:t xml:space="preserve">along </w:t>
      </w:r>
      <w:r w:rsidR="00D27247" w:rsidRPr="00D912E4">
        <w:rPr>
          <w:rFonts w:ascii="Arial" w:hAnsi="Arial" w:cs="Arial"/>
          <w:sz w:val="20"/>
          <w:szCs w:val="20"/>
        </w:rPr>
        <w:t xml:space="preserve">with </w:t>
      </w:r>
      <w:r w:rsidR="00883532">
        <w:rPr>
          <w:rFonts w:ascii="Arial" w:hAnsi="Arial" w:cs="Arial"/>
          <w:sz w:val="20"/>
          <w:szCs w:val="20"/>
        </w:rPr>
        <w:t xml:space="preserve">their </w:t>
      </w:r>
      <w:r w:rsidR="00D27247" w:rsidRPr="00D912E4">
        <w:rPr>
          <w:rFonts w:ascii="Arial" w:hAnsi="Arial" w:cs="Arial"/>
          <w:sz w:val="20"/>
          <w:szCs w:val="20"/>
        </w:rPr>
        <w:t>sons who are over 14 years old</w:t>
      </w:r>
      <w:r w:rsidR="00F15E50">
        <w:rPr>
          <w:rFonts w:ascii="Arial" w:hAnsi="Arial" w:cs="Arial"/>
          <w:sz w:val="20"/>
          <w:szCs w:val="20"/>
        </w:rPr>
        <w:t xml:space="preserve">. </w:t>
      </w:r>
      <w:r w:rsidR="00E349F6">
        <w:rPr>
          <w:rFonts w:ascii="Arial" w:hAnsi="Arial" w:cs="Arial"/>
          <w:sz w:val="20"/>
          <w:szCs w:val="20"/>
        </w:rPr>
        <w:t xml:space="preserve">The reason for rejecting women with sons over 14 is </w:t>
      </w:r>
      <w:r w:rsidR="007A3D80">
        <w:rPr>
          <w:rFonts w:ascii="Arial" w:hAnsi="Arial" w:cs="Arial"/>
          <w:sz w:val="20"/>
          <w:szCs w:val="20"/>
        </w:rPr>
        <w:t xml:space="preserve">that the shelter does not have the space that would be needed to allow other female residents </w:t>
      </w:r>
      <w:r w:rsidR="007647BE">
        <w:rPr>
          <w:rFonts w:ascii="Arial" w:hAnsi="Arial" w:cs="Arial"/>
          <w:sz w:val="20"/>
          <w:szCs w:val="20"/>
        </w:rPr>
        <w:t xml:space="preserve">to </w:t>
      </w:r>
      <w:r w:rsidR="005369ED">
        <w:rPr>
          <w:rFonts w:ascii="Arial" w:hAnsi="Arial" w:cs="Arial"/>
          <w:sz w:val="20"/>
          <w:szCs w:val="20"/>
        </w:rPr>
        <w:t xml:space="preserve">refrain from </w:t>
      </w:r>
      <w:r w:rsidR="004C7855">
        <w:rPr>
          <w:rFonts w:ascii="Arial" w:hAnsi="Arial" w:cs="Arial"/>
          <w:sz w:val="20"/>
          <w:szCs w:val="20"/>
        </w:rPr>
        <w:t>contact</w:t>
      </w:r>
      <w:r w:rsidR="005369ED">
        <w:rPr>
          <w:rFonts w:ascii="Arial" w:hAnsi="Arial" w:cs="Arial"/>
          <w:sz w:val="20"/>
          <w:szCs w:val="20"/>
        </w:rPr>
        <w:t xml:space="preserve"> with the young m</w:t>
      </w:r>
      <w:r w:rsidR="006C3046">
        <w:rPr>
          <w:rFonts w:ascii="Arial" w:hAnsi="Arial" w:cs="Arial"/>
          <w:sz w:val="20"/>
          <w:szCs w:val="20"/>
        </w:rPr>
        <w:t>e</w:t>
      </w:r>
      <w:r w:rsidR="005369ED">
        <w:rPr>
          <w:rFonts w:ascii="Arial" w:hAnsi="Arial" w:cs="Arial"/>
          <w:sz w:val="20"/>
          <w:szCs w:val="20"/>
        </w:rPr>
        <w:t xml:space="preserve">n, which is </w:t>
      </w:r>
      <w:r w:rsidR="00D27247" w:rsidRPr="00D912E4">
        <w:rPr>
          <w:rFonts w:ascii="Arial" w:hAnsi="Arial" w:cs="Arial"/>
          <w:sz w:val="20"/>
          <w:szCs w:val="20"/>
        </w:rPr>
        <w:t xml:space="preserve"> an important consideration in</w:t>
      </w:r>
      <w:r w:rsidR="006A27C3">
        <w:rPr>
          <w:rFonts w:ascii="Arial" w:hAnsi="Arial" w:cs="Arial"/>
          <w:sz w:val="20"/>
          <w:szCs w:val="20"/>
        </w:rPr>
        <w:t xml:space="preserve"> the context of Kuwait’s societal customs and norms</w:t>
      </w:r>
      <w:r w:rsidR="00D27247" w:rsidRPr="00D912E4">
        <w:rPr>
          <w:rFonts w:ascii="Arial" w:hAnsi="Arial" w:cs="Arial"/>
          <w:sz w:val="20"/>
          <w:szCs w:val="20"/>
        </w:rPr>
        <w:t>.</w:t>
      </w:r>
      <w:r w:rsidR="00195FE6" w:rsidRPr="00D912E4">
        <w:rPr>
          <w:rStyle w:val="FootnoteReference"/>
          <w:rFonts w:ascii="Arial" w:hAnsi="Arial" w:cs="Arial"/>
          <w:sz w:val="20"/>
          <w:szCs w:val="20"/>
          <w:vertAlign w:val="superscript"/>
        </w:rPr>
        <w:footnoteReference w:id="34"/>
      </w:r>
      <w:r w:rsidR="00D27247" w:rsidRPr="00D912E4">
        <w:rPr>
          <w:rFonts w:ascii="Arial" w:hAnsi="Arial" w:cs="Arial"/>
          <w:sz w:val="20"/>
          <w:szCs w:val="20"/>
        </w:rPr>
        <w:t xml:space="preserve"> Moreover, the shelter </w:t>
      </w:r>
      <w:r w:rsidR="00195FE6" w:rsidRPr="00D912E4">
        <w:rPr>
          <w:rFonts w:ascii="Arial" w:hAnsi="Arial" w:cs="Arial"/>
          <w:sz w:val="20"/>
          <w:szCs w:val="20"/>
        </w:rPr>
        <w:t xml:space="preserve">is only able to accommodate victims for </w:t>
      </w:r>
      <w:r w:rsidR="00683246">
        <w:rPr>
          <w:rFonts w:ascii="Arial" w:hAnsi="Arial" w:cs="Arial"/>
          <w:sz w:val="20"/>
          <w:szCs w:val="20"/>
        </w:rPr>
        <w:t xml:space="preserve">a </w:t>
      </w:r>
      <w:r w:rsidR="00195FE6" w:rsidRPr="00D912E4">
        <w:rPr>
          <w:rFonts w:ascii="Arial" w:hAnsi="Arial" w:cs="Arial"/>
          <w:sz w:val="20"/>
          <w:szCs w:val="20"/>
        </w:rPr>
        <w:t xml:space="preserve">limited period of time, and instead mandates that victims in the shelter </w:t>
      </w:r>
      <w:r w:rsidR="006A27C3">
        <w:rPr>
          <w:rFonts w:ascii="Arial" w:hAnsi="Arial" w:cs="Arial"/>
          <w:sz w:val="20"/>
          <w:szCs w:val="20"/>
        </w:rPr>
        <w:t xml:space="preserve">be </w:t>
      </w:r>
      <w:r w:rsidR="00195FE6" w:rsidRPr="00D912E4">
        <w:rPr>
          <w:rFonts w:ascii="Arial" w:hAnsi="Arial" w:cs="Arial"/>
          <w:sz w:val="20"/>
          <w:szCs w:val="20"/>
        </w:rPr>
        <w:t xml:space="preserve">released to their families – </w:t>
      </w:r>
      <w:r w:rsidR="006A27C3">
        <w:rPr>
          <w:rFonts w:ascii="Arial" w:hAnsi="Arial" w:cs="Arial"/>
          <w:sz w:val="20"/>
          <w:szCs w:val="20"/>
        </w:rPr>
        <w:t xml:space="preserve">who are </w:t>
      </w:r>
      <w:r w:rsidR="00195FE6" w:rsidRPr="00D912E4">
        <w:rPr>
          <w:rFonts w:ascii="Arial" w:hAnsi="Arial" w:cs="Arial"/>
          <w:sz w:val="20"/>
          <w:szCs w:val="20"/>
        </w:rPr>
        <w:t>often their abusers – if their “cases” are not resolved within two months.</w:t>
      </w:r>
      <w:r w:rsidR="00195FE6" w:rsidRPr="00D912E4">
        <w:rPr>
          <w:rStyle w:val="FootnoteReference"/>
          <w:rFonts w:ascii="Arial" w:hAnsi="Arial" w:cs="Arial"/>
          <w:sz w:val="20"/>
          <w:szCs w:val="20"/>
          <w:vertAlign w:val="superscript"/>
        </w:rPr>
        <w:footnoteReference w:id="35"/>
      </w:r>
    </w:p>
    <w:p w14:paraId="70D89AB8" w14:textId="77777777" w:rsidR="00195FE6" w:rsidRPr="00D912E4" w:rsidRDefault="00195FE6" w:rsidP="00D27247">
      <w:pPr>
        <w:pStyle w:val="Normal1"/>
        <w:spacing w:before="0" w:after="0" w:line="240" w:lineRule="auto"/>
        <w:jc w:val="both"/>
        <w:rPr>
          <w:rFonts w:ascii="Arial" w:hAnsi="Arial" w:cs="Arial"/>
          <w:sz w:val="20"/>
          <w:szCs w:val="20"/>
        </w:rPr>
      </w:pPr>
    </w:p>
    <w:p w14:paraId="412FE460" w14:textId="1F7A5EBE" w:rsidR="00995E25" w:rsidRDefault="00195FE6" w:rsidP="00FB2AB3">
      <w:pPr>
        <w:pStyle w:val="Normal1"/>
        <w:spacing w:before="0" w:after="0" w:line="240" w:lineRule="auto"/>
        <w:jc w:val="both"/>
        <w:rPr>
          <w:rFonts w:ascii="Arial" w:hAnsi="Arial" w:cs="Arial"/>
          <w:sz w:val="20"/>
          <w:szCs w:val="20"/>
        </w:rPr>
      </w:pPr>
      <w:r w:rsidRPr="00D912E4">
        <w:rPr>
          <w:rFonts w:ascii="Arial" w:hAnsi="Arial" w:cs="Arial"/>
          <w:sz w:val="20"/>
          <w:szCs w:val="20"/>
        </w:rPr>
        <w:t xml:space="preserve">To date, </w:t>
      </w:r>
      <w:r w:rsidR="00A57C66">
        <w:rPr>
          <w:rFonts w:ascii="Arial" w:hAnsi="Arial" w:cs="Arial"/>
          <w:sz w:val="20"/>
          <w:szCs w:val="20"/>
        </w:rPr>
        <w:t>the government has</w:t>
      </w:r>
      <w:r w:rsidRPr="00D912E4">
        <w:rPr>
          <w:rFonts w:ascii="Arial" w:hAnsi="Arial" w:cs="Arial"/>
          <w:sz w:val="20"/>
          <w:szCs w:val="20"/>
        </w:rPr>
        <w:t xml:space="preserve"> lagged behind in fulfilling</w:t>
      </w:r>
      <w:r w:rsidR="00554BA6" w:rsidRPr="00D912E4">
        <w:rPr>
          <w:rFonts w:ascii="Arial" w:hAnsi="Arial" w:cs="Arial"/>
          <w:sz w:val="20"/>
          <w:szCs w:val="20"/>
        </w:rPr>
        <w:t xml:space="preserve"> its</w:t>
      </w:r>
      <w:r w:rsidRPr="00D912E4">
        <w:rPr>
          <w:rFonts w:ascii="Arial" w:hAnsi="Arial" w:cs="Arial"/>
          <w:sz w:val="20"/>
          <w:szCs w:val="20"/>
        </w:rPr>
        <w:t xml:space="preserve"> legal commitments to </w:t>
      </w:r>
      <w:r w:rsidR="00554BA6" w:rsidRPr="00D912E4">
        <w:rPr>
          <w:rFonts w:ascii="Arial" w:hAnsi="Arial" w:cs="Arial"/>
          <w:sz w:val="20"/>
          <w:szCs w:val="20"/>
        </w:rPr>
        <w:t xml:space="preserve">offer </w:t>
      </w:r>
      <w:r w:rsidRPr="00D912E4">
        <w:rPr>
          <w:rFonts w:ascii="Arial" w:hAnsi="Arial" w:cs="Arial"/>
          <w:sz w:val="20"/>
          <w:szCs w:val="20"/>
        </w:rPr>
        <w:t xml:space="preserve">public educational and awareness </w:t>
      </w:r>
      <w:r w:rsidR="00995E25">
        <w:rPr>
          <w:rFonts w:ascii="Arial" w:hAnsi="Arial" w:cs="Arial"/>
          <w:sz w:val="20"/>
          <w:szCs w:val="20"/>
        </w:rPr>
        <w:t>raising programs</w:t>
      </w:r>
      <w:r w:rsidR="00554BA6" w:rsidRPr="00D912E4">
        <w:rPr>
          <w:rFonts w:ascii="Arial" w:hAnsi="Arial" w:cs="Arial"/>
          <w:sz w:val="20"/>
          <w:szCs w:val="20"/>
        </w:rPr>
        <w:t xml:space="preserve"> in relation to domestic violence protection</w:t>
      </w:r>
      <w:r w:rsidRPr="00D912E4">
        <w:rPr>
          <w:rFonts w:ascii="Arial" w:hAnsi="Arial" w:cs="Arial"/>
          <w:sz w:val="20"/>
          <w:szCs w:val="20"/>
        </w:rPr>
        <w:t>.</w:t>
      </w:r>
      <w:r w:rsidR="00995E25">
        <w:rPr>
          <w:rFonts w:ascii="Arial" w:hAnsi="Arial" w:cs="Arial"/>
          <w:sz w:val="20"/>
          <w:szCs w:val="20"/>
        </w:rPr>
        <w:t xml:space="preserve"> This is a critical gap, especially as studies point to alarmingly low levels of awareness among Kuwaitis of the risks and negative impacts of violence against women, and a similar low awareness among women of the available resources of support for victims and survivors.</w:t>
      </w:r>
      <w:r w:rsidR="00995E25" w:rsidRPr="00995E25">
        <w:rPr>
          <w:rStyle w:val="FootnoteReference"/>
          <w:rFonts w:ascii="Arial" w:hAnsi="Arial"/>
          <w:vertAlign w:val="superscript"/>
        </w:rPr>
        <w:footnoteReference w:id="36"/>
      </w:r>
    </w:p>
    <w:p w14:paraId="25AC451A" w14:textId="77777777" w:rsidR="00995E25" w:rsidRDefault="00995E25" w:rsidP="00FB2AB3">
      <w:pPr>
        <w:pStyle w:val="Normal1"/>
        <w:spacing w:before="0" w:after="0" w:line="240" w:lineRule="auto"/>
        <w:jc w:val="both"/>
        <w:rPr>
          <w:rFonts w:ascii="Arial" w:hAnsi="Arial" w:cs="Arial"/>
          <w:sz w:val="20"/>
          <w:szCs w:val="20"/>
        </w:rPr>
      </w:pPr>
    </w:p>
    <w:p w14:paraId="12AFEC2F" w14:textId="77777777" w:rsidR="00995E25" w:rsidRDefault="00FB2AB3" w:rsidP="00FB2AB3">
      <w:pPr>
        <w:pStyle w:val="Normal1"/>
        <w:spacing w:before="0" w:after="0" w:line="240" w:lineRule="auto"/>
        <w:jc w:val="both"/>
        <w:rPr>
          <w:rFonts w:ascii="Arial" w:hAnsi="Arial" w:cs="Arial"/>
          <w:sz w:val="20"/>
          <w:szCs w:val="20"/>
        </w:rPr>
      </w:pPr>
      <w:r w:rsidRPr="00D912E4">
        <w:rPr>
          <w:rFonts w:ascii="Arial" w:hAnsi="Arial" w:cs="Arial"/>
          <w:sz w:val="20"/>
          <w:szCs w:val="20"/>
        </w:rPr>
        <w:t xml:space="preserve">There are </w:t>
      </w:r>
      <w:r w:rsidR="00995E25">
        <w:rPr>
          <w:rFonts w:ascii="Arial" w:hAnsi="Arial" w:cs="Arial"/>
          <w:sz w:val="20"/>
          <w:szCs w:val="20"/>
        </w:rPr>
        <w:t xml:space="preserve">currently </w:t>
      </w:r>
      <w:r w:rsidRPr="00D912E4">
        <w:rPr>
          <w:rFonts w:ascii="Arial" w:hAnsi="Arial" w:cs="Arial"/>
          <w:sz w:val="20"/>
          <w:szCs w:val="20"/>
        </w:rPr>
        <w:t>no transparent</w:t>
      </w:r>
      <w:r w:rsidR="00995E25">
        <w:rPr>
          <w:rFonts w:ascii="Arial" w:hAnsi="Arial" w:cs="Arial"/>
          <w:sz w:val="20"/>
          <w:szCs w:val="20"/>
        </w:rPr>
        <w:t xml:space="preserve"> and detailed</w:t>
      </w:r>
      <w:r w:rsidRPr="00D912E4">
        <w:rPr>
          <w:rFonts w:ascii="Arial" w:hAnsi="Arial" w:cs="Arial"/>
          <w:sz w:val="20"/>
          <w:szCs w:val="20"/>
        </w:rPr>
        <w:t xml:space="preserve"> indicators that track domestic violence incidents in Kuwait, which in turn makes it difficult to comprehend the extent of the issue or effectively plan responsive measures. Data gathering is a critical prerequisite to both developing preventative strategies and providing survivors with the necessary support.</w:t>
      </w:r>
      <w:r w:rsidR="00D912E4" w:rsidRPr="00D912E4">
        <w:rPr>
          <w:rFonts w:ascii="Arial" w:hAnsi="Arial" w:cs="Arial"/>
          <w:sz w:val="20"/>
          <w:szCs w:val="20"/>
        </w:rPr>
        <w:t xml:space="preserve"> </w:t>
      </w:r>
    </w:p>
    <w:p w14:paraId="5E941B81" w14:textId="77777777" w:rsidR="00995E25" w:rsidRDefault="00995E25" w:rsidP="00FB2AB3">
      <w:pPr>
        <w:pStyle w:val="Normal1"/>
        <w:spacing w:before="0" w:after="0" w:line="240" w:lineRule="auto"/>
        <w:jc w:val="both"/>
        <w:rPr>
          <w:rFonts w:ascii="Arial" w:hAnsi="Arial" w:cs="Arial"/>
          <w:sz w:val="20"/>
          <w:szCs w:val="20"/>
          <w:rtl/>
        </w:rPr>
      </w:pPr>
    </w:p>
    <w:p w14:paraId="750A817A" w14:textId="6ABD3E1F" w:rsidR="00EF121C" w:rsidRDefault="00995E25" w:rsidP="005E61F1">
      <w:pPr>
        <w:pStyle w:val="Normal1"/>
        <w:spacing w:before="0" w:after="0" w:line="240" w:lineRule="auto"/>
        <w:jc w:val="both"/>
        <w:rPr>
          <w:rFonts w:ascii="Arial" w:hAnsi="Arial" w:cs="Arial"/>
          <w:sz w:val="20"/>
          <w:szCs w:val="20"/>
          <w:rtl/>
        </w:rPr>
      </w:pPr>
      <w:r>
        <w:rPr>
          <w:rFonts w:ascii="Arial" w:hAnsi="Arial" w:cs="Arial"/>
          <w:sz w:val="20"/>
          <w:szCs w:val="20"/>
        </w:rPr>
        <w:t xml:space="preserve">Finally, </w:t>
      </w:r>
      <w:r w:rsidR="005E61F1">
        <w:rPr>
          <w:rFonts w:ascii="Arial" w:hAnsi="Arial" w:cs="Arial"/>
          <w:sz w:val="20"/>
          <w:szCs w:val="20"/>
        </w:rPr>
        <w:t xml:space="preserve">while </w:t>
      </w:r>
      <w:r>
        <w:rPr>
          <w:rFonts w:ascii="Arial" w:hAnsi="Arial" w:cs="Arial"/>
          <w:sz w:val="20"/>
          <w:szCs w:val="20"/>
        </w:rPr>
        <w:t xml:space="preserve">the </w:t>
      </w:r>
      <w:r w:rsidR="00D912E4" w:rsidRPr="00D912E4">
        <w:rPr>
          <w:rFonts w:ascii="Arial" w:hAnsi="Arial" w:cs="Arial"/>
          <w:sz w:val="20"/>
          <w:szCs w:val="20"/>
        </w:rPr>
        <w:t xml:space="preserve">Domestic Violence Act mandates the establishment of a fund to </w:t>
      </w:r>
      <w:r w:rsidR="005E61F1">
        <w:rPr>
          <w:rFonts w:ascii="Arial" w:hAnsi="Arial" w:cs="Arial"/>
          <w:sz w:val="20"/>
          <w:szCs w:val="20"/>
        </w:rPr>
        <w:t xml:space="preserve">provide financial support and care for </w:t>
      </w:r>
      <w:r w:rsidR="00D912E4" w:rsidRPr="00D912E4">
        <w:rPr>
          <w:rFonts w:ascii="Arial" w:hAnsi="Arial" w:cs="Arial"/>
          <w:sz w:val="20"/>
          <w:szCs w:val="20"/>
        </w:rPr>
        <w:t>victims of domestic violence,</w:t>
      </w:r>
      <w:r w:rsidR="005E61F1" w:rsidRPr="005E61F1">
        <w:rPr>
          <w:rStyle w:val="FootnoteReference"/>
          <w:rFonts w:ascii="Arial" w:hAnsi="Arial"/>
          <w:vertAlign w:val="superscript"/>
        </w:rPr>
        <w:footnoteReference w:id="37"/>
      </w:r>
      <w:r w:rsidR="005E61F1">
        <w:rPr>
          <w:rFonts w:ascii="Arial" w:hAnsi="Arial" w:cs="Arial"/>
          <w:sz w:val="20"/>
          <w:szCs w:val="20"/>
        </w:rPr>
        <w:t xml:space="preserve"> to date the Supreme Council for Family Affairs has not designated </w:t>
      </w:r>
      <w:r w:rsidR="00D912E4" w:rsidRPr="00D912E4">
        <w:rPr>
          <w:rFonts w:ascii="Arial" w:hAnsi="Arial" w:cs="Arial"/>
          <w:sz w:val="20"/>
          <w:szCs w:val="20"/>
          <w:lang w:val="en-GB"/>
        </w:rPr>
        <w:t>financial appropriations</w:t>
      </w:r>
      <w:r w:rsidR="005E61F1">
        <w:rPr>
          <w:rFonts w:ascii="Arial" w:hAnsi="Arial" w:cs="Arial"/>
          <w:sz w:val="20"/>
          <w:szCs w:val="20"/>
          <w:lang w:val="en-GB"/>
        </w:rPr>
        <w:t xml:space="preserve"> to the fund, nor has it </w:t>
      </w:r>
      <w:r w:rsidR="008063F6">
        <w:rPr>
          <w:rFonts w:ascii="Arial" w:hAnsi="Arial" w:cs="Arial"/>
          <w:sz w:val="20"/>
          <w:szCs w:val="20"/>
          <w:lang w:val="en-GB"/>
        </w:rPr>
        <w:t>needed developed</w:t>
      </w:r>
      <w:r w:rsidR="005E61F1">
        <w:rPr>
          <w:rFonts w:ascii="Arial" w:hAnsi="Arial" w:cs="Arial"/>
          <w:sz w:val="20"/>
          <w:szCs w:val="20"/>
          <w:lang w:val="en-GB"/>
        </w:rPr>
        <w:t xml:space="preserve"> rules and </w:t>
      </w:r>
      <w:r w:rsidR="005E61F1">
        <w:rPr>
          <w:rFonts w:ascii="Arial" w:hAnsi="Arial" w:cs="Arial"/>
          <w:sz w:val="20"/>
          <w:szCs w:val="20"/>
        </w:rPr>
        <w:t xml:space="preserve">mechanisms to govern the </w:t>
      </w:r>
      <w:r w:rsidR="00D912E4" w:rsidRPr="00D912E4">
        <w:rPr>
          <w:rFonts w:ascii="Arial" w:hAnsi="Arial" w:cs="Arial"/>
          <w:sz w:val="20"/>
          <w:szCs w:val="20"/>
        </w:rPr>
        <w:t>managemen</w:t>
      </w:r>
      <w:r w:rsidR="005E61F1">
        <w:rPr>
          <w:rFonts w:ascii="Arial" w:hAnsi="Arial" w:cs="Arial"/>
          <w:sz w:val="20"/>
          <w:szCs w:val="20"/>
        </w:rPr>
        <w:t>t and allocation of support resources to victims and survivors.</w:t>
      </w:r>
      <w:r w:rsidR="00A57C66" w:rsidRPr="008063F6">
        <w:rPr>
          <w:rStyle w:val="FootnoteReference"/>
          <w:rFonts w:ascii="Arial" w:hAnsi="Arial"/>
          <w:vertAlign w:val="superscript"/>
        </w:rPr>
        <w:footnoteReference w:id="38"/>
      </w:r>
      <w:r w:rsidR="005E61F1" w:rsidRPr="008063F6">
        <w:rPr>
          <w:rFonts w:ascii="Arial" w:hAnsi="Arial" w:cs="Arial"/>
          <w:sz w:val="20"/>
          <w:szCs w:val="20"/>
          <w:vertAlign w:val="superscript"/>
        </w:rPr>
        <w:t xml:space="preserve"> </w:t>
      </w:r>
    </w:p>
    <w:p w14:paraId="4555B06B" w14:textId="77777777" w:rsidR="00995E25" w:rsidRPr="00EF121C" w:rsidRDefault="00995E25" w:rsidP="00EF121C">
      <w:pPr>
        <w:pStyle w:val="Normal1"/>
        <w:spacing w:before="0" w:after="0" w:line="240" w:lineRule="auto"/>
        <w:jc w:val="both"/>
        <w:rPr>
          <w:rFonts w:ascii="Arial" w:hAnsi="Arial" w:cs="Arial"/>
          <w:b/>
          <w:bCs/>
          <w:sz w:val="20"/>
          <w:szCs w:val="20"/>
        </w:rPr>
      </w:pPr>
    </w:p>
    <w:p w14:paraId="46BE2083" w14:textId="23A0A829" w:rsidR="00660302" w:rsidRPr="00EF121C" w:rsidRDefault="006E5F1D" w:rsidP="00EF121C">
      <w:pPr>
        <w:pStyle w:val="Normal1"/>
        <w:spacing w:before="0" w:after="0" w:line="240" w:lineRule="auto"/>
        <w:jc w:val="both"/>
        <w:rPr>
          <w:rFonts w:ascii="Arial" w:hAnsi="Arial" w:cs="Arial"/>
          <w:b/>
          <w:bCs/>
          <w:sz w:val="20"/>
          <w:szCs w:val="20"/>
        </w:rPr>
      </w:pPr>
      <w:r>
        <w:rPr>
          <w:rFonts w:ascii="Arial" w:hAnsi="Arial" w:cs="Arial"/>
          <w:b/>
          <w:bCs/>
          <w:sz w:val="20"/>
          <w:szCs w:val="20"/>
        </w:rPr>
        <w:t>The Penal Code</w:t>
      </w:r>
    </w:p>
    <w:p w14:paraId="561212A9" w14:textId="77777777" w:rsidR="00EF121C" w:rsidRDefault="00EF121C" w:rsidP="00EF121C">
      <w:pPr>
        <w:jc w:val="both"/>
        <w:rPr>
          <w:rFonts w:ascii="Arial" w:eastAsia="Arial" w:hAnsi="Arial" w:cs="Arial"/>
          <w:sz w:val="20"/>
          <w:szCs w:val="20"/>
        </w:rPr>
      </w:pPr>
    </w:p>
    <w:p w14:paraId="01C7FD66" w14:textId="77777777" w:rsidR="006C74E5" w:rsidRDefault="00660302" w:rsidP="00C7462F">
      <w:pPr>
        <w:pStyle w:val="Normal1"/>
        <w:spacing w:before="0" w:after="0" w:line="240" w:lineRule="auto"/>
        <w:jc w:val="both"/>
        <w:rPr>
          <w:rFonts w:ascii="Arial" w:eastAsia="Arial" w:hAnsi="Arial" w:cs="Arial"/>
          <w:sz w:val="20"/>
          <w:szCs w:val="20"/>
        </w:rPr>
      </w:pPr>
      <w:r w:rsidRPr="00EF121C">
        <w:rPr>
          <w:rFonts w:ascii="Arial" w:eastAsia="Arial" w:hAnsi="Arial" w:cs="Arial"/>
          <w:sz w:val="20"/>
          <w:szCs w:val="20"/>
        </w:rPr>
        <w:t>Article 29</w:t>
      </w:r>
      <w:r w:rsidRPr="00EF121C">
        <w:rPr>
          <w:rFonts w:ascii="Arial" w:eastAsia="Arial" w:hAnsi="Arial" w:cs="Arial"/>
          <w:b/>
          <w:sz w:val="20"/>
          <w:szCs w:val="20"/>
        </w:rPr>
        <w:t xml:space="preserve"> </w:t>
      </w:r>
      <w:r w:rsidRPr="00EF121C">
        <w:rPr>
          <w:rFonts w:ascii="Arial" w:eastAsia="Arial" w:hAnsi="Arial" w:cs="Arial"/>
          <w:sz w:val="20"/>
          <w:szCs w:val="20"/>
        </w:rPr>
        <w:t>of the Kuwaiti Penal Code states that “</w:t>
      </w:r>
      <w:r w:rsidR="008063F6">
        <w:rPr>
          <w:rFonts w:ascii="Arial" w:eastAsia="Arial" w:hAnsi="Arial" w:cs="Arial"/>
          <w:sz w:val="20"/>
          <w:szCs w:val="20"/>
        </w:rPr>
        <w:t>n</w:t>
      </w:r>
      <w:r w:rsidRPr="00EF121C">
        <w:rPr>
          <w:rFonts w:ascii="Arial" w:eastAsia="Arial" w:hAnsi="Arial" w:cs="Arial"/>
          <w:sz w:val="20"/>
          <w:szCs w:val="20"/>
        </w:rPr>
        <w:t xml:space="preserve">o (criminal) offence is committed if the person exercising the right to discipline the other is entitled to do so by law, provided that the act has its limits </w:t>
      </w:r>
      <w:r w:rsidRPr="005D5274">
        <w:rPr>
          <w:rFonts w:ascii="Arial" w:eastAsia="Arial" w:hAnsi="Arial" w:cs="Arial"/>
          <w:sz w:val="20"/>
          <w:szCs w:val="20"/>
        </w:rPr>
        <w:t>and that its intentions are disciplinary.”</w:t>
      </w:r>
      <w:r w:rsidRPr="005D5274">
        <w:rPr>
          <w:rFonts w:ascii="Arial" w:eastAsia="Arial" w:hAnsi="Arial" w:cs="Arial"/>
          <w:sz w:val="20"/>
          <w:szCs w:val="20"/>
          <w:vertAlign w:val="superscript"/>
        </w:rPr>
        <w:footnoteReference w:id="39"/>
      </w:r>
      <w:r w:rsidR="005F6788" w:rsidRPr="005D5274">
        <w:rPr>
          <w:rFonts w:ascii="Arial" w:eastAsia="Arial" w:hAnsi="Arial" w:cs="Arial"/>
          <w:sz w:val="20"/>
          <w:szCs w:val="20"/>
        </w:rPr>
        <w:t xml:space="preserve"> </w:t>
      </w:r>
    </w:p>
    <w:p w14:paraId="6CAA56BF" w14:textId="77777777" w:rsidR="006C74E5" w:rsidRDefault="006C74E5" w:rsidP="00C7462F">
      <w:pPr>
        <w:pStyle w:val="Normal1"/>
        <w:spacing w:before="0" w:after="0" w:line="240" w:lineRule="auto"/>
        <w:jc w:val="both"/>
        <w:rPr>
          <w:rFonts w:ascii="Arial" w:eastAsia="Arial" w:hAnsi="Arial" w:cs="Arial"/>
          <w:sz w:val="20"/>
          <w:szCs w:val="20"/>
        </w:rPr>
      </w:pPr>
    </w:p>
    <w:p w14:paraId="43F7206E" w14:textId="7050F3EA" w:rsidR="00837093" w:rsidRDefault="008F1BDC" w:rsidP="00C7462F">
      <w:pPr>
        <w:pStyle w:val="Normal1"/>
        <w:spacing w:before="0" w:after="0" w:line="240" w:lineRule="auto"/>
        <w:jc w:val="both"/>
        <w:rPr>
          <w:rFonts w:ascii="Arial" w:eastAsia="Arial" w:hAnsi="Arial" w:cs="Arial"/>
          <w:sz w:val="20"/>
          <w:szCs w:val="20"/>
          <w:vertAlign w:val="superscript"/>
        </w:rPr>
      </w:pPr>
      <w:r w:rsidRPr="005D5274">
        <w:rPr>
          <w:rFonts w:ascii="Arial" w:eastAsia="Arial" w:hAnsi="Arial" w:cs="Arial"/>
          <w:sz w:val="20"/>
          <w:szCs w:val="20"/>
        </w:rPr>
        <w:lastRenderedPageBreak/>
        <w:t xml:space="preserve">There is no religious justification in </w:t>
      </w:r>
      <w:r w:rsidR="00F62B36">
        <w:rPr>
          <w:rFonts w:ascii="Arial" w:eastAsia="Arial" w:hAnsi="Arial" w:cs="Arial"/>
          <w:sz w:val="20"/>
          <w:szCs w:val="20"/>
        </w:rPr>
        <w:t xml:space="preserve">the </w:t>
      </w:r>
      <w:proofErr w:type="spellStart"/>
      <w:r w:rsidRPr="005D5274">
        <w:rPr>
          <w:rFonts w:ascii="Arial" w:eastAsia="Arial" w:hAnsi="Arial" w:cs="Arial"/>
          <w:sz w:val="20"/>
          <w:szCs w:val="20"/>
        </w:rPr>
        <w:t>Shari</w:t>
      </w:r>
      <w:r w:rsidR="005D5274" w:rsidRPr="005D5274">
        <w:rPr>
          <w:rFonts w:ascii="Arial" w:eastAsia="Arial" w:hAnsi="Arial" w:cs="Arial"/>
          <w:sz w:val="20"/>
          <w:szCs w:val="20"/>
        </w:rPr>
        <w:t>’</w:t>
      </w:r>
      <w:r w:rsidRPr="005D5274">
        <w:rPr>
          <w:rFonts w:ascii="Arial" w:eastAsia="Arial" w:hAnsi="Arial" w:cs="Arial"/>
          <w:sz w:val="20"/>
          <w:szCs w:val="20"/>
        </w:rPr>
        <w:t>a</w:t>
      </w:r>
      <w:r w:rsidR="005D5274" w:rsidRPr="005D5274">
        <w:rPr>
          <w:rFonts w:ascii="Arial" w:eastAsia="Arial" w:hAnsi="Arial" w:cs="Arial"/>
          <w:sz w:val="20"/>
          <w:szCs w:val="20"/>
        </w:rPr>
        <w:t>h</w:t>
      </w:r>
      <w:proofErr w:type="spellEnd"/>
      <w:r w:rsidRPr="005D5274">
        <w:rPr>
          <w:rFonts w:ascii="Arial" w:eastAsia="Arial" w:hAnsi="Arial" w:cs="Arial"/>
          <w:sz w:val="20"/>
          <w:szCs w:val="20"/>
        </w:rPr>
        <w:t xml:space="preserve"> </w:t>
      </w:r>
      <w:r w:rsidR="00DD06C5">
        <w:rPr>
          <w:rFonts w:ascii="Arial" w:eastAsia="Arial" w:hAnsi="Arial" w:cs="Arial"/>
          <w:sz w:val="20"/>
          <w:szCs w:val="20"/>
        </w:rPr>
        <w:t>that permits</w:t>
      </w:r>
      <w:r w:rsidRPr="005D5274">
        <w:rPr>
          <w:rFonts w:ascii="Arial" w:eastAsia="Arial" w:hAnsi="Arial" w:cs="Arial"/>
          <w:sz w:val="20"/>
          <w:szCs w:val="20"/>
        </w:rPr>
        <w:t xml:space="preserve"> violence against women. Committing violence goes against Qur’anic teachings and the example of the Prophet Muhammad. One single phrase in one single verse in the entire Qur’an – the second part of Sura</w:t>
      </w:r>
      <w:r w:rsidR="00F15E50">
        <w:rPr>
          <w:rFonts w:ascii="Arial" w:eastAsia="Arial" w:hAnsi="Arial" w:cs="Arial"/>
          <w:sz w:val="20"/>
          <w:szCs w:val="20"/>
        </w:rPr>
        <w:t>t</w:t>
      </w:r>
      <w:r w:rsidRPr="005D5274">
        <w:rPr>
          <w:rFonts w:ascii="Arial" w:eastAsia="Arial" w:hAnsi="Arial" w:cs="Arial"/>
          <w:sz w:val="20"/>
          <w:szCs w:val="20"/>
        </w:rPr>
        <w:t xml:space="preserve"> an</w:t>
      </w:r>
      <w:r w:rsidR="00572DF6">
        <w:rPr>
          <w:rFonts w:ascii="Arial" w:eastAsia="Arial" w:hAnsi="Arial" w:cs="Arial"/>
          <w:sz w:val="20"/>
          <w:szCs w:val="20"/>
        </w:rPr>
        <w:t>-</w:t>
      </w:r>
      <w:proofErr w:type="spellStart"/>
      <w:r w:rsidRPr="005D5274">
        <w:rPr>
          <w:rFonts w:ascii="Arial" w:eastAsia="Arial" w:hAnsi="Arial" w:cs="Arial"/>
          <w:sz w:val="20"/>
          <w:szCs w:val="20"/>
        </w:rPr>
        <w:t>Nisa</w:t>
      </w:r>
      <w:proofErr w:type="spellEnd"/>
      <w:r w:rsidRPr="005D5274">
        <w:rPr>
          <w:rFonts w:ascii="Arial" w:eastAsia="Arial" w:hAnsi="Arial" w:cs="Arial"/>
          <w:sz w:val="20"/>
          <w:szCs w:val="20"/>
        </w:rPr>
        <w:t>’ 4:34 – is commonly used to justify violence against women in Muslim family laws and practices</w:t>
      </w:r>
      <w:r w:rsidR="00DD06C5">
        <w:rPr>
          <w:rFonts w:ascii="Arial" w:eastAsia="Arial" w:hAnsi="Arial" w:cs="Arial"/>
          <w:sz w:val="20"/>
          <w:szCs w:val="20"/>
        </w:rPr>
        <w:t>, notwithstanding multiple</w:t>
      </w:r>
      <w:r w:rsidRPr="005D5274">
        <w:rPr>
          <w:rFonts w:ascii="Arial" w:eastAsia="Arial" w:hAnsi="Arial" w:cs="Arial"/>
          <w:sz w:val="20"/>
          <w:szCs w:val="20"/>
        </w:rPr>
        <w:t xml:space="preserve"> conflicting interpretations of the meaning and importance of this verse in both classical and contemporary times.</w:t>
      </w:r>
      <w:r w:rsidR="00837093" w:rsidRPr="005D5274">
        <w:rPr>
          <w:rFonts w:ascii="Arial" w:hAnsi="Arial" w:cs="Arial"/>
          <w:sz w:val="20"/>
          <w:szCs w:val="20"/>
          <w:vertAlign w:val="superscript"/>
        </w:rPr>
        <w:footnoteReference w:id="40"/>
      </w:r>
      <w:r w:rsidR="00DD06C5">
        <w:rPr>
          <w:rFonts w:ascii="Arial" w:eastAsia="Arial" w:hAnsi="Arial" w:cs="Arial"/>
          <w:sz w:val="20"/>
          <w:szCs w:val="20"/>
        </w:rPr>
        <w:t xml:space="preserve"> </w:t>
      </w:r>
      <w:r w:rsidR="00837093" w:rsidRPr="005D5274">
        <w:rPr>
          <w:rFonts w:ascii="Arial" w:eastAsia="Arial" w:hAnsi="Arial" w:cs="Arial"/>
          <w:sz w:val="20"/>
          <w:szCs w:val="20"/>
        </w:rPr>
        <w:t xml:space="preserve">Moreover, the Qur’an </w:t>
      </w:r>
      <w:r w:rsidR="00DD06C5">
        <w:rPr>
          <w:rFonts w:ascii="Arial" w:eastAsia="Arial" w:hAnsi="Arial" w:cs="Arial"/>
          <w:sz w:val="20"/>
          <w:szCs w:val="20"/>
        </w:rPr>
        <w:t>views</w:t>
      </w:r>
      <w:r w:rsidR="00837093" w:rsidRPr="005D5274">
        <w:rPr>
          <w:rFonts w:ascii="Arial" w:eastAsia="Arial" w:hAnsi="Arial" w:cs="Arial"/>
          <w:sz w:val="20"/>
          <w:szCs w:val="20"/>
        </w:rPr>
        <w:t xml:space="preserve"> marriage as a solemn bond (</w:t>
      </w:r>
      <w:proofErr w:type="spellStart"/>
      <w:r w:rsidR="00837093" w:rsidRPr="005D5274">
        <w:rPr>
          <w:rFonts w:ascii="Arial" w:eastAsia="Arial" w:hAnsi="Arial" w:cs="Arial"/>
          <w:i/>
          <w:iCs/>
          <w:sz w:val="20"/>
          <w:szCs w:val="20"/>
        </w:rPr>
        <w:t>mithaq</w:t>
      </w:r>
      <w:proofErr w:type="spellEnd"/>
      <w:r w:rsidR="00837093" w:rsidRPr="005D5274">
        <w:rPr>
          <w:rFonts w:ascii="Arial" w:eastAsia="Arial" w:hAnsi="Arial" w:cs="Arial"/>
          <w:i/>
          <w:iCs/>
          <w:sz w:val="20"/>
          <w:szCs w:val="20"/>
        </w:rPr>
        <w:t xml:space="preserve"> </w:t>
      </w:r>
      <w:proofErr w:type="spellStart"/>
      <w:r w:rsidR="00837093" w:rsidRPr="005D5274">
        <w:rPr>
          <w:rFonts w:ascii="Arial" w:eastAsia="Arial" w:hAnsi="Arial" w:cs="Arial"/>
          <w:i/>
          <w:iCs/>
          <w:sz w:val="20"/>
          <w:szCs w:val="20"/>
        </w:rPr>
        <w:t>ghaliz</w:t>
      </w:r>
      <w:proofErr w:type="spellEnd"/>
      <w:r w:rsidR="00837093" w:rsidRPr="005D5274">
        <w:rPr>
          <w:rFonts w:ascii="Arial" w:eastAsia="Arial" w:hAnsi="Arial" w:cs="Arial"/>
          <w:sz w:val="20"/>
          <w:szCs w:val="20"/>
        </w:rPr>
        <w:t>) of trust, commitment, and mutual care, and describes th</w:t>
      </w:r>
      <w:r w:rsidR="00DD06C5">
        <w:rPr>
          <w:rFonts w:ascii="Arial" w:eastAsia="Arial" w:hAnsi="Arial" w:cs="Arial"/>
          <w:sz w:val="20"/>
          <w:szCs w:val="20"/>
        </w:rPr>
        <w:t>e marital</w:t>
      </w:r>
      <w:r w:rsidR="00837093" w:rsidRPr="005D5274">
        <w:rPr>
          <w:rFonts w:ascii="Arial" w:eastAsia="Arial" w:hAnsi="Arial" w:cs="Arial"/>
          <w:sz w:val="20"/>
          <w:szCs w:val="20"/>
        </w:rPr>
        <w:t xml:space="preserve"> relationship as a resting abode (</w:t>
      </w:r>
      <w:proofErr w:type="spellStart"/>
      <w:r w:rsidR="00837093" w:rsidRPr="005D5274">
        <w:rPr>
          <w:rFonts w:ascii="Arial" w:eastAsia="Arial" w:hAnsi="Arial" w:cs="Arial"/>
          <w:i/>
          <w:iCs/>
          <w:sz w:val="20"/>
          <w:szCs w:val="20"/>
        </w:rPr>
        <w:t>sakan</w:t>
      </w:r>
      <w:proofErr w:type="spellEnd"/>
      <w:r w:rsidR="00837093" w:rsidRPr="005D5274">
        <w:rPr>
          <w:rFonts w:ascii="Arial" w:eastAsia="Arial" w:hAnsi="Arial" w:cs="Arial"/>
          <w:sz w:val="20"/>
          <w:szCs w:val="20"/>
        </w:rPr>
        <w:t>) built on affection (</w:t>
      </w:r>
      <w:proofErr w:type="spellStart"/>
      <w:r w:rsidR="00837093" w:rsidRPr="005D5274">
        <w:rPr>
          <w:rFonts w:ascii="Arial" w:eastAsia="Arial" w:hAnsi="Arial" w:cs="Arial"/>
          <w:i/>
          <w:iCs/>
          <w:sz w:val="20"/>
          <w:szCs w:val="20"/>
        </w:rPr>
        <w:t>mawaddah</w:t>
      </w:r>
      <w:proofErr w:type="spellEnd"/>
      <w:r w:rsidR="00837093" w:rsidRPr="005D5274">
        <w:rPr>
          <w:rFonts w:ascii="Arial" w:eastAsia="Arial" w:hAnsi="Arial" w:cs="Arial"/>
          <w:sz w:val="20"/>
          <w:szCs w:val="20"/>
        </w:rPr>
        <w:t>) and compassion (</w:t>
      </w:r>
      <w:proofErr w:type="spellStart"/>
      <w:r w:rsidR="00837093" w:rsidRPr="005D5274">
        <w:rPr>
          <w:rFonts w:ascii="Arial" w:eastAsia="Arial" w:hAnsi="Arial" w:cs="Arial"/>
          <w:i/>
          <w:iCs/>
          <w:sz w:val="20"/>
          <w:szCs w:val="20"/>
        </w:rPr>
        <w:t>rahmah</w:t>
      </w:r>
      <w:proofErr w:type="spellEnd"/>
      <w:r w:rsidR="00837093" w:rsidRPr="005D5274">
        <w:rPr>
          <w:rFonts w:ascii="Arial" w:eastAsia="Arial" w:hAnsi="Arial" w:cs="Arial"/>
          <w:sz w:val="20"/>
          <w:szCs w:val="20"/>
        </w:rPr>
        <w:t xml:space="preserve">). This </w:t>
      </w:r>
      <w:r w:rsidR="00DD06C5">
        <w:rPr>
          <w:rFonts w:ascii="Arial" w:eastAsia="Arial" w:hAnsi="Arial" w:cs="Arial"/>
          <w:sz w:val="20"/>
          <w:szCs w:val="20"/>
        </w:rPr>
        <w:t xml:space="preserve">Islamic vision of marriage </w:t>
      </w:r>
      <w:r w:rsidR="00837093" w:rsidRPr="005D5274">
        <w:rPr>
          <w:rFonts w:ascii="Arial" w:eastAsia="Arial" w:hAnsi="Arial" w:cs="Arial"/>
          <w:sz w:val="20"/>
          <w:szCs w:val="20"/>
        </w:rPr>
        <w:t>cannot be achieved if any family member is exposed to harm.</w:t>
      </w:r>
      <w:r w:rsidR="003E4F78" w:rsidRPr="005D5274">
        <w:rPr>
          <w:rFonts w:ascii="Arial" w:hAnsi="Arial" w:cs="Arial"/>
          <w:sz w:val="20"/>
          <w:szCs w:val="20"/>
          <w:vertAlign w:val="superscript"/>
        </w:rPr>
        <w:footnoteReference w:id="41"/>
      </w:r>
      <w:r w:rsidR="00837093" w:rsidRPr="005D5274">
        <w:rPr>
          <w:rFonts w:ascii="Arial" w:eastAsia="Arial" w:hAnsi="Arial" w:cs="Arial"/>
          <w:sz w:val="20"/>
          <w:szCs w:val="20"/>
          <w:vertAlign w:val="superscript"/>
        </w:rPr>
        <w:t xml:space="preserve"> </w:t>
      </w:r>
    </w:p>
    <w:p w14:paraId="7F149A11" w14:textId="77777777" w:rsidR="00C7462F" w:rsidRDefault="00C7462F" w:rsidP="00C7462F">
      <w:pPr>
        <w:pStyle w:val="Normal1"/>
        <w:spacing w:before="0" w:after="0" w:line="240" w:lineRule="auto"/>
        <w:jc w:val="both"/>
        <w:rPr>
          <w:rFonts w:ascii="Arial" w:eastAsia="Arial" w:hAnsi="Arial" w:cs="Arial"/>
          <w:strike/>
          <w:sz w:val="20"/>
          <w:szCs w:val="20"/>
        </w:rPr>
      </w:pPr>
    </w:p>
    <w:p w14:paraId="5F2CB43F" w14:textId="77777777" w:rsidR="006C74E5" w:rsidRDefault="006E5F1D" w:rsidP="002C5B71">
      <w:pPr>
        <w:pStyle w:val="Normal1"/>
        <w:spacing w:before="0" w:after="0" w:line="240" w:lineRule="auto"/>
        <w:jc w:val="both"/>
        <w:rPr>
          <w:rFonts w:ascii="Arial" w:eastAsia="Arial" w:hAnsi="Arial" w:cs="Arial"/>
          <w:sz w:val="20"/>
          <w:szCs w:val="20"/>
        </w:rPr>
      </w:pPr>
      <w:r>
        <w:rPr>
          <w:rFonts w:ascii="Arial" w:eastAsia="Arial" w:hAnsi="Arial" w:cs="Arial"/>
          <w:sz w:val="20"/>
          <w:szCs w:val="20"/>
        </w:rPr>
        <w:t xml:space="preserve">Article 29 </w:t>
      </w:r>
      <w:r w:rsidR="00DD06C5">
        <w:rPr>
          <w:rFonts w:ascii="Arial" w:eastAsia="Arial" w:hAnsi="Arial" w:cs="Arial"/>
          <w:sz w:val="20"/>
          <w:szCs w:val="20"/>
        </w:rPr>
        <w:t xml:space="preserve">of the Penal Code further </w:t>
      </w:r>
      <w:r w:rsidR="005F6788">
        <w:rPr>
          <w:rFonts w:ascii="Arial" w:eastAsia="Arial" w:hAnsi="Arial" w:cs="Arial"/>
          <w:sz w:val="20"/>
          <w:szCs w:val="20"/>
        </w:rPr>
        <w:t xml:space="preserve">contradicts the prohibitions </w:t>
      </w:r>
      <w:r>
        <w:rPr>
          <w:rFonts w:ascii="Arial" w:eastAsia="Arial" w:hAnsi="Arial" w:cs="Arial"/>
          <w:sz w:val="20"/>
          <w:szCs w:val="20"/>
        </w:rPr>
        <w:t>on all forms of violence in</w:t>
      </w:r>
      <w:r w:rsidR="00DD06C5">
        <w:rPr>
          <w:rFonts w:ascii="Arial" w:eastAsia="Arial" w:hAnsi="Arial" w:cs="Arial"/>
          <w:sz w:val="20"/>
          <w:szCs w:val="20"/>
        </w:rPr>
        <w:t xml:space="preserve"> Kuwait’s</w:t>
      </w:r>
      <w:r w:rsidR="00660302" w:rsidRPr="00EF121C">
        <w:rPr>
          <w:rFonts w:ascii="Arial" w:eastAsia="Arial" w:hAnsi="Arial" w:cs="Arial"/>
          <w:sz w:val="20"/>
          <w:szCs w:val="20"/>
        </w:rPr>
        <w:t xml:space="preserve"> Domestic Violence Act</w:t>
      </w:r>
      <w:r w:rsidR="005F6788">
        <w:rPr>
          <w:rFonts w:ascii="Arial" w:eastAsia="Arial" w:hAnsi="Arial" w:cs="Arial"/>
          <w:sz w:val="20"/>
          <w:szCs w:val="20"/>
        </w:rPr>
        <w:t xml:space="preserve"> of 2020, as well as</w:t>
      </w:r>
      <w:r w:rsidR="00DD06C5">
        <w:rPr>
          <w:rFonts w:ascii="Arial" w:eastAsia="Arial" w:hAnsi="Arial" w:cs="Arial"/>
          <w:sz w:val="20"/>
          <w:szCs w:val="20"/>
        </w:rPr>
        <w:t xml:space="preserve"> other provisions in</w:t>
      </w:r>
      <w:r w:rsidR="005F6788">
        <w:rPr>
          <w:rFonts w:ascii="Arial" w:eastAsia="Arial" w:hAnsi="Arial" w:cs="Arial"/>
          <w:sz w:val="20"/>
          <w:szCs w:val="20"/>
        </w:rPr>
        <w:t xml:space="preserve"> the</w:t>
      </w:r>
      <w:r w:rsidR="00660302" w:rsidRPr="00EF121C">
        <w:rPr>
          <w:rFonts w:ascii="Arial" w:eastAsia="Arial" w:hAnsi="Arial" w:cs="Arial"/>
          <w:sz w:val="20"/>
          <w:szCs w:val="20"/>
        </w:rPr>
        <w:t xml:space="preserve"> Penal Code itself</w:t>
      </w:r>
      <w:r w:rsidR="005F6788">
        <w:rPr>
          <w:rFonts w:ascii="Arial" w:eastAsia="Arial" w:hAnsi="Arial" w:cs="Arial"/>
          <w:sz w:val="20"/>
          <w:szCs w:val="20"/>
        </w:rPr>
        <w:t>, which</w:t>
      </w:r>
      <w:r>
        <w:rPr>
          <w:rFonts w:ascii="Arial" w:eastAsia="Arial" w:hAnsi="Arial" w:cs="Arial"/>
          <w:sz w:val="20"/>
          <w:szCs w:val="20"/>
        </w:rPr>
        <w:t xml:space="preserve"> </w:t>
      </w:r>
      <w:r w:rsidR="00660302" w:rsidRPr="00EF121C">
        <w:rPr>
          <w:rFonts w:ascii="Arial" w:eastAsia="Arial" w:hAnsi="Arial" w:cs="Arial"/>
          <w:sz w:val="20"/>
          <w:szCs w:val="20"/>
        </w:rPr>
        <w:t>punish acts that lead to bodily harm, injury, or permanent disability, respectively.</w:t>
      </w:r>
      <w:r w:rsidR="00660302" w:rsidRPr="00EF121C">
        <w:rPr>
          <w:rFonts w:ascii="Arial" w:eastAsia="Arial" w:hAnsi="Arial" w:cs="Arial"/>
          <w:sz w:val="20"/>
          <w:szCs w:val="20"/>
          <w:vertAlign w:val="superscript"/>
        </w:rPr>
        <w:footnoteReference w:id="42"/>
      </w:r>
      <w:r w:rsidR="005F6788">
        <w:rPr>
          <w:rFonts w:ascii="Arial" w:eastAsia="Arial" w:hAnsi="Arial" w:cs="Arial"/>
          <w:sz w:val="20"/>
          <w:szCs w:val="20"/>
        </w:rPr>
        <w:t xml:space="preserve"> </w:t>
      </w:r>
    </w:p>
    <w:p w14:paraId="497FB8A1" w14:textId="77777777" w:rsidR="006C74E5" w:rsidRDefault="006C74E5" w:rsidP="002C5B71">
      <w:pPr>
        <w:pStyle w:val="Normal1"/>
        <w:spacing w:before="0" w:after="0" w:line="240" w:lineRule="auto"/>
        <w:jc w:val="both"/>
        <w:rPr>
          <w:rFonts w:ascii="Arial" w:eastAsia="Arial" w:hAnsi="Arial" w:cs="Arial"/>
          <w:sz w:val="20"/>
          <w:szCs w:val="20"/>
        </w:rPr>
      </w:pPr>
    </w:p>
    <w:p w14:paraId="3B1D55B0" w14:textId="510BB731" w:rsidR="00A22E4C" w:rsidRDefault="00DD06C5" w:rsidP="002C5B71">
      <w:pPr>
        <w:pStyle w:val="Normal1"/>
        <w:spacing w:before="0" w:after="0" w:line="240" w:lineRule="auto"/>
        <w:jc w:val="both"/>
        <w:rPr>
          <w:rFonts w:ascii="Arial" w:eastAsia="Arial" w:hAnsi="Arial" w:cs="Arial"/>
          <w:sz w:val="20"/>
          <w:szCs w:val="20"/>
        </w:rPr>
      </w:pPr>
      <w:r>
        <w:rPr>
          <w:rFonts w:ascii="Arial" w:eastAsia="Arial" w:hAnsi="Arial" w:cs="Arial"/>
          <w:sz w:val="20"/>
          <w:szCs w:val="20"/>
        </w:rPr>
        <w:t>The i</w:t>
      </w:r>
      <w:r w:rsidR="006E5F1D">
        <w:rPr>
          <w:rFonts w:ascii="Arial" w:eastAsia="Arial" w:hAnsi="Arial" w:cs="Arial"/>
          <w:sz w:val="20"/>
          <w:szCs w:val="20"/>
        </w:rPr>
        <w:t>nherent</w:t>
      </w:r>
      <w:r w:rsidR="00A22E4C">
        <w:rPr>
          <w:rFonts w:ascii="Arial" w:eastAsia="Arial" w:hAnsi="Arial" w:cs="Arial"/>
          <w:sz w:val="20"/>
          <w:szCs w:val="20"/>
        </w:rPr>
        <w:t xml:space="preserve"> contradiction</w:t>
      </w:r>
      <w:r w:rsidR="002C5B71">
        <w:rPr>
          <w:rFonts w:ascii="Arial" w:eastAsia="Arial" w:hAnsi="Arial" w:cs="Arial"/>
          <w:sz w:val="20"/>
          <w:szCs w:val="20"/>
        </w:rPr>
        <w:t>s</w:t>
      </w:r>
      <w:r w:rsidR="006E5F1D">
        <w:rPr>
          <w:rFonts w:ascii="Arial" w:eastAsia="Arial" w:hAnsi="Arial" w:cs="Arial"/>
          <w:sz w:val="20"/>
          <w:szCs w:val="20"/>
        </w:rPr>
        <w:t xml:space="preserve"> between the levels of protection </w:t>
      </w:r>
      <w:r>
        <w:rPr>
          <w:rFonts w:ascii="Arial" w:eastAsia="Arial" w:hAnsi="Arial" w:cs="Arial"/>
          <w:sz w:val="20"/>
          <w:szCs w:val="20"/>
        </w:rPr>
        <w:t xml:space="preserve">contained </w:t>
      </w:r>
      <w:r w:rsidR="006E5F1D">
        <w:rPr>
          <w:rFonts w:ascii="Arial" w:eastAsia="Arial" w:hAnsi="Arial" w:cs="Arial"/>
          <w:sz w:val="20"/>
          <w:szCs w:val="20"/>
        </w:rPr>
        <w:t xml:space="preserve">in </w:t>
      </w:r>
      <w:r w:rsidR="00475A61">
        <w:rPr>
          <w:rFonts w:ascii="Arial" w:eastAsia="Arial" w:hAnsi="Arial" w:cs="Arial"/>
          <w:sz w:val="20"/>
          <w:szCs w:val="20"/>
        </w:rPr>
        <w:t xml:space="preserve">the </w:t>
      </w:r>
      <w:r w:rsidR="006E5F1D">
        <w:rPr>
          <w:rFonts w:ascii="Arial" w:eastAsia="Arial" w:hAnsi="Arial" w:cs="Arial"/>
          <w:sz w:val="20"/>
          <w:szCs w:val="20"/>
        </w:rPr>
        <w:t>Domestic Viol</w:t>
      </w:r>
      <w:r>
        <w:rPr>
          <w:rFonts w:ascii="Arial" w:eastAsia="Arial" w:hAnsi="Arial" w:cs="Arial"/>
          <w:sz w:val="20"/>
          <w:szCs w:val="20"/>
        </w:rPr>
        <w:t>e</w:t>
      </w:r>
      <w:r w:rsidR="006E5F1D">
        <w:rPr>
          <w:rFonts w:ascii="Arial" w:eastAsia="Arial" w:hAnsi="Arial" w:cs="Arial"/>
          <w:sz w:val="20"/>
          <w:szCs w:val="20"/>
        </w:rPr>
        <w:t xml:space="preserve">nce Act and </w:t>
      </w:r>
      <w:r>
        <w:rPr>
          <w:rFonts w:ascii="Arial" w:eastAsia="Arial" w:hAnsi="Arial" w:cs="Arial"/>
          <w:sz w:val="20"/>
          <w:szCs w:val="20"/>
        </w:rPr>
        <w:t xml:space="preserve">in </w:t>
      </w:r>
      <w:r w:rsidR="006E5F1D">
        <w:rPr>
          <w:rFonts w:ascii="Arial" w:eastAsia="Arial" w:hAnsi="Arial" w:cs="Arial"/>
          <w:sz w:val="20"/>
          <w:szCs w:val="20"/>
        </w:rPr>
        <w:t>the Penal Code</w:t>
      </w:r>
      <w:r w:rsidR="00A22E4C">
        <w:rPr>
          <w:rFonts w:ascii="Arial" w:eastAsia="Arial" w:hAnsi="Arial" w:cs="Arial"/>
          <w:sz w:val="20"/>
          <w:szCs w:val="20"/>
        </w:rPr>
        <w:t xml:space="preserve"> become </w:t>
      </w:r>
      <w:r w:rsidR="002C5B71">
        <w:rPr>
          <w:rFonts w:ascii="Arial" w:eastAsia="Arial" w:hAnsi="Arial" w:cs="Arial"/>
          <w:sz w:val="20"/>
          <w:szCs w:val="20"/>
        </w:rPr>
        <w:t>particularly</w:t>
      </w:r>
      <w:r w:rsidR="00A22E4C">
        <w:rPr>
          <w:rFonts w:ascii="Arial" w:eastAsia="Arial" w:hAnsi="Arial" w:cs="Arial"/>
          <w:sz w:val="20"/>
          <w:szCs w:val="20"/>
        </w:rPr>
        <w:t xml:space="preserve"> significant </w:t>
      </w:r>
      <w:r w:rsidR="006E5F1D">
        <w:rPr>
          <w:rFonts w:ascii="Arial" w:eastAsia="Arial" w:hAnsi="Arial" w:cs="Arial"/>
          <w:sz w:val="20"/>
          <w:szCs w:val="20"/>
        </w:rPr>
        <w:t>given that the</w:t>
      </w:r>
      <w:r w:rsidR="005F6788">
        <w:rPr>
          <w:rFonts w:ascii="Arial" w:eastAsia="Arial" w:hAnsi="Arial" w:cs="Arial"/>
          <w:sz w:val="20"/>
          <w:szCs w:val="20"/>
        </w:rPr>
        <w:t xml:space="preserve"> Domestic Violence Act lacks specific legal sanctions</w:t>
      </w:r>
      <w:r>
        <w:rPr>
          <w:rFonts w:ascii="Arial" w:eastAsia="Arial" w:hAnsi="Arial" w:cs="Arial"/>
          <w:sz w:val="20"/>
          <w:szCs w:val="20"/>
        </w:rPr>
        <w:t xml:space="preserve"> </w:t>
      </w:r>
      <w:r w:rsidR="00A22E4C">
        <w:rPr>
          <w:rFonts w:ascii="Arial" w:eastAsia="Arial" w:hAnsi="Arial" w:cs="Arial"/>
          <w:sz w:val="20"/>
          <w:szCs w:val="20"/>
        </w:rPr>
        <w:t xml:space="preserve">for </w:t>
      </w:r>
      <w:r w:rsidR="005F6788">
        <w:rPr>
          <w:rFonts w:ascii="Arial" w:eastAsia="Arial" w:hAnsi="Arial" w:cs="Arial"/>
          <w:sz w:val="20"/>
          <w:szCs w:val="20"/>
        </w:rPr>
        <w:t>acts of violence, referring the question of punishment to the Penal Code</w:t>
      </w:r>
      <w:r w:rsidR="00A22E4C">
        <w:rPr>
          <w:rFonts w:ascii="Arial" w:eastAsia="Arial" w:hAnsi="Arial" w:cs="Arial"/>
          <w:sz w:val="20"/>
          <w:szCs w:val="20"/>
        </w:rPr>
        <w:t xml:space="preserve">. </w:t>
      </w:r>
      <w:r w:rsidR="006E5F1D">
        <w:rPr>
          <w:rFonts w:ascii="Arial" w:eastAsia="Arial" w:hAnsi="Arial" w:cs="Arial"/>
          <w:sz w:val="20"/>
          <w:szCs w:val="20"/>
        </w:rPr>
        <w:t xml:space="preserve">Whereas the Domestic Violence Act bars all forms of violence within the family – including physical, psychological, financial, and sexual violence – the Penal Code only </w:t>
      </w:r>
      <w:r>
        <w:rPr>
          <w:rFonts w:ascii="Arial" w:eastAsia="Arial" w:hAnsi="Arial" w:cs="Arial"/>
          <w:sz w:val="20"/>
          <w:szCs w:val="20"/>
        </w:rPr>
        <w:t xml:space="preserve">includes </w:t>
      </w:r>
      <w:r w:rsidR="006E5F1D">
        <w:rPr>
          <w:rFonts w:ascii="Arial" w:eastAsia="Arial" w:hAnsi="Arial" w:cs="Arial"/>
          <w:sz w:val="20"/>
          <w:szCs w:val="20"/>
        </w:rPr>
        <w:t>punishments for physical acts of violence.</w:t>
      </w:r>
      <w:r w:rsidR="006E5F1D" w:rsidRPr="002C5B71">
        <w:rPr>
          <w:rFonts w:ascii="Arial" w:eastAsia="Arial" w:hAnsi="Arial" w:cs="Arial"/>
          <w:sz w:val="20"/>
          <w:szCs w:val="20"/>
          <w:vertAlign w:val="superscript"/>
        </w:rPr>
        <w:footnoteReference w:id="43"/>
      </w:r>
      <w:r w:rsidR="006E5F1D" w:rsidRPr="002C5B71">
        <w:rPr>
          <w:rFonts w:ascii="Arial" w:eastAsia="Arial" w:hAnsi="Arial" w:cs="Arial"/>
          <w:sz w:val="20"/>
          <w:szCs w:val="20"/>
          <w:vertAlign w:val="superscript"/>
        </w:rPr>
        <w:t xml:space="preserve"> </w:t>
      </w:r>
      <w:r w:rsidR="006E5F1D">
        <w:rPr>
          <w:rFonts w:ascii="Arial" w:eastAsia="Arial" w:hAnsi="Arial" w:cs="Arial"/>
          <w:sz w:val="20"/>
          <w:szCs w:val="20"/>
        </w:rPr>
        <w:t xml:space="preserve">As a result, many of the prohibitions of the Domestic Violence Act remain </w:t>
      </w:r>
      <w:r>
        <w:rPr>
          <w:rFonts w:ascii="Arial" w:eastAsia="Arial" w:hAnsi="Arial" w:cs="Arial"/>
          <w:sz w:val="20"/>
          <w:szCs w:val="20"/>
        </w:rPr>
        <w:t xml:space="preserve">ineffective and </w:t>
      </w:r>
      <w:r w:rsidR="006E5F1D">
        <w:rPr>
          <w:rFonts w:ascii="Arial" w:eastAsia="Arial" w:hAnsi="Arial" w:cs="Arial"/>
          <w:sz w:val="20"/>
          <w:szCs w:val="20"/>
        </w:rPr>
        <w:t xml:space="preserve">without </w:t>
      </w:r>
      <w:r>
        <w:rPr>
          <w:rFonts w:ascii="Arial" w:eastAsia="Arial" w:hAnsi="Arial" w:cs="Arial"/>
          <w:sz w:val="20"/>
          <w:szCs w:val="20"/>
        </w:rPr>
        <w:t>legal consequences</w:t>
      </w:r>
      <w:r w:rsidR="006E5F1D">
        <w:rPr>
          <w:rFonts w:ascii="Arial" w:eastAsia="Arial" w:hAnsi="Arial" w:cs="Arial"/>
          <w:sz w:val="20"/>
          <w:szCs w:val="20"/>
        </w:rPr>
        <w:t>. Marital rape is another prime example of this protection gap</w:t>
      </w:r>
      <w:r w:rsidR="002C5B71">
        <w:rPr>
          <w:rFonts w:ascii="Arial" w:eastAsia="Arial" w:hAnsi="Arial" w:cs="Arial"/>
          <w:sz w:val="20"/>
          <w:szCs w:val="20"/>
        </w:rPr>
        <w:t>: while</w:t>
      </w:r>
      <w:r w:rsidR="006E5F1D">
        <w:rPr>
          <w:rFonts w:ascii="Arial" w:eastAsia="Arial" w:hAnsi="Arial" w:cs="Arial"/>
          <w:sz w:val="20"/>
          <w:szCs w:val="20"/>
        </w:rPr>
        <w:t xml:space="preserve"> the Domestic Violence Act </w:t>
      </w:r>
      <w:r w:rsidR="002C5B71">
        <w:rPr>
          <w:rFonts w:ascii="Arial" w:eastAsia="Arial" w:hAnsi="Arial" w:cs="Arial"/>
          <w:sz w:val="20"/>
          <w:szCs w:val="20"/>
        </w:rPr>
        <w:t>identifies</w:t>
      </w:r>
      <w:r w:rsidR="006E5F1D">
        <w:rPr>
          <w:rFonts w:ascii="Arial" w:eastAsia="Arial" w:hAnsi="Arial" w:cs="Arial"/>
          <w:sz w:val="20"/>
          <w:szCs w:val="20"/>
        </w:rPr>
        <w:t xml:space="preserve"> “sexual violence” as a form of violence prohibited by the law, the Penal Code does not recognize “marital rape” as a specific </w:t>
      </w:r>
      <w:r w:rsidR="002C5B71">
        <w:rPr>
          <w:rFonts w:ascii="Arial" w:eastAsia="Arial" w:hAnsi="Arial" w:cs="Arial"/>
          <w:sz w:val="20"/>
          <w:szCs w:val="20"/>
        </w:rPr>
        <w:t xml:space="preserve">punishable </w:t>
      </w:r>
      <w:r w:rsidR="006E5F1D">
        <w:rPr>
          <w:rFonts w:ascii="Arial" w:eastAsia="Arial" w:hAnsi="Arial" w:cs="Arial"/>
          <w:sz w:val="20"/>
          <w:szCs w:val="20"/>
        </w:rPr>
        <w:t xml:space="preserve">offense. </w:t>
      </w:r>
    </w:p>
    <w:p w14:paraId="12384F72" w14:textId="77777777" w:rsidR="00660302" w:rsidRPr="00EF121C" w:rsidRDefault="00660302" w:rsidP="00FB3DEA">
      <w:pPr>
        <w:pStyle w:val="Normal1"/>
        <w:spacing w:before="0" w:after="0" w:line="240" w:lineRule="auto"/>
        <w:jc w:val="both"/>
        <w:rPr>
          <w:rFonts w:ascii="Arial" w:hAnsi="Arial" w:cs="Arial"/>
          <w:b/>
          <w:bCs/>
          <w:sz w:val="20"/>
          <w:szCs w:val="20"/>
        </w:rPr>
      </w:pPr>
    </w:p>
    <w:p w14:paraId="7BB96E3A" w14:textId="06F22313" w:rsidR="001A68EF" w:rsidRPr="006E5F1D" w:rsidRDefault="001A68EF" w:rsidP="00FB3DEA">
      <w:pPr>
        <w:pStyle w:val="Normal1"/>
        <w:spacing w:before="0" w:after="0" w:line="240" w:lineRule="auto"/>
        <w:jc w:val="both"/>
        <w:rPr>
          <w:rFonts w:ascii="Arial" w:hAnsi="Arial" w:cs="Arial"/>
          <w:i/>
          <w:iCs/>
          <w:sz w:val="20"/>
          <w:szCs w:val="20"/>
        </w:rPr>
      </w:pPr>
      <w:r w:rsidRPr="006E5F1D">
        <w:rPr>
          <w:rFonts w:ascii="Arial" w:hAnsi="Arial" w:cs="Arial"/>
          <w:i/>
          <w:iCs/>
          <w:sz w:val="20"/>
          <w:szCs w:val="20"/>
        </w:rPr>
        <w:t>Sexual Harassment</w:t>
      </w:r>
    </w:p>
    <w:p w14:paraId="1AC58B60" w14:textId="77777777" w:rsidR="005F6788" w:rsidRPr="00EF121C" w:rsidRDefault="005F6788" w:rsidP="00FB3DEA">
      <w:pPr>
        <w:pStyle w:val="Normal1"/>
        <w:spacing w:before="0" w:after="0" w:line="240" w:lineRule="auto"/>
        <w:jc w:val="both"/>
        <w:rPr>
          <w:rFonts w:ascii="Arial" w:hAnsi="Arial" w:cs="Arial"/>
          <w:b/>
          <w:bCs/>
          <w:sz w:val="20"/>
          <w:szCs w:val="20"/>
        </w:rPr>
      </w:pPr>
    </w:p>
    <w:p w14:paraId="717CE9BE" w14:textId="241EC0E1" w:rsidR="001A68EF" w:rsidRPr="00EF121C" w:rsidRDefault="001A68EF" w:rsidP="00FB3DEA">
      <w:pPr>
        <w:pStyle w:val="Normal1"/>
        <w:spacing w:before="0" w:after="0" w:line="240" w:lineRule="auto"/>
        <w:jc w:val="both"/>
        <w:rPr>
          <w:rFonts w:ascii="Arial" w:hAnsi="Arial" w:cs="Arial"/>
          <w:sz w:val="20"/>
          <w:szCs w:val="20"/>
        </w:rPr>
      </w:pPr>
      <w:r w:rsidRPr="00EF121C">
        <w:rPr>
          <w:rFonts w:ascii="Arial" w:hAnsi="Arial" w:cs="Arial"/>
          <w:sz w:val="20"/>
          <w:szCs w:val="20"/>
        </w:rPr>
        <w:t xml:space="preserve">Protection from sexual harassment remains a gap in the legislation of Kuwait. </w:t>
      </w:r>
      <w:r w:rsidR="00660302" w:rsidRPr="00EF121C">
        <w:rPr>
          <w:rFonts w:ascii="Arial" w:hAnsi="Arial" w:cs="Arial"/>
          <w:sz w:val="20"/>
          <w:szCs w:val="20"/>
        </w:rPr>
        <w:t xml:space="preserve">Neither the Domestic Violence Act nor the Penal Code provide specific protection from sexual harassment or recognize it as a form of violence against women. </w:t>
      </w:r>
      <w:r w:rsidR="00A22E4C">
        <w:rPr>
          <w:rFonts w:ascii="Arial" w:hAnsi="Arial" w:cs="Arial"/>
          <w:sz w:val="20"/>
          <w:szCs w:val="20"/>
        </w:rPr>
        <w:t xml:space="preserve">This is particularly a gap when it comes to the protection of women from sexual harassment that may not involve direct commission of </w:t>
      </w:r>
      <w:r w:rsidR="006E5F1D">
        <w:rPr>
          <w:rFonts w:ascii="Arial" w:hAnsi="Arial" w:cs="Arial"/>
          <w:sz w:val="20"/>
          <w:szCs w:val="20"/>
        </w:rPr>
        <w:t>a violent act</w:t>
      </w:r>
      <w:r w:rsidR="00A22E4C">
        <w:rPr>
          <w:rFonts w:ascii="Arial" w:hAnsi="Arial" w:cs="Arial"/>
          <w:sz w:val="20"/>
          <w:szCs w:val="20"/>
        </w:rPr>
        <w:t>.</w:t>
      </w:r>
    </w:p>
    <w:p w14:paraId="2060C55C" w14:textId="77777777" w:rsidR="00786AEF" w:rsidRPr="00EF121C" w:rsidRDefault="00786AEF" w:rsidP="00FB3DEA">
      <w:pPr>
        <w:jc w:val="both"/>
        <w:rPr>
          <w:rFonts w:ascii="Arial" w:eastAsia="Arial" w:hAnsi="Arial" w:cs="Arial"/>
          <w:sz w:val="20"/>
          <w:szCs w:val="20"/>
        </w:rPr>
      </w:pPr>
    </w:p>
    <w:p w14:paraId="22F867CD" w14:textId="530D810E" w:rsidR="00786AEF" w:rsidRPr="006E5F1D" w:rsidRDefault="00FB3DEA" w:rsidP="00FB3DEA">
      <w:pPr>
        <w:jc w:val="both"/>
        <w:rPr>
          <w:rFonts w:ascii="Arial" w:eastAsia="Arial" w:hAnsi="Arial" w:cs="Arial"/>
          <w:bCs/>
          <w:i/>
          <w:iCs/>
          <w:sz w:val="20"/>
          <w:szCs w:val="20"/>
        </w:rPr>
      </w:pPr>
      <w:r>
        <w:rPr>
          <w:rFonts w:ascii="Arial" w:eastAsia="Arial" w:hAnsi="Arial" w:cs="Arial"/>
          <w:bCs/>
          <w:i/>
          <w:iCs/>
          <w:sz w:val="20"/>
          <w:szCs w:val="20"/>
        </w:rPr>
        <w:t>Crimes of “Honor”</w:t>
      </w:r>
    </w:p>
    <w:p w14:paraId="2EB2F1A0" w14:textId="77777777" w:rsidR="00786AEF" w:rsidRPr="00786AEF" w:rsidRDefault="00786AEF" w:rsidP="00FB3DEA">
      <w:pPr>
        <w:jc w:val="both"/>
        <w:rPr>
          <w:rFonts w:ascii="Arial" w:eastAsia="Arial" w:hAnsi="Arial" w:cs="Arial"/>
          <w:sz w:val="20"/>
          <w:szCs w:val="20"/>
        </w:rPr>
      </w:pPr>
    </w:p>
    <w:p w14:paraId="1EA68B88" w14:textId="31BCBC1C" w:rsidR="003514F4" w:rsidRDefault="00786AEF" w:rsidP="003514F4">
      <w:pPr>
        <w:jc w:val="both"/>
        <w:rPr>
          <w:rFonts w:ascii="Arial" w:eastAsia="Arial" w:hAnsi="Arial" w:cs="Arial"/>
          <w:iCs/>
          <w:sz w:val="20"/>
          <w:szCs w:val="20"/>
        </w:rPr>
      </w:pPr>
      <w:r w:rsidRPr="00786AEF">
        <w:rPr>
          <w:rFonts w:ascii="Arial" w:eastAsia="Arial" w:hAnsi="Arial" w:cs="Arial"/>
          <w:sz w:val="20"/>
          <w:szCs w:val="20"/>
        </w:rPr>
        <w:t xml:space="preserve">Article 153 of </w:t>
      </w:r>
      <w:r w:rsidR="00C7462F">
        <w:rPr>
          <w:rFonts w:ascii="Arial" w:eastAsia="Arial" w:hAnsi="Arial" w:cs="Arial"/>
          <w:sz w:val="20"/>
          <w:szCs w:val="20"/>
        </w:rPr>
        <w:t xml:space="preserve">the </w:t>
      </w:r>
      <w:r w:rsidRPr="00786AEF">
        <w:rPr>
          <w:rFonts w:ascii="Arial" w:eastAsia="Arial" w:hAnsi="Arial" w:cs="Arial"/>
          <w:sz w:val="20"/>
          <w:szCs w:val="20"/>
        </w:rPr>
        <w:t xml:space="preserve">Penal Code is an “honor” killing </w:t>
      </w:r>
      <w:r w:rsidR="00572F7B">
        <w:rPr>
          <w:rFonts w:ascii="Arial" w:eastAsia="Arial" w:hAnsi="Arial" w:cs="Arial"/>
          <w:sz w:val="20"/>
          <w:szCs w:val="20"/>
        </w:rPr>
        <w:t>provision</w:t>
      </w:r>
      <w:r w:rsidR="005F6788">
        <w:rPr>
          <w:rFonts w:ascii="Arial" w:eastAsia="Arial" w:hAnsi="Arial" w:cs="Arial"/>
          <w:sz w:val="20"/>
          <w:szCs w:val="20"/>
        </w:rPr>
        <w:t xml:space="preserve"> that provides for lenient sentences if </w:t>
      </w:r>
      <w:r w:rsidR="00A22E4C">
        <w:rPr>
          <w:rFonts w:ascii="Arial" w:eastAsia="Arial" w:hAnsi="Arial" w:cs="Arial"/>
          <w:sz w:val="20"/>
          <w:szCs w:val="20"/>
        </w:rPr>
        <w:t xml:space="preserve">a man murders his wife, mother, or daughter </w:t>
      </w:r>
      <w:r w:rsidR="00085E91">
        <w:rPr>
          <w:rFonts w:ascii="Arial" w:eastAsia="Arial" w:hAnsi="Arial" w:cs="Arial"/>
          <w:sz w:val="20"/>
          <w:szCs w:val="20"/>
        </w:rPr>
        <w:t>after having “surprised them” while</w:t>
      </w:r>
      <w:r w:rsidR="00A22E4C">
        <w:rPr>
          <w:rFonts w:ascii="Arial" w:eastAsia="Arial" w:hAnsi="Arial" w:cs="Arial"/>
          <w:sz w:val="20"/>
          <w:szCs w:val="20"/>
        </w:rPr>
        <w:t xml:space="preserve"> engaging in sexual acts </w:t>
      </w:r>
      <w:r w:rsidR="00085E91">
        <w:rPr>
          <w:rFonts w:ascii="Arial" w:eastAsia="Arial" w:hAnsi="Arial" w:cs="Arial"/>
          <w:sz w:val="20"/>
          <w:szCs w:val="20"/>
        </w:rPr>
        <w:t>with a man outside of marriage.</w:t>
      </w:r>
      <w:r w:rsidR="00085E91" w:rsidRPr="00085E91">
        <w:rPr>
          <w:rStyle w:val="FootnoteReference"/>
          <w:rFonts w:ascii="Arial" w:eastAsia="Arial" w:hAnsi="Arial"/>
          <w:vertAlign w:val="superscript"/>
        </w:rPr>
        <w:footnoteReference w:id="44"/>
      </w:r>
      <w:r w:rsidR="00A22E4C">
        <w:rPr>
          <w:rFonts w:ascii="Arial" w:eastAsia="Arial" w:hAnsi="Arial" w:cs="Arial"/>
          <w:sz w:val="20"/>
          <w:szCs w:val="20"/>
        </w:rPr>
        <w:t xml:space="preserve"> </w:t>
      </w:r>
      <w:r w:rsidR="00085E91">
        <w:rPr>
          <w:rFonts w:ascii="Arial" w:eastAsia="Arial" w:hAnsi="Arial" w:cs="Arial"/>
          <w:sz w:val="20"/>
          <w:szCs w:val="20"/>
        </w:rPr>
        <w:t xml:space="preserve">In </w:t>
      </w:r>
      <w:r w:rsidR="00C7462F">
        <w:rPr>
          <w:rFonts w:ascii="Arial" w:eastAsia="Arial" w:hAnsi="Arial" w:cs="Arial"/>
          <w:sz w:val="20"/>
          <w:szCs w:val="20"/>
        </w:rPr>
        <w:t>these</w:t>
      </w:r>
      <w:r w:rsidR="00085E91">
        <w:rPr>
          <w:rFonts w:ascii="Arial" w:eastAsia="Arial" w:hAnsi="Arial" w:cs="Arial"/>
          <w:sz w:val="20"/>
          <w:szCs w:val="20"/>
        </w:rPr>
        <w:t xml:space="preserve"> cases, the law treats </w:t>
      </w:r>
      <w:r w:rsidR="00C7462F">
        <w:rPr>
          <w:rFonts w:ascii="Arial" w:eastAsia="Arial" w:hAnsi="Arial" w:cs="Arial"/>
          <w:sz w:val="20"/>
          <w:szCs w:val="20"/>
        </w:rPr>
        <w:t>the murder as</w:t>
      </w:r>
      <w:r w:rsidR="00085E91">
        <w:rPr>
          <w:rFonts w:ascii="Arial" w:eastAsia="Arial" w:hAnsi="Arial" w:cs="Arial"/>
          <w:sz w:val="20"/>
          <w:szCs w:val="20"/>
        </w:rPr>
        <w:t xml:space="preserve"> misdemeanor offense and punishes </w:t>
      </w:r>
      <w:r w:rsidR="00C7462F">
        <w:rPr>
          <w:rFonts w:ascii="Arial" w:eastAsia="Arial" w:hAnsi="Arial" w:cs="Arial"/>
          <w:sz w:val="20"/>
          <w:szCs w:val="20"/>
        </w:rPr>
        <w:t xml:space="preserve">the </w:t>
      </w:r>
      <w:r w:rsidRPr="00786AEF">
        <w:rPr>
          <w:rFonts w:ascii="Arial" w:eastAsia="Arial" w:hAnsi="Arial" w:cs="Arial"/>
          <w:sz w:val="20"/>
          <w:szCs w:val="20"/>
        </w:rPr>
        <w:t xml:space="preserve">male perpetrator with a maximum of a 3-year prison sentence or a </w:t>
      </w:r>
      <w:r w:rsidR="00085E91">
        <w:rPr>
          <w:rFonts w:ascii="Arial" w:eastAsia="Arial" w:hAnsi="Arial" w:cs="Arial"/>
          <w:sz w:val="20"/>
          <w:szCs w:val="20"/>
        </w:rPr>
        <w:t>minor fine.</w:t>
      </w:r>
      <w:r w:rsidR="00085E91" w:rsidRPr="00085E91">
        <w:rPr>
          <w:rStyle w:val="FootnoteReference"/>
          <w:rFonts w:ascii="Arial" w:eastAsia="Arial" w:hAnsi="Arial"/>
          <w:vertAlign w:val="superscript"/>
        </w:rPr>
        <w:footnoteReference w:id="45"/>
      </w:r>
    </w:p>
    <w:p w14:paraId="7CA2A9FF" w14:textId="77777777" w:rsidR="003514F4" w:rsidRPr="003514F4" w:rsidRDefault="003514F4" w:rsidP="003514F4">
      <w:pPr>
        <w:jc w:val="both"/>
        <w:rPr>
          <w:rFonts w:ascii="Arial" w:eastAsia="Arial" w:hAnsi="Arial" w:cs="Arial"/>
          <w:iCs/>
          <w:sz w:val="20"/>
          <w:szCs w:val="20"/>
        </w:rPr>
      </w:pPr>
    </w:p>
    <w:p w14:paraId="0B33730D" w14:textId="61428FCD" w:rsidR="003514F4" w:rsidRDefault="00085E91" w:rsidP="00FB3DEA">
      <w:pPr>
        <w:jc w:val="both"/>
        <w:rPr>
          <w:rFonts w:ascii="Arial" w:eastAsia="Arial" w:hAnsi="Arial" w:cs="Arial"/>
          <w:sz w:val="20"/>
          <w:szCs w:val="20"/>
        </w:rPr>
      </w:pPr>
      <w:r>
        <w:rPr>
          <w:rFonts w:ascii="Arial" w:eastAsia="Arial" w:hAnsi="Arial" w:cs="Arial"/>
          <w:sz w:val="20"/>
          <w:szCs w:val="20"/>
        </w:rPr>
        <w:t xml:space="preserve">Article 153 </w:t>
      </w:r>
      <w:r w:rsidR="00786AEF" w:rsidRPr="00786AEF">
        <w:rPr>
          <w:rFonts w:ascii="Arial" w:eastAsia="Arial" w:hAnsi="Arial" w:cs="Arial"/>
          <w:sz w:val="20"/>
          <w:szCs w:val="20"/>
        </w:rPr>
        <w:t>violates</w:t>
      </w:r>
      <w:r>
        <w:rPr>
          <w:rFonts w:ascii="Arial" w:eastAsia="Arial" w:hAnsi="Arial" w:cs="Arial"/>
          <w:sz w:val="20"/>
          <w:szCs w:val="20"/>
        </w:rPr>
        <w:t xml:space="preserve"> Kuwait’s international commitments, including CEDAW commitments to protect women from violence, as well as</w:t>
      </w:r>
      <w:r w:rsidR="00786AEF" w:rsidRPr="00786AEF">
        <w:rPr>
          <w:rFonts w:ascii="Arial" w:eastAsia="Arial" w:hAnsi="Arial" w:cs="Arial"/>
          <w:sz w:val="20"/>
          <w:szCs w:val="20"/>
        </w:rPr>
        <w:t xml:space="preserve"> Article</w:t>
      </w:r>
      <w:r>
        <w:rPr>
          <w:rFonts w:ascii="Arial" w:eastAsia="Arial" w:hAnsi="Arial" w:cs="Arial"/>
          <w:sz w:val="20"/>
          <w:szCs w:val="20"/>
        </w:rPr>
        <w:t xml:space="preserve"> 29 of Kuwait’s Constitution,</w:t>
      </w:r>
      <w:r w:rsidR="00786AEF" w:rsidRPr="00786AEF">
        <w:rPr>
          <w:rFonts w:ascii="Arial" w:eastAsia="Arial" w:hAnsi="Arial" w:cs="Arial"/>
          <w:sz w:val="20"/>
          <w:szCs w:val="20"/>
        </w:rPr>
        <w:t xml:space="preserve"> which</w:t>
      </w:r>
      <w:r>
        <w:rPr>
          <w:rFonts w:ascii="Arial" w:eastAsia="Arial" w:hAnsi="Arial" w:cs="Arial"/>
          <w:sz w:val="20"/>
          <w:szCs w:val="20"/>
        </w:rPr>
        <w:t xml:space="preserve"> emphasizes the </w:t>
      </w:r>
      <w:r w:rsidR="00786AEF" w:rsidRPr="00786AEF">
        <w:rPr>
          <w:rFonts w:ascii="Arial" w:eastAsia="Arial" w:hAnsi="Arial" w:cs="Arial"/>
          <w:sz w:val="20"/>
          <w:szCs w:val="20"/>
        </w:rPr>
        <w:t xml:space="preserve">equality </w:t>
      </w:r>
      <w:r>
        <w:rPr>
          <w:rFonts w:ascii="Arial" w:eastAsia="Arial" w:hAnsi="Arial" w:cs="Arial"/>
          <w:sz w:val="20"/>
          <w:szCs w:val="20"/>
        </w:rPr>
        <w:t>between all people and the prohibition of gender-based discrimination, and Article 34, which guarantee</w:t>
      </w:r>
      <w:r w:rsidR="00A539E8">
        <w:rPr>
          <w:rFonts w:ascii="Arial" w:eastAsia="Arial" w:hAnsi="Arial" w:cs="Arial"/>
          <w:sz w:val="20"/>
          <w:szCs w:val="20"/>
        </w:rPr>
        <w:t>s</w:t>
      </w:r>
      <w:r>
        <w:rPr>
          <w:rFonts w:ascii="Arial" w:eastAsia="Arial" w:hAnsi="Arial" w:cs="Arial"/>
          <w:sz w:val="20"/>
          <w:szCs w:val="20"/>
        </w:rPr>
        <w:t xml:space="preserve"> the right to fair trial and presumption of innocence until guilt is proven in the course of a fair trial.</w:t>
      </w:r>
      <w:r w:rsidRPr="003514F4">
        <w:rPr>
          <w:rStyle w:val="FootnoteReference"/>
          <w:rFonts w:ascii="Arial" w:eastAsia="Arial" w:hAnsi="Arial"/>
          <w:vertAlign w:val="superscript"/>
        </w:rPr>
        <w:footnoteReference w:id="46"/>
      </w:r>
      <w:r w:rsidRPr="003514F4">
        <w:rPr>
          <w:rFonts w:ascii="Arial" w:eastAsia="Arial" w:hAnsi="Arial" w:cs="Arial"/>
          <w:sz w:val="20"/>
          <w:szCs w:val="20"/>
          <w:vertAlign w:val="superscript"/>
        </w:rPr>
        <w:t xml:space="preserve"> </w:t>
      </w:r>
      <w:r>
        <w:rPr>
          <w:rFonts w:ascii="Arial" w:eastAsia="Arial" w:hAnsi="Arial" w:cs="Arial"/>
          <w:sz w:val="20"/>
          <w:szCs w:val="20"/>
        </w:rPr>
        <w:t xml:space="preserve">Further, Article 153 stands in opposition to the procedural guarantees afforded in </w:t>
      </w:r>
      <w:r w:rsidR="00786AEF" w:rsidRPr="00786AEF">
        <w:rPr>
          <w:rFonts w:ascii="Arial" w:eastAsia="Arial" w:hAnsi="Arial" w:cs="Arial"/>
          <w:sz w:val="20"/>
          <w:szCs w:val="20"/>
        </w:rPr>
        <w:t xml:space="preserve">Islamic </w:t>
      </w:r>
      <w:proofErr w:type="spellStart"/>
      <w:r w:rsidR="00786AEF" w:rsidRPr="00085E91">
        <w:rPr>
          <w:rFonts w:ascii="Arial" w:eastAsia="Arial" w:hAnsi="Arial" w:cs="Arial"/>
          <w:iCs/>
          <w:sz w:val="20"/>
          <w:szCs w:val="20"/>
        </w:rPr>
        <w:t>Shari’ah</w:t>
      </w:r>
      <w:proofErr w:type="spellEnd"/>
      <w:r>
        <w:rPr>
          <w:rFonts w:ascii="Arial" w:eastAsia="Arial" w:hAnsi="Arial" w:cs="Arial"/>
          <w:iCs/>
          <w:sz w:val="20"/>
          <w:szCs w:val="20"/>
        </w:rPr>
        <w:t xml:space="preserve"> in cases of accusations of adultery (z</w:t>
      </w:r>
      <w:r>
        <w:rPr>
          <w:rFonts w:ascii="Arial" w:eastAsia="Arial" w:hAnsi="Arial" w:cs="Arial"/>
          <w:i/>
          <w:sz w:val="20"/>
          <w:szCs w:val="20"/>
        </w:rPr>
        <w:t>ina)</w:t>
      </w:r>
      <w:r>
        <w:rPr>
          <w:rFonts w:ascii="Arial" w:eastAsia="Arial" w:hAnsi="Arial" w:cs="Arial"/>
          <w:iCs/>
          <w:sz w:val="20"/>
          <w:szCs w:val="20"/>
        </w:rPr>
        <w:t xml:space="preserve">, which requires </w:t>
      </w:r>
      <w:r w:rsidR="00786AEF" w:rsidRPr="00786AEF">
        <w:rPr>
          <w:rFonts w:ascii="Arial" w:eastAsia="Arial" w:hAnsi="Arial" w:cs="Arial"/>
          <w:sz w:val="20"/>
          <w:szCs w:val="20"/>
        </w:rPr>
        <w:t xml:space="preserve">four male witnesses to plainly see the act of sexual consummation </w:t>
      </w:r>
      <w:r>
        <w:rPr>
          <w:rFonts w:ascii="Arial" w:eastAsia="Arial" w:hAnsi="Arial" w:cs="Arial"/>
          <w:sz w:val="20"/>
          <w:szCs w:val="20"/>
        </w:rPr>
        <w:t>before a</w:t>
      </w:r>
      <w:r w:rsidR="00F60AED">
        <w:rPr>
          <w:rFonts w:ascii="Arial" w:eastAsia="Arial" w:hAnsi="Arial" w:cs="Arial"/>
          <w:sz w:val="20"/>
          <w:szCs w:val="20"/>
        </w:rPr>
        <w:t>ny</w:t>
      </w:r>
      <w:r>
        <w:rPr>
          <w:rFonts w:ascii="Arial" w:eastAsia="Arial" w:hAnsi="Arial" w:cs="Arial"/>
          <w:sz w:val="20"/>
          <w:szCs w:val="20"/>
        </w:rPr>
        <w:t xml:space="preserve"> legal punishment is </w:t>
      </w:r>
      <w:r w:rsidR="00F60AED">
        <w:rPr>
          <w:rFonts w:ascii="Arial" w:eastAsia="Arial" w:hAnsi="Arial" w:cs="Arial"/>
          <w:sz w:val="20"/>
          <w:szCs w:val="20"/>
        </w:rPr>
        <w:t>ordered</w:t>
      </w:r>
      <w:r w:rsidR="00FB3DEA">
        <w:rPr>
          <w:rFonts w:ascii="Arial" w:eastAsia="Arial" w:hAnsi="Arial" w:cs="Arial"/>
          <w:sz w:val="20"/>
          <w:szCs w:val="20"/>
        </w:rPr>
        <w:t xml:space="preserve">. </w:t>
      </w:r>
    </w:p>
    <w:p w14:paraId="2FECB3FC" w14:textId="77777777" w:rsidR="003514F4" w:rsidRDefault="003514F4" w:rsidP="00FB3DEA">
      <w:pPr>
        <w:jc w:val="both"/>
        <w:rPr>
          <w:rFonts w:ascii="Arial" w:eastAsia="Arial" w:hAnsi="Arial" w:cs="Arial"/>
          <w:sz w:val="20"/>
          <w:szCs w:val="20"/>
        </w:rPr>
      </w:pPr>
    </w:p>
    <w:p w14:paraId="11BA864F" w14:textId="2B0BB98C" w:rsidR="003514F4" w:rsidRDefault="003514F4" w:rsidP="003514F4">
      <w:pPr>
        <w:jc w:val="both"/>
        <w:rPr>
          <w:rFonts w:ascii="Arial" w:eastAsia="Arial" w:hAnsi="Arial" w:cs="Arial"/>
          <w:sz w:val="20"/>
          <w:szCs w:val="20"/>
        </w:rPr>
      </w:pPr>
      <w:r>
        <w:rPr>
          <w:rFonts w:ascii="Arial" w:eastAsia="Arial" w:hAnsi="Arial" w:cs="Arial"/>
          <w:sz w:val="20"/>
          <w:szCs w:val="20"/>
        </w:rPr>
        <w:t xml:space="preserve">It is </w:t>
      </w:r>
      <w:r w:rsidR="002C5B71">
        <w:rPr>
          <w:rFonts w:ascii="Arial" w:eastAsia="Arial" w:hAnsi="Arial" w:cs="Arial"/>
          <w:sz w:val="20"/>
          <w:szCs w:val="20"/>
        </w:rPr>
        <w:t>critically important</w:t>
      </w:r>
      <w:r>
        <w:rPr>
          <w:rFonts w:ascii="Arial" w:eastAsia="Arial" w:hAnsi="Arial" w:cs="Arial"/>
          <w:sz w:val="20"/>
          <w:szCs w:val="20"/>
        </w:rPr>
        <w:t xml:space="preserve"> that Kuwait abolishes Article 153 </w:t>
      </w:r>
      <w:r w:rsidR="008C1050">
        <w:rPr>
          <w:rFonts w:ascii="Arial" w:eastAsia="Arial" w:hAnsi="Arial" w:cs="Arial"/>
          <w:sz w:val="20"/>
          <w:szCs w:val="20"/>
        </w:rPr>
        <w:t>of the Penal Cod</w:t>
      </w:r>
      <w:r w:rsidR="00DD06C5">
        <w:rPr>
          <w:rFonts w:ascii="Arial" w:eastAsia="Arial" w:hAnsi="Arial" w:cs="Arial"/>
          <w:sz w:val="20"/>
          <w:szCs w:val="20"/>
        </w:rPr>
        <w:t>e</w:t>
      </w:r>
      <w:r w:rsidR="008C1050">
        <w:rPr>
          <w:rFonts w:ascii="Arial" w:eastAsia="Arial" w:hAnsi="Arial" w:cs="Arial"/>
          <w:sz w:val="20"/>
          <w:szCs w:val="20"/>
        </w:rPr>
        <w:t xml:space="preserve"> </w:t>
      </w:r>
      <w:r>
        <w:rPr>
          <w:rFonts w:ascii="Arial" w:eastAsia="Arial" w:hAnsi="Arial" w:cs="Arial"/>
          <w:sz w:val="20"/>
          <w:szCs w:val="20"/>
        </w:rPr>
        <w:t>and institutes strict legal consequences for all crimes against women, irrespective of the stated motive of the crime. This is particularly urgent in light of the alarming continuous rise in the number of Kuwaiti women murdered by their family members for so-called “honor” reasons, which some ha</w:t>
      </w:r>
      <w:r w:rsidR="00D123F1">
        <w:rPr>
          <w:rFonts w:ascii="Arial" w:eastAsia="Arial" w:hAnsi="Arial" w:cs="Arial"/>
          <w:sz w:val="20"/>
          <w:szCs w:val="20"/>
        </w:rPr>
        <w:t>ve</w:t>
      </w:r>
      <w:r>
        <w:rPr>
          <w:rFonts w:ascii="Arial" w:eastAsia="Arial" w:hAnsi="Arial" w:cs="Arial"/>
          <w:sz w:val="20"/>
          <w:szCs w:val="20"/>
        </w:rPr>
        <w:t xml:space="preserve"> called “a wave of femicide.”</w:t>
      </w:r>
      <w:r w:rsidRPr="003514F4">
        <w:rPr>
          <w:rStyle w:val="FootnoteReference"/>
          <w:rFonts w:ascii="Arial" w:eastAsia="Arial" w:hAnsi="Arial"/>
          <w:vertAlign w:val="superscript"/>
        </w:rPr>
        <w:footnoteReference w:id="47"/>
      </w:r>
    </w:p>
    <w:p w14:paraId="5B4DC93D" w14:textId="77777777" w:rsidR="00FB3DEA" w:rsidRDefault="00FB3DEA" w:rsidP="00FB3DEA">
      <w:pPr>
        <w:jc w:val="both"/>
        <w:rPr>
          <w:rFonts w:ascii="Arial" w:eastAsia="Arial" w:hAnsi="Arial" w:cs="Arial"/>
          <w:sz w:val="20"/>
          <w:szCs w:val="20"/>
        </w:rPr>
      </w:pPr>
    </w:p>
    <w:p w14:paraId="3BE65C25" w14:textId="77777777" w:rsidR="006C74E5" w:rsidRDefault="006C74E5" w:rsidP="00FB3DEA">
      <w:pPr>
        <w:jc w:val="both"/>
        <w:rPr>
          <w:rFonts w:ascii="Arial" w:eastAsia="Arial" w:hAnsi="Arial" w:cs="Arial"/>
          <w:sz w:val="20"/>
          <w:szCs w:val="20"/>
        </w:rPr>
      </w:pPr>
    </w:p>
    <w:p w14:paraId="63133971" w14:textId="40A97E72" w:rsidR="00FB3DEA" w:rsidRDefault="00FB3DEA" w:rsidP="00FB3DEA">
      <w:pPr>
        <w:jc w:val="both"/>
        <w:rPr>
          <w:rFonts w:ascii="Arial" w:eastAsia="Arial" w:hAnsi="Arial" w:cs="Arial"/>
          <w:i/>
          <w:iCs/>
          <w:sz w:val="20"/>
          <w:szCs w:val="20"/>
        </w:rPr>
      </w:pPr>
      <w:r>
        <w:rPr>
          <w:rFonts w:ascii="Arial" w:eastAsia="Arial" w:hAnsi="Arial" w:cs="Arial"/>
          <w:i/>
          <w:iCs/>
          <w:sz w:val="20"/>
          <w:szCs w:val="20"/>
        </w:rPr>
        <w:lastRenderedPageBreak/>
        <w:t>Abduction of a Woman</w:t>
      </w:r>
    </w:p>
    <w:p w14:paraId="50CC4D44" w14:textId="77777777" w:rsidR="00FB3DEA" w:rsidRPr="00FB3DEA" w:rsidRDefault="00FB3DEA" w:rsidP="00FB3DEA">
      <w:pPr>
        <w:jc w:val="both"/>
        <w:rPr>
          <w:rFonts w:ascii="Arial" w:eastAsia="Arial" w:hAnsi="Arial" w:cs="Arial"/>
          <w:i/>
          <w:iCs/>
          <w:sz w:val="20"/>
          <w:szCs w:val="20"/>
          <w:rtl/>
        </w:rPr>
      </w:pPr>
    </w:p>
    <w:p w14:paraId="64C810C4" w14:textId="2E33E653" w:rsidR="00FB3DEA" w:rsidRDefault="00FB3DEA" w:rsidP="00FB3DEA">
      <w:pPr>
        <w:jc w:val="both"/>
        <w:rPr>
          <w:rStyle w:val="None"/>
          <w:rFonts w:ascii="Arial" w:hAnsi="Arial" w:cs="Arial"/>
          <w:sz w:val="20"/>
          <w:szCs w:val="20"/>
        </w:rPr>
      </w:pPr>
      <w:r>
        <w:rPr>
          <w:rFonts w:ascii="Arial" w:eastAsia="Arial" w:hAnsi="Arial" w:cs="Arial"/>
          <w:sz w:val="20"/>
          <w:szCs w:val="20"/>
        </w:rPr>
        <w:t xml:space="preserve">Article 182 of the Penal Code exempts a man from punishment for abducting a woman if he marries the victim </w:t>
      </w:r>
      <w:r w:rsidR="00DD06C5">
        <w:rPr>
          <w:rFonts w:ascii="Arial" w:eastAsia="Arial" w:hAnsi="Arial" w:cs="Arial"/>
          <w:sz w:val="20"/>
          <w:szCs w:val="20"/>
        </w:rPr>
        <w:t xml:space="preserve">of abduction </w:t>
      </w:r>
      <w:r>
        <w:rPr>
          <w:rFonts w:ascii="Arial" w:eastAsia="Arial" w:hAnsi="Arial" w:cs="Arial"/>
          <w:sz w:val="20"/>
          <w:szCs w:val="20"/>
        </w:rPr>
        <w:t>with permission of her guardian.</w:t>
      </w:r>
      <w:r w:rsidR="00300BBB">
        <w:rPr>
          <w:rFonts w:ascii="Arial" w:eastAsia="Arial" w:hAnsi="Arial" w:cs="Arial"/>
          <w:sz w:val="20"/>
          <w:szCs w:val="20"/>
        </w:rPr>
        <w:t xml:space="preserve"> </w:t>
      </w:r>
      <w:r w:rsidR="00300BBB" w:rsidRPr="00300BBB">
        <w:rPr>
          <w:rStyle w:val="None"/>
          <w:rFonts w:ascii="Arial" w:hAnsi="Arial" w:cs="Arial"/>
          <w:sz w:val="20"/>
          <w:szCs w:val="20"/>
        </w:rPr>
        <w:t xml:space="preserve">The </w:t>
      </w:r>
      <w:r w:rsidR="00300BBB">
        <w:rPr>
          <w:rStyle w:val="None"/>
          <w:rFonts w:ascii="Arial" w:hAnsi="Arial" w:cs="Arial"/>
          <w:sz w:val="20"/>
          <w:szCs w:val="20"/>
        </w:rPr>
        <w:t>provision</w:t>
      </w:r>
      <w:r w:rsidR="00300BBB" w:rsidRPr="00300BBB">
        <w:rPr>
          <w:rStyle w:val="None"/>
          <w:rFonts w:ascii="Arial" w:hAnsi="Arial" w:cs="Arial"/>
          <w:sz w:val="20"/>
          <w:szCs w:val="20"/>
        </w:rPr>
        <w:t xml:space="preserve"> does not </w:t>
      </w:r>
      <w:r w:rsidR="00300BBB">
        <w:rPr>
          <w:rStyle w:val="None"/>
          <w:rFonts w:ascii="Arial" w:hAnsi="Arial" w:cs="Arial"/>
          <w:sz w:val="20"/>
          <w:szCs w:val="20"/>
        </w:rPr>
        <w:t>specify a role or agency for the woman in</w:t>
      </w:r>
      <w:r w:rsidR="00300BBB" w:rsidRPr="00300BBB">
        <w:rPr>
          <w:rStyle w:val="None"/>
          <w:rFonts w:ascii="Arial" w:hAnsi="Arial" w:cs="Arial"/>
          <w:sz w:val="20"/>
          <w:szCs w:val="20"/>
        </w:rPr>
        <w:t xml:space="preserve"> this matter and</w:t>
      </w:r>
      <w:r w:rsidR="00300BBB">
        <w:rPr>
          <w:rStyle w:val="None"/>
          <w:rFonts w:ascii="Arial" w:hAnsi="Arial" w:cs="Arial"/>
          <w:sz w:val="20"/>
          <w:szCs w:val="20"/>
        </w:rPr>
        <w:t xml:space="preserve"> instead</w:t>
      </w:r>
      <w:r w:rsidR="00300BBB" w:rsidRPr="00300BBB">
        <w:rPr>
          <w:rStyle w:val="None"/>
          <w:rFonts w:ascii="Arial" w:hAnsi="Arial" w:cs="Arial"/>
          <w:sz w:val="20"/>
          <w:szCs w:val="20"/>
        </w:rPr>
        <w:t xml:space="preserve"> places the entire decision-making power in the hands of the </w:t>
      </w:r>
      <w:r w:rsidR="00300BBB">
        <w:rPr>
          <w:rStyle w:val="None"/>
          <w:rFonts w:ascii="Arial" w:hAnsi="Arial" w:cs="Arial"/>
          <w:sz w:val="20"/>
          <w:szCs w:val="20"/>
        </w:rPr>
        <w:t>abductor</w:t>
      </w:r>
      <w:r w:rsidR="00300BBB" w:rsidRPr="00300BBB">
        <w:rPr>
          <w:rStyle w:val="None"/>
          <w:rFonts w:ascii="Arial" w:hAnsi="Arial" w:cs="Arial"/>
          <w:sz w:val="20"/>
          <w:szCs w:val="20"/>
        </w:rPr>
        <w:t xml:space="preserve"> and the </w:t>
      </w:r>
      <w:r w:rsidR="00300BBB">
        <w:rPr>
          <w:rStyle w:val="None"/>
          <w:rFonts w:ascii="Arial" w:hAnsi="Arial" w:cs="Arial"/>
          <w:sz w:val="20"/>
          <w:szCs w:val="20"/>
        </w:rPr>
        <w:t xml:space="preserve">woman’s </w:t>
      </w:r>
      <w:r w:rsidR="00300BBB" w:rsidRPr="00300BBB">
        <w:rPr>
          <w:rStyle w:val="None"/>
          <w:rFonts w:ascii="Arial" w:hAnsi="Arial" w:cs="Arial"/>
          <w:sz w:val="20"/>
          <w:szCs w:val="20"/>
        </w:rPr>
        <w:t>male guardian.</w:t>
      </w:r>
    </w:p>
    <w:p w14:paraId="12F19954" w14:textId="77777777" w:rsidR="00FB3DEA" w:rsidRDefault="00FB3DEA" w:rsidP="00FB3DEA">
      <w:pPr>
        <w:bidi/>
        <w:jc w:val="both"/>
        <w:rPr>
          <w:rFonts w:ascii="Arial" w:eastAsia="Arial" w:hAnsi="Arial" w:cs="Arial"/>
          <w:i/>
          <w:iCs/>
          <w:sz w:val="20"/>
          <w:szCs w:val="20"/>
        </w:rPr>
      </w:pPr>
    </w:p>
    <w:tbl>
      <w:tblPr>
        <w:tblStyle w:val="a5"/>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415DD0" w14:paraId="0625D9D5" w14:textId="77777777" w:rsidTr="000E7544">
        <w:trPr>
          <w:trHeight w:val="803"/>
        </w:trPr>
        <w:tc>
          <w:tcPr>
            <w:tcW w:w="8903" w:type="dxa"/>
            <w:shd w:val="clear" w:color="auto" w:fill="D9D9D9"/>
            <w:tcMar>
              <w:top w:w="100" w:type="dxa"/>
              <w:left w:w="100" w:type="dxa"/>
              <w:bottom w:w="100" w:type="dxa"/>
              <w:right w:w="100" w:type="dxa"/>
            </w:tcMar>
          </w:tcPr>
          <w:p w14:paraId="21CA8E85" w14:textId="77777777" w:rsidR="00415DD0" w:rsidRDefault="00415DD0" w:rsidP="00710B9A">
            <w:pPr>
              <w:widowControl w:val="0"/>
              <w:spacing w:before="120" w:after="120"/>
              <w:jc w:val="both"/>
              <w:rPr>
                <w:rFonts w:ascii="Arial" w:eastAsia="Arial" w:hAnsi="Arial" w:cs="Arial"/>
                <w:b/>
                <w:sz w:val="20"/>
                <w:szCs w:val="20"/>
                <w:u w:val="single"/>
              </w:rPr>
            </w:pPr>
            <w:r>
              <w:rPr>
                <w:rFonts w:ascii="Arial" w:eastAsia="Arial" w:hAnsi="Arial" w:cs="Arial"/>
                <w:b/>
                <w:sz w:val="20"/>
                <w:szCs w:val="20"/>
                <w:u w:val="single"/>
              </w:rPr>
              <w:t>RECOMMENDATIONS</w:t>
            </w:r>
          </w:p>
          <w:p w14:paraId="72CA3791" w14:textId="6947A017" w:rsidR="00415DD0" w:rsidRDefault="00415DD0" w:rsidP="000E7544">
            <w:pPr>
              <w:jc w:val="both"/>
              <w:rPr>
                <w:rFonts w:ascii="Arial" w:eastAsia="Arial" w:hAnsi="Arial" w:cs="Arial"/>
                <w:sz w:val="20"/>
                <w:szCs w:val="20"/>
              </w:rPr>
            </w:pPr>
            <w:r>
              <w:rPr>
                <w:rFonts w:ascii="Arial" w:eastAsia="Arial" w:hAnsi="Arial" w:cs="Arial"/>
                <w:b/>
                <w:sz w:val="20"/>
                <w:szCs w:val="20"/>
              </w:rPr>
              <w:t>We recommend</w:t>
            </w:r>
            <w:r w:rsidR="00732A2B">
              <w:rPr>
                <w:rFonts w:ascii="Arial" w:eastAsia="Arial" w:hAnsi="Arial" w:cs="Arial"/>
                <w:b/>
                <w:sz w:val="20"/>
                <w:szCs w:val="20"/>
              </w:rPr>
              <w:t xml:space="preserve"> that</w:t>
            </w:r>
            <w:r>
              <w:rPr>
                <w:rFonts w:ascii="Arial" w:eastAsia="Arial" w:hAnsi="Arial" w:cs="Arial"/>
                <w:b/>
                <w:sz w:val="20"/>
                <w:szCs w:val="20"/>
              </w:rPr>
              <w:t xml:space="preserve"> the CEDAW Committee urge the State party</w:t>
            </w:r>
            <w:r w:rsidR="008C1050">
              <w:rPr>
                <w:rFonts w:ascii="Arial" w:eastAsia="Arial" w:hAnsi="Arial" w:cs="Arial"/>
                <w:b/>
                <w:sz w:val="20"/>
                <w:szCs w:val="20"/>
              </w:rPr>
              <w:t xml:space="preserve"> to</w:t>
            </w:r>
            <w:r>
              <w:rPr>
                <w:rFonts w:ascii="Arial" w:eastAsia="Arial" w:hAnsi="Arial" w:cs="Arial"/>
                <w:b/>
                <w:sz w:val="20"/>
                <w:szCs w:val="20"/>
              </w:rPr>
              <w:t>:</w:t>
            </w:r>
          </w:p>
          <w:p w14:paraId="52C298CE" w14:textId="77777777" w:rsidR="00415DD0" w:rsidRDefault="00415DD0" w:rsidP="000E7544">
            <w:pPr>
              <w:pBdr>
                <w:top w:val="nil"/>
                <w:left w:val="nil"/>
                <w:bottom w:val="nil"/>
                <w:right w:val="nil"/>
                <w:between w:val="nil"/>
              </w:pBdr>
              <w:spacing w:line="259" w:lineRule="auto"/>
              <w:ind w:left="720"/>
              <w:jc w:val="both"/>
              <w:rPr>
                <w:rFonts w:ascii="Arial" w:eastAsia="Arial" w:hAnsi="Arial" w:cs="Arial"/>
                <w:color w:val="000000"/>
                <w:sz w:val="20"/>
                <w:szCs w:val="20"/>
              </w:rPr>
            </w:pPr>
          </w:p>
          <w:p w14:paraId="666C65D8" w14:textId="5638B49F" w:rsidR="00415DD0" w:rsidRDefault="00251E7C" w:rsidP="007C11E6">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Prioritize the urgent implementation of previous CEDAW Committee Concluding Observations urg</w:t>
            </w:r>
            <w:r w:rsidR="00A539E8">
              <w:rPr>
                <w:rFonts w:ascii="Arial" w:eastAsia="Arial" w:hAnsi="Arial" w:cs="Arial"/>
                <w:color w:val="000000"/>
                <w:sz w:val="20"/>
                <w:szCs w:val="20"/>
              </w:rPr>
              <w:t>ing</w:t>
            </w:r>
            <w:r>
              <w:rPr>
                <w:rFonts w:ascii="Arial" w:eastAsia="Arial" w:hAnsi="Arial" w:cs="Arial"/>
                <w:color w:val="000000"/>
                <w:sz w:val="20"/>
                <w:szCs w:val="20"/>
              </w:rPr>
              <w:t xml:space="preserve"> the State Part</w:t>
            </w:r>
            <w:r w:rsidR="007B361E">
              <w:rPr>
                <w:rFonts w:ascii="Arial" w:eastAsia="Arial" w:hAnsi="Arial" w:cs="Arial"/>
                <w:color w:val="000000"/>
                <w:sz w:val="20"/>
                <w:szCs w:val="20"/>
              </w:rPr>
              <w:t>y</w:t>
            </w:r>
            <w:r>
              <w:rPr>
                <w:rFonts w:ascii="Arial" w:eastAsia="Arial" w:hAnsi="Arial" w:cs="Arial"/>
                <w:color w:val="000000"/>
                <w:sz w:val="20"/>
                <w:szCs w:val="20"/>
              </w:rPr>
              <w:t xml:space="preserve"> to </w:t>
            </w:r>
            <w:r w:rsidR="00415DD0">
              <w:rPr>
                <w:rFonts w:ascii="Arial" w:eastAsia="Arial" w:hAnsi="Arial" w:cs="Arial"/>
                <w:color w:val="000000"/>
                <w:sz w:val="20"/>
                <w:szCs w:val="20"/>
              </w:rPr>
              <w:t>repeal Articles 29 (physical discipline), 153 (honor crimes), and 182 (abduction) of the Kuwait Penal Code of 1960.</w:t>
            </w:r>
          </w:p>
          <w:p w14:paraId="34227C7C" w14:textId="77777777" w:rsidR="00415DD0" w:rsidRDefault="00415DD0" w:rsidP="007C11E6">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Introduce legislation to prohibit and punish all forms of sexual harassment.</w:t>
            </w:r>
          </w:p>
          <w:p w14:paraId="397D058B" w14:textId="67A6EFEA" w:rsidR="00415DD0" w:rsidRDefault="00744942" w:rsidP="007C11E6">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 xml:space="preserve">Amend and streamline </w:t>
            </w:r>
            <w:r w:rsidR="005D5274">
              <w:rPr>
                <w:rFonts w:ascii="Arial" w:eastAsia="Arial" w:hAnsi="Arial" w:cs="Arial"/>
                <w:color w:val="000000"/>
                <w:sz w:val="20"/>
                <w:szCs w:val="20"/>
              </w:rPr>
              <w:t xml:space="preserve">the </w:t>
            </w:r>
            <w:r>
              <w:rPr>
                <w:rFonts w:ascii="Arial" w:eastAsia="Arial" w:hAnsi="Arial" w:cs="Arial"/>
                <w:color w:val="000000"/>
                <w:sz w:val="20"/>
                <w:szCs w:val="20"/>
              </w:rPr>
              <w:t>Domestic Violence Act and the Penal Code to eliminate all gaps in protection of women from violence and ensure effective sanctions for all forms of gender-based violence, including physical, psychological, sexual, and financial, in addition to threats of violence.</w:t>
            </w:r>
          </w:p>
          <w:p w14:paraId="3AB65127" w14:textId="68B11D63" w:rsidR="00744942" w:rsidRDefault="00744942" w:rsidP="007C11E6">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Ensure full implementation of the Domestic Violence Act and give effect to its provisions, including those related to statistics and indicators, strategic planning, the introduction of educational and public awareness programs, and training of government officials.</w:t>
            </w:r>
          </w:p>
          <w:p w14:paraId="0E6CFCAB" w14:textId="0454FB24" w:rsidR="00744942" w:rsidRPr="00744942" w:rsidRDefault="00744942" w:rsidP="007C11E6">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Expand the funding and resources dedicated to existing shelter facilities, provide additional shelter facilities, and engage civil society actors in developing related services and programs to meet the needs of domestic violence survivors.</w:t>
            </w:r>
          </w:p>
        </w:tc>
      </w:tr>
    </w:tbl>
    <w:p w14:paraId="76EF1351" w14:textId="77777777" w:rsidR="008C1050" w:rsidRPr="002C5B71" w:rsidRDefault="008C1050" w:rsidP="00A13EDC">
      <w:pPr>
        <w:rPr>
          <w:rFonts w:ascii="Arial" w:eastAsia="Arial" w:hAnsi="Arial" w:cs="Arial"/>
        </w:rPr>
      </w:pPr>
    </w:p>
    <w:p w14:paraId="2EA0CF30" w14:textId="24B3A263" w:rsidR="00D07715" w:rsidRDefault="00000000" w:rsidP="008C1050">
      <w:pPr>
        <w:pStyle w:val="Heading2"/>
        <w:numPr>
          <w:ilvl w:val="0"/>
          <w:numId w:val="1"/>
        </w:numPr>
        <w:ind w:left="540" w:hanging="540"/>
        <w:rPr>
          <w:rFonts w:ascii="Arial" w:hAnsi="Arial" w:cs="Arial"/>
        </w:rPr>
      </w:pPr>
      <w:bookmarkStart w:id="6" w:name="_Toc163864102"/>
      <w:r>
        <w:rPr>
          <w:rFonts w:ascii="Arial" w:hAnsi="Arial" w:cs="Arial"/>
        </w:rPr>
        <w:t>Women’s Legal Capacity to Enter into Marriage</w:t>
      </w:r>
      <w:bookmarkEnd w:id="6"/>
      <w:r>
        <w:rPr>
          <w:rFonts w:ascii="Arial" w:hAnsi="Arial" w:cs="Arial"/>
        </w:rPr>
        <w:t xml:space="preserve">        </w:t>
      </w:r>
      <w:r>
        <w:rPr>
          <w:rFonts w:ascii="Arial" w:hAnsi="Arial" w:cs="Arial"/>
        </w:rPr>
        <w:tab/>
        <w:t xml:space="preserve">          </w:t>
      </w:r>
      <w:r w:rsidR="008C1050">
        <w:rPr>
          <w:rFonts w:ascii="Arial" w:hAnsi="Arial" w:cs="Arial"/>
        </w:rPr>
        <w:tab/>
      </w:r>
    </w:p>
    <w:p w14:paraId="77E5D089" w14:textId="77777777" w:rsidR="00300BBB" w:rsidRPr="00300BBB" w:rsidRDefault="00300BBB" w:rsidP="00300BBB">
      <w:pPr>
        <w:pStyle w:val="Normal1"/>
        <w:widowControl w:val="0"/>
        <w:spacing w:before="0" w:after="0" w:line="240" w:lineRule="auto"/>
        <w:rPr>
          <w:rFonts w:ascii="Arial" w:eastAsia="Arial" w:hAnsi="Arial" w:cs="Arial"/>
          <w:sz w:val="20"/>
          <w:szCs w:val="20"/>
        </w:rPr>
      </w:pPr>
    </w:p>
    <w:p w14:paraId="2F0234AC" w14:textId="39794C21" w:rsidR="00300BBB" w:rsidRDefault="00300BBB" w:rsidP="00300BBB">
      <w:pPr>
        <w:pStyle w:val="Normal1"/>
        <w:widowControl w:val="0"/>
        <w:spacing w:before="0" w:after="0" w:line="240" w:lineRule="auto"/>
        <w:jc w:val="both"/>
        <w:rPr>
          <w:rFonts w:ascii="Arial" w:eastAsia="Arial" w:hAnsi="Arial" w:cs="Arial"/>
          <w:sz w:val="20"/>
          <w:szCs w:val="20"/>
        </w:rPr>
      </w:pPr>
      <w:r>
        <w:rPr>
          <w:rFonts w:ascii="Arial" w:eastAsia="Arial" w:hAnsi="Arial" w:cs="Arial"/>
          <w:sz w:val="20"/>
          <w:szCs w:val="20"/>
        </w:rPr>
        <w:t>Kuwaiti law</w:t>
      </w:r>
      <w:r w:rsidR="002C5B71">
        <w:rPr>
          <w:rFonts w:ascii="Arial" w:eastAsia="Arial" w:hAnsi="Arial" w:cs="Arial"/>
          <w:sz w:val="20"/>
          <w:szCs w:val="20"/>
        </w:rPr>
        <w:t>s</w:t>
      </w:r>
      <w:r>
        <w:rPr>
          <w:rFonts w:ascii="Arial" w:eastAsia="Arial" w:hAnsi="Arial" w:cs="Arial"/>
          <w:sz w:val="20"/>
          <w:szCs w:val="20"/>
        </w:rPr>
        <w:t xml:space="preserve"> </w:t>
      </w:r>
      <w:proofErr w:type="gramStart"/>
      <w:r>
        <w:rPr>
          <w:rFonts w:ascii="Arial" w:eastAsia="Arial" w:hAnsi="Arial" w:cs="Arial"/>
          <w:sz w:val="20"/>
          <w:szCs w:val="20"/>
        </w:rPr>
        <w:t>continues</w:t>
      </w:r>
      <w:proofErr w:type="gramEnd"/>
      <w:r>
        <w:rPr>
          <w:rFonts w:ascii="Arial" w:eastAsia="Arial" w:hAnsi="Arial" w:cs="Arial"/>
          <w:sz w:val="20"/>
          <w:szCs w:val="20"/>
        </w:rPr>
        <w:t xml:space="preserve"> to require adult women to obtain the consent of a male guardian before marriage. A</w:t>
      </w:r>
      <w:r w:rsidR="00DD06C5">
        <w:rPr>
          <w:rFonts w:ascii="Arial" w:eastAsia="Arial" w:hAnsi="Arial" w:cs="Arial"/>
          <w:sz w:val="20"/>
          <w:szCs w:val="20"/>
        </w:rPr>
        <w:t>n adult</w:t>
      </w:r>
      <w:r>
        <w:rPr>
          <w:rFonts w:ascii="Arial" w:eastAsia="Arial" w:hAnsi="Arial" w:cs="Arial"/>
          <w:sz w:val="20"/>
          <w:szCs w:val="20"/>
        </w:rPr>
        <w:t xml:space="preserve"> woman cannot independently enter into a marriage contract. </w:t>
      </w:r>
    </w:p>
    <w:p w14:paraId="0656F47A" w14:textId="77777777" w:rsidR="00300BBB" w:rsidRDefault="00300BBB" w:rsidP="00300BBB">
      <w:pPr>
        <w:pStyle w:val="Normal1"/>
        <w:widowControl w:val="0"/>
        <w:spacing w:before="0" w:after="0" w:line="240" w:lineRule="auto"/>
        <w:jc w:val="both"/>
        <w:rPr>
          <w:rFonts w:ascii="Arial" w:eastAsia="Arial" w:hAnsi="Arial" w:cs="Arial"/>
          <w:sz w:val="20"/>
          <w:szCs w:val="20"/>
        </w:rPr>
      </w:pPr>
    </w:p>
    <w:p w14:paraId="45271624" w14:textId="77D83BC6" w:rsidR="003B19C8" w:rsidRPr="007C11E6" w:rsidRDefault="00300BBB" w:rsidP="00345424">
      <w:pPr>
        <w:pStyle w:val="Normal1"/>
        <w:widowControl w:val="0"/>
        <w:spacing w:before="0" w:after="0" w:line="240" w:lineRule="auto"/>
        <w:jc w:val="both"/>
        <w:rPr>
          <w:rFonts w:ascii="Arial" w:eastAsia="Arial" w:hAnsi="Arial" w:cs="Arial"/>
          <w:color w:val="000000" w:themeColor="text1"/>
          <w:sz w:val="20"/>
          <w:szCs w:val="20"/>
        </w:rPr>
      </w:pPr>
      <w:r>
        <w:rPr>
          <w:rFonts w:ascii="Arial" w:eastAsia="Arial" w:hAnsi="Arial" w:cs="Arial"/>
          <w:sz w:val="20"/>
          <w:szCs w:val="20"/>
        </w:rPr>
        <w:t>The Personal Status Act</w:t>
      </w:r>
      <w:r w:rsidR="00DD06C5">
        <w:rPr>
          <w:rFonts w:ascii="Arial" w:eastAsia="Arial" w:hAnsi="Arial" w:cs="Arial"/>
          <w:sz w:val="20"/>
          <w:szCs w:val="20"/>
        </w:rPr>
        <w:t xml:space="preserve"> of 1984, applicable to the Sunni majority in Kuwait, </w:t>
      </w:r>
      <w:r>
        <w:rPr>
          <w:rFonts w:ascii="Arial" w:eastAsia="Arial" w:hAnsi="Arial" w:cs="Arial"/>
          <w:sz w:val="20"/>
          <w:szCs w:val="20"/>
        </w:rPr>
        <w:t xml:space="preserve">requires consent of both the bride and groom to the marriage, regardless of </w:t>
      </w:r>
      <w:r w:rsidRPr="007C11E6">
        <w:rPr>
          <w:rFonts w:ascii="Arial" w:eastAsia="Arial" w:hAnsi="Arial" w:cs="Arial"/>
          <w:color w:val="000000" w:themeColor="text1"/>
          <w:sz w:val="20"/>
          <w:szCs w:val="20"/>
        </w:rPr>
        <w:t>age.</w:t>
      </w:r>
      <w:r w:rsidRPr="007C11E6">
        <w:rPr>
          <w:rStyle w:val="FootnoteReference"/>
          <w:rFonts w:ascii="Arial" w:eastAsia="Arial" w:hAnsi="Arial"/>
          <w:color w:val="000000" w:themeColor="text1"/>
          <w:sz w:val="20"/>
          <w:szCs w:val="20"/>
          <w:vertAlign w:val="superscript"/>
        </w:rPr>
        <w:footnoteReference w:id="48"/>
      </w:r>
      <w:r w:rsidRPr="007C11E6">
        <w:rPr>
          <w:rFonts w:ascii="Arial" w:eastAsia="Arial" w:hAnsi="Arial" w:cs="Arial"/>
          <w:color w:val="000000" w:themeColor="text1"/>
          <w:sz w:val="20"/>
          <w:szCs w:val="20"/>
        </w:rPr>
        <w:t xml:space="preserve"> A bride, however, must also obtain the </w:t>
      </w:r>
      <w:r w:rsidR="003B19C8" w:rsidRPr="007C11E6">
        <w:rPr>
          <w:rFonts w:ascii="Arial" w:eastAsia="Arial" w:hAnsi="Arial" w:cs="Arial"/>
          <w:color w:val="000000" w:themeColor="text1"/>
          <w:sz w:val="20"/>
          <w:szCs w:val="20"/>
        </w:rPr>
        <w:t xml:space="preserve">consent of </w:t>
      </w:r>
      <w:r w:rsidRPr="007C11E6">
        <w:rPr>
          <w:rFonts w:ascii="Arial" w:eastAsia="Arial" w:hAnsi="Arial" w:cs="Arial"/>
          <w:color w:val="000000" w:themeColor="text1"/>
          <w:sz w:val="20"/>
          <w:szCs w:val="20"/>
        </w:rPr>
        <w:t>her male</w:t>
      </w:r>
      <w:r w:rsidR="003B19C8" w:rsidRPr="007C11E6">
        <w:rPr>
          <w:rFonts w:ascii="Arial" w:eastAsia="Arial" w:hAnsi="Arial" w:cs="Arial"/>
          <w:color w:val="000000" w:themeColor="text1"/>
          <w:sz w:val="20"/>
          <w:szCs w:val="20"/>
        </w:rPr>
        <w:t xml:space="preserve"> guardian (</w:t>
      </w:r>
      <w:proofErr w:type="spellStart"/>
      <w:r w:rsidR="003B19C8" w:rsidRPr="007C11E6">
        <w:rPr>
          <w:rFonts w:ascii="Arial" w:eastAsia="Arial" w:hAnsi="Arial" w:cs="Arial"/>
          <w:i/>
          <w:color w:val="000000" w:themeColor="text1"/>
          <w:sz w:val="20"/>
          <w:szCs w:val="20"/>
        </w:rPr>
        <w:t>wali</w:t>
      </w:r>
      <w:proofErr w:type="spellEnd"/>
      <w:r w:rsidR="003B19C8" w:rsidRPr="007C11E6">
        <w:rPr>
          <w:rFonts w:ascii="Arial" w:eastAsia="Arial" w:hAnsi="Arial" w:cs="Arial"/>
          <w:color w:val="000000" w:themeColor="text1"/>
          <w:sz w:val="20"/>
          <w:szCs w:val="20"/>
        </w:rPr>
        <w:t>)</w:t>
      </w:r>
      <w:r w:rsidRPr="007C11E6">
        <w:rPr>
          <w:rFonts w:ascii="Arial" w:eastAsia="Arial" w:hAnsi="Arial" w:cs="Arial"/>
          <w:color w:val="000000" w:themeColor="text1"/>
          <w:sz w:val="20"/>
          <w:szCs w:val="20"/>
        </w:rPr>
        <w:t xml:space="preserve"> before entering into marriage</w:t>
      </w:r>
      <w:r w:rsidR="003B19C8" w:rsidRPr="007C11E6">
        <w:rPr>
          <w:rFonts w:ascii="Arial" w:eastAsia="Arial" w:hAnsi="Arial" w:cs="Arial"/>
          <w:color w:val="000000" w:themeColor="text1"/>
          <w:sz w:val="20"/>
          <w:szCs w:val="20"/>
        </w:rPr>
        <w:t>.</w:t>
      </w:r>
      <w:r w:rsidR="003B19C8" w:rsidRPr="007C11E6">
        <w:rPr>
          <w:rFonts w:ascii="Arial" w:eastAsia="Arial" w:hAnsi="Arial" w:cs="Arial"/>
          <w:color w:val="000000" w:themeColor="text1"/>
          <w:sz w:val="20"/>
          <w:szCs w:val="20"/>
          <w:vertAlign w:val="superscript"/>
        </w:rPr>
        <w:footnoteReference w:id="49"/>
      </w:r>
      <w:r w:rsidR="00655201" w:rsidRPr="007C11E6">
        <w:rPr>
          <w:rFonts w:ascii="Arial" w:eastAsia="Arial" w:hAnsi="Arial" w:cs="Arial"/>
          <w:color w:val="000000" w:themeColor="text1"/>
          <w:sz w:val="20"/>
          <w:szCs w:val="20"/>
        </w:rPr>
        <w:t xml:space="preserve"> The guardian must be present at the time of officiating the marriage contract, and the law does not require the signature of a woman on her </w:t>
      </w:r>
      <w:r w:rsidR="00DD06C5">
        <w:rPr>
          <w:rFonts w:ascii="Arial" w:eastAsia="Arial" w:hAnsi="Arial" w:cs="Arial"/>
          <w:color w:val="000000" w:themeColor="text1"/>
          <w:sz w:val="20"/>
          <w:szCs w:val="20"/>
        </w:rPr>
        <w:t xml:space="preserve">own </w:t>
      </w:r>
      <w:r w:rsidR="00655201" w:rsidRPr="007C11E6">
        <w:rPr>
          <w:rFonts w:ascii="Arial" w:eastAsia="Arial" w:hAnsi="Arial" w:cs="Arial"/>
          <w:color w:val="000000" w:themeColor="text1"/>
          <w:sz w:val="20"/>
          <w:szCs w:val="20"/>
        </w:rPr>
        <w:t>marriage contract.</w:t>
      </w:r>
      <w:r w:rsidR="00655201" w:rsidRPr="00F808C9">
        <w:rPr>
          <w:rFonts w:ascii="Arial" w:eastAsia="Arial" w:hAnsi="Arial" w:cs="Arial"/>
          <w:color w:val="000000" w:themeColor="text1"/>
          <w:sz w:val="20"/>
          <w:szCs w:val="20"/>
          <w:vertAlign w:val="superscript"/>
        </w:rPr>
        <w:footnoteReference w:id="50"/>
      </w:r>
      <w:r w:rsidR="003B19C8" w:rsidRPr="00F808C9">
        <w:rPr>
          <w:rFonts w:ascii="Arial" w:eastAsia="Arial" w:hAnsi="Arial" w:cs="Arial"/>
          <w:color w:val="000000" w:themeColor="text1"/>
          <w:sz w:val="20"/>
          <w:szCs w:val="20"/>
          <w:vertAlign w:val="superscript"/>
        </w:rPr>
        <w:t xml:space="preserve"> </w:t>
      </w:r>
      <w:r w:rsidR="00546296" w:rsidRPr="007C11E6">
        <w:rPr>
          <w:rFonts w:ascii="Arial" w:eastAsia="Arial" w:hAnsi="Arial" w:cs="Arial"/>
          <w:color w:val="000000" w:themeColor="text1"/>
          <w:sz w:val="20"/>
          <w:szCs w:val="20"/>
        </w:rPr>
        <w:t>A woman’s guardian may be her father, grandfather, brother</w:t>
      </w:r>
      <w:r w:rsidR="008E4F17">
        <w:rPr>
          <w:rFonts w:ascii="Arial" w:eastAsia="Arial" w:hAnsi="Arial" w:cs="Arial"/>
          <w:color w:val="000000" w:themeColor="text1"/>
          <w:sz w:val="20"/>
          <w:szCs w:val="20"/>
        </w:rPr>
        <w:t>,</w:t>
      </w:r>
      <w:r w:rsidR="00546296" w:rsidRPr="007C11E6">
        <w:rPr>
          <w:rFonts w:ascii="Arial" w:eastAsia="Arial" w:hAnsi="Arial" w:cs="Arial"/>
          <w:color w:val="000000" w:themeColor="text1"/>
          <w:sz w:val="20"/>
          <w:szCs w:val="20"/>
        </w:rPr>
        <w:t xml:space="preserve"> or other male kin in order of proximity</w:t>
      </w:r>
      <w:r w:rsidR="00BB1B64">
        <w:rPr>
          <w:rFonts w:ascii="Arial" w:eastAsia="Arial" w:hAnsi="Arial" w:cs="Arial"/>
          <w:color w:val="000000" w:themeColor="text1"/>
          <w:sz w:val="20"/>
          <w:szCs w:val="20"/>
        </w:rPr>
        <w:t>,</w:t>
      </w:r>
      <w:r w:rsidR="00546296" w:rsidRPr="007C11E6">
        <w:rPr>
          <w:rFonts w:ascii="Arial" w:eastAsia="Arial" w:hAnsi="Arial" w:cs="Arial"/>
          <w:color w:val="000000" w:themeColor="text1"/>
          <w:sz w:val="20"/>
          <w:szCs w:val="20"/>
        </w:rPr>
        <w:t xml:space="preserve"> and a judge may act as guardian if there </w:t>
      </w:r>
      <w:r w:rsidR="00BB1B64">
        <w:rPr>
          <w:rFonts w:ascii="Arial" w:eastAsia="Arial" w:hAnsi="Arial" w:cs="Arial"/>
          <w:color w:val="000000" w:themeColor="text1"/>
          <w:sz w:val="20"/>
          <w:szCs w:val="20"/>
        </w:rPr>
        <w:t>is</w:t>
      </w:r>
      <w:r w:rsidR="00546296" w:rsidRPr="007C11E6">
        <w:rPr>
          <w:rFonts w:ascii="Arial" w:eastAsia="Arial" w:hAnsi="Arial" w:cs="Arial"/>
          <w:color w:val="000000" w:themeColor="text1"/>
          <w:sz w:val="20"/>
          <w:szCs w:val="20"/>
        </w:rPr>
        <w:t xml:space="preserve"> no male kin.</w:t>
      </w:r>
      <w:r w:rsidR="00546296" w:rsidRPr="007C11E6">
        <w:rPr>
          <w:rStyle w:val="FootnoteReference"/>
          <w:rFonts w:ascii="Arial" w:eastAsia="Arial" w:hAnsi="Arial"/>
          <w:color w:val="000000" w:themeColor="text1"/>
          <w:sz w:val="20"/>
          <w:szCs w:val="20"/>
          <w:vertAlign w:val="superscript"/>
        </w:rPr>
        <w:footnoteReference w:id="51"/>
      </w:r>
      <w:r w:rsidR="00546296" w:rsidRPr="007C11E6">
        <w:rPr>
          <w:rFonts w:ascii="Arial" w:eastAsia="Arial" w:hAnsi="Arial" w:cs="Arial"/>
          <w:color w:val="000000" w:themeColor="text1"/>
          <w:sz w:val="20"/>
          <w:szCs w:val="20"/>
        </w:rPr>
        <w:t xml:space="preserve"> Forced marriage is prohibited and considered void under the Act,</w:t>
      </w:r>
      <w:r w:rsidR="00546296" w:rsidRPr="007C11E6">
        <w:rPr>
          <w:rStyle w:val="FootnoteReference"/>
          <w:rFonts w:ascii="Arial" w:eastAsia="Arial" w:hAnsi="Arial"/>
          <w:color w:val="000000" w:themeColor="text1"/>
          <w:sz w:val="20"/>
          <w:szCs w:val="20"/>
          <w:vertAlign w:val="superscript"/>
        </w:rPr>
        <w:footnoteReference w:id="52"/>
      </w:r>
      <w:r w:rsidR="00546296" w:rsidRPr="007C11E6">
        <w:rPr>
          <w:rFonts w:ascii="Arial" w:eastAsia="Arial" w:hAnsi="Arial" w:cs="Arial"/>
          <w:color w:val="000000" w:themeColor="text1"/>
          <w:sz w:val="20"/>
          <w:szCs w:val="20"/>
          <w:vertAlign w:val="superscript"/>
        </w:rPr>
        <w:t xml:space="preserve"> </w:t>
      </w:r>
      <w:r w:rsidR="00546296" w:rsidRPr="007C11E6">
        <w:rPr>
          <w:rFonts w:ascii="Arial" w:eastAsia="Arial" w:hAnsi="Arial" w:cs="Arial"/>
          <w:color w:val="000000" w:themeColor="text1"/>
          <w:sz w:val="20"/>
          <w:szCs w:val="20"/>
        </w:rPr>
        <w:t>and in the case of a guardian’s unreasonable withholding of consent to marriage (</w:t>
      </w:r>
      <w:r w:rsidR="00650F96">
        <w:rPr>
          <w:rFonts w:ascii="Arial" w:eastAsia="Arial" w:hAnsi="Arial" w:cs="Arial"/>
          <w:color w:val="000000" w:themeColor="text1"/>
          <w:sz w:val="20"/>
          <w:szCs w:val="20"/>
        </w:rPr>
        <w:t>‘</w:t>
      </w:r>
      <w:proofErr w:type="spellStart"/>
      <w:r w:rsidR="00546296" w:rsidRPr="007C11E6">
        <w:rPr>
          <w:rFonts w:ascii="Arial" w:eastAsia="Arial" w:hAnsi="Arial" w:cs="Arial"/>
          <w:i/>
          <w:iCs/>
          <w:color w:val="000000" w:themeColor="text1"/>
          <w:sz w:val="20"/>
          <w:szCs w:val="20"/>
        </w:rPr>
        <w:t>adl</w:t>
      </w:r>
      <w:proofErr w:type="spellEnd"/>
      <w:r w:rsidR="00546296" w:rsidRPr="007C11E6">
        <w:rPr>
          <w:rFonts w:ascii="Arial" w:eastAsia="Arial" w:hAnsi="Arial" w:cs="Arial"/>
          <w:color w:val="000000" w:themeColor="text1"/>
          <w:sz w:val="20"/>
          <w:szCs w:val="20"/>
        </w:rPr>
        <w:t>), a judge may order the marriage to proceed.</w:t>
      </w:r>
      <w:r w:rsidR="00546296" w:rsidRPr="007C11E6">
        <w:rPr>
          <w:rStyle w:val="FootnoteReference"/>
          <w:rFonts w:ascii="Arial" w:eastAsia="Arial" w:hAnsi="Arial"/>
          <w:color w:val="000000" w:themeColor="text1"/>
          <w:sz w:val="20"/>
          <w:szCs w:val="20"/>
          <w:vertAlign w:val="superscript"/>
        </w:rPr>
        <w:footnoteReference w:id="53"/>
      </w:r>
      <w:r w:rsidR="00546296" w:rsidRPr="007C11E6">
        <w:rPr>
          <w:rFonts w:ascii="Arial" w:eastAsia="Arial" w:hAnsi="Arial" w:cs="Arial"/>
          <w:color w:val="000000" w:themeColor="text1"/>
          <w:sz w:val="20"/>
          <w:szCs w:val="20"/>
        </w:rPr>
        <w:t xml:space="preserve"> </w:t>
      </w:r>
    </w:p>
    <w:p w14:paraId="7B002003" w14:textId="77777777" w:rsidR="00300BBB" w:rsidRPr="007C11E6" w:rsidRDefault="00300BBB" w:rsidP="007C11E6">
      <w:pPr>
        <w:jc w:val="both"/>
        <w:rPr>
          <w:rFonts w:ascii="Arial" w:eastAsia="Arial" w:hAnsi="Arial" w:cs="Arial"/>
          <w:color w:val="000000" w:themeColor="text1"/>
          <w:sz w:val="20"/>
          <w:szCs w:val="20"/>
        </w:rPr>
      </w:pPr>
    </w:p>
    <w:p w14:paraId="350FEAC5" w14:textId="7B345FA9" w:rsidR="003B19C8" w:rsidRPr="007C11E6" w:rsidRDefault="002C5B71" w:rsidP="007C11E6">
      <w:pPr>
        <w:jc w:val="both"/>
        <w:rPr>
          <w:rFonts w:ascii="Arial" w:hAnsi="Arial" w:cs="Arial"/>
          <w:color w:val="000000" w:themeColor="text1"/>
          <w:sz w:val="20"/>
          <w:szCs w:val="20"/>
        </w:rPr>
      </w:pPr>
      <w:r>
        <w:rPr>
          <w:rFonts w:ascii="Arial" w:hAnsi="Arial" w:cs="Arial"/>
          <w:color w:val="000000" w:themeColor="text1"/>
          <w:sz w:val="20"/>
          <w:szCs w:val="20"/>
        </w:rPr>
        <w:t>Practically,</w:t>
      </w:r>
      <w:r w:rsidR="007A1887">
        <w:rPr>
          <w:rFonts w:ascii="Arial" w:hAnsi="Arial" w:cs="Arial"/>
          <w:color w:val="000000" w:themeColor="text1"/>
          <w:sz w:val="20"/>
          <w:szCs w:val="20"/>
        </w:rPr>
        <w:t xml:space="preserve"> however,</w:t>
      </w:r>
      <w:r>
        <w:rPr>
          <w:rFonts w:ascii="Arial" w:hAnsi="Arial" w:cs="Arial"/>
          <w:color w:val="000000" w:themeColor="text1"/>
          <w:sz w:val="20"/>
          <w:szCs w:val="20"/>
        </w:rPr>
        <w:t xml:space="preserve"> </w:t>
      </w:r>
      <w:r w:rsidR="00345424" w:rsidRPr="007C11E6">
        <w:rPr>
          <w:rFonts w:ascii="Arial" w:hAnsi="Arial" w:cs="Arial"/>
          <w:color w:val="000000" w:themeColor="text1"/>
          <w:sz w:val="20"/>
          <w:szCs w:val="20"/>
        </w:rPr>
        <w:t xml:space="preserve">it is difficult </w:t>
      </w:r>
      <w:r>
        <w:rPr>
          <w:rFonts w:ascii="Arial" w:hAnsi="Arial" w:cs="Arial"/>
          <w:color w:val="000000" w:themeColor="text1"/>
          <w:sz w:val="20"/>
          <w:szCs w:val="20"/>
        </w:rPr>
        <w:t xml:space="preserve">in Kuwait’s social context </w:t>
      </w:r>
      <w:r w:rsidR="00345424" w:rsidRPr="007C11E6">
        <w:rPr>
          <w:rFonts w:ascii="Arial" w:hAnsi="Arial" w:cs="Arial"/>
          <w:color w:val="000000" w:themeColor="text1"/>
          <w:sz w:val="20"/>
          <w:szCs w:val="20"/>
        </w:rPr>
        <w:t xml:space="preserve">for </w:t>
      </w:r>
      <w:r>
        <w:rPr>
          <w:rFonts w:ascii="Arial" w:hAnsi="Arial" w:cs="Arial"/>
          <w:color w:val="000000" w:themeColor="text1"/>
          <w:sz w:val="20"/>
          <w:szCs w:val="20"/>
        </w:rPr>
        <w:t>a woma</w:t>
      </w:r>
      <w:r w:rsidR="00345424" w:rsidRPr="007C11E6">
        <w:rPr>
          <w:rFonts w:ascii="Arial" w:hAnsi="Arial" w:cs="Arial"/>
          <w:color w:val="000000" w:themeColor="text1"/>
          <w:sz w:val="20"/>
          <w:szCs w:val="20"/>
        </w:rPr>
        <w:t xml:space="preserve">n to </w:t>
      </w:r>
      <w:r>
        <w:rPr>
          <w:rFonts w:ascii="Arial" w:hAnsi="Arial" w:cs="Arial"/>
          <w:color w:val="000000" w:themeColor="text1"/>
          <w:sz w:val="20"/>
          <w:szCs w:val="20"/>
        </w:rPr>
        <w:t>publicly litigate</w:t>
      </w:r>
      <w:r w:rsidR="007A1887">
        <w:rPr>
          <w:rFonts w:ascii="Arial" w:hAnsi="Arial" w:cs="Arial"/>
          <w:color w:val="000000" w:themeColor="text1"/>
          <w:sz w:val="20"/>
          <w:szCs w:val="20"/>
        </w:rPr>
        <w:t xml:space="preserve"> in court</w:t>
      </w:r>
      <w:r>
        <w:rPr>
          <w:rFonts w:ascii="Arial" w:hAnsi="Arial" w:cs="Arial"/>
          <w:color w:val="000000" w:themeColor="text1"/>
          <w:sz w:val="20"/>
          <w:szCs w:val="20"/>
        </w:rPr>
        <w:t xml:space="preserve"> against her family</w:t>
      </w:r>
      <w:r w:rsidR="007A1887">
        <w:rPr>
          <w:rFonts w:ascii="Arial" w:hAnsi="Arial" w:cs="Arial"/>
          <w:color w:val="000000" w:themeColor="text1"/>
          <w:sz w:val="20"/>
          <w:szCs w:val="20"/>
        </w:rPr>
        <w:t xml:space="preserve"> or guardian, and as a result, m</w:t>
      </w:r>
      <w:r w:rsidR="00345424" w:rsidRPr="007C11E6">
        <w:rPr>
          <w:rFonts w:ascii="Arial" w:hAnsi="Arial" w:cs="Arial"/>
          <w:color w:val="000000" w:themeColor="text1"/>
          <w:sz w:val="20"/>
          <w:szCs w:val="20"/>
        </w:rPr>
        <w:t xml:space="preserve">any women </w:t>
      </w:r>
      <w:r w:rsidR="007A1887">
        <w:rPr>
          <w:rFonts w:ascii="Arial" w:hAnsi="Arial" w:cs="Arial"/>
          <w:color w:val="000000" w:themeColor="text1"/>
          <w:sz w:val="20"/>
          <w:szCs w:val="20"/>
        </w:rPr>
        <w:t>contend with submitting</w:t>
      </w:r>
      <w:r w:rsidR="00345424" w:rsidRPr="007C11E6">
        <w:rPr>
          <w:rFonts w:ascii="Arial" w:hAnsi="Arial" w:cs="Arial"/>
          <w:color w:val="000000" w:themeColor="text1"/>
          <w:sz w:val="20"/>
          <w:szCs w:val="20"/>
        </w:rPr>
        <w:t xml:space="preserve"> to the will of </w:t>
      </w:r>
      <w:r w:rsidR="007A1887">
        <w:rPr>
          <w:rFonts w:ascii="Arial" w:hAnsi="Arial" w:cs="Arial"/>
          <w:color w:val="000000" w:themeColor="text1"/>
          <w:sz w:val="20"/>
          <w:szCs w:val="20"/>
        </w:rPr>
        <w:t xml:space="preserve">an authoritative guardian </w:t>
      </w:r>
      <w:r w:rsidR="00345424" w:rsidRPr="007C11E6">
        <w:rPr>
          <w:rFonts w:ascii="Arial" w:hAnsi="Arial" w:cs="Arial"/>
          <w:color w:val="000000" w:themeColor="text1"/>
          <w:sz w:val="20"/>
          <w:szCs w:val="20"/>
        </w:rPr>
        <w:t>rather than risk public confrontation or ostracization</w:t>
      </w:r>
      <w:r w:rsidR="007A1887">
        <w:rPr>
          <w:rFonts w:ascii="Arial" w:hAnsi="Arial" w:cs="Arial"/>
          <w:color w:val="000000" w:themeColor="text1"/>
          <w:sz w:val="20"/>
          <w:szCs w:val="20"/>
        </w:rPr>
        <w:t xml:space="preserve"> from their own families</w:t>
      </w:r>
      <w:r w:rsidR="00345424" w:rsidRPr="007C11E6">
        <w:rPr>
          <w:rFonts w:ascii="Arial" w:hAnsi="Arial" w:cs="Arial"/>
          <w:color w:val="000000" w:themeColor="text1"/>
          <w:sz w:val="20"/>
          <w:szCs w:val="20"/>
        </w:rPr>
        <w:t xml:space="preserve">. Similarly, bringing a case to invalidate a forced marriage is </w:t>
      </w:r>
      <w:r w:rsidR="007A1887">
        <w:rPr>
          <w:rFonts w:ascii="Arial" w:hAnsi="Arial" w:cs="Arial"/>
          <w:color w:val="000000" w:themeColor="text1"/>
          <w:sz w:val="20"/>
          <w:szCs w:val="20"/>
        </w:rPr>
        <w:t xml:space="preserve">particularly </w:t>
      </w:r>
      <w:r w:rsidR="007A1887" w:rsidRPr="007C11E6">
        <w:rPr>
          <w:rFonts w:ascii="Arial" w:hAnsi="Arial" w:cs="Arial"/>
          <w:color w:val="000000" w:themeColor="text1"/>
          <w:sz w:val="20"/>
          <w:szCs w:val="20"/>
        </w:rPr>
        <w:t>challenging</w:t>
      </w:r>
      <w:r w:rsidR="00345424" w:rsidRPr="007C11E6">
        <w:rPr>
          <w:rFonts w:ascii="Arial" w:hAnsi="Arial" w:cs="Arial"/>
          <w:color w:val="000000" w:themeColor="text1"/>
          <w:sz w:val="20"/>
          <w:szCs w:val="20"/>
        </w:rPr>
        <w:t xml:space="preserve"> and </w:t>
      </w:r>
      <w:r w:rsidR="007A1887">
        <w:rPr>
          <w:rFonts w:ascii="Arial" w:hAnsi="Arial" w:cs="Arial"/>
          <w:color w:val="000000" w:themeColor="text1"/>
          <w:sz w:val="20"/>
          <w:szCs w:val="20"/>
        </w:rPr>
        <w:t xml:space="preserve">may </w:t>
      </w:r>
      <w:r w:rsidR="00345424" w:rsidRPr="007C11E6">
        <w:rPr>
          <w:rFonts w:ascii="Arial" w:hAnsi="Arial" w:cs="Arial"/>
          <w:color w:val="000000" w:themeColor="text1"/>
          <w:sz w:val="20"/>
          <w:szCs w:val="20"/>
        </w:rPr>
        <w:t xml:space="preserve">further place </w:t>
      </w:r>
      <w:r w:rsidR="007A1887">
        <w:rPr>
          <w:rFonts w:ascii="Arial" w:hAnsi="Arial" w:cs="Arial"/>
          <w:color w:val="000000" w:themeColor="text1"/>
          <w:sz w:val="20"/>
          <w:szCs w:val="20"/>
        </w:rPr>
        <w:t>a woman</w:t>
      </w:r>
      <w:r w:rsidR="00345424" w:rsidRPr="007C11E6">
        <w:rPr>
          <w:rFonts w:ascii="Arial" w:hAnsi="Arial" w:cs="Arial"/>
          <w:color w:val="000000" w:themeColor="text1"/>
          <w:sz w:val="20"/>
          <w:szCs w:val="20"/>
        </w:rPr>
        <w:t xml:space="preserve"> at </w:t>
      </w:r>
      <w:r w:rsidR="007A1887">
        <w:rPr>
          <w:rFonts w:ascii="Arial" w:hAnsi="Arial" w:cs="Arial"/>
          <w:color w:val="000000" w:themeColor="text1"/>
          <w:sz w:val="20"/>
          <w:szCs w:val="20"/>
        </w:rPr>
        <w:t>the</w:t>
      </w:r>
      <w:r w:rsidR="00345424" w:rsidRPr="007C11E6">
        <w:rPr>
          <w:rFonts w:ascii="Arial" w:hAnsi="Arial" w:cs="Arial"/>
          <w:color w:val="000000" w:themeColor="text1"/>
          <w:sz w:val="20"/>
          <w:szCs w:val="20"/>
        </w:rPr>
        <w:t xml:space="preserve"> risk of retaliation and violence</w:t>
      </w:r>
      <w:r w:rsidR="00655201" w:rsidRPr="007C11E6">
        <w:rPr>
          <w:rFonts w:ascii="Arial" w:hAnsi="Arial" w:cs="Arial"/>
          <w:color w:val="000000" w:themeColor="text1"/>
          <w:sz w:val="20"/>
          <w:szCs w:val="20"/>
        </w:rPr>
        <w:t>.</w:t>
      </w:r>
    </w:p>
    <w:p w14:paraId="1B7FDFC8" w14:textId="77777777" w:rsidR="00655201" w:rsidRPr="007C11E6" w:rsidRDefault="00655201" w:rsidP="00345424">
      <w:pPr>
        <w:pStyle w:val="NoSpacing"/>
        <w:numPr>
          <w:ilvl w:val="0"/>
          <w:numId w:val="0"/>
        </w:numPr>
        <w:jc w:val="both"/>
        <w:rPr>
          <w:rFonts w:cs="Arial"/>
          <w:color w:val="000000" w:themeColor="text1"/>
        </w:rPr>
      </w:pPr>
    </w:p>
    <w:p w14:paraId="310C270A" w14:textId="75061950" w:rsidR="00655201" w:rsidRPr="00655201" w:rsidRDefault="00655201" w:rsidP="006D3872">
      <w:pPr>
        <w:pStyle w:val="NoSpacing"/>
        <w:numPr>
          <w:ilvl w:val="0"/>
          <w:numId w:val="0"/>
        </w:numPr>
        <w:jc w:val="both"/>
        <w:rPr>
          <w:rFonts w:cs="Arial"/>
          <w:color w:val="000000" w:themeColor="text1"/>
        </w:rPr>
      </w:pPr>
      <w:r w:rsidRPr="007C11E6">
        <w:rPr>
          <w:rFonts w:cs="Arial"/>
          <w:color w:val="000000" w:themeColor="text1"/>
        </w:rPr>
        <w:t xml:space="preserve">The Shi’a </w:t>
      </w:r>
      <w:proofErr w:type="spellStart"/>
      <w:r w:rsidR="00DD06C5">
        <w:rPr>
          <w:rFonts w:cs="Arial"/>
          <w:color w:val="000000" w:themeColor="text1"/>
        </w:rPr>
        <w:t>Ja’fari</w:t>
      </w:r>
      <w:proofErr w:type="spellEnd"/>
      <w:r w:rsidR="00DD06C5">
        <w:rPr>
          <w:rFonts w:cs="Arial"/>
          <w:color w:val="000000" w:themeColor="text1"/>
        </w:rPr>
        <w:t xml:space="preserve"> </w:t>
      </w:r>
      <w:r w:rsidRPr="007C11E6">
        <w:rPr>
          <w:rFonts w:cs="Arial"/>
          <w:color w:val="000000" w:themeColor="text1"/>
        </w:rPr>
        <w:t>Personal Status Act</w:t>
      </w:r>
      <w:r w:rsidR="006D3872" w:rsidRPr="007C11E6">
        <w:rPr>
          <w:rFonts w:cs="Arial"/>
          <w:color w:val="000000" w:themeColor="text1"/>
        </w:rPr>
        <w:t xml:space="preserve"> requires the</w:t>
      </w:r>
      <w:r w:rsidRPr="007C11E6">
        <w:rPr>
          <w:rFonts w:cs="Arial"/>
          <w:color w:val="000000" w:themeColor="text1"/>
        </w:rPr>
        <w:t xml:space="preserve"> </w:t>
      </w:r>
      <w:r w:rsidR="006D3872" w:rsidRPr="007C11E6">
        <w:rPr>
          <w:rFonts w:cs="Arial"/>
          <w:color w:val="000000" w:themeColor="text1"/>
        </w:rPr>
        <w:t xml:space="preserve">consent </w:t>
      </w:r>
      <w:r w:rsidR="00DD06C5">
        <w:rPr>
          <w:rFonts w:cs="Arial"/>
          <w:color w:val="000000" w:themeColor="text1"/>
        </w:rPr>
        <w:t>of</w:t>
      </w:r>
      <w:r w:rsidR="006D3872" w:rsidRPr="007C11E6">
        <w:rPr>
          <w:rFonts w:cs="Arial"/>
          <w:color w:val="000000" w:themeColor="text1"/>
        </w:rPr>
        <w:t xml:space="preserve"> an adult woman’s father or grandfather in order to enter into a marriage contract.</w:t>
      </w:r>
      <w:r w:rsidR="006D3872" w:rsidRPr="007C11E6">
        <w:rPr>
          <w:rStyle w:val="FootnoteReference"/>
          <w:color w:val="000000" w:themeColor="text1"/>
          <w:sz w:val="20"/>
          <w:szCs w:val="20"/>
          <w:vertAlign w:val="superscript"/>
        </w:rPr>
        <w:footnoteReference w:id="54"/>
      </w:r>
      <w:r w:rsidR="006D3872" w:rsidRPr="007C11E6">
        <w:rPr>
          <w:rFonts w:cs="Arial"/>
          <w:color w:val="000000" w:themeColor="text1"/>
        </w:rPr>
        <w:t xml:space="preserve"> In the case of death </w:t>
      </w:r>
      <w:r w:rsidR="006D3872">
        <w:rPr>
          <w:rFonts w:cs="Arial"/>
          <w:color w:val="000000" w:themeColor="text1"/>
        </w:rPr>
        <w:t>of both the father and grandfather, a Shi’a woman may contract her own marriage.</w:t>
      </w:r>
      <w:r w:rsidR="006D3872" w:rsidRPr="006D3872">
        <w:rPr>
          <w:rStyle w:val="FootnoteReference"/>
          <w:color w:val="000000" w:themeColor="text1"/>
          <w:vertAlign w:val="superscript"/>
        </w:rPr>
        <w:footnoteReference w:id="55"/>
      </w:r>
      <w:r w:rsidR="006D3872">
        <w:rPr>
          <w:rFonts w:cs="Arial"/>
          <w:color w:val="000000" w:themeColor="text1"/>
        </w:rPr>
        <w:t xml:space="preserve"> </w:t>
      </w:r>
      <w:r w:rsidR="00D57424">
        <w:rPr>
          <w:rFonts w:cs="Arial"/>
        </w:rPr>
        <w:t>Article 22 prohibits forced marriages.</w:t>
      </w:r>
      <w:r w:rsidR="00D57424" w:rsidRPr="00F808C9">
        <w:rPr>
          <w:rStyle w:val="FootnoteReference"/>
          <w:color w:val="000000" w:themeColor="text1"/>
          <w:vertAlign w:val="superscript"/>
        </w:rPr>
        <w:footnoteReference w:id="56"/>
      </w:r>
    </w:p>
    <w:p w14:paraId="5E4E19DE" w14:textId="77777777" w:rsidR="00655201" w:rsidRDefault="00655201" w:rsidP="00345424">
      <w:pPr>
        <w:pStyle w:val="NoSpacing"/>
        <w:numPr>
          <w:ilvl w:val="0"/>
          <w:numId w:val="0"/>
        </w:numPr>
        <w:jc w:val="both"/>
        <w:rPr>
          <w:rFonts w:cs="Arial"/>
          <w:color w:val="000000" w:themeColor="text1"/>
        </w:rPr>
      </w:pPr>
    </w:p>
    <w:p w14:paraId="0005AEB6" w14:textId="6C00A49E" w:rsidR="000D5945" w:rsidRPr="00A13EDC" w:rsidRDefault="00655201" w:rsidP="00A13EDC">
      <w:pPr>
        <w:pStyle w:val="NoSpacing"/>
        <w:numPr>
          <w:ilvl w:val="0"/>
          <w:numId w:val="0"/>
        </w:numPr>
        <w:jc w:val="both"/>
        <w:rPr>
          <w:rFonts w:cs="Arial"/>
          <w:color w:val="000000" w:themeColor="text1"/>
        </w:rPr>
      </w:pPr>
      <w:r>
        <w:lastRenderedPageBreak/>
        <w:t>The registration of marriages is required, but non-registration does not necessarily invalidate the marriage, as the Act also provides that marriage may be proven by legal evidence.</w:t>
      </w:r>
      <w:r w:rsidRPr="00300BBB">
        <w:rPr>
          <w:rFonts w:cs="Arial"/>
          <w:vertAlign w:val="superscript"/>
        </w:rPr>
        <w:footnoteReference w:id="57"/>
      </w:r>
      <w:r>
        <w:t xml:space="preserve"> </w:t>
      </w:r>
      <w:r w:rsidRPr="00300BBB">
        <w:rPr>
          <w:rFonts w:cs="Arial"/>
          <w:color w:val="000000" w:themeColor="text1"/>
        </w:rPr>
        <w:t>Registration of the marriage contract is required to prove a marriage and to hear any court case relating to a marriage or divorce, including maintenance, custody, and inheritance.</w:t>
      </w:r>
      <w:r w:rsidRPr="00300BBB">
        <w:rPr>
          <w:rFonts w:cs="Arial"/>
          <w:color w:val="000000" w:themeColor="text1"/>
          <w:vertAlign w:val="superscript"/>
        </w:rPr>
        <w:footnoteReference w:id="58"/>
      </w:r>
      <w:r w:rsidRPr="00300BBB">
        <w:rPr>
          <w:rFonts w:cs="Arial"/>
          <w:color w:val="000000" w:themeColor="text1"/>
        </w:rPr>
        <w:t xml:space="preserve"> </w:t>
      </w:r>
    </w:p>
    <w:p w14:paraId="57B71FB2" w14:textId="77777777" w:rsidR="00186FB6" w:rsidRPr="006C74E5" w:rsidRDefault="00186FB6">
      <w:pPr>
        <w:jc w:val="both"/>
        <w:rPr>
          <w:rFonts w:ascii="Arial" w:eastAsia="Arial" w:hAnsi="Arial" w:cs="Arial"/>
        </w:rPr>
      </w:pPr>
    </w:p>
    <w:p w14:paraId="65FCC479" w14:textId="79A8FE02" w:rsidR="00186FB6" w:rsidRDefault="00186FB6" w:rsidP="00186FB6">
      <w:pPr>
        <w:jc w:val="center"/>
        <w:rPr>
          <w:rFonts w:ascii="Arial" w:eastAsia="Arial" w:hAnsi="Arial" w:cs="Arial"/>
          <w:sz w:val="20"/>
          <w:szCs w:val="20"/>
        </w:rPr>
      </w:pPr>
      <w:r>
        <w:rPr>
          <w:rFonts w:ascii="Arial" w:eastAsia="Arial" w:hAnsi="Arial" w:cs="Arial"/>
          <w:i/>
          <w:iCs/>
          <w:noProof/>
          <w:sz w:val="20"/>
          <w:szCs w:val="20"/>
        </w:rPr>
        <w:drawing>
          <wp:inline distT="0" distB="0" distL="0" distR="0" wp14:anchorId="63259660" wp14:editId="4AB41F31">
            <wp:extent cx="3588647" cy="1910994"/>
            <wp:effectExtent l="0" t="0" r="5715" b="0"/>
            <wp:docPr id="3699662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66204" name="Picture 36996620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54338" cy="1945975"/>
                    </a:xfrm>
                    <a:prstGeom prst="rect">
                      <a:avLst/>
                    </a:prstGeom>
                  </pic:spPr>
                </pic:pic>
              </a:graphicData>
            </a:graphic>
          </wp:inline>
        </w:drawing>
      </w:r>
    </w:p>
    <w:p w14:paraId="7E2B507F" w14:textId="77777777" w:rsidR="00186FB6" w:rsidRDefault="00186FB6">
      <w:pPr>
        <w:jc w:val="both"/>
        <w:rPr>
          <w:rFonts w:ascii="Arial" w:eastAsia="Arial" w:hAnsi="Arial" w:cs="Arial"/>
          <w:sz w:val="20"/>
          <w:szCs w:val="20"/>
        </w:rPr>
      </w:pPr>
    </w:p>
    <w:tbl>
      <w:tblPr>
        <w:tblStyle w:val="a6"/>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07715" w14:paraId="0D1F8454" w14:textId="77777777">
        <w:trPr>
          <w:trHeight w:val="803"/>
        </w:trPr>
        <w:tc>
          <w:tcPr>
            <w:tcW w:w="8903" w:type="dxa"/>
            <w:shd w:val="clear" w:color="auto" w:fill="D9D9D9"/>
            <w:tcMar>
              <w:top w:w="100" w:type="dxa"/>
              <w:left w:w="100" w:type="dxa"/>
              <w:bottom w:w="100" w:type="dxa"/>
              <w:right w:w="100" w:type="dxa"/>
            </w:tcMar>
          </w:tcPr>
          <w:p w14:paraId="3260FD01" w14:textId="77777777" w:rsidR="00D07715" w:rsidRDefault="00000000" w:rsidP="0000571E">
            <w:pPr>
              <w:widowControl w:val="0"/>
              <w:spacing w:before="120" w:after="240"/>
              <w:jc w:val="both"/>
              <w:rPr>
                <w:rFonts w:ascii="Arial" w:eastAsia="Arial" w:hAnsi="Arial" w:cs="Arial"/>
                <w:b/>
                <w:sz w:val="20"/>
                <w:szCs w:val="20"/>
                <w:u w:val="single"/>
              </w:rPr>
            </w:pPr>
            <w:r>
              <w:rPr>
                <w:rFonts w:ascii="Arial" w:eastAsia="Arial" w:hAnsi="Arial" w:cs="Arial"/>
                <w:b/>
                <w:sz w:val="20"/>
                <w:szCs w:val="20"/>
                <w:u w:val="single"/>
              </w:rPr>
              <w:t>RECOMMENDATIONS</w:t>
            </w:r>
          </w:p>
          <w:p w14:paraId="4DD6E156" w14:textId="3A545A24" w:rsidR="00D07715" w:rsidRDefault="00000000">
            <w:pPr>
              <w:jc w:val="both"/>
              <w:rPr>
                <w:rFonts w:ascii="Arial" w:eastAsia="Arial" w:hAnsi="Arial" w:cs="Arial"/>
                <w:sz w:val="20"/>
                <w:szCs w:val="20"/>
              </w:rPr>
            </w:pPr>
            <w:r>
              <w:rPr>
                <w:rFonts w:ascii="Arial" w:eastAsia="Arial" w:hAnsi="Arial" w:cs="Arial"/>
                <w:b/>
                <w:sz w:val="20"/>
                <w:szCs w:val="20"/>
              </w:rPr>
              <w:t xml:space="preserve">We recommend </w:t>
            </w:r>
            <w:r w:rsidR="00732A2B">
              <w:rPr>
                <w:rFonts w:ascii="Arial" w:eastAsia="Arial" w:hAnsi="Arial" w:cs="Arial"/>
                <w:b/>
                <w:sz w:val="20"/>
                <w:szCs w:val="20"/>
              </w:rPr>
              <w:t xml:space="preserve">that </w:t>
            </w:r>
            <w:r>
              <w:rPr>
                <w:rFonts w:ascii="Arial" w:eastAsia="Arial" w:hAnsi="Arial" w:cs="Arial"/>
                <w:b/>
                <w:sz w:val="20"/>
                <w:szCs w:val="20"/>
              </w:rPr>
              <w:t>the CEDAW Committee urge the State party to:</w:t>
            </w:r>
          </w:p>
          <w:p w14:paraId="478F6F24" w14:textId="77777777" w:rsidR="00D07715" w:rsidRDefault="00D07715">
            <w:pPr>
              <w:pBdr>
                <w:top w:val="nil"/>
                <w:left w:val="nil"/>
                <w:bottom w:val="nil"/>
                <w:right w:val="nil"/>
                <w:between w:val="nil"/>
              </w:pBdr>
              <w:spacing w:line="259" w:lineRule="auto"/>
              <w:ind w:left="720"/>
              <w:jc w:val="both"/>
              <w:rPr>
                <w:rFonts w:ascii="Arial" w:eastAsia="Arial" w:hAnsi="Arial" w:cs="Arial"/>
                <w:color w:val="000000"/>
                <w:sz w:val="20"/>
                <w:szCs w:val="20"/>
              </w:rPr>
            </w:pPr>
          </w:p>
          <w:p w14:paraId="621007AE" w14:textId="77777777" w:rsidR="00D07715" w:rsidRPr="00F60AED" w:rsidRDefault="00000000">
            <w:pPr>
              <w:numPr>
                <w:ilvl w:val="0"/>
                <w:numId w:val="3"/>
              </w:numPr>
              <w:pBdr>
                <w:top w:val="nil"/>
                <w:left w:val="nil"/>
                <w:bottom w:val="nil"/>
                <w:right w:val="nil"/>
                <w:between w:val="nil"/>
              </w:pBdr>
              <w:spacing w:line="259" w:lineRule="auto"/>
              <w:jc w:val="both"/>
              <w:rPr>
                <w:rFonts w:ascii="Arial" w:eastAsia="Arial" w:hAnsi="Arial" w:cs="Arial"/>
                <w:sz w:val="20"/>
                <w:szCs w:val="20"/>
              </w:rPr>
            </w:pPr>
            <w:r>
              <w:rPr>
                <w:rFonts w:ascii="Arial" w:eastAsia="Arial" w:hAnsi="Arial" w:cs="Arial"/>
                <w:color w:val="000000"/>
                <w:sz w:val="20"/>
                <w:szCs w:val="20"/>
              </w:rPr>
              <w:t>Ensure that</w:t>
            </w:r>
            <w:r w:rsidR="00655201">
              <w:rPr>
                <w:rFonts w:ascii="Arial" w:eastAsia="Arial" w:hAnsi="Arial" w:cs="Arial"/>
                <w:color w:val="000000"/>
                <w:sz w:val="20"/>
                <w:szCs w:val="20"/>
              </w:rPr>
              <w:t xml:space="preserve"> all women in Kuwait</w:t>
            </w:r>
            <w:r>
              <w:rPr>
                <w:rFonts w:ascii="Arial" w:eastAsia="Arial" w:hAnsi="Arial" w:cs="Arial"/>
                <w:color w:val="000000"/>
                <w:sz w:val="20"/>
                <w:szCs w:val="20"/>
              </w:rPr>
              <w:t xml:space="preserve"> </w:t>
            </w:r>
            <w:r w:rsidR="00677B21">
              <w:rPr>
                <w:rFonts w:ascii="Arial" w:eastAsia="Arial" w:hAnsi="Arial" w:cs="Arial"/>
                <w:color w:val="000000"/>
                <w:sz w:val="20"/>
                <w:szCs w:val="20"/>
              </w:rPr>
              <w:t>are accorded full legal capacity and</w:t>
            </w:r>
            <w:r>
              <w:rPr>
                <w:rFonts w:ascii="Arial" w:eastAsia="Arial" w:hAnsi="Arial" w:cs="Arial"/>
                <w:color w:val="000000"/>
                <w:sz w:val="20"/>
                <w:szCs w:val="20"/>
              </w:rPr>
              <w:t xml:space="preserve"> right to enter into marriage</w:t>
            </w:r>
            <w:r w:rsidR="00677B21">
              <w:rPr>
                <w:rFonts w:ascii="Arial" w:eastAsia="Arial" w:hAnsi="Arial" w:cs="Arial"/>
                <w:color w:val="000000"/>
                <w:sz w:val="20"/>
                <w:szCs w:val="20"/>
              </w:rPr>
              <w:t xml:space="preserve">, </w:t>
            </w:r>
            <w:r>
              <w:rPr>
                <w:rFonts w:ascii="Arial" w:eastAsia="Arial" w:hAnsi="Arial" w:cs="Arial"/>
                <w:color w:val="000000"/>
                <w:sz w:val="20"/>
                <w:szCs w:val="20"/>
              </w:rPr>
              <w:t xml:space="preserve">without requiring the permission of a male guardian, and without having to resort to court proceedings to obtain this right. </w:t>
            </w:r>
          </w:p>
          <w:p w14:paraId="64A79C2E" w14:textId="44E1FE85" w:rsidR="00F60AED" w:rsidRPr="0000571E" w:rsidRDefault="00F60AED" w:rsidP="00F60AED">
            <w:pPr>
              <w:pBdr>
                <w:top w:val="nil"/>
                <w:left w:val="nil"/>
                <w:bottom w:val="nil"/>
                <w:right w:val="nil"/>
                <w:between w:val="nil"/>
              </w:pBdr>
              <w:spacing w:line="259" w:lineRule="auto"/>
              <w:ind w:left="720"/>
              <w:jc w:val="both"/>
              <w:rPr>
                <w:rFonts w:ascii="Arial" w:eastAsia="Arial" w:hAnsi="Arial" w:cs="Arial"/>
                <w:sz w:val="10"/>
                <w:szCs w:val="10"/>
              </w:rPr>
            </w:pPr>
          </w:p>
        </w:tc>
      </w:tr>
    </w:tbl>
    <w:p w14:paraId="6F76B8E9" w14:textId="77777777" w:rsidR="00655201" w:rsidRDefault="00655201">
      <w:pPr>
        <w:rPr>
          <w:rFonts w:ascii="Arial" w:eastAsia="Arial" w:hAnsi="Arial" w:cs="Arial"/>
        </w:rPr>
      </w:pPr>
    </w:p>
    <w:p w14:paraId="43FA98F8" w14:textId="1A69647E" w:rsidR="00D07715" w:rsidRDefault="003B19C8" w:rsidP="008C1050">
      <w:pPr>
        <w:pStyle w:val="Heading2"/>
        <w:numPr>
          <w:ilvl w:val="0"/>
          <w:numId w:val="1"/>
        </w:numPr>
        <w:ind w:left="540" w:hanging="540"/>
        <w:rPr>
          <w:rFonts w:ascii="Arial" w:hAnsi="Arial" w:cs="Arial"/>
        </w:rPr>
      </w:pPr>
      <w:bookmarkStart w:id="7" w:name="_Toc163864103"/>
      <w:r>
        <w:rPr>
          <w:rFonts w:ascii="Arial" w:hAnsi="Arial" w:cs="Arial"/>
        </w:rPr>
        <w:t>Early and Child Marriage</w:t>
      </w:r>
      <w:bookmarkEnd w:id="7"/>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3E4F78">
        <w:rPr>
          <w:rFonts w:ascii="Arial" w:hAnsi="Arial" w:cs="Arial"/>
        </w:rPr>
        <w:t xml:space="preserve">         </w:t>
      </w:r>
    </w:p>
    <w:p w14:paraId="12FBAB8B" w14:textId="77777777" w:rsidR="00655201" w:rsidRDefault="00655201" w:rsidP="00655201">
      <w:pPr>
        <w:pStyle w:val="NoSpacing"/>
        <w:numPr>
          <w:ilvl w:val="0"/>
          <w:numId w:val="0"/>
        </w:numPr>
        <w:rPr>
          <w:rFonts w:eastAsia="Arial" w:cs="Arial"/>
        </w:rPr>
      </w:pPr>
    </w:p>
    <w:p w14:paraId="783D44AB" w14:textId="015FC2B4" w:rsidR="003B19C8" w:rsidRDefault="00655201" w:rsidP="00F60AED">
      <w:pPr>
        <w:pStyle w:val="NoSpacing"/>
        <w:numPr>
          <w:ilvl w:val="0"/>
          <w:numId w:val="0"/>
        </w:numPr>
        <w:jc w:val="both"/>
        <w:rPr>
          <w:rFonts w:cs="Arial"/>
        </w:rPr>
      </w:pPr>
      <w:r>
        <w:t xml:space="preserve">The Personal Status Act of 1984 does not </w:t>
      </w:r>
      <w:r>
        <w:rPr>
          <w:rFonts w:cs="Arial"/>
        </w:rPr>
        <w:t xml:space="preserve">specify a </w:t>
      </w:r>
      <w:r w:rsidR="003B19C8" w:rsidRPr="00A26494">
        <w:rPr>
          <w:rFonts w:cs="Arial"/>
        </w:rPr>
        <w:t>minimum age of marriage</w:t>
      </w:r>
      <w:r w:rsidR="0000571E">
        <w:rPr>
          <w:rFonts w:cs="Arial"/>
        </w:rPr>
        <w:t xml:space="preserve"> for either girls or boys</w:t>
      </w:r>
      <w:r w:rsidR="003B19C8" w:rsidRPr="00A26494">
        <w:rPr>
          <w:rFonts w:cs="Arial"/>
        </w:rPr>
        <w:t xml:space="preserve">. Article 24 of the </w:t>
      </w:r>
      <w:r>
        <w:rPr>
          <w:rFonts w:cs="Arial"/>
        </w:rPr>
        <w:t xml:space="preserve">Act </w:t>
      </w:r>
      <w:r w:rsidR="003B19C8" w:rsidRPr="00A26494">
        <w:rPr>
          <w:rFonts w:cs="Arial"/>
        </w:rPr>
        <w:t>merely requires that both parties have reached puberty for a marriage to be valid</w:t>
      </w:r>
      <w:r w:rsidR="0000571E">
        <w:rPr>
          <w:rFonts w:cs="Arial"/>
        </w:rPr>
        <w:t>.</w:t>
      </w:r>
      <w:r w:rsidR="003B19C8" w:rsidRPr="00A26494">
        <w:rPr>
          <w:rFonts w:cs="Arial"/>
          <w:vertAlign w:val="superscript"/>
        </w:rPr>
        <w:footnoteReference w:id="59"/>
      </w:r>
      <w:r w:rsidR="003B19C8" w:rsidRPr="00A26494">
        <w:rPr>
          <w:rFonts w:cs="Arial"/>
        </w:rPr>
        <w:t xml:space="preserve"> </w:t>
      </w:r>
      <w:r w:rsidR="0000571E">
        <w:rPr>
          <w:rFonts w:cs="Arial"/>
        </w:rPr>
        <w:t xml:space="preserve">However, </w:t>
      </w:r>
      <w:r w:rsidR="003B19C8" w:rsidRPr="00A26494">
        <w:rPr>
          <w:rFonts w:cs="Arial"/>
        </w:rPr>
        <w:t>Article 26 stipulates the ages at which a marriage contract can be officially registered</w:t>
      </w:r>
      <w:r w:rsidR="0000571E">
        <w:rPr>
          <w:rFonts w:cs="Arial"/>
        </w:rPr>
        <w:t xml:space="preserve">, which are </w:t>
      </w:r>
      <w:r w:rsidR="003B19C8" w:rsidRPr="00A26494">
        <w:rPr>
          <w:rFonts w:cs="Arial"/>
        </w:rPr>
        <w:t>15</w:t>
      </w:r>
      <w:r w:rsidR="008C1050">
        <w:rPr>
          <w:rFonts w:cs="Arial"/>
        </w:rPr>
        <w:t xml:space="preserve"> years</w:t>
      </w:r>
      <w:r w:rsidR="003B19C8" w:rsidRPr="00A26494">
        <w:rPr>
          <w:rFonts w:cs="Arial"/>
        </w:rPr>
        <w:t xml:space="preserve"> for girls and 17 </w:t>
      </w:r>
      <w:r w:rsidR="008C1050">
        <w:rPr>
          <w:rFonts w:cs="Arial"/>
        </w:rPr>
        <w:t xml:space="preserve">years </w:t>
      </w:r>
      <w:r w:rsidR="003B19C8" w:rsidRPr="00A26494">
        <w:rPr>
          <w:rFonts w:cs="Arial"/>
        </w:rPr>
        <w:t>for boys.</w:t>
      </w:r>
      <w:r w:rsidR="003B19C8" w:rsidRPr="00A26494">
        <w:rPr>
          <w:rFonts w:cs="Arial"/>
          <w:vertAlign w:val="superscript"/>
        </w:rPr>
        <w:footnoteReference w:id="60"/>
      </w:r>
      <w:r w:rsidR="003B19C8" w:rsidRPr="00A26494">
        <w:rPr>
          <w:rFonts w:cs="Arial"/>
        </w:rPr>
        <w:t xml:space="preserve"> </w:t>
      </w:r>
    </w:p>
    <w:p w14:paraId="08F99AF4" w14:textId="77777777" w:rsidR="00813C7A" w:rsidRDefault="00813C7A" w:rsidP="00F60AED">
      <w:pPr>
        <w:pStyle w:val="NoSpacing"/>
        <w:numPr>
          <w:ilvl w:val="0"/>
          <w:numId w:val="0"/>
        </w:numPr>
        <w:jc w:val="both"/>
        <w:rPr>
          <w:rFonts w:cs="Arial"/>
        </w:rPr>
      </w:pPr>
    </w:p>
    <w:p w14:paraId="328E060E" w14:textId="5395F2F3" w:rsidR="006D3872" w:rsidRDefault="006D3872" w:rsidP="00F60AED">
      <w:pPr>
        <w:pStyle w:val="NoSpacing"/>
        <w:numPr>
          <w:ilvl w:val="0"/>
          <w:numId w:val="0"/>
        </w:numPr>
        <w:jc w:val="both"/>
        <w:rPr>
          <w:rFonts w:cs="Arial"/>
        </w:rPr>
      </w:pPr>
      <w:r>
        <w:rPr>
          <w:rFonts w:cs="Arial"/>
        </w:rPr>
        <w:t xml:space="preserve">The </w:t>
      </w:r>
      <w:proofErr w:type="spellStart"/>
      <w:r>
        <w:rPr>
          <w:rFonts w:cs="Arial"/>
        </w:rPr>
        <w:t>Ja’fari</w:t>
      </w:r>
      <w:proofErr w:type="spellEnd"/>
      <w:r>
        <w:rPr>
          <w:rFonts w:cs="Arial"/>
        </w:rPr>
        <w:t xml:space="preserve"> Personal Status Act similarly does not specify a minimum </w:t>
      </w:r>
      <w:r w:rsidR="00DD06C5">
        <w:rPr>
          <w:rFonts w:cs="Arial"/>
        </w:rPr>
        <w:t>marriage age</w:t>
      </w:r>
      <w:r>
        <w:rPr>
          <w:rFonts w:cs="Arial"/>
        </w:rPr>
        <w:t xml:space="preserve">. Moreover, Article </w:t>
      </w:r>
      <w:r w:rsidR="00D57424">
        <w:rPr>
          <w:rFonts w:cs="Arial"/>
        </w:rPr>
        <w:t xml:space="preserve">23 of the Act permits a father, grandfather, or a judge-assigned guardian to contract the marriage of minors – with no minimum age specified – provided it was in the “interest of the minor.” The Article does not require any specific procedures for determining “interest,” nor does it provide for court supervision over the marriage of minors. </w:t>
      </w:r>
    </w:p>
    <w:p w14:paraId="28F8B7D7" w14:textId="11277D3C" w:rsidR="00D07715" w:rsidRPr="0000571E" w:rsidRDefault="00D07715" w:rsidP="003B19C8">
      <w:pPr>
        <w:pBdr>
          <w:top w:val="nil"/>
          <w:left w:val="nil"/>
          <w:bottom w:val="nil"/>
          <w:right w:val="nil"/>
          <w:between w:val="nil"/>
        </w:pBdr>
        <w:jc w:val="both"/>
        <w:rPr>
          <w:rFonts w:ascii="Arial" w:eastAsia="Arial" w:hAnsi="Arial" w:cs="Arial"/>
          <w:sz w:val="28"/>
          <w:szCs w:val="28"/>
        </w:rPr>
      </w:pPr>
    </w:p>
    <w:p w14:paraId="10D16D86" w14:textId="44CDD641" w:rsidR="00F808C9" w:rsidRDefault="003B19C8" w:rsidP="000D5945">
      <w:pPr>
        <w:jc w:val="center"/>
        <w:rPr>
          <w:rFonts w:ascii="Arial" w:eastAsia="Arial" w:hAnsi="Arial" w:cs="Arial"/>
          <w:b/>
        </w:rPr>
      </w:pPr>
      <w:r>
        <w:rPr>
          <w:rFonts w:ascii="Arial" w:eastAsia="Arial" w:hAnsi="Arial" w:cs="Arial"/>
          <w:noProof/>
        </w:rPr>
        <w:lastRenderedPageBreak/>
        <w:drawing>
          <wp:inline distT="0" distB="0" distL="0" distR="0" wp14:anchorId="2463FB9D" wp14:editId="37F75C5F">
            <wp:extent cx="5664200" cy="3062360"/>
            <wp:effectExtent l="12700" t="12700" r="12700" b="11430"/>
            <wp:docPr id="14" name="Picture 14" descr="Macintosh HD:Users:Hyshyama:Downloads:Positive Developments 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yshyama:Downloads:Positive Developments 3:4.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3831"/>
                    <a:stretch/>
                  </pic:blipFill>
                  <pic:spPr bwMode="auto">
                    <a:xfrm>
                      <a:off x="0" y="0"/>
                      <a:ext cx="5664200" cy="3062360"/>
                    </a:xfrm>
                    <a:prstGeom prst="rect">
                      <a:avLst/>
                    </a:prstGeom>
                    <a:noFill/>
                    <a:ln>
                      <a:solidFill>
                        <a:srgbClr val="595959"/>
                      </a:solidFill>
                    </a:ln>
                    <a:extLst>
                      <a:ext uri="{53640926-AAD7-44D8-BBD7-CCE9431645EC}">
                        <a14:shadowObscured xmlns:a14="http://schemas.microsoft.com/office/drawing/2010/main"/>
                      </a:ext>
                    </a:extLst>
                  </pic:spPr>
                </pic:pic>
              </a:graphicData>
            </a:graphic>
          </wp:inline>
        </w:drawing>
      </w:r>
    </w:p>
    <w:p w14:paraId="1F902839" w14:textId="77777777" w:rsidR="00F808C9" w:rsidRDefault="00F808C9">
      <w:pPr>
        <w:rPr>
          <w:rFonts w:ascii="Arial" w:eastAsia="Arial" w:hAnsi="Arial" w:cs="Arial"/>
          <w:b/>
        </w:rPr>
      </w:pPr>
    </w:p>
    <w:p w14:paraId="60BD6B82" w14:textId="515C2544" w:rsidR="000D5945" w:rsidRDefault="000D5945" w:rsidP="000D5945">
      <w:pPr>
        <w:jc w:val="center"/>
        <w:rPr>
          <w:rFonts w:ascii="Arial" w:eastAsia="Arial" w:hAnsi="Arial" w:cs="Arial"/>
          <w:b/>
        </w:rPr>
      </w:pPr>
      <w:r>
        <w:rPr>
          <w:rFonts w:ascii="Arial" w:eastAsia="Arial" w:hAnsi="Arial" w:cs="Arial"/>
          <w:b/>
          <w:noProof/>
        </w:rPr>
        <w:drawing>
          <wp:inline distT="0" distB="0" distL="0" distR="0" wp14:anchorId="570E70D4" wp14:editId="498C9AB9">
            <wp:extent cx="3846304" cy="3519454"/>
            <wp:effectExtent l="0" t="0" r="1905" b="0"/>
            <wp:docPr id="19782047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04709" name="Picture 197820470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62913" cy="3534651"/>
                    </a:xfrm>
                    <a:prstGeom prst="rect">
                      <a:avLst/>
                    </a:prstGeom>
                  </pic:spPr>
                </pic:pic>
              </a:graphicData>
            </a:graphic>
          </wp:inline>
        </w:drawing>
      </w:r>
    </w:p>
    <w:p w14:paraId="2B8302C9" w14:textId="77777777" w:rsidR="000D5945" w:rsidRDefault="000D5945">
      <w:pPr>
        <w:rPr>
          <w:rFonts w:ascii="Arial" w:eastAsia="Arial" w:hAnsi="Arial" w:cs="Arial"/>
          <w:b/>
        </w:rPr>
      </w:pPr>
    </w:p>
    <w:tbl>
      <w:tblPr>
        <w:tblStyle w:val="a7"/>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07715" w14:paraId="2E8D50D6" w14:textId="77777777">
        <w:trPr>
          <w:trHeight w:val="721"/>
        </w:trPr>
        <w:tc>
          <w:tcPr>
            <w:tcW w:w="8903" w:type="dxa"/>
            <w:shd w:val="clear" w:color="auto" w:fill="D9D9D9"/>
            <w:tcMar>
              <w:top w:w="100" w:type="dxa"/>
              <w:left w:w="100" w:type="dxa"/>
              <w:bottom w:w="100" w:type="dxa"/>
              <w:right w:w="100" w:type="dxa"/>
            </w:tcMar>
          </w:tcPr>
          <w:p w14:paraId="5978CF6D" w14:textId="77777777" w:rsidR="00D07715" w:rsidRDefault="00000000" w:rsidP="0000571E">
            <w:pPr>
              <w:widowControl w:val="0"/>
              <w:spacing w:before="120" w:after="240"/>
              <w:jc w:val="both"/>
              <w:rPr>
                <w:rFonts w:ascii="Arial" w:eastAsia="Arial" w:hAnsi="Arial" w:cs="Arial"/>
                <w:b/>
                <w:sz w:val="20"/>
                <w:szCs w:val="20"/>
                <w:u w:val="single"/>
              </w:rPr>
            </w:pPr>
            <w:r>
              <w:rPr>
                <w:rFonts w:ascii="Arial" w:eastAsia="Arial" w:hAnsi="Arial" w:cs="Arial"/>
                <w:b/>
                <w:sz w:val="20"/>
                <w:szCs w:val="20"/>
                <w:u w:val="single"/>
              </w:rPr>
              <w:t>RECOMMENDATIONS</w:t>
            </w:r>
          </w:p>
          <w:p w14:paraId="0ABA7B51" w14:textId="15F5D8D1" w:rsidR="00D07715" w:rsidRDefault="00000000">
            <w:pPr>
              <w:jc w:val="both"/>
              <w:rPr>
                <w:rFonts w:ascii="Arial" w:eastAsia="Arial" w:hAnsi="Arial" w:cs="Arial"/>
                <w:sz w:val="20"/>
                <w:szCs w:val="20"/>
              </w:rPr>
            </w:pPr>
            <w:r>
              <w:rPr>
                <w:rFonts w:ascii="Arial" w:eastAsia="Arial" w:hAnsi="Arial" w:cs="Arial"/>
                <w:b/>
                <w:sz w:val="20"/>
                <w:szCs w:val="20"/>
              </w:rPr>
              <w:t xml:space="preserve">We recommend </w:t>
            </w:r>
            <w:r w:rsidR="00732A2B">
              <w:rPr>
                <w:rFonts w:ascii="Arial" w:eastAsia="Arial" w:hAnsi="Arial" w:cs="Arial"/>
                <w:b/>
                <w:sz w:val="20"/>
                <w:szCs w:val="20"/>
              </w:rPr>
              <w:t xml:space="preserve">that </w:t>
            </w:r>
            <w:r>
              <w:rPr>
                <w:rFonts w:ascii="Arial" w:eastAsia="Arial" w:hAnsi="Arial" w:cs="Arial"/>
                <w:b/>
                <w:sz w:val="20"/>
                <w:szCs w:val="20"/>
              </w:rPr>
              <w:t>the CEDAW Committee urge the State party to:</w:t>
            </w:r>
          </w:p>
          <w:p w14:paraId="2F19896D" w14:textId="77777777" w:rsidR="00D07715" w:rsidRDefault="00D07715">
            <w:pPr>
              <w:jc w:val="both"/>
              <w:rPr>
                <w:rFonts w:ascii="Arial" w:eastAsia="Arial" w:hAnsi="Arial" w:cs="Arial"/>
                <w:sz w:val="20"/>
                <w:szCs w:val="20"/>
              </w:rPr>
            </w:pPr>
          </w:p>
          <w:p w14:paraId="31763D40" w14:textId="6EC7EF01" w:rsidR="00D57424" w:rsidRDefault="00D57424" w:rsidP="00D57424">
            <w:pPr>
              <w:pStyle w:val="NoSpacing"/>
            </w:pPr>
            <w:r>
              <w:t>Enforce 18 years as the absolute minimum age of marriage for Muslim girls and remove all legal loopholes that allow for exceptions</w:t>
            </w:r>
            <w:r w:rsidR="00677B21">
              <w:t xml:space="preserve"> and abuse</w:t>
            </w:r>
            <w:r>
              <w:t>.</w:t>
            </w:r>
          </w:p>
          <w:p w14:paraId="68F232A2" w14:textId="77777777" w:rsidR="00D07715" w:rsidRPr="0000571E" w:rsidRDefault="00D07715" w:rsidP="00D57424">
            <w:pPr>
              <w:pBdr>
                <w:top w:val="nil"/>
                <w:left w:val="nil"/>
                <w:bottom w:val="nil"/>
                <w:right w:val="nil"/>
                <w:between w:val="nil"/>
              </w:pBdr>
              <w:spacing w:line="259" w:lineRule="auto"/>
              <w:ind w:left="360"/>
              <w:jc w:val="both"/>
              <w:rPr>
                <w:rFonts w:ascii="Arial" w:eastAsia="Arial" w:hAnsi="Arial" w:cs="Arial"/>
                <w:color w:val="000000"/>
                <w:sz w:val="10"/>
                <w:szCs w:val="10"/>
              </w:rPr>
            </w:pPr>
          </w:p>
        </w:tc>
      </w:tr>
    </w:tbl>
    <w:p w14:paraId="081E1294" w14:textId="77777777" w:rsidR="00704666" w:rsidRDefault="00704666">
      <w:pPr>
        <w:rPr>
          <w:rFonts w:ascii="Arial" w:eastAsia="Arial" w:hAnsi="Arial" w:cs="Arial"/>
        </w:rPr>
      </w:pPr>
    </w:p>
    <w:p w14:paraId="3485C9E2" w14:textId="5E6F4833" w:rsidR="00D07715" w:rsidRDefault="008C1050" w:rsidP="008C1050">
      <w:pPr>
        <w:pStyle w:val="Heading2"/>
        <w:numPr>
          <w:ilvl w:val="0"/>
          <w:numId w:val="1"/>
        </w:numPr>
        <w:ind w:left="540" w:hanging="540"/>
        <w:rPr>
          <w:rFonts w:ascii="Arial" w:hAnsi="Arial" w:cs="Arial"/>
        </w:rPr>
      </w:pPr>
      <w:bookmarkStart w:id="8" w:name="_Toc163864104"/>
      <w:r>
        <w:rPr>
          <w:rFonts w:ascii="Arial" w:hAnsi="Arial" w:cs="Arial"/>
        </w:rPr>
        <w:t>Discrimination in Divorce Rights</w:t>
      </w:r>
      <w:bookmarkEnd w:id="8"/>
      <w:r>
        <w:rPr>
          <w:rFonts w:ascii="Arial" w:hAnsi="Arial" w:cs="Arial"/>
        </w:rPr>
        <w:t xml:space="preserve"> </w:t>
      </w:r>
      <w:r w:rsidR="003B5E19">
        <w:rPr>
          <w:rFonts w:ascii="Arial" w:hAnsi="Arial" w:cs="Arial"/>
        </w:rPr>
        <w:t xml:space="preserve"> </w:t>
      </w:r>
      <w:r w:rsidR="003B5E19">
        <w:rPr>
          <w:rFonts w:ascii="Arial" w:hAnsi="Arial" w:cs="Arial"/>
        </w:rPr>
        <w:tab/>
      </w:r>
      <w:r w:rsidR="003B5E19">
        <w:rPr>
          <w:rFonts w:ascii="Arial" w:hAnsi="Arial" w:cs="Arial"/>
        </w:rPr>
        <w:tab/>
      </w:r>
      <w:r w:rsidR="003B5E19">
        <w:rPr>
          <w:rFonts w:ascii="Arial" w:hAnsi="Arial" w:cs="Arial"/>
        </w:rPr>
        <w:tab/>
      </w:r>
      <w:r w:rsidR="003B5E19">
        <w:rPr>
          <w:rFonts w:ascii="Arial" w:hAnsi="Arial" w:cs="Arial"/>
        </w:rPr>
        <w:tab/>
      </w:r>
    </w:p>
    <w:p w14:paraId="0B9EA9C3" w14:textId="77777777" w:rsidR="00D07715" w:rsidRPr="002C5B71" w:rsidRDefault="00D07715">
      <w:pPr>
        <w:rPr>
          <w:rFonts w:ascii="Arial" w:eastAsia="Arial" w:hAnsi="Arial" w:cs="Arial"/>
          <w:sz w:val="20"/>
          <w:szCs w:val="20"/>
        </w:rPr>
      </w:pPr>
    </w:p>
    <w:p w14:paraId="611B2219" w14:textId="7DF38E6A" w:rsidR="009B5015" w:rsidRDefault="00B67131" w:rsidP="009B5015">
      <w:pPr>
        <w:pStyle w:val="NoSpacing"/>
        <w:numPr>
          <w:ilvl w:val="0"/>
          <w:numId w:val="0"/>
        </w:numPr>
        <w:spacing w:after="240"/>
        <w:jc w:val="both"/>
        <w:rPr>
          <w:rFonts w:cs="Arial"/>
          <w:color w:val="auto"/>
        </w:rPr>
      </w:pPr>
      <w:r>
        <w:rPr>
          <w:rFonts w:cs="Arial"/>
          <w:color w:val="auto"/>
        </w:rPr>
        <w:t xml:space="preserve">The laws in Kuwait discriminate against women by constraining their access to divorce, in contrast to the unrestricted divorce rights granted to men. Specifically, </w:t>
      </w:r>
      <w:r w:rsidR="009B5015">
        <w:rPr>
          <w:rFonts w:cs="Arial"/>
          <w:color w:val="auto"/>
        </w:rPr>
        <w:t>these</w:t>
      </w:r>
      <w:r>
        <w:rPr>
          <w:rFonts w:cs="Arial"/>
          <w:color w:val="auto"/>
        </w:rPr>
        <w:t xml:space="preserve"> laws </w:t>
      </w:r>
      <w:r w:rsidR="009B5015">
        <w:rPr>
          <w:rFonts w:cs="Arial"/>
          <w:color w:val="auto"/>
        </w:rPr>
        <w:t>limit women’s ability to exit harmful and violent marriages and fail to protect the safety and wellbeing of women</w:t>
      </w:r>
      <w:r w:rsidR="00F15E50">
        <w:rPr>
          <w:rFonts w:cs="Arial"/>
          <w:color w:val="auto"/>
        </w:rPr>
        <w:t xml:space="preserve">. </w:t>
      </w:r>
    </w:p>
    <w:p w14:paraId="18C1D5D6" w14:textId="68F80CB2" w:rsidR="003B5E19" w:rsidRPr="00E70D37" w:rsidRDefault="009B5015" w:rsidP="002B3D55">
      <w:pPr>
        <w:pStyle w:val="NoSpacing"/>
        <w:numPr>
          <w:ilvl w:val="0"/>
          <w:numId w:val="0"/>
        </w:numPr>
        <w:spacing w:after="240"/>
        <w:jc w:val="both"/>
        <w:rPr>
          <w:rFonts w:cs="Arial"/>
          <w:color w:val="auto"/>
          <w:sz w:val="18"/>
        </w:rPr>
      </w:pPr>
      <w:r>
        <w:rPr>
          <w:rFonts w:cs="Arial"/>
          <w:color w:val="auto"/>
        </w:rPr>
        <w:lastRenderedPageBreak/>
        <w:t xml:space="preserve">Kuwaiti </w:t>
      </w:r>
      <w:r w:rsidR="00251E7C">
        <w:rPr>
          <w:rFonts w:cs="Arial"/>
          <w:color w:val="auto"/>
        </w:rPr>
        <w:t>laws provide</w:t>
      </w:r>
      <w:r w:rsidR="003B5E19" w:rsidRPr="00E70D37">
        <w:rPr>
          <w:rFonts w:cs="Arial"/>
          <w:color w:val="auto"/>
        </w:rPr>
        <w:t xml:space="preserve"> for three different mechanisms for divorce:</w:t>
      </w:r>
    </w:p>
    <w:p w14:paraId="297316E1" w14:textId="390D4D0A" w:rsidR="003B5E19" w:rsidRDefault="003B5E19" w:rsidP="00DC76CC">
      <w:pPr>
        <w:pStyle w:val="NoSpacing"/>
        <w:numPr>
          <w:ilvl w:val="0"/>
          <w:numId w:val="16"/>
        </w:numPr>
        <w:ind w:left="720" w:hanging="360"/>
        <w:jc w:val="both"/>
        <w:rPr>
          <w:rFonts w:cs="Arial"/>
          <w:color w:val="auto"/>
        </w:rPr>
      </w:pPr>
      <w:r w:rsidRPr="00E70D37">
        <w:rPr>
          <w:rFonts w:cs="Arial"/>
          <w:b/>
          <w:color w:val="auto"/>
        </w:rPr>
        <w:t>Unilateral repudiation</w:t>
      </w:r>
      <w:r w:rsidR="004E13E4">
        <w:rPr>
          <w:rFonts w:cs="Arial" w:hint="cs"/>
          <w:b/>
          <w:color w:val="auto"/>
          <w:rtl/>
        </w:rPr>
        <w:t xml:space="preserve"> </w:t>
      </w:r>
      <w:r w:rsidR="004E13E4">
        <w:rPr>
          <w:rFonts w:cs="Arial"/>
          <w:b/>
          <w:color w:val="auto"/>
        </w:rPr>
        <w:t>(</w:t>
      </w:r>
      <w:r w:rsidR="004E13E4">
        <w:rPr>
          <w:rFonts w:cs="Arial"/>
          <w:b/>
          <w:i/>
          <w:iCs/>
          <w:color w:val="auto"/>
        </w:rPr>
        <w:t>Talaq</w:t>
      </w:r>
      <w:r w:rsidR="004E13E4">
        <w:rPr>
          <w:rFonts w:cs="Arial"/>
          <w:b/>
          <w:color w:val="auto"/>
        </w:rPr>
        <w:t>)</w:t>
      </w:r>
      <w:r w:rsidRPr="00E70D37">
        <w:rPr>
          <w:rFonts w:cs="Arial"/>
          <w:b/>
          <w:color w:val="auto"/>
        </w:rPr>
        <w:t>:</w:t>
      </w:r>
      <w:r w:rsidRPr="00E70D37">
        <w:rPr>
          <w:rFonts w:cs="Arial"/>
          <w:color w:val="auto"/>
        </w:rPr>
        <w:t xml:space="preserve"> A husband may unilaterally repudiate a marriage without </w:t>
      </w:r>
      <w:r w:rsidR="00251E7C">
        <w:rPr>
          <w:rFonts w:cs="Arial"/>
          <w:color w:val="auto"/>
        </w:rPr>
        <w:t xml:space="preserve">a specific cause </w:t>
      </w:r>
      <w:r w:rsidR="002B3D55">
        <w:rPr>
          <w:rFonts w:cs="Arial"/>
          <w:color w:val="auto"/>
        </w:rPr>
        <w:t>and without</w:t>
      </w:r>
      <w:r w:rsidR="00251E7C">
        <w:rPr>
          <w:rFonts w:cs="Arial"/>
          <w:color w:val="auto"/>
        </w:rPr>
        <w:t xml:space="preserve"> restrictions</w:t>
      </w:r>
      <w:r w:rsidRPr="00E70D37">
        <w:rPr>
          <w:rFonts w:cs="Arial"/>
          <w:color w:val="auto"/>
        </w:rPr>
        <w:t>.</w:t>
      </w:r>
      <w:r w:rsidRPr="00D02282">
        <w:rPr>
          <w:rFonts w:cs="Arial"/>
          <w:color w:val="auto"/>
          <w:vertAlign w:val="superscript"/>
        </w:rPr>
        <w:footnoteReference w:id="61"/>
      </w:r>
      <w:r w:rsidRPr="00D02282">
        <w:rPr>
          <w:rFonts w:cs="Arial"/>
          <w:color w:val="auto"/>
        </w:rPr>
        <w:t xml:space="preserve"> </w:t>
      </w:r>
      <w:r w:rsidR="00B67131">
        <w:rPr>
          <w:rFonts w:cs="Arial"/>
          <w:color w:val="auto"/>
        </w:rPr>
        <w:t>A woman’s consent or presence is not required for a divorce to take place.</w:t>
      </w:r>
    </w:p>
    <w:p w14:paraId="07915723" w14:textId="77777777" w:rsidR="00DC76CC" w:rsidRDefault="00DC76CC" w:rsidP="00DC76CC">
      <w:pPr>
        <w:pStyle w:val="NoSpacing"/>
        <w:numPr>
          <w:ilvl w:val="0"/>
          <w:numId w:val="0"/>
        </w:numPr>
        <w:ind w:left="720"/>
        <w:jc w:val="both"/>
        <w:rPr>
          <w:rFonts w:cs="Arial"/>
          <w:color w:val="auto"/>
        </w:rPr>
      </w:pPr>
    </w:p>
    <w:p w14:paraId="1DACD9E9" w14:textId="0E315881" w:rsidR="00DC76CC" w:rsidRDefault="00DC76CC" w:rsidP="00DC76CC">
      <w:pPr>
        <w:pStyle w:val="NoSpacing"/>
        <w:numPr>
          <w:ilvl w:val="0"/>
          <w:numId w:val="16"/>
        </w:numPr>
        <w:ind w:left="720" w:hanging="360"/>
        <w:jc w:val="both"/>
        <w:rPr>
          <w:rFonts w:cs="Arial"/>
          <w:color w:val="auto"/>
          <w:rtl/>
        </w:rPr>
      </w:pPr>
      <w:r>
        <w:rPr>
          <w:rFonts w:cs="Arial"/>
          <w:b/>
          <w:iCs/>
          <w:color w:val="auto"/>
        </w:rPr>
        <w:t>Judicial divorce (</w:t>
      </w:r>
      <w:proofErr w:type="spellStart"/>
      <w:r w:rsidRPr="004E13E4">
        <w:rPr>
          <w:rFonts w:cs="Arial"/>
          <w:b/>
          <w:i/>
          <w:color w:val="auto"/>
        </w:rPr>
        <w:t>Tatliq</w:t>
      </w:r>
      <w:proofErr w:type="spellEnd"/>
      <w:r w:rsidR="0088727B">
        <w:rPr>
          <w:rFonts w:cs="Arial"/>
          <w:b/>
          <w:i/>
          <w:color w:val="auto"/>
        </w:rPr>
        <w:t xml:space="preserve"> </w:t>
      </w:r>
      <w:r w:rsidR="0088727B">
        <w:rPr>
          <w:rFonts w:cs="Arial"/>
          <w:b/>
          <w:iCs/>
          <w:color w:val="auto"/>
        </w:rPr>
        <w:t xml:space="preserve">or </w:t>
      </w:r>
      <w:proofErr w:type="spellStart"/>
      <w:r w:rsidR="0088727B">
        <w:rPr>
          <w:rFonts w:cs="Arial"/>
          <w:b/>
          <w:i/>
          <w:color w:val="auto"/>
        </w:rPr>
        <w:t>Tafriq</w:t>
      </w:r>
      <w:proofErr w:type="spellEnd"/>
      <w:r>
        <w:rPr>
          <w:rFonts w:cs="Arial"/>
          <w:b/>
          <w:iCs/>
          <w:color w:val="auto"/>
        </w:rPr>
        <w:t>)</w:t>
      </w:r>
      <w:r w:rsidRPr="00E70D37">
        <w:rPr>
          <w:rFonts w:cs="Arial"/>
          <w:color w:val="auto"/>
        </w:rPr>
        <w:t xml:space="preserve">: </w:t>
      </w:r>
      <w:r>
        <w:rPr>
          <w:rFonts w:cs="Arial"/>
          <w:color w:val="auto"/>
        </w:rPr>
        <w:t>A woman may initiate court action to seek a judicially ordered divorce</w:t>
      </w:r>
      <w:r w:rsidR="009B5015">
        <w:rPr>
          <w:rFonts w:cs="Arial"/>
          <w:color w:val="auto"/>
        </w:rPr>
        <w:t xml:space="preserve"> based on limited, narrowly defined grounds</w:t>
      </w:r>
      <w:r>
        <w:rPr>
          <w:rFonts w:cs="Arial"/>
          <w:color w:val="auto"/>
        </w:rPr>
        <w:t xml:space="preserve">. </w:t>
      </w:r>
    </w:p>
    <w:p w14:paraId="2A68DCFF" w14:textId="77777777" w:rsidR="00DC76CC" w:rsidRDefault="00DC76CC" w:rsidP="00DC76CC">
      <w:pPr>
        <w:pStyle w:val="NoSpacing"/>
        <w:numPr>
          <w:ilvl w:val="0"/>
          <w:numId w:val="0"/>
        </w:numPr>
        <w:ind w:left="720"/>
        <w:jc w:val="both"/>
        <w:rPr>
          <w:rFonts w:cs="Arial"/>
          <w:bCs/>
          <w:color w:val="auto"/>
        </w:rPr>
      </w:pPr>
    </w:p>
    <w:p w14:paraId="0B308601" w14:textId="074BA66F" w:rsidR="00DC76CC" w:rsidRDefault="00DC76CC" w:rsidP="00DC76CC">
      <w:pPr>
        <w:pStyle w:val="NoSpacing"/>
        <w:numPr>
          <w:ilvl w:val="0"/>
          <w:numId w:val="0"/>
        </w:numPr>
        <w:ind w:left="720"/>
        <w:jc w:val="both"/>
        <w:rPr>
          <w:rFonts w:cs="Arial"/>
          <w:color w:val="auto"/>
        </w:rPr>
      </w:pPr>
      <w:r>
        <w:rPr>
          <w:rFonts w:cs="Arial"/>
          <w:bCs/>
          <w:color w:val="auto"/>
        </w:rPr>
        <w:t xml:space="preserve">For Sunnis, the Personal Status Acts provides that </w:t>
      </w:r>
      <w:r>
        <w:rPr>
          <w:rFonts w:cs="Arial"/>
          <w:color w:val="auto"/>
        </w:rPr>
        <w:t>v</w:t>
      </w:r>
      <w:r w:rsidRPr="00E70D37">
        <w:rPr>
          <w:rFonts w:cs="Arial"/>
          <w:color w:val="auto"/>
        </w:rPr>
        <w:t>alid grounds for seeking judicial divorce by a wife include a husband’s failure to provide financial maintenance</w:t>
      </w:r>
      <w:r>
        <w:rPr>
          <w:rFonts w:cs="Arial"/>
          <w:color w:val="auto"/>
        </w:rPr>
        <w:t>,</w:t>
      </w:r>
      <w:r w:rsidRPr="00E70D37">
        <w:rPr>
          <w:rFonts w:cs="Arial"/>
          <w:color w:val="auto"/>
        </w:rPr>
        <w:t xml:space="preserve"> </w:t>
      </w:r>
      <w:r>
        <w:rPr>
          <w:rFonts w:cs="Arial"/>
          <w:color w:val="auto"/>
        </w:rPr>
        <w:t>absence for a year or longer, receiving a prison sentence of three years or more, and verbal or physical harm.</w:t>
      </w:r>
      <w:r w:rsidRPr="001A714B">
        <w:rPr>
          <w:rStyle w:val="FootnoteReference"/>
          <w:color w:val="auto"/>
          <w:vertAlign w:val="superscript"/>
        </w:rPr>
        <w:footnoteReference w:id="62"/>
      </w:r>
      <w:r>
        <w:rPr>
          <w:rFonts w:cs="Arial"/>
          <w:color w:val="auto"/>
        </w:rPr>
        <w:t xml:space="preserve"> In cases where a wife seeks divorce for harm, the Act mandates a reconciliation and mediation process before a divorce is granted </w:t>
      </w:r>
      <w:r w:rsidR="005A4906">
        <w:rPr>
          <w:rFonts w:cs="Arial"/>
          <w:color w:val="auto"/>
        </w:rPr>
        <w:t xml:space="preserve">, for which </w:t>
      </w:r>
      <w:r>
        <w:rPr>
          <w:rFonts w:cs="Arial"/>
          <w:color w:val="auto"/>
        </w:rPr>
        <w:t>no time limits are specifie</w:t>
      </w:r>
      <w:r w:rsidR="005A4906">
        <w:rPr>
          <w:rFonts w:cs="Arial"/>
          <w:color w:val="auto"/>
        </w:rPr>
        <w:t>d;</w:t>
      </w:r>
      <w:r>
        <w:rPr>
          <w:rFonts w:cs="Arial"/>
          <w:color w:val="auto"/>
        </w:rPr>
        <w:t xml:space="preserve"> a judge may only order a divorce if the reconciliation process fails.</w:t>
      </w:r>
      <w:r w:rsidRPr="00DC76CC">
        <w:rPr>
          <w:rStyle w:val="FootnoteReference"/>
          <w:color w:val="auto"/>
          <w:vertAlign w:val="superscript"/>
        </w:rPr>
        <w:footnoteReference w:id="63"/>
      </w:r>
      <w:r>
        <w:rPr>
          <w:rFonts w:cs="Arial"/>
          <w:color w:val="auto"/>
        </w:rPr>
        <w:t xml:space="preserve"> The Act also requires that harm be proven by witness testimony (two men or one man and two women),</w:t>
      </w:r>
      <w:r w:rsidRPr="00DC76CC">
        <w:rPr>
          <w:rStyle w:val="FootnoteReference"/>
          <w:color w:val="auto"/>
          <w:vertAlign w:val="superscript"/>
        </w:rPr>
        <w:footnoteReference w:id="64"/>
      </w:r>
      <w:r>
        <w:rPr>
          <w:rFonts w:cs="Arial"/>
          <w:color w:val="auto"/>
        </w:rPr>
        <w:t xml:space="preserve"> a particularly </w:t>
      </w:r>
      <w:r w:rsidR="005A4906">
        <w:rPr>
          <w:rFonts w:cs="Arial"/>
          <w:color w:val="auto"/>
        </w:rPr>
        <w:t>burdensome</w:t>
      </w:r>
      <w:r>
        <w:rPr>
          <w:rFonts w:cs="Arial"/>
          <w:color w:val="auto"/>
        </w:rPr>
        <w:t xml:space="preserve"> requirement given that spousal harm and violence </w:t>
      </w:r>
      <w:r w:rsidR="005A4906">
        <w:rPr>
          <w:rFonts w:cs="Arial"/>
          <w:color w:val="auto"/>
        </w:rPr>
        <w:t>are</w:t>
      </w:r>
      <w:r>
        <w:rPr>
          <w:rFonts w:cs="Arial"/>
          <w:color w:val="auto"/>
        </w:rPr>
        <w:t xml:space="preserve"> most like to occur within the</w:t>
      </w:r>
      <w:r w:rsidR="005A4906">
        <w:rPr>
          <w:rFonts w:cs="Arial"/>
          <w:color w:val="auto"/>
        </w:rPr>
        <w:t xml:space="preserve"> confine</w:t>
      </w:r>
      <w:r w:rsidR="0032665F">
        <w:rPr>
          <w:rFonts w:cs="Arial"/>
          <w:color w:val="auto"/>
        </w:rPr>
        <w:t>s</w:t>
      </w:r>
      <w:r w:rsidR="005A4906">
        <w:rPr>
          <w:rFonts w:cs="Arial"/>
          <w:color w:val="auto"/>
        </w:rPr>
        <w:t xml:space="preserve"> of the</w:t>
      </w:r>
      <w:r>
        <w:rPr>
          <w:rFonts w:cs="Arial"/>
          <w:color w:val="auto"/>
        </w:rPr>
        <w:t xml:space="preserve"> home when no witnesses are present. </w:t>
      </w:r>
    </w:p>
    <w:p w14:paraId="4B447E44" w14:textId="77777777" w:rsidR="00DC76CC" w:rsidRDefault="00DC76CC" w:rsidP="00DC76CC">
      <w:pPr>
        <w:pStyle w:val="NoSpacing"/>
        <w:numPr>
          <w:ilvl w:val="0"/>
          <w:numId w:val="0"/>
        </w:numPr>
        <w:ind w:left="720"/>
        <w:jc w:val="both"/>
        <w:rPr>
          <w:rFonts w:cs="Arial"/>
          <w:color w:val="auto"/>
        </w:rPr>
      </w:pPr>
    </w:p>
    <w:p w14:paraId="0B64F1C9" w14:textId="33884834" w:rsidR="00DC76CC" w:rsidRPr="00B67131" w:rsidRDefault="00DC76CC" w:rsidP="00B67131">
      <w:pPr>
        <w:pStyle w:val="NoSpacing"/>
        <w:numPr>
          <w:ilvl w:val="0"/>
          <w:numId w:val="0"/>
        </w:numPr>
        <w:ind w:left="720"/>
        <w:jc w:val="both"/>
        <w:rPr>
          <w:rFonts w:cs="Arial"/>
          <w:color w:val="auto"/>
        </w:rPr>
      </w:pPr>
      <w:r>
        <w:rPr>
          <w:rFonts w:cs="Arial"/>
          <w:color w:val="auto"/>
        </w:rPr>
        <w:t xml:space="preserve">The Shi’a </w:t>
      </w:r>
      <w:proofErr w:type="spellStart"/>
      <w:r>
        <w:rPr>
          <w:rFonts w:cs="Arial"/>
          <w:color w:val="auto"/>
        </w:rPr>
        <w:t>Ja’fa</w:t>
      </w:r>
      <w:r w:rsidR="0088727B">
        <w:rPr>
          <w:rFonts w:cs="Arial"/>
          <w:color w:val="auto"/>
        </w:rPr>
        <w:t>ri</w:t>
      </w:r>
      <w:proofErr w:type="spellEnd"/>
      <w:r w:rsidR="0088727B">
        <w:rPr>
          <w:rFonts w:cs="Arial"/>
          <w:color w:val="auto"/>
        </w:rPr>
        <w:t xml:space="preserve"> </w:t>
      </w:r>
      <w:r>
        <w:rPr>
          <w:rFonts w:cs="Arial"/>
          <w:color w:val="auto"/>
        </w:rPr>
        <w:t>Personal Status Act</w:t>
      </w:r>
      <w:r>
        <w:rPr>
          <w:rFonts w:cs="Arial" w:hint="cs"/>
          <w:color w:val="auto"/>
          <w:rtl/>
        </w:rPr>
        <w:t xml:space="preserve"> </w:t>
      </w:r>
      <w:r>
        <w:rPr>
          <w:rFonts w:cs="Arial"/>
          <w:color w:val="auto"/>
        </w:rPr>
        <w:t xml:space="preserve">is significantly more restrictive in terms of the permissible grounds for a wife to seek a divorce. Notably, </w:t>
      </w:r>
      <w:r w:rsidR="0088727B">
        <w:rPr>
          <w:rFonts w:cs="Arial"/>
          <w:color w:val="auto"/>
        </w:rPr>
        <w:t xml:space="preserve">prolonged </w:t>
      </w:r>
      <w:r>
        <w:rPr>
          <w:rFonts w:cs="Arial"/>
          <w:color w:val="auto"/>
        </w:rPr>
        <w:t>absence</w:t>
      </w:r>
      <w:r w:rsidR="0088727B">
        <w:rPr>
          <w:rFonts w:cs="Arial"/>
          <w:color w:val="auto"/>
        </w:rPr>
        <w:t xml:space="preserve"> of a husband</w:t>
      </w:r>
      <w:r>
        <w:rPr>
          <w:rFonts w:cs="Arial"/>
          <w:color w:val="auto"/>
        </w:rPr>
        <w:t xml:space="preserve"> </w:t>
      </w:r>
      <w:r w:rsidR="0088727B">
        <w:rPr>
          <w:rFonts w:cs="Arial"/>
          <w:color w:val="auto"/>
        </w:rPr>
        <w:t>is</w:t>
      </w:r>
      <w:r>
        <w:rPr>
          <w:rFonts w:cs="Arial"/>
          <w:color w:val="auto"/>
        </w:rPr>
        <w:t xml:space="preserve"> not</w:t>
      </w:r>
      <w:r w:rsidR="0088727B">
        <w:rPr>
          <w:rFonts w:cs="Arial"/>
          <w:color w:val="auto"/>
        </w:rPr>
        <w:t xml:space="preserve"> considered</w:t>
      </w:r>
      <w:r>
        <w:rPr>
          <w:rFonts w:cs="Arial"/>
          <w:color w:val="auto"/>
        </w:rPr>
        <w:t xml:space="preserve"> valid grounds for</w:t>
      </w:r>
      <w:r w:rsidR="0088727B">
        <w:rPr>
          <w:rFonts w:cs="Arial"/>
          <w:color w:val="auto"/>
        </w:rPr>
        <w:t xml:space="preserve"> a wife to</w:t>
      </w:r>
      <w:r>
        <w:rPr>
          <w:rFonts w:cs="Arial"/>
          <w:color w:val="auto"/>
        </w:rPr>
        <w:t xml:space="preserve"> obtain a divorce</w:t>
      </w:r>
      <w:r w:rsidR="0088727B">
        <w:rPr>
          <w:rFonts w:cs="Arial"/>
          <w:color w:val="auto"/>
        </w:rPr>
        <w:t>.</w:t>
      </w:r>
      <w:r>
        <w:rPr>
          <w:rFonts w:cs="Arial"/>
          <w:color w:val="auto"/>
        </w:rPr>
        <w:t xml:space="preserve"> </w:t>
      </w:r>
      <w:r w:rsidR="0088727B">
        <w:rPr>
          <w:rFonts w:cs="Arial"/>
          <w:color w:val="auto"/>
        </w:rPr>
        <w:t>Rather, t</w:t>
      </w:r>
      <w:r>
        <w:rPr>
          <w:rFonts w:cs="Arial"/>
          <w:color w:val="auto"/>
        </w:rPr>
        <w:t xml:space="preserve">he </w:t>
      </w:r>
      <w:proofErr w:type="spellStart"/>
      <w:r>
        <w:rPr>
          <w:rFonts w:cs="Arial"/>
          <w:color w:val="auto"/>
        </w:rPr>
        <w:t>Ja’fa</w:t>
      </w:r>
      <w:r w:rsidR="0088727B">
        <w:rPr>
          <w:rFonts w:cs="Arial"/>
          <w:color w:val="auto"/>
        </w:rPr>
        <w:t>ri</w:t>
      </w:r>
      <w:proofErr w:type="spellEnd"/>
      <w:r>
        <w:rPr>
          <w:rFonts w:cs="Arial"/>
          <w:color w:val="auto"/>
        </w:rPr>
        <w:t xml:space="preserve"> Act specifically instructs an abandoned wife to “maintain patience and wait</w:t>
      </w:r>
      <w:r w:rsidR="00F60DD3">
        <w:rPr>
          <w:rFonts w:cs="Arial"/>
          <w:color w:val="auto"/>
        </w:rPr>
        <w:t>,</w:t>
      </w:r>
      <w:r>
        <w:rPr>
          <w:rFonts w:cs="Arial"/>
          <w:color w:val="auto"/>
        </w:rPr>
        <w:t>”</w:t>
      </w:r>
      <w:r w:rsidR="00F60DD3">
        <w:rPr>
          <w:rFonts w:cs="Arial"/>
          <w:color w:val="auto"/>
        </w:rPr>
        <w:t xml:space="preserve"> regardless of the duration of </w:t>
      </w:r>
      <w:r w:rsidR="0088727B">
        <w:rPr>
          <w:rFonts w:cs="Arial"/>
          <w:color w:val="auto"/>
        </w:rPr>
        <w:t>her husband’s</w:t>
      </w:r>
      <w:r w:rsidR="00F60DD3">
        <w:rPr>
          <w:rFonts w:cs="Arial"/>
          <w:color w:val="auto"/>
        </w:rPr>
        <w:t xml:space="preserve"> absence.</w:t>
      </w:r>
      <w:r w:rsidR="00F60DD3" w:rsidRPr="00F60DD3">
        <w:rPr>
          <w:rStyle w:val="FootnoteReference"/>
          <w:color w:val="auto"/>
          <w:vertAlign w:val="superscript"/>
        </w:rPr>
        <w:t xml:space="preserve"> </w:t>
      </w:r>
      <w:r w:rsidR="00F60DD3" w:rsidRPr="00F60DD3">
        <w:rPr>
          <w:rStyle w:val="FootnoteReference"/>
          <w:color w:val="auto"/>
          <w:vertAlign w:val="superscript"/>
        </w:rPr>
        <w:footnoteReference w:id="65"/>
      </w:r>
      <w:r w:rsidR="00F60DD3">
        <w:rPr>
          <w:rFonts w:cs="Arial"/>
          <w:color w:val="auto"/>
        </w:rPr>
        <w:t xml:space="preserve"> Under the </w:t>
      </w:r>
      <w:proofErr w:type="spellStart"/>
      <w:r w:rsidR="00F60DD3">
        <w:rPr>
          <w:rFonts w:cs="Arial"/>
          <w:color w:val="auto"/>
        </w:rPr>
        <w:t>Ja’fari</w:t>
      </w:r>
      <w:proofErr w:type="spellEnd"/>
      <w:r w:rsidR="00F60DD3">
        <w:rPr>
          <w:rFonts w:cs="Arial"/>
          <w:color w:val="auto"/>
        </w:rPr>
        <w:t xml:space="preserve"> Act, </w:t>
      </w:r>
      <w:r w:rsidR="00F57EE4">
        <w:rPr>
          <w:rFonts w:cs="Arial"/>
          <w:color w:val="auto"/>
        </w:rPr>
        <w:t xml:space="preserve">a </w:t>
      </w:r>
      <w:r w:rsidR="00F60DD3">
        <w:rPr>
          <w:rFonts w:cs="Arial"/>
          <w:color w:val="auto"/>
        </w:rPr>
        <w:t xml:space="preserve">wife may only obtain a </w:t>
      </w:r>
      <w:r w:rsidR="0088727B">
        <w:rPr>
          <w:rFonts w:cs="Arial"/>
          <w:color w:val="auto"/>
        </w:rPr>
        <w:t>judicial</w:t>
      </w:r>
      <w:r w:rsidR="00F60DD3">
        <w:rPr>
          <w:rFonts w:cs="Arial"/>
          <w:color w:val="auto"/>
        </w:rPr>
        <w:t xml:space="preserve"> divorce order in cases where a husband’s death is suspected, and </w:t>
      </w:r>
      <w:r w:rsidR="000873E8">
        <w:rPr>
          <w:rFonts w:cs="Arial"/>
          <w:color w:val="auto"/>
        </w:rPr>
        <w:t xml:space="preserve">even then </w:t>
      </w:r>
      <w:r w:rsidR="00F60DD3">
        <w:rPr>
          <w:rFonts w:cs="Arial"/>
          <w:color w:val="auto"/>
        </w:rPr>
        <w:t xml:space="preserve">only </w:t>
      </w:r>
      <w:r w:rsidR="0088727B">
        <w:rPr>
          <w:rFonts w:cs="Arial"/>
          <w:color w:val="auto"/>
        </w:rPr>
        <w:t>after</w:t>
      </w:r>
      <w:r w:rsidR="00F60DD3">
        <w:rPr>
          <w:rFonts w:cs="Arial"/>
          <w:color w:val="auto"/>
        </w:rPr>
        <w:t xml:space="preserve"> four years</w:t>
      </w:r>
      <w:r w:rsidR="0088727B">
        <w:rPr>
          <w:rFonts w:cs="Arial"/>
          <w:color w:val="auto"/>
        </w:rPr>
        <w:t xml:space="preserve"> have passed</w:t>
      </w:r>
      <w:r w:rsidR="00F60DD3">
        <w:rPr>
          <w:rFonts w:cs="Arial"/>
          <w:color w:val="auto"/>
        </w:rPr>
        <w:t xml:space="preserve"> from the date of court filing.</w:t>
      </w:r>
      <w:r w:rsidR="00F60DD3" w:rsidRPr="00F60DD3">
        <w:rPr>
          <w:rStyle w:val="FootnoteReference"/>
          <w:color w:val="auto"/>
          <w:vertAlign w:val="superscript"/>
        </w:rPr>
        <w:footnoteReference w:id="66"/>
      </w:r>
      <w:r w:rsidR="00F60DD3">
        <w:rPr>
          <w:rFonts w:cs="Arial"/>
          <w:color w:val="auto"/>
        </w:rPr>
        <w:t xml:space="preserve"> </w:t>
      </w:r>
      <w:r w:rsidR="0088727B">
        <w:rPr>
          <w:rFonts w:cs="Arial"/>
          <w:color w:val="auto"/>
        </w:rPr>
        <w:t xml:space="preserve">In cases where a wife alleges harm, violence, or lack of financial maintenance by the husband, the </w:t>
      </w:r>
      <w:proofErr w:type="spellStart"/>
      <w:r w:rsidR="0088727B">
        <w:rPr>
          <w:rFonts w:cs="Arial"/>
          <w:color w:val="auto"/>
        </w:rPr>
        <w:t>Ja’fari</w:t>
      </w:r>
      <w:proofErr w:type="spellEnd"/>
      <w:r w:rsidR="0088727B">
        <w:rPr>
          <w:rFonts w:cs="Arial"/>
          <w:color w:val="auto"/>
        </w:rPr>
        <w:t xml:space="preserve"> Personal Status Act mandates a reconciliation and mediation process, following which a judge may order a divorce upon the recommendation of mediator</w:t>
      </w:r>
      <w:r w:rsidR="005A4906">
        <w:rPr>
          <w:rFonts w:cs="Arial"/>
          <w:color w:val="auto"/>
        </w:rPr>
        <w:t>s.</w:t>
      </w:r>
      <w:r w:rsidR="005A4906" w:rsidRPr="005A4906">
        <w:rPr>
          <w:rStyle w:val="FootnoteReference"/>
          <w:color w:val="auto"/>
          <w:vertAlign w:val="superscript"/>
        </w:rPr>
        <w:footnoteReference w:id="67"/>
      </w:r>
      <w:r w:rsidR="005A4906">
        <w:rPr>
          <w:rFonts w:cs="Arial" w:hint="cs"/>
          <w:color w:val="auto"/>
          <w:rtl/>
        </w:rPr>
        <w:t xml:space="preserve"> </w:t>
      </w:r>
      <w:r w:rsidR="005A4906">
        <w:rPr>
          <w:rFonts w:cs="Arial"/>
          <w:color w:val="auto"/>
        </w:rPr>
        <w:t xml:space="preserve"> The Act does not provide guidance on the acceptable duration of a mediation process or means to prove harm. </w:t>
      </w:r>
    </w:p>
    <w:p w14:paraId="1861173A" w14:textId="77777777" w:rsidR="00DC76CC" w:rsidRPr="00E70D37" w:rsidRDefault="00DC76CC" w:rsidP="00DC76CC">
      <w:pPr>
        <w:pStyle w:val="NoSpacing"/>
        <w:numPr>
          <w:ilvl w:val="0"/>
          <w:numId w:val="0"/>
        </w:numPr>
        <w:ind w:left="360"/>
        <w:jc w:val="both"/>
        <w:rPr>
          <w:rFonts w:cs="Arial"/>
          <w:color w:val="auto"/>
          <w:sz w:val="16"/>
        </w:rPr>
      </w:pPr>
    </w:p>
    <w:p w14:paraId="60224B07" w14:textId="73BA5556" w:rsidR="004E13E4" w:rsidRDefault="003B5E19" w:rsidP="00DC76CC">
      <w:pPr>
        <w:pStyle w:val="NoSpacing"/>
        <w:numPr>
          <w:ilvl w:val="0"/>
          <w:numId w:val="0"/>
        </w:numPr>
        <w:ind w:left="720" w:hanging="360"/>
        <w:jc w:val="both"/>
        <w:rPr>
          <w:rFonts w:cs="Arial"/>
          <w:bCs/>
          <w:color w:val="auto"/>
        </w:rPr>
      </w:pPr>
      <w:r w:rsidRPr="002E7D47">
        <w:rPr>
          <w:rFonts w:cs="Arial"/>
          <w:b/>
          <w:color w:val="auto"/>
        </w:rPr>
        <w:t>(iii)</w:t>
      </w:r>
      <w:r w:rsidRPr="002E7D47">
        <w:rPr>
          <w:rFonts w:cs="Arial"/>
          <w:b/>
          <w:i/>
          <w:color w:val="auto"/>
        </w:rPr>
        <w:t xml:space="preserve"> </w:t>
      </w:r>
      <w:r w:rsidRPr="002E7D47">
        <w:rPr>
          <w:rFonts w:cs="Arial"/>
          <w:b/>
          <w:color w:val="auto"/>
        </w:rPr>
        <w:t>Redemptive divorce</w:t>
      </w:r>
      <w:r w:rsidR="004E13E4">
        <w:rPr>
          <w:rFonts w:cs="Arial"/>
          <w:b/>
          <w:color w:val="auto"/>
        </w:rPr>
        <w:t xml:space="preserve"> (</w:t>
      </w:r>
      <w:proofErr w:type="spellStart"/>
      <w:r w:rsidR="00650F96">
        <w:rPr>
          <w:rFonts w:cs="Arial"/>
          <w:b/>
          <w:i/>
          <w:color w:val="auto"/>
        </w:rPr>
        <w:t>k</w:t>
      </w:r>
      <w:r w:rsidR="004E13E4" w:rsidRPr="002E7D47">
        <w:rPr>
          <w:rFonts w:cs="Arial"/>
          <w:b/>
          <w:i/>
          <w:color w:val="auto"/>
        </w:rPr>
        <w:t>hul</w:t>
      </w:r>
      <w:proofErr w:type="spellEnd"/>
      <w:r w:rsidR="004E13E4" w:rsidRPr="002E7D47">
        <w:rPr>
          <w:rFonts w:cs="Arial"/>
          <w:b/>
          <w:i/>
          <w:color w:val="auto"/>
        </w:rPr>
        <w:t>’</w:t>
      </w:r>
      <w:r w:rsidR="004E13E4">
        <w:rPr>
          <w:rFonts w:cs="Arial"/>
          <w:b/>
          <w:iCs/>
          <w:color w:val="auto"/>
        </w:rPr>
        <w:t>)</w:t>
      </w:r>
      <w:r w:rsidRPr="002B3D55">
        <w:rPr>
          <w:rFonts w:cs="Arial"/>
          <w:bCs/>
          <w:color w:val="auto"/>
        </w:rPr>
        <w:t xml:space="preserve">: </w:t>
      </w:r>
      <w:r w:rsidR="00F60DD3">
        <w:rPr>
          <w:rFonts w:cs="Arial"/>
          <w:bCs/>
          <w:color w:val="auto"/>
        </w:rPr>
        <w:t xml:space="preserve">Under both Sunni and </w:t>
      </w:r>
      <w:proofErr w:type="spellStart"/>
      <w:r w:rsidR="00F60DD3">
        <w:rPr>
          <w:rFonts w:cs="Arial"/>
          <w:bCs/>
          <w:color w:val="auto"/>
        </w:rPr>
        <w:t>Ja’far</w:t>
      </w:r>
      <w:r w:rsidR="00650F96">
        <w:rPr>
          <w:rFonts w:cs="Arial"/>
          <w:bCs/>
          <w:color w:val="auto"/>
        </w:rPr>
        <w:t>i</w:t>
      </w:r>
      <w:proofErr w:type="spellEnd"/>
      <w:r w:rsidR="00F60DD3">
        <w:rPr>
          <w:rFonts w:cs="Arial"/>
          <w:bCs/>
          <w:color w:val="auto"/>
        </w:rPr>
        <w:t xml:space="preserve"> Personal Status Acts, a</w:t>
      </w:r>
      <w:r w:rsidRPr="002B3D55">
        <w:rPr>
          <w:rFonts w:cs="Arial"/>
          <w:bCs/>
          <w:color w:val="auto"/>
        </w:rPr>
        <w:t xml:space="preserve"> wife may seek a </w:t>
      </w:r>
      <w:proofErr w:type="spellStart"/>
      <w:r w:rsidRPr="002B3D55">
        <w:rPr>
          <w:rFonts w:cs="Arial"/>
          <w:bCs/>
          <w:i/>
          <w:color w:val="auto"/>
        </w:rPr>
        <w:t>khul</w:t>
      </w:r>
      <w:proofErr w:type="spellEnd"/>
      <w:r w:rsidRPr="002B3D55">
        <w:rPr>
          <w:rFonts w:cs="Arial"/>
          <w:bCs/>
          <w:i/>
          <w:color w:val="auto"/>
        </w:rPr>
        <w:t xml:space="preserve">’ </w:t>
      </w:r>
      <w:r w:rsidRPr="002B3D55">
        <w:rPr>
          <w:rFonts w:cs="Arial"/>
          <w:bCs/>
          <w:color w:val="auto"/>
        </w:rPr>
        <w:t>divorce, whereby she is granted a divorce in exchange for a mutually agreed compensation to be paid to the husband</w:t>
      </w:r>
      <w:r w:rsidR="00A0057E">
        <w:rPr>
          <w:rFonts w:cs="Arial"/>
          <w:bCs/>
          <w:color w:val="auto"/>
        </w:rPr>
        <w:t>, which generally also includes renunciation of her post-divorce financial rights</w:t>
      </w:r>
      <w:r w:rsidRPr="002B3D55">
        <w:rPr>
          <w:rFonts w:cs="Arial"/>
          <w:bCs/>
          <w:color w:val="auto"/>
        </w:rPr>
        <w:t>.</w:t>
      </w:r>
      <w:r w:rsidR="00A0057E" w:rsidRPr="002B3D55">
        <w:rPr>
          <w:rFonts w:cs="Arial"/>
          <w:bCs/>
          <w:color w:val="auto"/>
          <w:vertAlign w:val="superscript"/>
        </w:rPr>
        <w:footnoteReference w:id="68"/>
      </w:r>
      <w:r w:rsidRPr="002B3D55">
        <w:rPr>
          <w:rFonts w:cs="Arial"/>
          <w:bCs/>
          <w:color w:val="auto"/>
        </w:rPr>
        <w:t xml:space="preserve"> </w:t>
      </w:r>
      <w:r w:rsidR="004E13E4">
        <w:rPr>
          <w:rFonts w:cs="Arial"/>
          <w:bCs/>
          <w:color w:val="auto"/>
        </w:rPr>
        <w:t xml:space="preserve">If a husband does not consent to a </w:t>
      </w:r>
      <w:proofErr w:type="spellStart"/>
      <w:r w:rsidR="00650F96">
        <w:rPr>
          <w:rFonts w:cs="Arial"/>
          <w:bCs/>
          <w:i/>
          <w:iCs/>
          <w:color w:val="auto"/>
        </w:rPr>
        <w:t>k</w:t>
      </w:r>
      <w:r w:rsidR="004E13E4">
        <w:rPr>
          <w:rFonts w:cs="Arial"/>
          <w:bCs/>
          <w:i/>
          <w:iCs/>
          <w:color w:val="auto"/>
        </w:rPr>
        <w:t>hul</w:t>
      </w:r>
      <w:proofErr w:type="spellEnd"/>
      <w:r w:rsidR="004E13E4">
        <w:rPr>
          <w:rFonts w:cs="Arial"/>
          <w:bCs/>
          <w:i/>
          <w:iCs/>
          <w:color w:val="auto"/>
        </w:rPr>
        <w:t xml:space="preserve">’ </w:t>
      </w:r>
      <w:r w:rsidR="004E13E4">
        <w:rPr>
          <w:rFonts w:cs="Arial"/>
          <w:bCs/>
          <w:color w:val="auto"/>
        </w:rPr>
        <w:t xml:space="preserve">divorce, the Court must then order a hearing and a reconciliation session, and a judge may order </w:t>
      </w:r>
      <w:proofErr w:type="spellStart"/>
      <w:r w:rsidR="00650F96">
        <w:rPr>
          <w:rFonts w:cs="Arial"/>
          <w:bCs/>
          <w:i/>
          <w:iCs/>
          <w:color w:val="auto"/>
        </w:rPr>
        <w:t>k</w:t>
      </w:r>
      <w:r w:rsidR="004E13E4">
        <w:rPr>
          <w:rFonts w:cs="Arial"/>
          <w:bCs/>
          <w:i/>
          <w:iCs/>
          <w:color w:val="auto"/>
        </w:rPr>
        <w:t>hul</w:t>
      </w:r>
      <w:proofErr w:type="spellEnd"/>
      <w:r w:rsidR="004E13E4">
        <w:rPr>
          <w:rFonts w:cs="Arial"/>
          <w:bCs/>
          <w:i/>
          <w:iCs/>
          <w:color w:val="auto"/>
        </w:rPr>
        <w:t xml:space="preserve">’ </w:t>
      </w:r>
      <w:r w:rsidR="004E13E4">
        <w:rPr>
          <w:rFonts w:cs="Arial"/>
          <w:bCs/>
          <w:color w:val="auto"/>
        </w:rPr>
        <w:t>if the parties fail to reconcile.</w:t>
      </w:r>
      <w:r w:rsidR="004E13E4" w:rsidRPr="004E13E4">
        <w:rPr>
          <w:rStyle w:val="FootnoteReference"/>
          <w:bCs/>
          <w:color w:val="auto"/>
          <w:vertAlign w:val="superscript"/>
        </w:rPr>
        <w:footnoteReference w:id="69"/>
      </w:r>
      <w:r w:rsidR="004E13E4">
        <w:rPr>
          <w:rFonts w:cs="Arial"/>
          <w:bCs/>
          <w:color w:val="auto"/>
        </w:rPr>
        <w:t xml:space="preserve"> </w:t>
      </w:r>
    </w:p>
    <w:p w14:paraId="02BFA5D4" w14:textId="77777777" w:rsidR="00DC76CC" w:rsidRDefault="00DC76CC" w:rsidP="00DC76CC">
      <w:pPr>
        <w:pStyle w:val="NoSpacing"/>
        <w:numPr>
          <w:ilvl w:val="0"/>
          <w:numId w:val="0"/>
        </w:numPr>
        <w:jc w:val="both"/>
        <w:rPr>
          <w:rFonts w:cs="Arial"/>
          <w:color w:val="auto"/>
          <w:rtl/>
        </w:rPr>
      </w:pPr>
    </w:p>
    <w:p w14:paraId="2F83DBF5" w14:textId="6726BC4B" w:rsidR="00DC76CC" w:rsidRPr="001A714B" w:rsidRDefault="00F60DD3" w:rsidP="00DC76CC">
      <w:pPr>
        <w:pStyle w:val="NoSpacing"/>
        <w:numPr>
          <w:ilvl w:val="0"/>
          <w:numId w:val="0"/>
        </w:numPr>
        <w:jc w:val="both"/>
        <w:rPr>
          <w:rFonts w:cs="Arial"/>
          <w:color w:val="auto"/>
        </w:rPr>
      </w:pPr>
      <w:r>
        <w:rPr>
          <w:rFonts w:cs="Arial"/>
          <w:color w:val="auto"/>
        </w:rPr>
        <w:t>A</w:t>
      </w:r>
      <w:r w:rsidR="00DC76CC">
        <w:rPr>
          <w:rFonts w:cs="Arial"/>
          <w:color w:val="auto"/>
        </w:rPr>
        <w:t xml:space="preserve"> marriage contract may also be annulled</w:t>
      </w:r>
      <w:r>
        <w:rPr>
          <w:rFonts w:cs="Arial"/>
          <w:color w:val="auto"/>
        </w:rPr>
        <w:t xml:space="preserve"> </w:t>
      </w:r>
      <w:r w:rsidR="00DC76CC">
        <w:rPr>
          <w:rFonts w:cs="Arial"/>
          <w:color w:val="auto"/>
        </w:rPr>
        <w:t>in cases of physical illness that renders the continuation of marriage “impossible</w:t>
      </w:r>
      <w:r w:rsidR="0088727B">
        <w:rPr>
          <w:rFonts w:cs="Arial"/>
          <w:color w:val="auto"/>
        </w:rPr>
        <w:t>,” such as</w:t>
      </w:r>
      <w:r w:rsidR="00DC76CC">
        <w:rPr>
          <w:rFonts w:cs="Arial"/>
          <w:color w:val="auto"/>
        </w:rPr>
        <w:t xml:space="preserve"> impotence</w:t>
      </w:r>
      <w:r w:rsidR="0088727B">
        <w:rPr>
          <w:rFonts w:cs="Arial"/>
          <w:color w:val="auto"/>
        </w:rPr>
        <w:t xml:space="preserve"> or insanity,</w:t>
      </w:r>
      <w:r w:rsidR="00DC76CC">
        <w:rPr>
          <w:rFonts w:cs="Arial"/>
          <w:color w:val="auto"/>
        </w:rPr>
        <w:t xml:space="preserve"> or if one </w:t>
      </w:r>
      <w:r w:rsidR="009B5015">
        <w:rPr>
          <w:rFonts w:cs="Arial"/>
          <w:color w:val="auto"/>
        </w:rPr>
        <w:t>spouse</w:t>
      </w:r>
      <w:r w:rsidR="00DC76CC">
        <w:rPr>
          <w:rFonts w:cs="Arial"/>
          <w:color w:val="auto"/>
        </w:rPr>
        <w:t xml:space="preserve"> changes his or her religion.</w:t>
      </w:r>
      <w:r w:rsidR="00DC76CC" w:rsidRPr="00DC76CC">
        <w:rPr>
          <w:rStyle w:val="FootnoteReference"/>
          <w:color w:val="auto"/>
          <w:vertAlign w:val="superscript"/>
        </w:rPr>
        <w:footnoteReference w:id="70"/>
      </w:r>
    </w:p>
    <w:p w14:paraId="546A7C09" w14:textId="77777777" w:rsidR="00DC76CC" w:rsidRPr="004E13E4" w:rsidRDefault="00DC76CC" w:rsidP="00DC76CC">
      <w:pPr>
        <w:pStyle w:val="NoSpacing"/>
        <w:numPr>
          <w:ilvl w:val="0"/>
          <w:numId w:val="0"/>
        </w:numPr>
        <w:jc w:val="both"/>
        <w:rPr>
          <w:rFonts w:cs="Arial"/>
          <w:bCs/>
          <w:color w:val="auto"/>
        </w:rPr>
      </w:pPr>
    </w:p>
    <w:p w14:paraId="00A4B18E" w14:textId="06573DBD" w:rsidR="00251E7C" w:rsidRPr="00D02282" w:rsidRDefault="005A4906" w:rsidP="00DC76CC">
      <w:pPr>
        <w:pStyle w:val="NoSpacing"/>
        <w:numPr>
          <w:ilvl w:val="0"/>
          <w:numId w:val="0"/>
        </w:numPr>
        <w:jc w:val="both"/>
        <w:rPr>
          <w:rFonts w:cs="Arial"/>
          <w:color w:val="auto"/>
        </w:rPr>
      </w:pPr>
      <w:r>
        <w:rPr>
          <w:rFonts w:cs="Arial"/>
          <w:color w:val="auto"/>
        </w:rPr>
        <w:t xml:space="preserve">There is a process to register divorces in Kuwait, but registration is not required in order for a divorce to be considered valid by law. </w:t>
      </w:r>
      <w:r w:rsidR="0000571E">
        <w:rPr>
          <w:rFonts w:cs="Arial"/>
          <w:color w:val="auto"/>
        </w:rPr>
        <w:t>While</w:t>
      </w:r>
      <w:r>
        <w:rPr>
          <w:rFonts w:cs="Arial"/>
          <w:color w:val="auto"/>
        </w:rPr>
        <w:t xml:space="preserve"> </w:t>
      </w:r>
      <w:r w:rsidR="00A8187C">
        <w:rPr>
          <w:rFonts w:cs="Arial"/>
          <w:color w:val="auto"/>
        </w:rPr>
        <w:t>t</w:t>
      </w:r>
      <w:r>
        <w:rPr>
          <w:rFonts w:cs="Arial"/>
          <w:color w:val="auto"/>
        </w:rPr>
        <w:t xml:space="preserve">he Shi’a Personal Status Act requires the presence of two witnesses for a divorce to take effect, there are no witness requirements </w:t>
      </w:r>
      <w:r w:rsidR="00B67131">
        <w:rPr>
          <w:rFonts w:cs="Arial"/>
          <w:color w:val="auto"/>
        </w:rPr>
        <w:t>for Sunni divorces.</w:t>
      </w:r>
      <w:r w:rsidR="00B67131" w:rsidRPr="00B67131">
        <w:rPr>
          <w:rStyle w:val="FootnoteReference"/>
          <w:color w:val="auto"/>
          <w:vertAlign w:val="superscript"/>
        </w:rPr>
        <w:footnoteReference w:id="71"/>
      </w:r>
      <w:r w:rsidRPr="00B67131">
        <w:rPr>
          <w:rFonts w:cs="Arial"/>
          <w:color w:val="auto"/>
          <w:vertAlign w:val="superscript"/>
        </w:rPr>
        <w:t xml:space="preserve"> </w:t>
      </w:r>
      <w:r w:rsidR="00251E7C" w:rsidRPr="004B08AE">
        <w:rPr>
          <w:rFonts w:cs="Arial"/>
          <w:color w:val="auto"/>
        </w:rPr>
        <w:t xml:space="preserve">According to </w:t>
      </w:r>
      <w:r w:rsidR="00251E7C">
        <w:rPr>
          <w:rFonts w:cs="Arial"/>
          <w:color w:val="auto"/>
        </w:rPr>
        <w:t>practicing attorneys in Kuwait</w:t>
      </w:r>
      <w:r w:rsidR="00251E7C" w:rsidRPr="004B08AE">
        <w:rPr>
          <w:rFonts w:cs="Arial"/>
          <w:color w:val="auto"/>
        </w:rPr>
        <w:t xml:space="preserve">, the lack of </w:t>
      </w:r>
      <w:r>
        <w:rPr>
          <w:rFonts w:cs="Arial"/>
          <w:color w:val="auto"/>
        </w:rPr>
        <w:t xml:space="preserve">uniform </w:t>
      </w:r>
      <w:r w:rsidR="00251E7C">
        <w:rPr>
          <w:rFonts w:cs="Arial"/>
          <w:color w:val="auto"/>
        </w:rPr>
        <w:t>witness</w:t>
      </w:r>
      <w:r>
        <w:rPr>
          <w:rFonts w:cs="Arial"/>
          <w:color w:val="auto"/>
        </w:rPr>
        <w:t xml:space="preserve"> and re</w:t>
      </w:r>
      <w:r w:rsidR="00B67131">
        <w:rPr>
          <w:rFonts w:cs="Arial"/>
          <w:color w:val="auto"/>
        </w:rPr>
        <w:t>gistration</w:t>
      </w:r>
      <w:r w:rsidR="0000571E">
        <w:rPr>
          <w:rFonts w:cs="Arial"/>
          <w:color w:val="auto"/>
        </w:rPr>
        <w:t xml:space="preserve"> requirements</w:t>
      </w:r>
      <w:r>
        <w:rPr>
          <w:rFonts w:cs="Arial"/>
          <w:color w:val="auto"/>
        </w:rPr>
        <w:t xml:space="preserve"> continues</w:t>
      </w:r>
      <w:r w:rsidR="00251E7C" w:rsidRPr="004B08AE">
        <w:rPr>
          <w:rFonts w:cs="Arial"/>
          <w:color w:val="auto"/>
        </w:rPr>
        <w:t xml:space="preserve"> be </w:t>
      </w:r>
      <w:r w:rsidR="00B67131">
        <w:rPr>
          <w:rFonts w:cs="Arial"/>
          <w:color w:val="auto"/>
        </w:rPr>
        <w:t>problematic for women seeking to prove a divorce</w:t>
      </w:r>
      <w:r w:rsidR="007A1887">
        <w:rPr>
          <w:rFonts w:cs="Arial"/>
          <w:color w:val="auto"/>
        </w:rPr>
        <w:t xml:space="preserve">. </w:t>
      </w:r>
      <w:r w:rsidR="00251E7C" w:rsidRPr="004B08AE">
        <w:rPr>
          <w:rFonts w:cs="Arial"/>
          <w:color w:val="auto"/>
        </w:rPr>
        <w:t>There are</w:t>
      </w:r>
      <w:r w:rsidR="00B67131">
        <w:rPr>
          <w:rFonts w:cs="Arial"/>
          <w:color w:val="auto"/>
        </w:rPr>
        <w:t xml:space="preserve"> also</w:t>
      </w:r>
      <w:r w:rsidR="00251E7C" w:rsidRPr="004B08AE">
        <w:rPr>
          <w:rFonts w:cs="Arial"/>
          <w:color w:val="auto"/>
        </w:rPr>
        <w:t xml:space="preserve"> reported incidents </w:t>
      </w:r>
      <w:r w:rsidR="0000571E">
        <w:rPr>
          <w:rFonts w:cs="Arial"/>
          <w:color w:val="auto"/>
        </w:rPr>
        <w:t>of</w:t>
      </w:r>
      <w:r w:rsidR="00251E7C" w:rsidRPr="004B08AE">
        <w:rPr>
          <w:rFonts w:cs="Arial"/>
          <w:color w:val="auto"/>
        </w:rPr>
        <w:t xml:space="preserve"> husbands divorc</w:t>
      </w:r>
      <w:r w:rsidR="0000571E">
        <w:rPr>
          <w:rFonts w:cs="Arial"/>
          <w:color w:val="auto"/>
        </w:rPr>
        <w:t>ing</w:t>
      </w:r>
      <w:r w:rsidR="00251E7C" w:rsidRPr="004B08AE">
        <w:rPr>
          <w:rFonts w:cs="Arial"/>
          <w:color w:val="auto"/>
        </w:rPr>
        <w:t xml:space="preserve"> their wives without</w:t>
      </w:r>
      <w:r w:rsidR="00251E7C" w:rsidRPr="004B08AE">
        <w:rPr>
          <w:color w:val="auto"/>
        </w:rPr>
        <w:t xml:space="preserve"> </w:t>
      </w:r>
      <w:r w:rsidR="00251E7C" w:rsidRPr="008A029C">
        <w:rPr>
          <w:rFonts w:cs="Arial"/>
          <w:color w:val="auto"/>
        </w:rPr>
        <w:t>informing them</w:t>
      </w:r>
      <w:r w:rsidR="00B67131">
        <w:rPr>
          <w:rFonts w:cs="Arial"/>
          <w:color w:val="auto"/>
        </w:rPr>
        <w:t>, often</w:t>
      </w:r>
      <w:r w:rsidR="00251E7C" w:rsidRPr="008A029C">
        <w:rPr>
          <w:rFonts w:cs="Arial"/>
          <w:color w:val="auto"/>
        </w:rPr>
        <w:t xml:space="preserve"> to </w:t>
      </w:r>
      <w:r w:rsidR="00B67131">
        <w:rPr>
          <w:rFonts w:cs="Arial"/>
          <w:color w:val="auto"/>
        </w:rPr>
        <w:t>avoid financial obligations</w:t>
      </w:r>
      <w:r w:rsidR="00251E7C" w:rsidRPr="00251E7C">
        <w:rPr>
          <w:rFonts w:cs="Arial"/>
          <w:color w:val="auto"/>
        </w:rPr>
        <w:t>.</w:t>
      </w:r>
      <w:r w:rsidR="00251E7C" w:rsidRPr="008A029C">
        <w:rPr>
          <w:rFonts w:cs="Arial"/>
          <w:color w:val="auto"/>
          <w:vertAlign w:val="superscript"/>
        </w:rPr>
        <w:footnoteReference w:id="72"/>
      </w:r>
      <w:r w:rsidR="00251E7C" w:rsidRPr="00251E7C">
        <w:rPr>
          <w:color w:val="auto"/>
        </w:rPr>
        <w:t xml:space="preserve"> </w:t>
      </w:r>
    </w:p>
    <w:p w14:paraId="08BA27FE" w14:textId="77777777" w:rsidR="00D07715" w:rsidRDefault="00D07715">
      <w:pPr>
        <w:jc w:val="both"/>
        <w:rPr>
          <w:rFonts w:ascii="Arial" w:eastAsia="Arial" w:hAnsi="Arial" w:cs="Arial"/>
        </w:rPr>
      </w:pPr>
    </w:p>
    <w:p w14:paraId="689CF411" w14:textId="56DC8F73" w:rsidR="00D07715" w:rsidRDefault="003B5E19">
      <w:pPr>
        <w:jc w:val="center"/>
        <w:rPr>
          <w:rFonts w:ascii="Arial" w:eastAsia="Arial" w:hAnsi="Arial" w:cs="Arial"/>
        </w:rPr>
      </w:pPr>
      <w:r w:rsidRPr="00CA7F9C">
        <w:rPr>
          <w:rFonts w:ascii="Arial" w:hAnsi="Arial" w:cs="Arial"/>
          <w:noProof/>
        </w:rPr>
        <w:lastRenderedPageBreak/>
        <w:drawing>
          <wp:inline distT="0" distB="0" distL="0" distR="0" wp14:anchorId="66780B03" wp14:editId="0E047F4E">
            <wp:extent cx="5648960" cy="2138680"/>
            <wp:effectExtent l="25400" t="25400" r="15240" b="20320"/>
            <wp:docPr id="23" name="Picture 23" descr="Macintosh HD:Users:Hyshyama:Downloads:New just for refor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yshyama:Downloads:New just for reform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48960" cy="2138680"/>
                    </a:xfrm>
                    <a:prstGeom prst="rect">
                      <a:avLst/>
                    </a:prstGeom>
                    <a:noFill/>
                    <a:ln>
                      <a:solidFill>
                        <a:schemeClr val="tx1">
                          <a:lumMod val="75000"/>
                          <a:lumOff val="25000"/>
                        </a:schemeClr>
                      </a:solidFill>
                    </a:ln>
                  </pic:spPr>
                </pic:pic>
              </a:graphicData>
            </a:graphic>
          </wp:inline>
        </w:drawing>
      </w:r>
    </w:p>
    <w:p w14:paraId="684C243D" w14:textId="77777777" w:rsidR="00D07715" w:rsidRDefault="00D07715">
      <w:pPr>
        <w:rPr>
          <w:rFonts w:ascii="Arial" w:eastAsia="Arial" w:hAnsi="Arial" w:cs="Arial"/>
        </w:rPr>
      </w:pPr>
    </w:p>
    <w:p w14:paraId="11B8880D" w14:textId="6735B9B7" w:rsidR="00186FB6" w:rsidRDefault="00186FB6" w:rsidP="00F60AED">
      <w:pPr>
        <w:jc w:val="center"/>
        <w:rPr>
          <w:rFonts w:ascii="Arial" w:eastAsia="Arial" w:hAnsi="Arial" w:cs="Arial"/>
        </w:rPr>
      </w:pPr>
      <w:r>
        <w:rPr>
          <w:rFonts w:ascii="Arial" w:eastAsia="Arial" w:hAnsi="Arial" w:cs="Arial"/>
          <w:noProof/>
        </w:rPr>
        <w:drawing>
          <wp:inline distT="0" distB="0" distL="0" distR="0" wp14:anchorId="3F345455" wp14:editId="3667E475">
            <wp:extent cx="3226085" cy="3004020"/>
            <wp:effectExtent l="0" t="0" r="0" b="6350"/>
            <wp:docPr id="7168809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80985" name="Picture 71688098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44997" cy="3021630"/>
                    </a:xfrm>
                    <a:prstGeom prst="rect">
                      <a:avLst/>
                    </a:prstGeom>
                  </pic:spPr>
                </pic:pic>
              </a:graphicData>
            </a:graphic>
          </wp:inline>
        </w:drawing>
      </w:r>
    </w:p>
    <w:p w14:paraId="3CD68F5C" w14:textId="77777777" w:rsidR="00186FB6" w:rsidRDefault="00186FB6">
      <w:pPr>
        <w:rPr>
          <w:rFonts w:ascii="Arial" w:eastAsia="Arial" w:hAnsi="Arial" w:cs="Arial"/>
        </w:rPr>
      </w:pPr>
    </w:p>
    <w:tbl>
      <w:tblPr>
        <w:tblStyle w:val="a8"/>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07715" w14:paraId="11A3A3F7" w14:textId="77777777">
        <w:trPr>
          <w:trHeight w:val="26"/>
        </w:trPr>
        <w:tc>
          <w:tcPr>
            <w:tcW w:w="8903" w:type="dxa"/>
            <w:shd w:val="clear" w:color="auto" w:fill="D9D9D9"/>
            <w:tcMar>
              <w:top w:w="100" w:type="dxa"/>
              <w:left w:w="100" w:type="dxa"/>
              <w:bottom w:w="100" w:type="dxa"/>
              <w:right w:w="100" w:type="dxa"/>
            </w:tcMar>
          </w:tcPr>
          <w:p w14:paraId="4C171FDC" w14:textId="77777777" w:rsidR="00D07715" w:rsidRDefault="00000000" w:rsidP="00710B9A">
            <w:pPr>
              <w:widowControl w:val="0"/>
              <w:spacing w:before="120" w:after="240"/>
              <w:jc w:val="both"/>
              <w:rPr>
                <w:rFonts w:ascii="Arial" w:eastAsia="Arial" w:hAnsi="Arial" w:cs="Arial"/>
                <w:b/>
                <w:sz w:val="20"/>
                <w:szCs w:val="20"/>
                <w:u w:val="single"/>
              </w:rPr>
            </w:pPr>
            <w:r>
              <w:rPr>
                <w:rFonts w:ascii="Arial" w:eastAsia="Arial" w:hAnsi="Arial" w:cs="Arial"/>
                <w:b/>
                <w:sz w:val="20"/>
                <w:szCs w:val="20"/>
                <w:u w:val="single"/>
              </w:rPr>
              <w:t>RECOMMENDATIONS</w:t>
            </w:r>
          </w:p>
          <w:p w14:paraId="2E2E23BF" w14:textId="0553DF08" w:rsidR="00D07715" w:rsidRDefault="00000000">
            <w:pPr>
              <w:jc w:val="both"/>
              <w:rPr>
                <w:rFonts w:ascii="Arial" w:eastAsia="Arial" w:hAnsi="Arial" w:cs="Arial"/>
                <w:sz w:val="20"/>
                <w:szCs w:val="20"/>
              </w:rPr>
            </w:pPr>
            <w:r>
              <w:rPr>
                <w:rFonts w:ascii="Arial" w:eastAsia="Arial" w:hAnsi="Arial" w:cs="Arial"/>
                <w:b/>
                <w:sz w:val="20"/>
                <w:szCs w:val="20"/>
              </w:rPr>
              <w:t xml:space="preserve">We recommend </w:t>
            </w:r>
            <w:r w:rsidR="00CF2567">
              <w:rPr>
                <w:rFonts w:ascii="Arial" w:eastAsia="Arial" w:hAnsi="Arial" w:cs="Arial"/>
                <w:b/>
                <w:sz w:val="20"/>
                <w:szCs w:val="20"/>
              </w:rPr>
              <w:t xml:space="preserve">that </w:t>
            </w:r>
            <w:r>
              <w:rPr>
                <w:rFonts w:ascii="Arial" w:eastAsia="Arial" w:hAnsi="Arial" w:cs="Arial"/>
                <w:b/>
                <w:sz w:val="20"/>
                <w:szCs w:val="20"/>
              </w:rPr>
              <w:t>the CEDAW Committee urge the State party to:</w:t>
            </w:r>
          </w:p>
          <w:p w14:paraId="3B1E34A6" w14:textId="77777777" w:rsidR="00D07715" w:rsidRDefault="00D07715">
            <w:pPr>
              <w:pBdr>
                <w:top w:val="nil"/>
                <w:left w:val="nil"/>
                <w:bottom w:val="nil"/>
                <w:right w:val="nil"/>
                <w:between w:val="nil"/>
              </w:pBdr>
              <w:spacing w:line="259" w:lineRule="auto"/>
              <w:ind w:left="720"/>
              <w:jc w:val="both"/>
              <w:rPr>
                <w:rFonts w:ascii="Arial" w:eastAsia="Arial" w:hAnsi="Arial" w:cs="Arial"/>
                <w:color w:val="000000"/>
                <w:sz w:val="20"/>
                <w:szCs w:val="20"/>
              </w:rPr>
            </w:pPr>
          </w:p>
          <w:p w14:paraId="54AD333F" w14:textId="77777777" w:rsidR="00D07715" w:rsidRDefault="002B3D55">
            <w:pPr>
              <w:numPr>
                <w:ilvl w:val="0"/>
                <w:numId w:val="2"/>
              </w:numPr>
              <w:pBdr>
                <w:top w:val="nil"/>
                <w:left w:val="nil"/>
                <w:bottom w:val="nil"/>
                <w:right w:val="nil"/>
                <w:between w:val="nil"/>
              </w:pBdr>
              <w:spacing w:after="160" w:line="259" w:lineRule="auto"/>
              <w:jc w:val="both"/>
              <w:rPr>
                <w:rFonts w:ascii="Arial" w:eastAsia="Arial" w:hAnsi="Arial" w:cs="Arial"/>
                <w:color w:val="000000"/>
                <w:sz w:val="20"/>
                <w:szCs w:val="20"/>
              </w:rPr>
            </w:pPr>
            <w:r>
              <w:rPr>
                <w:rFonts w:ascii="Arial" w:eastAsia="Arial" w:hAnsi="Arial" w:cs="Arial"/>
                <w:color w:val="000000"/>
                <w:sz w:val="20"/>
                <w:szCs w:val="20"/>
              </w:rPr>
              <w:t>Abolish a man’s unrestricted unilateral right to divorce.</w:t>
            </w:r>
          </w:p>
          <w:p w14:paraId="5327F386" w14:textId="17E28F2A" w:rsidR="002863B0" w:rsidRDefault="002863B0">
            <w:pPr>
              <w:numPr>
                <w:ilvl w:val="0"/>
                <w:numId w:val="2"/>
              </w:numPr>
              <w:pBdr>
                <w:top w:val="nil"/>
                <w:left w:val="nil"/>
                <w:bottom w:val="nil"/>
                <w:right w:val="nil"/>
                <w:between w:val="nil"/>
              </w:pBdr>
              <w:spacing w:after="160" w:line="259" w:lineRule="auto"/>
              <w:jc w:val="both"/>
              <w:rPr>
                <w:rFonts w:ascii="Arial" w:eastAsia="Arial" w:hAnsi="Arial" w:cs="Arial"/>
                <w:color w:val="000000"/>
                <w:sz w:val="20"/>
                <w:szCs w:val="20"/>
              </w:rPr>
            </w:pPr>
            <w:r>
              <w:rPr>
                <w:rFonts w:ascii="Arial" w:eastAsia="Arial" w:hAnsi="Arial" w:cs="Arial"/>
                <w:color w:val="000000"/>
                <w:sz w:val="20"/>
                <w:szCs w:val="20"/>
              </w:rPr>
              <w:t>Enact legislative amendments to ensure that women and men have equal rights to divorce, that divorce only takes place in court and in the presence of both parties, and that registration of divorce is required in all cases.</w:t>
            </w:r>
          </w:p>
          <w:p w14:paraId="10D68B1D" w14:textId="3B61D3D3" w:rsidR="002B3D55" w:rsidRPr="002863B0" w:rsidRDefault="002863B0" w:rsidP="002863B0">
            <w:pPr>
              <w:numPr>
                <w:ilvl w:val="0"/>
                <w:numId w:val="2"/>
              </w:numPr>
              <w:pBdr>
                <w:top w:val="nil"/>
                <w:left w:val="nil"/>
                <w:bottom w:val="nil"/>
                <w:right w:val="nil"/>
                <w:between w:val="nil"/>
              </w:pBdr>
              <w:spacing w:after="160" w:line="259" w:lineRule="auto"/>
              <w:jc w:val="both"/>
              <w:rPr>
                <w:rFonts w:ascii="Arial" w:eastAsia="Arial" w:hAnsi="Arial" w:cs="Arial"/>
                <w:color w:val="000000"/>
                <w:sz w:val="20"/>
                <w:szCs w:val="20"/>
              </w:rPr>
            </w:pPr>
            <w:r>
              <w:rPr>
                <w:rFonts w:ascii="Arial" w:eastAsia="Arial" w:hAnsi="Arial" w:cs="Arial"/>
                <w:color w:val="000000"/>
                <w:sz w:val="20"/>
                <w:szCs w:val="20"/>
              </w:rPr>
              <w:t xml:space="preserve">Amend the procedures for proving harm and domestic violence, </w:t>
            </w:r>
            <w:r w:rsidR="004C53C0">
              <w:rPr>
                <w:rFonts w:ascii="Arial" w:eastAsia="Arial" w:hAnsi="Arial" w:cs="Arial"/>
                <w:color w:val="000000"/>
                <w:sz w:val="20"/>
                <w:szCs w:val="20"/>
              </w:rPr>
              <w:t xml:space="preserve">including </w:t>
            </w:r>
            <w:r>
              <w:rPr>
                <w:rFonts w:ascii="Arial" w:eastAsia="Arial" w:hAnsi="Arial" w:cs="Arial"/>
                <w:color w:val="000000"/>
                <w:sz w:val="20"/>
                <w:szCs w:val="20"/>
              </w:rPr>
              <w:t>abolishing the witness requirement.</w:t>
            </w:r>
          </w:p>
        </w:tc>
      </w:tr>
    </w:tbl>
    <w:p w14:paraId="4DD5F8B2" w14:textId="77777777" w:rsidR="00D07715" w:rsidRDefault="00D07715">
      <w:pPr>
        <w:rPr>
          <w:rFonts w:ascii="Arial" w:eastAsia="Arial" w:hAnsi="Arial" w:cs="Arial"/>
        </w:rPr>
      </w:pPr>
    </w:p>
    <w:p w14:paraId="74B69E2D" w14:textId="53AE4452" w:rsidR="00D07715" w:rsidRPr="008C1050" w:rsidRDefault="00000000" w:rsidP="00F875F3">
      <w:pPr>
        <w:pStyle w:val="Heading2"/>
        <w:numPr>
          <w:ilvl w:val="0"/>
          <w:numId w:val="1"/>
        </w:numPr>
        <w:ind w:left="540" w:hanging="540"/>
        <w:rPr>
          <w:rFonts w:ascii="Arial" w:hAnsi="Arial" w:cs="Arial"/>
        </w:rPr>
      </w:pPr>
      <w:bookmarkStart w:id="9" w:name="_Toc163864105"/>
      <w:r w:rsidRPr="008C1050">
        <w:rPr>
          <w:rFonts w:ascii="Arial" w:hAnsi="Arial" w:cs="Arial"/>
        </w:rPr>
        <w:t>Custody and Guardianship of Children</w:t>
      </w:r>
      <w:bookmarkEnd w:id="9"/>
      <w:r w:rsidRPr="008C1050">
        <w:rPr>
          <w:rFonts w:ascii="Arial" w:hAnsi="Arial" w:cs="Arial"/>
        </w:rPr>
        <w:tab/>
      </w:r>
      <w:r w:rsidRPr="008C1050">
        <w:rPr>
          <w:rFonts w:ascii="Arial" w:hAnsi="Arial" w:cs="Arial"/>
        </w:rPr>
        <w:tab/>
      </w:r>
      <w:r w:rsidRPr="008C1050">
        <w:rPr>
          <w:rFonts w:ascii="Arial" w:hAnsi="Arial" w:cs="Arial"/>
        </w:rPr>
        <w:tab/>
        <w:t xml:space="preserve">         </w:t>
      </w:r>
    </w:p>
    <w:p w14:paraId="49238EC5" w14:textId="77777777" w:rsidR="008C1050" w:rsidRDefault="008C1050">
      <w:pPr>
        <w:jc w:val="both"/>
        <w:rPr>
          <w:rFonts w:ascii="Arial" w:eastAsia="Arial" w:hAnsi="Arial" w:cs="Arial"/>
          <w:sz w:val="20"/>
          <w:szCs w:val="20"/>
        </w:rPr>
      </w:pPr>
    </w:p>
    <w:p w14:paraId="3873111C" w14:textId="5F7FE93C" w:rsidR="00A941A5" w:rsidRDefault="00A941A5">
      <w:pPr>
        <w:jc w:val="both"/>
        <w:rPr>
          <w:rFonts w:ascii="Arial" w:eastAsia="Arial" w:hAnsi="Arial" w:cs="Arial"/>
          <w:sz w:val="20"/>
          <w:szCs w:val="20"/>
        </w:rPr>
      </w:pPr>
      <w:r w:rsidRPr="00A941A5">
        <w:rPr>
          <w:rFonts w:ascii="Arial" w:eastAsia="Arial" w:hAnsi="Arial" w:cs="Arial"/>
          <w:sz w:val="20"/>
          <w:szCs w:val="20"/>
        </w:rPr>
        <w:t>Mother</w:t>
      </w:r>
      <w:r>
        <w:rPr>
          <w:rFonts w:ascii="Arial" w:eastAsia="Arial" w:hAnsi="Arial" w:cs="Arial"/>
          <w:sz w:val="20"/>
          <w:szCs w:val="20"/>
        </w:rPr>
        <w:t>s have priority rights to custody of their children</w:t>
      </w:r>
      <w:r w:rsidR="00FB2499">
        <w:rPr>
          <w:rFonts w:ascii="Arial" w:eastAsia="Arial" w:hAnsi="Arial" w:cs="Arial"/>
          <w:sz w:val="20"/>
          <w:szCs w:val="20"/>
        </w:rPr>
        <w:t xml:space="preserve">, with diverging rules in the Sunni and </w:t>
      </w:r>
      <w:proofErr w:type="spellStart"/>
      <w:r w:rsidR="00FB2499">
        <w:rPr>
          <w:rFonts w:ascii="Arial" w:eastAsia="Arial" w:hAnsi="Arial" w:cs="Arial"/>
          <w:sz w:val="20"/>
          <w:szCs w:val="20"/>
        </w:rPr>
        <w:t>Ja’fari</w:t>
      </w:r>
      <w:proofErr w:type="spellEnd"/>
      <w:r w:rsidR="00FB2499">
        <w:rPr>
          <w:rFonts w:ascii="Arial" w:eastAsia="Arial" w:hAnsi="Arial" w:cs="Arial"/>
          <w:sz w:val="20"/>
          <w:szCs w:val="20"/>
        </w:rPr>
        <w:t xml:space="preserve"> Personal Status Acts. A Sunni mother has priority rights to custody until a son reaches puberty and a daughter is married, and marriage is consummated.</w:t>
      </w:r>
      <w:r w:rsidR="00FB2499" w:rsidRPr="00FB2499">
        <w:rPr>
          <w:rStyle w:val="FootnoteReference"/>
          <w:rFonts w:ascii="Arial" w:eastAsia="Arial" w:hAnsi="Arial"/>
          <w:vertAlign w:val="superscript"/>
        </w:rPr>
        <w:footnoteReference w:id="73"/>
      </w:r>
      <w:r w:rsidR="00FB2499">
        <w:rPr>
          <w:rFonts w:ascii="Arial" w:eastAsia="Arial" w:hAnsi="Arial" w:cs="Arial"/>
          <w:sz w:val="20"/>
          <w:szCs w:val="20"/>
        </w:rPr>
        <w:t xml:space="preserve"> A Shi’a woman, by contrast, only retains custody of her children until the age of seven, after which custody reverts to the father until the age of puberty, </w:t>
      </w:r>
      <w:r w:rsidR="00FB2499">
        <w:rPr>
          <w:rFonts w:ascii="Arial" w:eastAsia="Arial" w:hAnsi="Arial" w:cs="Arial"/>
          <w:sz w:val="20"/>
          <w:szCs w:val="20"/>
        </w:rPr>
        <w:lastRenderedPageBreak/>
        <w:t>defined in the law as fifteen years for a male child and nine years for a female.</w:t>
      </w:r>
      <w:r w:rsidR="00FB2499" w:rsidRPr="00FB2499">
        <w:rPr>
          <w:rStyle w:val="FootnoteReference"/>
          <w:rFonts w:ascii="Arial" w:eastAsia="Arial" w:hAnsi="Arial"/>
          <w:vertAlign w:val="superscript"/>
        </w:rPr>
        <w:footnoteReference w:id="74"/>
      </w:r>
      <w:r w:rsidR="00FB2499">
        <w:rPr>
          <w:rFonts w:ascii="Arial" w:eastAsia="Arial" w:hAnsi="Arial" w:cs="Arial"/>
          <w:sz w:val="20"/>
          <w:szCs w:val="20"/>
          <w:vertAlign w:val="superscript"/>
        </w:rPr>
        <w:t xml:space="preserve"> </w:t>
      </w:r>
      <w:r w:rsidR="00FB2499">
        <w:rPr>
          <w:rFonts w:ascii="Arial" w:eastAsia="Arial" w:hAnsi="Arial" w:cs="Arial"/>
          <w:sz w:val="20"/>
          <w:szCs w:val="20"/>
        </w:rPr>
        <w:t xml:space="preserve">Upon reaching puberty, the </w:t>
      </w:r>
      <w:proofErr w:type="spellStart"/>
      <w:r w:rsidR="00FB2499">
        <w:rPr>
          <w:rFonts w:ascii="Arial" w:eastAsia="Arial" w:hAnsi="Arial" w:cs="Arial"/>
          <w:sz w:val="20"/>
          <w:szCs w:val="20"/>
        </w:rPr>
        <w:t>Ja’fari</w:t>
      </w:r>
      <w:proofErr w:type="spellEnd"/>
      <w:r w:rsidR="00FB2499">
        <w:rPr>
          <w:rFonts w:ascii="Arial" w:eastAsia="Arial" w:hAnsi="Arial" w:cs="Arial"/>
          <w:sz w:val="20"/>
          <w:szCs w:val="20"/>
        </w:rPr>
        <w:t xml:space="preserve"> Personal Status Act grants the child the right to choose his or her custodian.</w:t>
      </w:r>
      <w:r w:rsidR="00FB2499" w:rsidRPr="00F60AED">
        <w:rPr>
          <w:rStyle w:val="FootnoteReference"/>
          <w:rFonts w:ascii="Arial" w:eastAsia="Arial" w:hAnsi="Arial"/>
          <w:vertAlign w:val="superscript"/>
        </w:rPr>
        <w:footnoteReference w:id="75"/>
      </w:r>
      <w:r w:rsidR="00FB2499" w:rsidRPr="00F60AED">
        <w:rPr>
          <w:rStyle w:val="FootnoteReference"/>
          <w:rFonts w:eastAsia="Arial"/>
          <w:vertAlign w:val="superscript"/>
        </w:rPr>
        <w:t xml:space="preserve"> </w:t>
      </w:r>
      <w:r w:rsidR="00FB2499">
        <w:rPr>
          <w:rFonts w:ascii="Arial" w:eastAsia="Arial" w:hAnsi="Arial" w:cs="Arial"/>
          <w:sz w:val="20"/>
          <w:szCs w:val="20"/>
        </w:rPr>
        <w:t>The laws of Kuwait also distinguish between custody and guardianship of children, reserving the latter</w:t>
      </w:r>
      <w:r w:rsidR="00A253DD">
        <w:rPr>
          <w:rFonts w:ascii="Arial" w:eastAsia="Arial" w:hAnsi="Arial" w:cs="Arial"/>
          <w:sz w:val="20"/>
          <w:szCs w:val="20"/>
        </w:rPr>
        <w:t>, including financial guardianship,</w:t>
      </w:r>
      <w:r w:rsidR="00FB2499">
        <w:rPr>
          <w:rFonts w:ascii="Arial" w:eastAsia="Arial" w:hAnsi="Arial" w:cs="Arial"/>
          <w:sz w:val="20"/>
          <w:szCs w:val="20"/>
        </w:rPr>
        <w:t xml:space="preserve"> to </w:t>
      </w:r>
      <w:r w:rsidR="00A253DD">
        <w:rPr>
          <w:rFonts w:ascii="Arial" w:eastAsia="Arial" w:hAnsi="Arial" w:cs="Arial"/>
          <w:sz w:val="20"/>
          <w:szCs w:val="20"/>
        </w:rPr>
        <w:t>a child’s</w:t>
      </w:r>
      <w:r w:rsidR="00FB2499">
        <w:rPr>
          <w:rFonts w:ascii="Arial" w:eastAsia="Arial" w:hAnsi="Arial" w:cs="Arial"/>
          <w:sz w:val="20"/>
          <w:szCs w:val="20"/>
        </w:rPr>
        <w:t xml:space="preserve"> father</w:t>
      </w:r>
      <w:r w:rsidR="00A253DD">
        <w:rPr>
          <w:rFonts w:ascii="Arial" w:eastAsia="Arial" w:hAnsi="Arial" w:cs="Arial"/>
          <w:sz w:val="20"/>
          <w:szCs w:val="20"/>
        </w:rPr>
        <w:t>, grandfather,</w:t>
      </w:r>
      <w:r w:rsidR="00FB2499">
        <w:rPr>
          <w:rFonts w:ascii="Arial" w:eastAsia="Arial" w:hAnsi="Arial" w:cs="Arial"/>
          <w:sz w:val="20"/>
          <w:szCs w:val="20"/>
        </w:rPr>
        <w:t xml:space="preserve"> </w:t>
      </w:r>
      <w:r w:rsidR="00A253DD">
        <w:rPr>
          <w:rFonts w:ascii="Arial" w:eastAsia="Arial" w:hAnsi="Arial" w:cs="Arial"/>
          <w:sz w:val="20"/>
          <w:szCs w:val="20"/>
        </w:rPr>
        <w:t>or other court-appointed guardian</w:t>
      </w:r>
      <w:r w:rsidR="00FB2499">
        <w:rPr>
          <w:rFonts w:ascii="Arial" w:eastAsia="Arial" w:hAnsi="Arial" w:cs="Arial"/>
          <w:sz w:val="20"/>
          <w:szCs w:val="20"/>
        </w:rPr>
        <w:t>.</w:t>
      </w:r>
      <w:r w:rsidR="00FB2499" w:rsidRPr="00FB2499">
        <w:rPr>
          <w:rStyle w:val="FootnoteReference"/>
          <w:rFonts w:ascii="Arial" w:eastAsia="Arial" w:hAnsi="Arial"/>
          <w:vertAlign w:val="superscript"/>
        </w:rPr>
        <w:footnoteReference w:id="76"/>
      </w:r>
    </w:p>
    <w:p w14:paraId="15722F20" w14:textId="77777777" w:rsidR="00A253DD" w:rsidRDefault="00A253DD">
      <w:pPr>
        <w:jc w:val="both"/>
        <w:rPr>
          <w:rFonts w:ascii="Arial" w:eastAsia="Arial" w:hAnsi="Arial" w:cs="Arial"/>
          <w:sz w:val="20"/>
          <w:szCs w:val="20"/>
        </w:rPr>
      </w:pPr>
    </w:p>
    <w:p w14:paraId="41A4D2D2" w14:textId="3AA43C4E" w:rsidR="00A253DD" w:rsidRDefault="00A253DD">
      <w:pPr>
        <w:jc w:val="both"/>
        <w:rPr>
          <w:rFonts w:ascii="Arial" w:eastAsia="Arial" w:hAnsi="Arial" w:cs="Arial"/>
          <w:sz w:val="20"/>
          <w:szCs w:val="20"/>
        </w:rPr>
      </w:pPr>
      <w:r>
        <w:rPr>
          <w:rFonts w:ascii="Arial" w:eastAsia="Arial" w:hAnsi="Arial" w:cs="Arial"/>
          <w:sz w:val="20"/>
          <w:szCs w:val="20"/>
        </w:rPr>
        <w:t>Under both Personal Status Acts, a mother loses custody of her children, which reverts to the father or the next in line as determined by court, if she remarries.</w:t>
      </w:r>
      <w:r w:rsidRPr="00A253DD">
        <w:rPr>
          <w:rStyle w:val="FootnoteReference"/>
          <w:rFonts w:ascii="Arial" w:eastAsia="Arial" w:hAnsi="Arial"/>
          <w:vertAlign w:val="superscript"/>
        </w:rPr>
        <w:footnoteReference w:id="77"/>
      </w:r>
    </w:p>
    <w:p w14:paraId="67DC52E9" w14:textId="77777777" w:rsidR="0000571E" w:rsidRPr="00A253DD" w:rsidRDefault="0000571E">
      <w:pPr>
        <w:jc w:val="both"/>
        <w:rPr>
          <w:rFonts w:ascii="Arial" w:eastAsia="Arial" w:hAnsi="Arial" w:cs="Arial"/>
          <w:sz w:val="20"/>
          <w:szCs w:val="20"/>
        </w:rPr>
      </w:pPr>
    </w:p>
    <w:p w14:paraId="6424710B" w14:textId="63F0D0D9" w:rsidR="00D07715" w:rsidRDefault="00E53522" w:rsidP="00E5352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288910B1" wp14:editId="6E32016B">
            <wp:extent cx="4206540" cy="2579571"/>
            <wp:effectExtent l="0" t="0" r="0" b="0"/>
            <wp:docPr id="5893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1312" name="Picture 5893131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16782" cy="2585851"/>
                    </a:xfrm>
                    <a:prstGeom prst="rect">
                      <a:avLst/>
                    </a:prstGeom>
                  </pic:spPr>
                </pic:pic>
              </a:graphicData>
            </a:graphic>
          </wp:inline>
        </w:drawing>
      </w:r>
    </w:p>
    <w:p w14:paraId="20574AB7" w14:textId="6D5C7B74" w:rsidR="00D07715" w:rsidRDefault="00C7462F" w:rsidP="00D04FB5">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 </w:t>
      </w:r>
    </w:p>
    <w:p w14:paraId="7B9ACDE0" w14:textId="77777777" w:rsidR="00D07715" w:rsidRDefault="00D07715">
      <w:pPr>
        <w:pBdr>
          <w:top w:val="nil"/>
          <w:left w:val="nil"/>
          <w:bottom w:val="nil"/>
          <w:right w:val="nil"/>
          <w:between w:val="nil"/>
        </w:pBdr>
        <w:rPr>
          <w:rFonts w:ascii="Arial" w:eastAsia="Arial" w:hAnsi="Arial" w:cs="Arial"/>
          <w:color w:val="000000"/>
        </w:rPr>
      </w:pPr>
    </w:p>
    <w:tbl>
      <w:tblPr>
        <w:tblStyle w:val="a9"/>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D07715" w14:paraId="42C5FC95" w14:textId="77777777">
        <w:trPr>
          <w:trHeight w:val="26"/>
        </w:trPr>
        <w:tc>
          <w:tcPr>
            <w:tcW w:w="8903" w:type="dxa"/>
            <w:shd w:val="clear" w:color="auto" w:fill="D9D9D9"/>
            <w:tcMar>
              <w:top w:w="100" w:type="dxa"/>
              <w:left w:w="100" w:type="dxa"/>
              <w:bottom w:w="100" w:type="dxa"/>
              <w:right w:w="100" w:type="dxa"/>
            </w:tcMar>
          </w:tcPr>
          <w:p w14:paraId="7CD9131E" w14:textId="77777777" w:rsidR="00D07715" w:rsidRDefault="00000000">
            <w:pPr>
              <w:widowControl w:val="0"/>
              <w:spacing w:before="240" w:after="240"/>
              <w:jc w:val="both"/>
              <w:rPr>
                <w:rFonts w:ascii="Arial" w:eastAsia="Arial" w:hAnsi="Arial" w:cs="Arial"/>
                <w:b/>
                <w:sz w:val="20"/>
                <w:szCs w:val="20"/>
                <w:u w:val="single"/>
              </w:rPr>
            </w:pPr>
            <w:r>
              <w:rPr>
                <w:rFonts w:ascii="Arial" w:eastAsia="Arial" w:hAnsi="Arial" w:cs="Arial"/>
                <w:b/>
                <w:sz w:val="20"/>
                <w:szCs w:val="20"/>
                <w:u w:val="single"/>
              </w:rPr>
              <w:t>RECOMMENDATIONS</w:t>
            </w:r>
          </w:p>
          <w:p w14:paraId="2EBF52C5" w14:textId="729C1763" w:rsidR="00D07715" w:rsidRDefault="00000000">
            <w:pPr>
              <w:jc w:val="both"/>
              <w:rPr>
                <w:rFonts w:ascii="Arial" w:eastAsia="Arial" w:hAnsi="Arial" w:cs="Arial"/>
                <w:sz w:val="20"/>
                <w:szCs w:val="20"/>
              </w:rPr>
            </w:pPr>
            <w:r>
              <w:rPr>
                <w:rFonts w:ascii="Arial" w:eastAsia="Arial" w:hAnsi="Arial" w:cs="Arial"/>
                <w:b/>
                <w:sz w:val="20"/>
                <w:szCs w:val="20"/>
              </w:rPr>
              <w:t xml:space="preserve">We recommend </w:t>
            </w:r>
            <w:r w:rsidR="0080523F">
              <w:rPr>
                <w:rFonts w:ascii="Arial" w:eastAsia="Arial" w:hAnsi="Arial" w:cs="Arial"/>
                <w:b/>
                <w:sz w:val="20"/>
                <w:szCs w:val="20"/>
              </w:rPr>
              <w:t xml:space="preserve">that </w:t>
            </w:r>
            <w:r>
              <w:rPr>
                <w:rFonts w:ascii="Arial" w:eastAsia="Arial" w:hAnsi="Arial" w:cs="Arial"/>
                <w:b/>
                <w:sz w:val="20"/>
                <w:szCs w:val="20"/>
              </w:rPr>
              <w:t>the CEDAW Committee urge the State party to:</w:t>
            </w:r>
          </w:p>
          <w:p w14:paraId="7CD7268E" w14:textId="77777777" w:rsidR="00D07715" w:rsidRDefault="00D07715">
            <w:pPr>
              <w:pBdr>
                <w:top w:val="nil"/>
                <w:left w:val="nil"/>
                <w:bottom w:val="nil"/>
                <w:right w:val="nil"/>
                <w:between w:val="nil"/>
              </w:pBdr>
              <w:spacing w:line="259" w:lineRule="auto"/>
              <w:ind w:left="720"/>
              <w:jc w:val="both"/>
              <w:rPr>
                <w:rFonts w:ascii="Arial" w:eastAsia="Arial" w:hAnsi="Arial" w:cs="Arial"/>
                <w:color w:val="000000"/>
                <w:sz w:val="20"/>
                <w:szCs w:val="20"/>
              </w:rPr>
            </w:pPr>
          </w:p>
          <w:p w14:paraId="621E62ED" w14:textId="3542028A" w:rsidR="00341F89" w:rsidRPr="008C1050" w:rsidRDefault="00A941A5" w:rsidP="008C1050">
            <w:pPr>
              <w:numPr>
                <w:ilvl w:val="0"/>
                <w:numId w:val="2"/>
              </w:numPr>
              <w:pBdr>
                <w:top w:val="nil"/>
                <w:left w:val="nil"/>
                <w:bottom w:val="nil"/>
                <w:right w:val="nil"/>
                <w:between w:val="nil"/>
              </w:pBdr>
              <w:spacing w:line="259" w:lineRule="auto"/>
              <w:jc w:val="both"/>
              <w:rPr>
                <w:rFonts w:ascii="Arial" w:eastAsia="Arial" w:hAnsi="Arial" w:cs="Arial"/>
                <w:color w:val="000000"/>
                <w:sz w:val="20"/>
                <w:szCs w:val="20"/>
              </w:rPr>
            </w:pPr>
            <w:r>
              <w:rPr>
                <w:rFonts w:ascii="Arial" w:eastAsia="Arial" w:hAnsi="Arial" w:cs="Arial"/>
                <w:color w:val="000000"/>
                <w:sz w:val="20"/>
                <w:szCs w:val="20"/>
              </w:rPr>
              <w:t>Enact legislative amendments to grant equal rights to both the mother and father for guardianship and custody of children, to be determined according to the best interests of the child</w:t>
            </w:r>
            <w:r w:rsidR="00341F89">
              <w:rPr>
                <w:rFonts w:ascii="Arial" w:eastAsia="Arial" w:hAnsi="Arial" w:cs="Arial"/>
                <w:color w:val="000000"/>
                <w:sz w:val="20"/>
                <w:szCs w:val="20"/>
              </w:rPr>
              <w:t>; ensure that a</w:t>
            </w:r>
            <w:r w:rsidRPr="00341F89">
              <w:rPr>
                <w:rFonts w:ascii="Arial" w:eastAsia="Arial" w:hAnsi="Arial" w:cs="Arial"/>
                <w:color w:val="000000"/>
                <w:sz w:val="20"/>
                <w:szCs w:val="20"/>
              </w:rPr>
              <w:t xml:space="preserve"> woman is not deprived of </w:t>
            </w:r>
            <w:r w:rsidR="00341F89">
              <w:rPr>
                <w:rFonts w:ascii="Arial" w:eastAsia="Arial" w:hAnsi="Arial" w:cs="Arial"/>
                <w:color w:val="000000"/>
                <w:sz w:val="20"/>
                <w:szCs w:val="20"/>
              </w:rPr>
              <w:t>the custody of her</w:t>
            </w:r>
            <w:r w:rsidRPr="00341F89">
              <w:rPr>
                <w:rFonts w:ascii="Arial" w:eastAsia="Arial" w:hAnsi="Arial" w:cs="Arial"/>
                <w:color w:val="000000"/>
                <w:sz w:val="20"/>
                <w:szCs w:val="20"/>
              </w:rPr>
              <w:t xml:space="preserve"> children upon remarriage. </w:t>
            </w:r>
          </w:p>
        </w:tc>
      </w:tr>
    </w:tbl>
    <w:p w14:paraId="4077BBD7" w14:textId="77777777" w:rsidR="00D07715" w:rsidRDefault="00D07715">
      <w:pPr>
        <w:rPr>
          <w:rFonts w:ascii="Arial" w:eastAsia="Arial" w:hAnsi="Arial" w:cs="Arial"/>
        </w:rPr>
      </w:pPr>
    </w:p>
    <w:p w14:paraId="24F84AB9" w14:textId="40682CEB" w:rsidR="00572F7B" w:rsidRDefault="00572F7B" w:rsidP="008C1050">
      <w:pPr>
        <w:pStyle w:val="Heading2"/>
        <w:numPr>
          <w:ilvl w:val="0"/>
          <w:numId w:val="1"/>
        </w:numPr>
        <w:ind w:left="540" w:hanging="540"/>
        <w:rPr>
          <w:rFonts w:ascii="Arial" w:hAnsi="Arial" w:cs="Arial"/>
        </w:rPr>
      </w:pPr>
      <w:bookmarkStart w:id="10" w:name="_Toc163864106"/>
      <w:r>
        <w:rPr>
          <w:rFonts w:ascii="Arial" w:hAnsi="Arial" w:cs="Arial"/>
        </w:rPr>
        <w:t>Nationality</w:t>
      </w:r>
      <w:bookmarkEnd w:id="1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C6E0D88" w14:textId="77777777" w:rsidR="00D07715" w:rsidRDefault="00D07715" w:rsidP="00F60AED">
      <w:pPr>
        <w:rPr>
          <w:rFonts w:ascii="Arial" w:eastAsia="Arial" w:hAnsi="Arial" w:cs="Arial"/>
          <w:sz w:val="20"/>
          <w:szCs w:val="20"/>
        </w:rPr>
      </w:pPr>
    </w:p>
    <w:p w14:paraId="2042A940" w14:textId="77777777" w:rsidR="00036F3B" w:rsidRDefault="00036F3B" w:rsidP="00F60AED">
      <w:pPr>
        <w:pStyle w:val="NormalWeb"/>
        <w:shd w:val="clear" w:color="auto" w:fill="FFFFFF"/>
        <w:spacing w:before="0" w:after="0"/>
        <w:jc w:val="both"/>
        <w:rPr>
          <w:color w:val="222222"/>
          <w:sz w:val="20"/>
          <w:szCs w:val="20"/>
        </w:rPr>
      </w:pPr>
      <w:r w:rsidRPr="00EF0C9D">
        <w:rPr>
          <w:color w:val="222222"/>
          <w:sz w:val="20"/>
          <w:szCs w:val="20"/>
        </w:rPr>
        <w:t xml:space="preserve">The Kuwaiti Nationality Law includes several provisions that discriminate against women, in violations of Kuwait’s CEDAW commitments. </w:t>
      </w:r>
    </w:p>
    <w:p w14:paraId="7A594031" w14:textId="77777777" w:rsidR="0000571E" w:rsidRPr="00EF0C9D" w:rsidRDefault="0000571E" w:rsidP="00F60AED">
      <w:pPr>
        <w:pStyle w:val="NormalWeb"/>
        <w:shd w:val="clear" w:color="auto" w:fill="FFFFFF"/>
        <w:spacing w:before="0" w:after="0"/>
        <w:jc w:val="both"/>
        <w:rPr>
          <w:color w:val="222222"/>
          <w:sz w:val="20"/>
          <w:szCs w:val="20"/>
        </w:rPr>
      </w:pPr>
    </w:p>
    <w:p w14:paraId="0AB48AA6" w14:textId="59B4DC2C" w:rsidR="008F119B" w:rsidRDefault="002B09E7" w:rsidP="00426AC7">
      <w:pPr>
        <w:pStyle w:val="NormalWeb"/>
        <w:shd w:val="clear" w:color="auto" w:fill="FFFFFF"/>
        <w:spacing w:before="0" w:after="0"/>
        <w:jc w:val="both"/>
        <w:rPr>
          <w:color w:val="000000"/>
          <w:sz w:val="20"/>
          <w:szCs w:val="20"/>
          <w:shd w:val="clear" w:color="auto" w:fill="FFFFFF"/>
        </w:rPr>
      </w:pPr>
      <w:r w:rsidRPr="00EF0C9D">
        <w:rPr>
          <w:color w:val="222222"/>
          <w:sz w:val="20"/>
          <w:szCs w:val="20"/>
        </w:rPr>
        <w:t>According to the</w:t>
      </w:r>
      <w:r w:rsidR="00036F3B" w:rsidRPr="00EF0C9D">
        <w:rPr>
          <w:color w:val="222222"/>
          <w:sz w:val="20"/>
          <w:szCs w:val="20"/>
        </w:rPr>
        <w:t xml:space="preserve"> </w:t>
      </w:r>
      <w:r w:rsidRPr="00EF0C9D">
        <w:rPr>
          <w:color w:val="222222"/>
          <w:sz w:val="20"/>
          <w:szCs w:val="20"/>
        </w:rPr>
        <w:t xml:space="preserve">Nationality Law of 1959, any </w:t>
      </w:r>
      <w:r w:rsidRPr="00EF0C9D">
        <w:rPr>
          <w:color w:val="000000"/>
          <w:sz w:val="20"/>
          <w:szCs w:val="20"/>
          <w:shd w:val="clear" w:color="auto" w:fill="FFFFFF"/>
        </w:rPr>
        <w:t>person born in or outside Kuwait to a Kuwaiti father shall be a Kuwaiti national, irrespective of the nationality of the mother.</w:t>
      </w:r>
      <w:r w:rsidRPr="00EF0C9D">
        <w:rPr>
          <w:rStyle w:val="FootnoteReference"/>
          <w:rFonts w:cs="Arial"/>
          <w:color w:val="000000"/>
          <w:sz w:val="20"/>
          <w:szCs w:val="20"/>
          <w:shd w:val="clear" w:color="auto" w:fill="FFFFFF"/>
          <w:vertAlign w:val="superscript"/>
        </w:rPr>
        <w:footnoteReference w:id="78"/>
      </w:r>
      <w:r w:rsidR="003514F4">
        <w:rPr>
          <w:color w:val="000000"/>
          <w:sz w:val="20"/>
          <w:szCs w:val="20"/>
          <w:shd w:val="clear" w:color="auto" w:fill="FFFFFF"/>
        </w:rPr>
        <w:t xml:space="preserve"> </w:t>
      </w:r>
      <w:r w:rsidRPr="00EF0C9D">
        <w:rPr>
          <w:color w:val="000000"/>
          <w:sz w:val="20"/>
          <w:szCs w:val="20"/>
          <w:shd w:val="clear" w:color="auto" w:fill="FFFFFF"/>
        </w:rPr>
        <w:t>Children born to a Kuwaiti mother and an unknown father may only be granted Kuwaiti nationality</w:t>
      </w:r>
      <w:r w:rsidR="00036F3B" w:rsidRPr="00EF0C9D">
        <w:rPr>
          <w:rFonts w:hint="cs"/>
          <w:color w:val="000000"/>
          <w:sz w:val="20"/>
          <w:szCs w:val="20"/>
          <w:shd w:val="clear" w:color="auto" w:fill="FFFFFF"/>
          <w:rtl/>
        </w:rPr>
        <w:t xml:space="preserve"> </w:t>
      </w:r>
      <w:r w:rsidR="00036F3B" w:rsidRPr="00EF0C9D">
        <w:rPr>
          <w:color w:val="000000"/>
          <w:sz w:val="20"/>
          <w:szCs w:val="20"/>
          <w:shd w:val="clear" w:color="auto" w:fill="FFFFFF"/>
        </w:rPr>
        <w:t>upon reaching the age of majority (</w:t>
      </w:r>
      <w:r w:rsidR="00CB3D6A" w:rsidRPr="00EF0C9D">
        <w:rPr>
          <w:color w:val="000000"/>
          <w:sz w:val="20"/>
          <w:szCs w:val="20"/>
          <w:shd w:val="clear" w:color="auto" w:fill="FFFFFF"/>
        </w:rPr>
        <w:t>21 years</w:t>
      </w:r>
      <w:r w:rsidR="00036F3B" w:rsidRPr="00EF0C9D">
        <w:rPr>
          <w:color w:val="000000"/>
          <w:sz w:val="20"/>
          <w:szCs w:val="20"/>
          <w:shd w:val="clear" w:color="auto" w:fill="FFFFFF"/>
        </w:rPr>
        <w:t>),</w:t>
      </w:r>
      <w:r w:rsidRPr="00EF0C9D">
        <w:rPr>
          <w:color w:val="000000"/>
          <w:sz w:val="20"/>
          <w:szCs w:val="20"/>
          <w:shd w:val="clear" w:color="auto" w:fill="FFFFFF"/>
        </w:rPr>
        <w:t xml:space="preserve"> “by Decree upon the recommendation of the Minister of the Interior</w:t>
      </w:r>
      <w:r w:rsidRPr="00EF0C9D">
        <w:rPr>
          <w:rStyle w:val="apple-converted-space"/>
          <w:color w:val="000000"/>
          <w:sz w:val="20"/>
          <w:szCs w:val="20"/>
          <w:shd w:val="clear" w:color="auto" w:fill="FFFFFF"/>
        </w:rPr>
        <w:t>.”</w:t>
      </w:r>
      <w:r w:rsidRPr="00EF0C9D">
        <w:rPr>
          <w:rStyle w:val="FootnoteReference"/>
          <w:rFonts w:cs="Arial"/>
          <w:color w:val="000000"/>
          <w:sz w:val="20"/>
          <w:szCs w:val="20"/>
          <w:shd w:val="clear" w:color="auto" w:fill="FFFFFF"/>
          <w:vertAlign w:val="superscript"/>
        </w:rPr>
        <w:footnoteReference w:id="79"/>
      </w:r>
      <w:r w:rsidRPr="00EF0C9D">
        <w:rPr>
          <w:rStyle w:val="apple-converted-space"/>
          <w:color w:val="000000"/>
          <w:sz w:val="20"/>
          <w:szCs w:val="20"/>
          <w:shd w:val="clear" w:color="auto" w:fill="FFFFFF"/>
        </w:rPr>
        <w:t xml:space="preserve"> On the other hand, children </w:t>
      </w:r>
      <w:r w:rsidR="008F119B" w:rsidRPr="00EF0C9D">
        <w:rPr>
          <w:rStyle w:val="apple-converted-space"/>
          <w:color w:val="000000"/>
          <w:sz w:val="20"/>
          <w:szCs w:val="20"/>
          <w:shd w:val="clear" w:color="auto" w:fill="FFFFFF"/>
        </w:rPr>
        <w:t>born to a</w:t>
      </w:r>
      <w:r w:rsidRPr="00EF0C9D">
        <w:rPr>
          <w:rStyle w:val="apple-converted-space"/>
          <w:color w:val="000000"/>
          <w:sz w:val="20"/>
          <w:szCs w:val="20"/>
          <w:shd w:val="clear" w:color="auto" w:fill="FFFFFF"/>
        </w:rPr>
        <w:t xml:space="preserve"> Kuwaiti mother and a non-Kuwaiti </w:t>
      </w:r>
      <w:r w:rsidR="008F119B" w:rsidRPr="00EF0C9D">
        <w:rPr>
          <w:rStyle w:val="apple-converted-space"/>
          <w:color w:val="000000"/>
          <w:sz w:val="20"/>
          <w:szCs w:val="20"/>
          <w:shd w:val="clear" w:color="auto" w:fill="FFFFFF"/>
        </w:rPr>
        <w:t>father</w:t>
      </w:r>
      <w:r w:rsidRPr="00EF0C9D">
        <w:rPr>
          <w:rStyle w:val="apple-converted-space"/>
          <w:color w:val="000000"/>
          <w:sz w:val="20"/>
          <w:szCs w:val="20"/>
          <w:shd w:val="clear" w:color="auto" w:fill="FFFFFF"/>
        </w:rPr>
        <w:t xml:space="preserve"> may only be granted nationality </w:t>
      </w:r>
      <w:r w:rsidRPr="00EF0C9D">
        <w:rPr>
          <w:color w:val="000000"/>
          <w:sz w:val="20"/>
          <w:szCs w:val="20"/>
          <w:shd w:val="clear" w:color="auto" w:fill="FFFFFF"/>
        </w:rPr>
        <w:t>by Decree upon the recommendation of the Mini</w:t>
      </w:r>
      <w:r w:rsidR="008F119B" w:rsidRPr="00EF0C9D">
        <w:rPr>
          <w:color w:val="000000"/>
          <w:sz w:val="20"/>
          <w:szCs w:val="20"/>
          <w:shd w:val="clear" w:color="auto" w:fill="FFFFFF"/>
        </w:rPr>
        <w:t>ster under strict conditions</w:t>
      </w:r>
      <w:r w:rsidR="00036F3B" w:rsidRPr="00EF0C9D">
        <w:rPr>
          <w:color w:val="000000"/>
          <w:sz w:val="20"/>
          <w:szCs w:val="20"/>
          <w:shd w:val="clear" w:color="auto" w:fill="FFFFFF"/>
        </w:rPr>
        <w:t>,</w:t>
      </w:r>
      <w:r w:rsidR="008F119B" w:rsidRPr="00EF0C9D">
        <w:rPr>
          <w:color w:val="000000"/>
          <w:sz w:val="20"/>
          <w:szCs w:val="20"/>
          <w:shd w:val="clear" w:color="auto" w:fill="FFFFFF"/>
        </w:rPr>
        <w:t xml:space="preserve"> namely that</w:t>
      </w:r>
      <w:r w:rsidR="00036F3B" w:rsidRPr="00EF0C9D">
        <w:rPr>
          <w:color w:val="000000"/>
          <w:sz w:val="20"/>
          <w:szCs w:val="20"/>
          <w:shd w:val="clear" w:color="auto" w:fill="FFFFFF"/>
        </w:rPr>
        <w:t>:</w:t>
      </w:r>
      <w:r w:rsidR="008F119B" w:rsidRPr="00EF0C9D">
        <w:rPr>
          <w:color w:val="000000"/>
          <w:sz w:val="20"/>
          <w:szCs w:val="20"/>
          <w:shd w:val="clear" w:color="auto" w:fill="FFFFFF"/>
        </w:rPr>
        <w:t xml:space="preserve"> (a) the children had maintained residence in Kuwait until reaching the age of majority, and (b) their foreign father had irrevocably divorced their Kuwaiti mother or had died.</w:t>
      </w:r>
      <w:r w:rsidR="008F119B" w:rsidRPr="00EF0C9D">
        <w:rPr>
          <w:rStyle w:val="FootnoteReference"/>
          <w:rFonts w:cs="Arial"/>
          <w:color w:val="000000"/>
          <w:sz w:val="20"/>
          <w:szCs w:val="20"/>
          <w:shd w:val="clear" w:color="auto" w:fill="FFFFFF"/>
          <w:vertAlign w:val="superscript"/>
        </w:rPr>
        <w:footnoteReference w:id="80"/>
      </w:r>
      <w:r w:rsidR="008F119B" w:rsidRPr="00EF0C9D">
        <w:rPr>
          <w:color w:val="000000"/>
          <w:sz w:val="20"/>
          <w:szCs w:val="20"/>
          <w:shd w:val="clear" w:color="auto" w:fill="FFFFFF"/>
        </w:rPr>
        <w:t xml:space="preserve"> The law does not permit the nationalization of children born to a Kuwaiti mother and a non-Kuwaiti father before reaching the age of majority, but </w:t>
      </w:r>
      <w:r w:rsidR="008F119B" w:rsidRPr="00EF0C9D">
        <w:rPr>
          <w:color w:val="000000"/>
          <w:sz w:val="20"/>
          <w:szCs w:val="20"/>
          <w:shd w:val="clear" w:color="auto" w:fill="FFFFFF"/>
        </w:rPr>
        <w:lastRenderedPageBreak/>
        <w:t>rather states that the Minister of Interior “afford to such children, being minors, the same treatment as that afforded to Kuwaiti nationals in all respects until they reach the age of majority.”</w:t>
      </w:r>
      <w:r w:rsidR="008F119B" w:rsidRPr="00EF0C9D">
        <w:rPr>
          <w:rStyle w:val="FootnoteReference"/>
          <w:rFonts w:cs="Arial"/>
          <w:color w:val="000000"/>
          <w:sz w:val="20"/>
          <w:szCs w:val="20"/>
          <w:shd w:val="clear" w:color="auto" w:fill="FFFFFF"/>
          <w:vertAlign w:val="superscript"/>
        </w:rPr>
        <w:footnoteReference w:id="81"/>
      </w:r>
    </w:p>
    <w:p w14:paraId="755E33A2" w14:textId="77777777" w:rsidR="00426AC7" w:rsidRPr="00EF0C9D" w:rsidRDefault="00426AC7" w:rsidP="00426AC7">
      <w:pPr>
        <w:pStyle w:val="NormalWeb"/>
        <w:shd w:val="clear" w:color="auto" w:fill="FFFFFF"/>
        <w:spacing w:before="0" w:after="0"/>
        <w:jc w:val="both"/>
        <w:rPr>
          <w:color w:val="000000"/>
          <w:sz w:val="20"/>
          <w:szCs w:val="20"/>
          <w:shd w:val="clear" w:color="auto" w:fill="FFFFFF"/>
        </w:rPr>
      </w:pPr>
    </w:p>
    <w:p w14:paraId="5719FFFE" w14:textId="3CFD8829" w:rsidR="00426AC7" w:rsidRDefault="00036F3B" w:rsidP="00426AC7">
      <w:pPr>
        <w:pStyle w:val="NormalWeb"/>
        <w:shd w:val="clear" w:color="auto" w:fill="FFFFFF"/>
        <w:spacing w:before="0" w:after="0"/>
        <w:jc w:val="both"/>
        <w:rPr>
          <w:color w:val="222222"/>
          <w:sz w:val="20"/>
          <w:szCs w:val="20"/>
        </w:rPr>
      </w:pPr>
      <w:r w:rsidRPr="00EF0C9D">
        <w:rPr>
          <w:color w:val="000000"/>
          <w:sz w:val="20"/>
          <w:szCs w:val="20"/>
          <w:shd w:val="clear" w:color="auto" w:fill="FFFFFF"/>
        </w:rPr>
        <w:t xml:space="preserve">A </w:t>
      </w:r>
      <w:r w:rsidR="002B09E7" w:rsidRPr="00EF0C9D">
        <w:rPr>
          <w:color w:val="222222"/>
          <w:sz w:val="20"/>
          <w:szCs w:val="20"/>
        </w:rPr>
        <w:t xml:space="preserve">foreign wife must be married to her </w:t>
      </w:r>
      <w:r w:rsidRPr="00EF0C9D">
        <w:rPr>
          <w:color w:val="222222"/>
          <w:sz w:val="20"/>
          <w:szCs w:val="20"/>
        </w:rPr>
        <w:t>Kuwaiti</w:t>
      </w:r>
      <w:r w:rsidR="002B09E7" w:rsidRPr="00EF0C9D">
        <w:rPr>
          <w:color w:val="222222"/>
          <w:sz w:val="20"/>
          <w:szCs w:val="20"/>
        </w:rPr>
        <w:t xml:space="preserve"> husband for a minimum of 1</w:t>
      </w:r>
      <w:r w:rsidRPr="00EF0C9D">
        <w:rPr>
          <w:color w:val="222222"/>
          <w:sz w:val="20"/>
          <w:szCs w:val="20"/>
        </w:rPr>
        <w:t>5</w:t>
      </w:r>
      <w:r w:rsidR="002B09E7" w:rsidRPr="00EF0C9D">
        <w:rPr>
          <w:color w:val="222222"/>
          <w:sz w:val="20"/>
          <w:szCs w:val="20"/>
        </w:rPr>
        <w:t xml:space="preserve"> years before she can </w:t>
      </w:r>
      <w:r w:rsidR="00EF0C9D">
        <w:rPr>
          <w:color w:val="222222"/>
          <w:sz w:val="20"/>
          <w:szCs w:val="20"/>
        </w:rPr>
        <w:t xml:space="preserve">apply to </w:t>
      </w:r>
      <w:r w:rsidR="002B09E7" w:rsidRPr="00EF0C9D">
        <w:rPr>
          <w:color w:val="222222"/>
          <w:sz w:val="20"/>
          <w:szCs w:val="20"/>
        </w:rPr>
        <w:t xml:space="preserve">obtain </w:t>
      </w:r>
      <w:r w:rsidRPr="00EF0C9D">
        <w:rPr>
          <w:color w:val="222222"/>
          <w:sz w:val="20"/>
          <w:szCs w:val="20"/>
        </w:rPr>
        <w:t>Kuwaiti</w:t>
      </w:r>
      <w:r w:rsidR="002B09E7" w:rsidRPr="00EF0C9D">
        <w:rPr>
          <w:color w:val="222222"/>
          <w:sz w:val="20"/>
          <w:szCs w:val="20"/>
        </w:rPr>
        <w:t xml:space="preserve"> </w:t>
      </w:r>
      <w:r w:rsidRPr="00EF0C9D">
        <w:rPr>
          <w:color w:val="222222"/>
          <w:sz w:val="20"/>
          <w:szCs w:val="20"/>
        </w:rPr>
        <w:t>nationality</w:t>
      </w:r>
      <w:r w:rsidR="002B09E7" w:rsidRPr="00EF0C9D">
        <w:rPr>
          <w:color w:val="222222"/>
          <w:sz w:val="20"/>
          <w:szCs w:val="20"/>
        </w:rPr>
        <w:t>,</w:t>
      </w:r>
      <w:r w:rsidRPr="00EF0C9D">
        <w:rPr>
          <w:rStyle w:val="FootnoteReference"/>
          <w:rFonts w:cs="Arial"/>
          <w:color w:val="222222"/>
          <w:sz w:val="20"/>
          <w:szCs w:val="20"/>
          <w:vertAlign w:val="superscript"/>
        </w:rPr>
        <w:footnoteReference w:id="82"/>
      </w:r>
      <w:r w:rsidR="002B09E7" w:rsidRPr="00EF0C9D">
        <w:rPr>
          <w:color w:val="222222"/>
          <w:sz w:val="20"/>
          <w:szCs w:val="20"/>
        </w:rPr>
        <w:t xml:space="preserve"> wh</w:t>
      </w:r>
      <w:r w:rsidRPr="00EF0C9D">
        <w:rPr>
          <w:color w:val="222222"/>
          <w:sz w:val="20"/>
          <w:szCs w:val="20"/>
        </w:rPr>
        <w:t>ereas</w:t>
      </w:r>
      <w:r w:rsidR="002B09E7" w:rsidRPr="00EF0C9D">
        <w:rPr>
          <w:color w:val="222222"/>
          <w:sz w:val="20"/>
          <w:szCs w:val="20"/>
        </w:rPr>
        <w:t xml:space="preserve"> </w:t>
      </w:r>
      <w:r w:rsidRPr="00EF0C9D">
        <w:rPr>
          <w:color w:val="222222"/>
          <w:sz w:val="20"/>
          <w:szCs w:val="20"/>
        </w:rPr>
        <w:t>the law does not provide a path for a foreign husband of a Kuwaiti women to acquire Kuwaiti nationality. A Kuwaiti woman who marries a foreigner may risk losing her nationality if she acquires the nationality of her husband.</w:t>
      </w:r>
      <w:r w:rsidRPr="00EF0C9D">
        <w:rPr>
          <w:rStyle w:val="FootnoteReference"/>
          <w:rFonts w:cs="Arial"/>
          <w:color w:val="222222"/>
          <w:sz w:val="20"/>
          <w:szCs w:val="20"/>
          <w:vertAlign w:val="superscript"/>
        </w:rPr>
        <w:footnoteReference w:id="83"/>
      </w:r>
    </w:p>
    <w:p w14:paraId="620F4F58" w14:textId="77777777" w:rsidR="00426AC7" w:rsidRPr="0000571E" w:rsidRDefault="00426AC7" w:rsidP="00426AC7">
      <w:pPr>
        <w:pStyle w:val="NormalWeb"/>
        <w:shd w:val="clear" w:color="auto" w:fill="FFFFFF"/>
        <w:spacing w:before="0" w:after="0"/>
        <w:jc w:val="both"/>
        <w:rPr>
          <w:color w:val="222222"/>
          <w:sz w:val="20"/>
          <w:szCs w:val="20"/>
        </w:rPr>
      </w:pPr>
    </w:p>
    <w:p w14:paraId="46BAB44C" w14:textId="77777777" w:rsidR="00426AC7" w:rsidRPr="00EF0C9D" w:rsidRDefault="00426AC7" w:rsidP="00426AC7">
      <w:pPr>
        <w:pStyle w:val="NormalWeb"/>
        <w:shd w:val="clear" w:color="auto" w:fill="FFFFFF"/>
        <w:spacing w:before="0" w:after="0"/>
        <w:jc w:val="both"/>
        <w:rPr>
          <w:color w:val="222222"/>
          <w:sz w:val="20"/>
          <w:szCs w:val="20"/>
        </w:rPr>
      </w:pPr>
    </w:p>
    <w:p w14:paraId="76AE740C" w14:textId="3CB43984" w:rsidR="00036F3B" w:rsidRDefault="00186FB6" w:rsidP="00F60AED">
      <w:pPr>
        <w:jc w:val="center"/>
        <w:rPr>
          <w:rFonts w:ascii="Arial" w:eastAsia="Arial" w:hAnsi="Arial" w:cs="Arial"/>
          <w:sz w:val="20"/>
          <w:szCs w:val="20"/>
        </w:rPr>
      </w:pPr>
      <w:r>
        <w:rPr>
          <w:rFonts w:ascii="Arial" w:eastAsia="Arial" w:hAnsi="Arial" w:cs="Arial"/>
          <w:noProof/>
          <w:color w:val="000000"/>
          <w:sz w:val="20"/>
          <w:szCs w:val="20"/>
        </w:rPr>
        <w:drawing>
          <wp:inline distT="0" distB="0" distL="0" distR="0" wp14:anchorId="690F42DC" wp14:editId="5C655482">
            <wp:extent cx="3474627" cy="2024009"/>
            <wp:effectExtent l="0" t="0" r="5715" b="0"/>
            <wp:docPr id="15636018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01857" name="Picture 156360185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505385" cy="2041926"/>
                    </a:xfrm>
                    <a:prstGeom prst="rect">
                      <a:avLst/>
                    </a:prstGeom>
                  </pic:spPr>
                </pic:pic>
              </a:graphicData>
            </a:graphic>
          </wp:inline>
        </w:drawing>
      </w:r>
    </w:p>
    <w:p w14:paraId="51A7EC98" w14:textId="77777777" w:rsidR="00186FB6" w:rsidRDefault="00186FB6" w:rsidP="00036F3B">
      <w:pPr>
        <w:rPr>
          <w:rFonts w:ascii="Arial" w:eastAsia="Arial" w:hAnsi="Arial" w:cs="Arial"/>
          <w:sz w:val="20"/>
          <w:szCs w:val="20"/>
        </w:rPr>
      </w:pPr>
    </w:p>
    <w:tbl>
      <w:tblPr>
        <w:tblStyle w:val="a8"/>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572F7B" w14:paraId="7B821410" w14:textId="77777777" w:rsidTr="00287540">
        <w:trPr>
          <w:trHeight w:val="26"/>
        </w:trPr>
        <w:tc>
          <w:tcPr>
            <w:tcW w:w="8903" w:type="dxa"/>
            <w:shd w:val="clear" w:color="auto" w:fill="D9D9D9"/>
            <w:tcMar>
              <w:top w:w="100" w:type="dxa"/>
              <w:left w:w="100" w:type="dxa"/>
              <w:bottom w:w="100" w:type="dxa"/>
              <w:right w:w="100" w:type="dxa"/>
            </w:tcMar>
          </w:tcPr>
          <w:p w14:paraId="45EC6388" w14:textId="77777777" w:rsidR="00572F7B" w:rsidRDefault="00572F7B" w:rsidP="00287540">
            <w:pPr>
              <w:widowControl w:val="0"/>
              <w:spacing w:before="240" w:after="240"/>
              <w:jc w:val="both"/>
              <w:rPr>
                <w:rFonts w:ascii="Arial" w:eastAsia="Arial" w:hAnsi="Arial" w:cs="Arial"/>
                <w:b/>
                <w:sz w:val="20"/>
                <w:szCs w:val="20"/>
                <w:u w:val="single"/>
              </w:rPr>
            </w:pPr>
            <w:r>
              <w:rPr>
                <w:rFonts w:ascii="Arial" w:eastAsia="Arial" w:hAnsi="Arial" w:cs="Arial"/>
                <w:b/>
                <w:sz w:val="20"/>
                <w:szCs w:val="20"/>
                <w:u w:val="single"/>
              </w:rPr>
              <w:t>RECOMMENDATIONS</w:t>
            </w:r>
          </w:p>
          <w:p w14:paraId="18B3285C" w14:textId="4D12AFCC" w:rsidR="00572F7B" w:rsidRDefault="00572F7B" w:rsidP="00287540">
            <w:pPr>
              <w:jc w:val="both"/>
              <w:rPr>
                <w:rFonts w:ascii="Arial" w:eastAsia="Arial" w:hAnsi="Arial" w:cs="Arial"/>
                <w:sz w:val="20"/>
                <w:szCs w:val="20"/>
              </w:rPr>
            </w:pPr>
            <w:r>
              <w:rPr>
                <w:rFonts w:ascii="Arial" w:eastAsia="Arial" w:hAnsi="Arial" w:cs="Arial"/>
                <w:b/>
                <w:sz w:val="20"/>
                <w:szCs w:val="20"/>
              </w:rPr>
              <w:t xml:space="preserve">We recommend </w:t>
            </w:r>
            <w:r w:rsidR="0026722F">
              <w:rPr>
                <w:rFonts w:ascii="Arial" w:eastAsia="Arial" w:hAnsi="Arial" w:cs="Arial"/>
                <w:b/>
                <w:sz w:val="20"/>
                <w:szCs w:val="20"/>
              </w:rPr>
              <w:t xml:space="preserve">that </w:t>
            </w:r>
            <w:r>
              <w:rPr>
                <w:rFonts w:ascii="Arial" w:eastAsia="Arial" w:hAnsi="Arial" w:cs="Arial"/>
                <w:b/>
                <w:sz w:val="20"/>
                <w:szCs w:val="20"/>
              </w:rPr>
              <w:t>the CEDAW Committee urge the State party to:</w:t>
            </w:r>
          </w:p>
          <w:p w14:paraId="2C1FFDA2" w14:textId="77777777" w:rsidR="00572F7B" w:rsidRDefault="00572F7B" w:rsidP="00287540">
            <w:pPr>
              <w:pBdr>
                <w:top w:val="nil"/>
                <w:left w:val="nil"/>
                <w:bottom w:val="nil"/>
                <w:right w:val="nil"/>
                <w:between w:val="nil"/>
              </w:pBdr>
              <w:spacing w:line="259" w:lineRule="auto"/>
              <w:ind w:left="720"/>
              <w:jc w:val="both"/>
              <w:rPr>
                <w:rFonts w:ascii="Arial" w:eastAsia="Arial" w:hAnsi="Arial" w:cs="Arial"/>
                <w:color w:val="000000"/>
                <w:sz w:val="20"/>
                <w:szCs w:val="20"/>
              </w:rPr>
            </w:pPr>
          </w:p>
          <w:p w14:paraId="0282D5EC" w14:textId="106300C6" w:rsidR="00C2273B" w:rsidRPr="00C2273B" w:rsidRDefault="00C2273B" w:rsidP="00C2273B">
            <w:pPr>
              <w:pStyle w:val="Normal1"/>
              <w:numPr>
                <w:ilvl w:val="0"/>
                <w:numId w:val="2"/>
              </w:numPr>
              <w:spacing w:before="0" w:after="120" w:line="240" w:lineRule="auto"/>
              <w:rPr>
                <w:rFonts w:ascii="Arial" w:eastAsia="Arial" w:hAnsi="Arial" w:cs="Arial"/>
                <w:bCs/>
                <w:color w:val="000000" w:themeColor="text1"/>
                <w:sz w:val="20"/>
                <w:szCs w:val="20"/>
              </w:rPr>
            </w:pPr>
            <w:r w:rsidRPr="00C2273B">
              <w:rPr>
                <w:rFonts w:ascii="Arial" w:eastAsia="Arial" w:hAnsi="Arial" w:cs="Arial"/>
                <w:bCs/>
                <w:color w:val="000000" w:themeColor="text1"/>
                <w:sz w:val="20"/>
                <w:szCs w:val="20"/>
              </w:rPr>
              <w:t>Take immediate steps to repeal all discriminatory provisions in the Nationality Law and other relevant procedural guidelines that restrict a woman’s right to acquire, retain, and transfer citizenship on an equal basis with men.</w:t>
            </w:r>
          </w:p>
          <w:p w14:paraId="1FDBF511" w14:textId="796FE593" w:rsidR="003E4F78" w:rsidRPr="00C2273B" w:rsidRDefault="00C2273B" w:rsidP="00C2273B">
            <w:pPr>
              <w:pStyle w:val="Normal1"/>
              <w:numPr>
                <w:ilvl w:val="0"/>
                <w:numId w:val="2"/>
              </w:numPr>
              <w:spacing w:before="0" w:after="120" w:line="240" w:lineRule="auto"/>
              <w:rPr>
                <w:rFonts w:ascii="Arial" w:eastAsia="Arial" w:hAnsi="Arial" w:cs="Arial"/>
                <w:bCs/>
                <w:color w:val="000000" w:themeColor="text1"/>
                <w:sz w:val="20"/>
                <w:szCs w:val="20"/>
              </w:rPr>
            </w:pPr>
            <w:r w:rsidRPr="00C2273B">
              <w:rPr>
                <w:rFonts w:ascii="Arial" w:eastAsia="Arial" w:hAnsi="Arial" w:cs="Arial"/>
                <w:bCs/>
                <w:color w:val="000000" w:themeColor="text1"/>
                <w:sz w:val="20"/>
                <w:szCs w:val="20"/>
              </w:rPr>
              <w:t>Recognize the independent right of each parent to confer citizenship based on lineal descent of their children.</w:t>
            </w:r>
          </w:p>
          <w:p w14:paraId="6251E9C5" w14:textId="18859A9D" w:rsidR="00C2273B" w:rsidRPr="003E4F78" w:rsidRDefault="00C2273B" w:rsidP="00F60AED">
            <w:pPr>
              <w:pStyle w:val="Normal1"/>
              <w:numPr>
                <w:ilvl w:val="0"/>
                <w:numId w:val="2"/>
              </w:numPr>
              <w:spacing w:before="0" w:after="120" w:line="240" w:lineRule="auto"/>
              <w:rPr>
                <w:b/>
                <w:color w:val="000000" w:themeColor="text1"/>
              </w:rPr>
            </w:pPr>
            <w:r w:rsidRPr="003E4F78">
              <w:rPr>
                <w:rFonts w:ascii="Arial" w:eastAsia="Arial" w:hAnsi="Arial" w:cs="Arial"/>
                <w:bCs/>
                <w:color w:val="000000" w:themeColor="text1"/>
                <w:sz w:val="20"/>
                <w:szCs w:val="20"/>
              </w:rPr>
              <w:t>Revise the Nationality Law to ensure that Kuwait women can pass their citizenship to their children and foreign-born husbands, in accordance with guidelines and conditions that should be applicable equally to Kuwaiti men and women without discrimination.</w:t>
            </w:r>
          </w:p>
        </w:tc>
      </w:tr>
    </w:tbl>
    <w:p w14:paraId="7AC34B6D" w14:textId="77777777" w:rsidR="00572F7B" w:rsidRDefault="00572F7B">
      <w:pPr>
        <w:rPr>
          <w:rFonts w:ascii="Arial" w:eastAsia="Arial" w:hAnsi="Arial" w:cs="Arial"/>
          <w:sz w:val="20"/>
          <w:szCs w:val="20"/>
        </w:rPr>
      </w:pPr>
    </w:p>
    <w:sectPr w:rsidR="00572F7B">
      <w:footerReference w:type="even" r:id="rId30"/>
      <w:footerReference w:type="default" r:id="rId31"/>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DBEAE" w14:textId="77777777" w:rsidR="00997036" w:rsidRDefault="00997036">
      <w:r>
        <w:separator/>
      </w:r>
    </w:p>
  </w:endnote>
  <w:endnote w:type="continuationSeparator" w:id="0">
    <w:p w14:paraId="29D41287" w14:textId="77777777" w:rsidR="00997036" w:rsidRDefault="0099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C4C04" w14:textId="77777777" w:rsidR="00D07715" w:rsidRDefault="00D07715">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46B1A" w14:textId="77777777" w:rsidR="00D07715" w:rsidRDefault="00D07715">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82F5" w14:textId="77777777" w:rsidR="00D07715" w:rsidRDefault="00D07715">
    <w:pPr>
      <w:pBdr>
        <w:top w:val="nil"/>
        <w:left w:val="nil"/>
        <w:bottom w:val="nil"/>
        <w:right w:val="nil"/>
        <w:between w:val="nil"/>
      </w:pBd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EE39" w14:textId="270C548D" w:rsidR="00D07715"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6A27C3">
      <w:rPr>
        <w:noProof/>
        <w:color w:val="000000"/>
      </w:rPr>
      <w:t>1</w:t>
    </w:r>
    <w:r>
      <w:rPr>
        <w:color w:val="000000"/>
      </w:rPr>
      <w:fldChar w:fldCharType="end"/>
    </w:r>
  </w:p>
  <w:p w14:paraId="7818C650" w14:textId="77777777" w:rsidR="00D07715" w:rsidRDefault="00D07715">
    <w:pPr>
      <w:pBdr>
        <w:top w:val="nil"/>
        <w:left w:val="nil"/>
        <w:bottom w:val="nil"/>
        <w:right w:val="nil"/>
        <w:between w:val="nil"/>
      </w:pBdr>
      <w:ind w:right="360"/>
      <w:jc w:val="right"/>
      <w:rPr>
        <w:rFonts w:ascii="Corbel" w:eastAsia="Corbel" w:hAnsi="Corbel" w:cs="Corbel"/>
        <w:color w:val="000000"/>
        <w:sz w:val="22"/>
        <w:szCs w:val="22"/>
      </w:rPr>
    </w:pPr>
  </w:p>
  <w:p w14:paraId="697CE172" w14:textId="77777777" w:rsidR="00D07715" w:rsidRDefault="00D07715">
    <w:pPr>
      <w:pBdr>
        <w:top w:val="nil"/>
        <w:left w:val="nil"/>
        <w:bottom w:val="nil"/>
        <w:right w:val="nil"/>
        <w:between w:val="nil"/>
      </w:pBdr>
      <w:spacing w:after="720"/>
      <w:ind w:right="360"/>
      <w:rPr>
        <w:rFonts w:ascii="Corbel" w:eastAsia="Corbel" w:hAnsi="Corbel" w:cs="Corbel"/>
        <w:color w:val="000000"/>
        <w:sz w:val="22"/>
        <w:szCs w:val="22"/>
      </w:rPr>
    </w:pPr>
  </w:p>
  <w:p w14:paraId="76E1D250" w14:textId="77777777" w:rsidR="00D07715" w:rsidRDefault="00D07715">
    <w:pPr>
      <w:pBdr>
        <w:top w:val="nil"/>
        <w:left w:val="nil"/>
        <w:bottom w:val="nil"/>
        <w:right w:val="nil"/>
        <w:between w:val="nil"/>
      </w:pBdr>
      <w:spacing w:before="120" w:after="200" w:line="264" w:lineRule="auto"/>
      <w:rPr>
        <w:rFonts w:ascii="Corbel" w:eastAsia="Corbel" w:hAnsi="Corbel" w:cs="Corbel"/>
        <w:color w:val="00000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9E95D" w14:textId="77777777" w:rsidR="00D07715"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657755">
      <w:rPr>
        <w:noProof/>
        <w:color w:val="000000"/>
      </w:rPr>
      <w:t>2</w:t>
    </w:r>
    <w:r>
      <w:rPr>
        <w:color w:val="000000"/>
      </w:rPr>
      <w:fldChar w:fldCharType="end"/>
    </w:r>
  </w:p>
  <w:p w14:paraId="082A87E1" w14:textId="77777777" w:rsidR="00D07715" w:rsidRDefault="00D07715">
    <w:pPr>
      <w:pBdr>
        <w:top w:val="nil"/>
        <w:left w:val="nil"/>
        <w:bottom w:val="nil"/>
        <w:right w:val="nil"/>
        <w:between w:val="nil"/>
      </w:pBdr>
      <w:ind w:right="360"/>
      <w:rPr>
        <w:rFonts w:ascii="Corbel" w:eastAsia="Corbel" w:hAnsi="Corbel" w:cs="Corbel"/>
        <w:color w:val="000000"/>
        <w:sz w:val="22"/>
        <w:szCs w:val="22"/>
      </w:rPr>
    </w:pPr>
  </w:p>
  <w:p w14:paraId="62AB7636" w14:textId="77777777" w:rsidR="00D07715" w:rsidRDefault="00D07715">
    <w:pPr>
      <w:pBdr>
        <w:top w:val="nil"/>
        <w:left w:val="nil"/>
        <w:bottom w:val="nil"/>
        <w:right w:val="nil"/>
        <w:between w:val="nil"/>
      </w:pBdr>
      <w:jc w:val="right"/>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4FCAA" w14:textId="77777777" w:rsidR="00997036" w:rsidRDefault="00997036">
      <w:r>
        <w:separator/>
      </w:r>
    </w:p>
  </w:footnote>
  <w:footnote w:type="continuationSeparator" w:id="0">
    <w:p w14:paraId="07D32CEF" w14:textId="77777777" w:rsidR="00997036" w:rsidRDefault="00997036">
      <w:r>
        <w:continuationSeparator/>
      </w:r>
    </w:p>
  </w:footnote>
  <w:footnote w:id="1">
    <w:p w14:paraId="5BB51237" w14:textId="75562404" w:rsidR="00D829C6" w:rsidRPr="00C7462F" w:rsidRDefault="00D829C6" w:rsidP="002C5B71">
      <w:pPr>
        <w:pStyle w:val="FootnoteText1"/>
        <w:rPr>
          <w:szCs w:val="16"/>
        </w:rPr>
      </w:pPr>
      <w:r w:rsidRPr="00C7462F">
        <w:rPr>
          <w:szCs w:val="16"/>
          <w:vertAlign w:val="superscript"/>
        </w:rPr>
        <w:footnoteRef/>
      </w:r>
      <w:r w:rsidR="00C7462F">
        <w:rPr>
          <w:szCs w:val="16"/>
        </w:rPr>
        <w:t xml:space="preserve"> </w:t>
      </w:r>
      <w:r w:rsidRPr="00C7462F">
        <w:rPr>
          <w:szCs w:val="16"/>
        </w:rPr>
        <w:t xml:space="preserve">United Nations Treaty Collection, Convention on the Elimination of All Forms of Discrimination Against Women (New York, 18 December 1979), Status as </w:t>
      </w:r>
      <w:r w:rsidR="0000571E">
        <w:rPr>
          <w:szCs w:val="16"/>
        </w:rPr>
        <w:t xml:space="preserve">of </w:t>
      </w:r>
      <w:r w:rsidRPr="00C7462F">
        <w:rPr>
          <w:szCs w:val="16"/>
        </w:rPr>
        <w:t xml:space="preserve">29 March 2024, </w:t>
      </w:r>
      <w:hyperlink r:id="rId1" w:history="1">
        <w:r w:rsidRPr="00C7462F">
          <w:rPr>
            <w:szCs w:val="16"/>
          </w:rPr>
          <w:t>https://treaties.un.org/Pages/ViewDetails.aspx?src=TREATY&amp;mtdsg_no=IV-8&amp;chapter=4&amp;clang=_en</w:t>
        </w:r>
      </w:hyperlink>
      <w:r w:rsidRPr="00C7462F">
        <w:rPr>
          <w:szCs w:val="16"/>
        </w:rPr>
        <w:t>.</w:t>
      </w:r>
    </w:p>
  </w:footnote>
  <w:footnote w:id="2">
    <w:p w14:paraId="0D51E95A" w14:textId="085029FD" w:rsidR="00A21500" w:rsidRPr="00C7462F" w:rsidRDefault="00A21500" w:rsidP="002C5B71">
      <w:pPr>
        <w:pStyle w:val="Footnote"/>
        <w:rPr>
          <w:rStyle w:val="FootnoteReference"/>
          <w:rFonts w:ascii="Arial" w:hAnsi="Arial" w:cs="Arial"/>
          <w:sz w:val="16"/>
          <w:szCs w:val="16"/>
          <w:vertAlign w:val="baseline"/>
        </w:rPr>
      </w:pPr>
      <w:r w:rsidRPr="00C7462F">
        <w:rPr>
          <w:rFonts w:ascii="Arial" w:hAnsi="Arial" w:cs="Arial"/>
          <w:sz w:val="16"/>
        </w:rPr>
        <w:footnoteRef/>
      </w:r>
      <w:r w:rsidR="00C7462F">
        <w:rPr>
          <w:rStyle w:val="FootnoteReference"/>
          <w:rFonts w:ascii="Arial" w:hAnsi="Arial" w:cs="Arial"/>
          <w:sz w:val="16"/>
          <w:szCs w:val="16"/>
          <w:vertAlign w:val="baseline"/>
        </w:rPr>
        <w:t xml:space="preserve"> </w:t>
      </w:r>
      <w:r w:rsidR="00C7462F">
        <w:rPr>
          <w:rStyle w:val="FootnoteReference"/>
          <w:rFonts w:ascii="Arial" w:hAnsi="Arial" w:cs="Arial"/>
          <w:i/>
          <w:iCs/>
          <w:sz w:val="16"/>
          <w:szCs w:val="16"/>
          <w:vertAlign w:val="baseline"/>
        </w:rPr>
        <w:t>I</w:t>
      </w:r>
      <w:r w:rsidRPr="00C7462F">
        <w:rPr>
          <w:rStyle w:val="FootnoteReference"/>
          <w:rFonts w:ascii="Arial" w:hAnsi="Arial" w:cs="Arial"/>
          <w:i/>
          <w:iCs/>
          <w:sz w:val="16"/>
          <w:szCs w:val="16"/>
          <w:vertAlign w:val="baseline"/>
        </w:rPr>
        <w:t>bid.</w:t>
      </w:r>
    </w:p>
  </w:footnote>
  <w:footnote w:id="3">
    <w:p w14:paraId="48C0A42A" w14:textId="7E4DC374" w:rsidR="006E7804" w:rsidRPr="00C7462F" w:rsidRDefault="006E7804"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rPr>
        <w:t xml:space="preserve"> </w:t>
      </w:r>
      <w:r w:rsidR="00922B62" w:rsidRPr="00C7462F">
        <w:rPr>
          <w:rStyle w:val="FootnoteReference"/>
          <w:rFonts w:cs="Arial"/>
          <w:sz w:val="16"/>
          <w:szCs w:val="16"/>
        </w:rPr>
        <w:t xml:space="preserve">“Kuwait.” The World Factbook, Washington, DC: Central Intelligence Agency, 2024, </w:t>
      </w:r>
      <w:hyperlink r:id="rId2" w:history="1">
        <w:r w:rsidR="00922B62" w:rsidRPr="00C7462F">
          <w:rPr>
            <w:rStyle w:val="FootnoteReference"/>
            <w:rFonts w:cs="Arial"/>
            <w:sz w:val="16"/>
            <w:szCs w:val="16"/>
          </w:rPr>
          <w:t>https://www.cia.gov/the-world-factbook/countries/kuwait/</w:t>
        </w:r>
      </w:hyperlink>
      <w:r w:rsidR="00922B62" w:rsidRPr="00C7462F">
        <w:rPr>
          <w:rStyle w:val="FootnoteReference"/>
          <w:rFonts w:cs="Arial"/>
          <w:sz w:val="16"/>
          <w:szCs w:val="16"/>
        </w:rPr>
        <w:t xml:space="preserve">. </w:t>
      </w:r>
    </w:p>
  </w:footnote>
  <w:footnote w:id="4">
    <w:p w14:paraId="72A55835" w14:textId="535BA820" w:rsidR="006A2AF3" w:rsidRPr="00C7462F" w:rsidRDefault="006A2AF3"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rPr>
        <w:t xml:space="preserve"> </w:t>
      </w:r>
      <w:r w:rsidR="00882DA2" w:rsidRPr="00C7462F">
        <w:rPr>
          <w:rFonts w:cs="Arial"/>
          <w:szCs w:val="16"/>
        </w:rPr>
        <w:t xml:space="preserve">These are rough estimates, as there are no official statistics on religious and sect affiliation. </w:t>
      </w:r>
      <w:r w:rsidRPr="00C7462F">
        <w:rPr>
          <w:rStyle w:val="FootnoteReference"/>
          <w:rFonts w:cs="Arial"/>
          <w:sz w:val="16"/>
          <w:szCs w:val="16"/>
        </w:rPr>
        <w:t xml:space="preserve">2022 Report on International Religious Freedom: Kuwait, US Department of State, 2022, </w:t>
      </w:r>
      <w:hyperlink r:id="rId3" w:history="1">
        <w:r w:rsidRPr="00C7462F">
          <w:rPr>
            <w:rStyle w:val="FootnoteReference"/>
            <w:rFonts w:cs="Arial"/>
            <w:sz w:val="16"/>
            <w:szCs w:val="16"/>
          </w:rPr>
          <w:t>https://www.state.gov/reports/2022-report-on-international-religious-freedom/kuwait/</w:t>
        </w:r>
      </w:hyperlink>
      <w:r w:rsidRPr="00C7462F">
        <w:rPr>
          <w:rStyle w:val="FootnoteReference"/>
          <w:rFonts w:cs="Arial"/>
          <w:sz w:val="16"/>
          <w:szCs w:val="16"/>
        </w:rPr>
        <w:t xml:space="preserve">. </w:t>
      </w:r>
    </w:p>
  </w:footnote>
  <w:footnote w:id="5">
    <w:p w14:paraId="353FF29A" w14:textId="6BF6E0C0" w:rsidR="00D07715" w:rsidRPr="00C7462F" w:rsidRDefault="00000000"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rPr>
        <w:t xml:space="preserve"> </w:t>
      </w:r>
      <w:r w:rsidRPr="00C7462F">
        <w:rPr>
          <w:rStyle w:val="FootnoteReference"/>
          <w:rFonts w:cs="Arial"/>
          <w:i/>
          <w:iCs/>
          <w:sz w:val="16"/>
          <w:szCs w:val="16"/>
        </w:rPr>
        <w:t>Ibid.</w:t>
      </w:r>
      <w:r w:rsidRPr="00C7462F">
        <w:rPr>
          <w:rStyle w:val="FootnoteReference"/>
          <w:rFonts w:cs="Arial"/>
          <w:sz w:val="16"/>
          <w:szCs w:val="16"/>
        </w:rPr>
        <w:t xml:space="preserve"> </w:t>
      </w:r>
    </w:p>
  </w:footnote>
  <w:footnote w:id="6">
    <w:p w14:paraId="11BB16C6" w14:textId="51AA17A7" w:rsidR="00E34556" w:rsidRPr="00C7462F" w:rsidRDefault="00E34556"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rPr>
        <w:t xml:space="preserve"> </w:t>
      </w:r>
      <w:r w:rsidRPr="00C7462F">
        <w:rPr>
          <w:rStyle w:val="FootnoteReference"/>
          <w:rFonts w:cs="Arial"/>
          <w:sz w:val="16"/>
          <w:szCs w:val="16"/>
        </w:rPr>
        <w:t>Article</w:t>
      </w:r>
      <w:r w:rsidR="00EF0C9D" w:rsidRPr="00C7462F">
        <w:rPr>
          <w:rFonts w:cs="Arial"/>
          <w:szCs w:val="16"/>
        </w:rPr>
        <w:t>s 1,</w:t>
      </w:r>
      <w:r w:rsidRPr="00C7462F">
        <w:rPr>
          <w:rStyle w:val="FootnoteReference"/>
          <w:rFonts w:cs="Arial"/>
          <w:sz w:val="16"/>
          <w:szCs w:val="16"/>
        </w:rPr>
        <w:t xml:space="preserve"> 2 of </w:t>
      </w:r>
      <w:r w:rsidR="00021CD4" w:rsidRPr="00C7462F">
        <w:rPr>
          <w:rStyle w:val="FootnoteReference"/>
          <w:rFonts w:cs="Arial"/>
          <w:sz w:val="16"/>
          <w:szCs w:val="16"/>
        </w:rPr>
        <w:t>t</w:t>
      </w:r>
      <w:r w:rsidR="00021CD4" w:rsidRPr="00C7462F">
        <w:rPr>
          <w:rFonts w:cs="Arial"/>
          <w:szCs w:val="16"/>
        </w:rPr>
        <w:t xml:space="preserve">he </w:t>
      </w:r>
      <w:r w:rsidRPr="00C7462F">
        <w:rPr>
          <w:rStyle w:val="FootnoteReference"/>
          <w:rFonts w:cs="Arial"/>
          <w:sz w:val="16"/>
          <w:szCs w:val="16"/>
        </w:rPr>
        <w:t>Constitution</w:t>
      </w:r>
      <w:r w:rsidR="00021CD4" w:rsidRPr="00C7462F">
        <w:rPr>
          <w:rFonts w:cs="Arial"/>
          <w:szCs w:val="16"/>
        </w:rPr>
        <w:t xml:space="preserve"> of Kuwait</w:t>
      </w:r>
      <w:r w:rsidRPr="00C7462F">
        <w:rPr>
          <w:rStyle w:val="FootnoteReference"/>
          <w:rFonts w:cs="Arial"/>
          <w:sz w:val="16"/>
          <w:szCs w:val="16"/>
        </w:rPr>
        <w:t xml:space="preserve"> (1962).</w:t>
      </w:r>
    </w:p>
  </w:footnote>
  <w:footnote w:id="7">
    <w:p w14:paraId="11B41A0B" w14:textId="72AC7042" w:rsidR="00A21500" w:rsidRPr="00C7462F" w:rsidRDefault="00A21500"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rPr>
        <w:t xml:space="preserve"> </w:t>
      </w:r>
      <w:r w:rsidRPr="00C7462F">
        <w:rPr>
          <w:rStyle w:val="FootnoteReference"/>
          <w:rFonts w:cs="Arial"/>
          <w:sz w:val="16"/>
          <w:szCs w:val="16"/>
        </w:rPr>
        <w:t xml:space="preserve">Article 2 of </w:t>
      </w:r>
      <w:r w:rsidR="00021CD4" w:rsidRPr="00C7462F">
        <w:rPr>
          <w:rStyle w:val="FootnoteReference"/>
          <w:rFonts w:cs="Arial"/>
          <w:sz w:val="16"/>
          <w:szCs w:val="16"/>
        </w:rPr>
        <w:t>t</w:t>
      </w:r>
      <w:r w:rsidR="00021CD4" w:rsidRPr="00C7462F">
        <w:rPr>
          <w:rFonts w:cs="Arial"/>
          <w:szCs w:val="16"/>
        </w:rPr>
        <w:t xml:space="preserve">he </w:t>
      </w:r>
      <w:r w:rsidRPr="00C7462F">
        <w:rPr>
          <w:rStyle w:val="FootnoteReference"/>
          <w:rFonts w:cs="Arial"/>
          <w:sz w:val="16"/>
          <w:szCs w:val="16"/>
        </w:rPr>
        <w:t>Constitution</w:t>
      </w:r>
      <w:r w:rsidR="00021CD4" w:rsidRPr="00C7462F">
        <w:rPr>
          <w:rFonts w:cs="Arial"/>
          <w:szCs w:val="16"/>
        </w:rPr>
        <w:t xml:space="preserve"> of Kuwait</w:t>
      </w:r>
      <w:r w:rsidRPr="00C7462F">
        <w:rPr>
          <w:rStyle w:val="FootnoteReference"/>
          <w:rFonts w:cs="Arial"/>
          <w:sz w:val="16"/>
          <w:szCs w:val="16"/>
        </w:rPr>
        <w:t xml:space="preserve"> (1962). </w:t>
      </w:r>
    </w:p>
  </w:footnote>
  <w:footnote w:id="8">
    <w:p w14:paraId="6FFE5745" w14:textId="3C682777" w:rsidR="000A1F33" w:rsidRPr="00C7462F" w:rsidRDefault="000A1F33"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rPr>
        <w:t xml:space="preserve"> </w:t>
      </w:r>
      <w:r w:rsidRPr="00C7462F">
        <w:rPr>
          <w:rFonts w:cs="Arial"/>
          <w:szCs w:val="16"/>
        </w:rPr>
        <w:t xml:space="preserve">Articles 6-9 of </w:t>
      </w:r>
      <w:r w:rsidR="00021CD4" w:rsidRPr="00C7462F">
        <w:rPr>
          <w:rFonts w:cs="Arial"/>
          <w:szCs w:val="16"/>
        </w:rPr>
        <w:t xml:space="preserve">the </w:t>
      </w:r>
      <w:r w:rsidRPr="00C7462F">
        <w:rPr>
          <w:rFonts w:cs="Arial"/>
          <w:szCs w:val="16"/>
        </w:rPr>
        <w:t>Constitution</w:t>
      </w:r>
      <w:r w:rsidR="00021CD4" w:rsidRPr="00C7462F">
        <w:rPr>
          <w:rFonts w:cs="Arial"/>
          <w:szCs w:val="16"/>
        </w:rPr>
        <w:t xml:space="preserve"> of Kuwait</w:t>
      </w:r>
      <w:r w:rsidRPr="00C7462F">
        <w:rPr>
          <w:rFonts w:cs="Arial"/>
          <w:szCs w:val="16"/>
        </w:rPr>
        <w:t xml:space="preserve"> (1962).</w:t>
      </w:r>
    </w:p>
  </w:footnote>
  <w:footnote w:id="9">
    <w:p w14:paraId="6EFE544F" w14:textId="6C2E73D3" w:rsidR="00A21500" w:rsidRPr="00C7462F" w:rsidRDefault="00A21500"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Fonts w:cs="Arial"/>
          <w:szCs w:val="16"/>
        </w:rPr>
        <w:t xml:space="preserve"> </w:t>
      </w:r>
      <w:r w:rsidRPr="00C7462F">
        <w:rPr>
          <w:rStyle w:val="FootnoteReference"/>
          <w:rFonts w:cs="Arial"/>
          <w:sz w:val="16"/>
          <w:szCs w:val="16"/>
        </w:rPr>
        <w:t xml:space="preserve">Article 29 of </w:t>
      </w:r>
      <w:r w:rsidR="00021CD4" w:rsidRPr="00C7462F">
        <w:rPr>
          <w:rStyle w:val="FootnoteReference"/>
          <w:rFonts w:cs="Arial"/>
          <w:sz w:val="16"/>
          <w:szCs w:val="16"/>
        </w:rPr>
        <w:t>t</w:t>
      </w:r>
      <w:r w:rsidR="00021CD4" w:rsidRPr="00C7462F">
        <w:rPr>
          <w:rFonts w:cs="Arial"/>
          <w:szCs w:val="16"/>
        </w:rPr>
        <w:t xml:space="preserve">he </w:t>
      </w:r>
      <w:r w:rsidRPr="00C7462F">
        <w:rPr>
          <w:rStyle w:val="FootnoteReference"/>
          <w:rFonts w:cs="Arial"/>
          <w:sz w:val="16"/>
          <w:szCs w:val="16"/>
        </w:rPr>
        <w:t xml:space="preserve">Constitution </w:t>
      </w:r>
      <w:r w:rsidR="00021CD4" w:rsidRPr="00C7462F">
        <w:rPr>
          <w:rFonts w:cs="Arial"/>
          <w:szCs w:val="16"/>
        </w:rPr>
        <w:t xml:space="preserve">of Kuwait </w:t>
      </w:r>
      <w:r w:rsidRPr="00C7462F">
        <w:rPr>
          <w:rStyle w:val="FootnoteReference"/>
          <w:rFonts w:cs="Arial"/>
          <w:sz w:val="16"/>
          <w:szCs w:val="16"/>
        </w:rPr>
        <w:t>(1962).</w:t>
      </w:r>
    </w:p>
  </w:footnote>
  <w:footnote w:id="10">
    <w:p w14:paraId="32E4424B" w14:textId="1FD7E673" w:rsidR="0060027E" w:rsidRPr="00C7462F" w:rsidRDefault="0060027E"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rPr>
        <w:t xml:space="preserve"> </w:t>
      </w:r>
      <w:r w:rsidRPr="00C7462F">
        <w:rPr>
          <w:rFonts w:cs="Arial"/>
          <w:i/>
          <w:iCs/>
          <w:szCs w:val="16"/>
        </w:rPr>
        <w:t xml:space="preserve">See </w:t>
      </w:r>
      <w:r w:rsidRPr="00C7462F">
        <w:rPr>
          <w:rFonts w:cs="Arial"/>
          <w:szCs w:val="16"/>
        </w:rPr>
        <w:t xml:space="preserve">Salma </w:t>
      </w:r>
      <w:proofErr w:type="spellStart"/>
      <w:r w:rsidRPr="00C7462F">
        <w:rPr>
          <w:rFonts w:cs="Arial"/>
          <w:szCs w:val="16"/>
        </w:rPr>
        <w:t>Waheedi</w:t>
      </w:r>
      <w:proofErr w:type="spellEnd"/>
      <w:r w:rsidRPr="00C7462F">
        <w:rPr>
          <w:rFonts w:cs="Arial"/>
          <w:szCs w:val="16"/>
        </w:rPr>
        <w:t xml:space="preserve">, “Litigating Women’s Rights in Gulf Monarchial Systems,” </w:t>
      </w:r>
      <w:r w:rsidRPr="00C7462F">
        <w:rPr>
          <w:rFonts w:cs="Arial"/>
          <w:i/>
          <w:iCs/>
          <w:szCs w:val="16"/>
        </w:rPr>
        <w:t xml:space="preserve">Arab Law Quarterly </w:t>
      </w:r>
      <w:r w:rsidRPr="00C7462F">
        <w:rPr>
          <w:rFonts w:cs="Arial"/>
          <w:szCs w:val="16"/>
        </w:rPr>
        <w:t xml:space="preserve">36:4-5 (2022). For a full archive of the Constituent Assembly discussions, including discussion of the place of </w:t>
      </w:r>
      <w:proofErr w:type="spellStart"/>
      <w:r w:rsidRPr="00C7462F">
        <w:rPr>
          <w:rFonts w:cs="Arial"/>
          <w:szCs w:val="16"/>
          <w:lang w:val="en-GB"/>
        </w:rPr>
        <w:t>Shari’ah</w:t>
      </w:r>
      <w:proofErr w:type="spellEnd"/>
      <w:r w:rsidRPr="00C7462F">
        <w:rPr>
          <w:rFonts w:cs="Arial"/>
          <w:szCs w:val="16"/>
        </w:rPr>
        <w:t xml:space="preserve"> in the Constitution (in Arabic), see </w:t>
      </w:r>
      <w:hyperlink r:id="rId4" w:history="1">
        <w:r w:rsidRPr="00C7462F">
          <w:rPr>
            <w:rStyle w:val="Hyperlink"/>
            <w:rFonts w:cs="Arial"/>
            <w:szCs w:val="16"/>
          </w:rPr>
          <w:t>http://www.nationalkuwait.com/forum/index.php?threads/95593/</w:t>
        </w:r>
      </w:hyperlink>
      <w:r w:rsidRPr="00C7462F">
        <w:rPr>
          <w:rFonts w:cs="Arial"/>
          <w:szCs w:val="16"/>
        </w:rPr>
        <w:t>.</w:t>
      </w:r>
    </w:p>
  </w:footnote>
  <w:footnote w:id="11">
    <w:p w14:paraId="2BAA71FD" w14:textId="671DC8A2" w:rsidR="000F6141" w:rsidRPr="00C7462F" w:rsidRDefault="000F6141" w:rsidP="002C5B71">
      <w:pPr>
        <w:pStyle w:val="Footer"/>
        <w:rPr>
          <w:rStyle w:val="FootnoteReference"/>
          <w:rFonts w:cs="Arial"/>
          <w:sz w:val="16"/>
          <w:szCs w:val="16"/>
        </w:rPr>
      </w:pPr>
      <w:r w:rsidRPr="00C7462F">
        <w:rPr>
          <w:rStyle w:val="FootnoteReference"/>
          <w:rFonts w:eastAsia="Corbel" w:cs="Arial"/>
          <w:sz w:val="16"/>
          <w:szCs w:val="16"/>
          <w:vertAlign w:val="superscript"/>
        </w:rPr>
        <w:footnoteRef/>
      </w:r>
      <w:r w:rsidR="00C7462F">
        <w:rPr>
          <w:rStyle w:val="FootnoteReference"/>
          <w:rFonts w:cs="Arial"/>
          <w:sz w:val="16"/>
          <w:szCs w:val="16"/>
        </w:rPr>
        <w:t xml:space="preserve"> </w:t>
      </w:r>
      <w:r w:rsidRPr="00C7462F">
        <w:rPr>
          <w:rStyle w:val="FootnoteReference"/>
          <w:rFonts w:cs="Arial"/>
          <w:sz w:val="16"/>
          <w:szCs w:val="16"/>
        </w:rPr>
        <w:t>Article 3 of the Kuwait Judiciary Law (1990); Constitutional Court Law (1973).</w:t>
      </w:r>
    </w:p>
  </w:footnote>
  <w:footnote w:id="12">
    <w:p w14:paraId="44E3AF8E" w14:textId="2B1F5E68" w:rsidR="000F6141" w:rsidRPr="00C7462F" w:rsidRDefault="000F6141" w:rsidP="002C5B71">
      <w:pPr>
        <w:pStyle w:val="Footer"/>
        <w:rPr>
          <w:rStyle w:val="FootnoteReference"/>
          <w:rFonts w:cs="Arial"/>
          <w:sz w:val="16"/>
          <w:szCs w:val="16"/>
          <w:rtl/>
        </w:rPr>
      </w:pPr>
      <w:r w:rsidRPr="00C7462F">
        <w:rPr>
          <w:rStyle w:val="FootnoteReference"/>
          <w:rFonts w:eastAsia="Corbel" w:cs="Arial"/>
          <w:sz w:val="16"/>
          <w:szCs w:val="16"/>
          <w:vertAlign w:val="superscript"/>
        </w:rPr>
        <w:footnoteRef/>
      </w:r>
      <w:r w:rsidR="00C7462F">
        <w:rPr>
          <w:rFonts w:cs="Arial"/>
          <w:szCs w:val="16"/>
        </w:rPr>
        <w:t xml:space="preserve"> </w:t>
      </w:r>
      <w:r w:rsidRPr="00C7462F">
        <w:rPr>
          <w:rStyle w:val="FootnoteReference"/>
          <w:rFonts w:cs="Arial"/>
          <w:sz w:val="16"/>
          <w:szCs w:val="16"/>
        </w:rPr>
        <w:t>Articles 4, 6-8 of the Kuwait Judiciary Law (</w:t>
      </w:r>
      <w:r w:rsidRPr="00C7462F">
        <w:rPr>
          <w:rStyle w:val="FootnoteReference"/>
          <w:rFonts w:cs="Arial"/>
          <w:color w:val="000000" w:themeColor="text1"/>
          <w:sz w:val="16"/>
          <w:szCs w:val="16"/>
        </w:rPr>
        <w:t>1990)</w:t>
      </w:r>
      <w:r w:rsidR="00241ECF" w:rsidRPr="00C7462F">
        <w:rPr>
          <w:rFonts w:cs="Arial"/>
          <w:color w:val="000000" w:themeColor="text1"/>
          <w:szCs w:val="16"/>
        </w:rPr>
        <w:t xml:space="preserve">; </w:t>
      </w:r>
      <w:r w:rsidR="00241ECF" w:rsidRPr="00C7462F">
        <w:rPr>
          <w:rStyle w:val="Hyperlink"/>
          <w:rFonts w:cs="Arial"/>
          <w:color w:val="000000" w:themeColor="text1"/>
          <w:szCs w:val="16"/>
          <w:u w:val="none"/>
        </w:rPr>
        <w:t>Law No. 12 of 2015 Establishing the Family Court.</w:t>
      </w:r>
      <w:r w:rsidR="00241ECF" w:rsidRPr="00C7462F">
        <w:rPr>
          <w:rStyle w:val="Hyperlink"/>
          <w:rFonts w:cs="Arial"/>
          <w:color w:val="000000" w:themeColor="text1"/>
          <w:szCs w:val="16"/>
        </w:rPr>
        <w:t xml:space="preserve"> </w:t>
      </w:r>
      <w:r w:rsidR="00241ECF" w:rsidRPr="00C7462F">
        <w:rPr>
          <w:rFonts w:eastAsia="Arial" w:cs="Arial"/>
          <w:szCs w:val="16"/>
        </w:rPr>
        <w:t xml:space="preserve">Following the 2019 promulgation of the </w:t>
      </w:r>
      <w:proofErr w:type="spellStart"/>
      <w:r w:rsidR="00241ECF" w:rsidRPr="00C7462F">
        <w:rPr>
          <w:rFonts w:cs="Arial"/>
          <w:szCs w:val="16"/>
          <w:lang w:val="en-GB"/>
        </w:rPr>
        <w:t>Ja’fari</w:t>
      </w:r>
      <w:proofErr w:type="spellEnd"/>
      <w:r w:rsidR="00241ECF" w:rsidRPr="00C7462F">
        <w:rPr>
          <w:rFonts w:eastAsia="Arial" w:cs="Arial"/>
          <w:szCs w:val="16"/>
        </w:rPr>
        <w:t xml:space="preserve"> Personal Status Law, separate </w:t>
      </w:r>
      <w:proofErr w:type="spellStart"/>
      <w:r w:rsidR="00241ECF" w:rsidRPr="00C7462F">
        <w:rPr>
          <w:rFonts w:eastAsia="Arial" w:cs="Arial"/>
          <w:szCs w:val="16"/>
        </w:rPr>
        <w:t>Sunn</w:t>
      </w:r>
      <w:r w:rsidR="00241ECF" w:rsidRPr="00C7462F">
        <w:rPr>
          <w:rFonts w:cs="Arial"/>
          <w:szCs w:val="16"/>
          <w:lang w:val="en-GB"/>
        </w:rPr>
        <w:t>i</w:t>
      </w:r>
      <w:proofErr w:type="spellEnd"/>
      <w:r w:rsidR="00241ECF" w:rsidRPr="00C7462F">
        <w:rPr>
          <w:rFonts w:cs="Arial"/>
          <w:szCs w:val="16"/>
          <w:lang w:val="en-GB"/>
        </w:rPr>
        <w:t xml:space="preserve"> </w:t>
      </w:r>
      <w:r w:rsidR="00021CD4" w:rsidRPr="00C7462F">
        <w:rPr>
          <w:rFonts w:cs="Arial"/>
          <w:szCs w:val="16"/>
          <w:lang w:val="en-GB"/>
        </w:rPr>
        <w:t xml:space="preserve">and Shi’a </w:t>
      </w:r>
      <w:proofErr w:type="spellStart"/>
      <w:r w:rsidR="00021CD4" w:rsidRPr="00C7462F">
        <w:rPr>
          <w:rFonts w:cs="Arial"/>
          <w:szCs w:val="16"/>
          <w:lang w:val="en-GB"/>
        </w:rPr>
        <w:t>Ja’fari</w:t>
      </w:r>
      <w:proofErr w:type="spellEnd"/>
      <w:r w:rsidR="00021CD4" w:rsidRPr="00C7462F">
        <w:rPr>
          <w:rFonts w:cs="Arial"/>
          <w:szCs w:val="16"/>
          <w:lang w:val="en-GB"/>
        </w:rPr>
        <w:t xml:space="preserve"> </w:t>
      </w:r>
      <w:r w:rsidR="00241ECF" w:rsidRPr="00C7462F">
        <w:rPr>
          <w:rFonts w:eastAsia="Arial" w:cs="Arial"/>
          <w:szCs w:val="16"/>
        </w:rPr>
        <w:t xml:space="preserve">family court chambers were created, each to apply its respective legislation. </w:t>
      </w:r>
      <w:r w:rsidR="00241ECF" w:rsidRPr="00C7462F">
        <w:rPr>
          <w:rFonts w:cs="Arial"/>
          <w:i/>
          <w:iCs/>
          <w:szCs w:val="16"/>
        </w:rPr>
        <w:t>See</w:t>
      </w:r>
      <w:r w:rsidR="00241ECF" w:rsidRPr="00C7462F">
        <w:rPr>
          <w:rFonts w:cs="Arial"/>
          <w:szCs w:val="16"/>
        </w:rPr>
        <w:t xml:space="preserve"> Kuwaiti Ministry of Justice Services Portal, </w:t>
      </w:r>
      <w:hyperlink r:id="rId5" w:history="1">
        <w:r w:rsidR="00241ECF" w:rsidRPr="00C7462F">
          <w:rPr>
            <w:rStyle w:val="Hyperlink"/>
            <w:rFonts w:cs="Arial"/>
            <w:szCs w:val="16"/>
          </w:rPr>
          <w:t>https://www.moj.gov.kw/AR/pages/DeptProcedure.aspx?ItemID=98</w:t>
        </w:r>
      </w:hyperlink>
      <w:r w:rsidR="00241ECF" w:rsidRPr="00C7462F">
        <w:rPr>
          <w:rFonts w:cs="Arial"/>
          <w:szCs w:val="16"/>
          <w:lang w:val="en-GB"/>
        </w:rPr>
        <w:t>,</w:t>
      </w:r>
    </w:p>
  </w:footnote>
  <w:footnote w:id="13">
    <w:p w14:paraId="4E568F1A" w14:textId="14AE502D" w:rsidR="000F6141" w:rsidRPr="00C7462F" w:rsidRDefault="000F6141" w:rsidP="002C5B71">
      <w:pPr>
        <w:pStyle w:val="Footer"/>
        <w:rPr>
          <w:rStyle w:val="FootnoteReference"/>
          <w:rFonts w:cs="Arial"/>
          <w:sz w:val="16"/>
          <w:szCs w:val="16"/>
        </w:rPr>
      </w:pPr>
      <w:r w:rsidRPr="00C7462F">
        <w:rPr>
          <w:rStyle w:val="FootnoteReference"/>
          <w:rFonts w:eastAsia="Corbel" w:cs="Arial"/>
          <w:sz w:val="16"/>
          <w:szCs w:val="16"/>
          <w:vertAlign w:val="superscript"/>
        </w:rPr>
        <w:footnoteRef/>
      </w:r>
      <w:r w:rsidR="00C7462F">
        <w:rPr>
          <w:rStyle w:val="FootnoteReference"/>
          <w:rFonts w:cs="Arial"/>
          <w:sz w:val="16"/>
          <w:szCs w:val="16"/>
        </w:rPr>
        <w:t xml:space="preserve"> </w:t>
      </w:r>
      <w:r w:rsidRPr="00C7462F">
        <w:rPr>
          <w:rStyle w:val="FootnoteReference"/>
          <w:rFonts w:cs="Arial"/>
          <w:sz w:val="16"/>
          <w:szCs w:val="16"/>
        </w:rPr>
        <w:t>Kuwait Family Courts Law (2015).</w:t>
      </w:r>
    </w:p>
  </w:footnote>
  <w:footnote w:id="14">
    <w:p w14:paraId="064A151E" w14:textId="73DAD735" w:rsidR="000F6141" w:rsidRPr="00C7462F" w:rsidRDefault="000F6141"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rPr>
        <w:t xml:space="preserve"> </w:t>
      </w:r>
      <w:r w:rsidR="001113AB" w:rsidRPr="00C7462F">
        <w:rPr>
          <w:rStyle w:val="FootnoteReference"/>
          <w:rFonts w:cs="Arial"/>
          <w:sz w:val="16"/>
          <w:szCs w:val="16"/>
        </w:rPr>
        <w:t xml:space="preserve">Article 345.A of the </w:t>
      </w:r>
      <w:r w:rsidRPr="00C7462F">
        <w:rPr>
          <w:rStyle w:val="FootnoteReference"/>
          <w:rFonts w:cs="Arial"/>
          <w:sz w:val="16"/>
          <w:szCs w:val="16"/>
        </w:rPr>
        <w:t xml:space="preserve">Kuwait </w:t>
      </w:r>
      <w:r w:rsidRPr="00C7462F">
        <w:rPr>
          <w:rStyle w:val="FootnoteReference"/>
          <w:rFonts w:eastAsia="Arial" w:cs="Arial"/>
          <w:sz w:val="16"/>
          <w:szCs w:val="16"/>
        </w:rPr>
        <w:t>Personal Status Law (1984)</w:t>
      </w:r>
      <w:r w:rsidR="001113AB" w:rsidRPr="00C7462F">
        <w:rPr>
          <w:rStyle w:val="FootnoteReference"/>
          <w:rFonts w:eastAsia="Arial" w:cs="Arial"/>
          <w:sz w:val="16"/>
          <w:szCs w:val="16"/>
        </w:rPr>
        <w:t>.</w:t>
      </w:r>
    </w:p>
  </w:footnote>
  <w:footnote w:id="15">
    <w:p w14:paraId="62A82B0F" w14:textId="7BE00F56" w:rsidR="00021CD4" w:rsidRPr="00C7462F" w:rsidRDefault="00021CD4"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Fonts w:cs="Arial"/>
          <w:szCs w:val="16"/>
          <w:vertAlign w:val="superscript"/>
        </w:rPr>
        <w:t xml:space="preserve"> </w:t>
      </w:r>
      <w:r w:rsidRPr="00C7462F">
        <w:rPr>
          <w:rStyle w:val="FootnoteReference"/>
          <w:rFonts w:cs="Arial"/>
          <w:sz w:val="16"/>
          <w:szCs w:val="16"/>
        </w:rPr>
        <w:t xml:space="preserve">Kuwaiti Personal Status Law (1984), available in Arabic at </w:t>
      </w:r>
      <w:hyperlink r:id="rId6">
        <w:r w:rsidRPr="00C7462F">
          <w:rPr>
            <w:rStyle w:val="FootnoteReference"/>
            <w:rFonts w:cs="Arial"/>
            <w:sz w:val="16"/>
            <w:szCs w:val="16"/>
          </w:rPr>
          <w:t>https://www.e.gov.kw/sites/kgoarabic/Forms/QanoonAlAhwalAlMadaniyah.pdf</w:t>
        </w:r>
      </w:hyperlink>
    </w:p>
  </w:footnote>
  <w:footnote w:id="16">
    <w:p w14:paraId="1B86EAD2" w14:textId="2A448471" w:rsidR="006A2AF3" w:rsidRPr="00C7462F" w:rsidRDefault="006A2AF3"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Fonts w:cs="Arial"/>
          <w:szCs w:val="16"/>
        </w:rPr>
        <w:t xml:space="preserve"> </w:t>
      </w:r>
      <w:r w:rsidRPr="00C7462F">
        <w:rPr>
          <w:rStyle w:val="FootnoteReference"/>
          <w:rFonts w:cs="Arial"/>
          <w:sz w:val="16"/>
          <w:szCs w:val="16"/>
        </w:rPr>
        <w:t xml:space="preserve">Kuwaiti </w:t>
      </w:r>
      <w:proofErr w:type="spellStart"/>
      <w:r w:rsidRPr="00C7462F">
        <w:rPr>
          <w:rStyle w:val="FootnoteReference"/>
          <w:rFonts w:cs="Arial"/>
          <w:sz w:val="16"/>
          <w:szCs w:val="16"/>
        </w:rPr>
        <w:t>Ja’fari</w:t>
      </w:r>
      <w:proofErr w:type="spellEnd"/>
      <w:r w:rsidRPr="00C7462F">
        <w:rPr>
          <w:rStyle w:val="FootnoteReference"/>
          <w:rFonts w:cs="Arial"/>
          <w:sz w:val="16"/>
          <w:szCs w:val="16"/>
        </w:rPr>
        <w:t xml:space="preserve"> Personal Status Law (2019), available in Arabic at </w:t>
      </w:r>
      <w:hyperlink r:id="rId7" w:history="1">
        <w:r w:rsidRPr="00C7462F">
          <w:rPr>
            <w:rStyle w:val="FootnoteReference"/>
            <w:rFonts w:cs="Arial"/>
            <w:sz w:val="16"/>
            <w:szCs w:val="16"/>
          </w:rPr>
          <w:t>https://www.aalawyer.co/wp-content/uploads/2023/12/</w:t>
        </w:r>
        <w:r w:rsidRPr="00C7462F">
          <w:rPr>
            <w:rStyle w:val="FootnoteReference"/>
            <w:rFonts w:cs="Arial"/>
            <w:sz w:val="16"/>
            <w:szCs w:val="16"/>
            <w:rtl/>
          </w:rPr>
          <w:t>قانون-الاحوال-الشخصية-الجعفري-الكويت-مبوب</w:t>
        </w:r>
        <w:r w:rsidRPr="00C7462F">
          <w:rPr>
            <w:rStyle w:val="FootnoteReference"/>
            <w:rFonts w:cs="Arial"/>
            <w:sz w:val="16"/>
            <w:szCs w:val="16"/>
          </w:rPr>
          <w:t>-.pdf</w:t>
        </w:r>
      </w:hyperlink>
      <w:r w:rsidRPr="00C7462F">
        <w:rPr>
          <w:rStyle w:val="FootnoteReference"/>
          <w:rFonts w:cs="Arial"/>
          <w:sz w:val="16"/>
          <w:szCs w:val="16"/>
        </w:rPr>
        <w:t>.</w:t>
      </w:r>
    </w:p>
  </w:footnote>
  <w:footnote w:id="17">
    <w:p w14:paraId="7E981BF3" w14:textId="0AFD9AE8" w:rsidR="00C41BCD" w:rsidRPr="00C41BCD" w:rsidRDefault="00C41BCD" w:rsidP="002C5B71">
      <w:pPr>
        <w:pStyle w:val="FootnoteText"/>
        <w:rPr>
          <w:i/>
          <w:iCs/>
        </w:rPr>
      </w:pPr>
      <w:r w:rsidRPr="00C41BCD">
        <w:rPr>
          <w:rStyle w:val="FootnoteReference"/>
          <w:rFonts w:ascii="Arial" w:hAnsi="Arial" w:cs="Arial"/>
          <w:sz w:val="16"/>
          <w:szCs w:val="16"/>
          <w:vertAlign w:val="superscript"/>
        </w:rPr>
        <w:footnoteRef/>
      </w:r>
      <w:r>
        <w:t xml:space="preserve"> </w:t>
      </w:r>
      <w:r w:rsidRPr="00C41BCD">
        <w:rPr>
          <w:rFonts w:ascii="Arial" w:hAnsi="Arial" w:cs="Arial"/>
          <w:sz w:val="16"/>
          <w:szCs w:val="16"/>
        </w:rPr>
        <w:t xml:space="preserve">These are the </w:t>
      </w:r>
      <w:proofErr w:type="spellStart"/>
      <w:r w:rsidRPr="00C41BCD">
        <w:rPr>
          <w:rFonts w:ascii="Arial" w:hAnsi="Arial" w:cs="Arial"/>
          <w:sz w:val="16"/>
          <w:szCs w:val="16"/>
        </w:rPr>
        <w:t>Shafi’i</w:t>
      </w:r>
      <w:proofErr w:type="spellEnd"/>
      <w:r w:rsidRPr="00C41BCD">
        <w:rPr>
          <w:rFonts w:ascii="Arial" w:hAnsi="Arial" w:cs="Arial"/>
          <w:sz w:val="16"/>
          <w:szCs w:val="16"/>
        </w:rPr>
        <w:t>, Hanafi, Maliki, and Hanbali schools of Islamic jurisprudence (</w:t>
      </w:r>
      <w:proofErr w:type="spellStart"/>
      <w:r w:rsidRPr="00C41BCD">
        <w:rPr>
          <w:rFonts w:ascii="Arial" w:hAnsi="Arial" w:cs="Arial"/>
          <w:i/>
          <w:iCs/>
          <w:sz w:val="16"/>
          <w:szCs w:val="16"/>
        </w:rPr>
        <w:t>fiqh</w:t>
      </w:r>
      <w:proofErr w:type="spellEnd"/>
      <w:r w:rsidRPr="00C41BCD">
        <w:rPr>
          <w:rFonts w:ascii="Arial" w:hAnsi="Arial" w:cs="Arial"/>
          <w:sz w:val="16"/>
          <w:szCs w:val="16"/>
        </w:rPr>
        <w:t>).</w:t>
      </w:r>
    </w:p>
  </w:footnote>
  <w:footnote w:id="18">
    <w:p w14:paraId="02859B7F" w14:textId="1EC88CD8" w:rsidR="003B19C8" w:rsidRPr="00C7462F" w:rsidRDefault="003B19C8"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vertAlign w:val="superscript"/>
        </w:rPr>
        <w:t xml:space="preserve"> </w:t>
      </w:r>
      <w:r w:rsidRPr="00C7462F">
        <w:rPr>
          <w:rStyle w:val="FootnoteReference"/>
          <w:rFonts w:cs="Arial"/>
          <w:sz w:val="16"/>
          <w:szCs w:val="16"/>
        </w:rPr>
        <w:t xml:space="preserve">Article 343 of </w:t>
      </w:r>
      <w:r w:rsidR="00D51A34" w:rsidRPr="00C7462F">
        <w:rPr>
          <w:rStyle w:val="FootnoteReference"/>
          <w:rFonts w:cs="Arial"/>
          <w:sz w:val="16"/>
          <w:szCs w:val="16"/>
        </w:rPr>
        <w:t>t</w:t>
      </w:r>
      <w:r w:rsidR="00D51A34" w:rsidRPr="00C7462F">
        <w:rPr>
          <w:rFonts w:cs="Arial"/>
          <w:szCs w:val="16"/>
        </w:rPr>
        <w:t xml:space="preserve">he Kuwait </w:t>
      </w:r>
      <w:r w:rsidRPr="00C7462F">
        <w:rPr>
          <w:rStyle w:val="FootnoteReference"/>
          <w:rFonts w:cs="Arial"/>
          <w:sz w:val="16"/>
          <w:szCs w:val="16"/>
        </w:rPr>
        <w:t xml:space="preserve">Personal Status </w:t>
      </w:r>
      <w:r w:rsidR="00D51A34" w:rsidRPr="00C7462F">
        <w:rPr>
          <w:rStyle w:val="FootnoteReference"/>
          <w:rFonts w:cs="Arial"/>
          <w:sz w:val="16"/>
          <w:szCs w:val="16"/>
        </w:rPr>
        <w:t>A</w:t>
      </w:r>
      <w:r w:rsidR="00D51A34" w:rsidRPr="00C7462F">
        <w:rPr>
          <w:rFonts w:cs="Arial"/>
          <w:szCs w:val="16"/>
        </w:rPr>
        <w:t>ct</w:t>
      </w:r>
      <w:r w:rsidRPr="00C7462F">
        <w:rPr>
          <w:rStyle w:val="FootnoteReference"/>
          <w:rFonts w:cs="Arial"/>
          <w:sz w:val="16"/>
          <w:szCs w:val="16"/>
        </w:rPr>
        <w:t xml:space="preserve"> (1984)</w:t>
      </w:r>
      <w:r w:rsidR="00D829C6" w:rsidRPr="00C7462F">
        <w:rPr>
          <w:rStyle w:val="FootnoteReference"/>
          <w:rFonts w:cs="Arial"/>
          <w:sz w:val="16"/>
          <w:szCs w:val="16"/>
        </w:rPr>
        <w:t>.</w:t>
      </w:r>
    </w:p>
  </w:footnote>
  <w:footnote w:id="19">
    <w:p w14:paraId="5AAB12C7" w14:textId="1EA238B8" w:rsidR="003B19C8" w:rsidRPr="00C7462F" w:rsidRDefault="003B19C8"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Style w:val="FootnoteReference"/>
          <w:rFonts w:cs="Arial"/>
          <w:sz w:val="16"/>
          <w:szCs w:val="16"/>
          <w:vertAlign w:val="superscript"/>
        </w:rPr>
        <w:t xml:space="preserve"> </w:t>
      </w:r>
      <w:r w:rsidR="00C7462F">
        <w:rPr>
          <w:rStyle w:val="FootnoteReference"/>
          <w:rFonts w:cs="Arial"/>
          <w:sz w:val="16"/>
          <w:szCs w:val="16"/>
        </w:rPr>
        <w:t>A</w:t>
      </w:r>
      <w:r w:rsidRPr="00C7462F">
        <w:rPr>
          <w:rStyle w:val="FootnoteReference"/>
          <w:rFonts w:cs="Arial"/>
          <w:sz w:val="16"/>
          <w:szCs w:val="16"/>
        </w:rPr>
        <w:t xml:space="preserve">rticle 346 of the </w:t>
      </w:r>
      <w:r w:rsidR="00D51A34" w:rsidRPr="00C7462F">
        <w:rPr>
          <w:rFonts w:cs="Arial"/>
          <w:szCs w:val="16"/>
        </w:rPr>
        <w:t xml:space="preserve">Kuwait </w:t>
      </w:r>
      <w:r w:rsidRPr="00C7462F">
        <w:rPr>
          <w:rStyle w:val="FootnoteReference"/>
          <w:rFonts w:cs="Arial"/>
          <w:sz w:val="16"/>
          <w:szCs w:val="16"/>
        </w:rPr>
        <w:t xml:space="preserve">Personal Status </w:t>
      </w:r>
      <w:r w:rsidR="00D51A34" w:rsidRPr="00C7462F">
        <w:rPr>
          <w:rStyle w:val="FootnoteReference"/>
          <w:rFonts w:cs="Arial"/>
          <w:sz w:val="16"/>
          <w:szCs w:val="16"/>
        </w:rPr>
        <w:t>A</w:t>
      </w:r>
      <w:r w:rsidR="00D51A34" w:rsidRPr="00C7462F">
        <w:rPr>
          <w:rFonts w:cs="Arial"/>
          <w:szCs w:val="16"/>
        </w:rPr>
        <w:t>ct</w:t>
      </w:r>
      <w:r w:rsidRPr="00C7462F">
        <w:rPr>
          <w:rStyle w:val="FootnoteReference"/>
          <w:rFonts w:cs="Arial"/>
          <w:sz w:val="16"/>
          <w:szCs w:val="16"/>
        </w:rPr>
        <w:t xml:space="preserve"> (1</w:t>
      </w:r>
      <w:r w:rsidR="00D829C6" w:rsidRPr="00C7462F">
        <w:rPr>
          <w:rStyle w:val="FootnoteReference"/>
          <w:rFonts w:cs="Arial"/>
          <w:sz w:val="16"/>
          <w:szCs w:val="16"/>
        </w:rPr>
        <w:t>9</w:t>
      </w:r>
      <w:r w:rsidRPr="00C7462F">
        <w:rPr>
          <w:rStyle w:val="FootnoteReference"/>
          <w:rFonts w:cs="Arial"/>
          <w:sz w:val="16"/>
          <w:szCs w:val="16"/>
        </w:rPr>
        <w:t>84)</w:t>
      </w:r>
      <w:r w:rsidR="00D829C6" w:rsidRPr="00C7462F">
        <w:rPr>
          <w:rStyle w:val="FootnoteReference"/>
          <w:rFonts w:cs="Arial"/>
          <w:sz w:val="16"/>
          <w:szCs w:val="16"/>
        </w:rPr>
        <w:t>.</w:t>
      </w:r>
    </w:p>
  </w:footnote>
  <w:footnote w:id="20">
    <w:p w14:paraId="412E446E" w14:textId="673D4A26" w:rsidR="006716A1" w:rsidRPr="00C7462F" w:rsidRDefault="006716A1"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rPr>
        <w:t xml:space="preserve"> A</w:t>
      </w:r>
      <w:r w:rsidRPr="00C7462F">
        <w:rPr>
          <w:rFonts w:cs="Arial"/>
          <w:szCs w:val="16"/>
        </w:rPr>
        <w:t>rticle 29</w:t>
      </w:r>
      <w:r w:rsidR="00EA5D71" w:rsidRPr="00C7462F">
        <w:rPr>
          <w:rFonts w:cs="Arial"/>
          <w:szCs w:val="16"/>
        </w:rPr>
        <w:t xml:space="preserve"> </w:t>
      </w:r>
      <w:r w:rsidRPr="00C7462F">
        <w:rPr>
          <w:rFonts w:cs="Arial"/>
          <w:szCs w:val="16"/>
        </w:rPr>
        <w:t>of the Kuwai</w:t>
      </w:r>
      <w:r w:rsidR="00660302" w:rsidRPr="00C7462F">
        <w:rPr>
          <w:rFonts w:cs="Arial"/>
          <w:szCs w:val="16"/>
        </w:rPr>
        <w:t>t</w:t>
      </w:r>
      <w:r w:rsidRPr="00C7462F">
        <w:rPr>
          <w:rFonts w:cs="Arial"/>
          <w:szCs w:val="16"/>
        </w:rPr>
        <w:t xml:space="preserve"> Penal Code (1960). </w:t>
      </w:r>
    </w:p>
  </w:footnote>
  <w:footnote w:id="21">
    <w:p w14:paraId="2C5C12A9" w14:textId="77777777" w:rsidR="006716A1" w:rsidRPr="00C7462F" w:rsidRDefault="006716A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153 of the Kuwait Penal Code (1960).</w:t>
      </w:r>
    </w:p>
  </w:footnote>
  <w:footnote w:id="22">
    <w:p w14:paraId="37C0BE4D" w14:textId="523499ED" w:rsidR="00FC5891" w:rsidRPr="00C7462F" w:rsidRDefault="00FC5891"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vertAlign w:val="superscript"/>
        </w:rPr>
        <w:t xml:space="preserve"> </w:t>
      </w:r>
      <w:r w:rsidR="001A68EF" w:rsidRPr="00C7462F">
        <w:rPr>
          <w:rFonts w:cs="Arial"/>
          <w:szCs w:val="16"/>
        </w:rPr>
        <w:t>Article 182 of the Kuwait Penal Code (1960).</w:t>
      </w:r>
    </w:p>
  </w:footnote>
  <w:footnote w:id="23">
    <w:p w14:paraId="717EB2AD" w14:textId="326700A0" w:rsidR="00FD3383" w:rsidRPr="00C7462F" w:rsidRDefault="00FD3383"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vertAlign w:val="superscript"/>
        </w:rPr>
        <w:t xml:space="preserve"> </w:t>
      </w:r>
      <w:r w:rsidRPr="00C7462F">
        <w:rPr>
          <w:rFonts w:cs="Arial"/>
          <w:szCs w:val="16"/>
        </w:rPr>
        <w:t>Article 1(2) of the Kuwait Domestic Violence Act (2020).</w:t>
      </w:r>
    </w:p>
  </w:footnote>
  <w:footnote w:id="24">
    <w:p w14:paraId="775B60D4" w14:textId="39C08EE7" w:rsidR="00596FE6" w:rsidRPr="00C7462F" w:rsidRDefault="00596FE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“1100 </w:t>
      </w:r>
      <w:proofErr w:type="spellStart"/>
      <w:r w:rsidRPr="00C7462F">
        <w:rPr>
          <w:rFonts w:cs="Arial"/>
          <w:szCs w:val="16"/>
        </w:rPr>
        <w:t>halat</w:t>
      </w:r>
      <w:proofErr w:type="spellEnd"/>
      <w:r w:rsidRPr="00C7462F">
        <w:rPr>
          <w:rFonts w:cs="Arial"/>
          <w:szCs w:val="16"/>
        </w:rPr>
        <w:t xml:space="preserve"> ‘</w:t>
      </w:r>
      <w:proofErr w:type="spellStart"/>
      <w:r w:rsidRPr="00C7462F">
        <w:rPr>
          <w:rFonts w:cs="Arial"/>
          <w:szCs w:val="16"/>
        </w:rPr>
        <w:t>unf</w:t>
      </w:r>
      <w:proofErr w:type="spellEnd"/>
      <w:r w:rsidRPr="00C7462F">
        <w:rPr>
          <w:rFonts w:cs="Arial"/>
          <w:szCs w:val="16"/>
        </w:rPr>
        <w:t xml:space="preserve"> </w:t>
      </w:r>
      <w:proofErr w:type="spellStart"/>
      <w:r w:rsidRPr="00C7462F">
        <w:rPr>
          <w:rFonts w:cs="Arial"/>
          <w:szCs w:val="16"/>
        </w:rPr>
        <w:t>dhid</w:t>
      </w:r>
      <w:proofErr w:type="spellEnd"/>
      <w:r w:rsidRPr="00C7462F">
        <w:rPr>
          <w:rFonts w:cs="Arial"/>
          <w:szCs w:val="16"/>
        </w:rPr>
        <w:t xml:space="preserve"> al-</w:t>
      </w:r>
      <w:proofErr w:type="spellStart"/>
      <w:r w:rsidRPr="00C7462F">
        <w:rPr>
          <w:rFonts w:cs="Arial"/>
          <w:szCs w:val="16"/>
        </w:rPr>
        <w:t>nisa</w:t>
      </w:r>
      <w:proofErr w:type="spellEnd"/>
      <w:r w:rsidRPr="00C7462F">
        <w:rPr>
          <w:rFonts w:cs="Arial"/>
          <w:szCs w:val="16"/>
        </w:rPr>
        <w:t xml:space="preserve">’ fi al-Kuwait </w:t>
      </w:r>
      <w:proofErr w:type="spellStart"/>
      <w:r w:rsidRPr="00C7462F">
        <w:rPr>
          <w:rFonts w:cs="Arial"/>
          <w:szCs w:val="16"/>
        </w:rPr>
        <w:t>sanawiyyan</w:t>
      </w:r>
      <w:proofErr w:type="spellEnd"/>
      <w:r w:rsidRPr="00C7462F">
        <w:rPr>
          <w:rFonts w:cs="Arial"/>
          <w:szCs w:val="16"/>
        </w:rPr>
        <w:t xml:space="preserve">,” (1,100 cases of violence against women annually), </w:t>
      </w:r>
      <w:proofErr w:type="spellStart"/>
      <w:r w:rsidRPr="00C7462F">
        <w:rPr>
          <w:rFonts w:cs="Arial"/>
          <w:i/>
          <w:iCs/>
          <w:szCs w:val="16"/>
        </w:rPr>
        <w:t>A</w:t>
      </w:r>
      <w:r w:rsidR="008C1050">
        <w:rPr>
          <w:rFonts w:cs="Arial"/>
          <w:i/>
          <w:iCs/>
          <w:szCs w:val="16"/>
        </w:rPr>
        <w:t>lq</w:t>
      </w:r>
      <w:r w:rsidRPr="00C7462F">
        <w:rPr>
          <w:rFonts w:cs="Arial"/>
          <w:i/>
          <w:iCs/>
          <w:szCs w:val="16"/>
        </w:rPr>
        <w:t>abas</w:t>
      </w:r>
      <w:proofErr w:type="spellEnd"/>
      <w:r w:rsidRPr="00C7462F">
        <w:rPr>
          <w:rFonts w:cs="Arial"/>
          <w:szCs w:val="16"/>
        </w:rPr>
        <w:t xml:space="preserve">, 29 August 2022, </w:t>
      </w:r>
      <w:hyperlink r:id="rId8" w:history="1">
        <w:r w:rsidRPr="00C7462F">
          <w:rPr>
            <w:rStyle w:val="Hyperlink"/>
            <w:rFonts w:cs="Arial"/>
            <w:szCs w:val="16"/>
          </w:rPr>
          <w:t>https://www.alqabas.com/article/5890865-</w:t>
        </w:r>
        <w:r w:rsidRPr="00C7462F">
          <w:rPr>
            <w:rStyle w:val="Hyperlink"/>
            <w:rFonts w:cs="Arial"/>
            <w:szCs w:val="16"/>
            <w:rtl/>
          </w:rPr>
          <w:t>يحدث-في-الكويت-1100-حالة-عنف-ضد-النساء-سنويا</w:t>
        </w:r>
      </w:hyperlink>
      <w:r w:rsidRPr="00C7462F">
        <w:rPr>
          <w:rFonts w:cs="Arial"/>
          <w:szCs w:val="16"/>
        </w:rPr>
        <w:t xml:space="preserve">. </w:t>
      </w:r>
    </w:p>
  </w:footnote>
  <w:footnote w:id="25">
    <w:p w14:paraId="079E9796" w14:textId="3B29D7F3" w:rsidR="00596FE6" w:rsidRPr="00C7462F" w:rsidRDefault="00596FE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i/>
          <w:iCs/>
          <w:szCs w:val="16"/>
        </w:rPr>
        <w:t xml:space="preserve">Ibid.; </w:t>
      </w:r>
      <w:r w:rsidRPr="00C7462F">
        <w:rPr>
          <w:rFonts w:cs="Arial"/>
          <w:szCs w:val="16"/>
        </w:rPr>
        <w:t xml:space="preserve">“3778 </w:t>
      </w:r>
      <w:proofErr w:type="spellStart"/>
      <w:r w:rsidRPr="00C7462F">
        <w:rPr>
          <w:rFonts w:cs="Arial"/>
          <w:szCs w:val="16"/>
        </w:rPr>
        <w:t>qad</w:t>
      </w:r>
      <w:r w:rsidR="00995E25" w:rsidRPr="00C7462F">
        <w:rPr>
          <w:rFonts w:cs="Arial"/>
          <w:szCs w:val="16"/>
        </w:rPr>
        <w:t>h</w:t>
      </w:r>
      <w:r w:rsidRPr="00C7462F">
        <w:rPr>
          <w:rFonts w:cs="Arial"/>
          <w:szCs w:val="16"/>
        </w:rPr>
        <w:t>iyyat</w:t>
      </w:r>
      <w:proofErr w:type="spellEnd"/>
      <w:r w:rsidRPr="00C7462F">
        <w:rPr>
          <w:rFonts w:cs="Arial"/>
          <w:szCs w:val="16"/>
        </w:rPr>
        <w:t xml:space="preserve"> ‘</w:t>
      </w:r>
      <w:proofErr w:type="spellStart"/>
      <w:r w:rsidRPr="00C7462F">
        <w:rPr>
          <w:rFonts w:cs="Arial"/>
          <w:szCs w:val="16"/>
        </w:rPr>
        <w:t>unf</w:t>
      </w:r>
      <w:proofErr w:type="spellEnd"/>
      <w:r w:rsidRPr="00C7462F">
        <w:rPr>
          <w:rFonts w:cs="Arial"/>
          <w:szCs w:val="16"/>
        </w:rPr>
        <w:t xml:space="preserve"> ‘</w:t>
      </w:r>
      <w:proofErr w:type="spellStart"/>
      <w:r w:rsidRPr="00C7462F">
        <w:rPr>
          <w:rFonts w:cs="Arial"/>
          <w:szCs w:val="16"/>
        </w:rPr>
        <w:t>usari</w:t>
      </w:r>
      <w:proofErr w:type="spellEnd"/>
      <w:r w:rsidRPr="00C7462F">
        <w:rPr>
          <w:rFonts w:cs="Arial"/>
          <w:szCs w:val="16"/>
        </w:rPr>
        <w:t xml:space="preserve"> fi </w:t>
      </w:r>
      <w:proofErr w:type="spellStart"/>
      <w:r w:rsidRPr="00C7462F">
        <w:rPr>
          <w:rFonts w:cs="Arial"/>
          <w:szCs w:val="16"/>
        </w:rPr>
        <w:t>thalat</w:t>
      </w:r>
      <w:proofErr w:type="spellEnd"/>
      <w:r w:rsidRPr="00C7462F">
        <w:rPr>
          <w:rFonts w:cs="Arial"/>
          <w:szCs w:val="16"/>
        </w:rPr>
        <w:t xml:space="preserve"> </w:t>
      </w:r>
      <w:proofErr w:type="spellStart"/>
      <w:r w:rsidRPr="00C7462F">
        <w:rPr>
          <w:rFonts w:cs="Arial"/>
          <w:szCs w:val="16"/>
        </w:rPr>
        <w:t>sanawat</w:t>
      </w:r>
      <w:proofErr w:type="spellEnd"/>
      <w:r w:rsidRPr="00C7462F">
        <w:rPr>
          <w:rFonts w:cs="Arial"/>
          <w:szCs w:val="16"/>
        </w:rPr>
        <w:t xml:space="preserve">” (3778 Cases of Domestic Violence in Three Years,” </w:t>
      </w:r>
      <w:proofErr w:type="spellStart"/>
      <w:r w:rsidRPr="00C7462F">
        <w:rPr>
          <w:rFonts w:cs="Arial"/>
          <w:i/>
          <w:iCs/>
          <w:szCs w:val="16"/>
        </w:rPr>
        <w:t>Alanba</w:t>
      </w:r>
      <w:proofErr w:type="spellEnd"/>
      <w:r w:rsidRPr="00C7462F">
        <w:rPr>
          <w:rFonts w:cs="Arial"/>
          <w:szCs w:val="16"/>
        </w:rPr>
        <w:t xml:space="preserve">, 17 August 2023, </w:t>
      </w:r>
      <w:hyperlink r:id="rId9" w:history="1">
        <w:r w:rsidRPr="00C7462F">
          <w:rPr>
            <w:rStyle w:val="Hyperlink"/>
            <w:rFonts w:cs="Arial"/>
            <w:szCs w:val="16"/>
          </w:rPr>
          <w:t>https://www.alanba.com.kw/1196155</w:t>
        </w:r>
      </w:hyperlink>
      <w:r w:rsidRPr="00C7462F">
        <w:rPr>
          <w:rFonts w:cs="Arial"/>
          <w:szCs w:val="16"/>
        </w:rPr>
        <w:t xml:space="preserve">. </w:t>
      </w:r>
    </w:p>
  </w:footnote>
  <w:footnote w:id="26">
    <w:p w14:paraId="6A29FEA0" w14:textId="77777777" w:rsidR="00596FE6" w:rsidRPr="00C7462F" w:rsidRDefault="00596FE6" w:rsidP="002C5B71">
      <w:pPr>
        <w:pStyle w:val="Footer"/>
        <w:rPr>
          <w:rFonts w:cs="Arial"/>
          <w:i/>
          <w:iCs/>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i/>
          <w:iCs/>
          <w:szCs w:val="16"/>
        </w:rPr>
        <w:t>Ibid.</w:t>
      </w:r>
    </w:p>
  </w:footnote>
  <w:footnote w:id="27">
    <w:p w14:paraId="109FBCEB" w14:textId="61D985BD" w:rsidR="00750E40" w:rsidRPr="00C7462F" w:rsidRDefault="00750E40"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Pr="00C7462F">
        <w:rPr>
          <w:rFonts w:cs="Arial"/>
          <w:i/>
          <w:iCs/>
          <w:szCs w:val="16"/>
        </w:rPr>
        <w:t>See</w:t>
      </w:r>
      <w:r w:rsidR="002C5B71">
        <w:rPr>
          <w:rFonts w:cs="Arial"/>
          <w:i/>
          <w:iCs/>
          <w:szCs w:val="16"/>
        </w:rPr>
        <w:t xml:space="preserve"> </w:t>
      </w:r>
      <w:r w:rsidRPr="00C7462F">
        <w:rPr>
          <w:rFonts w:cs="Arial"/>
          <w:szCs w:val="16"/>
        </w:rPr>
        <w:t xml:space="preserve">Dr. Fatima Al-Salem, </w:t>
      </w:r>
      <w:r w:rsidRPr="00C7462F">
        <w:rPr>
          <w:rFonts w:cs="Arial"/>
          <w:i/>
          <w:iCs/>
          <w:szCs w:val="16"/>
        </w:rPr>
        <w:t>Attitudinal Survey on Violence Against Women in Kuwait: Detailed Report Prepared for</w:t>
      </w:r>
      <w:r w:rsidRPr="00C7462F">
        <w:rPr>
          <w:rFonts w:cs="Arial"/>
          <w:szCs w:val="16"/>
        </w:rPr>
        <w:t xml:space="preserve"> </w:t>
      </w:r>
      <w:r w:rsidRPr="00C7462F">
        <w:rPr>
          <w:rFonts w:cs="Arial"/>
          <w:i/>
          <w:iCs/>
          <w:szCs w:val="16"/>
        </w:rPr>
        <w:t>Abolish 153</w:t>
      </w:r>
      <w:r w:rsidRPr="00C7462F">
        <w:rPr>
          <w:rFonts w:cs="Arial"/>
          <w:szCs w:val="16"/>
        </w:rPr>
        <w:t xml:space="preserve">, 20 July 2018, </w:t>
      </w:r>
      <w:hyperlink r:id="rId10" w:history="1">
        <w:r w:rsidRPr="00C7462F">
          <w:rPr>
            <w:rStyle w:val="Hyperlink"/>
            <w:rFonts w:cs="Arial"/>
            <w:szCs w:val="16"/>
          </w:rPr>
          <w:t>http://abolish153.org/community/RAMA/uploads/2018/11/Abolish-153-Attitudinal-Survey-on-VAW_English.pdf</w:t>
        </w:r>
      </w:hyperlink>
      <w:r w:rsidRPr="00C7462F">
        <w:rPr>
          <w:rFonts w:cs="Arial"/>
          <w:szCs w:val="16"/>
        </w:rPr>
        <w:t>.</w:t>
      </w:r>
    </w:p>
  </w:footnote>
  <w:footnote w:id="28">
    <w:p w14:paraId="7E738BA8" w14:textId="77777777" w:rsidR="00491FF6" w:rsidRPr="00C7462F" w:rsidRDefault="00491FF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1(2) of the Kuwait Domestic Violence Act (2020).</w:t>
      </w:r>
    </w:p>
  </w:footnote>
  <w:footnote w:id="29">
    <w:p w14:paraId="31C19EBF" w14:textId="56E56863" w:rsidR="00491FF6" w:rsidRPr="00C7462F" w:rsidRDefault="00491FF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Articles 6-10, 17, 22 of the Kuwait Domestic Violence Act (2020).</w:t>
      </w:r>
    </w:p>
  </w:footnote>
  <w:footnote w:id="30">
    <w:p w14:paraId="781B9135" w14:textId="65FF35D9" w:rsidR="00554BA6" w:rsidRPr="00C7462F" w:rsidRDefault="00554BA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Article 5 of the Kuwait Domestic Violence Act (2020).</w:t>
      </w:r>
    </w:p>
  </w:footnote>
  <w:footnote w:id="31">
    <w:p w14:paraId="6BF3E2D2" w14:textId="6C1A786B" w:rsidR="00491FF6" w:rsidRPr="00C7462F" w:rsidRDefault="00491FF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554BA6" w:rsidRPr="00C7462F">
        <w:rPr>
          <w:rFonts w:cs="Arial"/>
          <w:i/>
          <w:iCs/>
          <w:szCs w:val="16"/>
        </w:rPr>
        <w:t>Ibid</w:t>
      </w:r>
      <w:r w:rsidR="00F60AED" w:rsidRPr="00C7462F">
        <w:rPr>
          <w:rFonts w:cs="Arial"/>
          <w:i/>
          <w:iCs/>
          <w:szCs w:val="16"/>
        </w:rPr>
        <w:t>.</w:t>
      </w:r>
    </w:p>
  </w:footnote>
  <w:footnote w:id="32">
    <w:p w14:paraId="06BCB6A7" w14:textId="3ACD4EDF" w:rsidR="00D912E4" w:rsidRPr="00C7462F" w:rsidRDefault="00D912E4"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w:t>
      </w:r>
      <w:r w:rsidR="00995E25" w:rsidRPr="00C7462F">
        <w:rPr>
          <w:rFonts w:cs="Arial"/>
          <w:szCs w:val="16"/>
        </w:rPr>
        <w:t>e</w:t>
      </w:r>
      <w:r w:rsidRPr="00C7462F">
        <w:rPr>
          <w:rFonts w:cs="Arial"/>
          <w:szCs w:val="16"/>
        </w:rPr>
        <w:t xml:space="preserve"> 23 of the Kuwait Domestic Violence Act (2020).</w:t>
      </w:r>
    </w:p>
  </w:footnote>
  <w:footnote w:id="33">
    <w:p w14:paraId="219C3AB1" w14:textId="0BDAA6E2" w:rsidR="00D912E4" w:rsidRPr="00C7462F" w:rsidRDefault="00D912E4" w:rsidP="002C5B71">
      <w:pPr>
        <w:pStyle w:val="Footer"/>
        <w:rPr>
          <w:rFonts w:cs="Arial"/>
          <w:szCs w:val="16"/>
        </w:rPr>
      </w:pPr>
      <w:r w:rsidRPr="00C7462F">
        <w:rPr>
          <w:rStyle w:val="FootnoteReference"/>
          <w:rFonts w:cs="Arial"/>
          <w:sz w:val="16"/>
          <w:szCs w:val="16"/>
          <w:vertAlign w:val="superscript"/>
        </w:rPr>
        <w:footnoteRef/>
      </w:r>
      <w:r w:rsidR="00C7462F">
        <w:rPr>
          <w:rFonts w:cs="Arial"/>
          <w:szCs w:val="16"/>
          <w:vertAlign w:val="superscript"/>
        </w:rPr>
        <w:t xml:space="preserve"> </w:t>
      </w:r>
      <w:r w:rsidRPr="00C7462F">
        <w:rPr>
          <w:rFonts w:cs="Arial"/>
          <w:szCs w:val="16"/>
        </w:rPr>
        <w:t>Article 1(1) of the Kuwait Domestic Violence Act (2020).</w:t>
      </w:r>
    </w:p>
  </w:footnote>
  <w:footnote w:id="34">
    <w:p w14:paraId="268C761D" w14:textId="4F48C74D" w:rsidR="00195FE6" w:rsidRPr="00C7462F" w:rsidRDefault="00195FE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003514F4" w:rsidRPr="00C7462F">
        <w:rPr>
          <w:rFonts w:cs="Arial"/>
          <w:szCs w:val="16"/>
        </w:rPr>
        <w:t>Information documented by Abolish 153, March 2023.</w:t>
      </w:r>
    </w:p>
  </w:footnote>
  <w:footnote w:id="35">
    <w:p w14:paraId="43FF181E" w14:textId="66E978FE" w:rsidR="00195FE6" w:rsidRPr="00C7462F" w:rsidRDefault="00195FE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00451B1F">
        <w:rPr>
          <w:rFonts w:cs="Arial"/>
          <w:i/>
          <w:iCs/>
          <w:szCs w:val="16"/>
        </w:rPr>
        <w:t>Ibid</w:t>
      </w:r>
      <w:r w:rsidR="003514F4" w:rsidRPr="00C7462F">
        <w:rPr>
          <w:rFonts w:cs="Arial"/>
          <w:szCs w:val="16"/>
        </w:rPr>
        <w:t>.</w:t>
      </w:r>
    </w:p>
  </w:footnote>
  <w:footnote w:id="36">
    <w:p w14:paraId="03A3FADD" w14:textId="560E9FBB" w:rsidR="00995E25" w:rsidRPr="00C7462F" w:rsidRDefault="00995E25"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i/>
          <w:iCs/>
          <w:szCs w:val="16"/>
        </w:rPr>
        <w:t xml:space="preserve">See </w:t>
      </w:r>
      <w:r w:rsidRPr="00C7462F">
        <w:rPr>
          <w:rFonts w:cs="Arial"/>
          <w:szCs w:val="16"/>
        </w:rPr>
        <w:t xml:space="preserve">Dr. Fatima Al-Salem, </w:t>
      </w:r>
      <w:r w:rsidR="00750E40" w:rsidRPr="00C7462F">
        <w:rPr>
          <w:rFonts w:cs="Arial"/>
          <w:i/>
          <w:iCs/>
          <w:szCs w:val="16"/>
        </w:rPr>
        <w:t>Attitudinal Survey on Violence Against Women in Kuwait: Detailed Report Prepared for</w:t>
      </w:r>
      <w:r w:rsidR="00750E40" w:rsidRPr="00C7462F">
        <w:rPr>
          <w:rFonts w:cs="Arial"/>
          <w:szCs w:val="16"/>
        </w:rPr>
        <w:t xml:space="preserve"> </w:t>
      </w:r>
      <w:r w:rsidR="00750E40" w:rsidRPr="00C7462F">
        <w:rPr>
          <w:rFonts w:cs="Arial"/>
          <w:i/>
          <w:iCs/>
          <w:szCs w:val="16"/>
        </w:rPr>
        <w:t>Abolish 153</w:t>
      </w:r>
      <w:r w:rsidR="00750E40" w:rsidRPr="00C7462F">
        <w:rPr>
          <w:rFonts w:cs="Arial"/>
          <w:szCs w:val="16"/>
        </w:rPr>
        <w:t xml:space="preserve">, 20 July 2018, </w:t>
      </w:r>
      <w:hyperlink r:id="rId11" w:history="1">
        <w:r w:rsidR="00750E40" w:rsidRPr="00C7462F">
          <w:rPr>
            <w:rStyle w:val="Hyperlink"/>
            <w:rFonts w:cs="Arial"/>
            <w:szCs w:val="16"/>
          </w:rPr>
          <w:t>http://abolish153.org/community/RAMA/uploads/2018/11/Abolish-153-Attitudinal-Survey-on-VAW_English.pdf</w:t>
        </w:r>
      </w:hyperlink>
      <w:r w:rsidR="00750E40" w:rsidRPr="00C7462F">
        <w:rPr>
          <w:rFonts w:cs="Arial"/>
          <w:szCs w:val="16"/>
        </w:rPr>
        <w:t xml:space="preserve">. </w:t>
      </w:r>
    </w:p>
  </w:footnote>
  <w:footnote w:id="37">
    <w:p w14:paraId="68C83EEF" w14:textId="7196B0D4" w:rsidR="005E61F1" w:rsidRPr="00C7462F" w:rsidRDefault="005E61F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 23 of the </w:t>
      </w:r>
      <w:r w:rsidR="00021CD4" w:rsidRPr="00C7462F">
        <w:rPr>
          <w:rFonts w:cs="Arial"/>
          <w:szCs w:val="16"/>
        </w:rPr>
        <w:t xml:space="preserve">Kuwait </w:t>
      </w:r>
      <w:r w:rsidRPr="00C7462F">
        <w:rPr>
          <w:rFonts w:cs="Arial"/>
          <w:szCs w:val="16"/>
        </w:rPr>
        <w:t>Domestic Violence Act (2020).</w:t>
      </w:r>
    </w:p>
  </w:footnote>
  <w:footnote w:id="38">
    <w:p w14:paraId="559B4C92" w14:textId="3CA356D1" w:rsidR="00A57C66" w:rsidRPr="00A57C66" w:rsidRDefault="00A57C66" w:rsidP="002C5B71">
      <w:pPr>
        <w:pStyle w:val="FootnoteText"/>
        <w:rPr>
          <w:rFonts w:ascii="Arial" w:hAnsi="Arial" w:cs="Arial"/>
          <w:sz w:val="16"/>
          <w:szCs w:val="16"/>
        </w:rPr>
      </w:pPr>
      <w:r w:rsidRPr="00A57C66">
        <w:rPr>
          <w:rStyle w:val="FootnoteReference"/>
          <w:rFonts w:ascii="Arial" w:hAnsi="Arial" w:cs="Arial"/>
          <w:sz w:val="16"/>
          <w:szCs w:val="16"/>
          <w:vertAlign w:val="superscript"/>
        </w:rPr>
        <w:footnoteRef/>
      </w:r>
      <w:r w:rsidRPr="00A57C66">
        <w:rPr>
          <w:rFonts w:ascii="Arial" w:hAnsi="Arial" w:cs="Arial"/>
          <w:sz w:val="16"/>
          <w:szCs w:val="16"/>
          <w:vertAlign w:val="superscript"/>
        </w:rPr>
        <w:t xml:space="preserve"> </w:t>
      </w:r>
      <w:r w:rsidRPr="00A57C66">
        <w:rPr>
          <w:rFonts w:ascii="Arial" w:hAnsi="Arial" w:cs="Arial"/>
          <w:sz w:val="16"/>
          <w:szCs w:val="16"/>
        </w:rPr>
        <w:t xml:space="preserve">Information documented by </w:t>
      </w:r>
      <w:r>
        <w:rPr>
          <w:rFonts w:ascii="Arial" w:hAnsi="Arial" w:cs="Arial"/>
          <w:sz w:val="16"/>
          <w:szCs w:val="16"/>
        </w:rPr>
        <w:t xml:space="preserve">Abolish </w:t>
      </w:r>
      <w:r w:rsidRPr="00A57C66">
        <w:rPr>
          <w:rFonts w:ascii="Arial" w:hAnsi="Arial" w:cs="Arial"/>
          <w:sz w:val="16"/>
          <w:szCs w:val="16"/>
        </w:rPr>
        <w:t>Article 153</w:t>
      </w:r>
      <w:r>
        <w:rPr>
          <w:rFonts w:ascii="Arial" w:hAnsi="Arial" w:cs="Arial"/>
          <w:sz w:val="16"/>
          <w:szCs w:val="16"/>
        </w:rPr>
        <w:t>, March 2023</w:t>
      </w:r>
      <w:r w:rsidRPr="00A57C66">
        <w:rPr>
          <w:rFonts w:ascii="Arial" w:hAnsi="Arial" w:cs="Arial"/>
          <w:sz w:val="16"/>
          <w:szCs w:val="16"/>
        </w:rPr>
        <w:t>.</w:t>
      </w:r>
    </w:p>
  </w:footnote>
  <w:footnote w:id="39">
    <w:p w14:paraId="7E21C203" w14:textId="77777777" w:rsidR="00660302" w:rsidRPr="00C7462F" w:rsidRDefault="00660302"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vertAlign w:val="superscript"/>
        </w:rPr>
        <w:t xml:space="preserve"> </w:t>
      </w:r>
      <w:r w:rsidRPr="00C7462F">
        <w:rPr>
          <w:rStyle w:val="FootnoteReference"/>
          <w:rFonts w:cs="Arial"/>
          <w:sz w:val="16"/>
          <w:szCs w:val="16"/>
        </w:rPr>
        <w:t xml:space="preserve">Article 29 of the </w:t>
      </w:r>
      <w:r w:rsidRPr="00C7462F">
        <w:rPr>
          <w:rFonts w:cs="Arial"/>
          <w:szCs w:val="16"/>
        </w:rPr>
        <w:t xml:space="preserve">Kuwait </w:t>
      </w:r>
      <w:r w:rsidRPr="00C7462F">
        <w:rPr>
          <w:rStyle w:val="FootnoteReference"/>
          <w:rFonts w:cs="Arial"/>
          <w:sz w:val="16"/>
          <w:szCs w:val="16"/>
        </w:rPr>
        <w:t>Penal Code (1960).</w:t>
      </w:r>
    </w:p>
  </w:footnote>
  <w:footnote w:id="40">
    <w:p w14:paraId="6C5795B7" w14:textId="353924A2" w:rsidR="00837093" w:rsidRPr="00C7462F" w:rsidRDefault="00837093" w:rsidP="002C5B71">
      <w:pPr>
        <w:pStyle w:val="Footer"/>
        <w:rPr>
          <w:rFonts w:cs="Arial"/>
          <w:szCs w:val="16"/>
        </w:rPr>
      </w:pPr>
      <w:r w:rsidRPr="00C7462F">
        <w:rPr>
          <w:rStyle w:val="FootnoteReference"/>
          <w:rFonts w:cs="Arial"/>
          <w:sz w:val="16"/>
          <w:szCs w:val="16"/>
          <w:vertAlign w:val="superscript"/>
        </w:rPr>
        <w:footnoteRef/>
      </w:r>
      <w:r w:rsidRPr="00C7462F">
        <w:rPr>
          <w:rStyle w:val="FootnoteReference"/>
          <w:rFonts w:cs="Arial"/>
          <w:sz w:val="16"/>
          <w:szCs w:val="16"/>
          <w:vertAlign w:val="superscript"/>
        </w:rPr>
        <w:t xml:space="preserve"> </w:t>
      </w:r>
      <w:r w:rsidRPr="00C7462F">
        <w:rPr>
          <w:rStyle w:val="FootnoteReference"/>
          <w:rFonts w:cs="Arial"/>
          <w:sz w:val="16"/>
          <w:szCs w:val="16"/>
        </w:rPr>
        <w:t xml:space="preserve">Policy Brief 8: Ending Violence against Women in Muslim Families, </w:t>
      </w:r>
      <w:r w:rsidRPr="00A57C66">
        <w:rPr>
          <w:rStyle w:val="FootnoteReference"/>
          <w:rFonts w:cs="Arial"/>
          <w:sz w:val="16"/>
          <w:szCs w:val="16"/>
        </w:rPr>
        <w:t>Musawah</w:t>
      </w:r>
      <w:r w:rsidRPr="00C7462F">
        <w:rPr>
          <w:rStyle w:val="FootnoteReference"/>
          <w:rFonts w:cs="Arial"/>
          <w:sz w:val="16"/>
          <w:szCs w:val="16"/>
        </w:rPr>
        <w:t xml:space="preserve">, </w:t>
      </w:r>
      <w:hyperlink r:id="rId12" w:history="1">
        <w:r w:rsidRPr="00C7462F">
          <w:rPr>
            <w:rStyle w:val="Hyperlink"/>
            <w:rFonts w:cs="Arial"/>
            <w:szCs w:val="16"/>
          </w:rPr>
          <w:t>https://campaignforjustice.musawah.org/resources/policy-brief-8-ending-violence-against-women-in-muslim-families/</w:t>
        </w:r>
      </w:hyperlink>
    </w:p>
  </w:footnote>
  <w:footnote w:id="41">
    <w:p w14:paraId="30B26D65" w14:textId="3CBEFDC1" w:rsidR="003E4F78" w:rsidRPr="00C7462F" w:rsidRDefault="003E4F78"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Style w:val="FootnoteReference"/>
          <w:rFonts w:cs="Arial"/>
          <w:i/>
          <w:iCs/>
          <w:sz w:val="16"/>
          <w:szCs w:val="16"/>
        </w:rPr>
        <w:t>Ibid.</w:t>
      </w:r>
    </w:p>
  </w:footnote>
  <w:footnote w:id="42">
    <w:p w14:paraId="1AF72765" w14:textId="436C920B" w:rsidR="00660302" w:rsidRPr="00C7462F" w:rsidRDefault="00660302"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vertAlign w:val="superscript"/>
        </w:rPr>
        <w:t xml:space="preserve"> </w:t>
      </w:r>
      <w:r w:rsidRPr="00C7462F">
        <w:rPr>
          <w:rStyle w:val="FootnoteReference"/>
          <w:rFonts w:cs="Arial"/>
          <w:sz w:val="16"/>
          <w:szCs w:val="16"/>
        </w:rPr>
        <w:t>Articles 16</w:t>
      </w:r>
      <w:r w:rsidR="006E5F1D" w:rsidRPr="00C7462F">
        <w:rPr>
          <w:rStyle w:val="FootnoteReference"/>
          <w:rFonts w:cs="Arial"/>
          <w:sz w:val="16"/>
          <w:szCs w:val="16"/>
        </w:rPr>
        <w:t>0-1</w:t>
      </w:r>
      <w:r w:rsidRPr="00C7462F">
        <w:rPr>
          <w:rStyle w:val="FootnoteReference"/>
          <w:rFonts w:cs="Arial"/>
          <w:sz w:val="16"/>
          <w:szCs w:val="16"/>
        </w:rPr>
        <w:t>6</w:t>
      </w:r>
      <w:r w:rsidR="006E5F1D" w:rsidRPr="00C7462F">
        <w:rPr>
          <w:rStyle w:val="FootnoteReference"/>
          <w:rFonts w:cs="Arial"/>
          <w:sz w:val="16"/>
          <w:szCs w:val="16"/>
        </w:rPr>
        <w:t>3</w:t>
      </w:r>
      <w:r w:rsidRPr="00C7462F">
        <w:rPr>
          <w:rStyle w:val="FootnoteReference"/>
          <w:rFonts w:cs="Arial"/>
          <w:sz w:val="16"/>
          <w:szCs w:val="16"/>
        </w:rPr>
        <w:t xml:space="preserve"> of the </w:t>
      </w:r>
      <w:r w:rsidRPr="00C7462F">
        <w:rPr>
          <w:rFonts w:cs="Arial"/>
          <w:szCs w:val="16"/>
        </w:rPr>
        <w:t xml:space="preserve">Kuwait </w:t>
      </w:r>
      <w:r w:rsidRPr="00C7462F">
        <w:rPr>
          <w:rStyle w:val="FootnoteReference"/>
          <w:rFonts w:cs="Arial"/>
          <w:sz w:val="16"/>
          <w:szCs w:val="16"/>
        </w:rPr>
        <w:t>Penal Code</w:t>
      </w:r>
      <w:r w:rsidR="005F6788" w:rsidRPr="00C7462F">
        <w:rPr>
          <w:rFonts w:cs="Arial"/>
          <w:szCs w:val="16"/>
        </w:rPr>
        <w:t xml:space="preserve"> (1960)</w:t>
      </w:r>
      <w:r w:rsidRPr="00C7462F">
        <w:rPr>
          <w:rStyle w:val="FootnoteReference"/>
          <w:rFonts w:cs="Arial"/>
          <w:sz w:val="16"/>
          <w:szCs w:val="16"/>
        </w:rPr>
        <w:t>.</w:t>
      </w:r>
    </w:p>
  </w:footnote>
  <w:footnote w:id="43">
    <w:p w14:paraId="4FD7885A" w14:textId="1E80B621" w:rsidR="006E5F1D" w:rsidRPr="00C7462F" w:rsidRDefault="006E5F1D"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i/>
          <w:iCs/>
          <w:szCs w:val="16"/>
        </w:rPr>
        <w:t xml:space="preserve">See </w:t>
      </w:r>
      <w:r w:rsidRPr="00C7462F">
        <w:rPr>
          <w:rFonts w:cs="Arial"/>
          <w:szCs w:val="16"/>
        </w:rPr>
        <w:t>Section 1.3 of the Kuwait Penal Code (1960).</w:t>
      </w:r>
    </w:p>
  </w:footnote>
  <w:footnote w:id="44">
    <w:p w14:paraId="347F5BA6" w14:textId="3FD9FEB3" w:rsidR="00085E91" w:rsidRPr="00C7462F" w:rsidRDefault="00085E9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Article 153 of the Kuwai</w:t>
      </w:r>
      <w:r w:rsidR="00546296" w:rsidRPr="00C7462F">
        <w:rPr>
          <w:rFonts w:cs="Arial"/>
          <w:szCs w:val="16"/>
        </w:rPr>
        <w:t>t</w:t>
      </w:r>
      <w:r w:rsidRPr="00C7462F">
        <w:rPr>
          <w:rFonts w:cs="Arial"/>
          <w:szCs w:val="16"/>
        </w:rPr>
        <w:t xml:space="preserve"> Penal Code (1960). The article provides for similar lenient treatment for the murder of the sexual partner of the women.</w:t>
      </w:r>
    </w:p>
  </w:footnote>
  <w:footnote w:id="45">
    <w:p w14:paraId="6D95A4C0" w14:textId="392C3A08" w:rsidR="00085E91" w:rsidRPr="00C7462F" w:rsidRDefault="00085E9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Pr="00C7462F">
        <w:rPr>
          <w:rFonts w:cs="Arial"/>
          <w:i/>
          <w:iCs/>
          <w:szCs w:val="16"/>
        </w:rPr>
        <w:t>Ibid.</w:t>
      </w:r>
    </w:p>
  </w:footnote>
  <w:footnote w:id="46">
    <w:p w14:paraId="593CE1C2" w14:textId="04EA0463" w:rsidR="00085E91" w:rsidRPr="00C7462F" w:rsidRDefault="00085E9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29 and 34 of</w:t>
      </w:r>
      <w:r w:rsidR="00813C7A">
        <w:rPr>
          <w:rFonts w:cs="Arial"/>
          <w:szCs w:val="16"/>
        </w:rPr>
        <w:t xml:space="preserve"> the </w:t>
      </w:r>
      <w:r w:rsidRPr="00C7462F">
        <w:rPr>
          <w:rFonts w:cs="Arial"/>
          <w:szCs w:val="16"/>
        </w:rPr>
        <w:t>Constitution</w:t>
      </w:r>
      <w:r w:rsidR="00813C7A">
        <w:rPr>
          <w:rFonts w:cs="Arial"/>
          <w:szCs w:val="16"/>
        </w:rPr>
        <w:t xml:space="preserve"> of Kuwait</w:t>
      </w:r>
      <w:r w:rsidRPr="00C7462F">
        <w:rPr>
          <w:rFonts w:cs="Arial"/>
          <w:szCs w:val="16"/>
        </w:rPr>
        <w:t xml:space="preserve"> (1962).</w:t>
      </w:r>
    </w:p>
  </w:footnote>
  <w:footnote w:id="47">
    <w:p w14:paraId="098F039C" w14:textId="55A289D7" w:rsidR="003514F4" w:rsidRPr="00C7462F" w:rsidRDefault="003514F4"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Pr="00C7462F">
        <w:rPr>
          <w:rFonts w:cs="Arial"/>
          <w:i/>
          <w:iCs/>
          <w:szCs w:val="16"/>
        </w:rPr>
        <w:t>See</w:t>
      </w:r>
      <w:r w:rsidRPr="00C7462F">
        <w:rPr>
          <w:rFonts w:cs="Arial"/>
          <w:szCs w:val="16"/>
        </w:rPr>
        <w:t>, e.g., Nour Al-</w:t>
      </w:r>
      <w:proofErr w:type="spellStart"/>
      <w:r w:rsidRPr="00C7462F">
        <w:rPr>
          <w:rFonts w:cs="Arial"/>
          <w:szCs w:val="16"/>
        </w:rPr>
        <w:t>Mukhled</w:t>
      </w:r>
      <w:proofErr w:type="spellEnd"/>
      <w:r w:rsidRPr="00C7462F">
        <w:rPr>
          <w:rFonts w:cs="Arial"/>
          <w:szCs w:val="16"/>
        </w:rPr>
        <w:t xml:space="preserve">, “The Wave of Femicide in Kuwait,” </w:t>
      </w:r>
      <w:r w:rsidRPr="00C7462F">
        <w:rPr>
          <w:rFonts w:cs="Arial"/>
          <w:i/>
          <w:iCs/>
          <w:szCs w:val="16"/>
        </w:rPr>
        <w:t>Fair Observer</w:t>
      </w:r>
      <w:r w:rsidRPr="00C7462F">
        <w:rPr>
          <w:rFonts w:cs="Arial"/>
          <w:szCs w:val="16"/>
        </w:rPr>
        <w:t xml:space="preserve">, 18 October 2021, </w:t>
      </w:r>
      <w:hyperlink r:id="rId13" w:history="1">
        <w:r w:rsidRPr="00C7462F">
          <w:rPr>
            <w:rStyle w:val="Hyperlink"/>
            <w:rFonts w:cs="Arial"/>
            <w:szCs w:val="16"/>
          </w:rPr>
          <w:t>https://www.fairobserver.com/region/middle_east_north_africa/nour-al-mukhled-kuwait-news-kuwaiti-violence-against-women-gulf-news-arab-world-43804/</w:t>
        </w:r>
      </w:hyperlink>
      <w:r w:rsidRPr="00C7462F">
        <w:rPr>
          <w:rFonts w:cs="Arial"/>
          <w:szCs w:val="16"/>
        </w:rPr>
        <w:t xml:space="preserve">. </w:t>
      </w:r>
    </w:p>
  </w:footnote>
  <w:footnote w:id="48">
    <w:p w14:paraId="47313ABA" w14:textId="570AC611" w:rsidR="00300BBB" w:rsidRPr="00C7462F" w:rsidRDefault="00300BBB"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Articles 8-10 of the Kuwait Personal Status </w:t>
      </w:r>
      <w:r w:rsidR="00546296" w:rsidRPr="00C7462F">
        <w:rPr>
          <w:rFonts w:cs="Arial"/>
          <w:szCs w:val="16"/>
        </w:rPr>
        <w:t>Act</w:t>
      </w:r>
      <w:r w:rsidRPr="00C7462F">
        <w:rPr>
          <w:rFonts w:cs="Arial"/>
          <w:szCs w:val="16"/>
        </w:rPr>
        <w:t xml:space="preserve"> (1984).</w:t>
      </w:r>
    </w:p>
  </w:footnote>
  <w:footnote w:id="49">
    <w:p w14:paraId="1D6120CE" w14:textId="74A0B497" w:rsidR="003B19C8" w:rsidRPr="00C7462F" w:rsidRDefault="003B19C8"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300BBB" w:rsidRPr="00C7462F">
        <w:rPr>
          <w:rStyle w:val="FootnoteReference"/>
          <w:rFonts w:cs="Arial"/>
          <w:sz w:val="16"/>
          <w:szCs w:val="16"/>
          <w:vertAlign w:val="superscript"/>
        </w:rPr>
        <w:t xml:space="preserve"> </w:t>
      </w:r>
      <w:r w:rsidRPr="00C7462F">
        <w:rPr>
          <w:rStyle w:val="FootnoteReference"/>
          <w:rFonts w:cs="Arial"/>
          <w:sz w:val="16"/>
          <w:szCs w:val="16"/>
        </w:rPr>
        <w:t>Articles 8, 29-30</w:t>
      </w:r>
      <w:r w:rsidR="00300BBB" w:rsidRPr="00C7462F">
        <w:rPr>
          <w:rFonts w:cs="Arial"/>
          <w:szCs w:val="16"/>
        </w:rPr>
        <w:t>, 37</w:t>
      </w:r>
      <w:r w:rsidRPr="00C7462F">
        <w:rPr>
          <w:rStyle w:val="FootnoteReference"/>
          <w:rFonts w:cs="Arial"/>
          <w:sz w:val="16"/>
          <w:szCs w:val="16"/>
        </w:rPr>
        <w:t xml:space="preserve"> of the </w:t>
      </w:r>
      <w:r w:rsidR="00300BBB" w:rsidRPr="00C7462F">
        <w:rPr>
          <w:rFonts w:cs="Arial"/>
          <w:szCs w:val="16"/>
        </w:rPr>
        <w:t xml:space="preserve">Kuwait </w:t>
      </w:r>
      <w:r w:rsidRPr="00C7462F">
        <w:rPr>
          <w:rStyle w:val="FootnoteReference"/>
          <w:rFonts w:cs="Arial"/>
          <w:sz w:val="16"/>
          <w:szCs w:val="16"/>
        </w:rPr>
        <w:t>Personal Status Act (1984)</w:t>
      </w:r>
      <w:r w:rsidR="00300BBB" w:rsidRPr="00C7462F">
        <w:rPr>
          <w:rStyle w:val="FootnoteReference"/>
          <w:rFonts w:cs="Arial"/>
          <w:sz w:val="16"/>
          <w:szCs w:val="16"/>
        </w:rPr>
        <w:t>.</w:t>
      </w:r>
    </w:p>
  </w:footnote>
  <w:footnote w:id="50">
    <w:p w14:paraId="4D091047" w14:textId="148934F1" w:rsidR="00655201" w:rsidRPr="00C7462F" w:rsidRDefault="0065520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Pr="00C7462F">
        <w:rPr>
          <w:rFonts w:cs="Arial"/>
          <w:i/>
          <w:iCs/>
          <w:szCs w:val="16"/>
        </w:rPr>
        <w:t>Ibid.</w:t>
      </w:r>
    </w:p>
  </w:footnote>
  <w:footnote w:id="51">
    <w:p w14:paraId="5F2DF74C" w14:textId="7DCC2BFA" w:rsidR="00546296" w:rsidRPr="00C7462F" w:rsidRDefault="0054629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Article 29 of the Kuwait Personal Status Act (1984).</w:t>
      </w:r>
    </w:p>
  </w:footnote>
  <w:footnote w:id="52">
    <w:p w14:paraId="095E6966" w14:textId="7DE7AE05" w:rsidR="00546296" w:rsidRPr="00C7462F" w:rsidRDefault="0054629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345424" w:rsidRPr="00C7462F">
        <w:rPr>
          <w:rFonts w:cs="Arial"/>
          <w:szCs w:val="16"/>
        </w:rPr>
        <w:t>Article 25 of the Kuwait Personal Status Act (1984).</w:t>
      </w:r>
    </w:p>
  </w:footnote>
  <w:footnote w:id="53">
    <w:p w14:paraId="7D74460C" w14:textId="7EC0B99C" w:rsidR="00546296" w:rsidRPr="00C7462F" w:rsidRDefault="0054629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 31 of the </w:t>
      </w:r>
      <w:r w:rsidR="00345424" w:rsidRPr="00C7462F">
        <w:rPr>
          <w:rFonts w:cs="Arial"/>
          <w:szCs w:val="16"/>
        </w:rPr>
        <w:t xml:space="preserve">Kuwait </w:t>
      </w:r>
      <w:r w:rsidRPr="00C7462F">
        <w:rPr>
          <w:rFonts w:cs="Arial"/>
          <w:szCs w:val="16"/>
        </w:rPr>
        <w:t>Personal Status Act (1984).</w:t>
      </w:r>
    </w:p>
  </w:footnote>
  <w:footnote w:id="54">
    <w:p w14:paraId="0F4443C2" w14:textId="4EE08316" w:rsidR="006D3872" w:rsidRPr="00C7462F" w:rsidRDefault="006D3872"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 56 of the Kuwait </w:t>
      </w:r>
      <w:proofErr w:type="spellStart"/>
      <w:r w:rsidRPr="00C7462F">
        <w:rPr>
          <w:rFonts w:cs="Arial"/>
          <w:szCs w:val="16"/>
        </w:rPr>
        <w:t>Ja’fari</w:t>
      </w:r>
      <w:proofErr w:type="spellEnd"/>
      <w:r w:rsidRPr="00C7462F">
        <w:rPr>
          <w:rFonts w:cs="Arial"/>
          <w:szCs w:val="16"/>
        </w:rPr>
        <w:t xml:space="preserve"> Personal Status Act (2019).</w:t>
      </w:r>
    </w:p>
  </w:footnote>
  <w:footnote w:id="55">
    <w:p w14:paraId="26E036AC" w14:textId="56F6C640" w:rsidR="006D3872" w:rsidRPr="00C7462F" w:rsidRDefault="006D3872"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 57 of the Kuwait </w:t>
      </w:r>
      <w:proofErr w:type="spellStart"/>
      <w:r w:rsidRPr="00C7462F">
        <w:rPr>
          <w:rFonts w:cs="Arial"/>
          <w:szCs w:val="16"/>
        </w:rPr>
        <w:t>Ja’fari</w:t>
      </w:r>
      <w:proofErr w:type="spellEnd"/>
      <w:r w:rsidRPr="00C7462F">
        <w:rPr>
          <w:rFonts w:cs="Arial"/>
          <w:szCs w:val="16"/>
        </w:rPr>
        <w:t xml:space="preserve"> Personal Status Act (2019).</w:t>
      </w:r>
    </w:p>
  </w:footnote>
  <w:footnote w:id="56">
    <w:p w14:paraId="35500460" w14:textId="473043D0" w:rsidR="00D57424" w:rsidRPr="00C7462F" w:rsidRDefault="00D57424"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 22 of the Kuwait </w:t>
      </w:r>
      <w:proofErr w:type="spellStart"/>
      <w:r w:rsidRPr="00C7462F">
        <w:rPr>
          <w:rFonts w:cs="Arial"/>
          <w:szCs w:val="16"/>
        </w:rPr>
        <w:t>Ja’fari</w:t>
      </w:r>
      <w:proofErr w:type="spellEnd"/>
      <w:r w:rsidRPr="00C7462F">
        <w:rPr>
          <w:rFonts w:cs="Arial"/>
          <w:szCs w:val="16"/>
        </w:rPr>
        <w:t xml:space="preserve"> Personal Status Act (2019).</w:t>
      </w:r>
    </w:p>
  </w:footnote>
  <w:footnote w:id="57">
    <w:p w14:paraId="2AC39A78" w14:textId="0D9203D6" w:rsidR="00655201" w:rsidRPr="00C7462F" w:rsidRDefault="00655201"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vertAlign w:val="superscript"/>
        </w:rPr>
        <w:t xml:space="preserve"> </w:t>
      </w:r>
      <w:r w:rsidRPr="00C7462F">
        <w:rPr>
          <w:rFonts w:cs="Arial"/>
          <w:szCs w:val="16"/>
        </w:rPr>
        <w:t>Article 92 of the Kuwait Personal Status Act (1984).</w:t>
      </w:r>
    </w:p>
  </w:footnote>
  <w:footnote w:id="58">
    <w:p w14:paraId="2D09B7ED" w14:textId="77777777" w:rsidR="00655201" w:rsidRPr="00C7462F" w:rsidRDefault="00655201" w:rsidP="002C5B71">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Style w:val="FootnoteReference"/>
          <w:rFonts w:cs="Arial"/>
          <w:sz w:val="16"/>
          <w:szCs w:val="16"/>
          <w:vertAlign w:val="superscript"/>
        </w:rPr>
        <w:t xml:space="preserve"> </w:t>
      </w:r>
      <w:r w:rsidRPr="00C7462F">
        <w:rPr>
          <w:rStyle w:val="FootnoteReference"/>
          <w:rFonts w:cs="Arial"/>
          <w:i/>
          <w:iCs/>
          <w:sz w:val="16"/>
          <w:szCs w:val="16"/>
        </w:rPr>
        <w:t>See</w:t>
      </w:r>
      <w:r w:rsidRPr="00C7462F">
        <w:rPr>
          <w:rStyle w:val="FootnoteReference"/>
          <w:rFonts w:cs="Arial"/>
          <w:sz w:val="16"/>
          <w:szCs w:val="16"/>
        </w:rPr>
        <w:t xml:space="preserve"> website of the </w:t>
      </w:r>
      <w:r w:rsidRPr="00C7462F">
        <w:rPr>
          <w:rFonts w:cs="Arial"/>
          <w:szCs w:val="16"/>
        </w:rPr>
        <w:t xml:space="preserve">Kuwait </w:t>
      </w:r>
      <w:r w:rsidRPr="00C7462F">
        <w:rPr>
          <w:rStyle w:val="FootnoteReference"/>
          <w:rFonts w:cs="Arial"/>
          <w:sz w:val="16"/>
          <w:szCs w:val="16"/>
        </w:rPr>
        <w:t xml:space="preserve">Ministry of Justice, </w:t>
      </w:r>
      <w:hyperlink r:id="rId14">
        <w:r w:rsidRPr="00C7462F">
          <w:rPr>
            <w:rStyle w:val="FootnoteReference"/>
            <w:rFonts w:cs="Arial"/>
            <w:sz w:val="16"/>
            <w:szCs w:val="16"/>
          </w:rPr>
          <w:t>https://www.moj.gov.kw</w:t>
        </w:r>
      </w:hyperlink>
      <w:r w:rsidRPr="00C7462F">
        <w:rPr>
          <w:rStyle w:val="FootnoteReference"/>
          <w:rFonts w:cs="Arial"/>
          <w:sz w:val="16"/>
          <w:szCs w:val="16"/>
        </w:rPr>
        <w:t xml:space="preserve">  </w:t>
      </w:r>
    </w:p>
  </w:footnote>
  <w:footnote w:id="59">
    <w:p w14:paraId="32FC2AD5" w14:textId="1E0DA0CD" w:rsidR="003B19C8" w:rsidRPr="00C7462F" w:rsidRDefault="003B19C8"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2968F2" w:rsidRPr="00C7462F">
        <w:rPr>
          <w:rFonts w:cs="Arial"/>
          <w:szCs w:val="16"/>
          <w:vertAlign w:val="superscript"/>
        </w:rPr>
        <w:t xml:space="preserve"> </w:t>
      </w:r>
      <w:r w:rsidRPr="00C7462F">
        <w:rPr>
          <w:rStyle w:val="FootnoteReference"/>
          <w:rFonts w:cs="Arial"/>
          <w:sz w:val="16"/>
          <w:szCs w:val="16"/>
        </w:rPr>
        <w:t xml:space="preserve">Article 24 of the </w:t>
      </w:r>
      <w:r w:rsidR="002968F2" w:rsidRPr="00C7462F">
        <w:rPr>
          <w:rFonts w:cs="Arial"/>
          <w:szCs w:val="16"/>
        </w:rPr>
        <w:t xml:space="preserve">Kuwait </w:t>
      </w:r>
      <w:r w:rsidRPr="00C7462F">
        <w:rPr>
          <w:rStyle w:val="FootnoteReference"/>
          <w:rFonts w:cs="Arial"/>
          <w:sz w:val="16"/>
          <w:szCs w:val="16"/>
        </w:rPr>
        <w:t>Personal Status Act (1984)</w:t>
      </w:r>
      <w:r w:rsidR="00CB3D6A" w:rsidRPr="00C7462F">
        <w:rPr>
          <w:rFonts w:cs="Arial"/>
          <w:szCs w:val="16"/>
        </w:rPr>
        <w:t>.</w:t>
      </w:r>
    </w:p>
  </w:footnote>
  <w:footnote w:id="60">
    <w:p w14:paraId="0F040486" w14:textId="72DBE366" w:rsidR="003B19C8" w:rsidRPr="00C7462F" w:rsidRDefault="003B19C8" w:rsidP="002C5B71">
      <w:pPr>
        <w:pStyle w:val="Footer"/>
        <w:rPr>
          <w:rStyle w:val="FootnoteReference"/>
          <w:rFonts w:cs="Arial"/>
          <w:sz w:val="16"/>
          <w:szCs w:val="16"/>
          <w:rtl/>
        </w:rPr>
      </w:pPr>
      <w:r w:rsidRPr="00C7462F">
        <w:rPr>
          <w:rStyle w:val="FootnoteReference"/>
          <w:rFonts w:cs="Arial"/>
          <w:sz w:val="16"/>
          <w:szCs w:val="16"/>
          <w:vertAlign w:val="superscript"/>
        </w:rPr>
        <w:footnoteRef/>
      </w:r>
      <w:r w:rsidR="002968F2" w:rsidRPr="00C7462F">
        <w:rPr>
          <w:rFonts w:cs="Arial"/>
          <w:szCs w:val="16"/>
          <w:vertAlign w:val="superscript"/>
        </w:rPr>
        <w:t xml:space="preserve"> </w:t>
      </w:r>
      <w:r w:rsidRPr="00C7462F">
        <w:rPr>
          <w:rStyle w:val="FootnoteReference"/>
          <w:rFonts w:cs="Arial"/>
          <w:sz w:val="16"/>
          <w:szCs w:val="16"/>
        </w:rPr>
        <w:t xml:space="preserve">Article 26 of the </w:t>
      </w:r>
      <w:r w:rsidR="002968F2" w:rsidRPr="00C7462F">
        <w:rPr>
          <w:rFonts w:cs="Arial"/>
          <w:szCs w:val="16"/>
        </w:rPr>
        <w:t xml:space="preserve">Kuwait </w:t>
      </w:r>
      <w:r w:rsidRPr="00C7462F">
        <w:rPr>
          <w:rStyle w:val="FootnoteReference"/>
          <w:rFonts w:cs="Arial"/>
          <w:sz w:val="16"/>
          <w:szCs w:val="16"/>
        </w:rPr>
        <w:t>Personal Status Act (1984)</w:t>
      </w:r>
      <w:r w:rsidR="00CB3D6A" w:rsidRPr="00C7462F">
        <w:rPr>
          <w:rStyle w:val="FootnoteReference"/>
          <w:rFonts w:cs="Arial"/>
          <w:sz w:val="16"/>
          <w:szCs w:val="16"/>
        </w:rPr>
        <w:t xml:space="preserve">. </w:t>
      </w:r>
      <w:r w:rsidR="00813C7A">
        <w:rPr>
          <w:rFonts w:cs="Arial"/>
          <w:szCs w:val="16"/>
        </w:rPr>
        <w:t>Non-registration of marriages can have significant negative consequences for women and girls, including inability to claim their financial rights or inheritance of their children.</w:t>
      </w:r>
    </w:p>
  </w:footnote>
  <w:footnote w:id="61">
    <w:p w14:paraId="2A695AD3" w14:textId="5C71EE58" w:rsidR="003B5E19" w:rsidRPr="00C7462F" w:rsidRDefault="003B5E19"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B3D6A" w:rsidRPr="00C7462F">
        <w:rPr>
          <w:rFonts w:cs="Arial"/>
          <w:szCs w:val="16"/>
          <w:vertAlign w:val="superscript"/>
        </w:rPr>
        <w:t xml:space="preserve"> </w:t>
      </w:r>
      <w:r w:rsidR="00C7462F">
        <w:rPr>
          <w:rFonts w:cs="Arial"/>
          <w:szCs w:val="16"/>
          <w:vertAlign w:val="superscript"/>
        </w:rPr>
        <w:t xml:space="preserve"> </w:t>
      </w:r>
      <w:r w:rsidRPr="00C7462F">
        <w:rPr>
          <w:rStyle w:val="FootnoteReference"/>
          <w:rFonts w:cs="Arial"/>
          <w:sz w:val="16"/>
          <w:szCs w:val="16"/>
        </w:rPr>
        <w:t xml:space="preserve">Articles 102-110 </w:t>
      </w:r>
      <w:r w:rsidR="00CB3D6A" w:rsidRPr="00C7462F">
        <w:rPr>
          <w:rFonts w:cs="Arial"/>
          <w:szCs w:val="16"/>
        </w:rPr>
        <w:t xml:space="preserve">of the Kuwait </w:t>
      </w:r>
      <w:r w:rsidRPr="00C7462F">
        <w:rPr>
          <w:rStyle w:val="FootnoteReference"/>
          <w:rFonts w:cs="Arial"/>
          <w:sz w:val="16"/>
          <w:szCs w:val="16"/>
        </w:rPr>
        <w:t>Personal Status Act (1984)</w:t>
      </w:r>
      <w:r w:rsidR="00A0057E" w:rsidRPr="00C7462F">
        <w:rPr>
          <w:rFonts w:cs="Arial"/>
          <w:szCs w:val="16"/>
        </w:rPr>
        <w:t xml:space="preserve">; Articles 158-164 of the </w:t>
      </w:r>
      <w:proofErr w:type="spellStart"/>
      <w:r w:rsidR="00A0057E" w:rsidRPr="00C7462F">
        <w:rPr>
          <w:rFonts w:cs="Arial"/>
          <w:szCs w:val="16"/>
        </w:rPr>
        <w:t>Ja’fari</w:t>
      </w:r>
      <w:proofErr w:type="spellEnd"/>
      <w:r w:rsidR="00A0057E" w:rsidRPr="00C7462F">
        <w:rPr>
          <w:rFonts w:cs="Arial"/>
          <w:szCs w:val="16"/>
        </w:rPr>
        <w:t xml:space="preserve"> Personal Status Act (2019).</w:t>
      </w:r>
    </w:p>
  </w:footnote>
  <w:footnote w:id="62">
    <w:p w14:paraId="5F919D58" w14:textId="19D1879A" w:rsidR="00DC76CC" w:rsidRPr="00C7462F" w:rsidRDefault="00DC76CC"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Articles 120-138 </w:t>
      </w:r>
      <w:r w:rsidRPr="00C7462F">
        <w:rPr>
          <w:rStyle w:val="FootnoteReference"/>
          <w:rFonts w:cs="Arial"/>
          <w:sz w:val="16"/>
          <w:szCs w:val="16"/>
        </w:rPr>
        <w:t xml:space="preserve">of the </w:t>
      </w:r>
      <w:r w:rsidRPr="00C7462F">
        <w:rPr>
          <w:rFonts w:cs="Arial"/>
          <w:szCs w:val="16"/>
        </w:rPr>
        <w:t xml:space="preserve">Kuwait </w:t>
      </w:r>
      <w:r w:rsidRPr="00C7462F">
        <w:rPr>
          <w:rStyle w:val="FootnoteReference"/>
          <w:rFonts w:cs="Arial"/>
          <w:sz w:val="16"/>
          <w:szCs w:val="16"/>
        </w:rPr>
        <w:t>Personal Status Act (1984)</w:t>
      </w:r>
      <w:r w:rsidRPr="00C7462F">
        <w:rPr>
          <w:rFonts w:cs="Arial"/>
          <w:szCs w:val="16"/>
        </w:rPr>
        <w:t>.</w:t>
      </w:r>
    </w:p>
  </w:footnote>
  <w:footnote w:id="63">
    <w:p w14:paraId="704E0FA8" w14:textId="164BEC6D" w:rsidR="00DC76CC" w:rsidRPr="00C7462F" w:rsidRDefault="00DC76CC"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Articles 127-130 </w:t>
      </w:r>
      <w:r w:rsidRPr="00C7462F">
        <w:rPr>
          <w:rStyle w:val="FootnoteReference"/>
          <w:rFonts w:cs="Arial"/>
          <w:sz w:val="16"/>
          <w:szCs w:val="16"/>
        </w:rPr>
        <w:t xml:space="preserve">of the </w:t>
      </w:r>
      <w:r w:rsidRPr="00C7462F">
        <w:rPr>
          <w:rFonts w:cs="Arial"/>
          <w:szCs w:val="16"/>
        </w:rPr>
        <w:t xml:space="preserve">Kuwait </w:t>
      </w:r>
      <w:r w:rsidRPr="00C7462F">
        <w:rPr>
          <w:rStyle w:val="FootnoteReference"/>
          <w:rFonts w:cs="Arial"/>
          <w:sz w:val="16"/>
          <w:szCs w:val="16"/>
        </w:rPr>
        <w:t>Personal Status Act (1984)</w:t>
      </w:r>
      <w:r w:rsidRPr="00C7462F">
        <w:rPr>
          <w:rFonts w:cs="Arial"/>
          <w:szCs w:val="16"/>
        </w:rPr>
        <w:t>.</w:t>
      </w:r>
    </w:p>
  </w:footnote>
  <w:footnote w:id="64">
    <w:p w14:paraId="7DBBA64D" w14:textId="79B9BE07" w:rsidR="00DC76CC" w:rsidRPr="00C7462F" w:rsidRDefault="00DC76CC"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 133 </w:t>
      </w:r>
      <w:r w:rsidRPr="00C7462F">
        <w:rPr>
          <w:rStyle w:val="FootnoteReference"/>
          <w:rFonts w:cs="Arial"/>
          <w:sz w:val="16"/>
          <w:szCs w:val="16"/>
        </w:rPr>
        <w:t xml:space="preserve">of the </w:t>
      </w:r>
      <w:r w:rsidRPr="00C7462F">
        <w:rPr>
          <w:rFonts w:cs="Arial"/>
          <w:szCs w:val="16"/>
        </w:rPr>
        <w:t xml:space="preserve">Kuwait </w:t>
      </w:r>
      <w:r w:rsidRPr="00C7462F">
        <w:rPr>
          <w:rStyle w:val="FootnoteReference"/>
          <w:rFonts w:cs="Arial"/>
          <w:sz w:val="16"/>
          <w:szCs w:val="16"/>
        </w:rPr>
        <w:t>Personal Status Act (1984)</w:t>
      </w:r>
      <w:r w:rsidRPr="00C7462F">
        <w:rPr>
          <w:rFonts w:cs="Arial"/>
          <w:szCs w:val="16"/>
        </w:rPr>
        <w:t>.</w:t>
      </w:r>
    </w:p>
  </w:footnote>
  <w:footnote w:id="65">
    <w:p w14:paraId="62E72F16" w14:textId="65BC07BB" w:rsidR="00F60DD3" w:rsidRPr="00C7462F" w:rsidRDefault="00F60DD3"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 222 of the </w:t>
      </w:r>
      <w:r w:rsidR="00021CD4" w:rsidRP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66">
    <w:p w14:paraId="447C183D" w14:textId="79816E11" w:rsidR="00F60DD3" w:rsidRPr="00C7462F" w:rsidRDefault="00F60DD3"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 226 of the </w:t>
      </w:r>
      <w:r w:rsidR="00021CD4" w:rsidRP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67">
    <w:p w14:paraId="2B23685A" w14:textId="756879E9" w:rsidR="005A4906" w:rsidRPr="00C7462F" w:rsidRDefault="005A4906"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Fonts w:cs="Arial"/>
          <w:szCs w:val="16"/>
        </w:rPr>
        <w:t xml:space="preserve">Article 134-139 of the </w:t>
      </w:r>
      <w:r w:rsidR="00021CD4" w:rsidRP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68">
    <w:p w14:paraId="4348CDF1" w14:textId="3EF46BF6" w:rsidR="00A0057E" w:rsidRPr="00C7462F" w:rsidRDefault="00A0057E" w:rsidP="002C5B71">
      <w:pPr>
        <w:pStyle w:val="Footer"/>
        <w:rPr>
          <w:rStyle w:val="FootnoteReference"/>
          <w:rFonts w:cs="Arial"/>
          <w:sz w:val="16"/>
          <w:szCs w:val="16"/>
        </w:rPr>
      </w:pPr>
      <w:r w:rsidRPr="00C7462F">
        <w:rPr>
          <w:rStyle w:val="FootnoteReference"/>
          <w:rFonts w:cs="Arial"/>
          <w:sz w:val="16"/>
          <w:szCs w:val="16"/>
          <w:vertAlign w:val="superscript"/>
        </w:rPr>
        <w:footnoteRef/>
      </w:r>
      <w:r w:rsidR="00C7462F">
        <w:rPr>
          <w:rFonts w:cs="Arial"/>
          <w:szCs w:val="16"/>
          <w:vertAlign w:val="superscript"/>
        </w:rPr>
        <w:t xml:space="preserve"> </w:t>
      </w:r>
      <w:r w:rsidRPr="00C7462F">
        <w:rPr>
          <w:rFonts w:cs="Arial"/>
          <w:szCs w:val="16"/>
          <w:vertAlign w:val="superscript"/>
        </w:rPr>
        <w:t xml:space="preserve"> </w:t>
      </w:r>
      <w:r w:rsidRPr="00C7462F">
        <w:rPr>
          <w:rStyle w:val="FootnoteReference"/>
          <w:rFonts w:cs="Arial"/>
          <w:sz w:val="16"/>
          <w:szCs w:val="16"/>
        </w:rPr>
        <w:t xml:space="preserve">Articles 111-119 of the </w:t>
      </w:r>
      <w:r w:rsidRPr="00C7462F">
        <w:rPr>
          <w:rFonts w:cs="Arial"/>
          <w:szCs w:val="16"/>
        </w:rPr>
        <w:t xml:space="preserve">Kuwait </w:t>
      </w:r>
      <w:r w:rsidRPr="00C7462F">
        <w:rPr>
          <w:rStyle w:val="FootnoteReference"/>
          <w:rFonts w:cs="Arial"/>
          <w:sz w:val="16"/>
          <w:szCs w:val="16"/>
        </w:rPr>
        <w:t>Personal Status Act (1984)</w:t>
      </w:r>
      <w:r w:rsidRPr="00C7462F">
        <w:rPr>
          <w:rFonts w:cs="Arial"/>
          <w:szCs w:val="16"/>
        </w:rPr>
        <w:t>; Articles 185</w:t>
      </w:r>
      <w:r w:rsidR="0000571E">
        <w:rPr>
          <w:rFonts w:cs="Arial"/>
          <w:szCs w:val="16"/>
        </w:rPr>
        <w:t>,</w:t>
      </w:r>
      <w:r w:rsidRPr="00C7462F">
        <w:rPr>
          <w:rFonts w:cs="Arial"/>
          <w:szCs w:val="16"/>
        </w:rPr>
        <w:t xml:space="preserve"> 188-189 of the </w:t>
      </w:r>
      <w:r w:rsidR="00021CD4" w:rsidRP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69">
    <w:p w14:paraId="045C9D5E" w14:textId="561A37D9" w:rsidR="004E13E4" w:rsidRPr="00C7462F" w:rsidRDefault="004E13E4"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C7462F">
        <w:rPr>
          <w:rFonts w:cs="Arial"/>
          <w:szCs w:val="16"/>
          <w:vertAlign w:val="superscript"/>
        </w:rPr>
        <w:t xml:space="preserve"> </w:t>
      </w:r>
      <w:r w:rsidRPr="00C7462F">
        <w:rPr>
          <w:rStyle w:val="FootnoteReference"/>
          <w:rFonts w:cs="Arial"/>
          <w:sz w:val="16"/>
          <w:szCs w:val="16"/>
        </w:rPr>
        <w:t xml:space="preserve">Information obtained from </w:t>
      </w:r>
      <w:r w:rsidR="007A1887">
        <w:rPr>
          <w:rFonts w:cs="Arial"/>
          <w:szCs w:val="16"/>
        </w:rPr>
        <w:t>Kuwaiti lawyers</w:t>
      </w:r>
      <w:r w:rsidRPr="00C7462F">
        <w:rPr>
          <w:rStyle w:val="FootnoteReference"/>
          <w:rFonts w:cs="Arial"/>
          <w:sz w:val="16"/>
          <w:szCs w:val="16"/>
        </w:rPr>
        <w:t xml:space="preserve">, </w:t>
      </w:r>
      <w:r w:rsidRPr="00C7462F">
        <w:rPr>
          <w:rFonts w:cs="Arial"/>
          <w:szCs w:val="16"/>
        </w:rPr>
        <w:t>March 2024.</w:t>
      </w:r>
    </w:p>
  </w:footnote>
  <w:footnote w:id="70">
    <w:p w14:paraId="709A1F04" w14:textId="6E31C6BC" w:rsidR="00DC76CC" w:rsidRPr="00C7462F" w:rsidRDefault="00DC76CC"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Articles 139-145 </w:t>
      </w:r>
      <w:r w:rsidRPr="00C7462F">
        <w:rPr>
          <w:rStyle w:val="FootnoteReference"/>
          <w:rFonts w:cs="Arial"/>
          <w:sz w:val="16"/>
          <w:szCs w:val="16"/>
        </w:rPr>
        <w:t xml:space="preserve">of the </w:t>
      </w:r>
      <w:r w:rsidRPr="00C7462F">
        <w:rPr>
          <w:rFonts w:cs="Arial"/>
          <w:szCs w:val="16"/>
        </w:rPr>
        <w:t xml:space="preserve">Kuwait </w:t>
      </w:r>
      <w:r w:rsidRPr="00C7462F">
        <w:rPr>
          <w:rStyle w:val="FootnoteReference"/>
          <w:rFonts w:cs="Arial"/>
          <w:sz w:val="16"/>
          <w:szCs w:val="16"/>
        </w:rPr>
        <w:t>Personal Status Act (1984)</w:t>
      </w:r>
      <w:r w:rsidR="00F60DD3" w:rsidRPr="00C7462F">
        <w:rPr>
          <w:rFonts w:cs="Arial"/>
          <w:szCs w:val="16"/>
        </w:rPr>
        <w:t xml:space="preserve">; Articles 215-217 of the </w:t>
      </w:r>
      <w:r w:rsidR="00F37096" w:rsidRPr="00C7462F">
        <w:rPr>
          <w:rFonts w:cs="Arial"/>
          <w:szCs w:val="16"/>
        </w:rPr>
        <w:t xml:space="preserve">Kuwait </w:t>
      </w:r>
      <w:proofErr w:type="spellStart"/>
      <w:r w:rsidR="00F60DD3" w:rsidRPr="00C7462F">
        <w:rPr>
          <w:rFonts w:cs="Arial"/>
          <w:szCs w:val="16"/>
        </w:rPr>
        <w:t>Ja’fari</w:t>
      </w:r>
      <w:proofErr w:type="spellEnd"/>
      <w:r w:rsidR="00F60DD3" w:rsidRPr="00C7462F">
        <w:rPr>
          <w:rFonts w:cs="Arial"/>
          <w:szCs w:val="16"/>
        </w:rPr>
        <w:t xml:space="preserve"> Personal Status Act (2019).</w:t>
      </w:r>
    </w:p>
  </w:footnote>
  <w:footnote w:id="71">
    <w:p w14:paraId="55C5A92E" w14:textId="5CD2267B" w:rsidR="00B67131" w:rsidRPr="00C7462F" w:rsidRDefault="00B67131"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 xml:space="preserve">Articles 177-178 of the </w:t>
      </w:r>
      <w:r w:rsidR="00F37096" w:rsidRP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72">
    <w:p w14:paraId="2A32BB94" w14:textId="46CE78A8" w:rsidR="00251E7C" w:rsidRPr="007A1887" w:rsidRDefault="00251E7C" w:rsidP="007A1887">
      <w:pPr>
        <w:pStyle w:val="Footer"/>
        <w:rPr>
          <w:rStyle w:val="FootnoteReference"/>
          <w:rFonts w:cs="Arial"/>
          <w:sz w:val="16"/>
          <w:szCs w:val="16"/>
        </w:rPr>
      </w:pPr>
      <w:r w:rsidRPr="00C7462F">
        <w:rPr>
          <w:rStyle w:val="FootnoteReference"/>
          <w:rFonts w:cs="Arial"/>
          <w:sz w:val="16"/>
          <w:szCs w:val="16"/>
          <w:vertAlign w:val="superscript"/>
        </w:rPr>
        <w:footnoteRef/>
      </w:r>
      <w:r w:rsidRPr="00C7462F">
        <w:rPr>
          <w:rFonts w:cs="Arial"/>
          <w:szCs w:val="16"/>
        </w:rPr>
        <w:t xml:space="preserve"> </w:t>
      </w:r>
      <w:r w:rsidR="007A1887" w:rsidRPr="00C7462F">
        <w:rPr>
          <w:rStyle w:val="FootnoteReference"/>
          <w:rFonts w:cs="Arial"/>
          <w:sz w:val="16"/>
          <w:szCs w:val="16"/>
        </w:rPr>
        <w:t xml:space="preserve">Information obtained from </w:t>
      </w:r>
      <w:r w:rsidR="007A1887">
        <w:rPr>
          <w:rFonts w:cs="Arial"/>
          <w:szCs w:val="16"/>
        </w:rPr>
        <w:t>Kuwaiti lawyers</w:t>
      </w:r>
      <w:r w:rsidR="007A1887" w:rsidRPr="00C7462F">
        <w:rPr>
          <w:rStyle w:val="FootnoteReference"/>
          <w:rFonts w:cs="Arial"/>
          <w:sz w:val="16"/>
          <w:szCs w:val="16"/>
        </w:rPr>
        <w:t xml:space="preserve">, </w:t>
      </w:r>
      <w:r w:rsidR="007A1887" w:rsidRPr="00C7462F">
        <w:rPr>
          <w:rFonts w:cs="Arial"/>
          <w:szCs w:val="16"/>
        </w:rPr>
        <w:t>March 2024.</w:t>
      </w:r>
    </w:p>
  </w:footnote>
  <w:footnote w:id="73">
    <w:p w14:paraId="355D1872" w14:textId="669873F7" w:rsidR="00FB2499" w:rsidRPr="00C7462F" w:rsidRDefault="00FB2499"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Article 194 of the Kuwait Personal Status Act (1984)</w:t>
      </w:r>
      <w:r w:rsidR="00F37096" w:rsidRPr="00C7462F">
        <w:rPr>
          <w:rFonts w:cs="Arial"/>
          <w:szCs w:val="16"/>
        </w:rPr>
        <w:t>.</w:t>
      </w:r>
    </w:p>
  </w:footnote>
  <w:footnote w:id="74">
    <w:p w14:paraId="4174C8F0" w14:textId="1CEEDA3D" w:rsidR="00FB2499" w:rsidRPr="00C7462F" w:rsidRDefault="00FB2499"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Articles 243, 248-249 of the </w:t>
      </w:r>
      <w:r w:rsid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75">
    <w:p w14:paraId="412E4D62" w14:textId="0040E1D0" w:rsidR="00FB2499" w:rsidRPr="00C7462F" w:rsidRDefault="00FB2499"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248 of the </w:t>
      </w:r>
      <w:r w:rsid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76">
    <w:p w14:paraId="092B31B6" w14:textId="3F67BA40" w:rsidR="00FB2499" w:rsidRPr="00C7462F" w:rsidRDefault="00FB2499"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00A253DD" w:rsidRPr="00C7462F">
        <w:rPr>
          <w:rFonts w:cs="Arial"/>
          <w:szCs w:val="16"/>
        </w:rPr>
        <w:t>Article 110 of the Kuwait Civil Law (1980).</w:t>
      </w:r>
    </w:p>
  </w:footnote>
  <w:footnote w:id="77">
    <w:p w14:paraId="49AA4FF5" w14:textId="6FDD4021" w:rsidR="00A253DD" w:rsidRPr="00C7462F" w:rsidRDefault="00A253DD"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191 of the Kuwait Personal Status Act; Article 247 of the </w:t>
      </w:r>
      <w:r w:rsidR="00C7462F">
        <w:rPr>
          <w:rFonts w:cs="Arial"/>
          <w:szCs w:val="16"/>
        </w:rPr>
        <w:t xml:space="preserve">Kuwait </w:t>
      </w:r>
      <w:proofErr w:type="spellStart"/>
      <w:r w:rsidRPr="00C7462F">
        <w:rPr>
          <w:rFonts w:cs="Arial"/>
          <w:szCs w:val="16"/>
        </w:rPr>
        <w:t>Ja’fari</w:t>
      </w:r>
      <w:proofErr w:type="spellEnd"/>
      <w:r w:rsidRPr="00C7462F">
        <w:rPr>
          <w:rFonts w:cs="Arial"/>
          <w:szCs w:val="16"/>
        </w:rPr>
        <w:t xml:space="preserve"> Personal Status Act (2019).</w:t>
      </w:r>
    </w:p>
  </w:footnote>
  <w:footnote w:id="78">
    <w:p w14:paraId="1F23F33B" w14:textId="58066B65" w:rsidR="002B09E7" w:rsidRPr="00C7462F" w:rsidRDefault="002B09E7"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2 of the Kuwait Nationality Law (1959)</w:t>
      </w:r>
      <w:r w:rsidR="00CB3D6A" w:rsidRPr="00C7462F">
        <w:rPr>
          <w:rFonts w:cs="Arial"/>
          <w:szCs w:val="16"/>
        </w:rPr>
        <w:t>.</w:t>
      </w:r>
    </w:p>
  </w:footnote>
  <w:footnote w:id="79">
    <w:p w14:paraId="74658538" w14:textId="0C6288CA" w:rsidR="002B09E7" w:rsidRPr="00C7462F" w:rsidRDefault="002B09E7"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w:t>
      </w:r>
      <w:r w:rsidRPr="00C7462F">
        <w:rPr>
          <w:rFonts w:cs="Arial"/>
          <w:i/>
          <w:iCs/>
          <w:szCs w:val="16"/>
        </w:rPr>
        <w:t>Ibid.</w:t>
      </w:r>
    </w:p>
  </w:footnote>
  <w:footnote w:id="80">
    <w:p w14:paraId="3AF22FBE" w14:textId="5B985992" w:rsidR="008F119B" w:rsidRPr="00C7462F" w:rsidRDefault="008F119B"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5(2) of the Kuwait Nationality Law (1959)</w:t>
      </w:r>
      <w:r w:rsidR="00CB3D6A" w:rsidRPr="00C7462F">
        <w:rPr>
          <w:rFonts w:cs="Arial"/>
          <w:szCs w:val="16"/>
        </w:rPr>
        <w:t>.</w:t>
      </w:r>
    </w:p>
  </w:footnote>
  <w:footnote w:id="81">
    <w:p w14:paraId="7585ACED" w14:textId="7091516F" w:rsidR="008F119B" w:rsidRPr="00C7462F" w:rsidRDefault="008F119B"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i/>
          <w:iCs/>
          <w:szCs w:val="16"/>
        </w:rPr>
        <w:t>Ibid.</w:t>
      </w:r>
    </w:p>
  </w:footnote>
  <w:footnote w:id="82">
    <w:p w14:paraId="601D90B3" w14:textId="50FA9719" w:rsidR="00036F3B" w:rsidRPr="00C7462F" w:rsidRDefault="00036F3B"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vertAlign w:val="superscript"/>
        </w:rPr>
        <w:t xml:space="preserve"> </w:t>
      </w:r>
      <w:r w:rsidRPr="00C7462F">
        <w:rPr>
          <w:rFonts w:cs="Arial"/>
          <w:szCs w:val="16"/>
        </w:rPr>
        <w:t>Article 8 of the Kuwait Nationality Law (1959)</w:t>
      </w:r>
      <w:r w:rsidR="00CB3D6A" w:rsidRPr="00C7462F">
        <w:rPr>
          <w:rFonts w:cs="Arial"/>
          <w:szCs w:val="16"/>
        </w:rPr>
        <w:t>.</w:t>
      </w:r>
    </w:p>
  </w:footnote>
  <w:footnote w:id="83">
    <w:p w14:paraId="782DD198" w14:textId="40C31546" w:rsidR="00036F3B" w:rsidRPr="00C7462F" w:rsidRDefault="00036F3B" w:rsidP="002C5B71">
      <w:pPr>
        <w:pStyle w:val="Footer"/>
        <w:rPr>
          <w:rFonts w:cs="Arial"/>
          <w:szCs w:val="16"/>
        </w:rPr>
      </w:pPr>
      <w:r w:rsidRPr="00C7462F">
        <w:rPr>
          <w:rStyle w:val="FootnoteReference"/>
          <w:rFonts w:cs="Arial"/>
          <w:sz w:val="16"/>
          <w:szCs w:val="16"/>
          <w:vertAlign w:val="superscript"/>
        </w:rPr>
        <w:footnoteRef/>
      </w:r>
      <w:r w:rsidRPr="00C7462F">
        <w:rPr>
          <w:rFonts w:cs="Arial"/>
          <w:szCs w:val="16"/>
        </w:rPr>
        <w:t xml:space="preserve"> Article 10 of the Kuwait Nationality Law (1959)</w:t>
      </w:r>
      <w:r w:rsidR="00CB3D6A" w:rsidRPr="00C7462F">
        <w:rPr>
          <w:rFonts w:cs="Arial"/>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E9A5" w14:textId="77777777" w:rsidR="00D07715" w:rsidRDefault="00D07715">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F2D0" w14:textId="77777777" w:rsidR="00D07715" w:rsidRDefault="00D07715">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7E1AC" w14:textId="77777777" w:rsidR="00D07715" w:rsidRDefault="00D07715">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530CC"/>
    <w:multiLevelType w:val="hybridMultilevel"/>
    <w:tmpl w:val="3FD434C6"/>
    <w:lvl w:ilvl="0" w:tplc="BBF09B5A">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023A41"/>
    <w:multiLevelType w:val="hybridMultilevel"/>
    <w:tmpl w:val="937E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7D07B4"/>
    <w:multiLevelType w:val="hybridMultilevel"/>
    <w:tmpl w:val="89866E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00A86"/>
    <w:multiLevelType w:val="hybridMultilevel"/>
    <w:tmpl w:val="AFD07240"/>
    <w:lvl w:ilvl="0" w:tplc="04090009">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4" w15:restartNumberingAfterBreak="0">
    <w:nsid w:val="324243E2"/>
    <w:multiLevelType w:val="multilevel"/>
    <w:tmpl w:val="DC6A8E24"/>
    <w:lvl w:ilvl="0">
      <w:start w:val="1"/>
      <w:numFmt w:val="lowerRoman"/>
      <w:lvlText w:val="(%1)"/>
      <w:lvlJc w:val="left"/>
      <w:pPr>
        <w:ind w:left="1038" w:hanging="720"/>
      </w:pPr>
    </w:lvl>
    <w:lvl w:ilvl="1">
      <w:start w:val="1"/>
      <w:numFmt w:val="lowerLetter"/>
      <w:lvlText w:val="%2."/>
      <w:lvlJc w:val="left"/>
      <w:pPr>
        <w:ind w:left="1398" w:hanging="360"/>
      </w:pPr>
    </w:lvl>
    <w:lvl w:ilvl="2">
      <w:start w:val="1"/>
      <w:numFmt w:val="lowerRoman"/>
      <w:lvlText w:val="%3."/>
      <w:lvlJc w:val="right"/>
      <w:pPr>
        <w:ind w:left="2118" w:hanging="180"/>
      </w:pPr>
    </w:lvl>
    <w:lvl w:ilvl="3">
      <w:start w:val="1"/>
      <w:numFmt w:val="decimal"/>
      <w:lvlText w:val="%4."/>
      <w:lvlJc w:val="left"/>
      <w:pPr>
        <w:ind w:left="2838" w:hanging="360"/>
      </w:pPr>
    </w:lvl>
    <w:lvl w:ilvl="4">
      <w:start w:val="1"/>
      <w:numFmt w:val="lowerLetter"/>
      <w:lvlText w:val="%5."/>
      <w:lvlJc w:val="left"/>
      <w:pPr>
        <w:ind w:left="3558" w:hanging="360"/>
      </w:pPr>
    </w:lvl>
    <w:lvl w:ilvl="5">
      <w:start w:val="1"/>
      <w:numFmt w:val="lowerRoman"/>
      <w:lvlText w:val="%6."/>
      <w:lvlJc w:val="right"/>
      <w:pPr>
        <w:ind w:left="4278" w:hanging="180"/>
      </w:pPr>
    </w:lvl>
    <w:lvl w:ilvl="6">
      <w:start w:val="1"/>
      <w:numFmt w:val="decimal"/>
      <w:lvlText w:val="%7."/>
      <w:lvlJc w:val="left"/>
      <w:pPr>
        <w:ind w:left="4998" w:hanging="360"/>
      </w:pPr>
    </w:lvl>
    <w:lvl w:ilvl="7">
      <w:start w:val="1"/>
      <w:numFmt w:val="lowerLetter"/>
      <w:lvlText w:val="%8."/>
      <w:lvlJc w:val="left"/>
      <w:pPr>
        <w:ind w:left="5718" w:hanging="360"/>
      </w:pPr>
    </w:lvl>
    <w:lvl w:ilvl="8">
      <w:start w:val="1"/>
      <w:numFmt w:val="lowerRoman"/>
      <w:lvlText w:val="%9."/>
      <w:lvlJc w:val="right"/>
      <w:pPr>
        <w:ind w:left="6438" w:hanging="180"/>
      </w:pPr>
    </w:lvl>
  </w:abstractNum>
  <w:abstractNum w:abstractNumId="5" w15:restartNumberingAfterBreak="0">
    <w:nsid w:val="39A37403"/>
    <w:multiLevelType w:val="multilevel"/>
    <w:tmpl w:val="FF169C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A812AF2"/>
    <w:multiLevelType w:val="hybridMultilevel"/>
    <w:tmpl w:val="9648E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504F09"/>
    <w:multiLevelType w:val="multilevel"/>
    <w:tmpl w:val="BCE8A0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7F07D26"/>
    <w:multiLevelType w:val="multilevel"/>
    <w:tmpl w:val="CD6C3554"/>
    <w:lvl w:ilvl="0">
      <w:start w:val="1"/>
      <w:numFmt w:val="bullet"/>
      <w:lvlText w:val="●"/>
      <w:lvlJc w:val="left"/>
      <w:pPr>
        <w:ind w:left="540" w:hanging="360"/>
      </w:pPr>
      <w:rPr>
        <w:rFonts w:ascii="Noto Sans Symbols" w:eastAsia="Noto Sans Symbols" w:hAnsi="Noto Sans Symbols" w:cs="Noto Sans Symbols"/>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9" w15:restartNumberingAfterBreak="0">
    <w:nsid w:val="4CBA3F96"/>
    <w:multiLevelType w:val="multilevel"/>
    <w:tmpl w:val="1CB6D7AA"/>
    <w:lvl w:ilvl="0">
      <w:start w:val="1"/>
      <w:numFmt w:val="bullet"/>
      <w:pStyle w:val="NoSpacin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1A2761B"/>
    <w:multiLevelType w:val="multilevel"/>
    <w:tmpl w:val="98F4590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3522E8D"/>
    <w:multiLevelType w:val="multilevel"/>
    <w:tmpl w:val="431CDF32"/>
    <w:lvl w:ilvl="0">
      <w:start w:val="1"/>
      <w:numFmt w:val="decimal"/>
      <w:lvlText w:val="%1."/>
      <w:lvlJc w:val="left"/>
      <w:pPr>
        <w:ind w:left="720" w:hanging="720"/>
      </w:pPr>
      <w:rPr>
        <w:i w:val="0"/>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5CB1321C"/>
    <w:multiLevelType w:val="hybridMultilevel"/>
    <w:tmpl w:val="E1C847FA"/>
    <w:lvl w:ilvl="0" w:tplc="AAA62AB6">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F74A45"/>
    <w:multiLevelType w:val="multilevel"/>
    <w:tmpl w:val="EBA6FC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BBD0BFB"/>
    <w:multiLevelType w:val="hybridMultilevel"/>
    <w:tmpl w:val="BD0E59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17205C5"/>
    <w:multiLevelType w:val="hybridMultilevel"/>
    <w:tmpl w:val="EBB8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8724762">
    <w:abstractNumId w:val="11"/>
  </w:num>
  <w:num w:numId="2" w16cid:durableId="259802966">
    <w:abstractNumId w:val="5"/>
  </w:num>
  <w:num w:numId="3" w16cid:durableId="51856976">
    <w:abstractNumId w:val="9"/>
  </w:num>
  <w:num w:numId="4" w16cid:durableId="425198405">
    <w:abstractNumId w:val="10"/>
  </w:num>
  <w:num w:numId="5" w16cid:durableId="1943877442">
    <w:abstractNumId w:val="15"/>
  </w:num>
  <w:num w:numId="6" w16cid:durableId="1947499661">
    <w:abstractNumId w:val="8"/>
  </w:num>
  <w:num w:numId="7" w16cid:durableId="1949001178">
    <w:abstractNumId w:val="7"/>
  </w:num>
  <w:num w:numId="8" w16cid:durableId="810908002">
    <w:abstractNumId w:val="4"/>
  </w:num>
  <w:num w:numId="9" w16cid:durableId="595133912">
    <w:abstractNumId w:val="1"/>
  </w:num>
  <w:num w:numId="10" w16cid:durableId="1248608930">
    <w:abstractNumId w:val="6"/>
  </w:num>
  <w:num w:numId="11" w16cid:durableId="1835563885">
    <w:abstractNumId w:val="2"/>
  </w:num>
  <w:num w:numId="12" w16cid:durableId="198669892">
    <w:abstractNumId w:val="13"/>
  </w:num>
  <w:num w:numId="13" w16cid:durableId="464782998">
    <w:abstractNumId w:val="14"/>
  </w:num>
  <w:num w:numId="14" w16cid:durableId="631331236">
    <w:abstractNumId w:val="3"/>
  </w:num>
  <w:num w:numId="15" w16cid:durableId="1554850499">
    <w:abstractNumId w:val="12"/>
  </w:num>
  <w:num w:numId="16" w16cid:durableId="1766226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715"/>
    <w:rsid w:val="000003E2"/>
    <w:rsid w:val="0000571E"/>
    <w:rsid w:val="00010503"/>
    <w:rsid w:val="00015A64"/>
    <w:rsid w:val="000172FB"/>
    <w:rsid w:val="0001798E"/>
    <w:rsid w:val="00021CD4"/>
    <w:rsid w:val="00036AC4"/>
    <w:rsid w:val="00036F3B"/>
    <w:rsid w:val="00064E26"/>
    <w:rsid w:val="00085E91"/>
    <w:rsid w:val="000873E8"/>
    <w:rsid w:val="000A1F33"/>
    <w:rsid w:val="000B47D3"/>
    <w:rsid w:val="000B5D97"/>
    <w:rsid w:val="000C43A1"/>
    <w:rsid w:val="000D5945"/>
    <w:rsid w:val="000F6141"/>
    <w:rsid w:val="001113AB"/>
    <w:rsid w:val="00150C63"/>
    <w:rsid w:val="00175F66"/>
    <w:rsid w:val="00186FB6"/>
    <w:rsid w:val="00195FE6"/>
    <w:rsid w:val="001965A6"/>
    <w:rsid w:val="001A68EF"/>
    <w:rsid w:val="001A714B"/>
    <w:rsid w:val="001C233D"/>
    <w:rsid w:val="001C6504"/>
    <w:rsid w:val="00201BEE"/>
    <w:rsid w:val="002255B4"/>
    <w:rsid w:val="0022605E"/>
    <w:rsid w:val="00241ECF"/>
    <w:rsid w:val="00251E7C"/>
    <w:rsid w:val="0026722F"/>
    <w:rsid w:val="0026794E"/>
    <w:rsid w:val="00284D4E"/>
    <w:rsid w:val="002863B0"/>
    <w:rsid w:val="002901CB"/>
    <w:rsid w:val="002922BD"/>
    <w:rsid w:val="002968F2"/>
    <w:rsid w:val="002B09E7"/>
    <w:rsid w:val="002B3D55"/>
    <w:rsid w:val="002C5B71"/>
    <w:rsid w:val="002E1ED5"/>
    <w:rsid w:val="002E7D47"/>
    <w:rsid w:val="00300BBB"/>
    <w:rsid w:val="0032665F"/>
    <w:rsid w:val="00326C72"/>
    <w:rsid w:val="00341F89"/>
    <w:rsid w:val="00343957"/>
    <w:rsid w:val="00345424"/>
    <w:rsid w:val="003514F4"/>
    <w:rsid w:val="003A7015"/>
    <w:rsid w:val="003B19C8"/>
    <w:rsid w:val="003B5E19"/>
    <w:rsid w:val="003D4ABA"/>
    <w:rsid w:val="003E4F78"/>
    <w:rsid w:val="00415DD0"/>
    <w:rsid w:val="00426AC7"/>
    <w:rsid w:val="00435525"/>
    <w:rsid w:val="00442AC5"/>
    <w:rsid w:val="00451B1F"/>
    <w:rsid w:val="00475A61"/>
    <w:rsid w:val="00491555"/>
    <w:rsid w:val="00491FF6"/>
    <w:rsid w:val="004B35AF"/>
    <w:rsid w:val="004C53C0"/>
    <w:rsid w:val="004C7855"/>
    <w:rsid w:val="004E13E4"/>
    <w:rsid w:val="00500CED"/>
    <w:rsid w:val="00505165"/>
    <w:rsid w:val="00512DED"/>
    <w:rsid w:val="00516A51"/>
    <w:rsid w:val="005369ED"/>
    <w:rsid w:val="00546296"/>
    <w:rsid w:val="00554BA6"/>
    <w:rsid w:val="00554E12"/>
    <w:rsid w:val="00572DF6"/>
    <w:rsid w:val="00572F7B"/>
    <w:rsid w:val="005777E1"/>
    <w:rsid w:val="00593907"/>
    <w:rsid w:val="00596FE6"/>
    <w:rsid w:val="005A4906"/>
    <w:rsid w:val="005A7B9E"/>
    <w:rsid w:val="005B66E1"/>
    <w:rsid w:val="005C000C"/>
    <w:rsid w:val="005D5274"/>
    <w:rsid w:val="005D7633"/>
    <w:rsid w:val="005E61F1"/>
    <w:rsid w:val="005F6788"/>
    <w:rsid w:val="0060027E"/>
    <w:rsid w:val="00601CBE"/>
    <w:rsid w:val="0060276C"/>
    <w:rsid w:val="00604973"/>
    <w:rsid w:val="00630330"/>
    <w:rsid w:val="00634BA5"/>
    <w:rsid w:val="00644467"/>
    <w:rsid w:val="00650F96"/>
    <w:rsid w:val="00655201"/>
    <w:rsid w:val="00657755"/>
    <w:rsid w:val="00660302"/>
    <w:rsid w:val="00664142"/>
    <w:rsid w:val="006716A1"/>
    <w:rsid w:val="00677B21"/>
    <w:rsid w:val="00683246"/>
    <w:rsid w:val="006A20DD"/>
    <w:rsid w:val="006A27C3"/>
    <w:rsid w:val="006A2AF3"/>
    <w:rsid w:val="006C3046"/>
    <w:rsid w:val="006C74E5"/>
    <w:rsid w:val="006D3872"/>
    <w:rsid w:val="006D76D5"/>
    <w:rsid w:val="006E5F1D"/>
    <w:rsid w:val="006E7804"/>
    <w:rsid w:val="006F26B7"/>
    <w:rsid w:val="007038B7"/>
    <w:rsid w:val="00704666"/>
    <w:rsid w:val="00710B9A"/>
    <w:rsid w:val="00732A2B"/>
    <w:rsid w:val="00744942"/>
    <w:rsid w:val="00750E40"/>
    <w:rsid w:val="0075771E"/>
    <w:rsid w:val="007647BE"/>
    <w:rsid w:val="0078019F"/>
    <w:rsid w:val="00786AEF"/>
    <w:rsid w:val="007A1887"/>
    <w:rsid w:val="007A3D80"/>
    <w:rsid w:val="007A6B32"/>
    <w:rsid w:val="007B361E"/>
    <w:rsid w:val="007C11E6"/>
    <w:rsid w:val="0080523F"/>
    <w:rsid w:val="008063F6"/>
    <w:rsid w:val="00813C7A"/>
    <w:rsid w:val="00837093"/>
    <w:rsid w:val="00877AF3"/>
    <w:rsid w:val="00882DA2"/>
    <w:rsid w:val="00883532"/>
    <w:rsid w:val="008846CE"/>
    <w:rsid w:val="0088727B"/>
    <w:rsid w:val="008948D8"/>
    <w:rsid w:val="008C1050"/>
    <w:rsid w:val="008E4F17"/>
    <w:rsid w:val="008F119B"/>
    <w:rsid w:val="008F1BDC"/>
    <w:rsid w:val="00900258"/>
    <w:rsid w:val="00904FA4"/>
    <w:rsid w:val="00922B62"/>
    <w:rsid w:val="0093705E"/>
    <w:rsid w:val="009478BC"/>
    <w:rsid w:val="00947DFA"/>
    <w:rsid w:val="00960570"/>
    <w:rsid w:val="00986A56"/>
    <w:rsid w:val="00995E25"/>
    <w:rsid w:val="00997036"/>
    <w:rsid w:val="009B17E9"/>
    <w:rsid w:val="009B5015"/>
    <w:rsid w:val="009D0094"/>
    <w:rsid w:val="009F7EFB"/>
    <w:rsid w:val="00A0057E"/>
    <w:rsid w:val="00A021CE"/>
    <w:rsid w:val="00A13EDC"/>
    <w:rsid w:val="00A20166"/>
    <w:rsid w:val="00A21500"/>
    <w:rsid w:val="00A22E4C"/>
    <w:rsid w:val="00A2519A"/>
    <w:rsid w:val="00A253DD"/>
    <w:rsid w:val="00A317FF"/>
    <w:rsid w:val="00A539E8"/>
    <w:rsid w:val="00A57C66"/>
    <w:rsid w:val="00A64EBB"/>
    <w:rsid w:val="00A669B0"/>
    <w:rsid w:val="00A75F5D"/>
    <w:rsid w:val="00A76CCF"/>
    <w:rsid w:val="00A8187C"/>
    <w:rsid w:val="00A830F4"/>
    <w:rsid w:val="00A941A5"/>
    <w:rsid w:val="00A94CC1"/>
    <w:rsid w:val="00AA1446"/>
    <w:rsid w:val="00AD4085"/>
    <w:rsid w:val="00AE7B1D"/>
    <w:rsid w:val="00B25C5B"/>
    <w:rsid w:val="00B61667"/>
    <w:rsid w:val="00B67131"/>
    <w:rsid w:val="00B92FB3"/>
    <w:rsid w:val="00BA323A"/>
    <w:rsid w:val="00BA44A3"/>
    <w:rsid w:val="00BB1525"/>
    <w:rsid w:val="00BB1B64"/>
    <w:rsid w:val="00BC3B82"/>
    <w:rsid w:val="00C147B2"/>
    <w:rsid w:val="00C2273B"/>
    <w:rsid w:val="00C4027D"/>
    <w:rsid w:val="00C41BCD"/>
    <w:rsid w:val="00C54C42"/>
    <w:rsid w:val="00C57D75"/>
    <w:rsid w:val="00C60030"/>
    <w:rsid w:val="00C7462F"/>
    <w:rsid w:val="00CA561B"/>
    <w:rsid w:val="00CB3D6A"/>
    <w:rsid w:val="00CD2C54"/>
    <w:rsid w:val="00CE310D"/>
    <w:rsid w:val="00CE43FD"/>
    <w:rsid w:val="00CF2567"/>
    <w:rsid w:val="00D022AA"/>
    <w:rsid w:val="00D04FB5"/>
    <w:rsid w:val="00D07715"/>
    <w:rsid w:val="00D123F1"/>
    <w:rsid w:val="00D14D37"/>
    <w:rsid w:val="00D27247"/>
    <w:rsid w:val="00D51A34"/>
    <w:rsid w:val="00D57424"/>
    <w:rsid w:val="00D62FFE"/>
    <w:rsid w:val="00D77B66"/>
    <w:rsid w:val="00D829C6"/>
    <w:rsid w:val="00D912E4"/>
    <w:rsid w:val="00D940E9"/>
    <w:rsid w:val="00DC76CC"/>
    <w:rsid w:val="00DD06C5"/>
    <w:rsid w:val="00E05E3C"/>
    <w:rsid w:val="00E34556"/>
    <w:rsid w:val="00E349F6"/>
    <w:rsid w:val="00E53522"/>
    <w:rsid w:val="00E92EBE"/>
    <w:rsid w:val="00E943A9"/>
    <w:rsid w:val="00EA5D71"/>
    <w:rsid w:val="00EC02A9"/>
    <w:rsid w:val="00EC0C0B"/>
    <w:rsid w:val="00ED0ABB"/>
    <w:rsid w:val="00EF0C9D"/>
    <w:rsid w:val="00EF121C"/>
    <w:rsid w:val="00EF70C8"/>
    <w:rsid w:val="00F15E50"/>
    <w:rsid w:val="00F22F24"/>
    <w:rsid w:val="00F24F05"/>
    <w:rsid w:val="00F37096"/>
    <w:rsid w:val="00F57EE4"/>
    <w:rsid w:val="00F60AED"/>
    <w:rsid w:val="00F60DD3"/>
    <w:rsid w:val="00F62B36"/>
    <w:rsid w:val="00F808C9"/>
    <w:rsid w:val="00F91AF5"/>
    <w:rsid w:val="00FB2499"/>
    <w:rsid w:val="00FB2AB3"/>
    <w:rsid w:val="00FB3DEA"/>
    <w:rsid w:val="00FC5891"/>
    <w:rsid w:val="00FD3383"/>
    <w:rsid w:val="00FD7215"/>
    <w:rsid w:val="00FE3C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B7A07"/>
  <w15:docId w15:val="{95C0E57B-48A8-524B-9557-E0FB3BAB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F5D"/>
  </w:style>
  <w:style w:type="paragraph" w:styleId="Heading1">
    <w:name w:val="heading 1"/>
    <w:basedOn w:val="Normal1"/>
    <w:next w:val="Normal1"/>
    <w:link w:val="Heading1Char"/>
    <w:uiPriority w:val="9"/>
    <w:qFormat/>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uiPriority w:val="9"/>
    <w:unhideWhenUsed/>
    <w:qFormat/>
    <w:rsid w:val="00892FA5"/>
    <w:pPr>
      <w:numPr>
        <w:numId w:val="4"/>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uiPriority w:val="9"/>
    <w:semiHidden/>
    <w:unhideWhenUsed/>
    <w:qFormat/>
    <w:rsid w:val="00E26F24"/>
    <w:pPr>
      <w:spacing w:line="240" w:lineRule="auto"/>
      <w:outlineLvl w:val="2"/>
    </w:pPr>
    <w:rPr>
      <w:rFonts w:ascii="Arial" w:eastAsia="Arial" w:hAnsi="Arial" w:cs="Arial"/>
      <w:b/>
    </w:rPr>
  </w:style>
  <w:style w:type="paragraph" w:styleId="Heading4">
    <w:name w:val="heading 4"/>
    <w:basedOn w:val="Normal1"/>
    <w:next w:val="Normal1"/>
    <w:link w:val="Heading4Char"/>
    <w:uiPriority w:val="9"/>
    <w:semiHidden/>
    <w:unhideWhenUsed/>
    <w:qFormat/>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uiPriority w:val="9"/>
    <w:semiHidden/>
    <w:unhideWhenUsed/>
    <w:qFormat/>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uiPriority w:val="9"/>
    <w:semiHidden/>
    <w:unhideWhenUsed/>
    <w:qFormat/>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uiPriority w:val="10"/>
    <w:qFormat/>
    <w:rsid w:val="00E26F24"/>
    <w:pPr>
      <w:spacing w:before="0" w:after="0"/>
    </w:pPr>
    <w:rPr>
      <w:smallCaps/>
      <w:color w:val="0673A5"/>
      <w:sz w:val="52"/>
      <w:szCs w:val="52"/>
    </w:rPr>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
    <w:next w:val="Normal"/>
    <w:link w:val="SubtitleChar"/>
    <w:uiPriority w:val="11"/>
    <w:qFormat/>
    <w:pPr>
      <w:pBdr>
        <w:top w:val="nil"/>
        <w:left w:val="nil"/>
        <w:bottom w:val="nil"/>
        <w:right w:val="nil"/>
        <w:between w:val="nil"/>
      </w:pBdr>
      <w:spacing w:before="120" w:after="160" w:line="264" w:lineRule="auto"/>
    </w:pPr>
    <w:rPr>
      <w:rFonts w:ascii="Corbel" w:eastAsia="Corbel" w:hAnsi="Corbel" w:cs="Corbel"/>
      <w:color w:val="404040"/>
      <w:sz w:val="22"/>
      <w:szCs w:val="22"/>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505165"/>
    <w:pPr>
      <w:tabs>
        <w:tab w:val="center" w:pos="4320"/>
        <w:tab w:val="right" w:pos="8640"/>
      </w:tabs>
    </w:pPr>
    <w:rPr>
      <w:rFonts w:ascii="Arial" w:hAnsi="Arial"/>
      <w:sz w:val="16"/>
    </w:rPr>
  </w:style>
  <w:style w:type="character" w:customStyle="1" w:styleId="FooterChar">
    <w:name w:val="Footer Char"/>
    <w:basedOn w:val="DefaultParagraphFont"/>
    <w:link w:val="Footer"/>
    <w:uiPriority w:val="99"/>
    <w:rsid w:val="00505165"/>
    <w:rPr>
      <w:rFonts w:ascii="Arial" w:hAnsi="Arial"/>
      <w:sz w:val="16"/>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8C1050"/>
    <w:pPr>
      <w:tabs>
        <w:tab w:val="right" w:leader="dot" w:pos="8910"/>
      </w:tabs>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customStyle="1" w:styleId="FootnoteText1">
    <w:name w:val="Footnote Text1"/>
    <w:basedOn w:val="Normal"/>
    <w:next w:val="Footnote"/>
    <w:autoRedefine/>
    <w:qFormat/>
    <w:rsid w:val="00947DFA"/>
    <w:rPr>
      <w:rFonts w:ascii="Arial" w:hAnsi="Arial" w:cs="Arial"/>
      <w:sz w:val="16"/>
    </w:rPr>
  </w:style>
  <w:style w:type="character" w:styleId="FootnoteReference">
    <w:name w:val="footnote reference"/>
    <w:uiPriority w:val="99"/>
    <w:unhideWhenUsed/>
    <w:rsid w:val="00634BA5"/>
    <w:rPr>
      <w:rFonts w:cstheme="minorBidi"/>
      <w:sz w:val="18"/>
      <w:szCs w:val="18"/>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1"/>
    <w:uiPriority w:val="99"/>
    <w:unhideWhenUsed/>
    <w:rsid w:val="00D829C6"/>
    <w:pPr>
      <w:spacing w:line="240" w:lineRule="auto"/>
    </w:pPr>
    <w:rPr>
      <w:rFonts w:ascii="Arial" w:eastAsia="Arial" w:hAnsi="Arial" w:cs="Arial"/>
      <w:color w:val="2C2C2C"/>
    </w:rPr>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rPr>
  </w:style>
  <w:style w:type="character" w:styleId="PageNumber">
    <w:name w:val="page number"/>
    <w:basedOn w:val="DefaultParagraphFont"/>
    <w:uiPriority w:val="99"/>
    <w:semiHidden/>
    <w:unhideWhenUsed/>
    <w:rsid w:val="00F97BAE"/>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None">
    <w:name w:val="None"/>
    <w:rsid w:val="003B19C8"/>
  </w:style>
  <w:style w:type="table" w:styleId="TableGrid">
    <w:name w:val="Table Grid"/>
    <w:basedOn w:val="TableNormal"/>
    <w:uiPriority w:val="39"/>
    <w:rsid w:val="00D77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1500"/>
    <w:pPr>
      <w:spacing w:after="200"/>
    </w:pPr>
    <w:rPr>
      <w:i/>
      <w:iCs/>
      <w:color w:val="44546A" w:themeColor="text2"/>
      <w:sz w:val="18"/>
      <w:szCs w:val="18"/>
    </w:rPr>
  </w:style>
  <w:style w:type="paragraph" w:customStyle="1" w:styleId="Style1">
    <w:name w:val="Style1"/>
    <w:basedOn w:val="Normal"/>
    <w:autoRedefine/>
    <w:qFormat/>
    <w:rsid w:val="00947DFA"/>
    <w:rPr>
      <w:rFonts w:ascii="Arial" w:hAnsi="Arial" w:cs="Arial"/>
      <w:sz w:val="18"/>
      <w:szCs w:val="16"/>
    </w:rPr>
  </w:style>
  <w:style w:type="paragraph" w:customStyle="1" w:styleId="Footnote">
    <w:name w:val="Footnote"/>
    <w:basedOn w:val="Normal"/>
    <w:autoRedefine/>
    <w:qFormat/>
    <w:rsid w:val="00947DFA"/>
    <w:rPr>
      <w:sz w:val="18"/>
      <w:szCs w:val="16"/>
      <w:vertAlign w:val="superscript"/>
    </w:rPr>
  </w:style>
  <w:style w:type="paragraph" w:styleId="FootnoteText">
    <w:name w:val="footnote text"/>
    <w:basedOn w:val="Normal"/>
    <w:link w:val="FootnoteTextChar"/>
    <w:uiPriority w:val="99"/>
    <w:semiHidden/>
    <w:unhideWhenUsed/>
    <w:qFormat/>
    <w:rsid w:val="00C41BCD"/>
    <w:rPr>
      <w:sz w:val="20"/>
      <w:szCs w:val="20"/>
    </w:rPr>
  </w:style>
  <w:style w:type="character" w:customStyle="1" w:styleId="FootnoteTextChar">
    <w:name w:val="Footnote Text Char"/>
    <w:basedOn w:val="DefaultParagraphFont"/>
    <w:link w:val="FootnoteText"/>
    <w:uiPriority w:val="99"/>
    <w:semiHidden/>
    <w:rsid w:val="00C41B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1810">
      <w:bodyDiv w:val="1"/>
      <w:marLeft w:val="0"/>
      <w:marRight w:val="0"/>
      <w:marTop w:val="0"/>
      <w:marBottom w:val="0"/>
      <w:divBdr>
        <w:top w:val="none" w:sz="0" w:space="0" w:color="auto"/>
        <w:left w:val="none" w:sz="0" w:space="0" w:color="auto"/>
        <w:bottom w:val="none" w:sz="0" w:space="0" w:color="auto"/>
        <w:right w:val="none" w:sz="0" w:space="0" w:color="auto"/>
      </w:divBdr>
    </w:div>
    <w:div w:id="127549771">
      <w:bodyDiv w:val="1"/>
      <w:marLeft w:val="0"/>
      <w:marRight w:val="0"/>
      <w:marTop w:val="0"/>
      <w:marBottom w:val="0"/>
      <w:divBdr>
        <w:top w:val="none" w:sz="0" w:space="0" w:color="auto"/>
        <w:left w:val="none" w:sz="0" w:space="0" w:color="auto"/>
        <w:bottom w:val="none" w:sz="0" w:space="0" w:color="auto"/>
        <w:right w:val="none" w:sz="0" w:space="0" w:color="auto"/>
      </w:divBdr>
    </w:div>
    <w:div w:id="304050040">
      <w:bodyDiv w:val="1"/>
      <w:marLeft w:val="0"/>
      <w:marRight w:val="0"/>
      <w:marTop w:val="0"/>
      <w:marBottom w:val="0"/>
      <w:divBdr>
        <w:top w:val="none" w:sz="0" w:space="0" w:color="auto"/>
        <w:left w:val="none" w:sz="0" w:space="0" w:color="auto"/>
        <w:bottom w:val="none" w:sz="0" w:space="0" w:color="auto"/>
        <w:right w:val="none" w:sz="0" w:space="0" w:color="auto"/>
      </w:divBdr>
    </w:div>
    <w:div w:id="1673486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usawah@musawah.org" TargetMode="External"/><Relationship Id="rId18" Type="http://schemas.openxmlformats.org/officeDocument/2006/relationships/header" Target="header2.xm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eader" Target="header3.xml"/><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abolish153.org" TargetMode="External"/><Relationship Id="rId17" Type="http://schemas.openxmlformats.org/officeDocument/2006/relationships/header" Target="header1.xml"/><Relationship Id="rId25" Type="http://schemas.openxmlformats.org/officeDocument/2006/relationships/image" Target="media/image6.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lsmw@law.harvard.edu" TargetMode="External"/><Relationship Id="rId20" Type="http://schemas.openxmlformats.org/officeDocument/2006/relationships/footer" Target="footer2.xm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bolish153.org" TargetMode="External"/><Relationship Id="rId24" Type="http://schemas.openxmlformats.org/officeDocument/2006/relationships/image" Target="media/image5.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4.jpeg"/><Relationship Id="rId28" Type="http://schemas.openxmlformats.org/officeDocument/2006/relationships/image" Target="media/image9.png"/><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usawah.org" TargetMode="External"/><Relationship Id="rId22" Type="http://schemas.openxmlformats.org/officeDocument/2006/relationships/footer" Target="footer3.xml"/><Relationship Id="rId27" Type="http://schemas.openxmlformats.org/officeDocument/2006/relationships/image" Target="media/image8.jpeg"/><Relationship Id="rId30" Type="http://schemas.openxmlformats.org/officeDocument/2006/relationships/footer" Target="footer4.xml"/><Relationship Id="rId35" Type="http://schemas.openxmlformats.org/officeDocument/2006/relationships/customXml" Target="../customXml/item4.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alqabas.com/article/5890865-&#1610;&#1581;&#1583;&#1579;-&#1601;&#1610;-&#1575;&#1604;&#1603;&#1608;&#1610;&#1578;-1100-&#1581;&#1575;&#1604;&#1577;-&#1593;&#1606;&#1601;-&#1590;&#1583;-&#1575;&#1604;&#1606;&#1587;&#1575;&#1569;-&#1587;&#1606;&#1608;&#1610;&#1575;" TargetMode="External"/><Relationship Id="rId13" Type="http://schemas.openxmlformats.org/officeDocument/2006/relationships/hyperlink" Target="https://www.fairobserver.com/region/middle_east_north_africa/nour-al-mukhled-kuwait-news-kuwaiti-violence-against-women-gulf-news-arab-world-43804/" TargetMode="External"/><Relationship Id="rId3" Type="http://schemas.openxmlformats.org/officeDocument/2006/relationships/hyperlink" Target="https://www.state.gov/reports/2022-report-on-international-religious-freedom/kuwait/" TargetMode="External"/><Relationship Id="rId7" Type="http://schemas.openxmlformats.org/officeDocument/2006/relationships/hyperlink" Target="https://www.aalawyer.co/wp-content/uploads/2023/12/&#1602;&#1575;&#1606;&#1608;&#1606;-&#1575;&#1604;&#1575;&#1581;&#1608;&#1575;&#1604;-&#1575;&#1604;&#1588;&#1582;&#1589;&#1610;&#1577;-&#1575;&#1604;&#1580;&#1593;&#1601;&#1585;&#1610;-&#1575;&#1604;&#1603;&#1608;&#1610;&#1578;-&#1605;&#1576;&#1608;&#1576;-.pdf" TargetMode="External"/><Relationship Id="rId12" Type="http://schemas.openxmlformats.org/officeDocument/2006/relationships/hyperlink" Target="https://campaignforjustice.musawah.org/resources/policy-brief-8-ending-violence-against-women-in-muslim-families/" TargetMode="External"/><Relationship Id="rId2" Type="http://schemas.openxmlformats.org/officeDocument/2006/relationships/hyperlink" Target="https://www.cia.gov/the-world-factbook/countries/kuwait/" TargetMode="External"/><Relationship Id="rId1" Type="http://schemas.openxmlformats.org/officeDocument/2006/relationships/hyperlink" Target="https://treaties.un.org/Pages/ViewDetails.aspx?src=TREATY&amp;mtdsg_no=IV-8&amp;chapter=4&amp;clang=_en" TargetMode="External"/><Relationship Id="rId6" Type="http://schemas.openxmlformats.org/officeDocument/2006/relationships/hyperlink" Target="https://www.e.gov.kw/sites/kgoarabic/Forms/QanoonAlAhwalAlMadaniyah.pdf" TargetMode="External"/><Relationship Id="rId11" Type="http://schemas.openxmlformats.org/officeDocument/2006/relationships/hyperlink" Target="http://abolish153.org/community/RAMA/uploads/2018/11/Abolish-153-Attitudinal-Survey-on-VAW_English.pdf" TargetMode="External"/><Relationship Id="rId5" Type="http://schemas.openxmlformats.org/officeDocument/2006/relationships/hyperlink" Target="https://www.moj.gov.kw/AR/pages/DeptProcedure.aspx?ItemID=98" TargetMode="External"/><Relationship Id="rId10" Type="http://schemas.openxmlformats.org/officeDocument/2006/relationships/hyperlink" Target="http://abolish153.org/community/RAMA/uploads/2018/11/Abolish-153-Attitudinal-Survey-on-VAW_English.pdf" TargetMode="External"/><Relationship Id="rId4" Type="http://schemas.openxmlformats.org/officeDocument/2006/relationships/hyperlink" Target="http://www.nationalkuwait.com/forum/index.php?threads/95593/" TargetMode="External"/><Relationship Id="rId9" Type="http://schemas.openxmlformats.org/officeDocument/2006/relationships/hyperlink" Target="https://www.alanba.com.kw/1196155" TargetMode="External"/><Relationship Id="rId14" Type="http://schemas.openxmlformats.org/officeDocument/2006/relationships/hyperlink" Target="https://www.moj.gov.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R4+kDkyOypuqa/ppN+datmBzZQ==">CgMxLjAyCGguZ2pkZ3hzMgloLjJzOGV5bzEyCWguMTdkcDh2dTIJaC4zcmRjcmpuMgloLjJldDkycDAyCWguMjZpbjFyZzIIaC5sbnhiejkyCWguMzVua3VuMjIJaC4xa3N2NHV2MgloLjQ0c2luaW84AHIhMVVzeGVQeHJkUUIzRUhZNGhFZXdYemF4R2gtQ0NianBn</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8BA4E-6D6C-4140-9471-5F5EDA544F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D2B4678-E35A-4969-9B2D-BCE3E96B5CE9}"/>
</file>

<file path=customXml/itemProps4.xml><?xml version="1.0" encoding="utf-8"?>
<ds:datastoreItem xmlns:ds="http://schemas.openxmlformats.org/officeDocument/2006/customXml" ds:itemID="{D02FAAD4-24D3-4927-B761-966128C6CF9B}"/>
</file>

<file path=docProps/app.xml><?xml version="1.0" encoding="utf-8"?>
<Properties xmlns="http://schemas.openxmlformats.org/officeDocument/2006/extended-properties" xmlns:vt="http://schemas.openxmlformats.org/officeDocument/2006/docPropsVTypes">
  <Template>Normal.dotm</Template>
  <TotalTime>176</TotalTime>
  <Pages>14</Pages>
  <Words>5001</Words>
  <Characters>28508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Waheedi, Salma</dc:creator>
  <cp:lastModifiedBy>Ansari, Fer Ghanaa-HLSCLINICS</cp:lastModifiedBy>
  <cp:revision>13</cp:revision>
  <dcterms:created xsi:type="dcterms:W3CDTF">2024-04-13T04:00:00Z</dcterms:created>
  <dcterms:modified xsi:type="dcterms:W3CDTF">2024-04-15T06:18:00Z</dcterms:modified>
</cp:coreProperties>
</file>