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DDD64" w14:textId="77777777" w:rsidR="008E0522" w:rsidRDefault="008E0522" w:rsidP="008E0522">
      <w:pPr>
        <w:jc w:val="center"/>
        <w:rPr>
          <w:rFonts w:ascii="Times New Roman" w:hAnsi="Times New Roman" w:cs="Times New Roman"/>
          <w:b/>
          <w:bCs/>
          <w:u w:val="single"/>
        </w:rPr>
      </w:pPr>
    </w:p>
    <w:p w14:paraId="45B022BA" w14:textId="1C7A8B47" w:rsidR="00373B75" w:rsidRPr="005501F4" w:rsidRDefault="00373B75" w:rsidP="008E0522">
      <w:pPr>
        <w:jc w:val="center"/>
        <w:rPr>
          <w:rFonts w:ascii="Times New Roman" w:hAnsi="Times New Roman" w:cs="Times New Roman"/>
        </w:rPr>
      </w:pPr>
      <w:r w:rsidRPr="005501F4">
        <w:rPr>
          <w:rFonts w:ascii="Times New Roman" w:hAnsi="Times New Roman" w:cs="Times New Roman"/>
          <w:b/>
          <w:bCs/>
          <w:u w:val="single"/>
        </w:rPr>
        <w:t>Joint NGO Submission to the UN Committee on the Elimination of Discrimination against Women</w:t>
      </w:r>
    </w:p>
    <w:p w14:paraId="21EADE85" w14:textId="3EA66FF4" w:rsidR="00373B75" w:rsidRPr="005501F4" w:rsidRDefault="00373B75" w:rsidP="005501F4">
      <w:pPr>
        <w:jc w:val="center"/>
        <w:rPr>
          <w:rFonts w:ascii="Times New Roman" w:hAnsi="Times New Roman" w:cs="Times New Roman"/>
        </w:rPr>
      </w:pPr>
      <w:r w:rsidRPr="005501F4">
        <w:rPr>
          <w:rFonts w:ascii="Times New Roman" w:hAnsi="Times New Roman" w:cs="Times New Roman"/>
          <w:b/>
          <w:bCs/>
        </w:rPr>
        <w:t xml:space="preserve">Written Submission </w:t>
      </w:r>
      <w:r w:rsidR="00A66B74" w:rsidRPr="005501F4">
        <w:rPr>
          <w:rFonts w:ascii="Times New Roman" w:hAnsi="Times New Roman" w:cs="Times New Roman"/>
          <w:b/>
          <w:bCs/>
        </w:rPr>
        <w:t>regarding</w:t>
      </w:r>
      <w:r w:rsidRPr="005501F4">
        <w:rPr>
          <w:rFonts w:ascii="Times New Roman" w:hAnsi="Times New Roman" w:cs="Times New Roman"/>
          <w:b/>
          <w:bCs/>
        </w:rPr>
        <w:t xml:space="preserve"> the Ninth Periodic Report of Kenya</w:t>
      </w:r>
    </w:p>
    <w:p w14:paraId="213D2688" w14:textId="7EDC51EA" w:rsidR="00035D89" w:rsidRPr="005501F4" w:rsidRDefault="00035D89" w:rsidP="005501F4">
      <w:pPr>
        <w:jc w:val="center"/>
        <w:rPr>
          <w:rFonts w:ascii="Times New Roman" w:hAnsi="Times New Roman" w:cs="Times New Roman"/>
          <w:b/>
          <w:bCs/>
        </w:rPr>
      </w:pPr>
      <w:r w:rsidRPr="005501F4">
        <w:rPr>
          <w:rFonts w:ascii="Times New Roman" w:hAnsi="Times New Roman" w:cs="Times New Roman"/>
          <w:b/>
          <w:bCs/>
        </w:rPr>
        <w:t>Pre-sessional Working Group for the 92nd session (24 - 28 February 2025)</w:t>
      </w:r>
    </w:p>
    <w:p w14:paraId="1848D778" w14:textId="77777777" w:rsidR="00A66B74" w:rsidRPr="005501F4" w:rsidRDefault="00A66B74" w:rsidP="005501F4">
      <w:pPr>
        <w:jc w:val="center"/>
        <w:rPr>
          <w:rFonts w:ascii="Times New Roman" w:hAnsi="Times New Roman" w:cs="Times New Roman"/>
          <w:b/>
          <w:bCs/>
        </w:rPr>
      </w:pPr>
    </w:p>
    <w:p w14:paraId="70B54DBE" w14:textId="1AA0ADED" w:rsidR="00373B75" w:rsidRPr="005501F4" w:rsidRDefault="00373B75" w:rsidP="005501F4">
      <w:pPr>
        <w:jc w:val="center"/>
        <w:rPr>
          <w:rFonts w:ascii="Times New Roman" w:hAnsi="Times New Roman" w:cs="Times New Roman"/>
        </w:rPr>
      </w:pPr>
      <w:r w:rsidRPr="005501F4">
        <w:rPr>
          <w:rFonts w:ascii="Times New Roman" w:hAnsi="Times New Roman" w:cs="Times New Roman"/>
        </w:rPr>
        <w:t>Submitted by:</w:t>
      </w:r>
    </w:p>
    <w:p w14:paraId="50C844B4" w14:textId="17E999E4" w:rsidR="00A66B74" w:rsidRDefault="00A66B74" w:rsidP="005501F4">
      <w:pPr>
        <w:jc w:val="center"/>
        <w:rPr>
          <w:rFonts w:ascii="Times New Roman" w:hAnsi="Times New Roman" w:cs="Times New Roman"/>
          <w:b/>
          <w:bCs/>
        </w:rPr>
      </w:pPr>
      <w:r w:rsidRPr="008659A6">
        <w:rPr>
          <w:rFonts w:ascii="Times New Roman" w:hAnsi="Times New Roman" w:cs="Times New Roman"/>
          <w:b/>
          <w:bCs/>
        </w:rPr>
        <w:t>The Advocates for Human Rights</w:t>
      </w:r>
    </w:p>
    <w:p w14:paraId="6903FBAE" w14:textId="58DB3E11" w:rsidR="005D057A" w:rsidRDefault="005D057A" w:rsidP="005501F4">
      <w:pPr>
        <w:jc w:val="center"/>
        <w:rPr>
          <w:rFonts w:ascii="Times New Roman" w:hAnsi="Times New Roman" w:cs="Times New Roman"/>
          <w:b/>
          <w:bCs/>
        </w:rPr>
      </w:pPr>
      <w:r w:rsidRPr="005D057A">
        <w:rPr>
          <w:rFonts w:ascii="Times New Roman" w:hAnsi="Times New Roman" w:cs="Times New Roman"/>
          <w:b/>
          <w:bCs/>
        </w:rPr>
        <w:t>The Kenya Human Rights Commission (KHRC)</w:t>
      </w:r>
    </w:p>
    <w:p w14:paraId="6C81B7BB" w14:textId="15A4A660" w:rsidR="005E0CE3" w:rsidRPr="008659A6" w:rsidRDefault="005E0CE3" w:rsidP="005501F4">
      <w:pPr>
        <w:jc w:val="center"/>
        <w:rPr>
          <w:rFonts w:ascii="Times New Roman" w:hAnsi="Times New Roman" w:cs="Times New Roman"/>
          <w:b/>
          <w:bCs/>
        </w:rPr>
      </w:pPr>
      <w:r>
        <w:rPr>
          <w:rFonts w:ascii="Times New Roman" w:hAnsi="Times New Roman" w:cs="Times New Roman"/>
          <w:b/>
          <w:bCs/>
        </w:rPr>
        <w:t>The International Commission of Jurists (ICJ)</w:t>
      </w:r>
    </w:p>
    <w:p w14:paraId="23D71F79" w14:textId="39FC9BE4" w:rsidR="00A66B74" w:rsidRPr="008659A6" w:rsidRDefault="00A66B74" w:rsidP="005501F4">
      <w:pPr>
        <w:jc w:val="center"/>
        <w:rPr>
          <w:rFonts w:ascii="Times New Roman" w:hAnsi="Times New Roman" w:cs="Times New Roman"/>
          <w:b/>
          <w:bCs/>
        </w:rPr>
      </w:pPr>
      <w:r w:rsidRPr="008659A6">
        <w:rPr>
          <w:rFonts w:ascii="Times New Roman" w:hAnsi="Times New Roman" w:cs="Times New Roman"/>
          <w:b/>
          <w:bCs/>
        </w:rPr>
        <w:t>Reprieve</w:t>
      </w:r>
    </w:p>
    <w:p w14:paraId="20AE85C5" w14:textId="2C98F849" w:rsidR="006C4E0D" w:rsidRDefault="006C4E0D" w:rsidP="005501F4">
      <w:pPr>
        <w:jc w:val="center"/>
        <w:rPr>
          <w:rFonts w:ascii="Times New Roman" w:hAnsi="Times New Roman" w:cs="Times New Roman"/>
          <w:b/>
          <w:bCs/>
        </w:rPr>
      </w:pPr>
      <w:r w:rsidRPr="008659A6">
        <w:rPr>
          <w:rFonts w:ascii="Times New Roman" w:hAnsi="Times New Roman" w:cs="Times New Roman"/>
          <w:b/>
          <w:bCs/>
        </w:rPr>
        <w:t>World Coalition Against the Death Penalty (WCADP)</w:t>
      </w:r>
    </w:p>
    <w:p w14:paraId="3E215B0B" w14:textId="77777777" w:rsidR="006C4E0D" w:rsidRPr="005501F4" w:rsidRDefault="006C4E0D" w:rsidP="009905A8">
      <w:pPr>
        <w:jc w:val="both"/>
        <w:rPr>
          <w:rFonts w:ascii="Times New Roman" w:hAnsi="Times New Roman" w:cs="Times New Roman"/>
        </w:rPr>
      </w:pPr>
    </w:p>
    <w:p w14:paraId="68AB37C1" w14:textId="0B86C78D" w:rsidR="002839DD" w:rsidRPr="005501F4" w:rsidRDefault="002839DD"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Authors</w:t>
      </w:r>
    </w:p>
    <w:p w14:paraId="77910348" w14:textId="030985ED" w:rsidR="006C4E0D" w:rsidRPr="009905A8" w:rsidRDefault="006C4E0D" w:rsidP="005501F4">
      <w:pPr>
        <w:pStyle w:val="paragraph"/>
        <w:numPr>
          <w:ilvl w:val="0"/>
          <w:numId w:val="31"/>
        </w:numPr>
        <w:spacing w:before="0" w:beforeAutospacing="0" w:after="0" w:afterAutospacing="0" w:line="276" w:lineRule="auto"/>
        <w:jc w:val="both"/>
        <w:textAlignment w:val="baseline"/>
        <w:rPr>
          <w:rStyle w:val="eop"/>
        </w:rPr>
      </w:pPr>
      <w:r w:rsidRPr="005501F4">
        <w:rPr>
          <w:rStyle w:val="normaltextrun"/>
          <w:rFonts w:eastAsiaTheme="majorEastAsia"/>
          <w:b/>
          <w:bCs/>
          <w:lang w:val="en-US"/>
        </w:rPr>
        <w:t>The Advocates for Human Rights</w:t>
      </w:r>
      <w:r w:rsidRPr="005501F4">
        <w:rPr>
          <w:rStyle w:val="normaltextrun"/>
          <w:rFonts w:eastAsiaTheme="majorEastAsia"/>
          <w:lang w:val="en-US"/>
        </w:rPr>
        <w:t xml:space="preserve"> </w:t>
      </w:r>
      <w:r w:rsidRPr="008659A6">
        <w:rPr>
          <w:rStyle w:val="normaltextrun"/>
          <w:rFonts w:eastAsiaTheme="majorEastAsia"/>
          <w:b/>
          <w:bCs/>
          <w:lang w:val="en-US"/>
        </w:rPr>
        <w:t>(The Advocates)</w:t>
      </w:r>
      <w:r w:rsidRPr="005501F4">
        <w:rPr>
          <w:rStyle w:val="normaltextrun"/>
          <w:rFonts w:eastAsiaTheme="majorEastAsia"/>
          <w:lang w:val="en-US"/>
        </w:rPr>
        <w:t xml:space="preserve"> is a volunteer</w:t>
      </w:r>
      <w:r w:rsidR="004E40D8" w:rsidRPr="005501F4">
        <w:rPr>
          <w:rStyle w:val="normaltextrun"/>
          <w:rFonts w:eastAsiaTheme="majorEastAsia"/>
          <w:lang w:val="en-US"/>
        </w:rPr>
        <w:t>-</w:t>
      </w:r>
      <w:r w:rsidRPr="005501F4">
        <w:rPr>
          <w:rStyle w:val="normaltextrun"/>
          <w:rFonts w:eastAsiaTheme="majorEastAsia"/>
          <w:lang w:val="en-US"/>
        </w:rPr>
        <w:t>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w:t>
      </w:r>
      <w:r w:rsidR="004E40D8" w:rsidRPr="005501F4">
        <w:rPr>
          <w:rStyle w:val="normaltextrun"/>
          <w:rFonts w:eastAsiaTheme="majorEastAsia"/>
          <w:lang w:val="en-US"/>
        </w:rPr>
        <w:t>-</w:t>
      </w:r>
      <w:r w:rsidRPr="005501F4">
        <w:rPr>
          <w:rStyle w:val="normaltextrun"/>
          <w:rFonts w:eastAsiaTheme="majorEastAsia"/>
          <w:lang w:val="en-US"/>
        </w:rPr>
        <w:t>income asylum seekers in the Upper Midwest region of the United States.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r w:rsidRPr="005501F4">
        <w:rPr>
          <w:rStyle w:val="eop"/>
          <w:rFonts w:eastAsiaTheme="majorEastAsia"/>
        </w:rPr>
        <w:t> </w:t>
      </w:r>
    </w:p>
    <w:p w14:paraId="7E3E729C" w14:textId="454997C9" w:rsidR="005D057A" w:rsidRPr="005D057A" w:rsidRDefault="005D057A" w:rsidP="005D057A">
      <w:pPr>
        <w:pStyle w:val="paragraph"/>
        <w:numPr>
          <w:ilvl w:val="0"/>
          <w:numId w:val="31"/>
        </w:numPr>
        <w:spacing w:before="0" w:beforeAutospacing="0" w:after="0" w:afterAutospacing="0" w:line="276" w:lineRule="auto"/>
        <w:jc w:val="both"/>
        <w:textAlignment w:val="baseline"/>
        <w:rPr>
          <w:rFonts w:eastAsiaTheme="majorEastAsia"/>
          <w:lang w:val="en-US"/>
        </w:rPr>
      </w:pPr>
      <w:r w:rsidRPr="005501F4">
        <w:rPr>
          <w:b/>
          <w:bCs/>
        </w:rPr>
        <w:t xml:space="preserve">The Kenya Human Rights Commission </w:t>
      </w:r>
      <w:r w:rsidRPr="005D057A">
        <w:rPr>
          <w:b/>
          <w:bCs/>
        </w:rPr>
        <w:t>(KHRC)</w:t>
      </w:r>
      <w:r w:rsidRPr="005501F4">
        <w:t xml:space="preserve"> is a premier and flagship non-governmental organization in Africa with a mandate of enhancing human rights centred governance at all levels, a vision of a society of free people and a mission to root human dignity, freedoms and social justice in Kenya and beyond. KHRC works with more than thirty Human Rights Networks (HURINETs) and other grassroots community organizations based in more than thirty counties in Kenya; partners with more than thirty national level state- and non-state actors and coalitions; and more than fifty sub-regional, regional and international human rights organizations and networks. The </w:t>
      </w:r>
      <w:r w:rsidRPr="005501F4">
        <w:lastRenderedPageBreak/>
        <w:t xml:space="preserve">KHRC has been recognized for countless, remarkable accomplishments, including but not limited to sustaining tenacity, resilience and commitment to provide the requisite political and technical responses and leadership to key human rights, governance and transitional justice issues at all the levels in society, building rights movements through facilitation of community-based human rights networks and incubation and support of nascent human rights organizations at the national, regional and international level. KHRC’s work around abolition of the death penalty has entailed policy, advocacy and legal interventions that are aimed at complete abolition of the death penalty in Kenya. To this end, KHRC has been able to advocate for complete abolition of the death penalty at the national and transnational level. KHRC is a member </w:t>
      </w:r>
      <w:r w:rsidRPr="009905A8">
        <w:rPr>
          <w:rStyle w:val="normaltextrun"/>
          <w:rFonts w:eastAsiaTheme="majorEastAsia"/>
          <w:lang w:val="en-US"/>
        </w:rPr>
        <w:t>of the World Coalition Against the Death Penalty.</w:t>
      </w:r>
    </w:p>
    <w:p w14:paraId="2844BBD4" w14:textId="0843F1F9" w:rsidR="005E0CE3" w:rsidRPr="005E0CE3" w:rsidRDefault="005E0CE3" w:rsidP="005E0CE3">
      <w:pPr>
        <w:pStyle w:val="paragraph"/>
        <w:numPr>
          <w:ilvl w:val="0"/>
          <w:numId w:val="31"/>
        </w:numPr>
        <w:spacing w:before="0" w:beforeAutospacing="0" w:after="0" w:afterAutospacing="0" w:line="276" w:lineRule="auto"/>
        <w:jc w:val="both"/>
        <w:textAlignment w:val="baseline"/>
      </w:pPr>
      <w:r w:rsidRPr="009905A8">
        <w:rPr>
          <w:rStyle w:val="normaltextrun"/>
          <w:rFonts w:eastAsiaTheme="majorEastAsia"/>
          <w:b/>
          <w:bCs/>
          <w:lang w:val="en-US"/>
        </w:rPr>
        <w:t>The Kenyan Section of the International Commission of Jurists (ICJ Kenya)</w:t>
      </w:r>
      <w:r w:rsidRPr="009905A8">
        <w:rPr>
          <w:rStyle w:val="normaltextrun"/>
          <w:rFonts w:eastAsiaTheme="majorEastAsia"/>
          <w:lang w:val="en-US"/>
        </w:rPr>
        <w:t xml:space="preserve"> is a non-governmental membership organization consisting of a body of jurists drawn from members of the Bench and Bar in Kenya and the region. It is the only autonomous national section of the International Commission of Jurists based in Geneva. ICJ Kenya has been working in Kenya and around</w:t>
      </w:r>
      <w:r w:rsidRPr="009905A8">
        <w:rPr>
          <w:rStyle w:val="normaltextrun"/>
          <w:rFonts w:eastAsiaTheme="majorEastAsia"/>
          <w:color w:val="000000"/>
          <w:lang w:val="en-US"/>
        </w:rPr>
        <w:t xml:space="preserve"> Africa since 1959 and its mission is to promote human rights, justice and </w:t>
      </w:r>
      <w:r w:rsidRPr="009905A8">
        <w:rPr>
          <w:rFonts w:eastAsiaTheme="majorEastAsia"/>
          <w:color w:val="000000"/>
          <w:lang w:val="en-US"/>
        </w:rPr>
        <w:t>democracy in Kenya and around Africa through the application of legal expertise and international best practices. ICJ Kenya is a member of the National Council on the Administration of Justice Criminal Justice Committee which is spearheading criminal reforms in Kenya. Importantly, ICJ Kenya as a committee member engaged in the review of the National Sentencing Policy.</w:t>
      </w:r>
      <w:r w:rsidRPr="009905A8">
        <w:rPr>
          <w:rStyle w:val="FootnoteReference"/>
          <w:rFonts w:eastAsiaTheme="majorEastAsia"/>
          <w:color w:val="000000"/>
          <w:lang w:val="en-US"/>
        </w:rPr>
        <w:footnoteReference w:id="1"/>
      </w:r>
      <w:r w:rsidRPr="009905A8">
        <w:rPr>
          <w:rFonts w:eastAsiaTheme="majorEastAsia"/>
          <w:color w:val="000000"/>
          <w:lang w:val="en-US"/>
        </w:rPr>
        <w:t xml:space="preserve"> ICJ Kenya is also a member of the World Coalition Against Death Penalty.</w:t>
      </w:r>
      <w:r w:rsidRPr="009905A8">
        <w:rPr>
          <w:rFonts w:eastAsiaTheme="majorEastAsia"/>
          <w:color w:val="000000"/>
        </w:rPr>
        <w:t> </w:t>
      </w:r>
    </w:p>
    <w:p w14:paraId="756C087C" w14:textId="21893862" w:rsidR="002839DD" w:rsidRPr="009905A8" w:rsidRDefault="002839DD" w:rsidP="009905A8">
      <w:pPr>
        <w:pStyle w:val="paragraph"/>
        <w:numPr>
          <w:ilvl w:val="0"/>
          <w:numId w:val="31"/>
        </w:numPr>
        <w:spacing w:before="0" w:beforeAutospacing="0" w:after="0" w:afterAutospacing="0" w:line="276" w:lineRule="auto"/>
        <w:jc w:val="both"/>
        <w:textAlignment w:val="baseline"/>
        <w:rPr>
          <w:rStyle w:val="normaltextrun"/>
          <w:rFonts w:eastAsiaTheme="majorEastAsia"/>
          <w:lang w:val="en-US"/>
        </w:rPr>
      </w:pPr>
      <w:r w:rsidRPr="005501F4">
        <w:rPr>
          <w:b/>
          <w:bCs/>
        </w:rPr>
        <w:t>Reprieve</w:t>
      </w:r>
      <w:r w:rsidRPr="005501F4">
        <w:t xml:space="preserve"> is a charitable organization registered in the United Kingdom (No. 1114900) in special consultative status with the United Nations Economic and Social Council (</w:t>
      </w:r>
      <w:r w:rsidRPr="005501F4">
        <w:rPr>
          <w:b/>
          <w:bCs/>
        </w:rPr>
        <w:t>ECOSOC</w:t>
      </w:r>
      <w:r w:rsidRPr="005501F4">
        <w:t xml:space="preserve">) that provides free legal and investigative support to those who have been </w:t>
      </w:r>
      <w:r w:rsidRPr="009905A8">
        <w:rPr>
          <w:rStyle w:val="normaltextrun"/>
          <w:rFonts w:eastAsiaTheme="majorEastAsia"/>
          <w:lang w:val="en-US"/>
        </w:rPr>
        <w:t>subjected to state-sponsored human rights abuses. Reprieve clients belong to some of the most vulnerable populations in the world. Reprieve protects the rights of those facing the death penalty and delivers justice to victims of arbitrary detention, torture, and extrajudicial execution.  </w:t>
      </w:r>
    </w:p>
    <w:p w14:paraId="33E15668" w14:textId="55C31455" w:rsidR="00C7762F" w:rsidRPr="005501F4" w:rsidRDefault="006C4E0D" w:rsidP="005E0CE3">
      <w:pPr>
        <w:pStyle w:val="paragraph"/>
        <w:numPr>
          <w:ilvl w:val="0"/>
          <w:numId w:val="31"/>
        </w:numPr>
        <w:spacing w:before="0" w:beforeAutospacing="0" w:after="0" w:afterAutospacing="0" w:line="276" w:lineRule="auto"/>
        <w:jc w:val="both"/>
        <w:textAlignment w:val="baseline"/>
      </w:pPr>
      <w:r w:rsidRPr="005501F4">
        <w:rPr>
          <w:rStyle w:val="normaltextrun"/>
          <w:rFonts w:eastAsiaTheme="majorEastAsia"/>
          <w:b/>
          <w:bCs/>
          <w:lang w:val="en-US"/>
        </w:rPr>
        <w:t>The World Coalition Against the Death Penalty</w:t>
      </w:r>
      <w:r w:rsidRPr="009905A8">
        <w:rPr>
          <w:rStyle w:val="normaltextrun"/>
          <w:rFonts w:eastAsiaTheme="majorEastAsia"/>
          <w:b/>
          <w:bCs/>
          <w:lang w:val="en-US"/>
        </w:rPr>
        <w:t xml:space="preserve"> (WCADP)</w:t>
      </w:r>
      <w:r w:rsidRPr="005501F4">
        <w:rPr>
          <w:rStyle w:val="normaltextrun"/>
          <w:rFonts w:eastAsiaTheme="majorEastAsia"/>
          <w:lang w:val="en-US"/>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Pr="005501F4">
        <w:rPr>
          <w:rStyle w:val="eop"/>
          <w:rFonts w:eastAsiaTheme="majorEastAsia"/>
        </w:rPr>
        <w:t> </w:t>
      </w:r>
    </w:p>
    <w:p w14:paraId="2F4EF06D" w14:textId="69189F1B" w:rsidR="002839DD" w:rsidRPr="005501F4" w:rsidRDefault="002839DD" w:rsidP="005501F4">
      <w:pPr>
        <w:spacing w:line="276" w:lineRule="auto"/>
        <w:jc w:val="both"/>
        <w:rPr>
          <w:rFonts w:ascii="Times New Roman" w:hAnsi="Times New Roman" w:cs="Times New Roman"/>
        </w:rPr>
      </w:pPr>
      <w:r w:rsidRPr="005501F4">
        <w:rPr>
          <w:rFonts w:ascii="Times New Roman" w:hAnsi="Times New Roman" w:cs="Times New Roman"/>
          <w:b/>
          <w:bCs/>
          <w:u w:val="single"/>
        </w:rPr>
        <w:lastRenderedPageBreak/>
        <w:t>Methodology </w:t>
      </w:r>
    </w:p>
    <w:p w14:paraId="41B1654F" w14:textId="3FEF91D7" w:rsidR="001D7C91" w:rsidRPr="005501F4" w:rsidRDefault="002839DD" w:rsidP="005501F4">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This submission refers to Kenya’s Ninth Periodic Report</w:t>
      </w:r>
      <w:r w:rsidR="001D7C91" w:rsidRPr="005501F4">
        <w:rPr>
          <w:rFonts w:ascii="Times New Roman" w:hAnsi="Times New Roman" w:cs="Times New Roman"/>
        </w:rPr>
        <w:t xml:space="preserve"> (the </w:t>
      </w:r>
      <w:r w:rsidR="001D7C91" w:rsidRPr="005501F4">
        <w:rPr>
          <w:rFonts w:ascii="Times New Roman" w:hAnsi="Times New Roman" w:cs="Times New Roman"/>
          <w:b/>
          <w:bCs/>
        </w:rPr>
        <w:t>Report</w:t>
      </w:r>
      <w:r w:rsidR="001D7C91" w:rsidRPr="005501F4">
        <w:rPr>
          <w:rFonts w:ascii="Times New Roman" w:hAnsi="Times New Roman" w:cs="Times New Roman"/>
        </w:rPr>
        <w:t>)</w:t>
      </w:r>
      <w:r w:rsidRPr="005501F4">
        <w:rPr>
          <w:rFonts w:ascii="Times New Roman" w:hAnsi="Times New Roman" w:cs="Times New Roman"/>
        </w:rPr>
        <w:t xml:space="preserve"> to</w:t>
      </w:r>
      <w:r w:rsidR="001D7C91" w:rsidRPr="005501F4">
        <w:rPr>
          <w:rFonts w:ascii="Times New Roman" w:hAnsi="Times New Roman" w:cs="Times New Roman"/>
        </w:rPr>
        <w:t xml:space="preserve"> the</w:t>
      </w:r>
      <w:r w:rsidRPr="005501F4">
        <w:rPr>
          <w:rFonts w:ascii="Times New Roman" w:hAnsi="Times New Roman" w:cs="Times New Roman"/>
        </w:rPr>
        <w:t xml:space="preserve"> </w:t>
      </w:r>
      <w:r w:rsidR="001D7C91" w:rsidRPr="005501F4">
        <w:rPr>
          <w:rFonts w:ascii="Times New Roman" w:hAnsi="Times New Roman" w:cs="Times New Roman"/>
        </w:rPr>
        <w:t>Committee on the Elimination of Discrimination</w:t>
      </w:r>
      <w:r w:rsidR="001D7C91" w:rsidRPr="005501F4">
        <w:rPr>
          <w:rFonts w:ascii="Times New Roman" w:hAnsi="Times New Roman" w:cs="Times New Roman"/>
          <w:b/>
        </w:rPr>
        <w:t xml:space="preserve"> </w:t>
      </w:r>
      <w:r w:rsidR="001D7C91" w:rsidRPr="005501F4">
        <w:rPr>
          <w:rFonts w:ascii="Times New Roman" w:hAnsi="Times New Roman" w:cs="Times New Roman"/>
        </w:rPr>
        <w:t xml:space="preserve">against Women (the </w:t>
      </w:r>
      <w:r w:rsidR="001D7C91" w:rsidRPr="005501F4">
        <w:rPr>
          <w:rFonts w:ascii="Times New Roman" w:hAnsi="Times New Roman" w:cs="Times New Roman"/>
          <w:b/>
          <w:bCs/>
        </w:rPr>
        <w:t>Committee</w:t>
      </w:r>
      <w:r w:rsidR="001D7C91" w:rsidRPr="005501F4">
        <w:rPr>
          <w:rFonts w:ascii="Times New Roman" w:hAnsi="Times New Roman" w:cs="Times New Roman"/>
        </w:rPr>
        <w:t>) and</w:t>
      </w:r>
      <w:r w:rsidRPr="005501F4">
        <w:rPr>
          <w:rFonts w:ascii="Times New Roman" w:hAnsi="Times New Roman" w:cs="Times New Roman"/>
        </w:rPr>
        <w:t xml:space="preserve"> is based on information obtained by </w:t>
      </w:r>
      <w:r w:rsidR="00640490" w:rsidRPr="005501F4">
        <w:rPr>
          <w:rFonts w:ascii="Times New Roman" w:hAnsi="Times New Roman" w:cs="Times New Roman"/>
        </w:rPr>
        <w:t xml:space="preserve">The </w:t>
      </w:r>
      <w:r w:rsidR="00842968" w:rsidRPr="005501F4">
        <w:rPr>
          <w:rFonts w:ascii="Times New Roman" w:hAnsi="Times New Roman" w:cs="Times New Roman"/>
        </w:rPr>
        <w:t>Advocates,</w:t>
      </w:r>
      <w:r w:rsidR="00640490" w:rsidRPr="005501F4">
        <w:rPr>
          <w:rFonts w:ascii="Times New Roman" w:hAnsi="Times New Roman" w:cs="Times New Roman"/>
        </w:rPr>
        <w:t xml:space="preserve"> </w:t>
      </w:r>
      <w:r w:rsidR="005D057A">
        <w:rPr>
          <w:rFonts w:ascii="Times New Roman" w:hAnsi="Times New Roman" w:cs="Times New Roman"/>
        </w:rPr>
        <w:t xml:space="preserve">KHRC, </w:t>
      </w:r>
      <w:r w:rsidR="005E0CE3">
        <w:rPr>
          <w:rFonts w:ascii="Times New Roman" w:hAnsi="Times New Roman" w:cs="Times New Roman"/>
        </w:rPr>
        <w:t xml:space="preserve">ICJ Kenya, </w:t>
      </w:r>
      <w:r w:rsidR="00640490" w:rsidRPr="005501F4">
        <w:rPr>
          <w:rFonts w:ascii="Times New Roman" w:hAnsi="Times New Roman" w:cs="Times New Roman"/>
        </w:rPr>
        <w:t xml:space="preserve">WCADP and Reprieve </w:t>
      </w:r>
      <w:r w:rsidRPr="005501F4">
        <w:rPr>
          <w:rFonts w:ascii="Times New Roman" w:hAnsi="Times New Roman" w:cs="Times New Roman"/>
        </w:rPr>
        <w:t xml:space="preserve">in the course of their work. </w:t>
      </w:r>
      <w:r w:rsidR="001D7C91" w:rsidRPr="005501F4">
        <w:rPr>
          <w:rFonts w:ascii="Times New Roman" w:hAnsi="Times New Roman" w:cs="Times New Roman"/>
        </w:rPr>
        <w:t>This submission</w:t>
      </w:r>
      <w:r w:rsidRPr="005501F4">
        <w:rPr>
          <w:rFonts w:ascii="Times New Roman" w:hAnsi="Times New Roman" w:cs="Times New Roman"/>
        </w:rPr>
        <w:t xml:space="preserve"> highlights some of the main human rights concerns of these partner organisations in relation to </w:t>
      </w:r>
      <w:r w:rsidR="00CB17EE" w:rsidRPr="005501F4">
        <w:rPr>
          <w:rFonts w:ascii="Times New Roman" w:hAnsi="Times New Roman" w:cs="Times New Roman"/>
        </w:rPr>
        <w:t>Kenya’s implementation</w:t>
      </w:r>
      <w:r w:rsidRPr="005501F4">
        <w:rPr>
          <w:rFonts w:ascii="Times New Roman" w:hAnsi="Times New Roman" w:cs="Times New Roman"/>
        </w:rPr>
        <w:t xml:space="preserve"> of the UN Convention on the Elimination of All Forms of Discrimination against Women (</w:t>
      </w:r>
      <w:r w:rsidRPr="005501F4">
        <w:rPr>
          <w:rFonts w:ascii="Times New Roman" w:hAnsi="Times New Roman" w:cs="Times New Roman"/>
          <w:b/>
          <w:bCs/>
        </w:rPr>
        <w:t>CEDAW</w:t>
      </w:r>
      <w:r w:rsidRPr="005501F4">
        <w:rPr>
          <w:rFonts w:ascii="Times New Roman" w:hAnsi="Times New Roman" w:cs="Times New Roman"/>
        </w:rPr>
        <w:t>). In particular, it highlights the diminished rights and protections of women in conflict with the law and women deprived of their liberty</w:t>
      </w:r>
      <w:r w:rsidR="00CB17EE" w:rsidRPr="005501F4">
        <w:rPr>
          <w:rFonts w:ascii="Times New Roman" w:hAnsi="Times New Roman" w:cs="Times New Roman"/>
        </w:rPr>
        <w:t>, particularly in the context of crimes carrying the death penalty (</w:t>
      </w:r>
      <w:r w:rsidR="006A1009" w:rsidRPr="005501F4">
        <w:rPr>
          <w:rFonts w:ascii="Times New Roman" w:hAnsi="Times New Roman" w:cs="Times New Roman"/>
        </w:rPr>
        <w:t xml:space="preserve">also </w:t>
      </w:r>
      <w:r w:rsidR="00CB17EE" w:rsidRPr="005501F4">
        <w:rPr>
          <w:rFonts w:ascii="Times New Roman" w:hAnsi="Times New Roman" w:cs="Times New Roman"/>
        </w:rPr>
        <w:t>known as “capital cases”)</w:t>
      </w:r>
      <w:r w:rsidR="006A1B12" w:rsidRPr="005501F4">
        <w:rPr>
          <w:rFonts w:ascii="Times New Roman" w:hAnsi="Times New Roman" w:cs="Times New Roman"/>
        </w:rPr>
        <w:t xml:space="preserve">. </w:t>
      </w:r>
      <w:r w:rsidR="00125B4E" w:rsidRPr="005501F4">
        <w:rPr>
          <w:rFonts w:ascii="Times New Roman" w:hAnsi="Times New Roman" w:cs="Times New Roman"/>
        </w:rPr>
        <w:t xml:space="preserve">These issues are crucial to Kenya’s implementation of </w:t>
      </w:r>
      <w:r w:rsidR="00F62F6D" w:rsidRPr="005501F4">
        <w:rPr>
          <w:rFonts w:ascii="Times New Roman" w:hAnsi="Times New Roman" w:cs="Times New Roman"/>
        </w:rPr>
        <w:t xml:space="preserve">CEDAW (including in particular </w:t>
      </w:r>
      <w:r w:rsidR="00125B4E" w:rsidRPr="005501F4">
        <w:rPr>
          <w:rFonts w:ascii="Times New Roman" w:hAnsi="Times New Roman" w:cs="Times New Roman"/>
        </w:rPr>
        <w:t xml:space="preserve">Articles 2, </w:t>
      </w:r>
      <w:r w:rsidR="00F62F6D" w:rsidRPr="005501F4">
        <w:rPr>
          <w:rFonts w:ascii="Times New Roman" w:hAnsi="Times New Roman" w:cs="Times New Roman"/>
        </w:rPr>
        <w:t xml:space="preserve">3, </w:t>
      </w:r>
      <w:r w:rsidR="00125B4E" w:rsidRPr="005501F4">
        <w:rPr>
          <w:rFonts w:ascii="Times New Roman" w:hAnsi="Times New Roman" w:cs="Times New Roman"/>
        </w:rPr>
        <w:t>5 and 15</w:t>
      </w:r>
      <w:r w:rsidR="00F62F6D" w:rsidRPr="005501F4">
        <w:rPr>
          <w:rFonts w:ascii="Times New Roman" w:hAnsi="Times New Roman" w:cs="Times New Roman"/>
        </w:rPr>
        <w:t>)</w:t>
      </w:r>
      <w:r w:rsidR="00125B4E" w:rsidRPr="005501F4">
        <w:rPr>
          <w:rFonts w:ascii="Times New Roman" w:hAnsi="Times New Roman" w:cs="Times New Roman"/>
        </w:rPr>
        <w:t xml:space="preserve">, yet </w:t>
      </w:r>
      <w:r w:rsidR="001F222B" w:rsidRPr="005501F4">
        <w:rPr>
          <w:rFonts w:ascii="Times New Roman" w:hAnsi="Times New Roman" w:cs="Times New Roman"/>
        </w:rPr>
        <w:t>the</w:t>
      </w:r>
      <w:r w:rsidR="00125B4E" w:rsidRPr="005501F4">
        <w:rPr>
          <w:rFonts w:ascii="Times New Roman" w:hAnsi="Times New Roman" w:cs="Times New Roman"/>
        </w:rPr>
        <w:t xml:space="preserve"> </w:t>
      </w:r>
      <w:r w:rsidR="001D7C91" w:rsidRPr="005501F4">
        <w:rPr>
          <w:rFonts w:ascii="Times New Roman" w:hAnsi="Times New Roman" w:cs="Times New Roman"/>
        </w:rPr>
        <w:t>Report</w:t>
      </w:r>
      <w:r w:rsidR="006A1009" w:rsidRPr="005501F4">
        <w:rPr>
          <w:rFonts w:ascii="Times New Roman" w:hAnsi="Times New Roman" w:cs="Times New Roman"/>
        </w:rPr>
        <w:t xml:space="preserve"> fails to address many of these issues sufficiently</w:t>
      </w:r>
      <w:r w:rsidR="00F62F6D" w:rsidRPr="005501F4">
        <w:rPr>
          <w:rFonts w:ascii="Times New Roman" w:hAnsi="Times New Roman" w:cs="Times New Roman"/>
        </w:rPr>
        <w:t xml:space="preserve">, </w:t>
      </w:r>
      <w:r w:rsidR="006A1009" w:rsidRPr="005501F4">
        <w:rPr>
          <w:rFonts w:ascii="Times New Roman" w:hAnsi="Times New Roman" w:cs="Times New Roman"/>
        </w:rPr>
        <w:t>if at all.</w:t>
      </w:r>
    </w:p>
    <w:p w14:paraId="5054DDAF" w14:textId="31A694E8" w:rsidR="008659A6" w:rsidRDefault="001F222B" w:rsidP="005501F4">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This submission first sets out the additional issues to be considered during the consideration of Kenya’s Report, concluding with the partner organisations’ recommendations for the Committee’s List of Issues. </w:t>
      </w:r>
    </w:p>
    <w:p w14:paraId="39F22561" w14:textId="77777777" w:rsidR="001F222B" w:rsidRPr="005501F4" w:rsidRDefault="001F222B" w:rsidP="008659A6">
      <w:pPr>
        <w:pStyle w:val="ListParagraph"/>
        <w:spacing w:line="276" w:lineRule="auto"/>
        <w:jc w:val="both"/>
        <w:rPr>
          <w:rFonts w:ascii="Times New Roman" w:hAnsi="Times New Roman" w:cs="Times New Roman"/>
        </w:rPr>
      </w:pPr>
    </w:p>
    <w:p w14:paraId="738992BE" w14:textId="56546AA2" w:rsidR="005D03F3" w:rsidRPr="005501F4" w:rsidRDefault="00125B4E"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 xml:space="preserve">Women defendants in </w:t>
      </w:r>
      <w:r w:rsidR="006525A2" w:rsidRPr="005501F4">
        <w:rPr>
          <w:rFonts w:ascii="Times New Roman" w:hAnsi="Times New Roman" w:cs="Times New Roman"/>
          <w:b/>
          <w:bCs/>
          <w:u w:val="single"/>
        </w:rPr>
        <w:t>capital cases</w:t>
      </w:r>
      <w:r w:rsidRPr="005501F4">
        <w:rPr>
          <w:rFonts w:ascii="Times New Roman" w:hAnsi="Times New Roman" w:cs="Times New Roman"/>
          <w:b/>
          <w:bCs/>
          <w:u w:val="single"/>
        </w:rPr>
        <w:t xml:space="preserve">: key issues pertaining </w:t>
      </w:r>
      <w:r w:rsidR="00BD68B8" w:rsidRPr="005501F4">
        <w:rPr>
          <w:rFonts w:ascii="Times New Roman" w:hAnsi="Times New Roman" w:cs="Times New Roman"/>
          <w:b/>
          <w:bCs/>
          <w:u w:val="single"/>
        </w:rPr>
        <w:t xml:space="preserve">to Kenya’s CEDAW obligations </w:t>
      </w:r>
    </w:p>
    <w:p w14:paraId="75AADDA1" w14:textId="77777777" w:rsidR="00C7762F" w:rsidRPr="005501F4" w:rsidRDefault="00C7762F"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Background</w:t>
      </w:r>
    </w:p>
    <w:p w14:paraId="0B925295" w14:textId="3B1CA3FD" w:rsidR="004F4DFF" w:rsidRPr="005501F4" w:rsidRDefault="005665E6" w:rsidP="009905A8">
      <w:pPr>
        <w:pStyle w:val="ListParagraph"/>
        <w:numPr>
          <w:ilvl w:val="0"/>
          <w:numId w:val="31"/>
        </w:numPr>
        <w:spacing w:line="276" w:lineRule="auto"/>
        <w:jc w:val="both"/>
        <w:rPr>
          <w:rFonts w:ascii="Times New Roman" w:hAnsi="Times New Roman" w:cs="Times New Roman"/>
          <w:b/>
          <w:bCs/>
          <w:u w:val="single"/>
        </w:rPr>
      </w:pPr>
      <w:r w:rsidRPr="005501F4">
        <w:rPr>
          <w:rFonts w:ascii="Times New Roman" w:hAnsi="Times New Roman" w:cs="Times New Roman"/>
        </w:rPr>
        <w:t xml:space="preserve">Although Kenya has not carried out </w:t>
      </w:r>
      <w:r w:rsidR="006525A2" w:rsidRPr="005501F4">
        <w:rPr>
          <w:rFonts w:ascii="Times New Roman" w:hAnsi="Times New Roman" w:cs="Times New Roman"/>
        </w:rPr>
        <w:t xml:space="preserve">an </w:t>
      </w:r>
      <w:r w:rsidRPr="005501F4">
        <w:rPr>
          <w:rFonts w:ascii="Times New Roman" w:hAnsi="Times New Roman" w:cs="Times New Roman"/>
        </w:rPr>
        <w:t xml:space="preserve">execution since 1987, the death penalty still exists in its laws </w:t>
      </w:r>
      <w:r w:rsidR="00ED25C4" w:rsidRPr="005501F4">
        <w:rPr>
          <w:rFonts w:ascii="Times New Roman" w:hAnsi="Times New Roman" w:cs="Times New Roman"/>
        </w:rPr>
        <w:t xml:space="preserve">and is handed down </w:t>
      </w:r>
      <w:r w:rsidRPr="005501F4">
        <w:rPr>
          <w:rFonts w:ascii="Times New Roman" w:hAnsi="Times New Roman" w:cs="Times New Roman"/>
        </w:rPr>
        <w:t xml:space="preserve">for offenses </w:t>
      </w:r>
      <w:r w:rsidR="00640490" w:rsidRPr="005501F4">
        <w:rPr>
          <w:rFonts w:ascii="Times New Roman" w:hAnsi="Times New Roman" w:cs="Times New Roman"/>
        </w:rPr>
        <w:t xml:space="preserve">including </w:t>
      </w:r>
      <w:r w:rsidRPr="005501F4">
        <w:rPr>
          <w:rFonts w:ascii="Times New Roman" w:hAnsi="Times New Roman" w:cs="Times New Roman"/>
        </w:rPr>
        <w:t>murder, robbery with violence, treason, and mutiny.</w:t>
      </w:r>
      <w:r w:rsidR="004F4DFF" w:rsidRPr="005501F4">
        <w:rPr>
          <w:rFonts w:ascii="Times New Roman" w:hAnsi="Times New Roman" w:cs="Times New Roman"/>
        </w:rPr>
        <w:t xml:space="preserve"> </w:t>
      </w:r>
      <w:r w:rsidR="00ED25C4" w:rsidRPr="005501F4">
        <w:rPr>
          <w:rFonts w:ascii="Times New Roman" w:hAnsi="Times New Roman" w:cs="Times New Roman"/>
        </w:rPr>
        <w:t xml:space="preserve">In 2017, the </w:t>
      </w:r>
      <w:r w:rsidR="004F4DFF" w:rsidRPr="005501F4">
        <w:rPr>
          <w:rFonts w:ascii="Times New Roman" w:hAnsi="Times New Roman" w:cs="Times New Roman"/>
        </w:rPr>
        <w:t xml:space="preserve">Supreme Court of Kenya declared the mandatory nature of the death penalty to be unconstitutional </w:t>
      </w:r>
      <w:r w:rsidR="00783A52" w:rsidRPr="005501F4">
        <w:rPr>
          <w:rFonts w:ascii="Times New Roman" w:hAnsi="Times New Roman" w:cs="Times New Roman"/>
        </w:rPr>
        <w:t xml:space="preserve">(in a landmark </w:t>
      </w:r>
      <w:r w:rsidR="001D533D" w:rsidRPr="005501F4">
        <w:rPr>
          <w:rFonts w:ascii="Times New Roman" w:hAnsi="Times New Roman" w:cs="Times New Roman"/>
        </w:rPr>
        <w:t>decision</w:t>
      </w:r>
      <w:r w:rsidR="00783A52" w:rsidRPr="005501F4">
        <w:rPr>
          <w:rFonts w:ascii="Times New Roman" w:hAnsi="Times New Roman" w:cs="Times New Roman"/>
        </w:rPr>
        <w:t xml:space="preserve"> known as ‘Muruatetu 1’)</w:t>
      </w:r>
      <w:r w:rsidR="00ED25C4" w:rsidRPr="005501F4">
        <w:rPr>
          <w:rFonts w:ascii="Times New Roman" w:hAnsi="Times New Roman" w:cs="Times New Roman"/>
        </w:rPr>
        <w:t>.</w:t>
      </w:r>
      <w:r w:rsidR="004F4DFF" w:rsidRPr="005501F4">
        <w:rPr>
          <w:rStyle w:val="FootnoteReference"/>
          <w:rFonts w:ascii="Times New Roman" w:hAnsi="Times New Roman" w:cs="Times New Roman"/>
        </w:rPr>
        <w:footnoteReference w:id="2"/>
      </w:r>
      <w:r w:rsidR="00ED25C4" w:rsidRPr="005501F4">
        <w:rPr>
          <w:rFonts w:ascii="Times New Roman" w:hAnsi="Times New Roman" w:cs="Times New Roman"/>
        </w:rPr>
        <w:t xml:space="preserve"> However,</w:t>
      </w:r>
      <w:r w:rsidR="004F4DFF" w:rsidRPr="005501F4">
        <w:rPr>
          <w:rFonts w:ascii="Times New Roman" w:hAnsi="Times New Roman" w:cs="Times New Roman"/>
        </w:rPr>
        <w:t xml:space="preserve"> it has subsequently clarified that this ruling only applies to cases of murder</w:t>
      </w:r>
      <w:r w:rsidR="00783A52" w:rsidRPr="005501F4">
        <w:rPr>
          <w:rFonts w:ascii="Times New Roman" w:hAnsi="Times New Roman" w:cs="Times New Roman"/>
        </w:rPr>
        <w:t xml:space="preserve"> (in the</w:t>
      </w:r>
      <w:r w:rsidR="001D533D" w:rsidRPr="005501F4">
        <w:rPr>
          <w:rFonts w:ascii="Times New Roman" w:hAnsi="Times New Roman" w:cs="Times New Roman"/>
        </w:rPr>
        <w:t xml:space="preserve"> </w:t>
      </w:r>
      <w:r w:rsidR="00783A52" w:rsidRPr="005501F4">
        <w:rPr>
          <w:rFonts w:ascii="Times New Roman" w:hAnsi="Times New Roman" w:cs="Times New Roman"/>
        </w:rPr>
        <w:t>‘</w:t>
      </w:r>
      <w:r w:rsidR="00783A52" w:rsidRPr="009905A8">
        <w:rPr>
          <w:rFonts w:ascii="Times New Roman" w:hAnsi="Times New Roman" w:cs="Times New Roman"/>
        </w:rPr>
        <w:t>Muruatetu 2</w:t>
      </w:r>
      <w:r w:rsidR="00783A52" w:rsidRPr="005501F4">
        <w:rPr>
          <w:rFonts w:ascii="Times New Roman" w:hAnsi="Times New Roman" w:cs="Times New Roman"/>
        </w:rPr>
        <w:t>’</w:t>
      </w:r>
      <w:r w:rsidR="001D533D" w:rsidRPr="005501F4">
        <w:rPr>
          <w:rFonts w:ascii="Times New Roman" w:hAnsi="Times New Roman" w:cs="Times New Roman"/>
        </w:rPr>
        <w:t xml:space="preserve"> decision</w:t>
      </w:r>
      <w:r w:rsidR="00783A52" w:rsidRPr="005501F4">
        <w:rPr>
          <w:rFonts w:ascii="Times New Roman" w:hAnsi="Times New Roman" w:cs="Times New Roman"/>
        </w:rPr>
        <w:t>)</w:t>
      </w:r>
      <w:r w:rsidR="00ED25C4" w:rsidRPr="005501F4">
        <w:rPr>
          <w:rFonts w:ascii="Times New Roman" w:hAnsi="Times New Roman" w:cs="Times New Roman"/>
        </w:rPr>
        <w:t>, meaning that the mandatory death penalty is still applied in cases of robbery with violence</w:t>
      </w:r>
      <w:r w:rsidR="004F4DFF" w:rsidRPr="005501F4">
        <w:rPr>
          <w:rFonts w:ascii="Times New Roman" w:hAnsi="Times New Roman" w:cs="Times New Roman"/>
        </w:rPr>
        <w:t>.</w:t>
      </w:r>
      <w:r w:rsidR="004F4DFF" w:rsidRPr="005501F4">
        <w:rPr>
          <w:rStyle w:val="FootnoteReference"/>
          <w:rFonts w:ascii="Times New Roman" w:hAnsi="Times New Roman" w:cs="Times New Roman"/>
        </w:rPr>
        <w:footnoteReference w:id="3"/>
      </w:r>
      <w:r w:rsidR="004F4DFF" w:rsidRPr="005501F4">
        <w:rPr>
          <w:rFonts w:ascii="Times New Roman" w:hAnsi="Times New Roman" w:cs="Times New Roman"/>
        </w:rPr>
        <w:t xml:space="preserve">   </w:t>
      </w:r>
    </w:p>
    <w:p w14:paraId="7D7596C3" w14:textId="198C95B6" w:rsidR="00ED25C4" w:rsidRPr="009905A8" w:rsidRDefault="00E04F46" w:rsidP="009905A8">
      <w:pPr>
        <w:pStyle w:val="ListParagraph"/>
        <w:numPr>
          <w:ilvl w:val="0"/>
          <w:numId w:val="31"/>
        </w:numPr>
        <w:spacing w:line="276" w:lineRule="auto"/>
        <w:jc w:val="both"/>
        <w:rPr>
          <w:rFonts w:ascii="Times New Roman" w:hAnsi="Times New Roman" w:cs="Times New Roman"/>
          <w:b/>
          <w:bCs/>
          <w:u w:val="single"/>
        </w:rPr>
      </w:pPr>
      <w:r w:rsidRPr="005501F4">
        <w:rPr>
          <w:rFonts w:ascii="Times New Roman" w:hAnsi="Times New Roman" w:cs="Times New Roman"/>
        </w:rPr>
        <w:t xml:space="preserve">Over the past 15 years, more than 7,000 people have had their death sentences commuted </w:t>
      </w:r>
      <w:r w:rsidR="00ED25C4" w:rsidRPr="005501F4">
        <w:rPr>
          <w:rFonts w:ascii="Times New Roman" w:hAnsi="Times New Roman" w:cs="Times New Roman"/>
        </w:rPr>
        <w:t xml:space="preserve">by successive Presidents </w:t>
      </w:r>
      <w:r w:rsidRPr="005501F4">
        <w:rPr>
          <w:rFonts w:ascii="Times New Roman" w:hAnsi="Times New Roman" w:cs="Times New Roman"/>
        </w:rPr>
        <w:t>to life imprisonment.</w:t>
      </w:r>
      <w:r w:rsidR="00354848" w:rsidRPr="005501F4">
        <w:rPr>
          <w:rStyle w:val="FootnoteReference"/>
          <w:rFonts w:ascii="Times New Roman" w:hAnsi="Times New Roman" w:cs="Times New Roman"/>
        </w:rPr>
        <w:footnoteReference w:id="4"/>
      </w:r>
      <w:r w:rsidRPr="005501F4">
        <w:rPr>
          <w:rFonts w:ascii="Times New Roman" w:hAnsi="Times New Roman" w:cs="Times New Roman"/>
        </w:rPr>
        <w:t xml:space="preserve"> </w:t>
      </w:r>
      <w:r w:rsidR="00ED25C4" w:rsidRPr="005501F4">
        <w:rPr>
          <w:rFonts w:ascii="Times New Roman" w:hAnsi="Times New Roman" w:cs="Times New Roman"/>
        </w:rPr>
        <w:t>While such commutations are welcomed in principle, it is important to note that</w:t>
      </w:r>
      <w:r w:rsidR="00857C31" w:rsidRPr="005501F4">
        <w:rPr>
          <w:rFonts w:ascii="Times New Roman" w:hAnsi="Times New Roman" w:cs="Times New Roman"/>
        </w:rPr>
        <w:t xml:space="preserve"> </w:t>
      </w:r>
      <w:r w:rsidR="00ED25C4" w:rsidRPr="005501F4">
        <w:rPr>
          <w:rFonts w:ascii="Times New Roman" w:hAnsi="Times New Roman" w:cs="Times New Roman"/>
        </w:rPr>
        <w:t xml:space="preserve">‘life imprisonment’ </w:t>
      </w:r>
      <w:r w:rsidR="00857C31" w:rsidRPr="005501F4">
        <w:rPr>
          <w:rFonts w:ascii="Times New Roman" w:hAnsi="Times New Roman" w:cs="Times New Roman"/>
        </w:rPr>
        <w:t xml:space="preserve">means that an individual will spend the rest of their life in prison. </w:t>
      </w:r>
      <w:r w:rsidR="00ED25C4" w:rsidRPr="005501F4">
        <w:rPr>
          <w:rFonts w:ascii="Times New Roman" w:hAnsi="Times New Roman" w:cs="Times New Roman"/>
        </w:rPr>
        <w:t xml:space="preserve">This sentence has, in itself, been </w:t>
      </w:r>
      <w:r w:rsidR="00ED25C4" w:rsidRPr="005501F4">
        <w:rPr>
          <w:rFonts w:ascii="Times New Roman" w:hAnsi="Times New Roman" w:cs="Times New Roman"/>
        </w:rPr>
        <w:lastRenderedPageBreak/>
        <w:t>deemed unconstitutional by certain Kenyan courts</w:t>
      </w:r>
      <w:r w:rsidR="00857C31" w:rsidRPr="005501F4">
        <w:rPr>
          <w:rFonts w:ascii="Times New Roman" w:hAnsi="Times New Roman" w:cs="Times New Roman"/>
        </w:rPr>
        <w:t xml:space="preserve"> on the basis that it violates the right to human dignity</w:t>
      </w:r>
      <w:r w:rsidR="00ED25C4" w:rsidRPr="005501F4">
        <w:rPr>
          <w:rFonts w:ascii="Times New Roman" w:hAnsi="Times New Roman" w:cs="Times New Roman"/>
        </w:rPr>
        <w:t>.</w:t>
      </w:r>
      <w:r w:rsidR="00857C31" w:rsidRPr="005501F4">
        <w:rPr>
          <w:rStyle w:val="FootnoteReference"/>
          <w:rFonts w:ascii="Times New Roman" w:hAnsi="Times New Roman" w:cs="Times New Roman"/>
        </w:rPr>
        <w:footnoteReference w:id="5"/>
      </w:r>
      <w:r w:rsidR="00ED25C4" w:rsidRPr="005501F4">
        <w:rPr>
          <w:rFonts w:ascii="Times New Roman" w:hAnsi="Times New Roman" w:cs="Times New Roman"/>
        </w:rPr>
        <w:t xml:space="preserve"> </w:t>
      </w:r>
    </w:p>
    <w:p w14:paraId="55C3CE57" w14:textId="77777777" w:rsidR="007E6B99" w:rsidRDefault="00F062CC" w:rsidP="007E6B99">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As a result of the Muruatetu 1 and 2 decisions, all</w:t>
      </w:r>
      <w:r w:rsidR="00ED25C4" w:rsidRPr="005501F4">
        <w:rPr>
          <w:rFonts w:ascii="Times New Roman" w:hAnsi="Times New Roman" w:cs="Times New Roman"/>
        </w:rPr>
        <w:t xml:space="preserve"> individuals </w:t>
      </w:r>
      <w:r w:rsidRPr="005501F4">
        <w:rPr>
          <w:rFonts w:ascii="Times New Roman" w:hAnsi="Times New Roman" w:cs="Times New Roman"/>
        </w:rPr>
        <w:t xml:space="preserve">who were originally </w:t>
      </w:r>
      <w:r w:rsidR="00ED25C4" w:rsidRPr="005501F4">
        <w:rPr>
          <w:rFonts w:ascii="Times New Roman" w:hAnsi="Times New Roman" w:cs="Times New Roman"/>
        </w:rPr>
        <w:t xml:space="preserve">sentenced to the mandatory death penalty for murder </w:t>
      </w:r>
      <w:r w:rsidRPr="005501F4">
        <w:rPr>
          <w:rFonts w:ascii="Times New Roman" w:hAnsi="Times New Roman" w:cs="Times New Roman"/>
        </w:rPr>
        <w:t xml:space="preserve">are </w:t>
      </w:r>
      <w:r w:rsidR="00886BB8" w:rsidRPr="005501F4">
        <w:rPr>
          <w:rFonts w:ascii="Times New Roman" w:hAnsi="Times New Roman" w:cs="Times New Roman"/>
        </w:rPr>
        <w:t>eligible for</w:t>
      </w:r>
      <w:r w:rsidRPr="005501F4">
        <w:rPr>
          <w:rFonts w:ascii="Times New Roman" w:hAnsi="Times New Roman" w:cs="Times New Roman"/>
        </w:rPr>
        <w:t xml:space="preserve"> a resentencing hearing (regardless of whether that sentence has now been commuted to life imprisonment). Based on its work</w:t>
      </w:r>
      <w:r w:rsidR="00886BB8" w:rsidRPr="005501F4">
        <w:rPr>
          <w:rFonts w:ascii="Times New Roman" w:hAnsi="Times New Roman" w:cs="Times New Roman"/>
        </w:rPr>
        <w:t xml:space="preserve"> in Kenya</w:t>
      </w:r>
      <w:r w:rsidRPr="005501F4">
        <w:rPr>
          <w:rFonts w:ascii="Times New Roman" w:hAnsi="Times New Roman" w:cs="Times New Roman"/>
        </w:rPr>
        <w:t xml:space="preserve">, Reprieve estimates that </w:t>
      </w:r>
      <w:r w:rsidR="00886BB8" w:rsidRPr="005501F4">
        <w:rPr>
          <w:rFonts w:ascii="Times New Roman" w:hAnsi="Times New Roman" w:cs="Times New Roman"/>
        </w:rPr>
        <w:t>at least</w:t>
      </w:r>
      <w:r w:rsidRPr="005501F4">
        <w:rPr>
          <w:rFonts w:ascii="Times New Roman" w:hAnsi="Times New Roman" w:cs="Times New Roman"/>
        </w:rPr>
        <w:t xml:space="preserve"> 200 women</w:t>
      </w:r>
      <w:r w:rsidR="00886BB8" w:rsidRPr="005501F4">
        <w:rPr>
          <w:rFonts w:ascii="Times New Roman" w:hAnsi="Times New Roman" w:cs="Times New Roman"/>
        </w:rPr>
        <w:t xml:space="preserve"> are </w:t>
      </w:r>
      <w:r w:rsidR="005E0EC7" w:rsidRPr="005501F4">
        <w:rPr>
          <w:rFonts w:ascii="Times New Roman" w:hAnsi="Times New Roman" w:cs="Times New Roman"/>
        </w:rPr>
        <w:t xml:space="preserve">currently </w:t>
      </w:r>
      <w:r w:rsidR="00886BB8" w:rsidRPr="005501F4">
        <w:rPr>
          <w:rFonts w:ascii="Times New Roman" w:hAnsi="Times New Roman" w:cs="Times New Roman"/>
        </w:rPr>
        <w:t xml:space="preserve">incarcerated </w:t>
      </w:r>
      <w:r w:rsidR="005E0EC7" w:rsidRPr="005501F4">
        <w:rPr>
          <w:rFonts w:ascii="Times New Roman" w:hAnsi="Times New Roman" w:cs="Times New Roman"/>
        </w:rPr>
        <w:t>a</w:t>
      </w:r>
      <w:r w:rsidR="00886BB8" w:rsidRPr="005501F4">
        <w:rPr>
          <w:rFonts w:ascii="Times New Roman" w:hAnsi="Times New Roman" w:cs="Times New Roman"/>
        </w:rPr>
        <w:t>nd eligible for resentencing, having previously been sentenced to death</w:t>
      </w:r>
      <w:r w:rsidRPr="005501F4">
        <w:rPr>
          <w:rFonts w:ascii="Times New Roman" w:hAnsi="Times New Roman" w:cs="Times New Roman"/>
        </w:rPr>
        <w:t xml:space="preserve">. </w:t>
      </w:r>
    </w:p>
    <w:p w14:paraId="5D42604E" w14:textId="12DD7AFC" w:rsidR="00ED25C4" w:rsidRPr="007E6B99" w:rsidRDefault="00ED25C4" w:rsidP="007E6B99">
      <w:pPr>
        <w:pStyle w:val="ListParagraph"/>
        <w:numPr>
          <w:ilvl w:val="0"/>
          <w:numId w:val="31"/>
        </w:numPr>
        <w:spacing w:line="276" w:lineRule="auto"/>
        <w:jc w:val="both"/>
        <w:rPr>
          <w:rFonts w:ascii="Times New Roman" w:hAnsi="Times New Roman" w:cs="Times New Roman"/>
        </w:rPr>
      </w:pPr>
      <w:r w:rsidRPr="007E6B99">
        <w:rPr>
          <w:rFonts w:ascii="Times New Roman" w:hAnsi="Times New Roman" w:cs="Times New Roman"/>
        </w:rPr>
        <w:t xml:space="preserve">In the meantime, </w:t>
      </w:r>
      <w:r w:rsidR="005665E6" w:rsidRPr="007E6B99">
        <w:rPr>
          <w:rFonts w:ascii="Times New Roman" w:hAnsi="Times New Roman" w:cs="Times New Roman"/>
        </w:rPr>
        <w:t>Kenyan courts continue to sentence individuals to death.</w:t>
      </w:r>
      <w:r w:rsidR="00ED5C9F" w:rsidRPr="007E6B99">
        <w:rPr>
          <w:rFonts w:ascii="Times New Roman" w:hAnsi="Times New Roman" w:cs="Times New Roman"/>
        </w:rPr>
        <w:t xml:space="preserve"> </w:t>
      </w:r>
      <w:r w:rsidR="005F544B" w:rsidRPr="007E6B99">
        <w:rPr>
          <w:rFonts w:ascii="Times New Roman" w:hAnsi="Times New Roman" w:cs="Times New Roman"/>
        </w:rPr>
        <w:t xml:space="preserve">As at </w:t>
      </w:r>
      <w:r w:rsidR="00ED5C9F" w:rsidRPr="007E6B99">
        <w:rPr>
          <w:rFonts w:ascii="Times New Roman" w:hAnsi="Times New Roman" w:cs="Times New Roman"/>
        </w:rPr>
        <w:t>2022,</w:t>
      </w:r>
      <w:r w:rsidR="005F544B" w:rsidRPr="007E6B99">
        <w:rPr>
          <w:rFonts w:ascii="Times New Roman" w:hAnsi="Times New Roman" w:cs="Times New Roman"/>
        </w:rPr>
        <w:t xml:space="preserve"> there were</w:t>
      </w:r>
      <w:r w:rsidR="00ED5C9F" w:rsidRPr="007E6B99">
        <w:rPr>
          <w:rFonts w:ascii="Times New Roman" w:hAnsi="Times New Roman" w:cs="Times New Roman"/>
        </w:rPr>
        <w:t xml:space="preserve"> 656 people </w:t>
      </w:r>
      <w:r w:rsidR="005F544B" w:rsidRPr="007E6B99">
        <w:rPr>
          <w:rFonts w:ascii="Times New Roman" w:hAnsi="Times New Roman" w:cs="Times New Roman"/>
        </w:rPr>
        <w:t>on death row</w:t>
      </w:r>
      <w:r w:rsidR="00ED5C9F" w:rsidRPr="007E6B99">
        <w:rPr>
          <w:rFonts w:ascii="Times New Roman" w:hAnsi="Times New Roman" w:cs="Times New Roman"/>
        </w:rPr>
        <w:t xml:space="preserve"> (including 22 women).</w:t>
      </w:r>
      <w:r w:rsidR="00ED5C9F" w:rsidRPr="005501F4">
        <w:rPr>
          <w:rStyle w:val="FootnoteReference"/>
          <w:rFonts w:ascii="Times New Roman" w:hAnsi="Times New Roman" w:cs="Times New Roman"/>
        </w:rPr>
        <w:footnoteReference w:id="6"/>
      </w:r>
      <w:r w:rsidR="00ED5C9F" w:rsidRPr="007E6B99">
        <w:rPr>
          <w:rFonts w:ascii="Times New Roman" w:hAnsi="Times New Roman" w:cs="Times New Roman"/>
        </w:rPr>
        <w:t xml:space="preserve"> Many of these sentences were subsequently commuted to life imprisonment</w:t>
      </w:r>
      <w:r w:rsidR="005F544B" w:rsidRPr="007E6B99">
        <w:rPr>
          <w:rFonts w:ascii="Times New Roman" w:hAnsi="Times New Roman" w:cs="Times New Roman"/>
        </w:rPr>
        <w:t>, but</w:t>
      </w:r>
      <w:r w:rsidR="00ED5C9F" w:rsidRPr="007E6B99">
        <w:rPr>
          <w:rFonts w:ascii="Times New Roman" w:hAnsi="Times New Roman" w:cs="Times New Roman"/>
        </w:rPr>
        <w:t xml:space="preserve"> </w:t>
      </w:r>
      <w:r w:rsidR="005665E6" w:rsidRPr="007E6B99">
        <w:rPr>
          <w:rFonts w:ascii="Times New Roman" w:hAnsi="Times New Roman" w:cs="Times New Roman"/>
        </w:rPr>
        <w:t>2023</w:t>
      </w:r>
      <w:r w:rsidR="005E0EC7" w:rsidRPr="007E6B99">
        <w:rPr>
          <w:rFonts w:ascii="Times New Roman" w:hAnsi="Times New Roman" w:cs="Times New Roman"/>
        </w:rPr>
        <w:t xml:space="preserve"> then</w:t>
      </w:r>
      <w:r w:rsidR="005665E6" w:rsidRPr="007E6B99">
        <w:rPr>
          <w:rFonts w:ascii="Times New Roman" w:hAnsi="Times New Roman" w:cs="Times New Roman"/>
        </w:rPr>
        <w:t xml:space="preserve"> saw a rise in the number of death sentences handed down.</w:t>
      </w:r>
      <w:r w:rsidR="005665E6" w:rsidRPr="005501F4">
        <w:rPr>
          <w:rStyle w:val="FootnoteReference"/>
          <w:rFonts w:ascii="Times New Roman" w:hAnsi="Times New Roman" w:cs="Times New Roman"/>
        </w:rPr>
        <w:footnoteReference w:id="7"/>
      </w:r>
      <w:r w:rsidR="005665E6" w:rsidRPr="007E6B99">
        <w:rPr>
          <w:rFonts w:ascii="Times New Roman" w:hAnsi="Times New Roman" w:cs="Times New Roman"/>
        </w:rPr>
        <w:t xml:space="preserve"> As of February 2024, there were 101 people on death row including two women.</w:t>
      </w:r>
      <w:r w:rsidR="005665E6" w:rsidRPr="005501F4">
        <w:rPr>
          <w:rStyle w:val="FootnoteReference"/>
          <w:rFonts w:ascii="Times New Roman" w:hAnsi="Times New Roman" w:cs="Times New Roman"/>
        </w:rPr>
        <w:footnoteReference w:id="8"/>
      </w:r>
      <w:r w:rsidR="00645007" w:rsidRPr="007E6B99">
        <w:rPr>
          <w:rFonts w:ascii="Times New Roman" w:hAnsi="Times New Roman" w:cs="Times New Roman"/>
        </w:rPr>
        <w:t xml:space="preserve"> </w:t>
      </w:r>
      <w:r w:rsidR="00640490" w:rsidRPr="007E6B99">
        <w:rPr>
          <w:rFonts w:ascii="Times New Roman" w:hAnsi="Times New Roman" w:cs="Times New Roman"/>
        </w:rPr>
        <w:t xml:space="preserve"> </w:t>
      </w:r>
    </w:p>
    <w:p w14:paraId="341829BE" w14:textId="7F8BAE3A" w:rsidR="001531FE" w:rsidRPr="005501F4" w:rsidRDefault="004E40D8"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The importance of incorporating</w:t>
      </w:r>
      <w:r w:rsidR="00C741FD" w:rsidRPr="005501F4">
        <w:rPr>
          <w:rFonts w:ascii="Times New Roman" w:hAnsi="Times New Roman" w:cs="Times New Roman"/>
          <w:b/>
          <w:bCs/>
          <w:u w:val="single"/>
        </w:rPr>
        <w:t xml:space="preserve"> gender-sensitive approaches </w:t>
      </w:r>
      <w:r w:rsidR="004034EA" w:rsidRPr="005501F4">
        <w:rPr>
          <w:rFonts w:ascii="Times New Roman" w:hAnsi="Times New Roman" w:cs="Times New Roman"/>
          <w:b/>
          <w:bCs/>
          <w:u w:val="single"/>
        </w:rPr>
        <w:t xml:space="preserve">at all stages of </w:t>
      </w:r>
      <w:r w:rsidR="006F2F9F" w:rsidRPr="005501F4">
        <w:rPr>
          <w:rFonts w:ascii="Times New Roman" w:hAnsi="Times New Roman" w:cs="Times New Roman"/>
          <w:b/>
          <w:bCs/>
          <w:u w:val="single"/>
        </w:rPr>
        <w:t xml:space="preserve">capital cases </w:t>
      </w:r>
    </w:p>
    <w:p w14:paraId="16DFBD84" w14:textId="3B40E1E6" w:rsidR="00783396" w:rsidRPr="005501F4" w:rsidRDefault="00CC6B5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Article 15</w:t>
      </w:r>
      <w:r w:rsidR="00783396" w:rsidRPr="005501F4">
        <w:rPr>
          <w:rFonts w:ascii="Times New Roman" w:hAnsi="Times New Roman" w:cs="Times New Roman"/>
        </w:rPr>
        <w:t>(1)</w:t>
      </w:r>
      <w:r w:rsidRPr="005501F4">
        <w:rPr>
          <w:rFonts w:ascii="Times New Roman" w:hAnsi="Times New Roman" w:cs="Times New Roman"/>
        </w:rPr>
        <w:t xml:space="preserve"> of CEDAW provides that “States Parties shall accord to women equality with men before the law”. Article 2 of CEDAW </w:t>
      </w:r>
      <w:r w:rsidR="008F57FC" w:rsidRPr="005501F4">
        <w:rPr>
          <w:rFonts w:ascii="Times New Roman" w:hAnsi="Times New Roman" w:cs="Times New Roman"/>
        </w:rPr>
        <w:t xml:space="preserve">provides that </w:t>
      </w:r>
      <w:r w:rsidRPr="005501F4">
        <w:rPr>
          <w:rFonts w:ascii="Times New Roman" w:hAnsi="Times New Roman" w:cs="Times New Roman"/>
        </w:rPr>
        <w:t>States Parties</w:t>
      </w:r>
      <w:r w:rsidR="008F57FC" w:rsidRPr="005501F4">
        <w:rPr>
          <w:rFonts w:ascii="Times New Roman" w:hAnsi="Times New Roman" w:cs="Times New Roman"/>
        </w:rPr>
        <w:t xml:space="preserve"> </w:t>
      </w:r>
      <w:bookmarkStart w:id="0" w:name="_Hlk185589867"/>
      <w:r w:rsidR="00783396" w:rsidRPr="005501F4">
        <w:rPr>
          <w:rFonts w:ascii="Times New Roman" w:hAnsi="Times New Roman" w:cs="Times New Roman"/>
        </w:rPr>
        <w:t>“agree to pursue by all appropriate means and without delay a policy of eliminating discrimination against women”, including by ensuring “through competent national tribunals and other public institutions the effective protection of women against any act of discrimination” and taking all “appropriate measures, including legislation, to modify or abolish existing laws, regulations, customs and practices which constitute discrimination against women”.</w:t>
      </w:r>
    </w:p>
    <w:bookmarkEnd w:id="0"/>
    <w:p w14:paraId="72D897AC" w14:textId="2F5C3A7E" w:rsidR="004E40D8" w:rsidRPr="005501F4" w:rsidRDefault="00783396"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Although </w:t>
      </w:r>
      <w:r w:rsidR="006F2F9F" w:rsidRPr="005501F4">
        <w:rPr>
          <w:rFonts w:ascii="Times New Roman" w:hAnsi="Times New Roman" w:cs="Times New Roman"/>
        </w:rPr>
        <w:t xml:space="preserve">Kenya’s </w:t>
      </w:r>
      <w:r w:rsidR="006F2F9F" w:rsidRPr="005501F4">
        <w:rPr>
          <w:rFonts w:ascii="Times New Roman" w:hAnsi="Times New Roman" w:cs="Times New Roman"/>
          <w:lang w:val="en-US"/>
        </w:rPr>
        <w:t>Report</w:t>
      </w:r>
      <w:r w:rsidR="006F2F9F" w:rsidRPr="005501F4">
        <w:rPr>
          <w:rFonts w:ascii="Times New Roman" w:hAnsi="Times New Roman" w:cs="Times New Roman"/>
        </w:rPr>
        <w:t xml:space="preserve"> </w:t>
      </w:r>
      <w:r w:rsidR="0095456B" w:rsidRPr="005501F4">
        <w:rPr>
          <w:rFonts w:ascii="Times New Roman" w:hAnsi="Times New Roman" w:cs="Times New Roman"/>
        </w:rPr>
        <w:t>describes efforts to implement Article 15</w:t>
      </w:r>
      <w:r w:rsidR="0086287B" w:rsidRPr="005501F4">
        <w:rPr>
          <w:rFonts w:ascii="Times New Roman" w:hAnsi="Times New Roman" w:cs="Times New Roman"/>
        </w:rPr>
        <w:t xml:space="preserve"> of CEDAW</w:t>
      </w:r>
      <w:r w:rsidRPr="005501F4">
        <w:rPr>
          <w:rFonts w:ascii="Times New Roman" w:hAnsi="Times New Roman" w:cs="Times New Roman"/>
        </w:rPr>
        <w:t>,</w:t>
      </w:r>
      <w:r w:rsidR="00EE58E2" w:rsidRPr="005501F4">
        <w:rPr>
          <w:rStyle w:val="FootnoteReference"/>
          <w:rFonts w:ascii="Times New Roman" w:hAnsi="Times New Roman" w:cs="Times New Roman"/>
        </w:rPr>
        <w:footnoteReference w:id="9"/>
      </w:r>
      <w:r w:rsidRPr="005501F4">
        <w:rPr>
          <w:rFonts w:ascii="Times New Roman" w:hAnsi="Times New Roman" w:cs="Times New Roman"/>
        </w:rPr>
        <w:t xml:space="preserve"> these efforts do not go far enough. In particular, there is no recognition of the impact of </w:t>
      </w:r>
      <w:r w:rsidR="005D7526" w:rsidRPr="005501F4">
        <w:rPr>
          <w:rFonts w:ascii="Times New Roman" w:hAnsi="Times New Roman" w:cs="Times New Roman"/>
        </w:rPr>
        <w:t>gender-based violence (</w:t>
      </w:r>
      <w:r w:rsidRPr="009905A8">
        <w:rPr>
          <w:rFonts w:ascii="Times New Roman" w:hAnsi="Times New Roman" w:cs="Times New Roman"/>
          <w:b/>
          <w:bCs/>
        </w:rPr>
        <w:t>GBV</w:t>
      </w:r>
      <w:r w:rsidR="005D7526" w:rsidRPr="005501F4">
        <w:rPr>
          <w:rFonts w:ascii="Times New Roman" w:hAnsi="Times New Roman" w:cs="Times New Roman"/>
        </w:rPr>
        <w:t>)</w:t>
      </w:r>
      <w:r w:rsidRPr="005501F4">
        <w:rPr>
          <w:rFonts w:ascii="Times New Roman" w:hAnsi="Times New Roman" w:cs="Times New Roman"/>
        </w:rPr>
        <w:t xml:space="preserve"> on women defendants in capital cases, nor of the other forms of intersecting discrimination to which such defendants are often subjected</w:t>
      </w:r>
      <w:r w:rsidR="00EE58E2" w:rsidRPr="005501F4">
        <w:rPr>
          <w:rFonts w:ascii="Times New Roman" w:hAnsi="Times New Roman" w:cs="Times New Roman"/>
        </w:rPr>
        <w:t xml:space="preserve">. </w:t>
      </w:r>
    </w:p>
    <w:p w14:paraId="69D9BF97" w14:textId="444D757F" w:rsidR="004E40D8" w:rsidRPr="005501F4" w:rsidRDefault="00DD1E5F"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One </w:t>
      </w:r>
      <w:r w:rsidR="005E0CE3">
        <w:rPr>
          <w:rFonts w:ascii="Times New Roman" w:hAnsi="Times New Roman" w:cs="Times New Roman"/>
        </w:rPr>
        <w:t xml:space="preserve">ICJ Kenya </w:t>
      </w:r>
      <w:r w:rsidRPr="005501F4">
        <w:rPr>
          <w:rFonts w:ascii="Times New Roman" w:hAnsi="Times New Roman" w:cs="Times New Roman"/>
        </w:rPr>
        <w:t>expert</w:t>
      </w:r>
      <w:r w:rsidR="007E6B99">
        <w:rPr>
          <w:rFonts w:ascii="Times New Roman" w:hAnsi="Times New Roman" w:cs="Times New Roman"/>
        </w:rPr>
        <w:t xml:space="preserve"> </w:t>
      </w:r>
      <w:r w:rsidR="006F2F9F" w:rsidRPr="005501F4">
        <w:rPr>
          <w:rFonts w:ascii="Times New Roman" w:hAnsi="Times New Roman" w:cs="Times New Roman"/>
        </w:rPr>
        <w:t>reports</w:t>
      </w:r>
      <w:r w:rsidR="00155BC9" w:rsidRPr="005501F4">
        <w:rPr>
          <w:rFonts w:ascii="Times New Roman" w:hAnsi="Times New Roman" w:cs="Times New Roman"/>
        </w:rPr>
        <w:t xml:space="preserve"> that</w:t>
      </w:r>
      <w:r w:rsidR="006F2F9F" w:rsidRPr="005501F4">
        <w:rPr>
          <w:rFonts w:ascii="Times New Roman" w:hAnsi="Times New Roman" w:cs="Times New Roman"/>
        </w:rPr>
        <w:t xml:space="preserve"> “women accused of offences attracting the death sentence suffer intersectional discrimination from the point of arrest to conviction and </w:t>
      </w:r>
      <w:r w:rsidR="006F2F9F" w:rsidRPr="005501F4">
        <w:rPr>
          <w:rFonts w:ascii="Times New Roman" w:hAnsi="Times New Roman" w:cs="Times New Roman"/>
        </w:rPr>
        <w:lastRenderedPageBreak/>
        <w:t>sentencing.”</w:t>
      </w:r>
      <w:r w:rsidR="00025EDF" w:rsidRPr="005501F4">
        <w:rPr>
          <w:rStyle w:val="FootnoteReference"/>
          <w:rFonts w:ascii="Times New Roman" w:hAnsi="Times New Roman" w:cs="Times New Roman"/>
        </w:rPr>
        <w:footnoteReference w:id="10"/>
      </w:r>
      <w:r w:rsidR="006F2F9F" w:rsidRPr="005501F4">
        <w:rPr>
          <w:rFonts w:ascii="Times New Roman" w:hAnsi="Times New Roman" w:cs="Times New Roman"/>
        </w:rPr>
        <w:t xml:space="preserve"> </w:t>
      </w:r>
      <w:r w:rsidR="00040306" w:rsidRPr="005501F4">
        <w:rPr>
          <w:rFonts w:ascii="Times New Roman" w:hAnsi="Times New Roman" w:cs="Times New Roman"/>
        </w:rPr>
        <w:t>It further states that “[m]any women have been convicted and sentenced to death in unfair trials that have often failed to follow due process or consider mitigating factors such as long-term abuse.”</w:t>
      </w:r>
      <w:r w:rsidR="00040306" w:rsidRPr="005501F4">
        <w:rPr>
          <w:rStyle w:val="FootnoteReference"/>
          <w:rFonts w:ascii="Times New Roman" w:hAnsi="Times New Roman" w:cs="Times New Roman"/>
        </w:rPr>
        <w:footnoteReference w:id="11"/>
      </w:r>
      <w:r w:rsidR="00040306" w:rsidRPr="005501F4">
        <w:rPr>
          <w:rFonts w:ascii="Times New Roman" w:hAnsi="Times New Roman" w:cs="Times New Roman"/>
        </w:rPr>
        <w:t xml:space="preserve"> Through interviews with women on death row, ICJ Kenya discovered an instance in which one woman “did not get access to full legal representation throughout [her] trial.”</w:t>
      </w:r>
      <w:r w:rsidR="00040306" w:rsidRPr="005501F4">
        <w:rPr>
          <w:rStyle w:val="FootnoteReference"/>
          <w:rFonts w:ascii="Times New Roman" w:hAnsi="Times New Roman" w:cs="Times New Roman"/>
        </w:rPr>
        <w:footnoteReference w:id="12"/>
      </w:r>
      <w:r w:rsidR="00040306" w:rsidRPr="005501F4">
        <w:rPr>
          <w:rFonts w:ascii="Times New Roman" w:hAnsi="Times New Roman" w:cs="Times New Roman"/>
        </w:rPr>
        <w:t xml:space="preserve"> The absence of legal representation enhances the likelihood that women in conflict with the law will experience biased treatment.</w:t>
      </w:r>
      <w:r w:rsidR="00040306" w:rsidRPr="005501F4">
        <w:rPr>
          <w:rStyle w:val="FootnoteReference"/>
          <w:rFonts w:ascii="Times New Roman" w:hAnsi="Times New Roman" w:cs="Times New Roman"/>
        </w:rPr>
        <w:footnoteReference w:id="13"/>
      </w:r>
    </w:p>
    <w:p w14:paraId="7292F71D" w14:textId="6D29FB70" w:rsidR="00040306" w:rsidRPr="005501F4" w:rsidRDefault="00040306"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Intersectional discrimination may arise from many factors, including poverty, low levels of education and histories of trauma and GBV. For example, interviews with incarcerated women conducted by Reprieve in May 2021 </w:t>
      </w:r>
      <w:r w:rsidR="000361A9" w:rsidRPr="005501F4">
        <w:rPr>
          <w:rFonts w:ascii="Times New Roman" w:hAnsi="Times New Roman" w:cs="Times New Roman"/>
        </w:rPr>
        <w:t xml:space="preserve">indicated </w:t>
      </w:r>
      <w:r w:rsidRPr="005501F4">
        <w:rPr>
          <w:rFonts w:ascii="Times New Roman" w:hAnsi="Times New Roman" w:cs="Times New Roman"/>
        </w:rPr>
        <w:t xml:space="preserve">that women who had been sentenced to </w:t>
      </w:r>
      <w:r w:rsidR="00F26FA0" w:rsidRPr="005501F4">
        <w:rPr>
          <w:rFonts w:ascii="Times New Roman" w:hAnsi="Times New Roman" w:cs="Times New Roman"/>
        </w:rPr>
        <w:t xml:space="preserve">death or </w:t>
      </w:r>
      <w:r w:rsidRPr="005501F4">
        <w:rPr>
          <w:rFonts w:ascii="Times New Roman" w:hAnsi="Times New Roman" w:cs="Times New Roman"/>
        </w:rPr>
        <w:t xml:space="preserve">life imprisonment for capital offences </w:t>
      </w:r>
      <w:r w:rsidR="00031823" w:rsidRPr="005501F4">
        <w:rPr>
          <w:rFonts w:ascii="Times New Roman" w:hAnsi="Times New Roman" w:cs="Times New Roman"/>
        </w:rPr>
        <w:t>were</w:t>
      </w:r>
      <w:r w:rsidR="000361A9" w:rsidRPr="005501F4">
        <w:rPr>
          <w:rFonts w:ascii="Times New Roman" w:hAnsi="Times New Roman" w:cs="Times New Roman"/>
        </w:rPr>
        <w:t xml:space="preserve"> (i)</w:t>
      </w:r>
      <w:r w:rsidR="00031823" w:rsidRPr="005501F4">
        <w:rPr>
          <w:rFonts w:ascii="Times New Roman" w:hAnsi="Times New Roman" w:cs="Times New Roman"/>
        </w:rPr>
        <w:t xml:space="preserve"> likely to have children when they went into prison</w:t>
      </w:r>
      <w:r w:rsidR="009F64F0" w:rsidRPr="005501F4">
        <w:rPr>
          <w:rFonts w:ascii="Times New Roman" w:hAnsi="Times New Roman" w:cs="Times New Roman"/>
        </w:rPr>
        <w:t>,</w:t>
      </w:r>
      <w:r w:rsidR="000361A9" w:rsidRPr="005501F4">
        <w:rPr>
          <w:rFonts w:ascii="Times New Roman" w:hAnsi="Times New Roman" w:cs="Times New Roman"/>
        </w:rPr>
        <w:t xml:space="preserve"> and (ii) un</w:t>
      </w:r>
      <w:r w:rsidR="00031823" w:rsidRPr="005501F4">
        <w:rPr>
          <w:rFonts w:ascii="Times New Roman" w:hAnsi="Times New Roman" w:cs="Times New Roman"/>
        </w:rPr>
        <w:t xml:space="preserve">likely to have formal employment as their primary roles </w:t>
      </w:r>
      <w:r w:rsidR="000361A9" w:rsidRPr="005501F4">
        <w:rPr>
          <w:rFonts w:ascii="Times New Roman" w:hAnsi="Times New Roman" w:cs="Times New Roman"/>
        </w:rPr>
        <w:t>(</w:t>
      </w:r>
      <w:r w:rsidR="00031823" w:rsidRPr="005501F4">
        <w:rPr>
          <w:rFonts w:ascii="Times New Roman" w:hAnsi="Times New Roman" w:cs="Times New Roman"/>
        </w:rPr>
        <w:t>i.e., they were caregivers to dependent children and family members</w:t>
      </w:r>
      <w:r w:rsidR="000361A9" w:rsidRPr="005501F4">
        <w:rPr>
          <w:rFonts w:ascii="Times New Roman" w:hAnsi="Times New Roman" w:cs="Times New Roman"/>
        </w:rPr>
        <w:t xml:space="preserve">) or </w:t>
      </w:r>
      <w:r w:rsidR="00031823" w:rsidRPr="005501F4">
        <w:rPr>
          <w:rFonts w:ascii="Times New Roman" w:hAnsi="Times New Roman" w:cs="Times New Roman"/>
        </w:rPr>
        <w:t xml:space="preserve">to have had a formal education. </w:t>
      </w:r>
      <w:r w:rsidRPr="005501F4">
        <w:rPr>
          <w:rFonts w:ascii="Times New Roman" w:hAnsi="Times New Roman" w:cs="Times New Roman"/>
        </w:rPr>
        <w:t>Further, a separate study of 49 women in prison in Kenya, although not necessarily</w:t>
      </w:r>
      <w:r w:rsidR="00F26FA0" w:rsidRPr="005501F4">
        <w:rPr>
          <w:rFonts w:ascii="Times New Roman" w:hAnsi="Times New Roman" w:cs="Times New Roman"/>
        </w:rPr>
        <w:t xml:space="preserve"> </w:t>
      </w:r>
      <w:r w:rsidRPr="005501F4">
        <w:rPr>
          <w:rFonts w:ascii="Times New Roman" w:hAnsi="Times New Roman" w:cs="Times New Roman"/>
        </w:rPr>
        <w:t xml:space="preserve">on death row, found that </w:t>
      </w:r>
      <w:r w:rsidR="008843DE" w:rsidRPr="009905A8">
        <w:rPr>
          <w:rFonts w:ascii="Times New Roman" w:hAnsi="Times New Roman" w:cs="Times New Roman"/>
        </w:rPr>
        <w:t xml:space="preserve">“victimization, disordered familial and intimate relationships, low levels of education, poverty and motherhood (often in teen years)” </w:t>
      </w:r>
      <w:r w:rsidR="008843DE" w:rsidRPr="005501F4">
        <w:rPr>
          <w:rFonts w:ascii="Times New Roman" w:hAnsi="Times New Roman" w:cs="Times New Roman"/>
        </w:rPr>
        <w:t>were</w:t>
      </w:r>
      <w:r w:rsidR="008843DE" w:rsidRPr="009905A8">
        <w:rPr>
          <w:rFonts w:ascii="Times New Roman" w:hAnsi="Times New Roman" w:cs="Times New Roman"/>
        </w:rPr>
        <w:t xml:space="preserve"> common characteristic</w:t>
      </w:r>
      <w:r w:rsidR="008843DE" w:rsidRPr="005501F4">
        <w:rPr>
          <w:rFonts w:ascii="Times New Roman" w:hAnsi="Times New Roman" w:cs="Times New Roman"/>
        </w:rPr>
        <w:t>s</w:t>
      </w:r>
      <w:r w:rsidR="008843DE" w:rsidRPr="009905A8">
        <w:rPr>
          <w:rFonts w:ascii="Times New Roman" w:hAnsi="Times New Roman" w:cs="Times New Roman"/>
        </w:rPr>
        <w:t xml:space="preserve"> of many of the women’s lives before incarceration</w:t>
      </w:r>
      <w:r w:rsidRPr="005501F4">
        <w:rPr>
          <w:rFonts w:ascii="Times New Roman" w:hAnsi="Times New Roman" w:cs="Times New Roman"/>
        </w:rPr>
        <w:t>.</w:t>
      </w:r>
      <w:r w:rsidRPr="005501F4">
        <w:rPr>
          <w:rStyle w:val="FootnoteReference"/>
          <w:rFonts w:ascii="Times New Roman" w:hAnsi="Times New Roman" w:cs="Times New Roman"/>
        </w:rPr>
        <w:footnoteReference w:id="14"/>
      </w:r>
      <w:r w:rsidR="008843DE" w:rsidRPr="005501F4">
        <w:rPr>
          <w:rFonts w:ascii="Times New Roman" w:hAnsi="Times New Roman" w:cs="Times New Roman"/>
        </w:rPr>
        <w:t xml:space="preserve"> This reflects Reprieve’s experience of working with </w:t>
      </w:r>
      <w:r w:rsidR="00363F91" w:rsidRPr="005501F4">
        <w:rPr>
          <w:rFonts w:ascii="Times New Roman" w:hAnsi="Times New Roman" w:cs="Times New Roman"/>
        </w:rPr>
        <w:t>women</w:t>
      </w:r>
      <w:r w:rsidR="008843DE" w:rsidRPr="005501F4">
        <w:rPr>
          <w:rFonts w:ascii="Times New Roman" w:hAnsi="Times New Roman" w:cs="Times New Roman"/>
        </w:rPr>
        <w:t xml:space="preserve"> in Kenya who have been sentenced to death</w:t>
      </w:r>
      <w:r w:rsidR="00363F91" w:rsidRPr="005501F4">
        <w:rPr>
          <w:rFonts w:ascii="Times New Roman" w:hAnsi="Times New Roman" w:cs="Times New Roman"/>
        </w:rPr>
        <w:t>, many of whom have experienced these intersecting factors</w:t>
      </w:r>
      <w:r w:rsidR="008843DE" w:rsidRPr="005501F4">
        <w:rPr>
          <w:rFonts w:ascii="Times New Roman" w:hAnsi="Times New Roman" w:cs="Times New Roman"/>
        </w:rPr>
        <w:t xml:space="preserve">. </w:t>
      </w:r>
    </w:p>
    <w:p w14:paraId="103BCCE7" w14:textId="183FCC45" w:rsidR="005E337D" w:rsidRPr="005501F4" w:rsidRDefault="005E337D"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To combat this discrimination, formalized gender-sensitive approaches encompassing prosecution strategies, legal representation, mitigation and judicial decision-making are urgently needed. </w:t>
      </w:r>
    </w:p>
    <w:p w14:paraId="2A5D99B9" w14:textId="2AB42451" w:rsidR="0095456B" w:rsidRPr="005501F4" w:rsidRDefault="006525A2" w:rsidP="005501F4">
      <w:pPr>
        <w:pStyle w:val="ListNumber3"/>
        <w:numPr>
          <w:ilvl w:val="0"/>
          <w:numId w:val="0"/>
        </w:numPr>
        <w:spacing w:line="276" w:lineRule="auto"/>
        <w:jc w:val="both"/>
        <w:rPr>
          <w:rFonts w:ascii="Times New Roman" w:hAnsi="Times New Roman" w:cs="Times New Roman"/>
          <w:i/>
          <w:iCs/>
        </w:rPr>
      </w:pPr>
      <w:r w:rsidRPr="005501F4">
        <w:rPr>
          <w:rFonts w:ascii="Times New Roman" w:hAnsi="Times New Roman" w:cs="Times New Roman"/>
          <w:i/>
          <w:iCs/>
        </w:rPr>
        <w:t>Recognising the impacts of g</w:t>
      </w:r>
      <w:r w:rsidR="00155BC9" w:rsidRPr="005501F4">
        <w:rPr>
          <w:rFonts w:ascii="Times New Roman" w:hAnsi="Times New Roman" w:cs="Times New Roman"/>
          <w:i/>
          <w:iCs/>
        </w:rPr>
        <w:t>ender-based violence</w:t>
      </w:r>
      <w:r w:rsidR="00040306" w:rsidRPr="005501F4">
        <w:rPr>
          <w:rFonts w:ascii="Times New Roman" w:hAnsi="Times New Roman" w:cs="Times New Roman"/>
          <w:i/>
          <w:iCs/>
        </w:rPr>
        <w:t xml:space="preserve"> </w:t>
      </w:r>
    </w:p>
    <w:p w14:paraId="5B732A3C" w14:textId="0C815D0D" w:rsidR="00946218" w:rsidRPr="005501F4" w:rsidRDefault="0095456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One of the key issues is Kenya’s failure to address the impact of GBV on women defendants. </w:t>
      </w:r>
      <w:r w:rsidR="0029620D" w:rsidRPr="005501F4">
        <w:rPr>
          <w:rFonts w:ascii="Times New Roman" w:hAnsi="Times New Roman" w:cs="Times New Roman"/>
        </w:rPr>
        <w:t xml:space="preserve">Kenya’s Report </w:t>
      </w:r>
      <w:r w:rsidR="008D10CE" w:rsidRPr="005501F4">
        <w:rPr>
          <w:rFonts w:ascii="Times New Roman" w:hAnsi="Times New Roman" w:cs="Times New Roman"/>
        </w:rPr>
        <w:t>recognises the increasing prevalence of GBV</w:t>
      </w:r>
      <w:r w:rsidR="008D10CE" w:rsidRPr="005501F4">
        <w:rPr>
          <w:rStyle w:val="FootnoteReference"/>
          <w:rFonts w:ascii="Times New Roman" w:hAnsi="Times New Roman" w:cs="Times New Roman"/>
        </w:rPr>
        <w:footnoteReference w:id="15"/>
      </w:r>
      <w:r w:rsidR="008D10CE" w:rsidRPr="005501F4">
        <w:rPr>
          <w:rFonts w:ascii="Times New Roman" w:hAnsi="Times New Roman" w:cs="Times New Roman"/>
        </w:rPr>
        <w:t xml:space="preserve"> and </w:t>
      </w:r>
      <w:r w:rsidR="0029620D" w:rsidRPr="005501F4">
        <w:rPr>
          <w:rFonts w:ascii="Times New Roman" w:hAnsi="Times New Roman" w:cs="Times New Roman"/>
        </w:rPr>
        <w:t xml:space="preserve">details </w:t>
      </w:r>
      <w:r w:rsidR="0029620D" w:rsidRPr="005501F4">
        <w:rPr>
          <w:rFonts w:ascii="Times New Roman" w:hAnsi="Times New Roman" w:cs="Times New Roman"/>
        </w:rPr>
        <w:lastRenderedPageBreak/>
        <w:t>efforts being made to reduce instances of GBV in the country</w:t>
      </w:r>
      <w:r w:rsidR="00783396" w:rsidRPr="005501F4">
        <w:rPr>
          <w:rFonts w:ascii="Times New Roman" w:hAnsi="Times New Roman" w:cs="Times New Roman"/>
        </w:rPr>
        <w:t>, pursuant to a number of CEDAW Articles</w:t>
      </w:r>
      <w:r w:rsidR="008D10CE" w:rsidRPr="005501F4">
        <w:rPr>
          <w:rFonts w:ascii="Times New Roman" w:hAnsi="Times New Roman" w:cs="Times New Roman"/>
        </w:rPr>
        <w:t>.</w:t>
      </w:r>
      <w:r w:rsidR="0029620D" w:rsidRPr="005501F4">
        <w:rPr>
          <w:rFonts w:ascii="Times New Roman" w:hAnsi="Times New Roman" w:cs="Times New Roman"/>
        </w:rPr>
        <w:t xml:space="preserve"> </w:t>
      </w:r>
      <w:r w:rsidR="008D10CE" w:rsidRPr="005501F4">
        <w:rPr>
          <w:rFonts w:ascii="Times New Roman" w:hAnsi="Times New Roman" w:cs="Times New Roman"/>
        </w:rPr>
        <w:t xml:space="preserve">However, </w:t>
      </w:r>
      <w:r w:rsidR="00783396" w:rsidRPr="005501F4">
        <w:rPr>
          <w:rFonts w:ascii="Times New Roman" w:hAnsi="Times New Roman" w:cs="Times New Roman"/>
        </w:rPr>
        <w:t>the Report</w:t>
      </w:r>
      <w:r w:rsidR="0029620D" w:rsidRPr="005501F4">
        <w:rPr>
          <w:rFonts w:ascii="Times New Roman" w:hAnsi="Times New Roman" w:cs="Times New Roman"/>
        </w:rPr>
        <w:t xml:space="preserve"> makes no mention of the secondary impacts</w:t>
      </w:r>
      <w:r w:rsidR="008D10CE" w:rsidRPr="005501F4">
        <w:rPr>
          <w:rFonts w:ascii="Times New Roman" w:hAnsi="Times New Roman" w:cs="Times New Roman"/>
        </w:rPr>
        <w:t xml:space="preserve"> of GBV</w:t>
      </w:r>
      <w:r w:rsidR="0029620D" w:rsidRPr="005501F4">
        <w:rPr>
          <w:rFonts w:ascii="Times New Roman" w:hAnsi="Times New Roman" w:cs="Times New Roman"/>
        </w:rPr>
        <w:t xml:space="preserve"> </w:t>
      </w:r>
      <w:r w:rsidR="00035D89" w:rsidRPr="005501F4">
        <w:rPr>
          <w:rFonts w:ascii="Times New Roman" w:hAnsi="Times New Roman" w:cs="Times New Roman"/>
        </w:rPr>
        <w:t>on women defendants in the criminal justice system</w:t>
      </w:r>
      <w:r w:rsidRPr="005501F4">
        <w:rPr>
          <w:rFonts w:ascii="Times New Roman" w:hAnsi="Times New Roman" w:cs="Times New Roman"/>
        </w:rPr>
        <w:t>.</w:t>
      </w:r>
      <w:r w:rsidR="00155BC9" w:rsidRPr="005501F4">
        <w:rPr>
          <w:rFonts w:ascii="Times New Roman" w:hAnsi="Times New Roman" w:cs="Times New Roman"/>
        </w:rPr>
        <w:t xml:space="preserve"> </w:t>
      </w:r>
    </w:p>
    <w:p w14:paraId="52EF3A43" w14:textId="1FE025F1" w:rsidR="008A08EC" w:rsidRPr="005501F4" w:rsidRDefault="008A08EC"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 xml:space="preserve">Reports from a member of the </w:t>
      </w:r>
      <w:r w:rsidR="005E337D" w:rsidRPr="005501F4">
        <w:rPr>
          <w:rFonts w:ascii="Times New Roman" w:hAnsi="Times New Roman" w:cs="Times New Roman"/>
          <w:lang w:val="en-US"/>
        </w:rPr>
        <w:t>ICJ</w:t>
      </w:r>
      <w:r w:rsidRPr="005501F4">
        <w:rPr>
          <w:rFonts w:ascii="Times New Roman" w:hAnsi="Times New Roman" w:cs="Times New Roman"/>
          <w:lang w:val="en-US"/>
        </w:rPr>
        <w:t xml:space="preserve"> in 2022 found that most women on death row </w:t>
      </w:r>
      <w:r w:rsidR="00040306" w:rsidRPr="005501F4">
        <w:rPr>
          <w:rFonts w:ascii="Times New Roman" w:hAnsi="Times New Roman" w:cs="Times New Roman"/>
          <w:lang w:val="en-US"/>
        </w:rPr>
        <w:t>we</w:t>
      </w:r>
      <w:r w:rsidRPr="005501F4">
        <w:rPr>
          <w:rFonts w:ascii="Times New Roman" w:hAnsi="Times New Roman" w:cs="Times New Roman"/>
          <w:lang w:val="en-US"/>
        </w:rPr>
        <w:t>re “victims of domestic violence, facing intimate partner violence who tend to commit murder in the process of self-defense”.</w:t>
      </w:r>
      <w:r w:rsidRPr="005501F4">
        <w:rPr>
          <w:rFonts w:ascii="Times New Roman" w:hAnsi="Times New Roman" w:cs="Times New Roman"/>
          <w:vertAlign w:val="superscript"/>
          <w:lang w:val="en-US"/>
        </w:rPr>
        <w:footnoteReference w:id="16"/>
      </w:r>
      <w:r w:rsidRPr="005501F4">
        <w:rPr>
          <w:rFonts w:ascii="Times New Roman" w:hAnsi="Times New Roman" w:cs="Times New Roman"/>
          <w:lang w:val="en-US"/>
        </w:rPr>
        <w:t xml:space="preserve"> </w:t>
      </w:r>
      <w:r w:rsidRPr="005501F4">
        <w:rPr>
          <w:rFonts w:ascii="Times New Roman" w:hAnsi="Times New Roman" w:cs="Times New Roman"/>
        </w:rPr>
        <w:t xml:space="preserve">Research by ICJ Kenya suggests that GBV is normalised in Kenya - especially among the poorer population, </w:t>
      </w:r>
      <w:r w:rsidR="00F26FA0" w:rsidRPr="005501F4">
        <w:rPr>
          <w:rFonts w:ascii="Times New Roman" w:hAnsi="Times New Roman" w:cs="Times New Roman"/>
        </w:rPr>
        <w:t xml:space="preserve">which makes up the vast majority of the </w:t>
      </w:r>
      <w:r w:rsidRPr="005501F4">
        <w:rPr>
          <w:rFonts w:ascii="Times New Roman" w:hAnsi="Times New Roman" w:cs="Times New Roman"/>
        </w:rPr>
        <w:t>population of women</w:t>
      </w:r>
      <w:r w:rsidR="00F26FA0" w:rsidRPr="005501F4">
        <w:rPr>
          <w:rFonts w:ascii="Times New Roman" w:hAnsi="Times New Roman" w:cs="Times New Roman"/>
        </w:rPr>
        <w:t xml:space="preserve"> on death row</w:t>
      </w:r>
      <w:r w:rsidRPr="005501F4">
        <w:rPr>
          <w:rFonts w:ascii="Times New Roman" w:hAnsi="Times New Roman" w:cs="Times New Roman"/>
        </w:rPr>
        <w:t>.</w:t>
      </w:r>
      <w:r w:rsidRPr="005501F4">
        <w:rPr>
          <w:rFonts w:ascii="Times New Roman" w:hAnsi="Times New Roman" w:cs="Times New Roman"/>
          <w:vertAlign w:val="superscript"/>
        </w:rPr>
        <w:footnoteReference w:id="17"/>
      </w:r>
      <w:r w:rsidRPr="005501F4">
        <w:rPr>
          <w:rFonts w:ascii="Times New Roman" w:hAnsi="Times New Roman" w:cs="Times New Roman"/>
        </w:rPr>
        <w:t xml:space="preserve"> </w:t>
      </w:r>
      <w:r w:rsidR="009F64F0" w:rsidRPr="005501F4">
        <w:rPr>
          <w:rFonts w:ascii="Times New Roman" w:hAnsi="Times New Roman" w:cs="Times New Roman"/>
        </w:rPr>
        <w:t>When interviewing</w:t>
      </w:r>
      <w:r w:rsidR="000361A9" w:rsidRPr="005501F4">
        <w:rPr>
          <w:rFonts w:ascii="Times New Roman" w:hAnsi="Times New Roman" w:cs="Times New Roman"/>
        </w:rPr>
        <w:t xml:space="preserve"> women on death row</w:t>
      </w:r>
      <w:r w:rsidR="009F64F0" w:rsidRPr="005501F4">
        <w:rPr>
          <w:rFonts w:ascii="Times New Roman" w:hAnsi="Times New Roman" w:cs="Times New Roman"/>
        </w:rPr>
        <w:t>, Reprieve has found that, unless probed further, women</w:t>
      </w:r>
      <w:r w:rsidR="000361A9" w:rsidRPr="005501F4">
        <w:rPr>
          <w:rFonts w:ascii="Times New Roman" w:hAnsi="Times New Roman" w:cs="Times New Roman"/>
        </w:rPr>
        <w:t xml:space="preserve"> rarely report experiencing physical and psychological abuse from men in their lives. When asked why they did not raise </w:t>
      </w:r>
      <w:r w:rsidR="009F64F0" w:rsidRPr="005501F4">
        <w:rPr>
          <w:rFonts w:ascii="Times New Roman" w:hAnsi="Times New Roman" w:cs="Times New Roman"/>
        </w:rPr>
        <w:t>the abuse initially</w:t>
      </w:r>
      <w:r w:rsidR="000361A9" w:rsidRPr="005501F4">
        <w:rPr>
          <w:rFonts w:ascii="Times New Roman" w:hAnsi="Times New Roman" w:cs="Times New Roman"/>
        </w:rPr>
        <w:t xml:space="preserve">, </w:t>
      </w:r>
      <w:r w:rsidR="009F64F0" w:rsidRPr="005501F4">
        <w:rPr>
          <w:rFonts w:ascii="Times New Roman" w:hAnsi="Times New Roman" w:cs="Times New Roman"/>
        </w:rPr>
        <w:t>women</w:t>
      </w:r>
      <w:r w:rsidR="000361A9" w:rsidRPr="005501F4">
        <w:rPr>
          <w:rFonts w:ascii="Times New Roman" w:hAnsi="Times New Roman" w:cs="Times New Roman"/>
        </w:rPr>
        <w:t xml:space="preserve"> may note that it was not unusual, or was only occasional. Many women interviewed had not yet connected the experience of violence with their state of mind or subsequent actions</w:t>
      </w:r>
      <w:r w:rsidRPr="005501F4">
        <w:rPr>
          <w:rFonts w:ascii="Times New Roman" w:hAnsi="Times New Roman" w:cs="Times New Roman"/>
        </w:rPr>
        <w:t xml:space="preserve">. </w:t>
      </w:r>
    </w:p>
    <w:p w14:paraId="04B99A07" w14:textId="77777777" w:rsidR="00966384" w:rsidRPr="005501F4" w:rsidRDefault="008A08EC" w:rsidP="009905A8">
      <w:pPr>
        <w:pStyle w:val="ListParagraph"/>
        <w:numPr>
          <w:ilvl w:val="0"/>
          <w:numId w:val="31"/>
        </w:numPr>
        <w:spacing w:line="276" w:lineRule="auto"/>
        <w:jc w:val="both"/>
        <w:rPr>
          <w:rFonts w:ascii="Times New Roman" w:hAnsi="Times New Roman" w:cs="Times New Roman"/>
          <w:vertAlign w:val="superscript"/>
        </w:rPr>
      </w:pPr>
      <w:r w:rsidRPr="005501F4">
        <w:rPr>
          <w:rFonts w:ascii="Times New Roman" w:hAnsi="Times New Roman" w:cs="Times New Roman"/>
        </w:rPr>
        <w:t xml:space="preserve">The </w:t>
      </w:r>
      <w:r w:rsidRPr="005501F4">
        <w:rPr>
          <w:rFonts w:ascii="Times New Roman" w:hAnsi="Times New Roman" w:cs="Times New Roman"/>
          <w:lang w:val="en-US"/>
        </w:rPr>
        <w:t>normalization</w:t>
      </w:r>
      <w:r w:rsidRPr="005501F4">
        <w:rPr>
          <w:rFonts w:ascii="Times New Roman" w:hAnsi="Times New Roman" w:cs="Times New Roman"/>
        </w:rPr>
        <w:t xml:space="preserve"> of GBV in Kenya was also recognized by the High Court in </w:t>
      </w:r>
      <w:r w:rsidRPr="005501F4">
        <w:rPr>
          <w:rFonts w:ascii="Times New Roman" w:hAnsi="Times New Roman" w:cs="Times New Roman"/>
          <w:i/>
          <w:iCs/>
        </w:rPr>
        <w:t xml:space="preserve">State v Truphena Ndonga Aswani </w:t>
      </w:r>
      <w:r w:rsidRPr="005501F4">
        <w:rPr>
          <w:rFonts w:ascii="Times New Roman" w:hAnsi="Times New Roman" w:cs="Times New Roman"/>
        </w:rPr>
        <w:t>where the Court quoted the studies carried out in Kenya on GBV</w:t>
      </w:r>
      <w:r w:rsidR="006F2F9F" w:rsidRPr="005501F4">
        <w:rPr>
          <w:rFonts w:ascii="Times New Roman" w:hAnsi="Times New Roman" w:cs="Times New Roman"/>
        </w:rPr>
        <w:t xml:space="preserve">. It </w:t>
      </w:r>
      <w:r w:rsidRPr="005501F4">
        <w:rPr>
          <w:rFonts w:ascii="Times New Roman" w:hAnsi="Times New Roman" w:cs="Times New Roman"/>
        </w:rPr>
        <w:t>not</w:t>
      </w:r>
      <w:r w:rsidR="006F2F9F" w:rsidRPr="005501F4">
        <w:rPr>
          <w:rFonts w:ascii="Times New Roman" w:hAnsi="Times New Roman" w:cs="Times New Roman"/>
        </w:rPr>
        <w:t>ed</w:t>
      </w:r>
      <w:r w:rsidRPr="005501F4">
        <w:rPr>
          <w:rFonts w:ascii="Times New Roman" w:hAnsi="Times New Roman" w:cs="Times New Roman"/>
        </w:rPr>
        <w:t xml:space="preserve"> that “if your husband doesn’t beat you, he doesn’t love you. Further, there are a bunch of social, cultural, traditional norms and beliefs about [intimate partner violence] in Kenya that the violence within relationships is usually normalized, condoned and seen as [a] private matter. Within the Kenyan cultural context, [intimate partner violence] is a common, normal and timeless tradition. It is seen as unchangeable and a normal part of the local culture”.</w:t>
      </w:r>
      <w:r w:rsidRPr="005501F4">
        <w:rPr>
          <w:rFonts w:ascii="Times New Roman" w:hAnsi="Times New Roman" w:cs="Times New Roman"/>
          <w:vertAlign w:val="superscript"/>
        </w:rPr>
        <w:footnoteReference w:id="18"/>
      </w:r>
      <w:r w:rsidRPr="005501F4">
        <w:rPr>
          <w:rFonts w:ascii="Times New Roman" w:hAnsi="Times New Roman" w:cs="Times New Roman"/>
          <w:vertAlign w:val="superscript"/>
        </w:rPr>
        <w:t xml:space="preserve"> </w:t>
      </w:r>
    </w:p>
    <w:p w14:paraId="1AFEC615" w14:textId="2776D417" w:rsidR="009E70A3" w:rsidRPr="005501F4" w:rsidRDefault="009E70A3"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The CEDAW Committee has previously explained that GBV is a “social rather than an individual problem” that requires State action at national, regional, and local levels.</w:t>
      </w:r>
      <w:r w:rsidRPr="005501F4">
        <w:rPr>
          <w:rStyle w:val="FootnoteReference"/>
          <w:rFonts w:ascii="Times New Roman" w:hAnsi="Times New Roman" w:cs="Times New Roman"/>
        </w:rPr>
        <w:footnoteReference w:id="19"/>
      </w:r>
      <w:r w:rsidRPr="005501F4">
        <w:rPr>
          <w:rFonts w:ascii="Times New Roman" w:hAnsi="Times New Roman" w:cs="Times New Roman"/>
        </w:rPr>
        <w:t xml:space="preserve"> When the State fails to protect women from harm and incidences of gendered violence occur, the international human rights law principle of due diligence requires States to take affirmative measures to respond to the harm.</w:t>
      </w:r>
      <w:r w:rsidRPr="005501F4">
        <w:rPr>
          <w:rFonts w:ascii="Times New Roman" w:hAnsi="Times New Roman" w:cs="Times New Roman"/>
          <w:vertAlign w:val="superscript"/>
        </w:rPr>
        <w:footnoteReference w:id="20"/>
      </w:r>
      <w:r w:rsidRPr="005501F4">
        <w:rPr>
          <w:rFonts w:ascii="Times New Roman" w:hAnsi="Times New Roman" w:cs="Times New Roman"/>
        </w:rPr>
        <w:t xml:space="preserve"> This corrective action can take many forms, including training </w:t>
      </w:r>
      <w:r w:rsidR="00F61423" w:rsidRPr="005501F4">
        <w:rPr>
          <w:rFonts w:ascii="Times New Roman" w:hAnsi="Times New Roman" w:cs="Times New Roman"/>
        </w:rPr>
        <w:t xml:space="preserve">for legal professionals </w:t>
      </w:r>
      <w:r w:rsidRPr="005501F4">
        <w:rPr>
          <w:rFonts w:ascii="Times New Roman" w:hAnsi="Times New Roman" w:cs="Times New Roman"/>
        </w:rPr>
        <w:t>on recognising and addressing GBV and sentencing relief</w:t>
      </w:r>
      <w:r w:rsidR="00F61423" w:rsidRPr="005501F4">
        <w:rPr>
          <w:rFonts w:ascii="Times New Roman" w:hAnsi="Times New Roman" w:cs="Times New Roman"/>
        </w:rPr>
        <w:t xml:space="preserve"> in case</w:t>
      </w:r>
      <w:r w:rsidR="005D7526" w:rsidRPr="005501F4">
        <w:rPr>
          <w:rFonts w:ascii="Times New Roman" w:hAnsi="Times New Roman" w:cs="Times New Roman"/>
        </w:rPr>
        <w:t xml:space="preserve">s in which GBV has played a role in bringing </w:t>
      </w:r>
      <w:r w:rsidR="00F61423" w:rsidRPr="005501F4">
        <w:rPr>
          <w:rFonts w:ascii="Times New Roman" w:hAnsi="Times New Roman" w:cs="Times New Roman"/>
        </w:rPr>
        <w:t xml:space="preserve">women defendants </w:t>
      </w:r>
      <w:r w:rsidR="005D7526" w:rsidRPr="005501F4">
        <w:rPr>
          <w:rFonts w:ascii="Times New Roman" w:hAnsi="Times New Roman" w:cs="Times New Roman"/>
        </w:rPr>
        <w:t>into conflict with the law</w:t>
      </w:r>
      <w:r w:rsidRPr="005501F4">
        <w:rPr>
          <w:rFonts w:ascii="Times New Roman" w:hAnsi="Times New Roman" w:cs="Times New Roman"/>
        </w:rPr>
        <w:t>. </w:t>
      </w:r>
    </w:p>
    <w:p w14:paraId="21ADB023" w14:textId="04D0EF44" w:rsidR="008D10CE" w:rsidRPr="005501F4" w:rsidRDefault="00A67A08" w:rsidP="005501F4">
      <w:pPr>
        <w:spacing w:line="276" w:lineRule="auto"/>
        <w:jc w:val="both"/>
        <w:rPr>
          <w:rFonts w:ascii="Times New Roman" w:hAnsi="Times New Roman" w:cs="Times New Roman"/>
          <w:i/>
          <w:iCs/>
        </w:rPr>
      </w:pPr>
      <w:r w:rsidRPr="005501F4">
        <w:rPr>
          <w:rFonts w:ascii="Times New Roman" w:hAnsi="Times New Roman" w:cs="Times New Roman"/>
          <w:i/>
          <w:iCs/>
        </w:rPr>
        <w:lastRenderedPageBreak/>
        <w:t>L</w:t>
      </w:r>
      <w:r w:rsidR="008D10CE" w:rsidRPr="005501F4">
        <w:rPr>
          <w:rFonts w:ascii="Times New Roman" w:hAnsi="Times New Roman" w:cs="Times New Roman"/>
          <w:i/>
          <w:iCs/>
        </w:rPr>
        <w:t>egal representation</w:t>
      </w:r>
      <w:r w:rsidRPr="005501F4">
        <w:rPr>
          <w:rFonts w:ascii="Times New Roman" w:hAnsi="Times New Roman" w:cs="Times New Roman"/>
          <w:i/>
          <w:iCs/>
        </w:rPr>
        <w:t xml:space="preserve"> and training</w:t>
      </w:r>
    </w:p>
    <w:p w14:paraId="1AEB38B7" w14:textId="4FCAAD2C" w:rsidR="00E00EE3" w:rsidRPr="009905A8" w:rsidRDefault="008D10CE"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ICJ Kenya reports that defense lawyers often do not present GBV as a mitigating factor or fail to accurately present the severity of their clients’ experiences,</w:t>
      </w:r>
      <w:r w:rsidR="005E337D" w:rsidRPr="005501F4">
        <w:rPr>
          <w:rStyle w:val="FootnoteReference"/>
          <w:rFonts w:ascii="Times New Roman" w:hAnsi="Times New Roman" w:cs="Times New Roman"/>
          <w:lang w:val="en-US"/>
        </w:rPr>
        <w:footnoteReference w:id="21"/>
      </w:r>
      <w:r w:rsidR="005E337D" w:rsidRPr="005501F4">
        <w:rPr>
          <w:rFonts w:ascii="Times New Roman" w:hAnsi="Times New Roman" w:cs="Times New Roman"/>
          <w:lang w:val="en-US"/>
        </w:rPr>
        <w:t xml:space="preserve"> </w:t>
      </w:r>
      <w:r w:rsidRPr="005501F4">
        <w:rPr>
          <w:rFonts w:ascii="Times New Roman" w:hAnsi="Times New Roman" w:cs="Times New Roman"/>
          <w:lang w:val="en-US"/>
        </w:rPr>
        <w:t xml:space="preserve">even though the resulting trauma strongly </w:t>
      </w:r>
      <w:r w:rsidRPr="005501F4">
        <w:rPr>
          <w:rFonts w:ascii="Times New Roman" w:hAnsi="Times New Roman" w:cs="Times New Roman"/>
        </w:rPr>
        <w:t>influences</w:t>
      </w:r>
      <w:r w:rsidRPr="005501F4">
        <w:rPr>
          <w:rFonts w:ascii="Times New Roman" w:hAnsi="Times New Roman" w:cs="Times New Roman"/>
          <w:lang w:val="en-US"/>
        </w:rPr>
        <w:t xml:space="preserve"> the woman’s mental health, therefore potentially contributing to the circumstances of the offense committed.</w:t>
      </w:r>
      <w:r w:rsidR="005E337D" w:rsidRPr="005501F4">
        <w:rPr>
          <w:rStyle w:val="FootnoteReference"/>
          <w:rFonts w:ascii="Times New Roman" w:hAnsi="Times New Roman" w:cs="Times New Roman"/>
          <w:lang w:val="en-US"/>
        </w:rPr>
        <w:footnoteReference w:id="22"/>
      </w:r>
      <w:r w:rsidR="005E337D" w:rsidRPr="005501F4">
        <w:rPr>
          <w:rFonts w:ascii="Times New Roman" w:hAnsi="Times New Roman" w:cs="Times New Roman"/>
          <w:lang w:val="en-US"/>
        </w:rPr>
        <w:t xml:space="preserve"> </w:t>
      </w:r>
      <w:r w:rsidR="00DF59BB" w:rsidRPr="009905A8">
        <w:rPr>
          <w:rFonts w:ascii="Times New Roman" w:hAnsi="Times New Roman" w:cs="Times New Roman"/>
          <w:lang w:val="en-US"/>
        </w:rPr>
        <w:t>Indeed,</w:t>
      </w:r>
      <w:r w:rsidR="00AD57FD" w:rsidRPr="009905A8">
        <w:rPr>
          <w:rFonts w:ascii="Times New Roman" w:hAnsi="Times New Roman" w:cs="Times New Roman"/>
          <w:lang w:val="en-US"/>
        </w:rPr>
        <w:t xml:space="preserve"> Reprieve currently works with several women who have suffered significant verbal, physical and sexual abuse at the hands of former partners and other members of their community, with such abuse often extending over prolonged periods of time. In one particularly harrowing case, a client was subjected to nearly a decade of abuse by different men from her community, including being abducted and subjected to multiple rapes. </w:t>
      </w:r>
      <w:r w:rsidR="00A514EA" w:rsidRPr="005501F4">
        <w:rPr>
          <w:rFonts w:ascii="Times New Roman" w:hAnsi="Times New Roman" w:cs="Times New Roman"/>
          <w:lang w:val="en-US"/>
        </w:rPr>
        <w:t xml:space="preserve">In another, </w:t>
      </w:r>
      <w:r w:rsidR="00B618E5" w:rsidRPr="005501F4">
        <w:rPr>
          <w:rFonts w:ascii="Times New Roman" w:hAnsi="Times New Roman" w:cs="Times New Roman"/>
          <w:lang w:val="en-US"/>
        </w:rPr>
        <w:t xml:space="preserve">a client was subjected to verbal and financial abuse by her husband and appears to have voiced suicidal thoughts. </w:t>
      </w:r>
      <w:r w:rsidR="00AD57FD" w:rsidRPr="009905A8">
        <w:rPr>
          <w:rFonts w:ascii="Times New Roman" w:hAnsi="Times New Roman" w:cs="Times New Roman"/>
          <w:lang w:val="en-US"/>
        </w:rPr>
        <w:t xml:space="preserve">Each of these clients was convicted of murder and sentenced to death without any arguments being raised regarding the </w:t>
      </w:r>
      <w:r w:rsidR="00B618E5" w:rsidRPr="005501F4">
        <w:rPr>
          <w:rFonts w:ascii="Times New Roman" w:hAnsi="Times New Roman" w:cs="Times New Roman"/>
          <w:lang w:val="en-US"/>
        </w:rPr>
        <w:t xml:space="preserve">abuse </w:t>
      </w:r>
      <w:r w:rsidR="00AD57FD" w:rsidRPr="009905A8">
        <w:rPr>
          <w:rFonts w:ascii="Times New Roman" w:hAnsi="Times New Roman" w:cs="Times New Roman"/>
          <w:lang w:val="en-US"/>
        </w:rPr>
        <w:t>that they had suffered, the mental health consequences and the possible connection to the crimes that the</w:t>
      </w:r>
      <w:r w:rsidR="00F53C82" w:rsidRPr="009905A8">
        <w:rPr>
          <w:rFonts w:ascii="Times New Roman" w:hAnsi="Times New Roman" w:cs="Times New Roman"/>
          <w:lang w:val="en-US"/>
        </w:rPr>
        <w:t>se women</w:t>
      </w:r>
      <w:r w:rsidR="00AD57FD" w:rsidRPr="009905A8">
        <w:rPr>
          <w:rFonts w:ascii="Times New Roman" w:hAnsi="Times New Roman" w:cs="Times New Roman"/>
          <w:lang w:val="en-US"/>
        </w:rPr>
        <w:t xml:space="preserve"> are alleged to have committed.  </w:t>
      </w:r>
    </w:p>
    <w:p w14:paraId="619A1431" w14:textId="17926FD4" w:rsidR="008D10CE" w:rsidRPr="009905A8" w:rsidRDefault="008D10CE"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At the same time, prosecutors use gender stereotypes to discredit women’s accounts of the GBV they experienced.</w:t>
      </w:r>
      <w:r w:rsidR="005E337D" w:rsidRPr="005501F4">
        <w:rPr>
          <w:rStyle w:val="FootnoteReference"/>
          <w:rFonts w:ascii="Times New Roman" w:hAnsi="Times New Roman" w:cs="Times New Roman"/>
          <w:lang w:val="en-US"/>
        </w:rPr>
        <w:footnoteReference w:id="23"/>
      </w:r>
      <w:r w:rsidR="005E337D" w:rsidRPr="005501F4">
        <w:rPr>
          <w:rFonts w:ascii="Times New Roman" w:hAnsi="Times New Roman" w:cs="Times New Roman"/>
          <w:lang w:val="en-US"/>
        </w:rPr>
        <w:t xml:space="preserve"> T</w:t>
      </w:r>
      <w:r w:rsidR="0034057B" w:rsidRPr="005501F4">
        <w:rPr>
          <w:rFonts w:ascii="Times New Roman" w:hAnsi="Times New Roman" w:cs="Times New Roman"/>
          <w:lang w:val="en-US"/>
        </w:rPr>
        <w:t>he ICJ has noted, for example, that “prosecutors grasp every opportunity to rely on gendered tropes to discredit women’s accounts of violence such as childhood sexual abuse, rape, and intimate partner violence”.</w:t>
      </w:r>
      <w:r w:rsidR="0034057B" w:rsidRPr="005501F4">
        <w:rPr>
          <w:rFonts w:ascii="Times New Roman" w:hAnsi="Times New Roman" w:cs="Times New Roman"/>
          <w:vertAlign w:val="superscript"/>
          <w:lang w:val="en-US"/>
        </w:rPr>
        <w:footnoteReference w:id="24"/>
      </w:r>
    </w:p>
    <w:p w14:paraId="147EAD01" w14:textId="05852339" w:rsidR="00DD75C8" w:rsidRPr="009905A8" w:rsidRDefault="00DD75C8"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In addition to the trauma of GBV, many of Reprieve’s clients were experiencing </w:t>
      </w:r>
      <w:r w:rsidR="0071099E" w:rsidRPr="005501F4">
        <w:rPr>
          <w:rFonts w:ascii="Times New Roman" w:hAnsi="Times New Roman" w:cs="Times New Roman"/>
        </w:rPr>
        <w:t xml:space="preserve">severe </w:t>
      </w:r>
      <w:r w:rsidRPr="005501F4">
        <w:rPr>
          <w:rFonts w:ascii="Times New Roman" w:hAnsi="Times New Roman" w:cs="Times New Roman"/>
        </w:rPr>
        <w:t>poverty at the time of the alleged crimes</w:t>
      </w:r>
      <w:r w:rsidR="00DF59BB" w:rsidRPr="005501F4">
        <w:rPr>
          <w:rFonts w:ascii="Times New Roman" w:hAnsi="Times New Roman" w:cs="Times New Roman"/>
        </w:rPr>
        <w:t xml:space="preserve">. </w:t>
      </w:r>
      <w:r w:rsidRPr="005501F4">
        <w:rPr>
          <w:rFonts w:ascii="Times New Roman" w:hAnsi="Times New Roman" w:cs="Times New Roman"/>
        </w:rPr>
        <w:t>ICJ Kenya emphasizes that “[t]he establishment of public defender programs is essential to guarantee access to legal representation for indigent defendants, especially women who find themselves in dire circumstances facing the death penalty.”</w:t>
      </w:r>
      <w:r w:rsidRPr="005501F4">
        <w:rPr>
          <w:rStyle w:val="FootnoteReference"/>
          <w:rFonts w:ascii="Times New Roman" w:hAnsi="Times New Roman" w:cs="Times New Roman"/>
        </w:rPr>
        <w:footnoteReference w:id="25"/>
      </w:r>
      <w:r w:rsidRPr="005501F4">
        <w:rPr>
          <w:rFonts w:ascii="Times New Roman" w:hAnsi="Times New Roman" w:cs="Times New Roman"/>
        </w:rPr>
        <w:t xml:space="preserve"> ICJ Kenya recognizes the importance of “[g]ender-sensitive legal training [to] challeng[e] stereotypes and biases within the legal system,” so as to “actively work[] to eliminate victim-blaming and ensure that women are treated with the respect and dignity they deserve” and to “empower[] legal </w:t>
      </w:r>
      <w:r w:rsidRPr="005501F4">
        <w:rPr>
          <w:rFonts w:ascii="Times New Roman" w:hAnsi="Times New Roman" w:cs="Times New Roman"/>
        </w:rPr>
        <w:lastRenderedPageBreak/>
        <w:t>professionals to navigate these complex cases with empathy and fairness, recognizing these women’s unique challenges.”</w:t>
      </w:r>
      <w:r w:rsidRPr="005501F4">
        <w:rPr>
          <w:rStyle w:val="FootnoteReference"/>
          <w:rFonts w:ascii="Times New Roman" w:hAnsi="Times New Roman" w:cs="Times New Roman"/>
        </w:rPr>
        <w:footnoteReference w:id="26"/>
      </w:r>
      <w:r w:rsidRPr="005501F4">
        <w:rPr>
          <w:rFonts w:ascii="Times New Roman" w:hAnsi="Times New Roman" w:cs="Times New Roman"/>
        </w:rPr>
        <w:t> </w:t>
      </w:r>
      <w:r w:rsidR="0006595B" w:rsidRPr="005501F4">
        <w:rPr>
          <w:rFonts w:ascii="Times New Roman" w:hAnsi="Times New Roman" w:cs="Times New Roman"/>
        </w:rPr>
        <w:t xml:space="preserve"> </w:t>
      </w:r>
    </w:p>
    <w:p w14:paraId="21BCAA9F" w14:textId="24F5E161" w:rsidR="008D10CE" w:rsidRPr="005501F4" w:rsidRDefault="008D10CE" w:rsidP="005501F4">
      <w:pPr>
        <w:spacing w:line="276" w:lineRule="auto"/>
        <w:jc w:val="both"/>
        <w:rPr>
          <w:rFonts w:ascii="Times New Roman" w:hAnsi="Times New Roman" w:cs="Times New Roman"/>
          <w:i/>
          <w:iCs/>
        </w:rPr>
      </w:pPr>
      <w:r w:rsidRPr="005501F4">
        <w:rPr>
          <w:rFonts w:ascii="Times New Roman" w:hAnsi="Times New Roman" w:cs="Times New Roman"/>
          <w:i/>
          <w:iCs/>
        </w:rPr>
        <w:t xml:space="preserve">Mitigation and sentencing </w:t>
      </w:r>
    </w:p>
    <w:p w14:paraId="4D7115E2" w14:textId="24AB635E" w:rsidR="003F3555" w:rsidRPr="005501F4" w:rsidRDefault="003F3555"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Experiencing GBV has vast mental health consequences for abuse survivors that </w:t>
      </w:r>
      <w:r w:rsidRPr="005501F4">
        <w:rPr>
          <w:rFonts w:ascii="Times New Roman" w:hAnsi="Times New Roman" w:cs="Times New Roman"/>
          <w:lang w:val="en-US"/>
        </w:rPr>
        <w:t>affect</w:t>
      </w:r>
      <w:r w:rsidRPr="005501F4">
        <w:rPr>
          <w:rFonts w:ascii="Times New Roman" w:hAnsi="Times New Roman" w:cs="Times New Roman"/>
        </w:rPr>
        <w:t xml:space="preserve"> their decision-making and reasoning capacities. Women’s experiences of GBV and the attendant mental health consequences are </w:t>
      </w:r>
      <w:r w:rsidR="00F61423" w:rsidRPr="005501F4">
        <w:rPr>
          <w:rFonts w:ascii="Times New Roman" w:hAnsi="Times New Roman" w:cs="Times New Roman"/>
        </w:rPr>
        <w:t xml:space="preserve">therefore </w:t>
      </w:r>
      <w:r w:rsidRPr="005501F4">
        <w:rPr>
          <w:rFonts w:ascii="Times New Roman" w:hAnsi="Times New Roman" w:cs="Times New Roman"/>
        </w:rPr>
        <w:t>highly relevant to sentencing</w:t>
      </w:r>
      <w:r w:rsidR="00F61423" w:rsidRPr="005501F4">
        <w:rPr>
          <w:rFonts w:ascii="Times New Roman" w:hAnsi="Times New Roman" w:cs="Times New Roman"/>
        </w:rPr>
        <w:t xml:space="preserve"> in capital and other criminal justice cases</w:t>
      </w:r>
      <w:r w:rsidRPr="005501F4">
        <w:rPr>
          <w:rFonts w:ascii="Times New Roman" w:hAnsi="Times New Roman" w:cs="Times New Roman"/>
        </w:rPr>
        <w:t>. </w:t>
      </w:r>
    </w:p>
    <w:p w14:paraId="48E0FA25" w14:textId="290842D3" w:rsidR="008D10CE" w:rsidRPr="005501F4" w:rsidRDefault="003F3555" w:rsidP="009905A8">
      <w:pPr>
        <w:pStyle w:val="ListParagraph"/>
        <w:numPr>
          <w:ilvl w:val="0"/>
          <w:numId w:val="31"/>
        </w:numPr>
        <w:spacing w:line="276" w:lineRule="auto"/>
        <w:jc w:val="both"/>
        <w:rPr>
          <w:rFonts w:ascii="Times New Roman" w:hAnsi="Times New Roman" w:cs="Times New Roman"/>
          <w:lang w:val="en-US"/>
        </w:rPr>
      </w:pPr>
      <w:r w:rsidRPr="005501F4">
        <w:rPr>
          <w:rFonts w:ascii="Times New Roman" w:hAnsi="Times New Roman" w:cs="Times New Roman"/>
          <w:lang w:val="en-US"/>
        </w:rPr>
        <w:t>However,</w:t>
      </w:r>
      <w:r w:rsidR="008D10CE" w:rsidRPr="005501F4">
        <w:rPr>
          <w:rFonts w:ascii="Times New Roman" w:hAnsi="Times New Roman" w:cs="Times New Roman"/>
          <w:lang w:val="en-US"/>
        </w:rPr>
        <w:t xml:space="preserve"> in 2024 ICJ Kenya published a report recognizing that “[a] substantial portion of women currently on death row in Kenya have been convicted within the context of [GBV]. Despite the gathering and </w:t>
      </w:r>
      <w:r w:rsidR="008D10CE" w:rsidRPr="005501F4">
        <w:rPr>
          <w:rFonts w:ascii="Times New Roman" w:hAnsi="Times New Roman" w:cs="Times New Roman"/>
        </w:rPr>
        <w:t>presenting</w:t>
      </w:r>
      <w:r w:rsidR="008D10CE" w:rsidRPr="005501F4">
        <w:rPr>
          <w:rFonts w:ascii="Times New Roman" w:hAnsi="Times New Roman" w:cs="Times New Roman"/>
          <w:lang w:val="en-US"/>
        </w:rPr>
        <w:t xml:space="preserve"> evidence in Court during trial, courts often do not consistently consider these factors as mitigating circumstances during sentencing.”</w:t>
      </w:r>
      <w:r w:rsidR="005E337D" w:rsidRPr="005501F4">
        <w:rPr>
          <w:rStyle w:val="FootnoteReference"/>
          <w:rFonts w:ascii="Times New Roman" w:hAnsi="Times New Roman" w:cs="Times New Roman"/>
          <w:lang w:val="en-US"/>
        </w:rPr>
        <w:footnoteReference w:id="27"/>
      </w:r>
    </w:p>
    <w:p w14:paraId="00E3012A" w14:textId="1560FBB5" w:rsidR="0087693B" w:rsidRPr="005501F4" w:rsidRDefault="008D10CE" w:rsidP="009905A8">
      <w:pPr>
        <w:pStyle w:val="ListParagraph"/>
        <w:numPr>
          <w:ilvl w:val="0"/>
          <w:numId w:val="31"/>
        </w:numPr>
        <w:spacing w:line="276" w:lineRule="auto"/>
        <w:jc w:val="both"/>
        <w:rPr>
          <w:rFonts w:ascii="Times New Roman" w:hAnsi="Times New Roman" w:cs="Times New Roman"/>
          <w:lang w:val="en-US"/>
        </w:rPr>
      </w:pPr>
      <w:r w:rsidRPr="005501F4">
        <w:rPr>
          <w:rFonts w:ascii="Times New Roman" w:hAnsi="Times New Roman" w:cs="Times New Roman"/>
          <w:lang w:val="en-US"/>
        </w:rPr>
        <w:t>Similarly,</w:t>
      </w:r>
      <w:r w:rsidR="003F3555" w:rsidRPr="005501F4">
        <w:rPr>
          <w:rFonts w:ascii="Times New Roman" w:hAnsi="Times New Roman" w:cs="Times New Roman"/>
          <w:lang w:val="en-US"/>
        </w:rPr>
        <w:t xml:space="preserve"> a</w:t>
      </w:r>
      <w:r w:rsidR="00946218" w:rsidRPr="005501F4">
        <w:rPr>
          <w:rFonts w:ascii="Times New Roman" w:hAnsi="Times New Roman" w:cs="Times New Roman"/>
          <w:lang w:val="en-US"/>
        </w:rPr>
        <w:t xml:space="preserve"> report from the </w:t>
      </w:r>
      <w:r w:rsidR="00946218" w:rsidRPr="005501F4">
        <w:rPr>
          <w:rFonts w:ascii="Times New Roman" w:hAnsi="Times New Roman" w:cs="Times New Roman"/>
        </w:rPr>
        <w:t>Cornell</w:t>
      </w:r>
      <w:r w:rsidR="00946218" w:rsidRPr="005501F4">
        <w:rPr>
          <w:rFonts w:ascii="Times New Roman" w:hAnsi="Times New Roman" w:cs="Times New Roman"/>
          <w:lang w:val="en-US"/>
        </w:rPr>
        <w:t xml:space="preserve"> Center on the </w:t>
      </w:r>
      <w:r w:rsidR="00035D89" w:rsidRPr="005501F4">
        <w:rPr>
          <w:rFonts w:ascii="Times New Roman" w:hAnsi="Times New Roman" w:cs="Times New Roman"/>
          <w:lang w:val="en-US"/>
        </w:rPr>
        <w:t>Death Penalty Worldwide</w:t>
      </w:r>
      <w:r w:rsidR="00946218" w:rsidRPr="005501F4">
        <w:rPr>
          <w:rFonts w:ascii="Times New Roman" w:hAnsi="Times New Roman" w:cs="Times New Roman"/>
          <w:lang w:val="en-US"/>
        </w:rPr>
        <w:t xml:space="preserve"> found that at an institutional level the “issue of gender-based violence and trauma is not routinely considered by the courts even when lawyers gather such evidence during the hearing”</w:t>
      </w:r>
      <w:r w:rsidR="005E337D" w:rsidRPr="005501F4">
        <w:rPr>
          <w:rFonts w:ascii="Times New Roman" w:hAnsi="Times New Roman" w:cs="Times New Roman"/>
          <w:lang w:val="en-US"/>
        </w:rPr>
        <w:t>.</w:t>
      </w:r>
      <w:r w:rsidR="00946218" w:rsidRPr="005501F4">
        <w:rPr>
          <w:rFonts w:ascii="Times New Roman" w:hAnsi="Times New Roman" w:cs="Times New Roman"/>
          <w:vertAlign w:val="superscript"/>
          <w:lang w:val="en-US"/>
        </w:rPr>
        <w:footnoteReference w:id="28"/>
      </w:r>
      <w:r w:rsidR="00A67A08" w:rsidRPr="005501F4">
        <w:rPr>
          <w:rFonts w:ascii="Times New Roman" w:hAnsi="Times New Roman" w:cs="Times New Roman"/>
          <w:lang w:val="en-US"/>
        </w:rPr>
        <w:t xml:space="preserve"> </w:t>
      </w:r>
      <w:r w:rsidR="009D4186" w:rsidRPr="005501F4">
        <w:rPr>
          <w:rFonts w:ascii="Times New Roman" w:hAnsi="Times New Roman" w:cs="Times New Roman"/>
        </w:rPr>
        <w:t xml:space="preserve">For example, ICJ Kenya highlights the experience of a woman who was </w:t>
      </w:r>
      <w:r w:rsidR="009D4186" w:rsidRPr="005501F4">
        <w:rPr>
          <w:rFonts w:ascii="Times New Roman" w:hAnsi="Times New Roman" w:cs="Times New Roman"/>
          <w:lang w:val="en-US"/>
        </w:rPr>
        <w:t>sentenced</w:t>
      </w:r>
      <w:r w:rsidR="009D4186" w:rsidRPr="005501F4">
        <w:rPr>
          <w:rFonts w:ascii="Times New Roman" w:hAnsi="Times New Roman" w:cs="Times New Roman"/>
        </w:rPr>
        <w:t xml:space="preserve"> to death for killing her husband who had sexually assaulted her because she refused to have sex with him. </w:t>
      </w:r>
      <w:r w:rsidRPr="005501F4">
        <w:rPr>
          <w:rFonts w:ascii="Times New Roman" w:hAnsi="Times New Roman" w:cs="Times New Roman"/>
        </w:rPr>
        <w:t>T</w:t>
      </w:r>
      <w:r w:rsidR="009D4186" w:rsidRPr="005501F4">
        <w:rPr>
          <w:rFonts w:ascii="Times New Roman" w:hAnsi="Times New Roman" w:cs="Times New Roman"/>
        </w:rPr>
        <w:t>he woman remained silent for more than 15 years, never revealing any information about the context of self-defense in the crime she had committed. Her testimony reveals a perception among some victims that speaking out about GBV could be prejudicial to their case as “when a woman commits a crime like this, you are called a liar. If I had spoken out, it would have backfired, so I stayed silent”</w:t>
      </w:r>
      <w:r w:rsidR="00C741FD" w:rsidRPr="005501F4">
        <w:rPr>
          <w:rFonts w:ascii="Times New Roman" w:hAnsi="Times New Roman" w:cs="Times New Roman"/>
        </w:rPr>
        <w:t>.</w:t>
      </w:r>
      <w:r w:rsidR="009D4186" w:rsidRPr="005501F4">
        <w:rPr>
          <w:rFonts w:ascii="Times New Roman" w:hAnsi="Times New Roman" w:cs="Times New Roman"/>
          <w:vertAlign w:val="superscript"/>
        </w:rPr>
        <w:footnoteReference w:id="29"/>
      </w:r>
      <w:r w:rsidR="009D4186" w:rsidRPr="005501F4">
        <w:rPr>
          <w:rFonts w:ascii="Times New Roman" w:hAnsi="Times New Roman" w:cs="Times New Roman"/>
          <w:vertAlign w:val="superscript"/>
        </w:rPr>
        <w:t xml:space="preserve"> </w:t>
      </w:r>
    </w:p>
    <w:p w14:paraId="3C15AF44" w14:textId="4D7D8BAA" w:rsidR="009E70A3" w:rsidRPr="005501F4" w:rsidRDefault="00A67A08"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There has been some recent progress in this regard, particularly with the landmark </w:t>
      </w:r>
      <w:r w:rsidRPr="005501F4">
        <w:rPr>
          <w:rFonts w:ascii="Times New Roman" w:hAnsi="Times New Roman" w:cs="Times New Roman"/>
          <w:lang w:val="en-US"/>
        </w:rPr>
        <w:t xml:space="preserve">2021 ruling in </w:t>
      </w:r>
      <w:r w:rsidRPr="005501F4">
        <w:rPr>
          <w:rFonts w:ascii="Times New Roman" w:hAnsi="Times New Roman" w:cs="Times New Roman"/>
          <w:i/>
          <w:iCs/>
          <w:lang w:val="en-US"/>
        </w:rPr>
        <w:t xml:space="preserve">State </w:t>
      </w:r>
      <w:r w:rsidRPr="005501F4">
        <w:rPr>
          <w:rFonts w:ascii="Times New Roman" w:hAnsi="Times New Roman" w:cs="Times New Roman"/>
          <w:lang w:val="en-US"/>
        </w:rPr>
        <w:t xml:space="preserve">v. </w:t>
      </w:r>
      <w:r w:rsidRPr="005501F4">
        <w:rPr>
          <w:rFonts w:ascii="Times New Roman" w:hAnsi="Times New Roman" w:cs="Times New Roman"/>
          <w:i/>
          <w:iCs/>
          <w:lang w:val="en-US"/>
        </w:rPr>
        <w:t>Truphena Ndonga Aswani</w:t>
      </w:r>
      <w:r w:rsidRPr="005501F4">
        <w:rPr>
          <w:rFonts w:ascii="Times New Roman" w:hAnsi="Times New Roman" w:cs="Times New Roman"/>
          <w:lang w:val="en-US"/>
        </w:rPr>
        <w:t xml:space="preserve"> (</w:t>
      </w:r>
      <w:r w:rsidRPr="005501F4">
        <w:rPr>
          <w:rFonts w:ascii="Times New Roman" w:hAnsi="Times New Roman" w:cs="Times New Roman"/>
          <w:i/>
          <w:iCs/>
          <w:lang w:val="en-US"/>
        </w:rPr>
        <w:t>Truphena</w:t>
      </w:r>
      <w:r w:rsidRPr="005501F4">
        <w:rPr>
          <w:rFonts w:ascii="Times New Roman" w:hAnsi="Times New Roman" w:cs="Times New Roman"/>
          <w:lang w:val="en-US"/>
        </w:rPr>
        <w:t>), which directed judges to consider the importance of mitigating factors prior to sentencing, including factors related to GBV.</w:t>
      </w:r>
      <w:r w:rsidRPr="005501F4">
        <w:rPr>
          <w:rStyle w:val="FootnoteReference"/>
          <w:rFonts w:ascii="Times New Roman" w:hAnsi="Times New Roman" w:cs="Times New Roman"/>
          <w:lang w:val="en-US"/>
        </w:rPr>
        <w:footnoteReference w:id="30"/>
      </w:r>
      <w:r w:rsidRPr="005501F4">
        <w:rPr>
          <w:rFonts w:ascii="Times New Roman" w:hAnsi="Times New Roman" w:cs="Times New Roman"/>
          <w:lang w:val="en-US"/>
        </w:rPr>
        <w:t xml:space="preserve"> </w:t>
      </w:r>
      <w:r w:rsidRPr="005501F4">
        <w:rPr>
          <w:rFonts w:ascii="Times New Roman" w:hAnsi="Times New Roman" w:cs="Times New Roman"/>
        </w:rPr>
        <w:t>According</w:t>
      </w:r>
      <w:r w:rsidRPr="005501F4">
        <w:rPr>
          <w:rFonts w:ascii="Times New Roman" w:hAnsi="Times New Roman" w:cs="Times New Roman"/>
          <w:lang w:val="en-US"/>
        </w:rPr>
        <w:t xml:space="preserve"> to ICJ Kenya, the </w:t>
      </w:r>
      <w:r w:rsidRPr="005501F4">
        <w:rPr>
          <w:rFonts w:ascii="Times New Roman" w:hAnsi="Times New Roman" w:cs="Times New Roman"/>
          <w:i/>
          <w:iCs/>
          <w:lang w:val="en-US"/>
        </w:rPr>
        <w:t xml:space="preserve">Truphena </w:t>
      </w:r>
      <w:r w:rsidRPr="005501F4">
        <w:rPr>
          <w:rFonts w:ascii="Times New Roman" w:hAnsi="Times New Roman" w:cs="Times New Roman"/>
          <w:lang w:val="en-US"/>
        </w:rPr>
        <w:t xml:space="preserve">case marks “some progress in </w:t>
      </w:r>
      <w:r w:rsidRPr="005501F4">
        <w:rPr>
          <w:rFonts w:ascii="Times New Roman" w:hAnsi="Times New Roman" w:cs="Times New Roman"/>
          <w:lang w:val="en-US"/>
        </w:rPr>
        <w:lastRenderedPageBreak/>
        <w:t>recognizing [GBV] as a relevant factor in mitigating sentences.”</w:t>
      </w:r>
      <w:r w:rsidRPr="005501F4">
        <w:rPr>
          <w:rStyle w:val="FootnoteReference"/>
          <w:rFonts w:ascii="Times New Roman" w:hAnsi="Times New Roman" w:cs="Times New Roman"/>
          <w:lang w:val="en-US"/>
        </w:rPr>
        <w:footnoteReference w:id="31"/>
      </w:r>
      <w:r w:rsidRPr="005501F4">
        <w:rPr>
          <w:rFonts w:ascii="Times New Roman" w:hAnsi="Times New Roman" w:cs="Times New Roman"/>
          <w:lang w:val="en-US"/>
        </w:rPr>
        <w:t xml:space="preserve"> The Court’s reasoning in </w:t>
      </w:r>
      <w:r w:rsidRPr="005501F4">
        <w:rPr>
          <w:rFonts w:ascii="Times New Roman" w:hAnsi="Times New Roman" w:cs="Times New Roman"/>
          <w:i/>
          <w:iCs/>
          <w:lang w:val="en-US"/>
        </w:rPr>
        <w:t xml:space="preserve">Truphena </w:t>
      </w:r>
      <w:r w:rsidRPr="005501F4">
        <w:rPr>
          <w:rFonts w:ascii="Times New Roman" w:hAnsi="Times New Roman" w:cs="Times New Roman"/>
          <w:lang w:val="en-US"/>
        </w:rPr>
        <w:t>can lead to “a formula of sorts . . . to be applied to similar instances.”</w:t>
      </w:r>
      <w:r w:rsidRPr="005501F4">
        <w:rPr>
          <w:rStyle w:val="FootnoteReference"/>
          <w:rFonts w:ascii="Times New Roman" w:hAnsi="Times New Roman" w:cs="Times New Roman"/>
          <w:lang w:val="en-US"/>
        </w:rPr>
        <w:footnoteReference w:id="32"/>
      </w:r>
      <w:r w:rsidRPr="005501F4">
        <w:rPr>
          <w:rFonts w:ascii="Times New Roman" w:hAnsi="Times New Roman" w:cs="Times New Roman"/>
          <w:lang w:val="en-US"/>
        </w:rPr>
        <w:t xml:space="preserve"> Indeed, paragraph 23.8 of the Sentencing Policy Guidelines lists mitigating circumstances that may warrant a more lenient sentence, and among those circumstances </w:t>
      </w:r>
      <w:r w:rsidR="009F3163" w:rsidRPr="005501F4">
        <w:rPr>
          <w:rFonts w:ascii="Times New Roman" w:hAnsi="Times New Roman" w:cs="Times New Roman"/>
          <w:lang w:val="en-US"/>
        </w:rPr>
        <w:t xml:space="preserve">is the </w:t>
      </w:r>
      <w:r w:rsidRPr="005501F4">
        <w:rPr>
          <w:rFonts w:ascii="Times New Roman" w:hAnsi="Times New Roman" w:cs="Times New Roman"/>
          <w:lang w:val="en-US"/>
        </w:rPr>
        <w:t>“commission of a crime in response to [GBV].”</w:t>
      </w:r>
      <w:r w:rsidRPr="005501F4">
        <w:rPr>
          <w:rStyle w:val="FootnoteReference"/>
          <w:rFonts w:ascii="Times New Roman" w:hAnsi="Times New Roman" w:cs="Times New Roman"/>
          <w:lang w:val="en-US"/>
        </w:rPr>
        <w:footnoteReference w:id="33"/>
      </w:r>
      <w:r w:rsidRPr="005501F4">
        <w:rPr>
          <w:rFonts w:ascii="Times New Roman" w:hAnsi="Times New Roman" w:cs="Times New Roman"/>
          <w:lang w:val="en-US"/>
        </w:rPr>
        <w:t xml:space="preserve"> Nonetheless, gender biases have a “pervasive influence” in the implementation of the death penalty, and even though “most women sentenced to death are victims of sexual and [GBV],” that history often “does not become a sufficient mitigating factor during sentencing.”</w:t>
      </w:r>
      <w:r w:rsidRPr="005501F4">
        <w:rPr>
          <w:rStyle w:val="FootnoteReference"/>
          <w:rFonts w:ascii="Times New Roman" w:hAnsi="Times New Roman" w:cs="Times New Roman"/>
          <w:lang w:val="en-US"/>
        </w:rPr>
        <w:footnoteReference w:id="34"/>
      </w:r>
    </w:p>
    <w:p w14:paraId="50FD0293" w14:textId="0370A858" w:rsidR="00E73EDA" w:rsidRPr="005501F4" w:rsidRDefault="0087693B" w:rsidP="003F2274">
      <w:pPr>
        <w:pStyle w:val="ListNumber3"/>
        <w:numPr>
          <w:ilvl w:val="0"/>
          <w:numId w:val="0"/>
        </w:numPr>
        <w:spacing w:line="276" w:lineRule="auto"/>
        <w:jc w:val="both"/>
        <w:rPr>
          <w:rFonts w:ascii="Times New Roman" w:hAnsi="Times New Roman" w:cs="Times New Roman"/>
          <w:i/>
          <w:iCs/>
        </w:rPr>
      </w:pPr>
      <w:r w:rsidRPr="005501F4">
        <w:rPr>
          <w:rFonts w:ascii="Times New Roman" w:hAnsi="Times New Roman" w:cs="Times New Roman"/>
          <w:i/>
          <w:iCs/>
        </w:rPr>
        <w:t>T</w:t>
      </w:r>
      <w:r w:rsidR="0034057B" w:rsidRPr="005501F4">
        <w:rPr>
          <w:rFonts w:ascii="Times New Roman" w:hAnsi="Times New Roman" w:cs="Times New Roman"/>
          <w:i/>
          <w:iCs/>
        </w:rPr>
        <w:t>he need for additional</w:t>
      </w:r>
      <w:r w:rsidR="00E73EDA" w:rsidRPr="005501F4">
        <w:rPr>
          <w:rFonts w:ascii="Times New Roman" w:hAnsi="Times New Roman" w:cs="Times New Roman"/>
          <w:i/>
          <w:iCs/>
        </w:rPr>
        <w:t xml:space="preserve"> Gender Justice Courts</w:t>
      </w:r>
    </w:p>
    <w:p w14:paraId="1A24FA6F" w14:textId="31934F42" w:rsidR="007E6B99" w:rsidRPr="007E6B99" w:rsidRDefault="00696803" w:rsidP="003F2274">
      <w:pPr>
        <w:pStyle w:val="ListParagraph"/>
        <w:numPr>
          <w:ilvl w:val="0"/>
          <w:numId w:val="31"/>
        </w:numPr>
        <w:spacing w:line="276" w:lineRule="auto"/>
        <w:jc w:val="both"/>
        <w:rPr>
          <w:rFonts w:ascii="Times New Roman" w:hAnsi="Times New Roman" w:cs="Times New Roman"/>
          <w:lang w:val="en-US"/>
        </w:rPr>
      </w:pPr>
      <w:r w:rsidRPr="005501F4">
        <w:rPr>
          <w:rFonts w:ascii="Times New Roman" w:hAnsi="Times New Roman" w:cs="Times New Roman"/>
          <w:lang w:val="en-US"/>
        </w:rPr>
        <w:t>In its third</w:t>
      </w:r>
      <w:r w:rsidR="007616F3" w:rsidRPr="005501F4">
        <w:rPr>
          <w:rFonts w:ascii="Times New Roman" w:hAnsi="Times New Roman" w:cs="Times New Roman"/>
          <w:lang w:val="en-US"/>
        </w:rPr>
        <w:t xml:space="preserve"> </w:t>
      </w:r>
      <w:r w:rsidRPr="005501F4">
        <w:rPr>
          <w:rFonts w:ascii="Times New Roman" w:hAnsi="Times New Roman" w:cs="Times New Roman"/>
          <w:lang w:val="en-US"/>
        </w:rPr>
        <w:t xml:space="preserve">cycle </w:t>
      </w:r>
      <w:r w:rsidR="00CD69BA" w:rsidRPr="005501F4">
        <w:rPr>
          <w:rFonts w:ascii="Times New Roman" w:hAnsi="Times New Roman" w:cs="Times New Roman"/>
          <w:lang w:val="en-US"/>
        </w:rPr>
        <w:t>Universal Periodic Review (</w:t>
      </w:r>
      <w:r w:rsidRPr="009905A8">
        <w:rPr>
          <w:rFonts w:ascii="Times New Roman" w:hAnsi="Times New Roman" w:cs="Times New Roman"/>
          <w:b/>
          <w:bCs/>
          <w:lang w:val="en-US"/>
        </w:rPr>
        <w:t>UPR</w:t>
      </w:r>
      <w:r w:rsidR="00CD69BA" w:rsidRPr="005501F4">
        <w:rPr>
          <w:rFonts w:ascii="Times New Roman" w:hAnsi="Times New Roman" w:cs="Times New Roman"/>
          <w:lang w:val="en-US"/>
        </w:rPr>
        <w:t>)</w:t>
      </w:r>
      <w:r w:rsidRPr="005501F4">
        <w:rPr>
          <w:rFonts w:ascii="Times New Roman" w:hAnsi="Times New Roman" w:cs="Times New Roman"/>
          <w:lang w:val="en-US"/>
        </w:rPr>
        <w:t xml:space="preserve">, </w:t>
      </w:r>
      <w:r w:rsidRPr="005501F4">
        <w:rPr>
          <w:rFonts w:ascii="Times New Roman" w:hAnsi="Times New Roman" w:cs="Times New Roman"/>
        </w:rPr>
        <w:t>Kenya</w:t>
      </w:r>
      <w:r w:rsidRPr="005501F4">
        <w:rPr>
          <w:rFonts w:ascii="Times New Roman" w:hAnsi="Times New Roman" w:cs="Times New Roman"/>
          <w:lang w:val="en-US"/>
        </w:rPr>
        <w:t xml:space="preserve"> accepted four recommendations to address discrimination against women, including directives to create specialized courts for </w:t>
      </w:r>
      <w:r w:rsidR="008E4747" w:rsidRPr="005501F4">
        <w:rPr>
          <w:rFonts w:ascii="Times New Roman" w:hAnsi="Times New Roman" w:cs="Times New Roman"/>
          <w:lang w:val="en-US"/>
        </w:rPr>
        <w:t>GBV</w:t>
      </w:r>
      <w:r w:rsidRPr="005501F4">
        <w:rPr>
          <w:rFonts w:ascii="Times New Roman" w:hAnsi="Times New Roman" w:cs="Times New Roman"/>
          <w:lang w:val="en-US"/>
        </w:rPr>
        <w:t xml:space="preserve"> cases and to ensure overarching justice, protection,</w:t>
      </w:r>
      <w:r w:rsidR="007E6B99">
        <w:rPr>
          <w:rFonts w:ascii="Times New Roman" w:hAnsi="Times New Roman" w:cs="Times New Roman"/>
          <w:lang w:val="en-US"/>
        </w:rPr>
        <w:t xml:space="preserve"> </w:t>
      </w:r>
      <w:r w:rsidRPr="005501F4">
        <w:rPr>
          <w:rFonts w:ascii="Times New Roman" w:hAnsi="Times New Roman" w:cs="Times New Roman"/>
          <w:lang w:val="en-US"/>
        </w:rPr>
        <w:t xml:space="preserve">support, and remedies for </w:t>
      </w:r>
      <w:r w:rsidRPr="003F2274">
        <w:rPr>
          <w:rFonts w:ascii="Times New Roman" w:hAnsi="Times New Roman" w:cs="Times New Roman"/>
        </w:rPr>
        <w:t>survivors</w:t>
      </w:r>
      <w:r w:rsidRPr="005501F4">
        <w:rPr>
          <w:rFonts w:ascii="Times New Roman" w:hAnsi="Times New Roman" w:cs="Times New Roman"/>
          <w:lang w:val="en-US"/>
        </w:rPr>
        <w:t>.</w:t>
      </w:r>
      <w:r w:rsidR="00A67A08" w:rsidRPr="005501F4">
        <w:rPr>
          <w:rStyle w:val="FootnoteReference"/>
          <w:rFonts w:ascii="Times New Roman" w:hAnsi="Times New Roman" w:cs="Times New Roman"/>
          <w:lang w:val="en-US"/>
        </w:rPr>
        <w:footnoteReference w:id="35"/>
      </w:r>
      <w:r w:rsidR="00A67A08" w:rsidRPr="005501F4">
        <w:rPr>
          <w:rFonts w:ascii="Times New Roman" w:hAnsi="Times New Roman" w:cs="Times New Roman"/>
          <w:vertAlign w:val="superscript"/>
          <w:lang w:val="en-US"/>
        </w:rPr>
        <w:t xml:space="preserve"> </w:t>
      </w:r>
      <w:r w:rsidRPr="005501F4">
        <w:rPr>
          <w:rFonts w:ascii="Times New Roman" w:hAnsi="Times New Roman" w:cs="Times New Roman"/>
          <w:lang w:val="en-US"/>
        </w:rPr>
        <w:t>Since 2020, Kenya has established twelve Gender Justice Courts that use trauma</w:t>
      </w:r>
      <w:r w:rsidR="00A67A08" w:rsidRPr="005501F4">
        <w:rPr>
          <w:rFonts w:ascii="Times New Roman" w:hAnsi="Times New Roman" w:cs="Times New Roman"/>
          <w:lang w:val="en-US"/>
        </w:rPr>
        <w:t>-</w:t>
      </w:r>
      <w:r w:rsidRPr="005501F4">
        <w:rPr>
          <w:rFonts w:ascii="Times New Roman" w:hAnsi="Times New Roman" w:cs="Times New Roman"/>
          <w:lang w:val="en-US"/>
        </w:rPr>
        <w:t>informed practices</w:t>
      </w:r>
      <w:r w:rsidR="00A67A08" w:rsidRPr="005501F4">
        <w:rPr>
          <w:rFonts w:ascii="Times New Roman" w:hAnsi="Times New Roman" w:cs="Times New Roman"/>
          <w:lang w:val="en-US"/>
        </w:rPr>
        <w:t>.</w:t>
      </w:r>
      <w:r w:rsidR="00A67A08" w:rsidRPr="005501F4">
        <w:rPr>
          <w:rStyle w:val="FootnoteReference"/>
          <w:rFonts w:ascii="Times New Roman" w:hAnsi="Times New Roman" w:cs="Times New Roman"/>
          <w:lang w:val="en-US"/>
        </w:rPr>
        <w:footnoteReference w:id="36"/>
      </w:r>
      <w:r w:rsidR="00A67A08" w:rsidRPr="005501F4">
        <w:rPr>
          <w:rFonts w:ascii="Times New Roman" w:hAnsi="Times New Roman" w:cs="Times New Roman"/>
          <w:vertAlign w:val="superscript"/>
          <w:lang w:val="en-US"/>
        </w:rPr>
        <w:t xml:space="preserve"> </w:t>
      </w:r>
    </w:p>
    <w:p w14:paraId="67022233" w14:textId="015ECF9E" w:rsidR="00696803" w:rsidRPr="005501F4" w:rsidRDefault="00AA4D9C" w:rsidP="003F2274">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 xml:space="preserve">While this is a welcome development, the </w:t>
      </w:r>
      <w:r w:rsidR="00696803" w:rsidRPr="005501F4">
        <w:rPr>
          <w:rFonts w:ascii="Times New Roman" w:hAnsi="Times New Roman" w:cs="Times New Roman"/>
          <w:lang w:val="en-US"/>
        </w:rPr>
        <w:t xml:space="preserve">high rates of sexual and GBV </w:t>
      </w:r>
      <w:r w:rsidRPr="005501F4">
        <w:rPr>
          <w:rFonts w:ascii="Times New Roman" w:hAnsi="Times New Roman" w:cs="Times New Roman"/>
          <w:lang w:val="en-US"/>
        </w:rPr>
        <w:t xml:space="preserve">in Kenya </w:t>
      </w:r>
      <w:r w:rsidR="00696803" w:rsidRPr="005501F4">
        <w:rPr>
          <w:rFonts w:ascii="Times New Roman" w:hAnsi="Times New Roman" w:cs="Times New Roman"/>
          <w:lang w:val="en-US"/>
        </w:rPr>
        <w:t xml:space="preserve">mean that there is a pressing need to </w:t>
      </w:r>
      <w:r w:rsidR="00696803" w:rsidRPr="005501F4">
        <w:rPr>
          <w:rFonts w:ascii="Times New Roman" w:hAnsi="Times New Roman" w:cs="Times New Roman"/>
        </w:rPr>
        <w:t>fast</w:t>
      </w:r>
      <w:r w:rsidR="00696803" w:rsidRPr="005501F4">
        <w:rPr>
          <w:rFonts w:ascii="Times New Roman" w:hAnsi="Times New Roman" w:cs="Times New Roman"/>
          <w:lang w:val="en-US"/>
        </w:rPr>
        <w:t>-track</w:t>
      </w:r>
      <w:r w:rsidR="007616F3" w:rsidRPr="005501F4">
        <w:rPr>
          <w:rFonts w:ascii="Times New Roman" w:hAnsi="Times New Roman" w:cs="Times New Roman"/>
          <w:lang w:val="en-US"/>
        </w:rPr>
        <w:t xml:space="preserve"> the</w:t>
      </w:r>
      <w:r w:rsidR="00696803" w:rsidRPr="005501F4">
        <w:rPr>
          <w:rFonts w:ascii="Times New Roman" w:hAnsi="Times New Roman" w:cs="Times New Roman"/>
          <w:lang w:val="en-US"/>
        </w:rPr>
        <w:t xml:space="preserve"> expansion of </w:t>
      </w:r>
      <w:r w:rsidR="007616F3" w:rsidRPr="005501F4">
        <w:rPr>
          <w:rFonts w:ascii="Times New Roman" w:hAnsi="Times New Roman" w:cs="Times New Roman"/>
          <w:lang w:val="en-US"/>
        </w:rPr>
        <w:t>Gender Justice Courts</w:t>
      </w:r>
      <w:r w:rsidR="00696803" w:rsidRPr="005501F4">
        <w:rPr>
          <w:rFonts w:ascii="Times New Roman" w:hAnsi="Times New Roman" w:cs="Times New Roman"/>
          <w:lang w:val="en-US"/>
        </w:rPr>
        <w:t>.</w:t>
      </w:r>
      <w:r w:rsidR="00A67A08" w:rsidRPr="005501F4">
        <w:rPr>
          <w:rStyle w:val="FootnoteReference"/>
          <w:rFonts w:ascii="Times New Roman" w:hAnsi="Times New Roman" w:cs="Times New Roman"/>
          <w:lang w:val="en-US"/>
        </w:rPr>
        <w:footnoteReference w:id="37"/>
      </w:r>
      <w:r w:rsidR="00A67A08" w:rsidRPr="005501F4">
        <w:rPr>
          <w:rFonts w:ascii="Times New Roman" w:hAnsi="Times New Roman" w:cs="Times New Roman"/>
          <w:vertAlign w:val="superscript"/>
          <w:lang w:val="en-US"/>
        </w:rPr>
        <w:t xml:space="preserve"> </w:t>
      </w:r>
      <w:r w:rsidR="00696803" w:rsidRPr="005501F4">
        <w:rPr>
          <w:rFonts w:ascii="Times New Roman" w:hAnsi="Times New Roman" w:cs="Times New Roman"/>
          <w:lang w:val="en-US"/>
        </w:rPr>
        <w:t xml:space="preserve">As ICJ Kenya notes, “[i]n many cases of women who were sentenced to death, there was a lack of adequate protection against [GBV] and other forms of discrimination before </w:t>
      </w:r>
      <w:r w:rsidR="00696803" w:rsidRPr="005501F4">
        <w:rPr>
          <w:rFonts w:ascii="Times New Roman" w:hAnsi="Times New Roman" w:cs="Times New Roman"/>
          <w:lang w:val="en-US"/>
        </w:rPr>
        <w:lastRenderedPageBreak/>
        <w:t>the crime was committed.”</w:t>
      </w:r>
      <w:r w:rsidR="00A67A08" w:rsidRPr="005501F4">
        <w:rPr>
          <w:rStyle w:val="FootnoteReference"/>
          <w:rFonts w:ascii="Times New Roman" w:hAnsi="Times New Roman" w:cs="Times New Roman"/>
          <w:lang w:val="en-US"/>
        </w:rPr>
        <w:footnoteReference w:id="38"/>
      </w:r>
      <w:r w:rsidR="00696803" w:rsidRPr="005501F4">
        <w:rPr>
          <w:rFonts w:ascii="Times New Roman" w:hAnsi="Times New Roman" w:cs="Times New Roman"/>
          <w:lang w:val="en-US"/>
        </w:rPr>
        <w:t xml:space="preserve"> </w:t>
      </w:r>
      <w:r w:rsidR="00ED208D" w:rsidRPr="005501F4">
        <w:rPr>
          <w:rFonts w:ascii="Times New Roman" w:hAnsi="Times New Roman" w:cs="Times New Roman"/>
          <w:lang w:val="en-US"/>
        </w:rPr>
        <w:t xml:space="preserve">Going forward, Kenya must </w:t>
      </w:r>
      <w:r w:rsidR="00696803" w:rsidRPr="005501F4">
        <w:rPr>
          <w:rFonts w:ascii="Times New Roman" w:hAnsi="Times New Roman" w:cs="Times New Roman"/>
          <w:lang w:val="en-US"/>
        </w:rPr>
        <w:t>ensure that all Kenyans have access to Gender Justice Courts.</w:t>
      </w:r>
      <w:r w:rsidR="00696803" w:rsidRPr="005501F4">
        <w:rPr>
          <w:rFonts w:ascii="Times New Roman" w:hAnsi="Times New Roman" w:cs="Times New Roman"/>
        </w:rPr>
        <w:t> </w:t>
      </w:r>
    </w:p>
    <w:p w14:paraId="3C420B42" w14:textId="50C15C11" w:rsidR="00272327" w:rsidRPr="005501F4" w:rsidRDefault="00A7267C"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The need to c</w:t>
      </w:r>
      <w:r w:rsidR="00B763B3" w:rsidRPr="005501F4">
        <w:rPr>
          <w:rFonts w:ascii="Times New Roman" w:hAnsi="Times New Roman" w:cs="Times New Roman"/>
          <w:b/>
          <w:bCs/>
          <w:u w:val="single"/>
        </w:rPr>
        <w:t>ombat stigma</w:t>
      </w:r>
      <w:r w:rsidR="00AA4D9C" w:rsidRPr="005501F4">
        <w:rPr>
          <w:rFonts w:ascii="Times New Roman" w:hAnsi="Times New Roman" w:cs="Times New Roman"/>
          <w:b/>
          <w:bCs/>
          <w:u w:val="single"/>
        </w:rPr>
        <w:t xml:space="preserve"> </w:t>
      </w:r>
      <w:r w:rsidR="00E01A3B" w:rsidRPr="005501F4">
        <w:rPr>
          <w:rFonts w:ascii="Times New Roman" w:hAnsi="Times New Roman" w:cs="Times New Roman"/>
          <w:b/>
          <w:bCs/>
          <w:u w:val="single"/>
        </w:rPr>
        <w:t>in relation to women defendants</w:t>
      </w:r>
    </w:p>
    <w:p w14:paraId="34FAF409" w14:textId="6AF79C41" w:rsidR="00E01A3B" w:rsidRPr="005501F4" w:rsidRDefault="00E01A3B" w:rsidP="005501F4">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In addition to the obligations under Articles 2 and 15, Article 5 of CEDAW provides that: “</w:t>
      </w:r>
      <w:r w:rsidRPr="003F2274">
        <w:rPr>
          <w:rFonts w:ascii="Times New Roman" w:hAnsi="Times New Roman" w:cs="Times New Roman"/>
        </w:rPr>
        <w:t>States Parties shall take all appropriate measures… To modify the social and cultural patterns of conduct of men and women, with a view to achieving the elimination of prejudices and customary and all other practices which are based on … stereotyped roles…”.</w:t>
      </w:r>
      <w:r w:rsidRPr="005501F4">
        <w:rPr>
          <w:rFonts w:ascii="Times New Roman" w:hAnsi="Times New Roman" w:cs="Times New Roman"/>
        </w:rPr>
        <w:t xml:space="preserve"> However, Kenya’s Report fails to identify any steps being taken to address public stigma and gender stereotyping of women defendants involved in capital cases. </w:t>
      </w:r>
    </w:p>
    <w:p w14:paraId="218E2017" w14:textId="0BE539FF" w:rsidR="009A223E" w:rsidRPr="005501F4" w:rsidRDefault="009A223E"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When working with women who have been sentenced to death in Kenya, Reprieve has found that women may suffer stigma when their alleged crimes are seen as transgressing stereotypical gender roles. In one such case, a client was harassed by the police and shunned by her fellow inmates due to the alleged nature of her offense.</w:t>
      </w:r>
    </w:p>
    <w:p w14:paraId="34905BFA" w14:textId="5F056B7D" w:rsidR="009D4186" w:rsidRPr="005501F4" w:rsidRDefault="0034057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S</w:t>
      </w:r>
      <w:r w:rsidR="00696803" w:rsidRPr="005501F4">
        <w:rPr>
          <w:rFonts w:ascii="Times New Roman" w:hAnsi="Times New Roman" w:cs="Times New Roman"/>
        </w:rPr>
        <w:t>ensationalized media attention targeting women in conflict with the law can result in</w:t>
      </w:r>
      <w:r w:rsidR="009A223E" w:rsidRPr="005501F4">
        <w:rPr>
          <w:rFonts w:ascii="Times New Roman" w:hAnsi="Times New Roman" w:cs="Times New Roman"/>
        </w:rPr>
        <w:t xml:space="preserve"> further</w:t>
      </w:r>
      <w:r w:rsidR="00696803" w:rsidRPr="005501F4">
        <w:rPr>
          <w:rFonts w:ascii="Times New Roman" w:hAnsi="Times New Roman" w:cs="Times New Roman"/>
        </w:rPr>
        <w:t xml:space="preserve"> stigma and isolation, particularly for women under sentence of death.</w:t>
      </w:r>
      <w:r w:rsidR="00AA4D9C" w:rsidRPr="005501F4">
        <w:rPr>
          <w:rStyle w:val="FootnoteReference"/>
          <w:rFonts w:ascii="Times New Roman" w:hAnsi="Times New Roman" w:cs="Times New Roman"/>
        </w:rPr>
        <w:footnoteReference w:id="39"/>
      </w:r>
      <w:r w:rsidR="00696803" w:rsidRPr="005501F4">
        <w:rPr>
          <w:rFonts w:ascii="Times New Roman" w:hAnsi="Times New Roman" w:cs="Times New Roman"/>
        </w:rPr>
        <w:t xml:space="preserve"> This coverage can contribute to “anxiety, depression, and a diminished sense of self-worth,” all of which can “dramatically imped[e] their ability to cope with the challenges of incarceration and legal proceedings.”</w:t>
      </w:r>
      <w:r w:rsidR="00AA4D9C" w:rsidRPr="005501F4">
        <w:rPr>
          <w:rStyle w:val="FootnoteReference"/>
          <w:rFonts w:ascii="Times New Roman" w:hAnsi="Times New Roman" w:cs="Times New Roman"/>
        </w:rPr>
        <w:footnoteReference w:id="40"/>
      </w:r>
      <w:r w:rsidR="00696803" w:rsidRPr="005501F4">
        <w:rPr>
          <w:rFonts w:ascii="Times New Roman" w:hAnsi="Times New Roman" w:cs="Times New Roman"/>
        </w:rPr>
        <w:t> The ICJ Kenya report confirms that family members of women under sentence of death “are also stigmatized by society.”</w:t>
      </w:r>
      <w:r w:rsidR="00AA4D9C" w:rsidRPr="005501F4">
        <w:rPr>
          <w:rStyle w:val="FootnoteReference"/>
          <w:rFonts w:ascii="Times New Roman" w:hAnsi="Times New Roman" w:cs="Times New Roman"/>
        </w:rPr>
        <w:footnoteReference w:id="41"/>
      </w:r>
      <w:r w:rsidR="00696803" w:rsidRPr="005501F4">
        <w:rPr>
          <w:rFonts w:ascii="Times New Roman" w:hAnsi="Times New Roman" w:cs="Times New Roman"/>
        </w:rPr>
        <w:t> </w:t>
      </w:r>
    </w:p>
    <w:p w14:paraId="4857C471" w14:textId="169E8E77" w:rsidR="00CC6B5B" w:rsidRPr="005501F4" w:rsidRDefault="00CC6B5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 xml:space="preserve">ICJ Kenya explains the role of the media in reinforcing and replicating gender stereotypes, observing </w:t>
      </w:r>
      <w:r w:rsidRPr="005501F4">
        <w:rPr>
          <w:rFonts w:ascii="Times New Roman" w:hAnsi="Times New Roman" w:cs="Times New Roman"/>
        </w:rPr>
        <w:t>that</w:t>
      </w:r>
      <w:r w:rsidRPr="005501F4">
        <w:rPr>
          <w:rFonts w:ascii="Times New Roman" w:hAnsi="Times New Roman" w:cs="Times New Roman"/>
          <w:lang w:val="en-US"/>
        </w:rPr>
        <w:t xml:space="preserve"> “when women commit crimes, particularly violent crimes, the media depicts them as ‘doubly deviant’ because they have both broken the law as well as violated cultural expectations of femininity. To reconcile the conventional perception of a woman as non-violent and the commission of a capital offence by a woman, the media patholog[izes] the woman.”</w:t>
      </w:r>
      <w:r w:rsidR="00E01A3B" w:rsidRPr="005501F4">
        <w:rPr>
          <w:rStyle w:val="FootnoteReference"/>
          <w:rFonts w:ascii="Times New Roman" w:hAnsi="Times New Roman" w:cs="Times New Roman"/>
          <w:lang w:val="en-US"/>
        </w:rPr>
        <w:footnoteReference w:id="42"/>
      </w:r>
    </w:p>
    <w:p w14:paraId="54C5847F" w14:textId="11D58D80" w:rsidR="00B22C8B" w:rsidRPr="005501F4" w:rsidRDefault="00B22C8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lastRenderedPageBreak/>
        <w:t>The ICJ Kenya report further notes that in cases receiving a large amount of media attention, there is a likelihood that the media will sway public opinion and consequentially influence legal proceedings. Scholars have further remarked that when a case receives mass media coverage, there is a tendency of judges to sentence more “punitively thus undermining the principles of fair and impartial justice.”</w:t>
      </w:r>
      <w:r w:rsidR="00AA4D9C" w:rsidRPr="005501F4">
        <w:rPr>
          <w:rStyle w:val="FootnoteReference"/>
          <w:rFonts w:ascii="Times New Roman" w:hAnsi="Times New Roman" w:cs="Times New Roman"/>
        </w:rPr>
        <w:footnoteReference w:id="43"/>
      </w:r>
      <w:r w:rsidRPr="005501F4">
        <w:rPr>
          <w:rFonts w:ascii="Times New Roman" w:hAnsi="Times New Roman" w:cs="Times New Roman"/>
        </w:rPr>
        <w:t xml:space="preserve"> Moreover, women sentenced to death who are subsequently exonerated or whose sentences are commuted can experience severe stigma upon release, and public perceptions can “create barriers to employment, housing, and community acceptance,” making “it a challenge for these women to rebuild their lives post-release.”</w:t>
      </w:r>
      <w:r w:rsidR="00AA4D9C" w:rsidRPr="005501F4">
        <w:rPr>
          <w:rStyle w:val="FootnoteReference"/>
          <w:rFonts w:ascii="Times New Roman" w:hAnsi="Times New Roman" w:cs="Times New Roman"/>
        </w:rPr>
        <w:footnoteReference w:id="44"/>
      </w:r>
      <w:r w:rsidRPr="005501F4">
        <w:rPr>
          <w:rFonts w:ascii="Times New Roman" w:hAnsi="Times New Roman" w:cs="Times New Roman"/>
        </w:rPr>
        <w:t> </w:t>
      </w:r>
    </w:p>
    <w:p w14:paraId="3BBDDE3F" w14:textId="77777777" w:rsidR="009A223E" w:rsidRPr="005501F4" w:rsidRDefault="00E73EDA" w:rsidP="005501F4">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The ICJ Kenya report references high-profile cases in which the Kenyan media, and subsequently prosecutors, demonized women to build up public support for their death sentences.</w:t>
      </w:r>
      <w:r w:rsidR="00E01A3B" w:rsidRPr="005501F4">
        <w:rPr>
          <w:rStyle w:val="FootnoteReference"/>
          <w:rFonts w:ascii="Times New Roman" w:hAnsi="Times New Roman" w:cs="Times New Roman"/>
          <w:lang w:val="en-US"/>
        </w:rPr>
        <w:footnoteReference w:id="45"/>
      </w:r>
      <w:r w:rsidRPr="005501F4">
        <w:rPr>
          <w:rFonts w:ascii="Times New Roman" w:hAnsi="Times New Roman" w:cs="Times New Roman"/>
          <w:lang w:val="en-US"/>
        </w:rPr>
        <w:t xml:space="preserve"> “[S]entencing women to death who transgress traditional notions of femininity serves to reinforce gender norms as well as legitimize their capital punishment.”</w:t>
      </w:r>
      <w:r w:rsidR="00E01A3B" w:rsidRPr="005501F4">
        <w:rPr>
          <w:rStyle w:val="FootnoteReference"/>
          <w:rFonts w:ascii="Times New Roman" w:hAnsi="Times New Roman" w:cs="Times New Roman"/>
          <w:lang w:val="en-US"/>
        </w:rPr>
        <w:footnoteReference w:id="46"/>
      </w:r>
      <w:r w:rsidRPr="005501F4">
        <w:rPr>
          <w:rFonts w:ascii="Times New Roman" w:hAnsi="Times New Roman" w:cs="Times New Roman"/>
          <w:lang w:val="en-US"/>
        </w:rPr>
        <w:t xml:space="preserve"> Research by the Cornell Center on the Death Penalty Worldwide shows that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00E01A3B" w:rsidRPr="005501F4">
        <w:rPr>
          <w:rStyle w:val="FootnoteReference"/>
          <w:rFonts w:ascii="Times New Roman" w:hAnsi="Times New Roman" w:cs="Times New Roman"/>
          <w:lang w:val="en-US"/>
        </w:rPr>
        <w:footnoteReference w:id="47"/>
      </w:r>
      <w:r w:rsidRPr="005501F4">
        <w:rPr>
          <w:rFonts w:ascii="Times New Roman" w:hAnsi="Times New Roman" w:cs="Times New Roman"/>
        </w:rPr>
        <w:t> </w:t>
      </w:r>
    </w:p>
    <w:p w14:paraId="65A94F13" w14:textId="6A22578D" w:rsidR="009D4186" w:rsidRPr="005501F4" w:rsidRDefault="0034057B"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Conditions</w:t>
      </w:r>
      <w:r w:rsidR="00510EEC" w:rsidRPr="005501F4">
        <w:rPr>
          <w:rFonts w:ascii="Times New Roman" w:hAnsi="Times New Roman" w:cs="Times New Roman"/>
          <w:b/>
          <w:bCs/>
          <w:u w:val="single"/>
        </w:rPr>
        <w:t xml:space="preserve"> for women</w:t>
      </w:r>
      <w:r w:rsidRPr="005501F4">
        <w:rPr>
          <w:rFonts w:ascii="Times New Roman" w:hAnsi="Times New Roman" w:cs="Times New Roman"/>
          <w:b/>
          <w:bCs/>
          <w:u w:val="single"/>
        </w:rPr>
        <w:t xml:space="preserve"> </w:t>
      </w:r>
      <w:r w:rsidR="007270E4" w:rsidRPr="005501F4">
        <w:rPr>
          <w:rFonts w:ascii="Times New Roman" w:hAnsi="Times New Roman" w:cs="Times New Roman"/>
          <w:b/>
          <w:bCs/>
          <w:u w:val="single"/>
        </w:rPr>
        <w:t>in prisons</w:t>
      </w:r>
    </w:p>
    <w:p w14:paraId="26C382AC" w14:textId="038DF7C5" w:rsidR="00970867" w:rsidRPr="005501F4" w:rsidRDefault="0034057B"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 xml:space="preserve">Kenya’s Report </w:t>
      </w:r>
      <w:r w:rsidR="00970867" w:rsidRPr="005501F4">
        <w:rPr>
          <w:rFonts w:ascii="Times New Roman" w:hAnsi="Times New Roman" w:cs="Times New Roman"/>
        </w:rPr>
        <w:t>is silent on the issue of women in prisons</w:t>
      </w:r>
      <w:r w:rsidR="00074AB8" w:rsidRPr="005501F4">
        <w:rPr>
          <w:rFonts w:ascii="Times New Roman" w:hAnsi="Times New Roman" w:cs="Times New Roman"/>
        </w:rPr>
        <w:t>, including women in detention for capital cases</w:t>
      </w:r>
      <w:r w:rsidRPr="005501F4">
        <w:rPr>
          <w:rFonts w:ascii="Times New Roman" w:hAnsi="Times New Roman" w:cs="Times New Roman"/>
        </w:rPr>
        <w:t>.</w:t>
      </w:r>
      <w:r w:rsidR="005B1BC3" w:rsidRPr="005501F4">
        <w:rPr>
          <w:rFonts w:ascii="Times New Roman" w:hAnsi="Times New Roman" w:cs="Times New Roman"/>
        </w:rPr>
        <w:t xml:space="preserve"> It </w:t>
      </w:r>
      <w:r w:rsidR="00970867" w:rsidRPr="005501F4">
        <w:rPr>
          <w:rFonts w:ascii="Times New Roman" w:hAnsi="Times New Roman" w:cs="Times New Roman"/>
        </w:rPr>
        <w:t>therefore fails to address the need</w:t>
      </w:r>
      <w:r w:rsidR="005B1BC3" w:rsidRPr="005501F4">
        <w:rPr>
          <w:rFonts w:ascii="Times New Roman" w:hAnsi="Times New Roman" w:cs="Times New Roman"/>
        </w:rPr>
        <w:t xml:space="preserve"> to</w:t>
      </w:r>
      <w:r w:rsidR="00970867" w:rsidRPr="005501F4">
        <w:rPr>
          <w:rFonts w:ascii="Times New Roman" w:hAnsi="Times New Roman" w:cs="Times New Roman"/>
        </w:rPr>
        <w:t>:</w:t>
      </w:r>
    </w:p>
    <w:p w14:paraId="5B1465BB" w14:textId="77777777" w:rsidR="00970867" w:rsidRPr="005501F4" w:rsidRDefault="00970867" w:rsidP="005501F4">
      <w:pPr>
        <w:pStyle w:val="ListParagraph"/>
        <w:numPr>
          <w:ilvl w:val="1"/>
          <w:numId w:val="66"/>
        </w:numPr>
        <w:spacing w:line="276" w:lineRule="auto"/>
        <w:jc w:val="both"/>
        <w:rPr>
          <w:rFonts w:ascii="Times New Roman" w:hAnsi="Times New Roman" w:cs="Times New Roman"/>
        </w:rPr>
      </w:pPr>
      <w:r w:rsidRPr="005501F4">
        <w:rPr>
          <w:rFonts w:ascii="Times New Roman" w:hAnsi="Times New Roman" w:cs="Times New Roman"/>
        </w:rPr>
        <w:t>Provide safeguards for women who are incarcerated (such as the provision of female prison officers, pursuant to Article 3 of CEDAW and rule 81 of the Nelson Mandela Rules); and</w:t>
      </w:r>
    </w:p>
    <w:p w14:paraId="15FF9249" w14:textId="606D50E6" w:rsidR="005B1BC3" w:rsidRPr="005501F4" w:rsidRDefault="00970867" w:rsidP="005501F4">
      <w:pPr>
        <w:pStyle w:val="ListParagraph"/>
        <w:numPr>
          <w:ilvl w:val="1"/>
          <w:numId w:val="66"/>
        </w:numPr>
        <w:spacing w:line="276" w:lineRule="auto"/>
        <w:jc w:val="both"/>
        <w:rPr>
          <w:rFonts w:ascii="Times New Roman" w:hAnsi="Times New Roman" w:cs="Times New Roman"/>
        </w:rPr>
      </w:pPr>
      <w:r w:rsidRPr="005501F4">
        <w:rPr>
          <w:rFonts w:ascii="Times New Roman" w:hAnsi="Times New Roman" w:cs="Times New Roman"/>
        </w:rPr>
        <w:t>C</w:t>
      </w:r>
      <w:r w:rsidR="005B1BC3" w:rsidRPr="005501F4">
        <w:rPr>
          <w:rFonts w:ascii="Times New Roman" w:hAnsi="Times New Roman" w:cs="Times New Roman"/>
        </w:rPr>
        <w:t>ombat discrimination</w:t>
      </w:r>
      <w:r w:rsidRPr="005501F4">
        <w:rPr>
          <w:rFonts w:ascii="Times New Roman" w:hAnsi="Times New Roman" w:cs="Times New Roman"/>
        </w:rPr>
        <w:t xml:space="preserve"> against such women</w:t>
      </w:r>
      <w:r w:rsidR="005B1BC3" w:rsidRPr="005501F4">
        <w:rPr>
          <w:rFonts w:ascii="Times New Roman" w:hAnsi="Times New Roman" w:cs="Times New Roman"/>
        </w:rPr>
        <w:t>, including through the provision of reproductive healthcare and menstrual products</w:t>
      </w:r>
      <w:r w:rsidR="001D00AE" w:rsidRPr="005501F4">
        <w:rPr>
          <w:rFonts w:ascii="Times New Roman" w:hAnsi="Times New Roman" w:cs="Times New Roman"/>
        </w:rPr>
        <w:t xml:space="preserve"> (pursuant to Article 12 of CEDAW and the Bangkok Rules). </w:t>
      </w:r>
    </w:p>
    <w:p w14:paraId="1B784E64" w14:textId="3F9DE531" w:rsidR="001D00AE" w:rsidRPr="005501F4" w:rsidRDefault="001D00AE" w:rsidP="009905A8">
      <w:pPr>
        <w:pStyle w:val="ListParagraph"/>
        <w:numPr>
          <w:ilvl w:val="0"/>
          <w:numId w:val="31"/>
        </w:numPr>
        <w:spacing w:line="276" w:lineRule="auto"/>
        <w:jc w:val="both"/>
        <w:rPr>
          <w:rFonts w:ascii="Times New Roman" w:hAnsi="Times New Roman" w:cs="Times New Roman"/>
          <w:lang w:val="en-US"/>
        </w:rPr>
      </w:pPr>
      <w:r w:rsidRPr="005501F4">
        <w:rPr>
          <w:rFonts w:ascii="Times New Roman" w:hAnsi="Times New Roman" w:cs="Times New Roman"/>
        </w:rPr>
        <w:lastRenderedPageBreak/>
        <w:t>As of December 2023, the overall prison population in Kenya was estimated at 60,000 people, exceeding the intended capacity of 34,000 people.</w:t>
      </w:r>
      <w:r w:rsidRPr="005501F4">
        <w:rPr>
          <w:rStyle w:val="FootnoteReference"/>
          <w:rFonts w:ascii="Times New Roman" w:hAnsi="Times New Roman" w:cs="Times New Roman"/>
        </w:rPr>
        <w:footnoteReference w:id="48"/>
      </w:r>
      <w:r w:rsidRPr="005501F4">
        <w:rPr>
          <w:rFonts w:ascii="Times New Roman" w:hAnsi="Times New Roman" w:cs="Times New Roman"/>
        </w:rPr>
        <w:t xml:space="preserve"> This overcrowding has contributed to disease outbreaks such as tuberculosis,</w:t>
      </w:r>
      <w:r w:rsidRPr="005501F4">
        <w:rPr>
          <w:rStyle w:val="FootnoteReference"/>
          <w:rFonts w:ascii="Times New Roman" w:hAnsi="Times New Roman" w:cs="Times New Roman"/>
        </w:rPr>
        <w:footnoteReference w:id="49"/>
      </w:r>
      <w:r w:rsidRPr="005501F4">
        <w:rPr>
          <w:rFonts w:ascii="Times New Roman" w:hAnsi="Times New Roman" w:cs="Times New Roman"/>
        </w:rPr>
        <w:t xml:space="preserve"> while human rights organizations also report food and water shortages, inhumane sanitary conditions and lack of medical care.</w:t>
      </w:r>
      <w:r w:rsidRPr="005501F4">
        <w:rPr>
          <w:rStyle w:val="FootnoteReference"/>
          <w:rFonts w:ascii="Times New Roman" w:hAnsi="Times New Roman" w:cs="Times New Roman"/>
        </w:rPr>
        <w:footnoteReference w:id="50"/>
      </w:r>
      <w:r w:rsidRPr="005501F4">
        <w:rPr>
          <w:rFonts w:ascii="Times New Roman" w:hAnsi="Times New Roman" w:cs="Times New Roman"/>
        </w:rPr>
        <w:t xml:space="preserve"> In 2022, the Death Penalty Project reported that 67% of people under sentence of death said that their health had suffered since they had been incarcerated;</w:t>
      </w:r>
      <w:r w:rsidRPr="005501F4">
        <w:rPr>
          <w:rStyle w:val="FootnoteReference"/>
          <w:rFonts w:ascii="Times New Roman" w:hAnsi="Times New Roman" w:cs="Times New Roman"/>
        </w:rPr>
        <w:footnoteReference w:id="51"/>
      </w:r>
      <w:r w:rsidRPr="005501F4">
        <w:rPr>
          <w:rFonts w:ascii="Times New Roman" w:hAnsi="Times New Roman" w:cs="Times New Roman"/>
        </w:rPr>
        <w:t xml:space="preserve"> 35% said that they did not have nourishing food in prison; and 31% said they did not have access to medical care.</w:t>
      </w:r>
      <w:r w:rsidRPr="005501F4">
        <w:rPr>
          <w:rStyle w:val="FootnoteReference"/>
          <w:rFonts w:ascii="Times New Roman" w:hAnsi="Times New Roman" w:cs="Times New Roman"/>
        </w:rPr>
        <w:footnoteReference w:id="52"/>
      </w:r>
    </w:p>
    <w:p w14:paraId="57F04D13" w14:textId="2D4F8411" w:rsidR="0034057B" w:rsidRPr="005501F4" w:rsidRDefault="001D00AE" w:rsidP="009905A8">
      <w:pPr>
        <w:pStyle w:val="ListParagraph"/>
        <w:numPr>
          <w:ilvl w:val="0"/>
          <w:numId w:val="31"/>
        </w:numPr>
        <w:spacing w:line="276" w:lineRule="auto"/>
        <w:jc w:val="both"/>
        <w:rPr>
          <w:rFonts w:ascii="Times New Roman" w:hAnsi="Times New Roman" w:cs="Times New Roman"/>
          <w:lang w:val="en-US"/>
        </w:rPr>
      </w:pPr>
      <w:r w:rsidRPr="005501F4">
        <w:rPr>
          <w:rFonts w:ascii="Times New Roman" w:hAnsi="Times New Roman" w:cs="Times New Roman"/>
        </w:rPr>
        <w:t xml:space="preserve">Set against this broader background, women prisoners </w:t>
      </w:r>
      <w:r w:rsidR="00797D60" w:rsidRPr="005501F4">
        <w:rPr>
          <w:rFonts w:ascii="Times New Roman" w:hAnsi="Times New Roman" w:cs="Times New Roman"/>
        </w:rPr>
        <w:t xml:space="preserve">detained on capital charges </w:t>
      </w:r>
      <w:r w:rsidRPr="005501F4">
        <w:rPr>
          <w:rFonts w:ascii="Times New Roman" w:hAnsi="Times New Roman" w:cs="Times New Roman"/>
        </w:rPr>
        <w:t>continue to experience discrimination in terms of treatment and prison conditions</w:t>
      </w:r>
      <w:r w:rsidR="005B1BC3" w:rsidRPr="005501F4">
        <w:rPr>
          <w:rFonts w:ascii="Times New Roman" w:hAnsi="Times New Roman" w:cs="Times New Roman"/>
        </w:rPr>
        <w:t xml:space="preserve">. For example, </w:t>
      </w:r>
      <w:r w:rsidR="00466174" w:rsidRPr="005501F4">
        <w:rPr>
          <w:rFonts w:ascii="Times New Roman" w:hAnsi="Times New Roman" w:cs="Times New Roman"/>
        </w:rPr>
        <w:t>Reprieve has worked with women who have suffered harassment and emotional abuse at and after arrest</w:t>
      </w:r>
      <w:r w:rsidR="00A477EA" w:rsidRPr="005501F4">
        <w:rPr>
          <w:rFonts w:ascii="Times New Roman" w:hAnsi="Times New Roman" w:cs="Times New Roman"/>
        </w:rPr>
        <w:t>.</w:t>
      </w:r>
      <w:r w:rsidR="00466174" w:rsidRPr="005501F4">
        <w:rPr>
          <w:rFonts w:ascii="Times New Roman" w:hAnsi="Times New Roman" w:cs="Times New Roman"/>
        </w:rPr>
        <w:t xml:space="preserve"> </w:t>
      </w:r>
      <w:r w:rsidR="00A477EA" w:rsidRPr="005501F4">
        <w:rPr>
          <w:rFonts w:ascii="Times New Roman" w:hAnsi="Times New Roman" w:cs="Times New Roman"/>
        </w:rPr>
        <w:t>I</w:t>
      </w:r>
      <w:r w:rsidR="00466174" w:rsidRPr="005501F4">
        <w:rPr>
          <w:rFonts w:ascii="Times New Roman" w:hAnsi="Times New Roman" w:cs="Times New Roman"/>
        </w:rPr>
        <w:t xml:space="preserve">n some cases, women who have small children with them at the time of detention </w:t>
      </w:r>
      <w:r w:rsidR="00216C08" w:rsidRPr="005501F4">
        <w:rPr>
          <w:rFonts w:ascii="Times New Roman" w:hAnsi="Times New Roman" w:cs="Times New Roman"/>
        </w:rPr>
        <w:t>have not been</w:t>
      </w:r>
      <w:r w:rsidR="00466174" w:rsidRPr="005501F4">
        <w:rPr>
          <w:rFonts w:ascii="Times New Roman" w:hAnsi="Times New Roman" w:cs="Times New Roman"/>
        </w:rPr>
        <w:t xml:space="preserve"> provided with </w:t>
      </w:r>
      <w:r w:rsidR="00216C08" w:rsidRPr="005501F4">
        <w:rPr>
          <w:rFonts w:ascii="Times New Roman" w:hAnsi="Times New Roman" w:cs="Times New Roman"/>
        </w:rPr>
        <w:t xml:space="preserve">the </w:t>
      </w:r>
      <w:r w:rsidR="00466174" w:rsidRPr="005501F4">
        <w:rPr>
          <w:rFonts w:ascii="Times New Roman" w:hAnsi="Times New Roman" w:cs="Times New Roman"/>
        </w:rPr>
        <w:t xml:space="preserve">necessary baby supplies. </w:t>
      </w:r>
      <w:r w:rsidR="005B1BC3" w:rsidRPr="005501F4">
        <w:rPr>
          <w:rFonts w:ascii="Times New Roman" w:hAnsi="Times New Roman" w:cs="Times New Roman"/>
          <w:lang w:val="en-US"/>
        </w:rPr>
        <w:t>ICJ Kenya</w:t>
      </w:r>
      <w:r w:rsidRPr="005501F4">
        <w:rPr>
          <w:rFonts w:ascii="Times New Roman" w:hAnsi="Times New Roman" w:cs="Times New Roman"/>
          <w:lang w:val="en-US"/>
        </w:rPr>
        <w:t xml:space="preserve"> reports that </w:t>
      </w:r>
      <w:r w:rsidR="005B1BC3" w:rsidRPr="005501F4">
        <w:rPr>
          <w:rFonts w:ascii="Times New Roman" w:hAnsi="Times New Roman" w:cs="Times New Roman"/>
          <w:lang w:val="en-US"/>
        </w:rPr>
        <w:t>women on death row are often isolated from other people in detention “and many families abandon them, leaving them feeling rejected by both the system and their loved ones.”</w:t>
      </w:r>
      <w:r w:rsidR="00E01A3B" w:rsidRPr="005501F4">
        <w:rPr>
          <w:rStyle w:val="FootnoteReference"/>
          <w:rFonts w:ascii="Times New Roman" w:hAnsi="Times New Roman" w:cs="Times New Roman"/>
          <w:lang w:val="en-US"/>
        </w:rPr>
        <w:footnoteReference w:id="53"/>
      </w:r>
      <w:r w:rsidRPr="005501F4">
        <w:rPr>
          <w:rFonts w:ascii="Times New Roman" w:hAnsi="Times New Roman" w:cs="Times New Roman"/>
          <w:lang w:val="en-US"/>
        </w:rPr>
        <w:t xml:space="preserve"> </w:t>
      </w:r>
      <w:r w:rsidR="0034057B" w:rsidRPr="005501F4">
        <w:rPr>
          <w:rFonts w:ascii="Times New Roman" w:hAnsi="Times New Roman" w:cs="Times New Roman"/>
        </w:rPr>
        <w:t xml:space="preserve">The ICJ </w:t>
      </w:r>
      <w:r w:rsidR="00696803" w:rsidRPr="005501F4">
        <w:rPr>
          <w:rFonts w:ascii="Times New Roman" w:hAnsi="Times New Roman" w:cs="Times New Roman"/>
          <w:lang w:val="en-US"/>
        </w:rPr>
        <w:t>explains that for women “on death row who are mothers, the experience is particularly challenging. These women often battle with psychological and emotional distress, fearing for their children’s well-being and the uncertainty of their future. The strain of facing death row intensifies the mental health challenges they experience, impacting their ability to cope and be present, even within the constraints of a correctional facility.”</w:t>
      </w:r>
      <w:r w:rsidR="00E01A3B" w:rsidRPr="005501F4">
        <w:rPr>
          <w:rStyle w:val="FootnoteReference"/>
          <w:rFonts w:ascii="Times New Roman" w:hAnsi="Times New Roman" w:cs="Times New Roman"/>
          <w:lang w:val="en-US"/>
        </w:rPr>
        <w:footnoteReference w:id="54"/>
      </w:r>
      <w:r w:rsidR="00696803" w:rsidRPr="005501F4">
        <w:rPr>
          <w:rFonts w:ascii="Times New Roman" w:hAnsi="Times New Roman" w:cs="Times New Roman"/>
          <w:lang w:val="en-US"/>
        </w:rPr>
        <w:t xml:space="preserve"> </w:t>
      </w:r>
      <w:r w:rsidR="005B1BC3" w:rsidRPr="005501F4">
        <w:rPr>
          <w:rFonts w:ascii="Times New Roman" w:hAnsi="Times New Roman" w:cs="Times New Roman"/>
          <w:lang w:val="en-US"/>
        </w:rPr>
        <w:t xml:space="preserve">This issue is particularly pressing because Reprieve has found that women who had been sentenced to life imprisonment for </w:t>
      </w:r>
      <w:r w:rsidR="00035A0A" w:rsidRPr="005501F4">
        <w:rPr>
          <w:rFonts w:ascii="Times New Roman" w:hAnsi="Times New Roman" w:cs="Times New Roman"/>
          <w:lang w:val="en-US"/>
        </w:rPr>
        <w:t>capital</w:t>
      </w:r>
      <w:r w:rsidR="005B1BC3" w:rsidRPr="005501F4">
        <w:rPr>
          <w:rFonts w:ascii="Times New Roman" w:hAnsi="Times New Roman" w:cs="Times New Roman"/>
          <w:lang w:val="en-US"/>
        </w:rPr>
        <w:t xml:space="preserve"> offences were likely to have children when they went into prison.</w:t>
      </w:r>
      <w:r w:rsidR="005B1BC3" w:rsidRPr="005501F4">
        <w:rPr>
          <w:rStyle w:val="FootnoteReference"/>
          <w:rFonts w:ascii="Times New Roman" w:hAnsi="Times New Roman" w:cs="Times New Roman"/>
          <w:lang w:val="en-US"/>
        </w:rPr>
        <w:footnoteReference w:id="55"/>
      </w:r>
      <w:r w:rsidR="005B1BC3" w:rsidRPr="005501F4">
        <w:rPr>
          <w:rFonts w:ascii="Times New Roman" w:hAnsi="Times New Roman" w:cs="Times New Roman"/>
          <w:lang w:val="en-US"/>
        </w:rPr>
        <w:t xml:space="preserve"> </w:t>
      </w:r>
    </w:p>
    <w:p w14:paraId="320FFEEE" w14:textId="7C4DE362" w:rsidR="00696803" w:rsidRPr="005501F4" w:rsidRDefault="001D00AE"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lang w:val="en-US"/>
        </w:rPr>
        <w:t>Such discrim</w:t>
      </w:r>
      <w:r w:rsidR="00B76552" w:rsidRPr="005501F4">
        <w:rPr>
          <w:rFonts w:ascii="Times New Roman" w:hAnsi="Times New Roman" w:cs="Times New Roman"/>
          <w:lang w:val="en-US"/>
        </w:rPr>
        <w:t>in</w:t>
      </w:r>
      <w:r w:rsidRPr="005501F4">
        <w:rPr>
          <w:rFonts w:ascii="Times New Roman" w:hAnsi="Times New Roman" w:cs="Times New Roman"/>
          <w:lang w:val="en-US"/>
        </w:rPr>
        <w:t>ation also extends to the</w:t>
      </w:r>
      <w:r w:rsidR="00696803" w:rsidRPr="005501F4">
        <w:rPr>
          <w:rFonts w:ascii="Times New Roman" w:hAnsi="Times New Roman" w:cs="Times New Roman"/>
          <w:lang w:val="en-US"/>
        </w:rPr>
        <w:t xml:space="preserve"> children of women under sentence of death</w:t>
      </w:r>
      <w:r w:rsidRPr="005501F4">
        <w:rPr>
          <w:rFonts w:ascii="Times New Roman" w:hAnsi="Times New Roman" w:cs="Times New Roman"/>
          <w:lang w:val="en-US"/>
        </w:rPr>
        <w:t xml:space="preserve">: </w:t>
      </w:r>
      <w:r w:rsidR="00696803" w:rsidRPr="005501F4">
        <w:rPr>
          <w:rFonts w:ascii="Times New Roman" w:hAnsi="Times New Roman" w:cs="Times New Roman"/>
          <w:lang w:val="en-US"/>
        </w:rPr>
        <w:t xml:space="preserve">“[a]ccessing a parent on death row is challenging, involving intensive security </w:t>
      </w:r>
      <w:r w:rsidR="00696803" w:rsidRPr="005501F4">
        <w:rPr>
          <w:rFonts w:ascii="Times New Roman" w:hAnsi="Times New Roman" w:cs="Times New Roman"/>
          <w:lang w:val="en-US"/>
        </w:rPr>
        <w:lastRenderedPageBreak/>
        <w:t xml:space="preserve">procedures and limited or no physical contact. Visits may require travelling long </w:t>
      </w:r>
      <w:r w:rsidR="00035A0A" w:rsidRPr="005501F4">
        <w:rPr>
          <w:rFonts w:ascii="Times New Roman" w:hAnsi="Times New Roman" w:cs="Times New Roman"/>
          <w:lang w:val="en-US"/>
        </w:rPr>
        <w:t>distances and</w:t>
      </w:r>
      <w:r w:rsidR="00696803" w:rsidRPr="005501F4">
        <w:rPr>
          <w:rFonts w:ascii="Times New Roman" w:hAnsi="Times New Roman" w:cs="Times New Roman"/>
          <w:lang w:val="en-US"/>
        </w:rPr>
        <w:t xml:space="preserve"> contact options like phone calls may be restricted or forbidden.”</w:t>
      </w:r>
      <w:r w:rsidR="00E01A3B" w:rsidRPr="005501F4">
        <w:rPr>
          <w:rStyle w:val="FootnoteReference"/>
          <w:rFonts w:ascii="Times New Roman" w:hAnsi="Times New Roman" w:cs="Times New Roman"/>
          <w:lang w:val="en-US"/>
        </w:rPr>
        <w:footnoteReference w:id="56"/>
      </w:r>
      <w:r w:rsidR="00696803" w:rsidRPr="005501F4">
        <w:rPr>
          <w:rFonts w:ascii="Times New Roman" w:hAnsi="Times New Roman" w:cs="Times New Roman"/>
          <w:lang w:val="en-US"/>
        </w:rPr>
        <w:t xml:space="preserve"> </w:t>
      </w:r>
    </w:p>
    <w:p w14:paraId="67E29A97" w14:textId="36A814F5" w:rsidR="00035A0A" w:rsidRPr="005501F4" w:rsidRDefault="004E40D8" w:rsidP="005501F4">
      <w:pPr>
        <w:spacing w:line="276" w:lineRule="auto"/>
        <w:jc w:val="both"/>
        <w:rPr>
          <w:rFonts w:ascii="Times New Roman" w:hAnsi="Times New Roman" w:cs="Times New Roman"/>
          <w:b/>
          <w:bCs/>
          <w:u w:val="single"/>
        </w:rPr>
      </w:pPr>
      <w:r w:rsidRPr="005501F4">
        <w:rPr>
          <w:rFonts w:ascii="Times New Roman" w:hAnsi="Times New Roman" w:cs="Times New Roman"/>
          <w:b/>
          <w:bCs/>
          <w:u w:val="single"/>
        </w:rPr>
        <w:t>Conclusion</w:t>
      </w:r>
      <w:r w:rsidR="00035A0A" w:rsidRPr="005501F4">
        <w:rPr>
          <w:rFonts w:ascii="Times New Roman" w:hAnsi="Times New Roman" w:cs="Times New Roman"/>
          <w:b/>
          <w:bCs/>
          <w:u w:val="single"/>
        </w:rPr>
        <w:t>: recommendations</w:t>
      </w:r>
    </w:p>
    <w:p w14:paraId="7B5183B2" w14:textId="77777777" w:rsidR="00035A0A" w:rsidRPr="005501F4" w:rsidRDefault="00035A0A" w:rsidP="009905A8">
      <w:pPr>
        <w:pStyle w:val="ListParagraph"/>
        <w:numPr>
          <w:ilvl w:val="0"/>
          <w:numId w:val="31"/>
        </w:numPr>
        <w:spacing w:line="276" w:lineRule="auto"/>
        <w:jc w:val="both"/>
        <w:rPr>
          <w:rFonts w:ascii="Times New Roman" w:hAnsi="Times New Roman" w:cs="Times New Roman"/>
        </w:rPr>
      </w:pPr>
      <w:r w:rsidRPr="005501F4">
        <w:rPr>
          <w:rFonts w:ascii="Times New Roman" w:hAnsi="Times New Roman" w:cs="Times New Roman"/>
        </w:rPr>
        <w:t>For the reasons outlined above, we respectfully recommend that the Committee includes the following in its List of Issues:</w:t>
      </w:r>
    </w:p>
    <w:p w14:paraId="013632A3" w14:textId="77777777" w:rsidR="00035A0A" w:rsidRPr="005501F4" w:rsidRDefault="00035A0A" w:rsidP="005501F4">
      <w:pPr>
        <w:pStyle w:val="ListParagraph"/>
        <w:spacing w:line="276" w:lineRule="auto"/>
        <w:jc w:val="both"/>
        <w:rPr>
          <w:rFonts w:ascii="Times New Roman" w:hAnsi="Times New Roman" w:cs="Times New Roman"/>
        </w:rPr>
      </w:pPr>
    </w:p>
    <w:p w14:paraId="696FAB0A" w14:textId="48178048" w:rsidR="007A3DEF" w:rsidRPr="005501F4" w:rsidRDefault="000F7356" w:rsidP="005501F4">
      <w:pPr>
        <w:pStyle w:val="ListParagraph"/>
        <w:numPr>
          <w:ilvl w:val="1"/>
          <w:numId w:val="38"/>
        </w:numPr>
        <w:spacing w:line="276" w:lineRule="auto"/>
        <w:jc w:val="both"/>
        <w:rPr>
          <w:rFonts w:ascii="Times New Roman" w:hAnsi="Times New Roman" w:cs="Times New Roman"/>
          <w:lang w:val="en-US"/>
        </w:rPr>
      </w:pPr>
      <w:r w:rsidRPr="000F7356">
        <w:rPr>
          <w:rFonts w:ascii="Times New Roman" w:hAnsi="Times New Roman" w:cs="Times New Roman"/>
          <w:lang w:val="en-US"/>
        </w:rPr>
        <w:t>In light of its first ever vote in favor of the UN</w:t>
      </w:r>
      <w:r>
        <w:rPr>
          <w:rFonts w:ascii="Times New Roman" w:hAnsi="Times New Roman" w:cs="Times New Roman"/>
          <w:lang w:val="en-US"/>
        </w:rPr>
        <w:t xml:space="preserve"> General Assembly</w:t>
      </w:r>
      <w:r w:rsidRPr="000F7356">
        <w:rPr>
          <w:rFonts w:ascii="Times New Roman" w:hAnsi="Times New Roman" w:cs="Times New Roman"/>
          <w:lang w:val="en-US"/>
        </w:rPr>
        <w:t xml:space="preserve"> moratorium resolution in December 2025, showing the State party's commitment to the abolition of the death penalty</w:t>
      </w:r>
      <w:r>
        <w:rPr>
          <w:rFonts w:ascii="Times New Roman" w:hAnsi="Times New Roman" w:cs="Times New Roman"/>
          <w:lang w:val="en-US"/>
        </w:rPr>
        <w:t>, w</w:t>
      </w:r>
      <w:r w:rsidR="007A3DEF" w:rsidRPr="005501F4">
        <w:rPr>
          <w:rFonts w:ascii="Times New Roman" w:hAnsi="Times New Roman" w:cs="Times New Roman"/>
          <w:lang w:val="en-US"/>
        </w:rPr>
        <w:t>hat steps, if any, has the State Party taken to abolish the death penalty or to limit its scope to align with international human rights standards? Has the State Party taken any actions to ratify the Second Optional Protocol to the International Covenant on Civil and Political Rights?</w:t>
      </w:r>
    </w:p>
    <w:p w14:paraId="260B5191" w14:textId="5C7DA2D6" w:rsidR="003053C8" w:rsidRPr="005501F4" w:rsidRDefault="003053C8" w:rsidP="005501F4">
      <w:pPr>
        <w:pStyle w:val="ListParagraph"/>
        <w:numPr>
          <w:ilvl w:val="1"/>
          <w:numId w:val="38"/>
        </w:numPr>
        <w:spacing w:line="276" w:lineRule="auto"/>
        <w:jc w:val="both"/>
        <w:rPr>
          <w:rFonts w:ascii="Times New Roman" w:hAnsi="Times New Roman" w:cs="Times New Roman"/>
          <w:lang w:val="en-US"/>
        </w:rPr>
      </w:pPr>
      <w:r w:rsidRPr="005501F4">
        <w:rPr>
          <w:rFonts w:ascii="Times New Roman" w:hAnsi="Times New Roman" w:cs="Times New Roman"/>
        </w:rPr>
        <w:t>Please provide information about all women sentenced to death or under sentence of death during the reporting period, disaggregated by age, nationality, racial or ethnic group, age of any dependent children, relationship to any victim or co-defendant, crime of conviction, court of conviction, dates of arrest and conviction, current location, and status of any appeals or requests for mercy.</w:t>
      </w:r>
    </w:p>
    <w:p w14:paraId="17414B25" w14:textId="2E82C295" w:rsidR="00035A0A" w:rsidRPr="005501F4" w:rsidRDefault="00035A0A" w:rsidP="005501F4">
      <w:pPr>
        <w:pStyle w:val="ListParagraph"/>
        <w:numPr>
          <w:ilvl w:val="1"/>
          <w:numId w:val="38"/>
        </w:numPr>
        <w:spacing w:line="276" w:lineRule="auto"/>
        <w:jc w:val="both"/>
        <w:rPr>
          <w:rFonts w:ascii="Times New Roman" w:hAnsi="Times New Roman" w:cs="Times New Roman"/>
        </w:rPr>
      </w:pPr>
      <w:r w:rsidRPr="005501F4">
        <w:rPr>
          <w:rFonts w:ascii="Times New Roman" w:hAnsi="Times New Roman" w:cs="Times New Roman"/>
          <w:lang w:val="en-US"/>
        </w:rPr>
        <w:t>Please explain what steps the State party is taking to provide fair trial and due process safeguards in capital cases involving women defendants, including:</w:t>
      </w:r>
    </w:p>
    <w:p w14:paraId="3EEC7933" w14:textId="7992CC51" w:rsidR="00035A0A" w:rsidRPr="005501F4" w:rsidRDefault="00AD72E7" w:rsidP="005501F4">
      <w:pPr>
        <w:pStyle w:val="ListParagraph"/>
        <w:numPr>
          <w:ilvl w:val="2"/>
          <w:numId w:val="38"/>
        </w:numPr>
        <w:spacing w:line="276" w:lineRule="auto"/>
        <w:jc w:val="both"/>
        <w:rPr>
          <w:rFonts w:ascii="Times New Roman" w:hAnsi="Times New Roman" w:cs="Times New Roman"/>
          <w:lang w:val="en-US"/>
        </w:rPr>
      </w:pPr>
      <w:r w:rsidRPr="005501F4">
        <w:rPr>
          <w:rFonts w:ascii="Times New Roman" w:hAnsi="Times New Roman" w:cs="Times New Roman"/>
          <w:lang w:val="en-US"/>
        </w:rPr>
        <w:t>Training and educating</w:t>
      </w:r>
      <w:r w:rsidRPr="005501F4">
        <w:rPr>
          <w:rFonts w:ascii="Times New Roman" w:hAnsi="Times New Roman" w:cs="Times New Roman"/>
        </w:rPr>
        <w:t xml:space="preserve"> capital defense counsel representing women regarding gender-specific defenses and mitigation in capital trials, encompassing trauma, gender-based violence, economic pressures, and family caretaking responsibilities</w:t>
      </w:r>
      <w:r w:rsidRPr="005501F4">
        <w:rPr>
          <w:rFonts w:ascii="Times New Roman" w:hAnsi="Times New Roman" w:cs="Times New Roman"/>
          <w:lang w:val="en-US"/>
        </w:rPr>
        <w:t>.</w:t>
      </w:r>
    </w:p>
    <w:p w14:paraId="10F265B2" w14:textId="77777777" w:rsidR="00035A0A" w:rsidRPr="005501F4" w:rsidRDefault="00035A0A" w:rsidP="005501F4">
      <w:pPr>
        <w:pStyle w:val="ListParagraph"/>
        <w:numPr>
          <w:ilvl w:val="2"/>
          <w:numId w:val="38"/>
        </w:numPr>
        <w:spacing w:line="276" w:lineRule="auto"/>
        <w:jc w:val="both"/>
        <w:rPr>
          <w:rFonts w:ascii="Times New Roman" w:hAnsi="Times New Roman" w:cs="Times New Roman"/>
          <w:lang w:val="en-US"/>
        </w:rPr>
      </w:pPr>
      <w:r w:rsidRPr="005501F4">
        <w:rPr>
          <w:rFonts w:ascii="Times New Roman" w:hAnsi="Times New Roman" w:cs="Times New Roman"/>
          <w:lang w:val="en-US"/>
        </w:rPr>
        <w:t>Codifying gender-specific defenses and mitigation in capital cases, encompassing women’s experiences of trauma, poverty, and gender-based violence (</w:t>
      </w:r>
      <w:r w:rsidRPr="005501F4">
        <w:rPr>
          <w:rFonts w:ascii="Times New Roman" w:hAnsi="Times New Roman" w:cs="Times New Roman"/>
          <w:b/>
          <w:bCs/>
          <w:lang w:val="en-US"/>
        </w:rPr>
        <w:t>GBV</w:t>
      </w:r>
      <w:r w:rsidRPr="005501F4">
        <w:rPr>
          <w:rFonts w:ascii="Times New Roman" w:hAnsi="Times New Roman" w:cs="Times New Roman"/>
          <w:lang w:val="en-US"/>
        </w:rPr>
        <w:t>). </w:t>
      </w:r>
    </w:p>
    <w:p w14:paraId="3E341676" w14:textId="59CF1391" w:rsidR="00035A0A" w:rsidRPr="005501F4" w:rsidRDefault="00AD72E7" w:rsidP="005501F4">
      <w:pPr>
        <w:pStyle w:val="ListParagraph"/>
        <w:numPr>
          <w:ilvl w:val="2"/>
          <w:numId w:val="38"/>
        </w:numPr>
        <w:spacing w:line="276" w:lineRule="auto"/>
        <w:jc w:val="both"/>
        <w:rPr>
          <w:rFonts w:ascii="Times New Roman" w:hAnsi="Times New Roman" w:cs="Times New Roman"/>
          <w:lang w:val="en-US"/>
        </w:rPr>
      </w:pPr>
      <w:r w:rsidRPr="005501F4">
        <w:rPr>
          <w:rFonts w:ascii="Times New Roman" w:hAnsi="Times New Roman" w:cs="Times New Roman"/>
          <w:lang w:val="en-US"/>
        </w:rPr>
        <w:t>Training</w:t>
      </w:r>
      <w:r w:rsidR="00035A0A" w:rsidRPr="005501F4">
        <w:rPr>
          <w:rFonts w:ascii="Times New Roman" w:hAnsi="Times New Roman" w:cs="Times New Roman"/>
          <w:lang w:val="en-US"/>
        </w:rPr>
        <w:t xml:space="preserve"> prosecutors</w:t>
      </w:r>
      <w:r w:rsidRPr="005501F4">
        <w:rPr>
          <w:rFonts w:ascii="Times New Roman" w:hAnsi="Times New Roman" w:cs="Times New Roman"/>
          <w:lang w:val="en-US"/>
        </w:rPr>
        <w:t>, judges</w:t>
      </w:r>
      <w:r w:rsidR="00035A0A" w:rsidRPr="005501F4">
        <w:rPr>
          <w:rFonts w:ascii="Times New Roman" w:hAnsi="Times New Roman" w:cs="Times New Roman"/>
          <w:lang w:val="en-US"/>
        </w:rPr>
        <w:t xml:space="preserve"> and </w:t>
      </w:r>
      <w:r w:rsidRPr="005501F4">
        <w:rPr>
          <w:rFonts w:ascii="Times New Roman" w:hAnsi="Times New Roman" w:cs="Times New Roman"/>
          <w:lang w:val="en-US"/>
        </w:rPr>
        <w:t xml:space="preserve">other </w:t>
      </w:r>
      <w:r w:rsidR="00035A0A" w:rsidRPr="005501F4">
        <w:rPr>
          <w:rFonts w:ascii="Times New Roman" w:hAnsi="Times New Roman" w:cs="Times New Roman"/>
          <w:lang w:val="en-US"/>
        </w:rPr>
        <w:t xml:space="preserve">judicial officers </w:t>
      </w:r>
      <w:r w:rsidRPr="005501F4">
        <w:rPr>
          <w:rFonts w:ascii="Times New Roman" w:hAnsi="Times New Roman" w:cs="Times New Roman"/>
        </w:rPr>
        <w:t>presiding over criminal proceedings, particularly in capital cases, to educate them about the importance of considering gender-specific defences and gender-specific mitigation in capital trials, including trauma, GBV, coercive control, economic pressures, and caretaking responsibilities</w:t>
      </w:r>
      <w:r w:rsidR="00035A0A" w:rsidRPr="005501F4">
        <w:rPr>
          <w:rFonts w:ascii="Times New Roman" w:hAnsi="Times New Roman" w:cs="Times New Roman"/>
          <w:lang w:val="en-US"/>
        </w:rPr>
        <w:t>. </w:t>
      </w:r>
    </w:p>
    <w:p w14:paraId="7FAE3E4D" w14:textId="02171B48" w:rsidR="003053C8" w:rsidRPr="000B135D" w:rsidRDefault="00035A0A" w:rsidP="000B135D">
      <w:pPr>
        <w:pStyle w:val="ListParagraph"/>
        <w:numPr>
          <w:ilvl w:val="1"/>
          <w:numId w:val="38"/>
        </w:numPr>
        <w:spacing w:line="276" w:lineRule="auto"/>
        <w:jc w:val="both"/>
        <w:rPr>
          <w:rFonts w:ascii="Times New Roman" w:hAnsi="Times New Roman" w:cs="Times New Roman"/>
          <w:lang w:val="en-US"/>
        </w:rPr>
      </w:pPr>
      <w:r w:rsidRPr="005501F4">
        <w:rPr>
          <w:rFonts w:ascii="Times New Roman" w:hAnsi="Times New Roman" w:cs="Times New Roman"/>
        </w:rPr>
        <w:t>Please explain whether the State party is taking steps to expand Gender Justice Courts to ensure at least one such court exists in every county.</w:t>
      </w:r>
      <w:r w:rsidRPr="005501F4">
        <w:rPr>
          <w:rFonts w:ascii="Times New Roman" w:hAnsi="Times New Roman" w:cs="Times New Roman"/>
          <w:lang w:val="en-US"/>
        </w:rPr>
        <w:t> </w:t>
      </w:r>
    </w:p>
    <w:p w14:paraId="30C0F461" w14:textId="77777777" w:rsidR="00035A0A" w:rsidRPr="005501F4" w:rsidRDefault="00035A0A" w:rsidP="005501F4">
      <w:pPr>
        <w:pStyle w:val="ListParagraph"/>
        <w:numPr>
          <w:ilvl w:val="1"/>
          <w:numId w:val="38"/>
        </w:numPr>
        <w:spacing w:line="276" w:lineRule="auto"/>
        <w:jc w:val="both"/>
        <w:rPr>
          <w:rFonts w:ascii="Times New Roman" w:hAnsi="Times New Roman" w:cs="Times New Roman"/>
          <w:lang w:val="en-US"/>
        </w:rPr>
      </w:pPr>
      <w:r w:rsidRPr="005501F4">
        <w:rPr>
          <w:rFonts w:ascii="Times New Roman" w:hAnsi="Times New Roman" w:cs="Times New Roman"/>
          <w:lang w:val="en-US"/>
        </w:rPr>
        <w:t xml:space="preserve">Please explain what steps the State party is taking to ensure that all prison authorities adopt gender-sensitive policies in relation to women’s detention, based on the Bangkok Rules and the Nelson Mandela Rules, ensuring women’s </w:t>
      </w:r>
      <w:r w:rsidRPr="005501F4">
        <w:rPr>
          <w:rFonts w:ascii="Times New Roman" w:hAnsi="Times New Roman" w:cs="Times New Roman"/>
          <w:lang w:val="en-US"/>
        </w:rPr>
        <w:lastRenderedPageBreak/>
        <w:t>safety and security pretrial, during admission to any detention facility, and while incarcerated, including by expanding the employment of female staff in detention facilities for women. </w:t>
      </w:r>
    </w:p>
    <w:p w14:paraId="756BEFB2" w14:textId="77777777" w:rsidR="00035A0A" w:rsidRPr="005501F4" w:rsidRDefault="00035A0A" w:rsidP="005501F4">
      <w:pPr>
        <w:pStyle w:val="ListParagraph"/>
        <w:numPr>
          <w:ilvl w:val="1"/>
          <w:numId w:val="38"/>
        </w:numPr>
        <w:spacing w:line="276" w:lineRule="auto"/>
        <w:jc w:val="both"/>
        <w:rPr>
          <w:rFonts w:ascii="Times New Roman" w:hAnsi="Times New Roman" w:cs="Times New Roman"/>
        </w:rPr>
      </w:pPr>
      <w:r w:rsidRPr="005501F4">
        <w:rPr>
          <w:rFonts w:ascii="Times New Roman" w:hAnsi="Times New Roman" w:cs="Times New Roman"/>
          <w:lang w:val="en-US"/>
        </w:rPr>
        <w:t>Please explain what steps the State party is taking to combat stigma and sensitize the media regarding coverage of capital cases, particularly when women are in conflict with the law.</w:t>
      </w:r>
    </w:p>
    <w:p w14:paraId="06E3B5B8" w14:textId="77777777" w:rsidR="004E40D8" w:rsidRPr="005501F4" w:rsidRDefault="004E40D8" w:rsidP="005501F4">
      <w:pPr>
        <w:spacing w:line="276" w:lineRule="auto"/>
        <w:jc w:val="both"/>
        <w:rPr>
          <w:rFonts w:ascii="Times New Roman" w:hAnsi="Times New Roman" w:cs="Times New Roman"/>
        </w:rPr>
      </w:pPr>
    </w:p>
    <w:sectPr w:rsidR="004E40D8" w:rsidRPr="005501F4" w:rsidSect="00886CB2">
      <w:headerReference w:type="default" r:id="rId11"/>
      <w:footerReference w:type="default" r:id="rId12"/>
      <w:pgSz w:w="11906" w:h="16838"/>
      <w:pgMar w:top="198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11802" w14:textId="77777777" w:rsidR="0054178F" w:rsidRDefault="0054178F" w:rsidP="005D03F3">
      <w:pPr>
        <w:spacing w:after="0" w:line="240" w:lineRule="auto"/>
      </w:pPr>
      <w:r>
        <w:separator/>
      </w:r>
    </w:p>
  </w:endnote>
  <w:endnote w:type="continuationSeparator" w:id="0">
    <w:p w14:paraId="040A5316" w14:textId="77777777" w:rsidR="0054178F" w:rsidRDefault="0054178F" w:rsidP="005D0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66C3" w14:textId="5C59A6E2" w:rsidR="0084494C" w:rsidRPr="0084494C" w:rsidRDefault="009905A8">
    <w:pPr>
      <w:pStyle w:val="Footer"/>
      <w:rPr>
        <w:rFonts w:ascii="Times New Roman" w:hAnsi="Times New Roman" w:cs="Times New Roman"/>
        <w:lang w:val="en-US"/>
      </w:rPr>
    </w:pPr>
    <w:r>
      <w:rPr>
        <w:rFonts w:ascii="Times New Roman" w:hAnsi="Times New Roman" w:cs="Times New Roman"/>
        <w:lang w:val="en-US"/>
      </w:rPr>
      <w:t xml:space="preserve">6 </w:t>
    </w:r>
    <w:r w:rsidR="0084494C" w:rsidRPr="0084494C">
      <w:rPr>
        <w:rFonts w:ascii="Times New Roman" w:hAnsi="Times New Roman" w:cs="Times New Roman"/>
        <w:lang w:val="en-US"/>
      </w:rPr>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F1625" w14:textId="77777777" w:rsidR="0054178F" w:rsidRDefault="0054178F" w:rsidP="005D03F3">
      <w:pPr>
        <w:spacing w:after="0" w:line="240" w:lineRule="auto"/>
      </w:pPr>
      <w:r>
        <w:separator/>
      </w:r>
    </w:p>
  </w:footnote>
  <w:footnote w:type="continuationSeparator" w:id="0">
    <w:p w14:paraId="0F783BA5" w14:textId="77777777" w:rsidR="0054178F" w:rsidRDefault="0054178F" w:rsidP="005D03F3">
      <w:pPr>
        <w:spacing w:after="0" w:line="240" w:lineRule="auto"/>
      </w:pPr>
      <w:r>
        <w:continuationSeparator/>
      </w:r>
    </w:p>
  </w:footnote>
  <w:footnote w:id="1">
    <w:p w14:paraId="7895567B" w14:textId="77777777" w:rsidR="005E0CE3" w:rsidRPr="00BF3B37" w:rsidRDefault="005E0CE3" w:rsidP="005E0CE3">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National Council on the Administration of Justice, Sentencing Policy Guidelines 2023, https://www.ncaj.go.ke/wpcontent/uploads/download-manager-files/UPDATED-SENTENCING-POLICY-GUIDELINES-2023.pdf.</w:t>
      </w:r>
    </w:p>
  </w:footnote>
  <w:footnote w:id="2">
    <w:p w14:paraId="5C7C7626" w14:textId="77777777" w:rsidR="004F4DFF" w:rsidRPr="00BF3B37" w:rsidRDefault="004F4DFF" w:rsidP="004F4DFF">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Pr="00BF3B37">
        <w:rPr>
          <w:rFonts w:ascii="Times New Roman" w:hAnsi="Times New Roman" w:cs="Times New Roman"/>
          <w:i/>
          <w:iCs/>
        </w:rPr>
        <w:t>Francis Karioko Muruatetu &amp; another v Republic</w:t>
      </w:r>
      <w:r w:rsidRPr="00BF3B37">
        <w:rPr>
          <w:rFonts w:ascii="Times New Roman" w:hAnsi="Times New Roman" w:cs="Times New Roman"/>
        </w:rPr>
        <w:t xml:space="preserve"> (Petition No. 15 of 2015), paragraph 112(a).</w:t>
      </w:r>
    </w:p>
  </w:footnote>
  <w:footnote w:id="3">
    <w:p w14:paraId="2DCD7170" w14:textId="77777777" w:rsidR="004F4DFF" w:rsidRPr="009905A8" w:rsidRDefault="004F4DFF" w:rsidP="004F4DFF">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Muruatetu &amp; another v Republic; Katiba Institute &amp; 4 others (Amicus Curiae) (Petition 15 &amp; 16 of 2015) [2021] KESC 31 (KLR).</w:t>
      </w:r>
    </w:p>
  </w:footnote>
  <w:footnote w:id="4">
    <w:p w14:paraId="6596871D" w14:textId="40EE2317" w:rsidR="00354848" w:rsidRPr="009905A8" w:rsidRDefault="00354848">
      <w:pPr>
        <w:pStyle w:val="FootnoteText"/>
        <w:rPr>
          <w:rFonts w:ascii="Times New Roman" w:hAnsi="Times New Roman" w:cs="Times New Roman"/>
        </w:rPr>
      </w:pPr>
      <w:r w:rsidRPr="009905A8">
        <w:rPr>
          <w:rStyle w:val="FootnoteReference"/>
          <w:rFonts w:ascii="Times New Roman" w:hAnsi="Times New Roman" w:cs="Times New Roman"/>
        </w:rPr>
        <w:footnoteRef/>
      </w:r>
      <w:r w:rsidRPr="009905A8">
        <w:rPr>
          <w:rFonts w:ascii="Times New Roman" w:hAnsi="Times New Roman" w:cs="Times New Roman"/>
        </w:rPr>
        <w:t xml:space="preserve"> In 2009, then-President Kibaki commuted the sentences of more than 4,000 inmates on death row (</w:t>
      </w:r>
      <w:hyperlink r:id="rId1" w:history="1">
        <w:r w:rsidRPr="009905A8">
          <w:rPr>
            <w:rStyle w:val="Hyperlink"/>
            <w:rFonts w:ascii="Times New Roman" w:hAnsi="Times New Roman" w:cs="Times New Roman"/>
          </w:rPr>
          <w:t>https://deathpenaltyinfo.org/international-clemency-kenya-commutes-4-000-death-sentences</w:t>
        </w:r>
      </w:hyperlink>
      <w:r w:rsidRPr="009905A8">
        <w:rPr>
          <w:rFonts w:ascii="Times New Roman" w:hAnsi="Times New Roman" w:cs="Times New Roman"/>
        </w:rPr>
        <w:t>). On 24 October 2016, then-President Uhuru Kenyatta commuted the death sentences of 2,747 people to life imprisonment. In 2023, 606 commutations were granted (</w:t>
      </w:r>
      <w:hyperlink r:id="rId2" w:history="1">
        <w:r w:rsidRPr="009905A8">
          <w:rPr>
            <w:rStyle w:val="Hyperlink"/>
            <w:rFonts w:ascii="Times New Roman" w:hAnsi="Times New Roman" w:cs="Times New Roman"/>
          </w:rPr>
          <w:t>https://www.amnestykenya.org/petition/urge-members-of-parliament-to-fully-abolish-the-death-penality/</w:t>
        </w:r>
      </w:hyperlink>
      <w:r w:rsidRPr="009905A8">
        <w:rPr>
          <w:rFonts w:ascii="Times New Roman" w:hAnsi="Times New Roman" w:cs="Times New Roman"/>
        </w:rPr>
        <w:t xml:space="preserve">). </w:t>
      </w:r>
    </w:p>
  </w:footnote>
  <w:footnote w:id="5">
    <w:p w14:paraId="6351A811" w14:textId="7603DD7E" w:rsidR="00857C31" w:rsidRPr="009905A8" w:rsidRDefault="00857C31">
      <w:pPr>
        <w:pStyle w:val="FootnoteText"/>
        <w:rPr>
          <w:rFonts w:ascii="Times New Roman" w:hAnsi="Times New Roman" w:cs="Times New Roman"/>
          <w:lang w:val="en-US"/>
        </w:rPr>
      </w:pPr>
      <w:r w:rsidRPr="009905A8">
        <w:rPr>
          <w:rStyle w:val="FootnoteReference"/>
          <w:rFonts w:ascii="Times New Roman" w:hAnsi="Times New Roman" w:cs="Times New Roman"/>
        </w:rPr>
        <w:footnoteRef/>
      </w:r>
      <w:r w:rsidRPr="009905A8">
        <w:rPr>
          <w:rFonts w:ascii="Times New Roman" w:hAnsi="Times New Roman" w:cs="Times New Roman"/>
        </w:rPr>
        <w:t xml:space="preserve"> </w:t>
      </w:r>
      <w:r w:rsidRPr="009905A8">
        <w:rPr>
          <w:rFonts w:ascii="Times New Roman" w:hAnsi="Times New Roman" w:cs="Times New Roman"/>
          <w:lang w:val="en-US"/>
        </w:rPr>
        <w:t>See</w:t>
      </w:r>
      <w:r w:rsidR="004162F7" w:rsidRPr="009905A8">
        <w:rPr>
          <w:rFonts w:ascii="Times New Roman" w:hAnsi="Times New Roman" w:cs="Times New Roman"/>
          <w:lang w:val="en-US"/>
        </w:rPr>
        <w:t xml:space="preserve"> </w:t>
      </w:r>
      <w:r w:rsidRPr="009905A8">
        <w:rPr>
          <w:rFonts w:ascii="Times New Roman" w:hAnsi="Times New Roman" w:cs="Times New Roman"/>
          <w:lang w:val="en-US"/>
        </w:rPr>
        <w:t xml:space="preserve">the case of </w:t>
      </w:r>
      <w:r w:rsidRPr="009905A8">
        <w:rPr>
          <w:rFonts w:ascii="Times New Roman" w:hAnsi="Times New Roman" w:cs="Times New Roman"/>
          <w:i/>
          <w:iCs/>
          <w:lang w:val="en-US"/>
        </w:rPr>
        <w:t>Justus Ndung’u Ndung’u vs Republic</w:t>
      </w:r>
      <w:r w:rsidR="004162F7" w:rsidRPr="009905A8">
        <w:rPr>
          <w:rFonts w:ascii="Times New Roman" w:hAnsi="Times New Roman" w:cs="Times New Roman"/>
          <w:i/>
          <w:iCs/>
          <w:lang w:val="en-US"/>
        </w:rPr>
        <w:t xml:space="preserve"> </w:t>
      </w:r>
      <w:r w:rsidR="004162F7" w:rsidRPr="009905A8">
        <w:rPr>
          <w:rFonts w:ascii="Times New Roman" w:hAnsi="Times New Roman" w:cs="Times New Roman"/>
          <w:lang w:val="en-US"/>
        </w:rPr>
        <w:t xml:space="preserve">as reported here, for example: </w:t>
      </w:r>
      <w:hyperlink r:id="rId3" w:history="1">
        <w:r w:rsidR="004162F7" w:rsidRPr="009905A8">
          <w:rPr>
            <w:rStyle w:val="Hyperlink"/>
            <w:rFonts w:ascii="Times New Roman" w:hAnsi="Times New Roman" w:cs="Times New Roman"/>
            <w:lang w:val="en-US"/>
          </w:rPr>
          <w:t>https://indconlawphil.wordpress.com/2024/03/25/the-high-court-of-kenya-strikes-down-life-imprisonment/</w:t>
        </w:r>
      </w:hyperlink>
      <w:r w:rsidR="004162F7" w:rsidRPr="009905A8">
        <w:rPr>
          <w:rFonts w:ascii="Times New Roman" w:hAnsi="Times New Roman" w:cs="Times New Roman"/>
          <w:lang w:val="en-US"/>
        </w:rPr>
        <w:t>.</w:t>
      </w:r>
    </w:p>
  </w:footnote>
  <w:footnote w:id="6">
    <w:p w14:paraId="3CCCDDD0" w14:textId="4388D12F" w:rsidR="00ED5C9F" w:rsidRPr="00BF3B37" w:rsidRDefault="00ED5C9F" w:rsidP="00ED5C9F">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World Coalition Against the Death Penalty, ICJ Kenya Makes Gender Discrimination in Capital Punishment Visible (2024), citing ICJ Kenya. Also available online at: </w:t>
      </w:r>
      <w:hyperlink r:id="rId4" w:history="1">
        <w:r w:rsidRPr="00BF3B37">
          <w:rPr>
            <w:rStyle w:val="Hyperlink"/>
            <w:rFonts w:ascii="Times New Roman" w:hAnsi="Times New Roman" w:cs="Times New Roman"/>
          </w:rPr>
          <w:t>https://worldcoalition.org/2024/03/08/icj-kenya-makes-genderdiscrimination-in-capital-punishment-visible/</w:t>
        </w:r>
      </w:hyperlink>
      <w:r w:rsidR="0006595B">
        <w:rPr>
          <w:rStyle w:val="Hyperlink"/>
          <w:rFonts w:ascii="Times New Roman" w:hAnsi="Times New Roman" w:cs="Times New Roman"/>
        </w:rPr>
        <w:t>.</w:t>
      </w:r>
    </w:p>
  </w:footnote>
  <w:footnote w:id="7">
    <w:p w14:paraId="2A965D31" w14:textId="71EDB7AE" w:rsidR="005665E6" w:rsidRPr="00BF3B37" w:rsidRDefault="005665E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Amnesty</w:t>
      </w:r>
      <w:r w:rsidR="00322ADF" w:rsidRPr="00BF3B37">
        <w:rPr>
          <w:rFonts w:ascii="Times New Roman" w:hAnsi="Times New Roman" w:cs="Times New Roman"/>
        </w:rPr>
        <w:t xml:space="preserve"> International Global Report: Death Sentences and Executions in 2023, p. 12. Also available online at </w:t>
      </w:r>
      <w:hyperlink r:id="rId5" w:history="1">
        <w:r w:rsidR="00322ADF" w:rsidRPr="00BF3B37">
          <w:rPr>
            <w:rStyle w:val="Hyperlink"/>
            <w:rFonts w:ascii="Times New Roman" w:hAnsi="Times New Roman" w:cs="Times New Roman"/>
          </w:rPr>
          <w:t>https://www.amnestykenya.org/wp-content/uploads/2024/05/ACT5079522024ENGLISH.pdf</w:t>
        </w:r>
      </w:hyperlink>
      <w:r w:rsidR="00322ADF" w:rsidRPr="00BF3B37">
        <w:rPr>
          <w:rFonts w:ascii="Times New Roman" w:hAnsi="Times New Roman" w:cs="Times New Roman"/>
        </w:rPr>
        <w:t>.</w:t>
      </w:r>
    </w:p>
  </w:footnote>
  <w:footnote w:id="8">
    <w:p w14:paraId="2FF1A89A" w14:textId="77777777" w:rsidR="005665E6" w:rsidRPr="00BF3B37" w:rsidRDefault="005665E6" w:rsidP="005665E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World Coalition Against the Death Penalty, ICJ Kenya Makes Gender Discrimination in Capital Punishment Visible (2024), citing ICJ Kenya. Also available online at: </w:t>
      </w:r>
      <w:hyperlink r:id="rId6" w:history="1">
        <w:r w:rsidRPr="00BF3B37">
          <w:rPr>
            <w:rStyle w:val="Hyperlink"/>
            <w:rFonts w:ascii="Times New Roman" w:hAnsi="Times New Roman" w:cs="Times New Roman"/>
          </w:rPr>
          <w:t>https://worldcoalition.org/2024/03/08/icj-kenya-makes-genderdiscrimination-in-capital-punishment-visible/</w:t>
        </w:r>
      </w:hyperlink>
      <w:r w:rsidRPr="00BF3B37">
        <w:rPr>
          <w:rFonts w:ascii="Times New Roman" w:hAnsi="Times New Roman" w:cs="Times New Roman"/>
        </w:rPr>
        <w:t xml:space="preserve"> </w:t>
      </w:r>
    </w:p>
  </w:footnote>
  <w:footnote w:id="9">
    <w:p w14:paraId="4761E2D1" w14:textId="782E9A88" w:rsidR="00EE58E2" w:rsidRPr="00BF3B37" w:rsidRDefault="00EE58E2">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Kenya’s Report</w:t>
      </w:r>
      <w:r w:rsidR="00645007" w:rsidRPr="00BF3B37">
        <w:rPr>
          <w:rFonts w:ascii="Times New Roman" w:hAnsi="Times New Roman" w:cs="Times New Roman"/>
        </w:rPr>
        <w:t>, paragraphs 226 to 254</w:t>
      </w:r>
      <w:r w:rsidRPr="00BF3B37">
        <w:rPr>
          <w:rFonts w:ascii="Times New Roman" w:hAnsi="Times New Roman" w:cs="Times New Roman"/>
        </w:rPr>
        <w:t xml:space="preserve">. </w:t>
      </w:r>
    </w:p>
  </w:footnote>
  <w:footnote w:id="10">
    <w:p w14:paraId="4933643E" w14:textId="1F2E2542" w:rsidR="00025EDF" w:rsidRPr="00BF3B37" w:rsidRDefault="00025EDF">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D1E5F" w:rsidRPr="00BF3B37">
        <w:rPr>
          <w:rFonts w:ascii="Times New Roman" w:hAnsi="Times New Roman" w:cs="Times New Roman"/>
        </w:rPr>
        <w:t xml:space="preserve">International Commission of Jurists Kenyan Section, Damaris Kemunto: Crucial Mission to Eradicate Death Penalty (2024). Also available online at: </w:t>
      </w:r>
      <w:hyperlink r:id="rId7" w:history="1">
        <w:r w:rsidR="00DD1E5F" w:rsidRPr="00BF3B37">
          <w:rPr>
            <w:rStyle w:val="Hyperlink"/>
            <w:rFonts w:ascii="Times New Roman" w:hAnsi="Times New Roman" w:cs="Times New Roman"/>
          </w:rPr>
          <w:t>https://icj-kenya.org/news/beyond-the-gavel-young-lawyers-crucial-mission-to-eradicate-the-death-penalty/</w:t>
        </w:r>
      </w:hyperlink>
      <w:r w:rsidR="00DD1E5F" w:rsidRPr="00BF3B37">
        <w:rPr>
          <w:rFonts w:ascii="Times New Roman" w:hAnsi="Times New Roman" w:cs="Times New Roman"/>
        </w:rPr>
        <w:t xml:space="preserve"> </w:t>
      </w:r>
    </w:p>
  </w:footnote>
  <w:footnote w:id="11">
    <w:p w14:paraId="1DD06D47" w14:textId="3D813970" w:rsidR="00040306" w:rsidRPr="00BF3B37" w:rsidRDefault="00040306" w:rsidP="0004030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D1E5F" w:rsidRPr="00BF3B37">
        <w:rPr>
          <w:rFonts w:ascii="Times New Roman" w:hAnsi="Times New Roman" w:cs="Times New Roman"/>
        </w:rPr>
        <w:t xml:space="preserve">International Commission of Jurists—Kenyan Section, Women and the Death Penalty in Kenya: Essays on the Gendered Perspective of the Death Penalty (2024), at 42, available at </w:t>
      </w:r>
      <w:hyperlink r:id="rId8" w:history="1">
        <w:r w:rsidR="00DD1E5F" w:rsidRPr="00BF3B37">
          <w:rPr>
            <w:rStyle w:val="Hyperlink"/>
            <w:rFonts w:ascii="Times New Roman" w:hAnsi="Times New Roman" w:cs="Times New Roman"/>
          </w:rPr>
          <w:t>https://icj-kenya.org/news/sdm_downloads/women-and-the-death-penalty-in-kenya/</w:t>
        </w:r>
      </w:hyperlink>
      <w:r w:rsidR="00DD1E5F" w:rsidRPr="00BF3B37">
        <w:rPr>
          <w:rFonts w:ascii="Times New Roman" w:hAnsi="Times New Roman" w:cs="Times New Roman"/>
        </w:rPr>
        <w:t xml:space="preserve">. </w:t>
      </w:r>
    </w:p>
  </w:footnote>
  <w:footnote w:id="12">
    <w:p w14:paraId="5FFD0B64" w14:textId="4F7F2162" w:rsidR="00040306" w:rsidRPr="00BF3B37" w:rsidRDefault="00040306" w:rsidP="0004030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D1E5F" w:rsidRPr="00BF3B37">
        <w:rPr>
          <w:rFonts w:ascii="Times New Roman" w:hAnsi="Times New Roman" w:cs="Times New Roman"/>
        </w:rPr>
        <w:t xml:space="preserve">International Commission of Jurists Kenyan Section, Damaris Kemunto: Crucial Mission to Eradicate Death Penalty (2024). Also available online at: </w:t>
      </w:r>
      <w:hyperlink r:id="rId9" w:history="1">
        <w:r w:rsidR="00DD1E5F" w:rsidRPr="00BF3B37">
          <w:rPr>
            <w:rStyle w:val="Hyperlink"/>
            <w:rFonts w:ascii="Times New Roman" w:hAnsi="Times New Roman" w:cs="Times New Roman"/>
          </w:rPr>
          <w:t>https://icj-kenya.org/news/beyond-the-gavel-young-lawyers-crucial-mission-to-eradicate-the-death-penalty/</w:t>
        </w:r>
      </w:hyperlink>
      <w:r w:rsidR="00DD1E5F" w:rsidRPr="00BF3B37">
        <w:rPr>
          <w:rFonts w:ascii="Times New Roman" w:hAnsi="Times New Roman" w:cs="Times New Roman"/>
        </w:rPr>
        <w:t xml:space="preserve">. </w:t>
      </w:r>
    </w:p>
  </w:footnote>
  <w:footnote w:id="13">
    <w:p w14:paraId="09AAE9ED" w14:textId="77272BBD" w:rsidR="00040306" w:rsidRPr="00BF3B37" w:rsidRDefault="00040306" w:rsidP="0004030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D1E5F" w:rsidRPr="00BF3B37">
        <w:rPr>
          <w:rFonts w:ascii="Times New Roman" w:hAnsi="Times New Roman" w:cs="Times New Roman"/>
        </w:rPr>
        <w:t xml:space="preserve">International Commission of Jurists Kenyan Section, Damaris Kemunto: Crucial Mission to Eradicate Death Penalty (2024). Also available online at: </w:t>
      </w:r>
      <w:hyperlink r:id="rId10" w:history="1">
        <w:r w:rsidR="00DD1E5F" w:rsidRPr="00BF3B37">
          <w:rPr>
            <w:rStyle w:val="Hyperlink"/>
            <w:rFonts w:ascii="Times New Roman" w:hAnsi="Times New Roman" w:cs="Times New Roman"/>
          </w:rPr>
          <w:t>https://icj-kenya.org/news/beyond-the-gavel-young-lawyers-crucial-mission-to-eradicate-the-death-penalty/</w:t>
        </w:r>
      </w:hyperlink>
      <w:r w:rsidR="00DD1E5F" w:rsidRPr="00BF3B37">
        <w:rPr>
          <w:rFonts w:ascii="Times New Roman" w:hAnsi="Times New Roman" w:cs="Times New Roman"/>
        </w:rPr>
        <w:t>.</w:t>
      </w:r>
    </w:p>
  </w:footnote>
  <w:footnote w:id="14">
    <w:p w14:paraId="3DF25D46" w14:textId="69B86E63" w:rsidR="00040306" w:rsidRPr="00BF3B37" w:rsidRDefault="00040306" w:rsidP="0004030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Living With a Death Sentence in Kenya: Prisoners’ Experiences of Crime, Punishment and Death Row, Carolyn Hoyle and Lucrezia Rizzelli, page 31; Jeffries, Samantha, et al. "Women's pathways to prison in Kenya: Violence, poverty, familial caretaking and barriers to justice." Women's Studies International Forum. Vol. 73. Pergamon, 2019; page 51</w:t>
      </w:r>
      <w:r w:rsidR="001F222B" w:rsidRPr="00BF3B37">
        <w:rPr>
          <w:rFonts w:ascii="Times New Roman" w:hAnsi="Times New Roman" w:cs="Times New Roman"/>
        </w:rPr>
        <w:t>.</w:t>
      </w:r>
    </w:p>
  </w:footnote>
  <w:footnote w:id="15">
    <w:p w14:paraId="20328817" w14:textId="55EB75DC" w:rsidR="008D10CE" w:rsidRPr="00BF3B37" w:rsidRDefault="008D10CE">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See, for example, paragraph 73. </w:t>
      </w:r>
    </w:p>
  </w:footnote>
  <w:footnote w:id="16">
    <w:p w14:paraId="37C88E12" w14:textId="3149C05F" w:rsidR="008A08EC" w:rsidRPr="00BF3B37" w:rsidRDefault="008A08EC" w:rsidP="008A08E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Reflecting on the links between the death penalty and gender-based violence, accessed 3 October 2023, available </w:t>
      </w:r>
      <w:hyperlink r:id="rId11" w:history="1">
        <w:r w:rsidRPr="00BF3B37">
          <w:rPr>
            <w:rStyle w:val="Hyperlink"/>
            <w:rFonts w:ascii="Times New Roman" w:hAnsi="Times New Roman" w:cs="Times New Roman"/>
          </w:rPr>
          <w:t>here</w:t>
        </w:r>
      </w:hyperlink>
      <w:r w:rsidRPr="00BF3B37">
        <w:rPr>
          <w:rFonts w:ascii="Times New Roman" w:hAnsi="Times New Roman" w:cs="Times New Roman"/>
        </w:rPr>
        <w:t>.</w:t>
      </w:r>
      <w:r w:rsidR="00040306" w:rsidRPr="00BF3B37">
        <w:rPr>
          <w:rFonts w:ascii="Times New Roman" w:hAnsi="Times New Roman" w:cs="Times New Roman"/>
        </w:rPr>
        <w:t xml:space="preserve"> Note that the majority of death row inmates have since had their sentences commuted to a term of years. </w:t>
      </w:r>
    </w:p>
  </w:footnote>
  <w:footnote w:id="17">
    <w:p w14:paraId="5A0E3271" w14:textId="77777777" w:rsidR="008A08EC" w:rsidRPr="00BF3B37" w:rsidRDefault="008A08EC" w:rsidP="008A08E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See ICJ Kenya, Women and the Death Penalty in Kenya (2023) available at: https://icj-kenya.org/news/sdm_downloads/women-and-the-death-penalty-in-kenya/</w:t>
      </w:r>
    </w:p>
  </w:footnote>
  <w:footnote w:id="18">
    <w:p w14:paraId="6DB20159" w14:textId="01F6C330" w:rsidR="008A08EC" w:rsidRPr="00BF3B37" w:rsidRDefault="008A08EC" w:rsidP="008A08E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State v. Truphena Ndonga Aswani, [2021] Criminal Case E011 of 2020 (High Court of Kenya), at 6</w:t>
      </w:r>
      <w:r w:rsidR="00AB79AA" w:rsidRPr="00BF3B37">
        <w:rPr>
          <w:rFonts w:ascii="Times New Roman" w:hAnsi="Times New Roman" w:cs="Times New Roman"/>
        </w:rPr>
        <w:t>, citing (Hatcher et al., 2013; Gillum et al., 2018).</w:t>
      </w:r>
    </w:p>
  </w:footnote>
  <w:footnote w:id="19">
    <w:p w14:paraId="4F70DAC5" w14:textId="77777777" w:rsidR="009E70A3" w:rsidRPr="00BF3B37" w:rsidRDefault="009E70A3" w:rsidP="009E70A3">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Pr="00BF3B37">
        <w:rPr>
          <w:rFonts w:ascii="Times New Roman" w:hAnsi="Times New Roman" w:cs="Times New Roman"/>
          <w:lang w:val="en-US"/>
        </w:rPr>
        <w:t>CEDAW GR 35, ¶ 9. </w:t>
      </w:r>
      <w:r w:rsidRPr="00BF3B37">
        <w:rPr>
          <w:rFonts w:ascii="Times New Roman" w:hAnsi="Times New Roman" w:cs="Times New Roman"/>
          <w:i/>
          <w:iCs/>
          <w:lang w:val="en-US"/>
        </w:rPr>
        <w:t>See also </w:t>
      </w:r>
      <w:r w:rsidRPr="00BF3B37">
        <w:rPr>
          <w:rFonts w:ascii="Times New Roman" w:hAnsi="Times New Roman" w:cs="Times New Roman"/>
          <w:lang w:val="en-US"/>
        </w:rPr>
        <w:t>U.N. Women, </w:t>
      </w:r>
      <w:r w:rsidRPr="00BF3B37">
        <w:rPr>
          <w:rFonts w:ascii="Times New Roman" w:hAnsi="Times New Roman" w:cs="Times New Roman"/>
          <w:i/>
          <w:iCs/>
          <w:lang w:val="en-US"/>
        </w:rPr>
        <w:t>A Framework to Underpin Action to Prevent Violence Against Women</w:t>
      </w:r>
      <w:r w:rsidRPr="00BF3B37">
        <w:rPr>
          <w:rFonts w:ascii="Times New Roman" w:hAnsi="Times New Roman" w:cs="Times New Roman"/>
          <w:lang w:val="en-US"/>
        </w:rPr>
        <w:t>, 30 (2015).</w:t>
      </w:r>
    </w:p>
  </w:footnote>
  <w:footnote w:id="20">
    <w:p w14:paraId="3785A87C" w14:textId="77777777" w:rsidR="009E70A3" w:rsidRPr="00BF3B37" w:rsidRDefault="009E70A3" w:rsidP="009E70A3">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Pr="00BF3B37">
        <w:rPr>
          <w:rFonts w:ascii="Times New Roman" w:hAnsi="Times New Roman" w:cs="Times New Roman"/>
          <w:lang w:val="en-US"/>
        </w:rPr>
        <w:t>CEDAW, </w:t>
      </w:r>
      <w:r w:rsidRPr="00BF3B37">
        <w:rPr>
          <w:rFonts w:ascii="Times New Roman" w:hAnsi="Times New Roman" w:cs="Times New Roman"/>
          <w:i/>
          <w:iCs/>
          <w:lang w:val="en-US"/>
        </w:rPr>
        <w:t>GR 35</w:t>
      </w:r>
      <w:r w:rsidRPr="00BF3B37">
        <w:rPr>
          <w:rFonts w:ascii="Times New Roman" w:hAnsi="Times New Roman" w:cs="Times New Roman"/>
          <w:lang w:val="en-US"/>
        </w:rPr>
        <w:t>, ¶ 24(2)(b); U.N. ECOSOC, </w:t>
      </w:r>
      <w:r w:rsidRPr="00BF3B37">
        <w:rPr>
          <w:rFonts w:ascii="Times New Roman" w:hAnsi="Times New Roman" w:cs="Times New Roman"/>
          <w:i/>
          <w:iCs/>
          <w:lang w:val="en-US"/>
        </w:rPr>
        <w:t>Report of the Special Rapporteur on Violence Against Women, its Causes and Consequences</w:t>
      </w:r>
      <w:r w:rsidRPr="00BF3B37">
        <w:rPr>
          <w:rFonts w:ascii="Times New Roman" w:hAnsi="Times New Roman" w:cs="Times New Roman"/>
          <w:lang w:val="en-US"/>
        </w:rPr>
        <w:t>, U.N. Doc E/CN.4/2006/61, ¶¶ 19–29 (2006); CEDAW, Concluding Observations: United Republic of Tanzania, U.N. Doc CEDAW/C/TZA/CO/7-8, ¶ 22 (2016).</w:t>
      </w:r>
    </w:p>
  </w:footnote>
  <w:footnote w:id="21">
    <w:p w14:paraId="0BB9DE34" w14:textId="1C429F08" w:rsidR="005E337D" w:rsidRPr="00BF3B37" w:rsidRDefault="005E337D">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B3026D" w:rsidRPr="00BF3B37">
        <w:rPr>
          <w:rFonts w:ascii="Times New Roman" w:hAnsi="Times New Roman" w:cs="Times New Roman"/>
        </w:rPr>
        <w:t xml:space="preserve">International Section of Jurists Kenyan Section, Ensure Fairness During Trial of GBV Victims Accused of Murder, 11 October, available at: </w:t>
      </w:r>
      <w:hyperlink r:id="rId12" w:history="1">
        <w:r w:rsidR="00B3026D" w:rsidRPr="00BF3B37">
          <w:rPr>
            <w:rStyle w:val="Hyperlink"/>
            <w:rFonts w:ascii="Times New Roman" w:hAnsi="Times New Roman" w:cs="Times New Roman"/>
          </w:rPr>
          <w:t>https://icj-kenya.org/news/ensure-fairness-during-trial-of-gbv-victims-accused-of-murder/</w:t>
        </w:r>
      </w:hyperlink>
      <w:r w:rsidR="00B3026D" w:rsidRPr="00BF3B37">
        <w:rPr>
          <w:rFonts w:ascii="Times New Roman" w:hAnsi="Times New Roman" w:cs="Times New Roman"/>
        </w:rPr>
        <w:t>.</w:t>
      </w:r>
    </w:p>
  </w:footnote>
  <w:footnote w:id="22">
    <w:p w14:paraId="54EE659B" w14:textId="0AD4C493" w:rsidR="005E337D" w:rsidRPr="00BF3B37" w:rsidRDefault="005E337D">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644A2" w:rsidRPr="00BF3B37">
        <w:rPr>
          <w:rFonts w:ascii="Times New Roman" w:hAnsi="Times New Roman" w:cs="Times New Roman"/>
        </w:rPr>
        <w:t xml:space="preserve">R. v. Lavallee, [1990] 1 SCR 852, available at </w:t>
      </w:r>
      <w:hyperlink r:id="rId13" w:history="1">
        <w:r w:rsidR="00D644A2" w:rsidRPr="00BF3B37">
          <w:rPr>
            <w:rStyle w:val="Hyperlink"/>
            <w:rFonts w:ascii="Times New Roman" w:hAnsi="Times New Roman" w:cs="Times New Roman"/>
          </w:rPr>
          <w:t>https://decisions.scc-csc.ca/scc-csc/scc-csc/en/item/599/index.do</w:t>
        </w:r>
      </w:hyperlink>
      <w:r w:rsidR="00D644A2" w:rsidRPr="00BF3B37">
        <w:rPr>
          <w:rFonts w:ascii="Times New Roman" w:hAnsi="Times New Roman" w:cs="Times New Roman"/>
        </w:rPr>
        <w:t xml:space="preserve">. </w:t>
      </w:r>
    </w:p>
  </w:footnote>
  <w:footnote w:id="23">
    <w:p w14:paraId="20859AD4" w14:textId="2270FC2B" w:rsidR="005E337D" w:rsidRPr="00BF3B37" w:rsidRDefault="005E337D">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D644A2" w:rsidRPr="00BF3B37">
        <w:rPr>
          <w:rFonts w:ascii="Times New Roman" w:hAnsi="Times New Roman" w:cs="Times New Roman"/>
        </w:rPr>
        <w:t>International Section of Jurists Kenyan Section, Ensure Fairness During Trial of GBV Victims Accused of Murder, 11 October, available at: https://icj-kenya.org/news/ensure-fairness-during-trial-of-gbv-victims-accused-ofmurder/.</w:t>
      </w:r>
    </w:p>
  </w:footnote>
  <w:footnote w:id="24">
    <w:p w14:paraId="42F1C579" w14:textId="7BA53101" w:rsidR="0034057B" w:rsidRPr="00BF3B37" w:rsidRDefault="0034057B" w:rsidP="0034057B">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Ensure Fairness During Trial of GBV Victims Accused of Murder, accessed 12 March 2024, available </w:t>
      </w:r>
      <w:hyperlink r:id="rId14" w:history="1">
        <w:r w:rsidRPr="00BF3B37">
          <w:rPr>
            <w:rStyle w:val="Hyperlink"/>
            <w:rFonts w:ascii="Times New Roman" w:hAnsi="Times New Roman" w:cs="Times New Roman"/>
          </w:rPr>
          <w:t>here</w:t>
        </w:r>
      </w:hyperlink>
      <w:r w:rsidR="00D644A2" w:rsidRPr="00BF3B37">
        <w:rPr>
          <w:rStyle w:val="Hyperlink"/>
          <w:rFonts w:ascii="Times New Roman" w:hAnsi="Times New Roman" w:cs="Times New Roman"/>
        </w:rPr>
        <w:t>.</w:t>
      </w:r>
    </w:p>
  </w:footnote>
  <w:footnote w:id="25">
    <w:p w14:paraId="4A37CDD0" w14:textId="77777777" w:rsidR="00DD75C8" w:rsidRPr="00BF3B37" w:rsidRDefault="00DD75C8" w:rsidP="00DD75C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International Commission of Jurists—Kenyan Section, Women and the Death Penalty in Kenya: Essays on the Gendered Perspective of the Death Penalty (2024), at 33, available at https://icjkenya.org/news/sdm_downloads/women-and-the-death-penalty-in-kenya/ (last visited Sept. 22, 2024).</w:t>
      </w:r>
    </w:p>
  </w:footnote>
  <w:footnote w:id="26">
    <w:p w14:paraId="59DF8B83" w14:textId="77777777" w:rsidR="00DD75C8" w:rsidRPr="00BF3B37" w:rsidRDefault="00DD75C8" w:rsidP="00DD75C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International Commission of Jurists—Kenyan Section, Women and the Death Penalty in Kenya: Essays on the Gendered Perspective of the Death Penalty (2024), at 34, available at https://icjkenya.org/news/sdm_downloads/women-and-the-death-penalty-in-kenya/ (last visited Sept. 22, 2024).</w:t>
      </w:r>
    </w:p>
  </w:footnote>
  <w:footnote w:id="27">
    <w:p w14:paraId="3CF86E4C" w14:textId="1ACFBA4B" w:rsidR="005E337D" w:rsidRPr="00BF3B37" w:rsidRDefault="005E337D">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3641CD" w:rsidRPr="00BF3B37">
        <w:rPr>
          <w:rFonts w:ascii="Times New Roman" w:hAnsi="Times New Roman" w:cs="Times New Roman"/>
        </w:rPr>
        <w:t>International Commission of Jurists—Kenyan Section, Women and the Death Penalty in Kenya: Essays on the Gendered Perspective of the Death Penalty (2024), at 13, available at https://icjkenya.org/news/sdm_downloads/women-and-the-death-penalty-in-kenya/ (last visited Sept. 22, 2024).</w:t>
      </w:r>
    </w:p>
  </w:footnote>
  <w:footnote w:id="28">
    <w:p w14:paraId="7BBEC7A8" w14:textId="71F170E3" w:rsidR="00946218" w:rsidRPr="00BF3B37" w:rsidRDefault="00946218" w:rsidP="0094621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 xml:space="preserve">Reflecting on the links between the death penalty and gender-based violence, accessed 3 October 2023, available </w:t>
      </w:r>
      <w:hyperlink r:id="rId15" w:history="1">
        <w:r w:rsidR="007456A0" w:rsidRPr="00BF3B37">
          <w:rPr>
            <w:rStyle w:val="Hyperlink"/>
            <w:rFonts w:ascii="Times New Roman" w:hAnsi="Times New Roman" w:cs="Times New Roman"/>
          </w:rPr>
          <w:t>here</w:t>
        </w:r>
      </w:hyperlink>
      <w:r w:rsidR="007456A0" w:rsidRPr="00BF3B37">
        <w:rPr>
          <w:rFonts w:ascii="Times New Roman" w:hAnsi="Times New Roman" w:cs="Times New Roman"/>
        </w:rPr>
        <w:t>.</w:t>
      </w:r>
    </w:p>
  </w:footnote>
  <w:footnote w:id="29">
    <w:p w14:paraId="3DC24B52" w14:textId="3BB2087D" w:rsidR="009D4186" w:rsidRPr="00BF3B37" w:rsidRDefault="009D4186" w:rsidP="009D4186">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 xml:space="preserve">Ensure Fairness During Trial of GBV Victims Accused of Murder, accessed 12 March 2024, available </w:t>
      </w:r>
      <w:hyperlink r:id="rId16" w:history="1">
        <w:r w:rsidR="007456A0" w:rsidRPr="00BF3B37">
          <w:rPr>
            <w:rStyle w:val="Hyperlink"/>
            <w:rFonts w:ascii="Times New Roman" w:hAnsi="Times New Roman" w:cs="Times New Roman"/>
          </w:rPr>
          <w:t>here</w:t>
        </w:r>
      </w:hyperlink>
      <w:r w:rsidR="007456A0" w:rsidRPr="00BF3B37">
        <w:rPr>
          <w:rStyle w:val="Hyperlink"/>
          <w:rFonts w:ascii="Times New Roman" w:hAnsi="Times New Roman" w:cs="Times New Roman"/>
        </w:rPr>
        <w:t>.</w:t>
      </w:r>
    </w:p>
  </w:footnote>
  <w:footnote w:id="30">
    <w:p w14:paraId="6972AD2F" w14:textId="77777777" w:rsidR="00A67A08" w:rsidRPr="00BF3B37" w:rsidRDefault="00A67A08" w:rsidP="00A67A0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State v Truphena Ndonga Aswani [2021] eKLR; The Judiciary of the Republic of Kenya, A Blueprint for Social Transformation through Access to Justice 2023-2033: A People-Centred Justice Approach (2023), at 18. Also available online at: https://judiciary.go.ke/wp-content/uploads/2023/11/STAJ-Blueprint-1.pdf; see also International Commission of Jurists Kenyan Section, Women and the Death Penalty in Kenya: Essays on the Gendered Perspective of the Death Penalty (2024), at 18. Also available online at: https://icjkenya.org/news/sdm_downloads/women-and-the-death-penalty-in-kenya/.</w:t>
      </w:r>
    </w:p>
  </w:footnote>
  <w:footnote w:id="31">
    <w:p w14:paraId="781F4354" w14:textId="2754F5F5" w:rsidR="00A67A08" w:rsidRPr="00BF3B37" w:rsidRDefault="00A67A08" w:rsidP="00A67A0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International Commission of Jurists—Kenyan Section, Women and the Death Penalty in Kenya: Essays on the Gendered Perspective of the Death Penalty (2024), at 13, available at https://icjkenya.org/news/sdm_downloads/women-and-the-death-penalty-in-kenya/ (last visited Sept. 22, 2024)</w:t>
      </w:r>
    </w:p>
  </w:footnote>
  <w:footnote w:id="32">
    <w:p w14:paraId="6E408A6E" w14:textId="5C592089" w:rsidR="00A67A08" w:rsidRPr="00BF3B37" w:rsidRDefault="00A67A0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International Commission of Jurists—Kenyan Section, Women and the Death Penalty in Kenya: Essays on the Gendered Perspective of the Death Penalty (2024), at 32, available at https://icjkenya.org/news/sdm_downloads/women-and-the-death-penalty-in-kenya/ (last visited Sept. 22, 2024).</w:t>
      </w:r>
    </w:p>
  </w:footnote>
  <w:footnote w:id="33">
    <w:p w14:paraId="0B1242BB" w14:textId="17A9D756" w:rsidR="00A67A08" w:rsidRPr="00BF3B37" w:rsidRDefault="00A67A0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International Commission of Jurists—Kenyan Section, Women and the Death Penalty in Kenya: Essays on the Gendered Perspective of the Death Penalty (2024), at 40, available at https://icjkenya.org/news/sdm_downloads/women-and-the-death-penalty-in-kenya/ (last visited Sept. 22, 2024).</w:t>
      </w:r>
    </w:p>
  </w:footnote>
  <w:footnote w:id="34">
    <w:p w14:paraId="54D23B59" w14:textId="24462C8A" w:rsidR="00A67A08" w:rsidRPr="00BF3B37" w:rsidRDefault="00A67A0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7456A0" w:rsidRPr="00BF3B37">
        <w:rPr>
          <w:rFonts w:ascii="Times New Roman" w:hAnsi="Times New Roman" w:cs="Times New Roman"/>
        </w:rPr>
        <w:t>International Commission of Jurists—Kenyan Section, Women and the Death Penalty in Kenya: Essays on the Gendered Perspective of the Death Penalty (2024), at 16, available at https://icjkenya.org/news/sdm_downloads/women-and-the-death-penalty-in-kenya/ (last visited Sept. 22, 2024).</w:t>
      </w:r>
    </w:p>
  </w:footnote>
  <w:footnote w:id="35">
    <w:p w14:paraId="52673E6F" w14:textId="1F94ABCA" w:rsidR="00A67A08" w:rsidRPr="00BF3B37" w:rsidRDefault="00A67A0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CF77BB" w:rsidRPr="00BF3B37">
        <w:rPr>
          <w:rFonts w:ascii="Times New Roman" w:hAnsi="Times New Roman" w:cs="Times New Roman"/>
        </w:rPr>
        <w:t>Human Rights Council, Report of the Working Group on the Universal Periodic Review: Kenya (20 Mar. 2020), U.N. Doc. A/HRC/44/9, ¶ 142.64 Amend discriminatory laws against women and eliminate harmful practices and gender-based violence against women and girls (India); ¶ 142.130 Set up specialized courts that enable the speeding up and the effective treatment of gender-based violence cases (Spain); ¶ 142.236 Take proactive and comprehensive measures to address gender-based violence, including by providing victims with access to remedies (Malaysia); ¶ 142.242 Take measures to guarantee effective access for the women victims of gender-based violence to justice, protection and support (Vanuatu).</w:t>
      </w:r>
    </w:p>
  </w:footnote>
  <w:footnote w:id="36">
    <w:p w14:paraId="0455C4B3" w14:textId="7A00135D" w:rsidR="00A67A08" w:rsidRPr="00BF3B37" w:rsidRDefault="00A67A0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The Judiciary of the Republic of Kenya, A Blueprint for Social Transformation through Access to Justice 2023- 2033: A People-Centred Justice Approach (2023), at 18. Also available online at: https://judiciary.go.ke/wpcontent/uploads/2023/11/STAJ-Blueprint-1.pdf.</w:t>
      </w:r>
    </w:p>
  </w:footnote>
  <w:footnote w:id="37">
    <w:p w14:paraId="0AB96784" w14:textId="1A08D550" w:rsidR="00A67A08" w:rsidRPr="00BF3B37" w:rsidRDefault="00A67A08">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International Commission of Jurists Kenyan Section, Kenya Must Scale Up Establishment of SGBV Courts (2024). Also available online at: https://icj-kenya.org/news/kenya-must-scale-up-establishment-of-sgbv-courts/.</w:t>
      </w:r>
    </w:p>
  </w:footnote>
  <w:footnote w:id="38">
    <w:p w14:paraId="43728217" w14:textId="47D7BB17" w:rsidR="00A67A08" w:rsidRPr="00BF3B37" w:rsidRDefault="00A67A08">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International Commission of Jurists—Kenyan Section, Women and the Death Penalty in Kenya: Essays on the Gendered Perspective of the Death Penalty (2024), at 47, available at https://icjkenya.org/news/sdm_downloads/women-and-the-death-penalty-in-kenya/ (last visited Sept. 22, 2024).</w:t>
      </w:r>
    </w:p>
  </w:footnote>
  <w:footnote w:id="39">
    <w:p w14:paraId="25292B63" w14:textId="5ACEEEB8" w:rsidR="00AA4D9C" w:rsidRPr="00BF3B37" w:rsidRDefault="00AA4D9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016C23" w:rsidRPr="00BF3B37">
        <w:rPr>
          <w:rFonts w:ascii="Times New Roman" w:hAnsi="Times New Roman" w:cs="Times New Roman"/>
        </w:rPr>
        <w:t>International Commission of Jurists—Kenyan Section, Women and the Death Penalty in Kenya: Essays on the Gendered Perspective of the Death Penalty (2024), at 26, available at https://icjkenya.org/news/sdm_downloads/women-and-the-death-penalty-in-kenya/ (last visited Sept. 22, 2024)</w:t>
      </w:r>
    </w:p>
  </w:footnote>
  <w:footnote w:id="40">
    <w:p w14:paraId="18719DE2" w14:textId="42C5932C" w:rsidR="00AA4D9C" w:rsidRPr="00BF3B37" w:rsidRDefault="00AA4D9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016C23" w:rsidRPr="00BF3B37">
        <w:rPr>
          <w:rFonts w:ascii="Times New Roman" w:hAnsi="Times New Roman" w:cs="Times New Roman"/>
        </w:rPr>
        <w:t>International Commission of Jurists—Kenyan Section, Women and the Death Penalty in Kenya: Essays on the Gendered Perspective of the Death Penalty (2024), at 27, available at https://icjkenya.org/news/sdm_downloads/women-and-the-death-penalty-in-kenya/ (last visited Sept. 22, 2024)</w:t>
      </w:r>
      <w:r w:rsidR="004673FF" w:rsidRPr="00BF3B37">
        <w:rPr>
          <w:rFonts w:ascii="Times New Roman" w:hAnsi="Times New Roman" w:cs="Times New Roman"/>
        </w:rPr>
        <w:t>.</w:t>
      </w:r>
    </w:p>
  </w:footnote>
  <w:footnote w:id="41">
    <w:p w14:paraId="710792A6" w14:textId="33BCAB4B" w:rsidR="00AA4D9C" w:rsidRPr="00BF3B37" w:rsidRDefault="00AA4D9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26, available at https://icjkenya.org/news/sdm_downloads/women-and-the-death-penalty-in-kenya/ (last visited Sept. 22, 2024).</w:t>
      </w:r>
    </w:p>
  </w:footnote>
  <w:footnote w:id="42">
    <w:p w14:paraId="5BCC290C" w14:textId="7F51902E" w:rsidR="00E01A3B" w:rsidRPr="00BF3B37" w:rsidRDefault="00E01A3B">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23, available at https://icjkenya.org/news/sdm_downloads/women-and-the-death-penalty-in-kenya/ (last visited Sept. 22, 2024)</w:t>
      </w:r>
    </w:p>
  </w:footnote>
  <w:footnote w:id="43">
    <w:p w14:paraId="2C933B45" w14:textId="1552AB7C" w:rsidR="00AA4D9C" w:rsidRPr="00BF3B37" w:rsidRDefault="00AA4D9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26, available at https://icjkenya.org/news/sdm_downloads/women-and-the-death-penalty-in-kenya/ (last visited Sept. 22, 2024).</w:t>
      </w:r>
    </w:p>
  </w:footnote>
  <w:footnote w:id="44">
    <w:p w14:paraId="48A22996" w14:textId="7D57932F" w:rsidR="00AA4D9C" w:rsidRPr="00BF3B37" w:rsidRDefault="00AA4D9C">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27, available at https://icjkenya.org/news/sdm_downloads/women-and-the-death-penalty-in-kenya/ (last visited Sept. 22, 2024).</w:t>
      </w:r>
    </w:p>
  </w:footnote>
  <w:footnote w:id="45">
    <w:p w14:paraId="07222EE1" w14:textId="330677F1" w:rsidR="00E01A3B" w:rsidRPr="00BF3B37" w:rsidRDefault="00E01A3B">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24, available at https://icjkenya.org/news/sdm_downloads/women-and-the-death-penalty-in-kenya/ (last visited Sept. 22, 2024).</w:t>
      </w:r>
    </w:p>
  </w:footnote>
  <w:footnote w:id="46">
    <w:p w14:paraId="15E845D4" w14:textId="0980DCD6" w:rsidR="00E01A3B" w:rsidRPr="00BF3B37" w:rsidRDefault="00E01A3B">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International Commission of Jurists—Kenyan Section, Women and the Death Penalty in Kenya: Essays on the Gendered Perspective of the Death Penalty (2024), at 26, available at https://icjkenya.org/news/sdm_downloads/women-and-the-death-penalty-in-kenya/ (last visited Sept. 22, 2024).</w:t>
      </w:r>
    </w:p>
  </w:footnote>
  <w:footnote w:id="47">
    <w:p w14:paraId="26DC37FA" w14:textId="1D371D2C" w:rsidR="00E01A3B" w:rsidRPr="00BF3B37" w:rsidRDefault="00E01A3B">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Cornell Center on the Death Penalty Worldwide, Judged for More Than Her Crime: A Global Overview of Women Facing the Death Penalty, Sept. 2018, at 4, available at: https://www.deathpenaltyworldwide.org/wpcontent/uploads/2019/12/Judged-More-Than-Her-Crime.pdf.</w:t>
      </w:r>
    </w:p>
  </w:footnote>
  <w:footnote w:id="48">
    <w:p w14:paraId="0F78FFFA" w14:textId="147C8D24" w:rsidR="001D00AE" w:rsidRPr="00BF3B37" w:rsidRDefault="001D00AE">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Confidential 2023 source on file with The Advocates for Human Rights.</w:t>
      </w:r>
    </w:p>
  </w:footnote>
  <w:footnote w:id="49">
    <w:p w14:paraId="6C15D57E" w14:textId="48E2879A" w:rsidR="001D00AE" w:rsidRPr="00BF3B37" w:rsidRDefault="001D00AE">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Confidential 2023 source on file with The Advocates for Human Rights.</w:t>
      </w:r>
    </w:p>
  </w:footnote>
  <w:footnote w:id="50">
    <w:p w14:paraId="0EE9F556" w14:textId="1C0CD254" w:rsidR="001D00AE" w:rsidRPr="00BF3B37" w:rsidRDefault="001D00AE" w:rsidP="001D00AE">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Confidential 2023 source on file with The Advocates for Human Rights.</w:t>
      </w:r>
    </w:p>
  </w:footnote>
  <w:footnote w:id="51">
    <w:p w14:paraId="42687495" w14:textId="7BBE2050" w:rsidR="001D00AE" w:rsidRPr="00BF3B37" w:rsidRDefault="001D00AE">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The Death Penalty Project, Living With a Death Sentence in Kenya: Prisoners’ Experiences of Crime, Punishment and Death Row (2022), at 54. Also available online at: https://deathpenaltyproject.org/knowledge/living-with-a</w:t>
      </w:r>
      <w:r w:rsidR="00B76552" w:rsidRPr="00BF3B37">
        <w:rPr>
          <w:rFonts w:ascii="Times New Roman" w:hAnsi="Times New Roman" w:cs="Times New Roman"/>
        </w:rPr>
        <w:t>-</w:t>
      </w:r>
      <w:r w:rsidR="00181DA5" w:rsidRPr="00BF3B37">
        <w:rPr>
          <w:rFonts w:ascii="Times New Roman" w:hAnsi="Times New Roman" w:cs="Times New Roman"/>
        </w:rPr>
        <w:t>death-sentence-in-kenya-2022.</w:t>
      </w:r>
    </w:p>
  </w:footnote>
  <w:footnote w:id="52">
    <w:p w14:paraId="4C5C04DA" w14:textId="1C3649DA" w:rsidR="001D00AE" w:rsidRPr="00BF3B37" w:rsidRDefault="001D00AE">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181DA5" w:rsidRPr="00BF3B37">
        <w:rPr>
          <w:rFonts w:ascii="Times New Roman" w:hAnsi="Times New Roman" w:cs="Times New Roman"/>
        </w:rPr>
        <w:t>The Death Penalty Project, Living With a Death Sentence in Kenya: Prisoners’ Experiences of Crime, Punishment and Death Row (2022), at 56. Also available online at: https://deathpenaltyproject.org/knowledge/living-with-adeath-sentence-in-kenya-2022</w:t>
      </w:r>
    </w:p>
  </w:footnote>
  <w:footnote w:id="53">
    <w:p w14:paraId="2170EB04" w14:textId="51BF0D36" w:rsidR="00E01A3B" w:rsidRPr="00BF3B37" w:rsidRDefault="00E01A3B">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B76552" w:rsidRPr="00BF3B37">
        <w:rPr>
          <w:rFonts w:ascii="Times New Roman" w:hAnsi="Times New Roman" w:cs="Times New Roman"/>
        </w:rPr>
        <w:t>International Commission of Jurists—Kenyan Section, Women and the Death Penalty in Kenya: Essays on the Gendered Perspective of the Death Penalty (2024), at 11, available at https://icj-kenya.org/news/sdm_downloads/women-and-the-death-penalty-in-kenya/ (last visited Sept. 22, 2024).</w:t>
      </w:r>
    </w:p>
  </w:footnote>
  <w:footnote w:id="54">
    <w:p w14:paraId="73BC1557" w14:textId="1526BCF2" w:rsidR="00E01A3B" w:rsidRPr="00BF3B37" w:rsidRDefault="00E01A3B">
      <w:pPr>
        <w:pStyle w:val="FootnoteText"/>
        <w:rPr>
          <w:rFonts w:ascii="Times New Roman" w:hAnsi="Times New Roman" w:cs="Times New Roman"/>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B76552" w:rsidRPr="00BF3B37">
        <w:rPr>
          <w:rFonts w:ascii="Times New Roman" w:hAnsi="Times New Roman" w:cs="Times New Roman"/>
        </w:rPr>
        <w:t>International Commission of Jurists—Kenyan Section, Women and the Death Penalty in Kenya: Essays on the Gendered Perspective of the Death Penalty (2024), at 12, available at https://icj-kenya.org/news/sdm_downloads/women-and-the-death-penalty-in-kenya/ (last visited Sept. 22, 2024).</w:t>
      </w:r>
    </w:p>
  </w:footnote>
  <w:footnote w:id="55">
    <w:p w14:paraId="36C87251" w14:textId="0B3871BD" w:rsidR="005B1BC3" w:rsidRPr="00BF3B37" w:rsidRDefault="005B1BC3">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Interviews with </w:t>
      </w:r>
      <w:r w:rsidRPr="00BF3B37">
        <w:rPr>
          <w:rFonts w:ascii="Times New Roman" w:hAnsi="Times New Roman" w:cs="Times New Roman"/>
          <w:lang w:val="en-US"/>
        </w:rPr>
        <w:t>incarcerated</w:t>
      </w:r>
      <w:r w:rsidRPr="00BF3B37">
        <w:rPr>
          <w:rFonts w:ascii="Times New Roman" w:hAnsi="Times New Roman" w:cs="Times New Roman"/>
        </w:rPr>
        <w:t xml:space="preserve"> women conducted by Reprieve in May 2021 (the “</w:t>
      </w:r>
      <w:r w:rsidRPr="00BF3B37">
        <w:rPr>
          <w:rFonts w:ascii="Times New Roman" w:hAnsi="Times New Roman" w:cs="Times New Roman"/>
          <w:b/>
          <w:bCs/>
        </w:rPr>
        <w:t>Reprieve Survey</w:t>
      </w:r>
      <w:r w:rsidRPr="00BF3B37">
        <w:rPr>
          <w:rFonts w:ascii="Times New Roman" w:hAnsi="Times New Roman" w:cs="Times New Roman"/>
        </w:rPr>
        <w:t>”).</w:t>
      </w:r>
    </w:p>
  </w:footnote>
  <w:footnote w:id="56">
    <w:p w14:paraId="204A3C65" w14:textId="3912C182" w:rsidR="00E01A3B" w:rsidRPr="00BF3B37" w:rsidRDefault="00E01A3B">
      <w:pPr>
        <w:pStyle w:val="FootnoteText"/>
        <w:rPr>
          <w:rFonts w:ascii="Times New Roman" w:hAnsi="Times New Roman" w:cs="Times New Roman"/>
          <w:lang w:val="en-US"/>
        </w:rPr>
      </w:pPr>
      <w:r w:rsidRPr="00BF3B37">
        <w:rPr>
          <w:rStyle w:val="FootnoteReference"/>
          <w:rFonts w:ascii="Times New Roman" w:hAnsi="Times New Roman" w:cs="Times New Roman"/>
        </w:rPr>
        <w:footnoteRef/>
      </w:r>
      <w:r w:rsidRPr="00BF3B37">
        <w:rPr>
          <w:rFonts w:ascii="Times New Roman" w:hAnsi="Times New Roman" w:cs="Times New Roman"/>
        </w:rPr>
        <w:t xml:space="preserve"> </w:t>
      </w:r>
      <w:r w:rsidR="00B76552" w:rsidRPr="00BF3B37">
        <w:rPr>
          <w:rFonts w:ascii="Times New Roman" w:hAnsi="Times New Roman" w:cs="Times New Roman"/>
        </w:rPr>
        <w:t>International Commission of Jurists—Kenyan Section, Women and the Death Penalty in Kenya: Essays on the Gendered Perspective of the Death Penalty (2024), at 12, available at https://icj-kenya.org/news/sdm_downloads/women-and-the-death-penalty-in-kenya/ (last visited Sept. 22,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1521" w14:textId="74452BFA" w:rsidR="005E0CE3" w:rsidRPr="00510EEC" w:rsidRDefault="005E0CE3" w:rsidP="005E0CE3">
    <w:pPr>
      <w:rPr>
        <w:rFonts w:ascii="Times New Roman" w:hAnsi="Times New Roman" w:cs="Times New Roman"/>
        <w:lang w:val="en-US"/>
      </w:rPr>
    </w:pPr>
    <w:r>
      <w:rPr>
        <w:noProof/>
      </w:rPr>
      <w:drawing>
        <wp:anchor distT="0" distB="0" distL="114300" distR="114300" simplePos="0" relativeHeight="251660288" behindDoc="0" locked="0" layoutInCell="1" allowOverlap="1" wp14:anchorId="459270A6" wp14:editId="0A6D0FBE">
          <wp:simplePos x="0" y="0"/>
          <wp:positionH relativeFrom="column">
            <wp:posOffset>844550</wp:posOffset>
          </wp:positionH>
          <wp:positionV relativeFrom="paragraph">
            <wp:posOffset>9580</wp:posOffset>
          </wp:positionV>
          <wp:extent cx="1336876" cy="746567"/>
          <wp:effectExtent l="0" t="0" r="0" b="0"/>
          <wp:wrapNone/>
          <wp:docPr id="1073741828" name="officeArt object" descr="A white and grey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officeArt object" descr="A white and grey sign with black text&#10;&#10;Description automatically generated"/>
                  <pic:cNvPicPr/>
                </pic:nvPicPr>
                <pic:blipFill>
                  <a:blip r:embed="rId1"/>
                  <a:stretch>
                    <a:fillRect/>
                  </a:stretch>
                </pic:blipFill>
                <pic:spPr>
                  <a:xfrm>
                    <a:off x="0" y="0"/>
                    <a:ext cx="1336876" cy="746567"/>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E579BC0" wp14:editId="61FEF615">
          <wp:simplePos x="0" y="0"/>
          <wp:positionH relativeFrom="margin">
            <wp:posOffset>4768697</wp:posOffset>
          </wp:positionH>
          <wp:positionV relativeFrom="paragraph">
            <wp:posOffset>59706</wp:posOffset>
          </wp:positionV>
          <wp:extent cx="1040491" cy="520861"/>
          <wp:effectExtent l="0" t="0" r="7620" b="0"/>
          <wp:wrapNone/>
          <wp:docPr id="2"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company&#10;&#10;Description automatically generated"/>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0491" cy="520861"/>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D335B99" wp14:editId="064DB981">
          <wp:simplePos x="0" y="0"/>
          <wp:positionH relativeFrom="margin">
            <wp:posOffset>3330487</wp:posOffset>
          </wp:positionH>
          <wp:positionV relativeFrom="paragraph">
            <wp:posOffset>7765</wp:posOffset>
          </wp:positionV>
          <wp:extent cx="1423686" cy="607583"/>
          <wp:effectExtent l="0" t="0" r="5080" b="2540"/>
          <wp:wrapNone/>
          <wp:docPr id="1073741827" name="officeArt object"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officeArt object" descr="A blue and white logo&#10;&#10;Description automatically generated"/>
                  <pic:cNvPicPr/>
                </pic:nvPicPr>
                <pic:blipFill>
                  <a:blip r:embed="rId3"/>
                  <a:stretch>
                    <a:fillRect/>
                  </a:stretch>
                </pic:blipFill>
                <pic:spPr>
                  <a:xfrm>
                    <a:off x="0" y="0"/>
                    <a:ext cx="1423686" cy="607583"/>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ED230D3" wp14:editId="10A7F9E1">
          <wp:simplePos x="0" y="0"/>
          <wp:positionH relativeFrom="column">
            <wp:posOffset>2187253</wp:posOffset>
          </wp:positionH>
          <wp:positionV relativeFrom="paragraph">
            <wp:posOffset>88482</wp:posOffset>
          </wp:positionV>
          <wp:extent cx="1100282" cy="515073"/>
          <wp:effectExtent l="0" t="0" r="5080" b="0"/>
          <wp:wrapNone/>
          <wp:docPr id="1943591401"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91401" name="Picture 3" descr="A black text on a white background&#10;&#10;Description automatically generated"/>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100282" cy="515073"/>
                  </a:xfrm>
                  <a:prstGeom prst="rect">
                    <a:avLst/>
                  </a:prstGeom>
                </pic:spPr>
              </pic:pic>
            </a:graphicData>
          </a:graphic>
          <wp14:sizeRelH relativeFrom="margin">
            <wp14:pctWidth>0</wp14:pctWidth>
          </wp14:sizeRelH>
          <wp14:sizeRelV relativeFrom="margin">
            <wp14:pctHeight>0</wp14:pctHeight>
          </wp14:sizeRelV>
        </wp:anchor>
      </w:drawing>
    </w:r>
    <w:r w:rsidRPr="00093D70">
      <w:drawing>
        <wp:inline distT="0" distB="0" distL="0" distR="0" wp14:anchorId="1729DD85" wp14:editId="3C23F44F">
          <wp:extent cx="868302" cy="703733"/>
          <wp:effectExtent l="0" t="0" r="8255" b="1270"/>
          <wp:docPr id="1809201151" name="Picture 2"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01151" name="Picture 2" descr="A close-up of a business card&#10;&#10;Description automatically generated"/>
                  <pic:cNvPicPr>
                    <a:picLocks noChangeAspect="1" noChangeArrowheads="1"/>
                  </pic:cNvPicPr>
                </pic:nvPicPr>
                <pic:blipFill rotWithShape="1">
                  <a:blip r:embed="rId5" r:link="rId6">
                    <a:extLst>
                      <a:ext uri="{28A0092B-C50C-407E-A947-70E740481C1C}">
                        <a14:useLocalDpi xmlns:a14="http://schemas.microsoft.com/office/drawing/2010/main" val="0"/>
                      </a:ext>
                    </a:extLst>
                  </a:blip>
                  <a:srcRect t="30344" r="79148" b="35840"/>
                  <a:stretch/>
                </pic:blipFill>
                <pic:spPr bwMode="auto">
                  <a:xfrm>
                    <a:off x="0" y="0"/>
                    <a:ext cx="884143" cy="716571"/>
                  </a:xfrm>
                  <a:prstGeom prst="rect">
                    <a:avLst/>
                  </a:prstGeom>
                  <a:noFill/>
                  <a:ln>
                    <a:noFill/>
                  </a:ln>
                  <a:extLst>
                    <a:ext uri="{53640926-AAD7-44D8-BBD7-CCE9431645EC}">
                      <a14:shadowObscured xmlns:a14="http://schemas.microsoft.com/office/drawing/2010/main"/>
                    </a:ext>
                  </a:extLst>
                </pic:spPr>
              </pic:pic>
            </a:graphicData>
          </a:graphic>
        </wp:inline>
      </w:drawing>
    </w:r>
  </w:p>
  <w:p w14:paraId="2B39FA8F" w14:textId="77777777" w:rsidR="005E0CE3" w:rsidRDefault="005E0C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9D322874"/>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5022B1DA"/>
    <w:lvl w:ilvl="0">
      <w:start w:val="1"/>
      <w:numFmt w:val="decimal"/>
      <w:pStyle w:val="ListNumber"/>
      <w:lvlText w:val="%1."/>
      <w:lvlJc w:val="left"/>
      <w:pPr>
        <w:tabs>
          <w:tab w:val="num" w:pos="360"/>
        </w:tabs>
        <w:ind w:left="360" w:hanging="360"/>
      </w:pPr>
    </w:lvl>
  </w:abstractNum>
  <w:abstractNum w:abstractNumId="2" w15:restartNumberingAfterBreak="0">
    <w:nsid w:val="1B1E1072"/>
    <w:multiLevelType w:val="multilevel"/>
    <w:tmpl w:val="21007F4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BF183F"/>
    <w:multiLevelType w:val="multilevel"/>
    <w:tmpl w:val="BB4E1E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5042A8"/>
    <w:multiLevelType w:val="multilevel"/>
    <w:tmpl w:val="ECCA917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DD6D09"/>
    <w:multiLevelType w:val="hybridMultilevel"/>
    <w:tmpl w:val="794A84A4"/>
    <w:lvl w:ilvl="0" w:tplc="E2F43A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630FF"/>
    <w:multiLevelType w:val="multilevel"/>
    <w:tmpl w:val="A218FB5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F36A8D"/>
    <w:multiLevelType w:val="multilevel"/>
    <w:tmpl w:val="D08A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5229D1"/>
    <w:multiLevelType w:val="hybridMultilevel"/>
    <w:tmpl w:val="DEF85E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F3335D"/>
    <w:multiLevelType w:val="hybridMultilevel"/>
    <w:tmpl w:val="82963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717124"/>
    <w:multiLevelType w:val="multilevel"/>
    <w:tmpl w:val="94D2BF6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832B30"/>
    <w:multiLevelType w:val="hybridMultilevel"/>
    <w:tmpl w:val="2230FDEE"/>
    <w:lvl w:ilvl="0" w:tplc="A3081D46">
      <w:start w:val="1"/>
      <w:numFmt w:val="decimal"/>
      <w:lvlText w:val="%1."/>
      <w:lvlJc w:val="left"/>
      <w:pPr>
        <w:ind w:left="720" w:hanging="360"/>
      </w:pPr>
      <w:rPr>
        <w:b w:val="0"/>
        <w:bCs w:val="0"/>
        <w:vertAlign w:val="baseli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2A006D"/>
    <w:multiLevelType w:val="multilevel"/>
    <w:tmpl w:val="E874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56BDC"/>
    <w:multiLevelType w:val="hybridMultilevel"/>
    <w:tmpl w:val="4B2E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906620"/>
    <w:multiLevelType w:val="multilevel"/>
    <w:tmpl w:val="3760BAF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F751C59"/>
    <w:multiLevelType w:val="multilevel"/>
    <w:tmpl w:val="8C669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10478A4"/>
    <w:multiLevelType w:val="multilevel"/>
    <w:tmpl w:val="EFE0F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1D26A1F"/>
    <w:multiLevelType w:val="hybridMultilevel"/>
    <w:tmpl w:val="D48C96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4966A79"/>
    <w:multiLevelType w:val="multilevel"/>
    <w:tmpl w:val="E33C19C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EB5022"/>
    <w:multiLevelType w:val="hybridMultilevel"/>
    <w:tmpl w:val="F9FA7A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7C7EEC"/>
    <w:multiLevelType w:val="hybridMultilevel"/>
    <w:tmpl w:val="D130A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C547E6"/>
    <w:multiLevelType w:val="multilevel"/>
    <w:tmpl w:val="0F0473D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7956AE"/>
    <w:multiLevelType w:val="multilevel"/>
    <w:tmpl w:val="4D52D998"/>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0B3F86"/>
    <w:multiLevelType w:val="multilevel"/>
    <w:tmpl w:val="67B2B60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F83B58"/>
    <w:multiLevelType w:val="multilevel"/>
    <w:tmpl w:val="BEE6F0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51B327E"/>
    <w:multiLevelType w:val="hybridMultilevel"/>
    <w:tmpl w:val="B420DA32"/>
    <w:lvl w:ilvl="0" w:tplc="FFFFFFFF">
      <w:start w:val="1"/>
      <w:numFmt w:val="decimal"/>
      <w:lvlText w:val="%1."/>
      <w:lvlJc w:val="left"/>
      <w:pPr>
        <w:ind w:left="720" w:hanging="360"/>
      </w:pPr>
      <w:rPr>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FB33C5"/>
    <w:multiLevelType w:val="hybridMultilevel"/>
    <w:tmpl w:val="2A5C98BA"/>
    <w:lvl w:ilvl="0" w:tplc="FFFFFFFF">
      <w:start w:val="1"/>
      <w:numFmt w:val="decimal"/>
      <w:lvlText w:val="%1."/>
      <w:lvlJc w:val="left"/>
      <w:pPr>
        <w:ind w:left="720" w:hanging="360"/>
      </w:pPr>
      <w:rPr>
        <w:b w:val="0"/>
        <w:bCs w:val="0"/>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17E3B"/>
    <w:multiLevelType w:val="multilevel"/>
    <w:tmpl w:val="04D84B2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3C152C"/>
    <w:multiLevelType w:val="multilevel"/>
    <w:tmpl w:val="EA3C9778"/>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656EE8"/>
    <w:multiLevelType w:val="multilevel"/>
    <w:tmpl w:val="098A2C6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54399D"/>
    <w:multiLevelType w:val="multilevel"/>
    <w:tmpl w:val="FA7C057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CE28C8"/>
    <w:multiLevelType w:val="multilevel"/>
    <w:tmpl w:val="829E6F2A"/>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F30FA8"/>
    <w:multiLevelType w:val="multilevel"/>
    <w:tmpl w:val="BF406F1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DF73AE"/>
    <w:multiLevelType w:val="hybridMultilevel"/>
    <w:tmpl w:val="4DA082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E6044F"/>
    <w:multiLevelType w:val="multilevel"/>
    <w:tmpl w:val="F32212B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7AA560D5"/>
    <w:multiLevelType w:val="multilevel"/>
    <w:tmpl w:val="0AC0ED2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AB07825"/>
    <w:multiLevelType w:val="multilevel"/>
    <w:tmpl w:val="EBDE3F3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BA1358"/>
    <w:multiLevelType w:val="hybridMultilevel"/>
    <w:tmpl w:val="3D38D81A"/>
    <w:lvl w:ilvl="0" w:tplc="FFFFFFFF">
      <w:start w:val="1"/>
      <w:numFmt w:val="decimal"/>
      <w:lvlText w:val="%1."/>
      <w:lvlJc w:val="left"/>
      <w:pPr>
        <w:ind w:left="720" w:hanging="360"/>
      </w:pPr>
      <w:rPr>
        <w:b w:val="0"/>
        <w:bCs w:val="0"/>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37262264">
    <w:abstractNumId w:val="13"/>
  </w:num>
  <w:num w:numId="2" w16cid:durableId="294725801">
    <w:abstractNumId w:val="13"/>
  </w:num>
  <w:num w:numId="3" w16cid:durableId="1238318596">
    <w:abstractNumId w:val="33"/>
  </w:num>
  <w:num w:numId="4" w16cid:durableId="1142504645">
    <w:abstractNumId w:val="0"/>
  </w:num>
  <w:num w:numId="5" w16cid:durableId="304507962">
    <w:abstractNumId w:val="19"/>
  </w:num>
  <w:num w:numId="6" w16cid:durableId="1060791546">
    <w:abstractNumId w:val="1"/>
  </w:num>
  <w:num w:numId="7" w16cid:durableId="1905482815">
    <w:abstractNumId w:val="6"/>
  </w:num>
  <w:num w:numId="8" w16cid:durableId="961418799">
    <w:abstractNumId w:val="32"/>
  </w:num>
  <w:num w:numId="9" w16cid:durableId="266619849">
    <w:abstractNumId w:val="36"/>
  </w:num>
  <w:num w:numId="10" w16cid:durableId="1607074377">
    <w:abstractNumId w:val="29"/>
  </w:num>
  <w:num w:numId="11" w16cid:durableId="588393071">
    <w:abstractNumId w:val="10"/>
  </w:num>
  <w:num w:numId="12" w16cid:durableId="567227113">
    <w:abstractNumId w:val="18"/>
  </w:num>
  <w:num w:numId="13" w16cid:durableId="557327995">
    <w:abstractNumId w:val="30"/>
  </w:num>
  <w:num w:numId="14" w16cid:durableId="1734307637">
    <w:abstractNumId w:val="27"/>
  </w:num>
  <w:num w:numId="15" w16cid:durableId="853810840">
    <w:abstractNumId w:val="23"/>
  </w:num>
  <w:num w:numId="16" w16cid:durableId="311374005">
    <w:abstractNumId w:val="21"/>
  </w:num>
  <w:num w:numId="17" w16cid:durableId="1507750627">
    <w:abstractNumId w:val="35"/>
  </w:num>
  <w:num w:numId="18" w16cid:durableId="350108865">
    <w:abstractNumId w:val="16"/>
  </w:num>
  <w:num w:numId="19" w16cid:durableId="524366312">
    <w:abstractNumId w:val="34"/>
  </w:num>
  <w:num w:numId="20" w16cid:durableId="2118600262">
    <w:abstractNumId w:val="12"/>
  </w:num>
  <w:num w:numId="21" w16cid:durableId="1596933719">
    <w:abstractNumId w:val="7"/>
  </w:num>
  <w:num w:numId="22" w16cid:durableId="216866059">
    <w:abstractNumId w:val="22"/>
  </w:num>
  <w:num w:numId="23" w16cid:durableId="97147234">
    <w:abstractNumId w:val="31"/>
  </w:num>
  <w:num w:numId="24" w16cid:durableId="1128814018">
    <w:abstractNumId w:val="28"/>
  </w:num>
  <w:num w:numId="25" w16cid:durableId="883757971">
    <w:abstractNumId w:val="2"/>
  </w:num>
  <w:num w:numId="26" w16cid:durableId="1584490767">
    <w:abstractNumId w:val="4"/>
  </w:num>
  <w:num w:numId="27" w16cid:durableId="2038313966">
    <w:abstractNumId w:val="24"/>
  </w:num>
  <w:num w:numId="28" w16cid:durableId="60373088">
    <w:abstractNumId w:val="5"/>
  </w:num>
  <w:num w:numId="29" w16cid:durableId="1093550015">
    <w:abstractNumId w:val="3"/>
  </w:num>
  <w:num w:numId="30" w16cid:durableId="866137554">
    <w:abstractNumId w:val="15"/>
  </w:num>
  <w:num w:numId="31" w16cid:durableId="1155493165">
    <w:abstractNumId w:val="11"/>
  </w:num>
  <w:num w:numId="32" w16cid:durableId="1215777455">
    <w:abstractNumId w:val="0"/>
  </w:num>
  <w:num w:numId="33" w16cid:durableId="504322892">
    <w:abstractNumId w:val="0"/>
  </w:num>
  <w:num w:numId="34" w16cid:durableId="1104348950">
    <w:abstractNumId w:val="0"/>
  </w:num>
  <w:num w:numId="35" w16cid:durableId="1827357128">
    <w:abstractNumId w:val="0"/>
  </w:num>
  <w:num w:numId="36" w16cid:durableId="557284204">
    <w:abstractNumId w:val="0"/>
  </w:num>
  <w:num w:numId="37" w16cid:durableId="2143688472">
    <w:abstractNumId w:val="0"/>
  </w:num>
  <w:num w:numId="38" w16cid:durableId="1944411359">
    <w:abstractNumId w:val="8"/>
  </w:num>
  <w:num w:numId="39" w16cid:durableId="717583169">
    <w:abstractNumId w:val="20"/>
  </w:num>
  <w:num w:numId="40" w16cid:durableId="376897683">
    <w:abstractNumId w:val="9"/>
  </w:num>
  <w:num w:numId="41" w16cid:durableId="1705711945">
    <w:abstractNumId w:val="0"/>
  </w:num>
  <w:num w:numId="42" w16cid:durableId="1403210429">
    <w:abstractNumId w:val="0"/>
  </w:num>
  <w:num w:numId="43" w16cid:durableId="1939949641">
    <w:abstractNumId w:val="0"/>
  </w:num>
  <w:num w:numId="44" w16cid:durableId="1996958776">
    <w:abstractNumId w:val="0"/>
  </w:num>
  <w:num w:numId="45" w16cid:durableId="1683508195">
    <w:abstractNumId w:val="0"/>
  </w:num>
  <w:num w:numId="46" w16cid:durableId="2108769553">
    <w:abstractNumId w:val="0"/>
  </w:num>
  <w:num w:numId="47" w16cid:durableId="1795782379">
    <w:abstractNumId w:val="0"/>
  </w:num>
  <w:num w:numId="48" w16cid:durableId="469909423">
    <w:abstractNumId w:val="0"/>
  </w:num>
  <w:num w:numId="49" w16cid:durableId="899556732">
    <w:abstractNumId w:val="0"/>
  </w:num>
  <w:num w:numId="50" w16cid:durableId="267011468">
    <w:abstractNumId w:val="0"/>
  </w:num>
  <w:num w:numId="51" w16cid:durableId="1766614449">
    <w:abstractNumId w:val="0"/>
  </w:num>
  <w:num w:numId="52" w16cid:durableId="1200313406">
    <w:abstractNumId w:val="0"/>
  </w:num>
  <w:num w:numId="53" w16cid:durableId="1949923677">
    <w:abstractNumId w:val="0"/>
  </w:num>
  <w:num w:numId="54" w16cid:durableId="474106901">
    <w:abstractNumId w:val="0"/>
  </w:num>
  <w:num w:numId="55" w16cid:durableId="1807236914">
    <w:abstractNumId w:val="0"/>
  </w:num>
  <w:num w:numId="56" w16cid:durableId="91900409">
    <w:abstractNumId w:val="0"/>
  </w:num>
  <w:num w:numId="57" w16cid:durableId="648284621">
    <w:abstractNumId w:val="0"/>
  </w:num>
  <w:num w:numId="58" w16cid:durableId="104426715">
    <w:abstractNumId w:val="0"/>
  </w:num>
  <w:num w:numId="59" w16cid:durableId="707729991">
    <w:abstractNumId w:val="0"/>
  </w:num>
  <w:num w:numId="60" w16cid:durableId="1697660163">
    <w:abstractNumId w:val="0"/>
  </w:num>
  <w:num w:numId="61" w16cid:durableId="794979847">
    <w:abstractNumId w:val="0"/>
  </w:num>
  <w:num w:numId="62" w16cid:durableId="2019961777">
    <w:abstractNumId w:val="0"/>
  </w:num>
  <w:num w:numId="63" w16cid:durableId="1527718664">
    <w:abstractNumId w:val="25"/>
  </w:num>
  <w:num w:numId="64" w16cid:durableId="1449616515">
    <w:abstractNumId w:val="14"/>
  </w:num>
  <w:num w:numId="65" w16cid:durableId="1177764623">
    <w:abstractNumId w:val="37"/>
  </w:num>
  <w:num w:numId="66" w16cid:durableId="1533372528">
    <w:abstractNumId w:val="26"/>
  </w:num>
  <w:num w:numId="67" w16cid:durableId="1792240111">
    <w:abstractNumId w:val="1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24"/>
    <w:rsid w:val="00004B3A"/>
    <w:rsid w:val="000121CF"/>
    <w:rsid w:val="000127DA"/>
    <w:rsid w:val="00013FBD"/>
    <w:rsid w:val="00016C23"/>
    <w:rsid w:val="0002277C"/>
    <w:rsid w:val="00025EDF"/>
    <w:rsid w:val="00031823"/>
    <w:rsid w:val="00035A0A"/>
    <w:rsid w:val="00035D89"/>
    <w:rsid w:val="000361A9"/>
    <w:rsid w:val="00040306"/>
    <w:rsid w:val="0006595B"/>
    <w:rsid w:val="00074AB8"/>
    <w:rsid w:val="000B135D"/>
    <w:rsid w:val="000B4BC6"/>
    <w:rsid w:val="000B67C6"/>
    <w:rsid w:val="000F7356"/>
    <w:rsid w:val="00106812"/>
    <w:rsid w:val="001151C3"/>
    <w:rsid w:val="00125B4E"/>
    <w:rsid w:val="00126A13"/>
    <w:rsid w:val="001531FE"/>
    <w:rsid w:val="00155BC9"/>
    <w:rsid w:val="00157281"/>
    <w:rsid w:val="00181DA5"/>
    <w:rsid w:val="001843AE"/>
    <w:rsid w:val="00185D1B"/>
    <w:rsid w:val="00190189"/>
    <w:rsid w:val="001A46C2"/>
    <w:rsid w:val="001A46F8"/>
    <w:rsid w:val="001A6405"/>
    <w:rsid w:val="001D00AE"/>
    <w:rsid w:val="001D533D"/>
    <w:rsid w:val="001D7C58"/>
    <w:rsid w:val="001D7C91"/>
    <w:rsid w:val="001E765E"/>
    <w:rsid w:val="001F222B"/>
    <w:rsid w:val="002144B7"/>
    <w:rsid w:val="00216C08"/>
    <w:rsid w:val="00217E02"/>
    <w:rsid w:val="00236D63"/>
    <w:rsid w:val="00237D10"/>
    <w:rsid w:val="00237EDE"/>
    <w:rsid w:val="00253DBE"/>
    <w:rsid w:val="002649A8"/>
    <w:rsid w:val="00272327"/>
    <w:rsid w:val="002839DD"/>
    <w:rsid w:val="0029620D"/>
    <w:rsid w:val="002A3640"/>
    <w:rsid w:val="002C02B9"/>
    <w:rsid w:val="003053C8"/>
    <w:rsid w:val="00307A87"/>
    <w:rsid w:val="00322ADF"/>
    <w:rsid w:val="0034057B"/>
    <w:rsid w:val="00347FE9"/>
    <w:rsid w:val="00354848"/>
    <w:rsid w:val="00363F91"/>
    <w:rsid w:val="003641CD"/>
    <w:rsid w:val="00373B75"/>
    <w:rsid w:val="003752B1"/>
    <w:rsid w:val="00384945"/>
    <w:rsid w:val="003B6DBD"/>
    <w:rsid w:val="003C6548"/>
    <w:rsid w:val="003F2274"/>
    <w:rsid w:val="003F3555"/>
    <w:rsid w:val="004034EA"/>
    <w:rsid w:val="004155F8"/>
    <w:rsid w:val="004162F7"/>
    <w:rsid w:val="0042088C"/>
    <w:rsid w:val="00447C67"/>
    <w:rsid w:val="00466174"/>
    <w:rsid w:val="004673FF"/>
    <w:rsid w:val="00471EE6"/>
    <w:rsid w:val="004D3C33"/>
    <w:rsid w:val="004E40D8"/>
    <w:rsid w:val="004F4DFF"/>
    <w:rsid w:val="00507E05"/>
    <w:rsid w:val="00510EEC"/>
    <w:rsid w:val="00522A33"/>
    <w:rsid w:val="0054178F"/>
    <w:rsid w:val="005457D1"/>
    <w:rsid w:val="005501F4"/>
    <w:rsid w:val="005665E6"/>
    <w:rsid w:val="00576D8D"/>
    <w:rsid w:val="005B1BC3"/>
    <w:rsid w:val="005D03F3"/>
    <w:rsid w:val="005D057A"/>
    <w:rsid w:val="005D73CD"/>
    <w:rsid w:val="005D7526"/>
    <w:rsid w:val="005E0CE3"/>
    <w:rsid w:val="005E0EC7"/>
    <w:rsid w:val="005E337D"/>
    <w:rsid w:val="005F544B"/>
    <w:rsid w:val="00607DCB"/>
    <w:rsid w:val="00634F37"/>
    <w:rsid w:val="00640490"/>
    <w:rsid w:val="00645007"/>
    <w:rsid w:val="006525A2"/>
    <w:rsid w:val="006530CE"/>
    <w:rsid w:val="00653C3B"/>
    <w:rsid w:val="0065431A"/>
    <w:rsid w:val="00667B91"/>
    <w:rsid w:val="00677645"/>
    <w:rsid w:val="00696803"/>
    <w:rsid w:val="006A1009"/>
    <w:rsid w:val="006A1B12"/>
    <w:rsid w:val="006C4E0D"/>
    <w:rsid w:val="006F2F9F"/>
    <w:rsid w:val="006F4F66"/>
    <w:rsid w:val="00700775"/>
    <w:rsid w:val="0071099E"/>
    <w:rsid w:val="007270E4"/>
    <w:rsid w:val="0072751C"/>
    <w:rsid w:val="0073716E"/>
    <w:rsid w:val="007456A0"/>
    <w:rsid w:val="007616F3"/>
    <w:rsid w:val="00777AEC"/>
    <w:rsid w:val="00783396"/>
    <w:rsid w:val="00783A52"/>
    <w:rsid w:val="0079225E"/>
    <w:rsid w:val="00797D60"/>
    <w:rsid w:val="007A07BD"/>
    <w:rsid w:val="007A0E38"/>
    <w:rsid w:val="007A3DEF"/>
    <w:rsid w:val="007C11B7"/>
    <w:rsid w:val="007E6B99"/>
    <w:rsid w:val="00812CBE"/>
    <w:rsid w:val="00813726"/>
    <w:rsid w:val="0082245B"/>
    <w:rsid w:val="00842968"/>
    <w:rsid w:val="0084494C"/>
    <w:rsid w:val="00857C31"/>
    <w:rsid w:val="0086287B"/>
    <w:rsid w:val="008659A6"/>
    <w:rsid w:val="0087693B"/>
    <w:rsid w:val="008843DE"/>
    <w:rsid w:val="00886BB8"/>
    <w:rsid w:val="00886CB2"/>
    <w:rsid w:val="008A0326"/>
    <w:rsid w:val="008A08EC"/>
    <w:rsid w:val="008D10CE"/>
    <w:rsid w:val="008E0522"/>
    <w:rsid w:val="008E4747"/>
    <w:rsid w:val="008F57FC"/>
    <w:rsid w:val="00910517"/>
    <w:rsid w:val="00946218"/>
    <w:rsid w:val="0095456B"/>
    <w:rsid w:val="00966384"/>
    <w:rsid w:val="00970867"/>
    <w:rsid w:val="009905A8"/>
    <w:rsid w:val="009A223E"/>
    <w:rsid w:val="009A5770"/>
    <w:rsid w:val="009B3D63"/>
    <w:rsid w:val="009D0B1F"/>
    <w:rsid w:val="009D4186"/>
    <w:rsid w:val="009E70A3"/>
    <w:rsid w:val="009F3163"/>
    <w:rsid w:val="009F606B"/>
    <w:rsid w:val="009F64F0"/>
    <w:rsid w:val="00A11ECB"/>
    <w:rsid w:val="00A120D4"/>
    <w:rsid w:val="00A14867"/>
    <w:rsid w:val="00A477EA"/>
    <w:rsid w:val="00A514EA"/>
    <w:rsid w:val="00A54CEA"/>
    <w:rsid w:val="00A66B74"/>
    <w:rsid w:val="00A67A08"/>
    <w:rsid w:val="00A716D6"/>
    <w:rsid w:val="00A7267C"/>
    <w:rsid w:val="00A73AA0"/>
    <w:rsid w:val="00A74025"/>
    <w:rsid w:val="00AA1832"/>
    <w:rsid w:val="00AA287C"/>
    <w:rsid w:val="00AA4D9C"/>
    <w:rsid w:val="00AB03AA"/>
    <w:rsid w:val="00AB79AA"/>
    <w:rsid w:val="00AD57FD"/>
    <w:rsid w:val="00AD72E7"/>
    <w:rsid w:val="00B05CDF"/>
    <w:rsid w:val="00B22C8B"/>
    <w:rsid w:val="00B3026D"/>
    <w:rsid w:val="00B45ABF"/>
    <w:rsid w:val="00B618E5"/>
    <w:rsid w:val="00B763B3"/>
    <w:rsid w:val="00B76552"/>
    <w:rsid w:val="00BA2625"/>
    <w:rsid w:val="00BC0CBC"/>
    <w:rsid w:val="00BC3270"/>
    <w:rsid w:val="00BD68B8"/>
    <w:rsid w:val="00BF3B37"/>
    <w:rsid w:val="00BF617A"/>
    <w:rsid w:val="00C22233"/>
    <w:rsid w:val="00C25546"/>
    <w:rsid w:val="00C33182"/>
    <w:rsid w:val="00C52038"/>
    <w:rsid w:val="00C741FD"/>
    <w:rsid w:val="00C7762F"/>
    <w:rsid w:val="00C8329D"/>
    <w:rsid w:val="00C920BC"/>
    <w:rsid w:val="00CB04FB"/>
    <w:rsid w:val="00CB17EE"/>
    <w:rsid w:val="00CB77CF"/>
    <w:rsid w:val="00CC6B5B"/>
    <w:rsid w:val="00CD69BA"/>
    <w:rsid w:val="00CF4055"/>
    <w:rsid w:val="00CF77BB"/>
    <w:rsid w:val="00D50116"/>
    <w:rsid w:val="00D644A2"/>
    <w:rsid w:val="00D80FF4"/>
    <w:rsid w:val="00DB083F"/>
    <w:rsid w:val="00DB1F34"/>
    <w:rsid w:val="00DD10D5"/>
    <w:rsid w:val="00DD1E5F"/>
    <w:rsid w:val="00DD75C8"/>
    <w:rsid w:val="00DE0A24"/>
    <w:rsid w:val="00DF59BB"/>
    <w:rsid w:val="00E00EE3"/>
    <w:rsid w:val="00E01A3B"/>
    <w:rsid w:val="00E04F46"/>
    <w:rsid w:val="00E217D5"/>
    <w:rsid w:val="00E73EDA"/>
    <w:rsid w:val="00ED208D"/>
    <w:rsid w:val="00ED25C4"/>
    <w:rsid w:val="00ED5C9F"/>
    <w:rsid w:val="00ED7438"/>
    <w:rsid w:val="00ED79C4"/>
    <w:rsid w:val="00EE58E2"/>
    <w:rsid w:val="00F062CC"/>
    <w:rsid w:val="00F11E6C"/>
    <w:rsid w:val="00F23AE5"/>
    <w:rsid w:val="00F26FA0"/>
    <w:rsid w:val="00F3008F"/>
    <w:rsid w:val="00F35929"/>
    <w:rsid w:val="00F52D5F"/>
    <w:rsid w:val="00F53C82"/>
    <w:rsid w:val="00F6126F"/>
    <w:rsid w:val="00F61423"/>
    <w:rsid w:val="00F62F6D"/>
    <w:rsid w:val="00F6533C"/>
    <w:rsid w:val="00FA4FF8"/>
    <w:rsid w:val="00FE09EE"/>
    <w:rsid w:val="00FE3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3A0E5"/>
  <w15:chartTrackingRefBased/>
  <w15:docId w15:val="{4F51FB5D-78B9-4B65-879F-11BEEC91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6"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6"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6"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A24"/>
    <w:rPr>
      <w:rFonts w:eastAsiaTheme="majorEastAsia" w:cstheme="majorBidi"/>
      <w:color w:val="272727" w:themeColor="text1" w:themeTint="D8"/>
    </w:rPr>
  </w:style>
  <w:style w:type="paragraph" w:styleId="Title">
    <w:name w:val="Title"/>
    <w:basedOn w:val="Normal"/>
    <w:next w:val="Normal"/>
    <w:link w:val="TitleChar"/>
    <w:uiPriority w:val="10"/>
    <w:qFormat/>
    <w:rsid w:val="00DE0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24"/>
    <w:pPr>
      <w:spacing w:before="160"/>
      <w:jc w:val="center"/>
    </w:pPr>
    <w:rPr>
      <w:i/>
      <w:iCs/>
      <w:color w:val="404040" w:themeColor="text1" w:themeTint="BF"/>
    </w:rPr>
  </w:style>
  <w:style w:type="character" w:customStyle="1" w:styleId="QuoteChar">
    <w:name w:val="Quote Char"/>
    <w:basedOn w:val="DefaultParagraphFont"/>
    <w:link w:val="Quote"/>
    <w:uiPriority w:val="29"/>
    <w:rsid w:val="00DE0A24"/>
    <w:rPr>
      <w:i/>
      <w:iCs/>
      <w:color w:val="404040" w:themeColor="text1" w:themeTint="BF"/>
    </w:rPr>
  </w:style>
  <w:style w:type="paragraph" w:styleId="ListParagraph">
    <w:name w:val="List Paragraph"/>
    <w:basedOn w:val="Normal"/>
    <w:uiPriority w:val="34"/>
    <w:qFormat/>
    <w:rsid w:val="00DE0A24"/>
    <w:pPr>
      <w:ind w:left="720"/>
      <w:contextualSpacing/>
    </w:pPr>
  </w:style>
  <w:style w:type="character" w:styleId="IntenseEmphasis">
    <w:name w:val="Intense Emphasis"/>
    <w:basedOn w:val="DefaultParagraphFont"/>
    <w:uiPriority w:val="21"/>
    <w:qFormat/>
    <w:rsid w:val="00DE0A24"/>
    <w:rPr>
      <w:i/>
      <w:iCs/>
      <w:color w:val="0F4761" w:themeColor="accent1" w:themeShade="BF"/>
    </w:rPr>
  </w:style>
  <w:style w:type="paragraph" w:styleId="IntenseQuote">
    <w:name w:val="Intense Quote"/>
    <w:basedOn w:val="Normal"/>
    <w:next w:val="Normal"/>
    <w:link w:val="IntenseQuoteChar"/>
    <w:uiPriority w:val="30"/>
    <w:qFormat/>
    <w:rsid w:val="00DE0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24"/>
    <w:rPr>
      <w:i/>
      <w:iCs/>
      <w:color w:val="0F4761" w:themeColor="accent1" w:themeShade="BF"/>
    </w:rPr>
  </w:style>
  <w:style w:type="character" w:styleId="IntenseReference">
    <w:name w:val="Intense Reference"/>
    <w:basedOn w:val="DefaultParagraphFont"/>
    <w:uiPriority w:val="32"/>
    <w:qFormat/>
    <w:rsid w:val="00DE0A24"/>
    <w:rPr>
      <w:b/>
      <w:bCs/>
      <w:smallCaps/>
      <w:color w:val="0F4761" w:themeColor="accent1" w:themeShade="BF"/>
      <w:spacing w:val="5"/>
    </w:rPr>
  </w:style>
  <w:style w:type="paragraph" w:styleId="FootnoteText">
    <w:name w:val="footnote text"/>
    <w:basedOn w:val="Normal"/>
    <w:link w:val="FootnoteTextChar"/>
    <w:uiPriority w:val="26"/>
    <w:unhideWhenUsed/>
    <w:rsid w:val="005D03F3"/>
    <w:pPr>
      <w:spacing w:after="0" w:line="240" w:lineRule="auto"/>
    </w:pPr>
    <w:rPr>
      <w:sz w:val="20"/>
      <w:szCs w:val="20"/>
    </w:rPr>
  </w:style>
  <w:style w:type="character" w:customStyle="1" w:styleId="FootnoteTextChar">
    <w:name w:val="Footnote Text Char"/>
    <w:basedOn w:val="DefaultParagraphFont"/>
    <w:link w:val="FootnoteText"/>
    <w:uiPriority w:val="26"/>
    <w:rsid w:val="005D03F3"/>
    <w:rPr>
      <w:sz w:val="20"/>
      <w:szCs w:val="20"/>
    </w:rPr>
  </w:style>
  <w:style w:type="character" w:styleId="Hyperlink">
    <w:name w:val="Hyperlink"/>
    <w:basedOn w:val="DefaultParagraphFont"/>
    <w:uiPriority w:val="26"/>
    <w:unhideWhenUsed/>
    <w:rsid w:val="005D03F3"/>
    <w:rPr>
      <w:color w:val="156082" w:themeColor="accent1"/>
      <w:u w:val="single"/>
    </w:rPr>
  </w:style>
  <w:style w:type="character" w:styleId="FootnoteReference">
    <w:name w:val="footnote reference"/>
    <w:basedOn w:val="DefaultParagraphFont"/>
    <w:uiPriority w:val="26"/>
    <w:semiHidden/>
    <w:unhideWhenUsed/>
    <w:rsid w:val="005D03F3"/>
    <w:rPr>
      <w:vertAlign w:val="superscript"/>
    </w:rPr>
  </w:style>
  <w:style w:type="paragraph" w:styleId="ListNumber3">
    <w:name w:val="List Number 3"/>
    <w:basedOn w:val="Normal"/>
    <w:uiPriority w:val="99"/>
    <w:unhideWhenUsed/>
    <w:rsid w:val="00946218"/>
    <w:pPr>
      <w:numPr>
        <w:numId w:val="4"/>
      </w:numPr>
      <w:contextualSpacing/>
    </w:pPr>
  </w:style>
  <w:style w:type="paragraph" w:styleId="ListNumber">
    <w:name w:val="List Number"/>
    <w:basedOn w:val="Normal"/>
    <w:uiPriority w:val="99"/>
    <w:unhideWhenUsed/>
    <w:rsid w:val="009D4186"/>
    <w:pPr>
      <w:numPr>
        <w:numId w:val="6"/>
      </w:numPr>
      <w:contextualSpacing/>
    </w:pPr>
  </w:style>
  <w:style w:type="paragraph" w:customStyle="1" w:styleId="paragraph">
    <w:name w:val="paragraph"/>
    <w:basedOn w:val="Normal"/>
    <w:rsid w:val="006968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96803"/>
  </w:style>
  <w:style w:type="character" w:customStyle="1" w:styleId="findhit">
    <w:name w:val="findhit"/>
    <w:basedOn w:val="DefaultParagraphFont"/>
    <w:rsid w:val="00696803"/>
  </w:style>
  <w:style w:type="character" w:customStyle="1" w:styleId="eop">
    <w:name w:val="eop"/>
    <w:basedOn w:val="DefaultParagraphFont"/>
    <w:rsid w:val="00696803"/>
  </w:style>
  <w:style w:type="paragraph" w:styleId="Header">
    <w:name w:val="header"/>
    <w:basedOn w:val="Normal"/>
    <w:link w:val="HeaderChar"/>
    <w:uiPriority w:val="99"/>
    <w:unhideWhenUsed/>
    <w:rsid w:val="00373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B75"/>
  </w:style>
  <w:style w:type="paragraph" w:styleId="Footer">
    <w:name w:val="footer"/>
    <w:basedOn w:val="Normal"/>
    <w:link w:val="FooterChar"/>
    <w:uiPriority w:val="99"/>
    <w:unhideWhenUsed/>
    <w:rsid w:val="00373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B75"/>
  </w:style>
  <w:style w:type="character" w:styleId="CommentReference">
    <w:name w:val="annotation reference"/>
    <w:basedOn w:val="DefaultParagraphFont"/>
    <w:uiPriority w:val="99"/>
    <w:semiHidden/>
    <w:unhideWhenUsed/>
    <w:rsid w:val="00C741FD"/>
    <w:rPr>
      <w:sz w:val="16"/>
      <w:szCs w:val="16"/>
    </w:rPr>
  </w:style>
  <w:style w:type="paragraph" w:styleId="CommentText">
    <w:name w:val="annotation text"/>
    <w:basedOn w:val="Normal"/>
    <w:link w:val="CommentTextChar"/>
    <w:uiPriority w:val="99"/>
    <w:unhideWhenUsed/>
    <w:rsid w:val="00C741FD"/>
    <w:pPr>
      <w:spacing w:line="240" w:lineRule="auto"/>
    </w:pPr>
    <w:rPr>
      <w:sz w:val="20"/>
      <w:szCs w:val="20"/>
    </w:rPr>
  </w:style>
  <w:style w:type="character" w:customStyle="1" w:styleId="CommentTextChar">
    <w:name w:val="Comment Text Char"/>
    <w:basedOn w:val="DefaultParagraphFont"/>
    <w:link w:val="CommentText"/>
    <w:uiPriority w:val="99"/>
    <w:rsid w:val="00C741FD"/>
    <w:rPr>
      <w:sz w:val="20"/>
      <w:szCs w:val="20"/>
    </w:rPr>
  </w:style>
  <w:style w:type="paragraph" w:styleId="CommentSubject">
    <w:name w:val="annotation subject"/>
    <w:basedOn w:val="CommentText"/>
    <w:next w:val="CommentText"/>
    <w:link w:val="CommentSubjectChar"/>
    <w:uiPriority w:val="99"/>
    <w:semiHidden/>
    <w:unhideWhenUsed/>
    <w:rsid w:val="00C741FD"/>
    <w:rPr>
      <w:b/>
      <w:bCs/>
    </w:rPr>
  </w:style>
  <w:style w:type="character" w:customStyle="1" w:styleId="CommentSubjectChar">
    <w:name w:val="Comment Subject Char"/>
    <w:basedOn w:val="CommentTextChar"/>
    <w:link w:val="CommentSubject"/>
    <w:uiPriority w:val="99"/>
    <w:semiHidden/>
    <w:rsid w:val="00C741FD"/>
    <w:rPr>
      <w:b/>
      <w:bCs/>
      <w:sz w:val="20"/>
      <w:szCs w:val="20"/>
    </w:rPr>
  </w:style>
  <w:style w:type="character" w:styleId="UnresolvedMention">
    <w:name w:val="Unresolved Mention"/>
    <w:basedOn w:val="DefaultParagraphFont"/>
    <w:uiPriority w:val="99"/>
    <w:semiHidden/>
    <w:unhideWhenUsed/>
    <w:rsid w:val="00BA2625"/>
    <w:rPr>
      <w:color w:val="605E5C"/>
      <w:shd w:val="clear" w:color="auto" w:fill="E1DFDD"/>
    </w:rPr>
  </w:style>
  <w:style w:type="character" w:styleId="FollowedHyperlink">
    <w:name w:val="FollowedHyperlink"/>
    <w:basedOn w:val="DefaultParagraphFont"/>
    <w:uiPriority w:val="99"/>
    <w:semiHidden/>
    <w:unhideWhenUsed/>
    <w:rsid w:val="00BA2625"/>
    <w:rPr>
      <w:color w:val="96607D" w:themeColor="followedHyperlink"/>
      <w:u w:val="single"/>
    </w:rPr>
  </w:style>
  <w:style w:type="character" w:customStyle="1" w:styleId="superscript">
    <w:name w:val="superscript"/>
    <w:basedOn w:val="DefaultParagraphFont"/>
    <w:rsid w:val="00966384"/>
  </w:style>
  <w:style w:type="paragraph" w:styleId="Revision">
    <w:name w:val="Revision"/>
    <w:hidden/>
    <w:uiPriority w:val="99"/>
    <w:semiHidden/>
    <w:rsid w:val="006404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85315">
      <w:bodyDiv w:val="1"/>
      <w:marLeft w:val="0"/>
      <w:marRight w:val="0"/>
      <w:marTop w:val="0"/>
      <w:marBottom w:val="0"/>
      <w:divBdr>
        <w:top w:val="none" w:sz="0" w:space="0" w:color="auto"/>
        <w:left w:val="none" w:sz="0" w:space="0" w:color="auto"/>
        <w:bottom w:val="none" w:sz="0" w:space="0" w:color="auto"/>
        <w:right w:val="none" w:sz="0" w:space="0" w:color="auto"/>
      </w:divBdr>
    </w:div>
    <w:div w:id="204103997">
      <w:bodyDiv w:val="1"/>
      <w:marLeft w:val="0"/>
      <w:marRight w:val="0"/>
      <w:marTop w:val="0"/>
      <w:marBottom w:val="0"/>
      <w:divBdr>
        <w:top w:val="none" w:sz="0" w:space="0" w:color="auto"/>
        <w:left w:val="none" w:sz="0" w:space="0" w:color="auto"/>
        <w:bottom w:val="none" w:sz="0" w:space="0" w:color="auto"/>
        <w:right w:val="none" w:sz="0" w:space="0" w:color="auto"/>
      </w:divBdr>
    </w:div>
    <w:div w:id="212543184">
      <w:bodyDiv w:val="1"/>
      <w:marLeft w:val="0"/>
      <w:marRight w:val="0"/>
      <w:marTop w:val="0"/>
      <w:marBottom w:val="0"/>
      <w:divBdr>
        <w:top w:val="none" w:sz="0" w:space="0" w:color="auto"/>
        <w:left w:val="none" w:sz="0" w:space="0" w:color="auto"/>
        <w:bottom w:val="none" w:sz="0" w:space="0" w:color="auto"/>
        <w:right w:val="none" w:sz="0" w:space="0" w:color="auto"/>
      </w:divBdr>
    </w:div>
    <w:div w:id="214312847">
      <w:bodyDiv w:val="1"/>
      <w:marLeft w:val="0"/>
      <w:marRight w:val="0"/>
      <w:marTop w:val="0"/>
      <w:marBottom w:val="0"/>
      <w:divBdr>
        <w:top w:val="none" w:sz="0" w:space="0" w:color="auto"/>
        <w:left w:val="none" w:sz="0" w:space="0" w:color="auto"/>
        <w:bottom w:val="none" w:sz="0" w:space="0" w:color="auto"/>
        <w:right w:val="none" w:sz="0" w:space="0" w:color="auto"/>
      </w:divBdr>
      <w:divsChild>
        <w:div w:id="84230544">
          <w:marLeft w:val="0"/>
          <w:marRight w:val="0"/>
          <w:marTop w:val="0"/>
          <w:marBottom w:val="0"/>
          <w:divBdr>
            <w:top w:val="none" w:sz="0" w:space="0" w:color="auto"/>
            <w:left w:val="none" w:sz="0" w:space="0" w:color="auto"/>
            <w:bottom w:val="none" w:sz="0" w:space="0" w:color="auto"/>
            <w:right w:val="none" w:sz="0" w:space="0" w:color="auto"/>
          </w:divBdr>
          <w:divsChild>
            <w:div w:id="540941243">
              <w:marLeft w:val="0"/>
              <w:marRight w:val="0"/>
              <w:marTop w:val="0"/>
              <w:marBottom w:val="0"/>
              <w:divBdr>
                <w:top w:val="none" w:sz="0" w:space="0" w:color="auto"/>
                <w:left w:val="none" w:sz="0" w:space="0" w:color="auto"/>
                <w:bottom w:val="none" w:sz="0" w:space="0" w:color="auto"/>
                <w:right w:val="none" w:sz="0" w:space="0" w:color="auto"/>
              </w:divBdr>
            </w:div>
            <w:div w:id="1554583460">
              <w:marLeft w:val="0"/>
              <w:marRight w:val="0"/>
              <w:marTop w:val="0"/>
              <w:marBottom w:val="0"/>
              <w:divBdr>
                <w:top w:val="none" w:sz="0" w:space="0" w:color="auto"/>
                <w:left w:val="none" w:sz="0" w:space="0" w:color="auto"/>
                <w:bottom w:val="none" w:sz="0" w:space="0" w:color="auto"/>
                <w:right w:val="none" w:sz="0" w:space="0" w:color="auto"/>
              </w:divBdr>
            </w:div>
            <w:div w:id="911046046">
              <w:marLeft w:val="0"/>
              <w:marRight w:val="0"/>
              <w:marTop w:val="0"/>
              <w:marBottom w:val="0"/>
              <w:divBdr>
                <w:top w:val="none" w:sz="0" w:space="0" w:color="auto"/>
                <w:left w:val="none" w:sz="0" w:space="0" w:color="auto"/>
                <w:bottom w:val="none" w:sz="0" w:space="0" w:color="auto"/>
                <w:right w:val="none" w:sz="0" w:space="0" w:color="auto"/>
              </w:divBdr>
            </w:div>
            <w:div w:id="815296246">
              <w:marLeft w:val="0"/>
              <w:marRight w:val="0"/>
              <w:marTop w:val="0"/>
              <w:marBottom w:val="0"/>
              <w:divBdr>
                <w:top w:val="none" w:sz="0" w:space="0" w:color="auto"/>
                <w:left w:val="none" w:sz="0" w:space="0" w:color="auto"/>
                <w:bottom w:val="none" w:sz="0" w:space="0" w:color="auto"/>
                <w:right w:val="none" w:sz="0" w:space="0" w:color="auto"/>
              </w:divBdr>
            </w:div>
            <w:div w:id="668871159">
              <w:marLeft w:val="0"/>
              <w:marRight w:val="0"/>
              <w:marTop w:val="0"/>
              <w:marBottom w:val="0"/>
              <w:divBdr>
                <w:top w:val="none" w:sz="0" w:space="0" w:color="auto"/>
                <w:left w:val="none" w:sz="0" w:space="0" w:color="auto"/>
                <w:bottom w:val="none" w:sz="0" w:space="0" w:color="auto"/>
                <w:right w:val="none" w:sz="0" w:space="0" w:color="auto"/>
              </w:divBdr>
            </w:div>
          </w:divsChild>
        </w:div>
        <w:div w:id="1110587823">
          <w:marLeft w:val="0"/>
          <w:marRight w:val="0"/>
          <w:marTop w:val="0"/>
          <w:marBottom w:val="0"/>
          <w:divBdr>
            <w:top w:val="none" w:sz="0" w:space="0" w:color="auto"/>
            <w:left w:val="none" w:sz="0" w:space="0" w:color="auto"/>
            <w:bottom w:val="none" w:sz="0" w:space="0" w:color="auto"/>
            <w:right w:val="none" w:sz="0" w:space="0" w:color="auto"/>
          </w:divBdr>
          <w:divsChild>
            <w:div w:id="1808938172">
              <w:marLeft w:val="0"/>
              <w:marRight w:val="0"/>
              <w:marTop w:val="0"/>
              <w:marBottom w:val="0"/>
              <w:divBdr>
                <w:top w:val="none" w:sz="0" w:space="0" w:color="auto"/>
                <w:left w:val="none" w:sz="0" w:space="0" w:color="auto"/>
                <w:bottom w:val="none" w:sz="0" w:space="0" w:color="auto"/>
                <w:right w:val="none" w:sz="0" w:space="0" w:color="auto"/>
              </w:divBdr>
            </w:div>
            <w:div w:id="415325446">
              <w:marLeft w:val="0"/>
              <w:marRight w:val="0"/>
              <w:marTop w:val="0"/>
              <w:marBottom w:val="0"/>
              <w:divBdr>
                <w:top w:val="none" w:sz="0" w:space="0" w:color="auto"/>
                <w:left w:val="none" w:sz="0" w:space="0" w:color="auto"/>
                <w:bottom w:val="none" w:sz="0" w:space="0" w:color="auto"/>
                <w:right w:val="none" w:sz="0" w:space="0" w:color="auto"/>
              </w:divBdr>
            </w:div>
            <w:div w:id="1576429631">
              <w:marLeft w:val="0"/>
              <w:marRight w:val="0"/>
              <w:marTop w:val="0"/>
              <w:marBottom w:val="0"/>
              <w:divBdr>
                <w:top w:val="none" w:sz="0" w:space="0" w:color="auto"/>
                <w:left w:val="none" w:sz="0" w:space="0" w:color="auto"/>
                <w:bottom w:val="none" w:sz="0" w:space="0" w:color="auto"/>
                <w:right w:val="none" w:sz="0" w:space="0" w:color="auto"/>
              </w:divBdr>
            </w:div>
            <w:div w:id="121196575">
              <w:marLeft w:val="0"/>
              <w:marRight w:val="0"/>
              <w:marTop w:val="0"/>
              <w:marBottom w:val="0"/>
              <w:divBdr>
                <w:top w:val="none" w:sz="0" w:space="0" w:color="auto"/>
                <w:left w:val="none" w:sz="0" w:space="0" w:color="auto"/>
                <w:bottom w:val="none" w:sz="0" w:space="0" w:color="auto"/>
                <w:right w:val="none" w:sz="0" w:space="0" w:color="auto"/>
              </w:divBdr>
            </w:div>
            <w:div w:id="530151798">
              <w:marLeft w:val="0"/>
              <w:marRight w:val="0"/>
              <w:marTop w:val="0"/>
              <w:marBottom w:val="0"/>
              <w:divBdr>
                <w:top w:val="none" w:sz="0" w:space="0" w:color="auto"/>
                <w:left w:val="none" w:sz="0" w:space="0" w:color="auto"/>
                <w:bottom w:val="none" w:sz="0" w:space="0" w:color="auto"/>
                <w:right w:val="none" w:sz="0" w:space="0" w:color="auto"/>
              </w:divBdr>
            </w:div>
            <w:div w:id="1939436911">
              <w:marLeft w:val="0"/>
              <w:marRight w:val="0"/>
              <w:marTop w:val="0"/>
              <w:marBottom w:val="0"/>
              <w:divBdr>
                <w:top w:val="none" w:sz="0" w:space="0" w:color="auto"/>
                <w:left w:val="none" w:sz="0" w:space="0" w:color="auto"/>
                <w:bottom w:val="none" w:sz="0" w:space="0" w:color="auto"/>
                <w:right w:val="none" w:sz="0" w:space="0" w:color="auto"/>
              </w:divBdr>
            </w:div>
            <w:div w:id="11519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168956">
      <w:bodyDiv w:val="1"/>
      <w:marLeft w:val="0"/>
      <w:marRight w:val="0"/>
      <w:marTop w:val="0"/>
      <w:marBottom w:val="0"/>
      <w:divBdr>
        <w:top w:val="none" w:sz="0" w:space="0" w:color="auto"/>
        <w:left w:val="none" w:sz="0" w:space="0" w:color="auto"/>
        <w:bottom w:val="none" w:sz="0" w:space="0" w:color="auto"/>
        <w:right w:val="none" w:sz="0" w:space="0" w:color="auto"/>
      </w:divBdr>
    </w:div>
    <w:div w:id="332803009">
      <w:bodyDiv w:val="1"/>
      <w:marLeft w:val="0"/>
      <w:marRight w:val="0"/>
      <w:marTop w:val="0"/>
      <w:marBottom w:val="0"/>
      <w:divBdr>
        <w:top w:val="none" w:sz="0" w:space="0" w:color="auto"/>
        <w:left w:val="none" w:sz="0" w:space="0" w:color="auto"/>
        <w:bottom w:val="none" w:sz="0" w:space="0" w:color="auto"/>
        <w:right w:val="none" w:sz="0" w:space="0" w:color="auto"/>
      </w:divBdr>
      <w:divsChild>
        <w:div w:id="1540163808">
          <w:marLeft w:val="0"/>
          <w:marRight w:val="0"/>
          <w:marTop w:val="0"/>
          <w:marBottom w:val="0"/>
          <w:divBdr>
            <w:top w:val="none" w:sz="0" w:space="0" w:color="auto"/>
            <w:left w:val="none" w:sz="0" w:space="0" w:color="auto"/>
            <w:bottom w:val="none" w:sz="0" w:space="0" w:color="auto"/>
            <w:right w:val="none" w:sz="0" w:space="0" w:color="auto"/>
          </w:divBdr>
        </w:div>
        <w:div w:id="1767845628">
          <w:marLeft w:val="0"/>
          <w:marRight w:val="0"/>
          <w:marTop w:val="0"/>
          <w:marBottom w:val="0"/>
          <w:divBdr>
            <w:top w:val="none" w:sz="0" w:space="0" w:color="auto"/>
            <w:left w:val="none" w:sz="0" w:space="0" w:color="auto"/>
            <w:bottom w:val="none" w:sz="0" w:space="0" w:color="auto"/>
            <w:right w:val="none" w:sz="0" w:space="0" w:color="auto"/>
          </w:divBdr>
        </w:div>
      </w:divsChild>
    </w:div>
    <w:div w:id="385297347">
      <w:bodyDiv w:val="1"/>
      <w:marLeft w:val="0"/>
      <w:marRight w:val="0"/>
      <w:marTop w:val="0"/>
      <w:marBottom w:val="0"/>
      <w:divBdr>
        <w:top w:val="none" w:sz="0" w:space="0" w:color="auto"/>
        <w:left w:val="none" w:sz="0" w:space="0" w:color="auto"/>
        <w:bottom w:val="none" w:sz="0" w:space="0" w:color="auto"/>
        <w:right w:val="none" w:sz="0" w:space="0" w:color="auto"/>
      </w:divBdr>
      <w:divsChild>
        <w:div w:id="363096933">
          <w:marLeft w:val="0"/>
          <w:marRight w:val="0"/>
          <w:marTop w:val="0"/>
          <w:marBottom w:val="0"/>
          <w:divBdr>
            <w:top w:val="none" w:sz="0" w:space="0" w:color="auto"/>
            <w:left w:val="none" w:sz="0" w:space="0" w:color="auto"/>
            <w:bottom w:val="none" w:sz="0" w:space="0" w:color="auto"/>
            <w:right w:val="none" w:sz="0" w:space="0" w:color="auto"/>
          </w:divBdr>
          <w:divsChild>
            <w:div w:id="336422558">
              <w:marLeft w:val="0"/>
              <w:marRight w:val="0"/>
              <w:marTop w:val="0"/>
              <w:marBottom w:val="0"/>
              <w:divBdr>
                <w:top w:val="none" w:sz="0" w:space="0" w:color="auto"/>
                <w:left w:val="none" w:sz="0" w:space="0" w:color="auto"/>
                <w:bottom w:val="none" w:sz="0" w:space="0" w:color="auto"/>
                <w:right w:val="none" w:sz="0" w:space="0" w:color="auto"/>
              </w:divBdr>
            </w:div>
            <w:div w:id="1710717716">
              <w:marLeft w:val="0"/>
              <w:marRight w:val="0"/>
              <w:marTop w:val="0"/>
              <w:marBottom w:val="0"/>
              <w:divBdr>
                <w:top w:val="none" w:sz="0" w:space="0" w:color="auto"/>
                <w:left w:val="none" w:sz="0" w:space="0" w:color="auto"/>
                <w:bottom w:val="none" w:sz="0" w:space="0" w:color="auto"/>
                <w:right w:val="none" w:sz="0" w:space="0" w:color="auto"/>
              </w:divBdr>
            </w:div>
            <w:div w:id="1505439132">
              <w:marLeft w:val="0"/>
              <w:marRight w:val="0"/>
              <w:marTop w:val="0"/>
              <w:marBottom w:val="0"/>
              <w:divBdr>
                <w:top w:val="none" w:sz="0" w:space="0" w:color="auto"/>
                <w:left w:val="none" w:sz="0" w:space="0" w:color="auto"/>
                <w:bottom w:val="none" w:sz="0" w:space="0" w:color="auto"/>
                <w:right w:val="none" w:sz="0" w:space="0" w:color="auto"/>
              </w:divBdr>
            </w:div>
            <w:div w:id="1158501231">
              <w:marLeft w:val="0"/>
              <w:marRight w:val="0"/>
              <w:marTop w:val="0"/>
              <w:marBottom w:val="0"/>
              <w:divBdr>
                <w:top w:val="none" w:sz="0" w:space="0" w:color="auto"/>
                <w:left w:val="none" w:sz="0" w:space="0" w:color="auto"/>
                <w:bottom w:val="none" w:sz="0" w:space="0" w:color="auto"/>
                <w:right w:val="none" w:sz="0" w:space="0" w:color="auto"/>
              </w:divBdr>
            </w:div>
            <w:div w:id="1187867309">
              <w:marLeft w:val="0"/>
              <w:marRight w:val="0"/>
              <w:marTop w:val="0"/>
              <w:marBottom w:val="0"/>
              <w:divBdr>
                <w:top w:val="none" w:sz="0" w:space="0" w:color="auto"/>
                <w:left w:val="none" w:sz="0" w:space="0" w:color="auto"/>
                <w:bottom w:val="none" w:sz="0" w:space="0" w:color="auto"/>
                <w:right w:val="none" w:sz="0" w:space="0" w:color="auto"/>
              </w:divBdr>
            </w:div>
          </w:divsChild>
        </w:div>
        <w:div w:id="1335452102">
          <w:marLeft w:val="0"/>
          <w:marRight w:val="0"/>
          <w:marTop w:val="0"/>
          <w:marBottom w:val="0"/>
          <w:divBdr>
            <w:top w:val="none" w:sz="0" w:space="0" w:color="auto"/>
            <w:left w:val="none" w:sz="0" w:space="0" w:color="auto"/>
            <w:bottom w:val="none" w:sz="0" w:space="0" w:color="auto"/>
            <w:right w:val="none" w:sz="0" w:space="0" w:color="auto"/>
          </w:divBdr>
          <w:divsChild>
            <w:div w:id="443497762">
              <w:marLeft w:val="0"/>
              <w:marRight w:val="0"/>
              <w:marTop w:val="0"/>
              <w:marBottom w:val="0"/>
              <w:divBdr>
                <w:top w:val="none" w:sz="0" w:space="0" w:color="auto"/>
                <w:left w:val="none" w:sz="0" w:space="0" w:color="auto"/>
                <w:bottom w:val="none" w:sz="0" w:space="0" w:color="auto"/>
                <w:right w:val="none" w:sz="0" w:space="0" w:color="auto"/>
              </w:divBdr>
            </w:div>
            <w:div w:id="1469973401">
              <w:marLeft w:val="0"/>
              <w:marRight w:val="0"/>
              <w:marTop w:val="0"/>
              <w:marBottom w:val="0"/>
              <w:divBdr>
                <w:top w:val="none" w:sz="0" w:space="0" w:color="auto"/>
                <w:left w:val="none" w:sz="0" w:space="0" w:color="auto"/>
                <w:bottom w:val="none" w:sz="0" w:space="0" w:color="auto"/>
                <w:right w:val="none" w:sz="0" w:space="0" w:color="auto"/>
              </w:divBdr>
            </w:div>
            <w:div w:id="419058096">
              <w:marLeft w:val="0"/>
              <w:marRight w:val="0"/>
              <w:marTop w:val="0"/>
              <w:marBottom w:val="0"/>
              <w:divBdr>
                <w:top w:val="none" w:sz="0" w:space="0" w:color="auto"/>
                <w:left w:val="none" w:sz="0" w:space="0" w:color="auto"/>
                <w:bottom w:val="none" w:sz="0" w:space="0" w:color="auto"/>
                <w:right w:val="none" w:sz="0" w:space="0" w:color="auto"/>
              </w:divBdr>
            </w:div>
            <w:div w:id="24211034">
              <w:marLeft w:val="0"/>
              <w:marRight w:val="0"/>
              <w:marTop w:val="0"/>
              <w:marBottom w:val="0"/>
              <w:divBdr>
                <w:top w:val="none" w:sz="0" w:space="0" w:color="auto"/>
                <w:left w:val="none" w:sz="0" w:space="0" w:color="auto"/>
                <w:bottom w:val="none" w:sz="0" w:space="0" w:color="auto"/>
                <w:right w:val="none" w:sz="0" w:space="0" w:color="auto"/>
              </w:divBdr>
            </w:div>
            <w:div w:id="1429347825">
              <w:marLeft w:val="0"/>
              <w:marRight w:val="0"/>
              <w:marTop w:val="0"/>
              <w:marBottom w:val="0"/>
              <w:divBdr>
                <w:top w:val="none" w:sz="0" w:space="0" w:color="auto"/>
                <w:left w:val="none" w:sz="0" w:space="0" w:color="auto"/>
                <w:bottom w:val="none" w:sz="0" w:space="0" w:color="auto"/>
                <w:right w:val="none" w:sz="0" w:space="0" w:color="auto"/>
              </w:divBdr>
            </w:div>
            <w:div w:id="893807010">
              <w:marLeft w:val="0"/>
              <w:marRight w:val="0"/>
              <w:marTop w:val="0"/>
              <w:marBottom w:val="0"/>
              <w:divBdr>
                <w:top w:val="none" w:sz="0" w:space="0" w:color="auto"/>
                <w:left w:val="none" w:sz="0" w:space="0" w:color="auto"/>
                <w:bottom w:val="none" w:sz="0" w:space="0" w:color="auto"/>
                <w:right w:val="none" w:sz="0" w:space="0" w:color="auto"/>
              </w:divBdr>
            </w:div>
            <w:div w:id="61783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83415">
      <w:bodyDiv w:val="1"/>
      <w:marLeft w:val="0"/>
      <w:marRight w:val="0"/>
      <w:marTop w:val="0"/>
      <w:marBottom w:val="0"/>
      <w:divBdr>
        <w:top w:val="none" w:sz="0" w:space="0" w:color="auto"/>
        <w:left w:val="none" w:sz="0" w:space="0" w:color="auto"/>
        <w:bottom w:val="none" w:sz="0" w:space="0" w:color="auto"/>
        <w:right w:val="none" w:sz="0" w:space="0" w:color="auto"/>
      </w:divBdr>
    </w:div>
    <w:div w:id="488130096">
      <w:bodyDiv w:val="1"/>
      <w:marLeft w:val="0"/>
      <w:marRight w:val="0"/>
      <w:marTop w:val="0"/>
      <w:marBottom w:val="0"/>
      <w:divBdr>
        <w:top w:val="none" w:sz="0" w:space="0" w:color="auto"/>
        <w:left w:val="none" w:sz="0" w:space="0" w:color="auto"/>
        <w:bottom w:val="none" w:sz="0" w:space="0" w:color="auto"/>
        <w:right w:val="none" w:sz="0" w:space="0" w:color="auto"/>
      </w:divBdr>
      <w:divsChild>
        <w:div w:id="1338580136">
          <w:marLeft w:val="0"/>
          <w:marRight w:val="0"/>
          <w:marTop w:val="0"/>
          <w:marBottom w:val="0"/>
          <w:divBdr>
            <w:top w:val="none" w:sz="0" w:space="0" w:color="auto"/>
            <w:left w:val="none" w:sz="0" w:space="0" w:color="auto"/>
            <w:bottom w:val="none" w:sz="0" w:space="0" w:color="auto"/>
            <w:right w:val="none" w:sz="0" w:space="0" w:color="auto"/>
          </w:divBdr>
        </w:div>
        <w:div w:id="1972905278">
          <w:marLeft w:val="0"/>
          <w:marRight w:val="0"/>
          <w:marTop w:val="0"/>
          <w:marBottom w:val="0"/>
          <w:divBdr>
            <w:top w:val="none" w:sz="0" w:space="0" w:color="auto"/>
            <w:left w:val="none" w:sz="0" w:space="0" w:color="auto"/>
            <w:bottom w:val="none" w:sz="0" w:space="0" w:color="auto"/>
            <w:right w:val="none" w:sz="0" w:space="0" w:color="auto"/>
          </w:divBdr>
        </w:div>
        <w:div w:id="1168982204">
          <w:marLeft w:val="0"/>
          <w:marRight w:val="0"/>
          <w:marTop w:val="0"/>
          <w:marBottom w:val="0"/>
          <w:divBdr>
            <w:top w:val="none" w:sz="0" w:space="0" w:color="auto"/>
            <w:left w:val="none" w:sz="0" w:space="0" w:color="auto"/>
            <w:bottom w:val="none" w:sz="0" w:space="0" w:color="auto"/>
            <w:right w:val="none" w:sz="0" w:space="0" w:color="auto"/>
          </w:divBdr>
        </w:div>
        <w:div w:id="108083996">
          <w:marLeft w:val="0"/>
          <w:marRight w:val="0"/>
          <w:marTop w:val="0"/>
          <w:marBottom w:val="0"/>
          <w:divBdr>
            <w:top w:val="none" w:sz="0" w:space="0" w:color="auto"/>
            <w:left w:val="none" w:sz="0" w:space="0" w:color="auto"/>
            <w:bottom w:val="none" w:sz="0" w:space="0" w:color="auto"/>
            <w:right w:val="none" w:sz="0" w:space="0" w:color="auto"/>
          </w:divBdr>
        </w:div>
        <w:div w:id="1112286879">
          <w:marLeft w:val="0"/>
          <w:marRight w:val="0"/>
          <w:marTop w:val="0"/>
          <w:marBottom w:val="0"/>
          <w:divBdr>
            <w:top w:val="none" w:sz="0" w:space="0" w:color="auto"/>
            <w:left w:val="none" w:sz="0" w:space="0" w:color="auto"/>
            <w:bottom w:val="none" w:sz="0" w:space="0" w:color="auto"/>
            <w:right w:val="none" w:sz="0" w:space="0" w:color="auto"/>
          </w:divBdr>
        </w:div>
        <w:div w:id="777216254">
          <w:marLeft w:val="0"/>
          <w:marRight w:val="0"/>
          <w:marTop w:val="0"/>
          <w:marBottom w:val="0"/>
          <w:divBdr>
            <w:top w:val="none" w:sz="0" w:space="0" w:color="auto"/>
            <w:left w:val="none" w:sz="0" w:space="0" w:color="auto"/>
            <w:bottom w:val="none" w:sz="0" w:space="0" w:color="auto"/>
            <w:right w:val="none" w:sz="0" w:space="0" w:color="auto"/>
          </w:divBdr>
        </w:div>
        <w:div w:id="607812517">
          <w:marLeft w:val="0"/>
          <w:marRight w:val="0"/>
          <w:marTop w:val="0"/>
          <w:marBottom w:val="0"/>
          <w:divBdr>
            <w:top w:val="none" w:sz="0" w:space="0" w:color="auto"/>
            <w:left w:val="none" w:sz="0" w:space="0" w:color="auto"/>
            <w:bottom w:val="none" w:sz="0" w:space="0" w:color="auto"/>
            <w:right w:val="none" w:sz="0" w:space="0" w:color="auto"/>
          </w:divBdr>
        </w:div>
      </w:divsChild>
    </w:div>
    <w:div w:id="609507399">
      <w:bodyDiv w:val="1"/>
      <w:marLeft w:val="0"/>
      <w:marRight w:val="0"/>
      <w:marTop w:val="0"/>
      <w:marBottom w:val="0"/>
      <w:divBdr>
        <w:top w:val="none" w:sz="0" w:space="0" w:color="auto"/>
        <w:left w:val="none" w:sz="0" w:space="0" w:color="auto"/>
        <w:bottom w:val="none" w:sz="0" w:space="0" w:color="auto"/>
        <w:right w:val="none" w:sz="0" w:space="0" w:color="auto"/>
      </w:divBdr>
    </w:div>
    <w:div w:id="712778787">
      <w:bodyDiv w:val="1"/>
      <w:marLeft w:val="0"/>
      <w:marRight w:val="0"/>
      <w:marTop w:val="0"/>
      <w:marBottom w:val="0"/>
      <w:divBdr>
        <w:top w:val="none" w:sz="0" w:space="0" w:color="auto"/>
        <w:left w:val="none" w:sz="0" w:space="0" w:color="auto"/>
        <w:bottom w:val="none" w:sz="0" w:space="0" w:color="auto"/>
        <w:right w:val="none" w:sz="0" w:space="0" w:color="auto"/>
      </w:divBdr>
    </w:div>
    <w:div w:id="736822444">
      <w:bodyDiv w:val="1"/>
      <w:marLeft w:val="0"/>
      <w:marRight w:val="0"/>
      <w:marTop w:val="0"/>
      <w:marBottom w:val="0"/>
      <w:divBdr>
        <w:top w:val="none" w:sz="0" w:space="0" w:color="auto"/>
        <w:left w:val="none" w:sz="0" w:space="0" w:color="auto"/>
        <w:bottom w:val="none" w:sz="0" w:space="0" w:color="auto"/>
        <w:right w:val="none" w:sz="0" w:space="0" w:color="auto"/>
      </w:divBdr>
    </w:div>
    <w:div w:id="830800784">
      <w:bodyDiv w:val="1"/>
      <w:marLeft w:val="0"/>
      <w:marRight w:val="0"/>
      <w:marTop w:val="0"/>
      <w:marBottom w:val="0"/>
      <w:divBdr>
        <w:top w:val="none" w:sz="0" w:space="0" w:color="auto"/>
        <w:left w:val="none" w:sz="0" w:space="0" w:color="auto"/>
        <w:bottom w:val="none" w:sz="0" w:space="0" w:color="auto"/>
        <w:right w:val="none" w:sz="0" w:space="0" w:color="auto"/>
      </w:divBdr>
    </w:div>
    <w:div w:id="847061776">
      <w:bodyDiv w:val="1"/>
      <w:marLeft w:val="0"/>
      <w:marRight w:val="0"/>
      <w:marTop w:val="0"/>
      <w:marBottom w:val="0"/>
      <w:divBdr>
        <w:top w:val="none" w:sz="0" w:space="0" w:color="auto"/>
        <w:left w:val="none" w:sz="0" w:space="0" w:color="auto"/>
        <w:bottom w:val="none" w:sz="0" w:space="0" w:color="auto"/>
        <w:right w:val="none" w:sz="0" w:space="0" w:color="auto"/>
      </w:divBdr>
    </w:div>
    <w:div w:id="872888233">
      <w:bodyDiv w:val="1"/>
      <w:marLeft w:val="0"/>
      <w:marRight w:val="0"/>
      <w:marTop w:val="0"/>
      <w:marBottom w:val="0"/>
      <w:divBdr>
        <w:top w:val="none" w:sz="0" w:space="0" w:color="auto"/>
        <w:left w:val="none" w:sz="0" w:space="0" w:color="auto"/>
        <w:bottom w:val="none" w:sz="0" w:space="0" w:color="auto"/>
        <w:right w:val="none" w:sz="0" w:space="0" w:color="auto"/>
      </w:divBdr>
      <w:divsChild>
        <w:div w:id="50081683">
          <w:marLeft w:val="0"/>
          <w:marRight w:val="0"/>
          <w:marTop w:val="0"/>
          <w:marBottom w:val="0"/>
          <w:divBdr>
            <w:top w:val="none" w:sz="0" w:space="0" w:color="auto"/>
            <w:left w:val="none" w:sz="0" w:space="0" w:color="auto"/>
            <w:bottom w:val="none" w:sz="0" w:space="0" w:color="auto"/>
            <w:right w:val="none" w:sz="0" w:space="0" w:color="auto"/>
          </w:divBdr>
        </w:div>
        <w:div w:id="540629365">
          <w:marLeft w:val="0"/>
          <w:marRight w:val="0"/>
          <w:marTop w:val="0"/>
          <w:marBottom w:val="0"/>
          <w:divBdr>
            <w:top w:val="none" w:sz="0" w:space="0" w:color="auto"/>
            <w:left w:val="none" w:sz="0" w:space="0" w:color="auto"/>
            <w:bottom w:val="none" w:sz="0" w:space="0" w:color="auto"/>
            <w:right w:val="none" w:sz="0" w:space="0" w:color="auto"/>
          </w:divBdr>
        </w:div>
        <w:div w:id="181432609">
          <w:marLeft w:val="0"/>
          <w:marRight w:val="0"/>
          <w:marTop w:val="0"/>
          <w:marBottom w:val="0"/>
          <w:divBdr>
            <w:top w:val="none" w:sz="0" w:space="0" w:color="auto"/>
            <w:left w:val="none" w:sz="0" w:space="0" w:color="auto"/>
            <w:bottom w:val="none" w:sz="0" w:space="0" w:color="auto"/>
            <w:right w:val="none" w:sz="0" w:space="0" w:color="auto"/>
          </w:divBdr>
        </w:div>
      </w:divsChild>
    </w:div>
    <w:div w:id="878586219">
      <w:bodyDiv w:val="1"/>
      <w:marLeft w:val="0"/>
      <w:marRight w:val="0"/>
      <w:marTop w:val="0"/>
      <w:marBottom w:val="0"/>
      <w:divBdr>
        <w:top w:val="none" w:sz="0" w:space="0" w:color="auto"/>
        <w:left w:val="none" w:sz="0" w:space="0" w:color="auto"/>
        <w:bottom w:val="none" w:sz="0" w:space="0" w:color="auto"/>
        <w:right w:val="none" w:sz="0" w:space="0" w:color="auto"/>
      </w:divBdr>
    </w:div>
    <w:div w:id="903371880">
      <w:bodyDiv w:val="1"/>
      <w:marLeft w:val="0"/>
      <w:marRight w:val="0"/>
      <w:marTop w:val="0"/>
      <w:marBottom w:val="0"/>
      <w:divBdr>
        <w:top w:val="none" w:sz="0" w:space="0" w:color="auto"/>
        <w:left w:val="none" w:sz="0" w:space="0" w:color="auto"/>
        <w:bottom w:val="none" w:sz="0" w:space="0" w:color="auto"/>
        <w:right w:val="none" w:sz="0" w:space="0" w:color="auto"/>
      </w:divBdr>
    </w:div>
    <w:div w:id="1002046859">
      <w:bodyDiv w:val="1"/>
      <w:marLeft w:val="0"/>
      <w:marRight w:val="0"/>
      <w:marTop w:val="0"/>
      <w:marBottom w:val="0"/>
      <w:divBdr>
        <w:top w:val="none" w:sz="0" w:space="0" w:color="auto"/>
        <w:left w:val="none" w:sz="0" w:space="0" w:color="auto"/>
        <w:bottom w:val="none" w:sz="0" w:space="0" w:color="auto"/>
        <w:right w:val="none" w:sz="0" w:space="0" w:color="auto"/>
      </w:divBdr>
    </w:div>
    <w:div w:id="1076560292">
      <w:bodyDiv w:val="1"/>
      <w:marLeft w:val="0"/>
      <w:marRight w:val="0"/>
      <w:marTop w:val="0"/>
      <w:marBottom w:val="0"/>
      <w:divBdr>
        <w:top w:val="none" w:sz="0" w:space="0" w:color="auto"/>
        <w:left w:val="none" w:sz="0" w:space="0" w:color="auto"/>
        <w:bottom w:val="none" w:sz="0" w:space="0" w:color="auto"/>
        <w:right w:val="none" w:sz="0" w:space="0" w:color="auto"/>
      </w:divBdr>
    </w:div>
    <w:div w:id="1104301555">
      <w:bodyDiv w:val="1"/>
      <w:marLeft w:val="0"/>
      <w:marRight w:val="0"/>
      <w:marTop w:val="0"/>
      <w:marBottom w:val="0"/>
      <w:divBdr>
        <w:top w:val="none" w:sz="0" w:space="0" w:color="auto"/>
        <w:left w:val="none" w:sz="0" w:space="0" w:color="auto"/>
        <w:bottom w:val="none" w:sz="0" w:space="0" w:color="auto"/>
        <w:right w:val="none" w:sz="0" w:space="0" w:color="auto"/>
      </w:divBdr>
    </w:div>
    <w:div w:id="1121337331">
      <w:bodyDiv w:val="1"/>
      <w:marLeft w:val="0"/>
      <w:marRight w:val="0"/>
      <w:marTop w:val="0"/>
      <w:marBottom w:val="0"/>
      <w:divBdr>
        <w:top w:val="none" w:sz="0" w:space="0" w:color="auto"/>
        <w:left w:val="none" w:sz="0" w:space="0" w:color="auto"/>
        <w:bottom w:val="none" w:sz="0" w:space="0" w:color="auto"/>
        <w:right w:val="none" w:sz="0" w:space="0" w:color="auto"/>
      </w:divBdr>
    </w:div>
    <w:div w:id="1164857981">
      <w:bodyDiv w:val="1"/>
      <w:marLeft w:val="0"/>
      <w:marRight w:val="0"/>
      <w:marTop w:val="0"/>
      <w:marBottom w:val="0"/>
      <w:divBdr>
        <w:top w:val="none" w:sz="0" w:space="0" w:color="auto"/>
        <w:left w:val="none" w:sz="0" w:space="0" w:color="auto"/>
        <w:bottom w:val="none" w:sz="0" w:space="0" w:color="auto"/>
        <w:right w:val="none" w:sz="0" w:space="0" w:color="auto"/>
      </w:divBdr>
      <w:divsChild>
        <w:div w:id="182397805">
          <w:marLeft w:val="0"/>
          <w:marRight w:val="0"/>
          <w:marTop w:val="0"/>
          <w:marBottom w:val="0"/>
          <w:divBdr>
            <w:top w:val="none" w:sz="0" w:space="0" w:color="auto"/>
            <w:left w:val="none" w:sz="0" w:space="0" w:color="auto"/>
            <w:bottom w:val="none" w:sz="0" w:space="0" w:color="auto"/>
            <w:right w:val="none" w:sz="0" w:space="0" w:color="auto"/>
          </w:divBdr>
        </w:div>
        <w:div w:id="2077778907">
          <w:marLeft w:val="0"/>
          <w:marRight w:val="0"/>
          <w:marTop w:val="0"/>
          <w:marBottom w:val="0"/>
          <w:divBdr>
            <w:top w:val="none" w:sz="0" w:space="0" w:color="auto"/>
            <w:left w:val="none" w:sz="0" w:space="0" w:color="auto"/>
            <w:bottom w:val="none" w:sz="0" w:space="0" w:color="auto"/>
            <w:right w:val="none" w:sz="0" w:space="0" w:color="auto"/>
          </w:divBdr>
        </w:div>
        <w:div w:id="1664359359">
          <w:marLeft w:val="0"/>
          <w:marRight w:val="0"/>
          <w:marTop w:val="0"/>
          <w:marBottom w:val="0"/>
          <w:divBdr>
            <w:top w:val="none" w:sz="0" w:space="0" w:color="auto"/>
            <w:left w:val="none" w:sz="0" w:space="0" w:color="auto"/>
            <w:bottom w:val="none" w:sz="0" w:space="0" w:color="auto"/>
            <w:right w:val="none" w:sz="0" w:space="0" w:color="auto"/>
          </w:divBdr>
        </w:div>
        <w:div w:id="1849363293">
          <w:marLeft w:val="0"/>
          <w:marRight w:val="0"/>
          <w:marTop w:val="0"/>
          <w:marBottom w:val="0"/>
          <w:divBdr>
            <w:top w:val="none" w:sz="0" w:space="0" w:color="auto"/>
            <w:left w:val="none" w:sz="0" w:space="0" w:color="auto"/>
            <w:bottom w:val="none" w:sz="0" w:space="0" w:color="auto"/>
            <w:right w:val="none" w:sz="0" w:space="0" w:color="auto"/>
          </w:divBdr>
        </w:div>
        <w:div w:id="1894777674">
          <w:marLeft w:val="0"/>
          <w:marRight w:val="0"/>
          <w:marTop w:val="0"/>
          <w:marBottom w:val="0"/>
          <w:divBdr>
            <w:top w:val="none" w:sz="0" w:space="0" w:color="auto"/>
            <w:left w:val="none" w:sz="0" w:space="0" w:color="auto"/>
            <w:bottom w:val="none" w:sz="0" w:space="0" w:color="auto"/>
            <w:right w:val="none" w:sz="0" w:space="0" w:color="auto"/>
          </w:divBdr>
        </w:div>
        <w:div w:id="1017854122">
          <w:marLeft w:val="0"/>
          <w:marRight w:val="0"/>
          <w:marTop w:val="0"/>
          <w:marBottom w:val="0"/>
          <w:divBdr>
            <w:top w:val="none" w:sz="0" w:space="0" w:color="auto"/>
            <w:left w:val="none" w:sz="0" w:space="0" w:color="auto"/>
            <w:bottom w:val="none" w:sz="0" w:space="0" w:color="auto"/>
            <w:right w:val="none" w:sz="0" w:space="0" w:color="auto"/>
          </w:divBdr>
        </w:div>
        <w:div w:id="1832864071">
          <w:marLeft w:val="0"/>
          <w:marRight w:val="0"/>
          <w:marTop w:val="0"/>
          <w:marBottom w:val="0"/>
          <w:divBdr>
            <w:top w:val="none" w:sz="0" w:space="0" w:color="auto"/>
            <w:left w:val="none" w:sz="0" w:space="0" w:color="auto"/>
            <w:bottom w:val="none" w:sz="0" w:space="0" w:color="auto"/>
            <w:right w:val="none" w:sz="0" w:space="0" w:color="auto"/>
          </w:divBdr>
        </w:div>
      </w:divsChild>
    </w:div>
    <w:div w:id="1190216218">
      <w:bodyDiv w:val="1"/>
      <w:marLeft w:val="0"/>
      <w:marRight w:val="0"/>
      <w:marTop w:val="0"/>
      <w:marBottom w:val="0"/>
      <w:divBdr>
        <w:top w:val="none" w:sz="0" w:space="0" w:color="auto"/>
        <w:left w:val="none" w:sz="0" w:space="0" w:color="auto"/>
        <w:bottom w:val="none" w:sz="0" w:space="0" w:color="auto"/>
        <w:right w:val="none" w:sz="0" w:space="0" w:color="auto"/>
      </w:divBdr>
    </w:div>
    <w:div w:id="1248534630">
      <w:bodyDiv w:val="1"/>
      <w:marLeft w:val="0"/>
      <w:marRight w:val="0"/>
      <w:marTop w:val="0"/>
      <w:marBottom w:val="0"/>
      <w:divBdr>
        <w:top w:val="none" w:sz="0" w:space="0" w:color="auto"/>
        <w:left w:val="none" w:sz="0" w:space="0" w:color="auto"/>
        <w:bottom w:val="none" w:sz="0" w:space="0" w:color="auto"/>
        <w:right w:val="none" w:sz="0" w:space="0" w:color="auto"/>
      </w:divBdr>
    </w:div>
    <w:div w:id="1254585974">
      <w:bodyDiv w:val="1"/>
      <w:marLeft w:val="0"/>
      <w:marRight w:val="0"/>
      <w:marTop w:val="0"/>
      <w:marBottom w:val="0"/>
      <w:divBdr>
        <w:top w:val="none" w:sz="0" w:space="0" w:color="auto"/>
        <w:left w:val="none" w:sz="0" w:space="0" w:color="auto"/>
        <w:bottom w:val="none" w:sz="0" w:space="0" w:color="auto"/>
        <w:right w:val="none" w:sz="0" w:space="0" w:color="auto"/>
      </w:divBdr>
      <w:divsChild>
        <w:div w:id="636685505">
          <w:marLeft w:val="0"/>
          <w:marRight w:val="0"/>
          <w:marTop w:val="0"/>
          <w:marBottom w:val="0"/>
          <w:divBdr>
            <w:top w:val="none" w:sz="0" w:space="0" w:color="auto"/>
            <w:left w:val="none" w:sz="0" w:space="0" w:color="auto"/>
            <w:bottom w:val="none" w:sz="0" w:space="0" w:color="auto"/>
            <w:right w:val="none" w:sz="0" w:space="0" w:color="auto"/>
          </w:divBdr>
        </w:div>
        <w:div w:id="1555459679">
          <w:marLeft w:val="0"/>
          <w:marRight w:val="0"/>
          <w:marTop w:val="0"/>
          <w:marBottom w:val="0"/>
          <w:divBdr>
            <w:top w:val="none" w:sz="0" w:space="0" w:color="auto"/>
            <w:left w:val="none" w:sz="0" w:space="0" w:color="auto"/>
            <w:bottom w:val="none" w:sz="0" w:space="0" w:color="auto"/>
            <w:right w:val="none" w:sz="0" w:space="0" w:color="auto"/>
          </w:divBdr>
        </w:div>
        <w:div w:id="1247495033">
          <w:marLeft w:val="0"/>
          <w:marRight w:val="0"/>
          <w:marTop w:val="0"/>
          <w:marBottom w:val="0"/>
          <w:divBdr>
            <w:top w:val="none" w:sz="0" w:space="0" w:color="auto"/>
            <w:left w:val="none" w:sz="0" w:space="0" w:color="auto"/>
            <w:bottom w:val="none" w:sz="0" w:space="0" w:color="auto"/>
            <w:right w:val="none" w:sz="0" w:space="0" w:color="auto"/>
          </w:divBdr>
        </w:div>
        <w:div w:id="537931681">
          <w:marLeft w:val="0"/>
          <w:marRight w:val="0"/>
          <w:marTop w:val="0"/>
          <w:marBottom w:val="0"/>
          <w:divBdr>
            <w:top w:val="none" w:sz="0" w:space="0" w:color="auto"/>
            <w:left w:val="none" w:sz="0" w:space="0" w:color="auto"/>
            <w:bottom w:val="none" w:sz="0" w:space="0" w:color="auto"/>
            <w:right w:val="none" w:sz="0" w:space="0" w:color="auto"/>
          </w:divBdr>
        </w:div>
      </w:divsChild>
    </w:div>
    <w:div w:id="1859587071">
      <w:bodyDiv w:val="1"/>
      <w:marLeft w:val="0"/>
      <w:marRight w:val="0"/>
      <w:marTop w:val="0"/>
      <w:marBottom w:val="0"/>
      <w:divBdr>
        <w:top w:val="none" w:sz="0" w:space="0" w:color="auto"/>
        <w:left w:val="none" w:sz="0" w:space="0" w:color="auto"/>
        <w:bottom w:val="none" w:sz="0" w:space="0" w:color="auto"/>
        <w:right w:val="none" w:sz="0" w:space="0" w:color="auto"/>
      </w:divBdr>
      <w:divsChild>
        <w:div w:id="408579312">
          <w:marLeft w:val="0"/>
          <w:marRight w:val="0"/>
          <w:marTop w:val="0"/>
          <w:marBottom w:val="0"/>
          <w:divBdr>
            <w:top w:val="none" w:sz="0" w:space="0" w:color="auto"/>
            <w:left w:val="none" w:sz="0" w:space="0" w:color="auto"/>
            <w:bottom w:val="none" w:sz="0" w:space="0" w:color="auto"/>
            <w:right w:val="none" w:sz="0" w:space="0" w:color="auto"/>
          </w:divBdr>
        </w:div>
        <w:div w:id="578439264">
          <w:marLeft w:val="0"/>
          <w:marRight w:val="0"/>
          <w:marTop w:val="0"/>
          <w:marBottom w:val="0"/>
          <w:divBdr>
            <w:top w:val="none" w:sz="0" w:space="0" w:color="auto"/>
            <w:left w:val="none" w:sz="0" w:space="0" w:color="auto"/>
            <w:bottom w:val="none" w:sz="0" w:space="0" w:color="auto"/>
            <w:right w:val="none" w:sz="0" w:space="0" w:color="auto"/>
          </w:divBdr>
        </w:div>
        <w:div w:id="636882715">
          <w:marLeft w:val="0"/>
          <w:marRight w:val="0"/>
          <w:marTop w:val="0"/>
          <w:marBottom w:val="0"/>
          <w:divBdr>
            <w:top w:val="none" w:sz="0" w:space="0" w:color="auto"/>
            <w:left w:val="none" w:sz="0" w:space="0" w:color="auto"/>
            <w:bottom w:val="none" w:sz="0" w:space="0" w:color="auto"/>
            <w:right w:val="none" w:sz="0" w:space="0" w:color="auto"/>
          </w:divBdr>
        </w:div>
        <w:div w:id="117453283">
          <w:marLeft w:val="0"/>
          <w:marRight w:val="0"/>
          <w:marTop w:val="0"/>
          <w:marBottom w:val="0"/>
          <w:divBdr>
            <w:top w:val="none" w:sz="0" w:space="0" w:color="auto"/>
            <w:left w:val="none" w:sz="0" w:space="0" w:color="auto"/>
            <w:bottom w:val="none" w:sz="0" w:space="0" w:color="auto"/>
            <w:right w:val="none" w:sz="0" w:space="0" w:color="auto"/>
          </w:divBdr>
        </w:div>
      </w:divsChild>
    </w:div>
    <w:div w:id="2070376688">
      <w:bodyDiv w:val="1"/>
      <w:marLeft w:val="0"/>
      <w:marRight w:val="0"/>
      <w:marTop w:val="0"/>
      <w:marBottom w:val="0"/>
      <w:divBdr>
        <w:top w:val="none" w:sz="0" w:space="0" w:color="auto"/>
        <w:left w:val="none" w:sz="0" w:space="0" w:color="auto"/>
        <w:bottom w:val="none" w:sz="0" w:space="0" w:color="auto"/>
        <w:right w:val="none" w:sz="0" w:space="0" w:color="auto"/>
      </w:divBdr>
    </w:div>
    <w:div w:id="2121292603">
      <w:bodyDiv w:val="1"/>
      <w:marLeft w:val="0"/>
      <w:marRight w:val="0"/>
      <w:marTop w:val="0"/>
      <w:marBottom w:val="0"/>
      <w:divBdr>
        <w:top w:val="none" w:sz="0" w:space="0" w:color="auto"/>
        <w:left w:val="none" w:sz="0" w:space="0" w:color="auto"/>
        <w:bottom w:val="none" w:sz="0" w:space="0" w:color="auto"/>
        <w:right w:val="none" w:sz="0" w:space="0" w:color="auto"/>
      </w:divBdr>
      <w:divsChild>
        <w:div w:id="822890216">
          <w:marLeft w:val="0"/>
          <w:marRight w:val="0"/>
          <w:marTop w:val="0"/>
          <w:marBottom w:val="0"/>
          <w:divBdr>
            <w:top w:val="none" w:sz="0" w:space="0" w:color="auto"/>
            <w:left w:val="none" w:sz="0" w:space="0" w:color="auto"/>
            <w:bottom w:val="none" w:sz="0" w:space="0" w:color="auto"/>
            <w:right w:val="none" w:sz="0" w:space="0" w:color="auto"/>
          </w:divBdr>
        </w:div>
        <w:div w:id="1094208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cj-kenya.org/news/sdm_downloads/women-and-the-death-penalty-in-kenya/" TargetMode="External"/><Relationship Id="rId13" Type="http://schemas.openxmlformats.org/officeDocument/2006/relationships/hyperlink" Target="https://decisions.scc-csc.ca/scc-csc/scc-csc/en/item/599/index.do" TargetMode="External"/><Relationship Id="rId3" Type="http://schemas.openxmlformats.org/officeDocument/2006/relationships/hyperlink" Target="https://indconlawphil.wordpress.com/2024/03/25/the-high-court-of-kenya-strikes-down-life-imprisonment/" TargetMode="External"/><Relationship Id="rId7" Type="http://schemas.openxmlformats.org/officeDocument/2006/relationships/hyperlink" Target="https://icj-kenya.org/news/beyond-the-gavel-young-lawyers-crucial-mission-to-eradicate-the-death-penalty/" TargetMode="External"/><Relationship Id="rId12" Type="http://schemas.openxmlformats.org/officeDocument/2006/relationships/hyperlink" Target="https://icj-kenya.org/news/ensure-fairness-during-trial-of-gbv-victims-accused-of-murder/" TargetMode="External"/><Relationship Id="rId2" Type="http://schemas.openxmlformats.org/officeDocument/2006/relationships/hyperlink" Target="https://www.amnestykenya.org/petition/urge-members-of-parliament-to-fully-abolish-the-death-penality/" TargetMode="External"/><Relationship Id="rId16" Type="http://schemas.openxmlformats.org/officeDocument/2006/relationships/hyperlink" Target="https://icj-kenya.org/news/ensure-fairness-during-trial-of-gbv-victims-accused-of-murder/" TargetMode="External"/><Relationship Id="rId1" Type="http://schemas.openxmlformats.org/officeDocument/2006/relationships/hyperlink" Target="https://deathpenaltyinfo.org/international-clemency-kenya-commutes-4-000-death-sentences" TargetMode="External"/><Relationship Id="rId6" Type="http://schemas.openxmlformats.org/officeDocument/2006/relationships/hyperlink" Target="https://worldcoalition.org/2024/03/08/icj-kenya-makes-genderdiscrimination-in-capital-punishment-visible/" TargetMode="External"/><Relationship Id="rId11" Type="http://schemas.openxmlformats.org/officeDocument/2006/relationships/hyperlink" Target="https://icj-kenya.org/news/reflecting-on-the-links-between-the-death-penalty-and-gender-based-violence/" TargetMode="External"/><Relationship Id="rId5" Type="http://schemas.openxmlformats.org/officeDocument/2006/relationships/hyperlink" Target="https://www.amnestykenya.org/wp-content/uploads/2024/05/ACT5079522024ENGLISH.pdf" TargetMode="External"/><Relationship Id="rId15" Type="http://schemas.openxmlformats.org/officeDocument/2006/relationships/hyperlink" Target="https://icj-kenya.org/news/reflecting-on-the-links-between-the-death-penalty-and-gender-based-violence/" TargetMode="External"/><Relationship Id="rId10" Type="http://schemas.openxmlformats.org/officeDocument/2006/relationships/hyperlink" Target="https://icj-kenya.org/news/beyond-the-gavel-young-lawyers-crucial-mission-to-eradicate-the-death-penalty/" TargetMode="External"/><Relationship Id="rId4" Type="http://schemas.openxmlformats.org/officeDocument/2006/relationships/hyperlink" Target="https://worldcoalition.org/2024/03/08/icj-kenya-makes-genderdiscrimination-in-capital-punishment-visible/" TargetMode="External"/><Relationship Id="rId9" Type="http://schemas.openxmlformats.org/officeDocument/2006/relationships/hyperlink" Target="https://icj-kenya.org/news/beyond-the-gavel-young-lawyers-crucial-mission-to-eradicate-the-death-penalty/" TargetMode="External"/><Relationship Id="rId14" Type="http://schemas.openxmlformats.org/officeDocument/2006/relationships/hyperlink" Target="https://icj-kenya.org/news/ensure-fairness-during-trial-of-gbv-victims-accused-of-murde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cid:image001.jpg@01DB5094.F573F200" TargetMode="External"/><Relationship Id="rId5" Type="http://schemas.openxmlformats.org/officeDocument/2006/relationships/image" Target="media/image5.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476ea4e-8664-4657-8cbe-3b0f6c9527d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E7570D94305A14698FB220F5F4BC0DA" ma:contentTypeVersion="9" ma:contentTypeDescription="Create a new document." ma:contentTypeScope="" ma:versionID="e188e7218de7de26900d8367ea1ab495">
  <xsd:schema xmlns:xsd="http://www.w3.org/2001/XMLSchema" xmlns:xs="http://www.w3.org/2001/XMLSchema" xmlns:p="http://schemas.microsoft.com/office/2006/metadata/properties" xmlns:ns3="7476ea4e-8664-4657-8cbe-3b0f6c9527df" targetNamespace="http://schemas.microsoft.com/office/2006/metadata/properties" ma:root="true" ma:fieldsID="a3c4bf6eeafb8b0c618a595408c66c3e" ns3:_="">
    <xsd:import namespace="7476ea4e-8664-4657-8cbe-3b0f6c9527df"/>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6ea4e-8664-4657-8cbe-3b0f6c9527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1BF5B0-725F-4287-B1DF-B5422121D459}">
  <ds:schemaRefs>
    <ds:schemaRef ds:uri="http://schemas.microsoft.com/sharepoint/v3/contenttype/forms"/>
  </ds:schemaRefs>
</ds:datastoreItem>
</file>

<file path=customXml/itemProps2.xml><?xml version="1.0" encoding="utf-8"?>
<ds:datastoreItem xmlns:ds="http://schemas.openxmlformats.org/officeDocument/2006/customXml" ds:itemID="{4F98DC09-5828-41B4-AA6D-636CA868165C}">
  <ds:schemaRefs>
    <ds:schemaRef ds:uri="http://schemas.microsoft.com/office/2006/metadata/properties"/>
    <ds:schemaRef ds:uri="http://schemas.microsoft.com/office/infopath/2007/PartnerControls"/>
    <ds:schemaRef ds:uri="7476ea4e-8664-4657-8cbe-3b0f6c9527df"/>
  </ds:schemaRefs>
</ds:datastoreItem>
</file>

<file path=customXml/itemProps3.xml><?xml version="1.0" encoding="utf-8"?>
<ds:datastoreItem xmlns:ds="http://schemas.openxmlformats.org/officeDocument/2006/customXml" ds:itemID="{35E8C330-B0A5-4E61-929B-4080A65C2F47}">
  <ds:schemaRefs>
    <ds:schemaRef ds:uri="http://schemas.openxmlformats.org/officeDocument/2006/bibliography"/>
  </ds:schemaRefs>
</ds:datastoreItem>
</file>

<file path=customXml/itemProps4.xml><?xml version="1.0" encoding="utf-8"?>
<ds:datastoreItem xmlns:ds="http://schemas.openxmlformats.org/officeDocument/2006/customXml" ds:itemID="{4C0C9566-6265-4C5B-9E81-59582C922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6ea4e-8664-4657-8cbe-3b0f6c952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4310</Words>
  <Characters>23667</Characters>
  <Application>Microsoft Office Word</Application>
  <DocSecurity>0</DocSecurity>
  <Lines>381</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Gardner</dc:creator>
  <cp:keywords/>
  <dc:description/>
  <cp:lastModifiedBy>Becky Gardner</cp:lastModifiedBy>
  <cp:revision>15</cp:revision>
  <dcterms:created xsi:type="dcterms:W3CDTF">2025-01-06T17:05:00Z</dcterms:created>
  <dcterms:modified xsi:type="dcterms:W3CDTF">2025-01-06T18:28:00Z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0x010100FE7570D94305A14698FB220F5F4BC0DA</vt:lpwstr>
  </property>
</Properties>
</file>