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A5E7B8" w14:textId="0EE2B5C4" w:rsidR="00B84577" w:rsidRPr="001F3512" w:rsidRDefault="00B84577" w:rsidP="008F290E">
      <w:pPr>
        <w:spacing w:after="0" w:line="240" w:lineRule="auto"/>
        <w:jc w:val="center"/>
        <w:rPr>
          <w:rFonts w:ascii="Times New Roman" w:hAnsi="Times New Roman" w:cs="Times New Roman"/>
          <w:b/>
          <w:bCs/>
          <w:lang w:val="en-US"/>
        </w:rPr>
      </w:pPr>
      <w:r w:rsidRPr="001F3512">
        <w:rPr>
          <w:rFonts w:ascii="Times New Roman" w:hAnsi="Times New Roman" w:cs="Times New Roman"/>
          <w:b/>
          <w:bCs/>
          <w:lang w:val="en-US"/>
        </w:rPr>
        <w:t xml:space="preserve">Network of </w:t>
      </w:r>
      <w:r w:rsidRPr="008161B8">
        <w:rPr>
          <w:rFonts w:ascii="Times New Roman" w:hAnsi="Times New Roman" w:cs="Times New Roman"/>
          <w:b/>
          <w:bCs/>
          <w:lang w:val="en-US"/>
        </w:rPr>
        <w:t>Jurists</w:t>
      </w:r>
      <w:r w:rsidRPr="001F3512">
        <w:rPr>
          <w:rFonts w:ascii="Times New Roman" w:hAnsi="Times New Roman" w:cs="Times New Roman"/>
          <w:b/>
          <w:bCs/>
          <w:lang w:val="en-US"/>
        </w:rPr>
        <w:t xml:space="preserve"> for Sexual Rights (Cuba)</w:t>
      </w:r>
    </w:p>
    <w:p w14:paraId="7C0F0B0A" w14:textId="77777777" w:rsidR="00144D7D" w:rsidRPr="001F3512" w:rsidRDefault="00144D7D" w:rsidP="008F290E">
      <w:pPr>
        <w:spacing w:after="0" w:line="240" w:lineRule="auto"/>
        <w:jc w:val="center"/>
        <w:rPr>
          <w:rFonts w:ascii="Times New Roman" w:hAnsi="Times New Roman" w:cs="Times New Roman"/>
          <w:b/>
          <w:bCs/>
          <w:lang w:val="en-US"/>
        </w:rPr>
      </w:pPr>
    </w:p>
    <w:p w14:paraId="56B76C96" w14:textId="2B0727BF" w:rsidR="00B84577" w:rsidRPr="00F33458" w:rsidRDefault="00B84577" w:rsidP="00144D7D">
      <w:pPr>
        <w:spacing w:after="0" w:line="240" w:lineRule="auto"/>
        <w:jc w:val="center"/>
        <w:rPr>
          <w:rFonts w:ascii="Times New Roman" w:hAnsi="Times New Roman" w:cs="Times New Roman"/>
          <w:b/>
          <w:bCs/>
          <w:lang w:val="en-US"/>
        </w:rPr>
      </w:pPr>
      <w:r w:rsidRPr="001F3512">
        <w:rPr>
          <w:rFonts w:ascii="Times New Roman" w:hAnsi="Times New Roman" w:cs="Times New Roman"/>
          <w:b/>
          <w:bCs/>
          <w:lang w:val="en-US"/>
        </w:rPr>
        <w:t>Report</w:t>
      </w:r>
      <w:r w:rsidRPr="00F33458">
        <w:rPr>
          <w:rFonts w:ascii="Times New Roman" w:hAnsi="Times New Roman" w:cs="Times New Roman"/>
          <w:b/>
          <w:bCs/>
          <w:lang w:val="en-US"/>
        </w:rPr>
        <w:t xml:space="preserve"> to the Committee on the </w:t>
      </w:r>
      <w:r w:rsidRPr="001F3512">
        <w:rPr>
          <w:rFonts w:ascii="Times New Roman" w:hAnsi="Times New Roman" w:cs="Times New Roman"/>
          <w:b/>
          <w:bCs/>
          <w:lang w:val="en-US"/>
        </w:rPr>
        <w:t>Elimination</w:t>
      </w:r>
      <w:r w:rsidRPr="00F33458">
        <w:rPr>
          <w:rFonts w:ascii="Times New Roman" w:hAnsi="Times New Roman" w:cs="Times New Roman"/>
          <w:b/>
          <w:bCs/>
          <w:lang w:val="en-US"/>
        </w:rPr>
        <w:t xml:space="preserve"> of </w:t>
      </w:r>
      <w:r w:rsidRPr="001F3512">
        <w:rPr>
          <w:rFonts w:ascii="Times New Roman" w:hAnsi="Times New Roman" w:cs="Times New Roman"/>
          <w:b/>
          <w:bCs/>
          <w:lang w:val="en-US"/>
        </w:rPr>
        <w:t>Discrimination</w:t>
      </w:r>
      <w:r w:rsidRPr="00F33458">
        <w:rPr>
          <w:rFonts w:ascii="Times New Roman" w:hAnsi="Times New Roman" w:cs="Times New Roman"/>
          <w:b/>
          <w:bCs/>
          <w:lang w:val="en-US"/>
        </w:rPr>
        <w:t xml:space="preserve"> </w:t>
      </w:r>
      <w:r w:rsidR="00F33458" w:rsidRPr="00F33458">
        <w:rPr>
          <w:rFonts w:ascii="Times New Roman" w:hAnsi="Times New Roman" w:cs="Times New Roman"/>
          <w:b/>
          <w:bCs/>
          <w:lang w:val="en-US"/>
        </w:rPr>
        <w:t>A</w:t>
      </w:r>
      <w:r w:rsidRPr="00F33458">
        <w:rPr>
          <w:rFonts w:ascii="Times New Roman" w:hAnsi="Times New Roman" w:cs="Times New Roman"/>
          <w:b/>
          <w:bCs/>
          <w:lang w:val="en-US"/>
        </w:rPr>
        <w:t>gainst Women (CEDAW)</w:t>
      </w:r>
    </w:p>
    <w:p w14:paraId="55CDA250" w14:textId="77777777" w:rsidR="00B84577" w:rsidRDefault="00B84577" w:rsidP="00D15CB6">
      <w:pPr>
        <w:spacing w:after="0" w:line="240" w:lineRule="auto"/>
        <w:jc w:val="both"/>
        <w:rPr>
          <w:rFonts w:ascii="Times New Roman" w:hAnsi="Times New Roman" w:cs="Times New Roman"/>
          <w:b/>
          <w:bCs/>
          <w:lang w:val="en-US"/>
        </w:rPr>
      </w:pPr>
      <w:r w:rsidRPr="001F3512">
        <w:rPr>
          <w:rFonts w:ascii="Times New Roman" w:hAnsi="Times New Roman" w:cs="Times New Roman"/>
          <w:b/>
          <w:bCs/>
          <w:lang w:val="en-US"/>
        </w:rPr>
        <w:t>Country assessed: Cuba (2024)</w:t>
      </w:r>
    </w:p>
    <w:p w14:paraId="2E7C473A" w14:textId="5DA2B316" w:rsidR="009228CF" w:rsidRPr="001F3512" w:rsidRDefault="009228CF" w:rsidP="00D15CB6">
      <w:pPr>
        <w:spacing w:after="0" w:line="240" w:lineRule="auto"/>
        <w:jc w:val="both"/>
        <w:rPr>
          <w:rFonts w:ascii="Times New Roman" w:hAnsi="Times New Roman" w:cs="Times New Roman"/>
          <w:b/>
          <w:bCs/>
          <w:lang w:val="en-US"/>
        </w:rPr>
      </w:pPr>
      <w:r>
        <w:rPr>
          <w:rFonts w:ascii="Times New Roman" w:hAnsi="Times New Roman" w:cs="Times New Roman"/>
          <w:b/>
          <w:bCs/>
          <w:lang w:val="en-US"/>
        </w:rPr>
        <w:t>Working translation of de document in Spanish.</w:t>
      </w:r>
      <w:bookmarkStart w:id="0" w:name="_GoBack"/>
      <w:bookmarkEnd w:id="0"/>
    </w:p>
    <w:p w14:paraId="503C4332" w14:textId="77777777" w:rsidR="00A51596" w:rsidRPr="001F3512" w:rsidRDefault="00A51596" w:rsidP="00D15CB6">
      <w:pPr>
        <w:spacing w:after="0" w:line="240" w:lineRule="auto"/>
        <w:jc w:val="both"/>
        <w:rPr>
          <w:rFonts w:ascii="Times New Roman" w:hAnsi="Times New Roman" w:cs="Times New Roman"/>
          <w:lang w:val="en-US"/>
        </w:rPr>
      </w:pPr>
    </w:p>
    <w:p w14:paraId="4CD8BF83" w14:textId="690E56E5" w:rsidR="00B84577" w:rsidRDefault="00B84577" w:rsidP="00D15CB6">
      <w:pPr>
        <w:spacing w:after="0" w:line="240" w:lineRule="auto"/>
        <w:jc w:val="both"/>
        <w:rPr>
          <w:rFonts w:ascii="Times New Roman" w:hAnsi="Times New Roman" w:cs="Times New Roman"/>
        </w:rPr>
      </w:pPr>
      <w:r w:rsidRPr="001F3512">
        <w:rPr>
          <w:rFonts w:ascii="Times New Roman" w:hAnsi="Times New Roman" w:cs="Times New Roman"/>
          <w:lang w:val="en-US"/>
        </w:rPr>
        <w:t xml:space="preserve">Network of Jurists for Sexual Rights: It constitutes a Community Social Network linked to the National Center for Sexual Education (CENESEX), created in April 2012, of which a group of law students and jurists from all provinces of the country are part. It is a space for exchange, reflection, advice and development of concrete actions in relation to the recognition and guarantee of sexual and reproductive rights in Cuba. </w:t>
      </w:r>
      <w:r w:rsidRPr="001F3512">
        <w:rPr>
          <w:rFonts w:ascii="Times New Roman" w:hAnsi="Times New Roman" w:cs="Times New Roman"/>
        </w:rPr>
        <w:t>Contact: F</w:t>
      </w:r>
      <w:r w:rsidR="001F3512">
        <w:rPr>
          <w:rFonts w:ascii="Times New Roman" w:hAnsi="Times New Roman" w:cs="Times New Roman"/>
          <w:lang w:val="en-US"/>
        </w:rPr>
        <w:t>a</w:t>
      </w:r>
      <w:r w:rsidRPr="001F3512">
        <w:rPr>
          <w:rFonts w:ascii="Times New Roman" w:hAnsi="Times New Roman" w:cs="Times New Roman"/>
        </w:rPr>
        <w:t xml:space="preserve">tima </w:t>
      </w:r>
      <w:proofErr w:type="spellStart"/>
      <w:r w:rsidRPr="001F3512">
        <w:rPr>
          <w:rFonts w:ascii="Times New Roman" w:hAnsi="Times New Roman" w:cs="Times New Roman"/>
        </w:rPr>
        <w:t>Abdula</w:t>
      </w:r>
      <w:proofErr w:type="spellEnd"/>
      <w:r w:rsidRPr="001F3512">
        <w:rPr>
          <w:rFonts w:ascii="Times New Roman" w:hAnsi="Times New Roman" w:cs="Times New Roman"/>
        </w:rPr>
        <w:t xml:space="preserve"> Ruíz, e-mail: </w:t>
      </w:r>
      <w:hyperlink r:id="rId7" w:history="1">
        <w:r w:rsidR="0064576E" w:rsidRPr="00DA3B53">
          <w:rPr>
            <w:rStyle w:val="Hipervnculo"/>
            <w:rFonts w:ascii="Times New Roman" w:hAnsi="Times New Roman" w:cs="Times New Roman"/>
          </w:rPr>
          <w:t>abdulafatima96@gmail.com</w:t>
        </w:r>
      </w:hyperlink>
    </w:p>
    <w:p w14:paraId="6136421F" w14:textId="77777777" w:rsidR="00BF2563" w:rsidRPr="001F3512" w:rsidRDefault="00BF2563" w:rsidP="00D15CB6">
      <w:pPr>
        <w:spacing w:after="0" w:line="240" w:lineRule="auto"/>
        <w:jc w:val="both"/>
        <w:rPr>
          <w:rFonts w:ascii="Times New Roman" w:hAnsi="Times New Roman" w:cs="Times New Roman"/>
        </w:rPr>
      </w:pPr>
    </w:p>
    <w:p w14:paraId="3237E65F" w14:textId="43C3B6E1" w:rsidR="00B84577" w:rsidRPr="001F3512" w:rsidRDefault="00B84577" w:rsidP="00D15CB6">
      <w:pPr>
        <w:spacing w:after="0" w:line="240" w:lineRule="auto"/>
        <w:jc w:val="both"/>
        <w:rPr>
          <w:rFonts w:ascii="Times New Roman" w:hAnsi="Times New Roman" w:cs="Times New Roman"/>
          <w:b/>
          <w:bCs/>
          <w:lang w:val="en-US"/>
        </w:rPr>
      </w:pPr>
      <w:r w:rsidRPr="001F3512">
        <w:rPr>
          <w:rFonts w:ascii="Times New Roman" w:hAnsi="Times New Roman" w:cs="Times New Roman"/>
          <w:b/>
          <w:bCs/>
          <w:lang w:val="en-US"/>
        </w:rPr>
        <w:t>Equality, non-discrimination and obligations of the State (Articles 1 to 4)</w:t>
      </w:r>
    </w:p>
    <w:p w14:paraId="464BB13A" w14:textId="77777777" w:rsidR="008161B8" w:rsidRPr="001F3512" w:rsidRDefault="008161B8" w:rsidP="00D15CB6">
      <w:pPr>
        <w:spacing w:after="0" w:line="240" w:lineRule="auto"/>
        <w:jc w:val="both"/>
        <w:rPr>
          <w:rFonts w:ascii="Times New Roman" w:hAnsi="Times New Roman" w:cs="Times New Roman"/>
          <w:b/>
          <w:bCs/>
          <w:lang w:val="en-US"/>
        </w:rPr>
      </w:pPr>
    </w:p>
    <w:p w14:paraId="258DA5ED" w14:textId="438C6E50"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Cuba shows progress, political and social will in the fight against discrimination and gender violence. To confront gender-based violence, Cuba did not opt for the enactment of a law against gender-based violence, an alternative that is used in some countries around the world, but decided that gender-based violence should be a cross-cutting approach to all laws. The current regulatory framework demonstrates this:</w:t>
      </w:r>
    </w:p>
    <w:p w14:paraId="7D70BD9D" w14:textId="77777777" w:rsidR="0050380E" w:rsidRPr="001F3512" w:rsidRDefault="0050380E" w:rsidP="00D15CB6">
      <w:pPr>
        <w:spacing w:after="0" w:line="240" w:lineRule="auto"/>
        <w:jc w:val="both"/>
        <w:rPr>
          <w:rFonts w:ascii="Times New Roman" w:hAnsi="Times New Roman" w:cs="Times New Roman"/>
          <w:lang w:val="en-US"/>
        </w:rPr>
      </w:pPr>
    </w:p>
    <w:p w14:paraId="46233FA7" w14:textId="6E813BE8"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The Cuban constitutional text of 2019</w:t>
      </w:r>
      <w:r w:rsidR="00727AC4" w:rsidRPr="008161B8">
        <w:rPr>
          <w:rStyle w:val="Refdenotaalpie"/>
          <w:rFonts w:ascii="Times New Roman" w:hAnsi="Times New Roman" w:cs="Times New Roman"/>
        </w:rPr>
        <w:footnoteReference w:id="1"/>
      </w:r>
      <w:r w:rsidRPr="001F3512">
        <w:rPr>
          <w:rFonts w:ascii="Times New Roman" w:hAnsi="Times New Roman" w:cs="Times New Roman"/>
          <w:lang w:val="en-US"/>
        </w:rPr>
        <w:t xml:space="preserve"> regulates as fundamental rights equality and non-discrimination, human dignity and free development of personality, cementing the basis to guarantee effective equality between men and women and to combat discrimination and gender-based violence. Article 85 establishes that family violence in any of its manifestations is considered destructive of the persons involved, the family and society, and is punishable by law.</w:t>
      </w:r>
    </w:p>
    <w:p w14:paraId="6EE4332E" w14:textId="77777777" w:rsidR="0050380E" w:rsidRPr="001F3512" w:rsidRDefault="0050380E" w:rsidP="00D15CB6">
      <w:pPr>
        <w:spacing w:after="0" w:line="240" w:lineRule="auto"/>
        <w:jc w:val="both"/>
        <w:rPr>
          <w:rFonts w:ascii="Times New Roman" w:hAnsi="Times New Roman" w:cs="Times New Roman"/>
          <w:lang w:val="en-US"/>
        </w:rPr>
      </w:pPr>
    </w:p>
    <w:p w14:paraId="514DB93E" w14:textId="5580274A"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Among the main public policies in this area are the National Program for the Advancement of Women, approved by Presidential Decree No. 198 of March 8, 2021</w:t>
      </w:r>
      <w:r w:rsidR="0050380E" w:rsidRPr="008161B8">
        <w:rPr>
          <w:rStyle w:val="Refdenotaalpie"/>
          <w:rFonts w:ascii="Times New Roman" w:hAnsi="Times New Roman" w:cs="Times New Roman"/>
        </w:rPr>
        <w:footnoteReference w:id="2"/>
      </w:r>
      <w:r w:rsidRPr="001F3512">
        <w:rPr>
          <w:rFonts w:ascii="Times New Roman" w:hAnsi="Times New Roman" w:cs="Times New Roman"/>
          <w:lang w:val="en-US"/>
        </w:rPr>
        <w:t xml:space="preserve"> and the Comprehensive Strategy for the Prevention and Attention to Gender Violence and in the family scenario, approved by Agreement No. 9231/21 of the Council of Ministers of the Republic of Cuba</w:t>
      </w:r>
      <w:r w:rsidR="0050380E" w:rsidRPr="008161B8">
        <w:rPr>
          <w:rStyle w:val="Refdenotaalpie"/>
          <w:rFonts w:ascii="Times New Roman" w:hAnsi="Times New Roman" w:cs="Times New Roman"/>
        </w:rPr>
        <w:footnoteReference w:id="3"/>
      </w:r>
      <w:r w:rsidRPr="001F3512">
        <w:rPr>
          <w:rFonts w:ascii="Times New Roman" w:hAnsi="Times New Roman" w:cs="Times New Roman"/>
          <w:lang w:val="en-US"/>
        </w:rPr>
        <w:t>.</w:t>
      </w:r>
    </w:p>
    <w:p w14:paraId="1DE897B4" w14:textId="77777777" w:rsidR="0050380E" w:rsidRPr="001F3512" w:rsidRDefault="0050380E" w:rsidP="00D15CB6">
      <w:pPr>
        <w:spacing w:after="0" w:line="240" w:lineRule="auto"/>
        <w:jc w:val="both"/>
        <w:rPr>
          <w:rFonts w:ascii="Times New Roman" w:hAnsi="Times New Roman" w:cs="Times New Roman"/>
          <w:lang w:val="en-US"/>
        </w:rPr>
      </w:pPr>
    </w:p>
    <w:p w14:paraId="2DC8559E" w14:textId="5DFBFCE3"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The Family Code, Law No. 156 of 2022</w:t>
      </w:r>
      <w:r w:rsidR="0050380E" w:rsidRPr="008161B8">
        <w:rPr>
          <w:rStyle w:val="Refdenotaalpie"/>
          <w:rFonts w:ascii="Times New Roman" w:hAnsi="Times New Roman" w:cs="Times New Roman"/>
        </w:rPr>
        <w:footnoteReference w:id="4"/>
      </w:r>
      <w:r w:rsidRPr="001F3512">
        <w:rPr>
          <w:rFonts w:ascii="Times New Roman" w:hAnsi="Times New Roman" w:cs="Times New Roman"/>
          <w:lang w:val="en-US"/>
        </w:rPr>
        <w:t>, in Title II from Article 12 to 15, talks about discrimination and violence in the family setting. It proscribes all forms of discrimination or violence in the family environment, including those based on gender, by defining the phenomenon, its forms of manifestation, as well as the ways to confront it, recognizing both family and criminal violence in the corresponding cases and establishing the nature of the crime of discrimination and violence in the family environment.</w:t>
      </w:r>
    </w:p>
    <w:p w14:paraId="6891A1CC" w14:textId="77777777" w:rsidR="005E1015" w:rsidRPr="001F3512" w:rsidRDefault="005E1015" w:rsidP="00D15CB6">
      <w:pPr>
        <w:spacing w:after="0" w:line="240" w:lineRule="auto"/>
        <w:jc w:val="both"/>
        <w:rPr>
          <w:rFonts w:ascii="Times New Roman" w:hAnsi="Times New Roman" w:cs="Times New Roman"/>
          <w:lang w:val="en-US"/>
        </w:rPr>
      </w:pPr>
    </w:p>
    <w:p w14:paraId="79895CEC" w14:textId="11C6AC37" w:rsidR="00B84577" w:rsidRPr="001F3512" w:rsidRDefault="00B84577" w:rsidP="00D15CB6">
      <w:pPr>
        <w:spacing w:after="0" w:line="240" w:lineRule="auto"/>
        <w:jc w:val="both"/>
        <w:rPr>
          <w:rFonts w:ascii="Times New Roman" w:hAnsi="Times New Roman" w:cs="Times New Roman"/>
          <w:lang w:val="en-US"/>
        </w:rPr>
      </w:pPr>
    </w:p>
    <w:p w14:paraId="455AC5AC" w14:textId="77777777" w:rsidR="008161B8" w:rsidRPr="001F3512" w:rsidRDefault="008161B8" w:rsidP="00D15CB6">
      <w:pPr>
        <w:spacing w:after="0" w:line="240" w:lineRule="auto"/>
        <w:jc w:val="both"/>
        <w:rPr>
          <w:rFonts w:ascii="Times New Roman" w:hAnsi="Times New Roman" w:cs="Times New Roman"/>
          <w:lang w:val="en-US"/>
        </w:rPr>
      </w:pPr>
    </w:p>
    <w:p w14:paraId="25BEB15D" w14:textId="77099FC8"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 xml:space="preserve">This legislation is clear when it states that "family violence is expressed from the hierarchical inequality within the family and tends to the destruction of people, coexistence and family harmony; being its main </w:t>
      </w:r>
      <w:r w:rsidR="001F3512" w:rsidRPr="001F3512">
        <w:rPr>
          <w:rFonts w:ascii="Times New Roman" w:hAnsi="Times New Roman" w:cs="Times New Roman"/>
          <w:lang w:val="en-US"/>
        </w:rPr>
        <w:t>victim’s</w:t>
      </w:r>
      <w:r w:rsidRPr="001F3512">
        <w:rPr>
          <w:rFonts w:ascii="Times New Roman" w:hAnsi="Times New Roman" w:cs="Times New Roman"/>
          <w:lang w:val="en-US"/>
        </w:rPr>
        <w:t xml:space="preserve"> women and other people because of their gender condition, children and adolescents, the elderly and people with disabilities".</w:t>
      </w:r>
    </w:p>
    <w:p w14:paraId="2615B4A5" w14:textId="77777777" w:rsidR="008161B8" w:rsidRPr="001F3512" w:rsidRDefault="008161B8" w:rsidP="00D15CB6">
      <w:pPr>
        <w:spacing w:after="0" w:line="240" w:lineRule="auto"/>
        <w:jc w:val="both"/>
        <w:rPr>
          <w:rFonts w:ascii="Times New Roman" w:hAnsi="Times New Roman" w:cs="Times New Roman"/>
          <w:lang w:val="en-US"/>
        </w:rPr>
      </w:pPr>
    </w:p>
    <w:p w14:paraId="1FA6F85B" w14:textId="29BFF0F7"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 xml:space="preserve">The substantive norm in family matters also pronounces itself against discrimination and gender-based violence when it establishes as an impediment for adoption that the adopter has been punished by a final judgment in criminal proceedings as author, participant or accomplice of crimes related to this, an element that has also been contemplated for the process of obtaining and maintaining guardianship and care, as well as for the appointment as guardian of a minor, among others. </w:t>
      </w:r>
    </w:p>
    <w:p w14:paraId="438BF119" w14:textId="77777777" w:rsidR="008161B8" w:rsidRPr="001F3512" w:rsidRDefault="008161B8" w:rsidP="00D15CB6">
      <w:pPr>
        <w:spacing w:after="0" w:line="240" w:lineRule="auto"/>
        <w:jc w:val="both"/>
        <w:rPr>
          <w:rFonts w:ascii="Times New Roman" w:hAnsi="Times New Roman" w:cs="Times New Roman"/>
          <w:lang w:val="en-US"/>
        </w:rPr>
      </w:pPr>
    </w:p>
    <w:p w14:paraId="63927E0B" w14:textId="6465FD9D"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Article 283 of the Procedural Code, Law 141 of 2021</w:t>
      </w:r>
      <w:r w:rsidR="0050380E" w:rsidRPr="008161B8">
        <w:rPr>
          <w:rStyle w:val="Refdenotaalpie"/>
          <w:rFonts w:ascii="Times New Roman" w:hAnsi="Times New Roman" w:cs="Times New Roman"/>
        </w:rPr>
        <w:footnoteReference w:id="5"/>
      </w:r>
      <w:r w:rsidRPr="001F3512">
        <w:rPr>
          <w:rFonts w:ascii="Times New Roman" w:hAnsi="Times New Roman" w:cs="Times New Roman"/>
          <w:lang w:val="en-US"/>
        </w:rPr>
        <w:t xml:space="preserve">, establishes precautionary measures aimed at guaranteeing the mandatory attendance of the woman to educational, therapeutic, medical, psychological and psychiatric programs. The perpetrator is also prohibited from approaching or visiting the place of work or study of the victims of violence. Likewise, the appointment of lawyers or representatives if the change of activity or employment status of the victim of workplace violence affects her. It establishes under Article 551 the possibility of establishing a lawsuit in a summary proceeding for conflicts related to gender or family violence. </w:t>
      </w:r>
    </w:p>
    <w:p w14:paraId="37BF6260" w14:textId="77777777" w:rsidR="0050380E" w:rsidRPr="001F3512" w:rsidRDefault="0050380E" w:rsidP="00D15CB6">
      <w:pPr>
        <w:spacing w:after="0" w:line="240" w:lineRule="auto"/>
        <w:jc w:val="both"/>
        <w:rPr>
          <w:rFonts w:ascii="Times New Roman" w:hAnsi="Times New Roman" w:cs="Times New Roman"/>
          <w:lang w:val="en-US"/>
        </w:rPr>
      </w:pPr>
    </w:p>
    <w:p w14:paraId="05FA54AD" w14:textId="442DDDC2"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With this and the Criminal Procedure Law, Law 143 of 2021</w:t>
      </w:r>
      <w:r w:rsidR="0050380E" w:rsidRPr="008161B8">
        <w:rPr>
          <w:rStyle w:val="Refdenotaalpie"/>
          <w:rFonts w:ascii="Times New Roman" w:hAnsi="Times New Roman" w:cs="Times New Roman"/>
        </w:rPr>
        <w:footnoteReference w:id="6"/>
      </w:r>
      <w:r w:rsidRPr="001F3512">
        <w:rPr>
          <w:rFonts w:ascii="Times New Roman" w:hAnsi="Times New Roman" w:cs="Times New Roman"/>
          <w:lang w:val="en-US"/>
        </w:rPr>
        <w:t>, the victim begins to be considered as a subject of Law, which gives the possibility of being part of the process and acquiring a series of rights, such as witnessing the trial, exercising the criminal action and being assisted by a defense attorney, among others.</w:t>
      </w:r>
    </w:p>
    <w:p w14:paraId="2CA58181" w14:textId="77777777" w:rsidR="0050380E" w:rsidRPr="001F3512" w:rsidRDefault="0050380E" w:rsidP="00D15CB6">
      <w:pPr>
        <w:spacing w:after="0" w:line="240" w:lineRule="auto"/>
        <w:jc w:val="both"/>
        <w:rPr>
          <w:rFonts w:ascii="Times New Roman" w:hAnsi="Times New Roman" w:cs="Times New Roman"/>
          <w:lang w:val="en-US"/>
        </w:rPr>
      </w:pPr>
    </w:p>
    <w:p w14:paraId="6F8F1ACE" w14:textId="48D1602F"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The Penal Code, Law No. 151/22</w:t>
      </w:r>
      <w:r w:rsidR="008161B8" w:rsidRPr="008161B8">
        <w:rPr>
          <w:rStyle w:val="Refdenotaalpie"/>
          <w:rFonts w:ascii="Times New Roman" w:hAnsi="Times New Roman" w:cs="Times New Roman"/>
        </w:rPr>
        <w:footnoteReference w:id="7"/>
      </w:r>
      <w:r w:rsidRPr="001F3512">
        <w:rPr>
          <w:rFonts w:ascii="Times New Roman" w:hAnsi="Times New Roman" w:cs="Times New Roman"/>
          <w:lang w:val="en-US"/>
        </w:rPr>
        <w:t xml:space="preserve">, addresses gender and family violence and all forms of discrimination, normatively developing articles 42, 46, 81, 81, 82 and 85 of the Constitution of the Republic; in this sense, the law, among other issues, incorporates the possibility of imposing the new accessory sanction of prohibition of approach to the victim or injured party, their relatives and related persons, which is also contemplated as a precautionary measure in the Law of Criminal Procedure and in the Code of Proceedings for the solution of family conflicts. It establishes a special rule of adequacy for crimes committed with gender or family violence, which makes possible a sanctioning response tempered to the nature of facts of this type, to which effect it increases the maximum limit of the sanction by one third. It adds as aggravating circumstances: committing the crime as a consequence of gender and family violence, or for discriminatory reasons of any kind. It visualizes the confrontation of these phenomena in 36 criminal figures, to which modalities are added </w:t>
      </w:r>
      <w:r w:rsidR="001F3512" w:rsidRPr="001F3512">
        <w:rPr>
          <w:rFonts w:ascii="Times New Roman" w:hAnsi="Times New Roman" w:cs="Times New Roman"/>
          <w:lang w:val="en-US"/>
        </w:rPr>
        <w:t>with specific</w:t>
      </w:r>
      <w:r w:rsidRPr="001F3512">
        <w:rPr>
          <w:rFonts w:ascii="Times New Roman" w:hAnsi="Times New Roman" w:cs="Times New Roman"/>
          <w:lang w:val="en-US"/>
        </w:rPr>
        <w:t xml:space="preserve"> penalties that refer to gender and family violence or discriminatory motives, aggravating the penalties in a large majority of these.</w:t>
      </w:r>
    </w:p>
    <w:p w14:paraId="0730685F" w14:textId="77777777" w:rsidR="009113F8" w:rsidRDefault="009113F8" w:rsidP="00D15CB6">
      <w:pPr>
        <w:spacing w:after="0" w:line="240" w:lineRule="auto"/>
        <w:jc w:val="both"/>
        <w:rPr>
          <w:rFonts w:ascii="Times New Roman" w:hAnsi="Times New Roman" w:cs="Times New Roman"/>
          <w:lang w:val="en-US"/>
        </w:rPr>
      </w:pPr>
    </w:p>
    <w:p w14:paraId="6004463F" w14:textId="0DC98643"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lastRenderedPageBreak/>
        <w:t>The Cuban Penal Code, without literally instituting femicide or feminicide, contemplates in the articles of the crime of murder, the elements of protection against violence that can be exercised against women to cause their death, even without being the spouse or common-law partner of the aggressor, so that the conduct is typified in the regulations, as well as the hate crime.</w:t>
      </w:r>
    </w:p>
    <w:p w14:paraId="1BB4B415" w14:textId="77777777" w:rsidR="008161B8" w:rsidRPr="001F3512" w:rsidRDefault="008161B8" w:rsidP="00D15CB6">
      <w:pPr>
        <w:spacing w:after="0" w:line="240" w:lineRule="auto"/>
        <w:jc w:val="both"/>
        <w:rPr>
          <w:rFonts w:ascii="Times New Roman" w:hAnsi="Times New Roman" w:cs="Times New Roman"/>
          <w:lang w:val="en-US"/>
        </w:rPr>
      </w:pPr>
    </w:p>
    <w:p w14:paraId="1F07D101" w14:textId="6AAD1CDA"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Decree 96 of 2023</w:t>
      </w:r>
      <w:r w:rsidR="008161B8" w:rsidRPr="008161B8">
        <w:rPr>
          <w:rStyle w:val="Refdenotaalpie"/>
          <w:rFonts w:ascii="Times New Roman" w:hAnsi="Times New Roman" w:cs="Times New Roman"/>
        </w:rPr>
        <w:footnoteReference w:id="8"/>
      </w:r>
      <w:r w:rsidRPr="001F3512">
        <w:rPr>
          <w:rFonts w:ascii="Times New Roman" w:hAnsi="Times New Roman" w:cs="Times New Roman"/>
          <w:lang w:val="en-US"/>
        </w:rPr>
        <w:t>, "Protocol of action in situations of discrimination, violence and harassment in the workplace": regulates and sanctions the manifestations of violence, harassment and discrimination that may occur in the workplace, mandating the creation of protocols of action in this type of situations in each workplace.</w:t>
      </w:r>
    </w:p>
    <w:p w14:paraId="0E38D00F" w14:textId="77777777" w:rsidR="008161B8" w:rsidRPr="001F3512" w:rsidRDefault="008161B8" w:rsidP="00D15CB6">
      <w:pPr>
        <w:spacing w:after="0" w:line="240" w:lineRule="auto"/>
        <w:jc w:val="both"/>
        <w:rPr>
          <w:rFonts w:ascii="Times New Roman" w:hAnsi="Times New Roman" w:cs="Times New Roman"/>
          <w:lang w:val="en-US"/>
        </w:rPr>
      </w:pPr>
    </w:p>
    <w:p w14:paraId="09E9DF58" w14:textId="34928267"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The protection of victims as part of the fight against gender violence and discrimination is strengthened with the creation of new structures such as the Ombudsman's Office, for the legal representation of people in vulnerable situations, including victims of gender violence, whose Operating Manual was published by Resolution 96 of 2023 of the Minister of Justice of Cuba.</w:t>
      </w:r>
    </w:p>
    <w:p w14:paraId="73A170AC" w14:textId="77777777" w:rsidR="008161B8" w:rsidRPr="001F3512" w:rsidRDefault="008161B8" w:rsidP="00D15CB6">
      <w:pPr>
        <w:spacing w:after="0" w:line="240" w:lineRule="auto"/>
        <w:jc w:val="both"/>
        <w:rPr>
          <w:rFonts w:ascii="Times New Roman" w:hAnsi="Times New Roman" w:cs="Times New Roman"/>
          <w:lang w:val="en-US"/>
        </w:rPr>
      </w:pPr>
    </w:p>
    <w:p w14:paraId="6C29ED7C" w14:textId="136C6CB9"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Nevertheless, in Cuban society there are still violations of the rights to equality, identity, sexual and reproductive rights of women, girls, adolescents and persons with non-hegemonic sexualities.</w:t>
      </w:r>
    </w:p>
    <w:p w14:paraId="4193C0F6" w14:textId="77777777" w:rsidR="008161B8" w:rsidRPr="001F3512" w:rsidRDefault="008161B8" w:rsidP="00D15CB6">
      <w:pPr>
        <w:spacing w:after="0" w:line="240" w:lineRule="auto"/>
        <w:jc w:val="both"/>
        <w:rPr>
          <w:rFonts w:ascii="Times New Roman" w:hAnsi="Times New Roman" w:cs="Times New Roman"/>
          <w:lang w:val="en-US"/>
        </w:rPr>
      </w:pPr>
    </w:p>
    <w:p w14:paraId="1F88A8EE" w14:textId="4BB30965"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The Network of Jurists for Sexual Rights has been able to verify these biases and challenges that still persist in Cuba in terms of discrimination and gender violence directly through the Legal Guidance Service (SOJ</w:t>
      </w:r>
      <w:r w:rsidR="001F3512">
        <w:rPr>
          <w:rFonts w:ascii="Times New Roman" w:hAnsi="Times New Roman" w:cs="Times New Roman"/>
          <w:lang w:val="en-US"/>
        </w:rPr>
        <w:t xml:space="preserve"> by its acronym in Spanish</w:t>
      </w:r>
      <w:r w:rsidRPr="001F3512">
        <w:rPr>
          <w:rFonts w:ascii="Times New Roman" w:hAnsi="Times New Roman" w:cs="Times New Roman"/>
          <w:lang w:val="en-US"/>
        </w:rPr>
        <w:t>) provided by memb</w:t>
      </w:r>
      <w:r w:rsidR="009228CF">
        <w:rPr>
          <w:rFonts w:ascii="Times New Roman" w:hAnsi="Times New Roman" w:cs="Times New Roman"/>
          <w:lang w:val="en-US"/>
        </w:rPr>
        <w:t xml:space="preserve">ers of the network in person to Havana </w:t>
      </w:r>
      <w:r w:rsidRPr="001F3512">
        <w:rPr>
          <w:rFonts w:ascii="Times New Roman" w:hAnsi="Times New Roman" w:cs="Times New Roman"/>
          <w:lang w:val="en-US"/>
        </w:rPr>
        <w:t>and since 2019 these services were also enabled in the provinces of Santiago de Cuba and Sancti Spíritus. Complaints are also received through postal and electronic correspondence.</w:t>
      </w:r>
    </w:p>
    <w:p w14:paraId="2CFC35DA" w14:textId="77777777" w:rsidR="008161B8" w:rsidRPr="001F3512" w:rsidRDefault="008161B8" w:rsidP="00D15CB6">
      <w:pPr>
        <w:spacing w:after="0" w:line="240" w:lineRule="auto"/>
        <w:jc w:val="both"/>
        <w:rPr>
          <w:rFonts w:ascii="Times New Roman" w:hAnsi="Times New Roman" w:cs="Times New Roman"/>
          <w:lang w:val="en-US"/>
        </w:rPr>
      </w:pPr>
    </w:p>
    <w:p w14:paraId="58C5881A" w14:textId="7A61F844"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The SOJ functions as a space for the attention, orientation and accompaniment of people whose sexual and reproductive rights have been violated. It specializes in sexual rights and in the care and accompaniment of persons who are victims of gender violence, including women, children who are victims of sexual abuse and persons discriminated against because of their sexual orientation, gender identity, gender expression or sexual characteristics.</w:t>
      </w:r>
    </w:p>
    <w:p w14:paraId="1B7E4E3A" w14:textId="77777777" w:rsidR="008161B8" w:rsidRPr="001F3512" w:rsidRDefault="008161B8" w:rsidP="00D15CB6">
      <w:pPr>
        <w:spacing w:after="0" w:line="240" w:lineRule="auto"/>
        <w:jc w:val="both"/>
        <w:rPr>
          <w:rFonts w:ascii="Times New Roman" w:hAnsi="Times New Roman" w:cs="Times New Roman"/>
          <w:lang w:val="en-US"/>
        </w:rPr>
      </w:pPr>
    </w:p>
    <w:p w14:paraId="2D033EE3" w14:textId="578BD4EB"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In a systematization</w:t>
      </w:r>
      <w:r w:rsidR="008161B8" w:rsidRPr="008161B8">
        <w:rPr>
          <w:rStyle w:val="Refdenotaalpie"/>
          <w:rFonts w:ascii="Times New Roman" w:hAnsi="Times New Roman" w:cs="Times New Roman"/>
        </w:rPr>
        <w:footnoteReference w:id="9"/>
      </w:r>
      <w:r w:rsidRPr="001F3512">
        <w:rPr>
          <w:rFonts w:ascii="Times New Roman" w:hAnsi="Times New Roman" w:cs="Times New Roman"/>
          <w:lang w:val="en-US"/>
        </w:rPr>
        <w:t xml:space="preserve"> carried out and published on the cases of gender-based violence attended at the SOJ in the period 2013 to 2020, it was found that 5 thousand 814 cases were attended, advised and accompanied by jurists, in which category are girls, boys and adolescents who experienced acts of mistreatment, including sexual abuse and other forms of violence; women victims of some manifestation of gender-based violence and people with non-hegemonic sexualities, i.e. homosexuals, bisexuals and transgender people who received violence because of their sexual orientation and gender identity. In the 2021-2023 period 277 victims of gender-based violence by our legal counseling services, taking into account the categories described above.</w:t>
      </w:r>
    </w:p>
    <w:p w14:paraId="3C003CB6" w14:textId="7025E3B6" w:rsidR="008161B8" w:rsidRPr="001F3512" w:rsidRDefault="00B84577" w:rsidP="00D15CB6">
      <w:pPr>
        <w:spacing w:after="0" w:line="240" w:lineRule="auto"/>
        <w:jc w:val="both"/>
        <w:rPr>
          <w:rFonts w:ascii="Times New Roman" w:hAnsi="Times New Roman" w:cs="Times New Roman"/>
          <w:lang w:val="en-US"/>
        </w:rPr>
      </w:pPr>
      <w:r w:rsidRPr="00843E58">
        <w:rPr>
          <w:rFonts w:ascii="Times New Roman" w:hAnsi="Times New Roman" w:cs="Times New Roman"/>
          <w:lang w:val="en-US"/>
        </w:rPr>
        <w:lastRenderedPageBreak/>
        <w:t xml:space="preserve">Among </w:t>
      </w:r>
      <w:r w:rsidRPr="001F3512">
        <w:rPr>
          <w:rFonts w:ascii="Times New Roman" w:hAnsi="Times New Roman" w:cs="Times New Roman"/>
          <w:lang w:val="en-US"/>
        </w:rPr>
        <w:t>the most frequent manifestations known are cases of child sexual abuse in which the legal representatives and relatives of the underage victims, essentially girls and adolescents, requested legal advice. Cases of violence against women, perpetrated by partners and ex-partners, essentially of a psychological and physical nature. Cases of lesbian and bisexual women who suffered psychological violence from their male ex-partners, denigrating them as mother figures due to their sexual orientation, and even initiating legal proceedings to restrict their communication and care regime with their children. Cases of violence against trans women, who face situations of discrimination in the school and work environment where they are forced to assume an image that corresponds to their biological sex and is contrary to their gender identity. Cases of violence and discrimination against men with non-heteronormative sexual orientations, predominantly cases of psychological violence and discrimination for this reason in the family, workplace and community.</w:t>
      </w:r>
      <w:r w:rsidR="008161B8" w:rsidRPr="008161B8">
        <w:rPr>
          <w:rStyle w:val="Refdenotaalpie"/>
          <w:rFonts w:ascii="Times New Roman" w:hAnsi="Times New Roman" w:cs="Times New Roman"/>
        </w:rPr>
        <w:footnoteReference w:id="10"/>
      </w:r>
    </w:p>
    <w:p w14:paraId="70906473" w14:textId="351D317C"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 xml:space="preserve"> </w:t>
      </w:r>
    </w:p>
    <w:p w14:paraId="6E6A95BF" w14:textId="461D4D61" w:rsidR="00B84577"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Based on the cases counseled and accompanied at the SOJ, the Network identifies the following among the problems that persist both at the institutional level and in the community:</w:t>
      </w:r>
    </w:p>
    <w:p w14:paraId="6D2E5435" w14:textId="77777777" w:rsidR="001F3512" w:rsidRPr="001F3512" w:rsidRDefault="001F3512" w:rsidP="00D15CB6">
      <w:pPr>
        <w:spacing w:after="0" w:line="240" w:lineRule="auto"/>
        <w:jc w:val="both"/>
        <w:rPr>
          <w:rFonts w:ascii="Times New Roman" w:hAnsi="Times New Roman" w:cs="Times New Roman"/>
          <w:lang w:val="en-US"/>
        </w:rPr>
      </w:pPr>
    </w:p>
    <w:p w14:paraId="09FFB7E7" w14:textId="62AAC0B6"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-Inadequate treatment and lack of understanding of the problem and the cycle of violence by those who implement the legal processes and constitute important links to ensure access to effective justice for victims of gender-based violence, such as the Ministry of the Interior, Prosecutor's Office, Law Firms due to lack of knowledge and awareness of these issues.</w:t>
      </w:r>
    </w:p>
    <w:p w14:paraId="4BB00220" w14:textId="77777777" w:rsidR="008161B8" w:rsidRPr="001F3512" w:rsidRDefault="008161B8" w:rsidP="00D15CB6">
      <w:pPr>
        <w:spacing w:after="0" w:line="240" w:lineRule="auto"/>
        <w:jc w:val="both"/>
        <w:rPr>
          <w:rFonts w:ascii="Times New Roman" w:hAnsi="Times New Roman" w:cs="Times New Roman"/>
          <w:lang w:val="en-US"/>
        </w:rPr>
      </w:pPr>
    </w:p>
    <w:p w14:paraId="323EC19B" w14:textId="3A4E50B4"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-Lack of uniformity in judicial practice in matters of gender violence in family and criminal matters.</w:t>
      </w:r>
    </w:p>
    <w:p w14:paraId="697AE361" w14:textId="77777777" w:rsidR="008161B8" w:rsidRPr="001F3512" w:rsidRDefault="008161B8" w:rsidP="00D15CB6">
      <w:pPr>
        <w:spacing w:after="0" w:line="240" w:lineRule="auto"/>
        <w:jc w:val="both"/>
        <w:rPr>
          <w:rFonts w:ascii="Times New Roman" w:hAnsi="Times New Roman" w:cs="Times New Roman"/>
          <w:lang w:val="en-US"/>
        </w:rPr>
      </w:pPr>
    </w:p>
    <w:p w14:paraId="2C9622FD" w14:textId="2A71DFD9"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-In the written arguments of prosecutors, lawyers, administrative authorities, and in the motivation of sentences by judges in cases of gender violence, there is no evidence of systematic use of the postulates of the Convention on the Elimination of All Forms of Discrimination against Women, or assessments of the structural dimensions of gender inequalities.</w:t>
      </w:r>
    </w:p>
    <w:p w14:paraId="6DA558FA" w14:textId="77777777" w:rsidR="008161B8" w:rsidRPr="001F3512" w:rsidRDefault="008161B8" w:rsidP="00D15CB6">
      <w:pPr>
        <w:spacing w:after="0" w:line="240" w:lineRule="auto"/>
        <w:jc w:val="both"/>
        <w:rPr>
          <w:rFonts w:ascii="Times New Roman" w:hAnsi="Times New Roman" w:cs="Times New Roman"/>
          <w:lang w:val="en-US"/>
        </w:rPr>
      </w:pPr>
    </w:p>
    <w:p w14:paraId="16C908EC" w14:textId="7B536428"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 Lack of awareness among the population and the victims themselves to recognize situations of violence and report them.</w:t>
      </w:r>
    </w:p>
    <w:p w14:paraId="49363DC1" w14:textId="77777777" w:rsidR="008161B8" w:rsidRPr="001F3512" w:rsidRDefault="008161B8" w:rsidP="00D15CB6">
      <w:pPr>
        <w:spacing w:after="0" w:line="240" w:lineRule="auto"/>
        <w:jc w:val="both"/>
        <w:rPr>
          <w:rFonts w:ascii="Times New Roman" w:hAnsi="Times New Roman" w:cs="Times New Roman"/>
          <w:lang w:val="en-US"/>
        </w:rPr>
      </w:pPr>
    </w:p>
    <w:p w14:paraId="39680460" w14:textId="40EBEC41"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 xml:space="preserve">- Revictimization of girls and adolescents in criminal, civil and family proceedings in order to deepen the collection of evidence. </w:t>
      </w:r>
    </w:p>
    <w:p w14:paraId="35D35CF8" w14:textId="77777777" w:rsidR="008161B8" w:rsidRPr="001F3512" w:rsidRDefault="008161B8" w:rsidP="00D15CB6">
      <w:pPr>
        <w:spacing w:after="0" w:line="240" w:lineRule="auto"/>
        <w:jc w:val="both"/>
        <w:rPr>
          <w:rFonts w:ascii="Times New Roman" w:hAnsi="Times New Roman" w:cs="Times New Roman"/>
          <w:lang w:val="en-US"/>
        </w:rPr>
      </w:pPr>
    </w:p>
    <w:p w14:paraId="667CAB04" w14:textId="08A26A64"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 Victims of gender-based violence, essentially women, are in many cases hindered in filing complaints and their investigation is hindered in the investigative phase, which has repercussions on their revictimization in the process, due to the lack of perception of the phenomenon of violence by operators of the system.</w:t>
      </w:r>
    </w:p>
    <w:p w14:paraId="59D83F11" w14:textId="77777777" w:rsidR="008161B8" w:rsidRPr="001F3512" w:rsidRDefault="008161B8" w:rsidP="00D15CB6">
      <w:pPr>
        <w:spacing w:after="0" w:line="240" w:lineRule="auto"/>
        <w:jc w:val="both"/>
        <w:rPr>
          <w:rFonts w:ascii="Times New Roman" w:hAnsi="Times New Roman" w:cs="Times New Roman"/>
          <w:lang w:val="en-US"/>
        </w:rPr>
      </w:pPr>
    </w:p>
    <w:p w14:paraId="57B9B7FB" w14:textId="4A2402DF"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 xml:space="preserve">- Situations or cases of gender violence </w:t>
      </w:r>
      <w:r w:rsidR="001F3512" w:rsidRPr="001F3512">
        <w:rPr>
          <w:rFonts w:ascii="Times New Roman" w:hAnsi="Times New Roman" w:cs="Times New Roman"/>
          <w:lang w:val="en-US"/>
        </w:rPr>
        <w:t>does</w:t>
      </w:r>
      <w:r w:rsidRPr="001F3512">
        <w:rPr>
          <w:rFonts w:ascii="Times New Roman" w:hAnsi="Times New Roman" w:cs="Times New Roman"/>
          <w:lang w:val="en-US"/>
        </w:rPr>
        <w:t xml:space="preserve"> not always find a comprehensive response from all those responsible for attending to and dealing with violence, as described in The </w:t>
      </w:r>
      <w:r w:rsidRPr="001F3512">
        <w:rPr>
          <w:rFonts w:ascii="Times New Roman" w:hAnsi="Times New Roman" w:cs="Times New Roman"/>
          <w:lang w:val="en-US"/>
        </w:rPr>
        <w:lastRenderedPageBreak/>
        <w:t>National Strategy, at times the response becomes fragmented in the different institutions, which is detrimental to the recovery of the victims.</w:t>
      </w:r>
    </w:p>
    <w:p w14:paraId="6AB9F443" w14:textId="77777777" w:rsidR="008161B8" w:rsidRPr="001F3512" w:rsidRDefault="008161B8" w:rsidP="00D15CB6">
      <w:pPr>
        <w:spacing w:after="0" w:line="240" w:lineRule="auto"/>
        <w:jc w:val="both"/>
        <w:rPr>
          <w:rFonts w:ascii="Times New Roman" w:hAnsi="Times New Roman" w:cs="Times New Roman"/>
          <w:lang w:val="en-US"/>
        </w:rPr>
      </w:pPr>
    </w:p>
    <w:p w14:paraId="0AD3F7DF" w14:textId="238228E2"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 xml:space="preserve">Taking into account the above, we </w:t>
      </w:r>
      <w:r w:rsidRPr="001F3512">
        <w:rPr>
          <w:rFonts w:ascii="Times New Roman" w:hAnsi="Times New Roman" w:cs="Times New Roman"/>
          <w:b/>
          <w:bCs/>
          <w:lang w:val="en-US"/>
        </w:rPr>
        <w:t>SUGGEST</w:t>
      </w:r>
      <w:r w:rsidRPr="001F3512">
        <w:rPr>
          <w:rFonts w:ascii="Times New Roman" w:hAnsi="Times New Roman" w:cs="Times New Roman"/>
          <w:lang w:val="en-US"/>
        </w:rPr>
        <w:t xml:space="preserve"> that the Committee recommend the following to the State:</w:t>
      </w:r>
    </w:p>
    <w:p w14:paraId="53671DFF" w14:textId="77777777" w:rsidR="003126D0" w:rsidRPr="001F3512" w:rsidRDefault="003126D0" w:rsidP="00D15CB6">
      <w:pPr>
        <w:spacing w:after="0" w:line="240" w:lineRule="auto"/>
        <w:jc w:val="both"/>
        <w:rPr>
          <w:rFonts w:ascii="Times New Roman" w:hAnsi="Times New Roman" w:cs="Times New Roman"/>
          <w:lang w:val="en-US"/>
        </w:rPr>
      </w:pPr>
    </w:p>
    <w:p w14:paraId="00D8D7C5" w14:textId="35F6ACCF"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 Create more safe and inclusive spaces where participants, in this case victims of gender-based violence and discrimination can share stories and personal experiences.</w:t>
      </w:r>
    </w:p>
    <w:p w14:paraId="53504DA0" w14:textId="77777777" w:rsidR="003126D0" w:rsidRPr="001F3512" w:rsidRDefault="003126D0" w:rsidP="00D15CB6">
      <w:pPr>
        <w:spacing w:after="0" w:line="240" w:lineRule="auto"/>
        <w:jc w:val="both"/>
        <w:rPr>
          <w:rFonts w:ascii="Times New Roman" w:hAnsi="Times New Roman" w:cs="Times New Roman"/>
          <w:lang w:val="en-US"/>
        </w:rPr>
      </w:pPr>
    </w:p>
    <w:p w14:paraId="19DA450F" w14:textId="4ABED774"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 Advocate that the institutions in charge of addressing and confronting gender-based violence, in their reports to the National Assembly of People's Power or local bodies of People's Power, include specific guidelines that address cases and solutions to cases of gender-based violence and discrimination, respecting the confidentiality of the victims.</w:t>
      </w:r>
    </w:p>
    <w:p w14:paraId="165C5F4D" w14:textId="77777777" w:rsidR="003126D0" w:rsidRPr="001F3512" w:rsidRDefault="003126D0" w:rsidP="00D15CB6">
      <w:pPr>
        <w:spacing w:after="0" w:line="240" w:lineRule="auto"/>
        <w:jc w:val="both"/>
        <w:rPr>
          <w:rFonts w:ascii="Times New Roman" w:hAnsi="Times New Roman" w:cs="Times New Roman"/>
          <w:lang w:val="en-US"/>
        </w:rPr>
      </w:pPr>
    </w:p>
    <w:p w14:paraId="65981588" w14:textId="70C0BE7F"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 To achieve an integrated and comprehensive response of the system as a whole to women and other persons in situations of violence, through integrated services.</w:t>
      </w:r>
    </w:p>
    <w:p w14:paraId="2D5910D0" w14:textId="77777777" w:rsidR="003126D0" w:rsidRPr="001F3512" w:rsidRDefault="003126D0" w:rsidP="00D15CB6">
      <w:pPr>
        <w:spacing w:after="0" w:line="240" w:lineRule="auto"/>
        <w:jc w:val="both"/>
        <w:rPr>
          <w:rFonts w:ascii="Times New Roman" w:hAnsi="Times New Roman" w:cs="Times New Roman"/>
          <w:lang w:val="en-US"/>
        </w:rPr>
      </w:pPr>
    </w:p>
    <w:p w14:paraId="167EF9E2" w14:textId="4CE6CD02"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 Increase training actions for judges, lawyers, prosecutors, public defenders, mediators, administrative authorities, agents of the Ministry of the Interior and other law enforcement officials, to increase their knowledge of human rights, from a gender and sexual and reproductive rights perspective.</w:t>
      </w:r>
    </w:p>
    <w:p w14:paraId="4D53B093" w14:textId="77777777" w:rsidR="003126D0" w:rsidRPr="001F3512" w:rsidRDefault="003126D0" w:rsidP="00D15CB6">
      <w:pPr>
        <w:spacing w:after="0" w:line="240" w:lineRule="auto"/>
        <w:jc w:val="both"/>
        <w:rPr>
          <w:rFonts w:ascii="Times New Roman" w:hAnsi="Times New Roman" w:cs="Times New Roman"/>
          <w:lang w:val="en-US"/>
        </w:rPr>
      </w:pPr>
    </w:p>
    <w:p w14:paraId="20450B73" w14:textId="1EA9D1FE"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 That jurists become more involved and contribute more in terms of the transformations of Cuban society in terms of gender equality.</w:t>
      </w:r>
    </w:p>
    <w:p w14:paraId="73E9C7E6" w14:textId="77777777" w:rsidR="003126D0" w:rsidRPr="001F3512" w:rsidRDefault="003126D0" w:rsidP="00D15CB6">
      <w:pPr>
        <w:spacing w:after="0" w:line="240" w:lineRule="auto"/>
        <w:jc w:val="both"/>
        <w:rPr>
          <w:rFonts w:ascii="Times New Roman" w:hAnsi="Times New Roman" w:cs="Times New Roman"/>
          <w:lang w:val="en-US"/>
        </w:rPr>
      </w:pPr>
    </w:p>
    <w:p w14:paraId="13D50509" w14:textId="6AA6BF75" w:rsidR="00B84577" w:rsidRPr="001F3512" w:rsidRDefault="00B84577" w:rsidP="00D15CB6">
      <w:pPr>
        <w:spacing w:after="0" w:line="240" w:lineRule="auto"/>
        <w:jc w:val="both"/>
        <w:rPr>
          <w:rFonts w:ascii="Times New Roman" w:hAnsi="Times New Roman" w:cs="Times New Roman"/>
          <w:lang w:val="en-US"/>
        </w:rPr>
      </w:pPr>
      <w:r w:rsidRPr="001F3512">
        <w:rPr>
          <w:rFonts w:ascii="Times New Roman" w:hAnsi="Times New Roman" w:cs="Times New Roman"/>
          <w:lang w:val="en-US"/>
        </w:rPr>
        <w:t>We cannot fail to mention that the work of the Network of Jurists for Sexual Rights has confirmed the impact of the economic and financial blockade imposed by the United States on Cuba, which continues to be the main obstacle to the realization and effective exercise of the sexual and reproductive rights of all persons, among its effects in this area, We can mention that it limits the country's access to essential supplies to provide sexual and reproductive health services, generates lack of resources and technologies to perform assisted reproduction techniques, blocks access to condoms, contraceptives and other resources necessary to detect and carry out prevention and attention to the transmission of sexually transmitted infections, negatively impacts on family planning, etc.</w:t>
      </w:r>
    </w:p>
    <w:p w14:paraId="1A0BE3EB" w14:textId="77777777" w:rsidR="003126D0" w:rsidRPr="001F3512" w:rsidRDefault="003126D0" w:rsidP="00D15CB6">
      <w:pPr>
        <w:spacing w:after="0" w:line="240" w:lineRule="auto"/>
        <w:jc w:val="both"/>
        <w:rPr>
          <w:rFonts w:ascii="Times New Roman" w:hAnsi="Times New Roman" w:cs="Times New Roman"/>
          <w:lang w:val="en-US"/>
        </w:rPr>
      </w:pPr>
    </w:p>
    <w:p w14:paraId="6E2EDDF8" w14:textId="4DF43893" w:rsidR="00B84577" w:rsidRPr="001F3512" w:rsidRDefault="00B84577" w:rsidP="00D15CB6">
      <w:pPr>
        <w:spacing w:after="0" w:line="240" w:lineRule="auto"/>
        <w:jc w:val="both"/>
        <w:rPr>
          <w:rFonts w:ascii="Times New Roman" w:hAnsi="Times New Roman" w:cs="Times New Roman"/>
          <w:lang w:val="en-US"/>
        </w:rPr>
      </w:pPr>
    </w:p>
    <w:p w14:paraId="2D2B4156" w14:textId="77777777" w:rsidR="001F3512" w:rsidRPr="001F3512" w:rsidRDefault="001F3512" w:rsidP="00D15CB6">
      <w:pPr>
        <w:spacing w:after="0" w:line="240" w:lineRule="auto"/>
        <w:jc w:val="both"/>
        <w:rPr>
          <w:rFonts w:ascii="Times New Roman" w:hAnsi="Times New Roman" w:cs="Times New Roman"/>
          <w:lang w:val="en-US"/>
        </w:rPr>
      </w:pPr>
    </w:p>
    <w:p w14:paraId="170659AC" w14:textId="77777777" w:rsidR="00B84577" w:rsidRPr="001F3512" w:rsidRDefault="00B84577" w:rsidP="00D15CB6">
      <w:pPr>
        <w:spacing w:after="0" w:line="240" w:lineRule="auto"/>
        <w:jc w:val="both"/>
        <w:rPr>
          <w:rFonts w:ascii="Times New Roman" w:hAnsi="Times New Roman" w:cs="Times New Roman"/>
          <w:b/>
          <w:bCs/>
          <w:lang w:val="en-US"/>
        </w:rPr>
      </w:pPr>
      <w:r w:rsidRPr="001F3512">
        <w:rPr>
          <w:rFonts w:ascii="Times New Roman" w:hAnsi="Times New Roman" w:cs="Times New Roman"/>
          <w:b/>
          <w:bCs/>
          <w:lang w:val="en-US"/>
        </w:rPr>
        <w:t>Network of Jurists for Sexual Rights</w:t>
      </w:r>
    </w:p>
    <w:p w14:paraId="69AAE895" w14:textId="77777777" w:rsidR="00B84577" w:rsidRPr="003126D0" w:rsidRDefault="00B84577" w:rsidP="00D15CB6">
      <w:pPr>
        <w:spacing w:after="0" w:line="240" w:lineRule="auto"/>
        <w:jc w:val="both"/>
        <w:rPr>
          <w:rFonts w:ascii="Times New Roman" w:hAnsi="Times New Roman" w:cs="Times New Roman"/>
          <w:b/>
          <w:bCs/>
        </w:rPr>
      </w:pPr>
      <w:r w:rsidRPr="003126D0">
        <w:rPr>
          <w:rFonts w:ascii="Times New Roman" w:hAnsi="Times New Roman" w:cs="Times New Roman"/>
          <w:b/>
          <w:bCs/>
        </w:rPr>
        <w:t>Cuba.</w:t>
      </w:r>
    </w:p>
    <w:p w14:paraId="5CA998CF" w14:textId="77777777" w:rsidR="00B84577" w:rsidRPr="003126D0" w:rsidRDefault="00B84577" w:rsidP="00D15CB6">
      <w:pPr>
        <w:spacing w:after="0" w:line="240" w:lineRule="auto"/>
        <w:jc w:val="both"/>
        <w:rPr>
          <w:rFonts w:ascii="Times New Roman" w:hAnsi="Times New Roman" w:cs="Times New Roman"/>
          <w:b/>
          <w:bCs/>
        </w:rPr>
      </w:pPr>
    </w:p>
    <w:p w14:paraId="715820A0" w14:textId="77777777" w:rsidR="00B84577" w:rsidRPr="008161B8" w:rsidRDefault="00B84577" w:rsidP="00D15CB6">
      <w:pPr>
        <w:spacing w:after="0" w:line="240" w:lineRule="auto"/>
        <w:jc w:val="both"/>
        <w:rPr>
          <w:rFonts w:ascii="Times New Roman" w:hAnsi="Times New Roman" w:cs="Times New Roman"/>
        </w:rPr>
      </w:pPr>
    </w:p>
    <w:p w14:paraId="5CE89BC0" w14:textId="634B5C98" w:rsidR="00B84577" w:rsidRPr="008161B8" w:rsidRDefault="00B84577" w:rsidP="00D15CB6">
      <w:pPr>
        <w:spacing w:after="0" w:line="240" w:lineRule="auto"/>
        <w:jc w:val="both"/>
        <w:rPr>
          <w:rFonts w:ascii="Times New Roman" w:hAnsi="Times New Roman" w:cs="Times New Roman"/>
        </w:rPr>
      </w:pPr>
    </w:p>
    <w:sectPr w:rsidR="00B84577" w:rsidRPr="008161B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813027" w14:textId="77777777" w:rsidR="004F4D3D" w:rsidRDefault="004F4D3D" w:rsidP="00B16218">
      <w:pPr>
        <w:spacing w:after="0" w:line="240" w:lineRule="auto"/>
      </w:pPr>
      <w:r>
        <w:separator/>
      </w:r>
    </w:p>
  </w:endnote>
  <w:endnote w:type="continuationSeparator" w:id="0">
    <w:p w14:paraId="3DFCC30F" w14:textId="77777777" w:rsidR="004F4D3D" w:rsidRDefault="004F4D3D" w:rsidP="00B162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FA1FB4" w14:textId="77777777" w:rsidR="004F4D3D" w:rsidRDefault="004F4D3D" w:rsidP="00B16218">
      <w:pPr>
        <w:spacing w:after="0" w:line="240" w:lineRule="auto"/>
      </w:pPr>
      <w:r>
        <w:separator/>
      </w:r>
    </w:p>
  </w:footnote>
  <w:footnote w:type="continuationSeparator" w:id="0">
    <w:p w14:paraId="53C5745A" w14:textId="77777777" w:rsidR="004F4D3D" w:rsidRDefault="004F4D3D" w:rsidP="00B16218">
      <w:pPr>
        <w:spacing w:after="0" w:line="240" w:lineRule="auto"/>
      </w:pPr>
      <w:r>
        <w:continuationSeparator/>
      </w:r>
    </w:p>
  </w:footnote>
  <w:footnote w:id="1">
    <w:p w14:paraId="5C50B541" w14:textId="6BC08ACA" w:rsidR="0050380E" w:rsidRPr="001F3512" w:rsidRDefault="00727AC4">
      <w:pPr>
        <w:pStyle w:val="Textonotapie"/>
        <w:rPr>
          <w:rFonts w:ascii="Times New Roman" w:hAnsi="Times New Roman" w:cs="Times New Roman"/>
          <w:i/>
          <w:iCs/>
          <w:lang w:val="en-US"/>
        </w:rPr>
      </w:pPr>
      <w:r w:rsidRPr="008161B8">
        <w:rPr>
          <w:rStyle w:val="Refdenotaalpie"/>
          <w:rFonts w:ascii="Times New Roman" w:hAnsi="Times New Roman" w:cs="Times New Roman"/>
          <w:i/>
          <w:iCs/>
        </w:rPr>
        <w:footnoteRef/>
      </w:r>
      <w:r w:rsidRPr="001F3512">
        <w:rPr>
          <w:rFonts w:ascii="Times New Roman" w:hAnsi="Times New Roman" w:cs="Times New Roman"/>
          <w:i/>
          <w:iCs/>
          <w:lang w:val="en-US"/>
        </w:rPr>
        <w:t xml:space="preserve"> </w:t>
      </w:r>
      <w:r w:rsidR="0050380E" w:rsidRPr="001F3512">
        <w:rPr>
          <w:rFonts w:ascii="Times New Roman" w:hAnsi="Times New Roman" w:cs="Times New Roman"/>
          <w:i/>
          <w:iCs/>
          <w:lang w:val="en-US"/>
        </w:rPr>
        <w:t>Constitution of the Republic of Cuba of 2019, Official Gazette of the Republic of Cuba, Extraordinary Edition No 5 of April 10, 2019.</w:t>
      </w:r>
    </w:p>
  </w:footnote>
  <w:footnote w:id="2">
    <w:p w14:paraId="293705BF" w14:textId="11C1DE77" w:rsidR="0050380E" w:rsidRPr="001F3512" w:rsidRDefault="0050380E">
      <w:pPr>
        <w:pStyle w:val="Textonotapie"/>
        <w:rPr>
          <w:rFonts w:ascii="Times New Roman" w:hAnsi="Times New Roman" w:cs="Times New Roman"/>
          <w:i/>
          <w:iCs/>
          <w:lang w:val="en-US"/>
        </w:rPr>
      </w:pPr>
      <w:r w:rsidRPr="008161B8">
        <w:rPr>
          <w:rStyle w:val="Refdenotaalpie"/>
          <w:rFonts w:ascii="Times New Roman" w:hAnsi="Times New Roman" w:cs="Times New Roman"/>
          <w:i/>
          <w:iCs/>
        </w:rPr>
        <w:footnoteRef/>
      </w:r>
      <w:r w:rsidRPr="001F3512">
        <w:rPr>
          <w:rFonts w:ascii="Times New Roman" w:hAnsi="Times New Roman" w:cs="Times New Roman"/>
          <w:i/>
          <w:iCs/>
          <w:lang w:val="en-US"/>
        </w:rPr>
        <w:t xml:space="preserve"> National Program for the Advancement of Women, Presidential Decree No. 198 of March 8, 2021, Official Gazette of the Republic of Cuba, Extraordinary Edition No. 14 of March 8, 2021.</w:t>
      </w:r>
    </w:p>
  </w:footnote>
  <w:footnote w:id="3">
    <w:p w14:paraId="3070143B" w14:textId="0617535E" w:rsidR="0050380E" w:rsidRPr="001F3512" w:rsidRDefault="0050380E">
      <w:pPr>
        <w:pStyle w:val="Textonotapie"/>
        <w:rPr>
          <w:rFonts w:ascii="Times New Roman" w:hAnsi="Times New Roman" w:cs="Times New Roman"/>
          <w:i/>
          <w:iCs/>
          <w:lang w:val="en-US"/>
        </w:rPr>
      </w:pPr>
      <w:r w:rsidRPr="008161B8">
        <w:rPr>
          <w:rStyle w:val="Refdenotaalpie"/>
          <w:rFonts w:ascii="Times New Roman" w:hAnsi="Times New Roman" w:cs="Times New Roman"/>
          <w:i/>
          <w:iCs/>
        </w:rPr>
        <w:footnoteRef/>
      </w:r>
      <w:r w:rsidRPr="001F3512">
        <w:rPr>
          <w:rFonts w:ascii="Times New Roman" w:hAnsi="Times New Roman" w:cs="Times New Roman"/>
          <w:i/>
          <w:iCs/>
          <w:lang w:val="en-US"/>
        </w:rPr>
        <w:t xml:space="preserve">   Integral Strategy for the Prevention and Attention to Gender Violence and in the Family Scenario, approved by Agreement No. 9231/21 of the Council of Ministers, Official Gazette of the Republic of Cuba, Extraordinary Edition No 101 of December 9, 2021.</w:t>
      </w:r>
    </w:p>
  </w:footnote>
  <w:footnote w:id="4">
    <w:p w14:paraId="2721765F" w14:textId="23EFA8F9" w:rsidR="0050380E" w:rsidRPr="001F3512" w:rsidRDefault="0050380E">
      <w:pPr>
        <w:pStyle w:val="Textonotapie"/>
        <w:rPr>
          <w:rFonts w:ascii="Times New Roman" w:hAnsi="Times New Roman" w:cs="Times New Roman"/>
          <w:i/>
          <w:iCs/>
          <w:lang w:val="en-US"/>
        </w:rPr>
      </w:pPr>
      <w:r w:rsidRPr="008161B8">
        <w:rPr>
          <w:rStyle w:val="Refdenotaalpie"/>
          <w:rFonts w:ascii="Times New Roman" w:hAnsi="Times New Roman" w:cs="Times New Roman"/>
          <w:i/>
          <w:iCs/>
        </w:rPr>
        <w:footnoteRef/>
      </w:r>
      <w:r w:rsidRPr="001F3512">
        <w:rPr>
          <w:rFonts w:ascii="Times New Roman" w:hAnsi="Times New Roman" w:cs="Times New Roman"/>
          <w:i/>
          <w:iCs/>
          <w:lang w:val="en-US"/>
        </w:rPr>
        <w:t xml:space="preserve">   Law No. 156 of 2022, Family Code, Official Gazette of the Republic of Cuba, Ordinary Edition No. 99 of September 27, 2022.</w:t>
      </w:r>
    </w:p>
  </w:footnote>
  <w:footnote w:id="5">
    <w:p w14:paraId="42DB4350" w14:textId="5405B4EE" w:rsidR="0050380E" w:rsidRPr="001F3512" w:rsidRDefault="0050380E">
      <w:pPr>
        <w:pStyle w:val="Textonotapie"/>
        <w:rPr>
          <w:rFonts w:ascii="Times New Roman" w:hAnsi="Times New Roman" w:cs="Times New Roman"/>
          <w:i/>
          <w:iCs/>
          <w:lang w:val="en-US"/>
        </w:rPr>
      </w:pPr>
      <w:r w:rsidRPr="008161B8">
        <w:rPr>
          <w:rStyle w:val="Refdenotaalpie"/>
          <w:rFonts w:ascii="Times New Roman" w:hAnsi="Times New Roman" w:cs="Times New Roman"/>
          <w:i/>
          <w:iCs/>
        </w:rPr>
        <w:footnoteRef/>
      </w:r>
      <w:r w:rsidRPr="001F3512">
        <w:rPr>
          <w:rFonts w:ascii="Times New Roman" w:hAnsi="Times New Roman" w:cs="Times New Roman"/>
          <w:i/>
          <w:iCs/>
          <w:lang w:val="en-US"/>
        </w:rPr>
        <w:t xml:space="preserve"> Law 141 of 2021, Procedural Code, Official Gazette of the Republic of Cuba No 138 Ordinary, of December 7, 2021.</w:t>
      </w:r>
    </w:p>
  </w:footnote>
  <w:footnote w:id="6">
    <w:p w14:paraId="2EA12FFF" w14:textId="5C842761" w:rsidR="0050380E" w:rsidRPr="001F3512" w:rsidRDefault="0050380E">
      <w:pPr>
        <w:pStyle w:val="Textonotapie"/>
        <w:rPr>
          <w:rFonts w:ascii="Times New Roman" w:hAnsi="Times New Roman" w:cs="Times New Roman"/>
          <w:i/>
          <w:iCs/>
          <w:lang w:val="en-US"/>
        </w:rPr>
      </w:pPr>
      <w:r w:rsidRPr="008161B8">
        <w:rPr>
          <w:rStyle w:val="Refdenotaalpie"/>
          <w:rFonts w:ascii="Times New Roman" w:hAnsi="Times New Roman" w:cs="Times New Roman"/>
          <w:i/>
          <w:iCs/>
        </w:rPr>
        <w:footnoteRef/>
      </w:r>
      <w:r w:rsidRPr="001F3512">
        <w:rPr>
          <w:rFonts w:ascii="Times New Roman" w:hAnsi="Times New Roman" w:cs="Times New Roman"/>
          <w:i/>
          <w:iCs/>
          <w:lang w:val="en-US"/>
        </w:rPr>
        <w:t xml:space="preserve">   Law 143 of 2021, Criminal Procedure Law, Official Gazette of the Republic of Cuba No 140 Ordinary, of December 7, 2021.</w:t>
      </w:r>
    </w:p>
  </w:footnote>
  <w:footnote w:id="7">
    <w:p w14:paraId="48669EB4" w14:textId="62B67A7C" w:rsidR="008161B8" w:rsidRPr="001F3512" w:rsidRDefault="008161B8">
      <w:pPr>
        <w:pStyle w:val="Textonotapie"/>
        <w:rPr>
          <w:rFonts w:ascii="Times New Roman" w:hAnsi="Times New Roman" w:cs="Times New Roman"/>
          <w:i/>
          <w:iCs/>
          <w:lang w:val="en-US"/>
        </w:rPr>
      </w:pPr>
      <w:r w:rsidRPr="008161B8">
        <w:rPr>
          <w:rStyle w:val="Refdenotaalpie"/>
          <w:rFonts w:ascii="Times New Roman" w:hAnsi="Times New Roman" w:cs="Times New Roman"/>
          <w:i/>
          <w:iCs/>
        </w:rPr>
        <w:footnoteRef/>
      </w:r>
      <w:r w:rsidRPr="001F3512">
        <w:rPr>
          <w:rFonts w:ascii="Times New Roman" w:hAnsi="Times New Roman" w:cs="Times New Roman"/>
          <w:i/>
          <w:iCs/>
          <w:lang w:val="en-US"/>
        </w:rPr>
        <w:t xml:space="preserve">   Law 151 of 2022, Penal Code, Official Gazette of the Republic of Cuba No 93 Ordinary, of September 1, 2022.</w:t>
      </w:r>
    </w:p>
  </w:footnote>
  <w:footnote w:id="8">
    <w:p w14:paraId="3F60CB65" w14:textId="1A247E84" w:rsidR="008161B8" w:rsidRPr="008161B8" w:rsidRDefault="008161B8">
      <w:pPr>
        <w:pStyle w:val="Textonotapie"/>
        <w:rPr>
          <w:rFonts w:ascii="Times New Roman" w:hAnsi="Times New Roman" w:cs="Times New Roman"/>
          <w:i/>
          <w:iCs/>
        </w:rPr>
      </w:pPr>
      <w:r w:rsidRPr="008161B8">
        <w:rPr>
          <w:rStyle w:val="Refdenotaalpie"/>
          <w:rFonts w:ascii="Times New Roman" w:hAnsi="Times New Roman" w:cs="Times New Roman"/>
          <w:i/>
          <w:iCs/>
        </w:rPr>
        <w:footnoteRef/>
      </w:r>
      <w:r w:rsidRPr="008161B8">
        <w:rPr>
          <w:rFonts w:ascii="Times New Roman" w:hAnsi="Times New Roman" w:cs="Times New Roman"/>
          <w:i/>
          <w:iCs/>
        </w:rPr>
        <w:t xml:space="preserve"> </w:t>
      </w:r>
      <w:r w:rsidR="001F3512" w:rsidRPr="008161B8">
        <w:rPr>
          <w:rFonts w:ascii="Times New Roman" w:hAnsi="Times New Roman" w:cs="Times New Roman"/>
          <w:i/>
          <w:iCs/>
        </w:rPr>
        <w:t>Decrece</w:t>
      </w:r>
      <w:r w:rsidRPr="008161B8">
        <w:rPr>
          <w:rFonts w:ascii="Times New Roman" w:hAnsi="Times New Roman" w:cs="Times New Roman"/>
          <w:i/>
          <w:iCs/>
        </w:rPr>
        <w:t xml:space="preserve"> 96 of 2023 of the Council of </w:t>
      </w:r>
      <w:r w:rsidR="001F3512" w:rsidRPr="008161B8">
        <w:rPr>
          <w:rFonts w:ascii="Times New Roman" w:hAnsi="Times New Roman" w:cs="Times New Roman"/>
          <w:i/>
          <w:iCs/>
        </w:rPr>
        <w:t>Ministres</w:t>
      </w:r>
      <w:r w:rsidRPr="008161B8">
        <w:rPr>
          <w:rFonts w:ascii="Times New Roman" w:hAnsi="Times New Roman" w:cs="Times New Roman"/>
          <w:i/>
          <w:iCs/>
        </w:rPr>
        <w:t>, "Protocolo de actuación ante situaciones de discriminación, violencia y acoso en el ámbito laboral", Gaceta Oficial de la República de Cuba No 66 Extraordinaria, September 28, 2023.</w:t>
      </w:r>
    </w:p>
  </w:footnote>
  <w:footnote w:id="9">
    <w:p w14:paraId="2A743103" w14:textId="0CE0BD0B" w:rsidR="008161B8" w:rsidRPr="008161B8" w:rsidRDefault="008161B8">
      <w:pPr>
        <w:pStyle w:val="Textonotapie"/>
        <w:rPr>
          <w:rFonts w:ascii="Times New Roman" w:hAnsi="Times New Roman" w:cs="Times New Roman"/>
          <w:i/>
          <w:iCs/>
        </w:rPr>
      </w:pPr>
      <w:r w:rsidRPr="008161B8">
        <w:rPr>
          <w:rStyle w:val="Refdenotaalpie"/>
          <w:rFonts w:ascii="Times New Roman" w:hAnsi="Times New Roman" w:cs="Times New Roman"/>
          <w:i/>
          <w:iCs/>
        </w:rPr>
        <w:footnoteRef/>
      </w:r>
      <w:r w:rsidRPr="008161B8">
        <w:rPr>
          <w:rFonts w:ascii="Times New Roman" w:hAnsi="Times New Roman" w:cs="Times New Roman"/>
          <w:i/>
          <w:iCs/>
        </w:rPr>
        <w:t xml:space="preserve"> CALAÑA PÉREZ, Ivon, "Sistematización de la atención en el servicio de orientación jurídica del Centro Nacional de Educación Sexual", Revista Sexología y Sociedad, No 61, June 2023, Havana, Cuba.</w:t>
      </w:r>
    </w:p>
  </w:footnote>
  <w:footnote w:id="10">
    <w:p w14:paraId="0BB6CC86" w14:textId="77777777" w:rsidR="008161B8" w:rsidRPr="001F3512" w:rsidRDefault="008161B8" w:rsidP="008161B8">
      <w:pPr>
        <w:pStyle w:val="Textonotapie"/>
        <w:rPr>
          <w:rFonts w:ascii="Times New Roman" w:hAnsi="Times New Roman" w:cs="Times New Roman"/>
          <w:i/>
          <w:iCs/>
          <w:lang w:val="en-US"/>
        </w:rPr>
      </w:pPr>
      <w:r w:rsidRPr="008161B8">
        <w:rPr>
          <w:rStyle w:val="Refdenotaalpie"/>
          <w:rFonts w:ascii="Times New Roman" w:hAnsi="Times New Roman" w:cs="Times New Roman"/>
          <w:i/>
          <w:iCs/>
        </w:rPr>
        <w:footnoteRef/>
      </w:r>
      <w:r w:rsidRPr="001F3512">
        <w:rPr>
          <w:rFonts w:ascii="Times New Roman" w:hAnsi="Times New Roman" w:cs="Times New Roman"/>
          <w:i/>
          <w:iCs/>
          <w:lang w:val="en-US"/>
        </w:rPr>
        <w:t xml:space="preserve"> CALAÑA PÉREZ, Ivon, Sexual rights in Cuba. </w:t>
      </w:r>
    </w:p>
    <w:p w14:paraId="7ED0F9CE" w14:textId="77777777" w:rsidR="008161B8" w:rsidRPr="001F3512" w:rsidRDefault="008161B8" w:rsidP="008161B8">
      <w:pPr>
        <w:pStyle w:val="Textonotapie"/>
        <w:rPr>
          <w:rFonts w:ascii="Times New Roman" w:hAnsi="Times New Roman" w:cs="Times New Roman"/>
          <w:i/>
          <w:iCs/>
          <w:lang w:val="en-US"/>
        </w:rPr>
      </w:pPr>
      <w:r w:rsidRPr="001F3512">
        <w:rPr>
          <w:rFonts w:ascii="Times New Roman" w:hAnsi="Times New Roman" w:cs="Times New Roman"/>
          <w:i/>
          <w:iCs/>
          <w:lang w:val="en-US"/>
        </w:rPr>
        <w:t>Guidelines for the effective development of the legal guidance service of the National Center for Sexual Education, Ed CENESEX, Havana, 2020.</w:t>
      </w:r>
    </w:p>
    <w:p w14:paraId="789DB5E6" w14:textId="320C5ED4" w:rsidR="008161B8" w:rsidRPr="001F3512" w:rsidRDefault="008161B8">
      <w:pPr>
        <w:pStyle w:val="Textonotapie"/>
        <w:rPr>
          <w:rFonts w:ascii="Times New Roman" w:hAnsi="Times New Roman" w:cs="Times New Roman"/>
          <w:i/>
          <w:iCs/>
          <w:lang w:val="en-U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577"/>
    <w:rsid w:val="000512C7"/>
    <w:rsid w:val="000624DB"/>
    <w:rsid w:val="000B3C07"/>
    <w:rsid w:val="000F76A3"/>
    <w:rsid w:val="00144D7D"/>
    <w:rsid w:val="001F3512"/>
    <w:rsid w:val="003126D0"/>
    <w:rsid w:val="003F0D96"/>
    <w:rsid w:val="004B2E03"/>
    <w:rsid w:val="004C11BE"/>
    <w:rsid w:val="004F4D3D"/>
    <w:rsid w:val="004F5FE5"/>
    <w:rsid w:val="0050380E"/>
    <w:rsid w:val="00552412"/>
    <w:rsid w:val="005E1015"/>
    <w:rsid w:val="00606AA3"/>
    <w:rsid w:val="0064576E"/>
    <w:rsid w:val="006A1814"/>
    <w:rsid w:val="006D368C"/>
    <w:rsid w:val="006E7775"/>
    <w:rsid w:val="00727AC4"/>
    <w:rsid w:val="00735F73"/>
    <w:rsid w:val="008161B8"/>
    <w:rsid w:val="00843E58"/>
    <w:rsid w:val="008F290E"/>
    <w:rsid w:val="009014DF"/>
    <w:rsid w:val="009113F8"/>
    <w:rsid w:val="009228CF"/>
    <w:rsid w:val="00942BA9"/>
    <w:rsid w:val="009A27D1"/>
    <w:rsid w:val="009B052B"/>
    <w:rsid w:val="00A51596"/>
    <w:rsid w:val="00AA0497"/>
    <w:rsid w:val="00AB54A7"/>
    <w:rsid w:val="00B16218"/>
    <w:rsid w:val="00B84577"/>
    <w:rsid w:val="00BF2563"/>
    <w:rsid w:val="00C16CF7"/>
    <w:rsid w:val="00D15CB6"/>
    <w:rsid w:val="00DC65E4"/>
    <w:rsid w:val="00E44A1B"/>
    <w:rsid w:val="00F0544E"/>
    <w:rsid w:val="00F22B9A"/>
    <w:rsid w:val="00F33458"/>
    <w:rsid w:val="00F9477F"/>
    <w:rsid w:val="00FD23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85CC6"/>
  <w15:chartTrackingRefBased/>
  <w15:docId w15:val="{195BB27D-995F-3F48-90BD-54722C3CD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B845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845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8457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8457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8457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8457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8457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8457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8457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8457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8457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8457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8457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8457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8457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8457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8457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84577"/>
    <w:rPr>
      <w:rFonts w:eastAsiaTheme="majorEastAsia" w:cstheme="majorBidi"/>
      <w:color w:val="272727" w:themeColor="text1" w:themeTint="D8"/>
    </w:rPr>
  </w:style>
  <w:style w:type="paragraph" w:styleId="Puesto">
    <w:name w:val="Title"/>
    <w:basedOn w:val="Normal"/>
    <w:next w:val="Normal"/>
    <w:link w:val="PuestoCar"/>
    <w:uiPriority w:val="10"/>
    <w:qFormat/>
    <w:rsid w:val="00B845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B8457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8457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8457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84577"/>
    <w:pPr>
      <w:spacing w:before="160"/>
      <w:jc w:val="center"/>
    </w:pPr>
    <w:rPr>
      <w:i/>
      <w:iCs/>
      <w:color w:val="404040" w:themeColor="text1" w:themeTint="BF"/>
    </w:rPr>
  </w:style>
  <w:style w:type="character" w:customStyle="1" w:styleId="CitaCar">
    <w:name w:val="Cita Car"/>
    <w:basedOn w:val="Fuentedeprrafopredeter"/>
    <w:link w:val="Cita"/>
    <w:uiPriority w:val="29"/>
    <w:rsid w:val="00B84577"/>
    <w:rPr>
      <w:i/>
      <w:iCs/>
      <w:color w:val="404040" w:themeColor="text1" w:themeTint="BF"/>
    </w:rPr>
  </w:style>
  <w:style w:type="paragraph" w:styleId="Prrafodelista">
    <w:name w:val="List Paragraph"/>
    <w:basedOn w:val="Normal"/>
    <w:uiPriority w:val="34"/>
    <w:qFormat/>
    <w:rsid w:val="00B84577"/>
    <w:pPr>
      <w:ind w:left="720"/>
      <w:contextualSpacing/>
    </w:pPr>
  </w:style>
  <w:style w:type="character" w:styleId="nfasisintenso">
    <w:name w:val="Intense Emphasis"/>
    <w:basedOn w:val="Fuentedeprrafopredeter"/>
    <w:uiPriority w:val="21"/>
    <w:qFormat/>
    <w:rsid w:val="00B84577"/>
    <w:rPr>
      <w:i/>
      <w:iCs/>
      <w:color w:val="0F4761" w:themeColor="accent1" w:themeShade="BF"/>
    </w:rPr>
  </w:style>
  <w:style w:type="paragraph" w:styleId="Citadestacada">
    <w:name w:val="Intense Quote"/>
    <w:basedOn w:val="Normal"/>
    <w:next w:val="Normal"/>
    <w:link w:val="CitadestacadaCar"/>
    <w:uiPriority w:val="30"/>
    <w:qFormat/>
    <w:rsid w:val="00B845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84577"/>
    <w:rPr>
      <w:i/>
      <w:iCs/>
      <w:color w:val="0F4761" w:themeColor="accent1" w:themeShade="BF"/>
    </w:rPr>
  </w:style>
  <w:style w:type="character" w:styleId="Referenciaintensa">
    <w:name w:val="Intense Reference"/>
    <w:basedOn w:val="Fuentedeprrafopredeter"/>
    <w:uiPriority w:val="32"/>
    <w:qFormat/>
    <w:rsid w:val="00B84577"/>
    <w:rPr>
      <w:b/>
      <w:bCs/>
      <w:smallCaps/>
      <w:color w:val="0F4761" w:themeColor="accent1" w:themeShade="BF"/>
      <w:spacing w:val="5"/>
    </w:rPr>
  </w:style>
  <w:style w:type="paragraph" w:styleId="Textonotaalfinal">
    <w:name w:val="endnote text"/>
    <w:basedOn w:val="Normal"/>
    <w:link w:val="TextonotaalfinalCar"/>
    <w:uiPriority w:val="99"/>
    <w:semiHidden/>
    <w:unhideWhenUsed/>
    <w:rsid w:val="00B16218"/>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B16218"/>
    <w:rPr>
      <w:sz w:val="20"/>
      <w:szCs w:val="20"/>
    </w:rPr>
  </w:style>
  <w:style w:type="character" w:styleId="Refdenotaalfinal">
    <w:name w:val="endnote reference"/>
    <w:basedOn w:val="Fuentedeprrafopredeter"/>
    <w:uiPriority w:val="99"/>
    <w:semiHidden/>
    <w:unhideWhenUsed/>
    <w:rsid w:val="00B16218"/>
    <w:rPr>
      <w:vertAlign w:val="superscript"/>
    </w:rPr>
  </w:style>
  <w:style w:type="character" w:styleId="Hipervnculo">
    <w:name w:val="Hyperlink"/>
    <w:basedOn w:val="Fuentedeprrafopredeter"/>
    <w:uiPriority w:val="99"/>
    <w:unhideWhenUsed/>
    <w:rsid w:val="006D368C"/>
    <w:rPr>
      <w:color w:val="467886" w:themeColor="hyperlink"/>
      <w:u w:val="single"/>
    </w:rPr>
  </w:style>
  <w:style w:type="character" w:customStyle="1" w:styleId="UnresolvedMention">
    <w:name w:val="Unresolved Mention"/>
    <w:basedOn w:val="Fuentedeprrafopredeter"/>
    <w:uiPriority w:val="99"/>
    <w:semiHidden/>
    <w:unhideWhenUsed/>
    <w:rsid w:val="006D368C"/>
    <w:rPr>
      <w:color w:val="605E5C"/>
      <w:shd w:val="clear" w:color="auto" w:fill="E1DFDD"/>
    </w:rPr>
  </w:style>
  <w:style w:type="paragraph" w:styleId="Textonotapie">
    <w:name w:val="footnote text"/>
    <w:basedOn w:val="Normal"/>
    <w:link w:val="TextonotapieCar"/>
    <w:uiPriority w:val="99"/>
    <w:semiHidden/>
    <w:unhideWhenUsed/>
    <w:rsid w:val="00727AC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27AC4"/>
    <w:rPr>
      <w:sz w:val="20"/>
      <w:szCs w:val="20"/>
    </w:rPr>
  </w:style>
  <w:style w:type="character" w:styleId="Refdenotaalpie">
    <w:name w:val="footnote reference"/>
    <w:basedOn w:val="Fuentedeprrafopredeter"/>
    <w:uiPriority w:val="99"/>
    <w:semiHidden/>
    <w:unhideWhenUsed/>
    <w:rsid w:val="00727A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bdulafatima96@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7B8871-35E2-4127-BB97-CA2F14B5855F}">
  <ds:schemaRefs>
    <ds:schemaRef ds:uri="http://schemas.openxmlformats.org/officeDocument/2006/bibliography"/>
  </ds:schemaRefs>
</ds:datastoreItem>
</file>

<file path=customXml/itemProps2.xml><?xml version="1.0" encoding="utf-8"?>
<ds:datastoreItem xmlns:ds="http://schemas.openxmlformats.org/officeDocument/2006/customXml" ds:itemID="{A26FA69D-31E1-4467-9FB5-18B9B1D5D39C}"/>
</file>

<file path=customXml/itemProps3.xml><?xml version="1.0" encoding="utf-8"?>
<ds:datastoreItem xmlns:ds="http://schemas.openxmlformats.org/officeDocument/2006/customXml" ds:itemID="{D77B759C-A004-4601-B062-8AD7445896DD}"/>
</file>

<file path=docProps/app.xml><?xml version="1.0" encoding="utf-8"?>
<Properties xmlns="http://schemas.openxmlformats.org/officeDocument/2006/extended-properties" xmlns:vt="http://schemas.openxmlformats.org/officeDocument/2006/docPropsVTypes">
  <Template>Normal</Template>
  <TotalTime>0</TotalTime>
  <Pages>5</Pages>
  <Words>2094</Words>
  <Characters>11521</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Delio Romero García</dc:creator>
  <cp:keywords/>
  <dc:description/>
  <cp:lastModifiedBy>Cenesex</cp:lastModifiedBy>
  <cp:revision>2</cp:revision>
  <dcterms:created xsi:type="dcterms:W3CDTF">2024-09-08T03:45:00Z</dcterms:created>
  <dcterms:modified xsi:type="dcterms:W3CDTF">2024-09-08T03:45:00Z</dcterms:modified>
</cp:coreProperties>
</file>