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F75EA3" w14:textId="77777777" w:rsidR="004C4707" w:rsidRDefault="004C4707" w:rsidP="00E43505">
      <w:pPr>
        <w:pStyle w:val="TitlePageHeading"/>
        <w:spacing w:line="240" w:lineRule="auto"/>
        <w:rPr>
          <w:rFonts w:eastAsia="Times New Roman" w:cs="Times New Roman"/>
        </w:rPr>
      </w:pPr>
    </w:p>
    <w:p w14:paraId="0D25A345" w14:textId="1B89A122" w:rsidR="00717987" w:rsidRPr="00F42B8F" w:rsidRDefault="3FD9EFE7" w:rsidP="00E43505">
      <w:pPr>
        <w:pStyle w:val="TitlePageHeading"/>
        <w:spacing w:line="240" w:lineRule="auto"/>
        <w:rPr>
          <w:rFonts w:eastAsia="Times New Roman" w:cs="Times New Roman"/>
        </w:rPr>
      </w:pPr>
      <w:r w:rsidRPr="00F42B8F">
        <w:rPr>
          <w:rFonts w:eastAsia="Times New Roman" w:cs="Times New Roman"/>
        </w:rPr>
        <w:t>Antigua and Barbuda’s</w:t>
      </w:r>
      <w:r w:rsidR="5228BA82" w:rsidRPr="00F42B8F">
        <w:rPr>
          <w:rFonts w:eastAsia="Times New Roman" w:cs="Times New Roman"/>
        </w:rPr>
        <w:t xml:space="preserve"> Compliance with</w:t>
      </w:r>
      <w:r w:rsidR="00140094" w:rsidRPr="00F42B8F">
        <w:rPr>
          <w:rFonts w:eastAsia="Times New Roman" w:cs="Times New Roman"/>
        </w:rPr>
        <w:t xml:space="preserve"> the International</w:t>
      </w:r>
      <w:r w:rsidR="5228BA82" w:rsidRPr="00F42B8F">
        <w:rPr>
          <w:rFonts w:eastAsia="Times New Roman" w:cs="Times New Roman"/>
        </w:rPr>
        <w:t xml:space="preserve"> </w:t>
      </w:r>
      <w:r w:rsidR="59CF4544" w:rsidRPr="00F42B8F">
        <w:rPr>
          <w:rFonts w:eastAsia="Times New Roman" w:cs="Times New Roman"/>
        </w:rPr>
        <w:t>Coven</w:t>
      </w:r>
      <w:r w:rsidR="05BCC9E1" w:rsidRPr="00F42B8F">
        <w:rPr>
          <w:rFonts w:eastAsia="Times New Roman" w:cs="Times New Roman"/>
        </w:rPr>
        <w:t>ant on Civil and Political Rights</w:t>
      </w:r>
      <w:r w:rsidR="59CF4544" w:rsidRPr="00F42B8F">
        <w:rPr>
          <w:rFonts w:eastAsia="Times New Roman" w:cs="Times New Roman"/>
        </w:rPr>
        <w:t xml:space="preserve"> </w:t>
      </w:r>
    </w:p>
    <w:p w14:paraId="358C06C4" w14:textId="31477C56" w:rsidR="00717987" w:rsidRPr="00F42B8F" w:rsidRDefault="5228BA82" w:rsidP="00E43505">
      <w:pPr>
        <w:pStyle w:val="TitlePageHeading"/>
        <w:spacing w:after="240" w:line="240" w:lineRule="auto"/>
        <w:rPr>
          <w:rFonts w:eastAsia="Times New Roman" w:cs="Times New Roman"/>
        </w:rPr>
      </w:pPr>
      <w:r w:rsidRPr="00F42B8F">
        <w:rPr>
          <w:rFonts w:eastAsia="Times New Roman" w:cs="Times New Roman"/>
        </w:rPr>
        <w:t>Suggested List of Issues Prior to Reporting</w:t>
      </w:r>
      <w:r w:rsidR="046DF599" w:rsidRPr="00F42B8F">
        <w:rPr>
          <w:rFonts w:eastAsia="Times New Roman" w:cs="Times New Roman"/>
        </w:rPr>
        <w:t xml:space="preserve"> </w:t>
      </w:r>
      <w:r w:rsidRPr="00F42B8F">
        <w:rPr>
          <w:rFonts w:eastAsia="Times New Roman" w:cs="Times New Roman"/>
        </w:rPr>
        <w:t xml:space="preserve">Relating to: </w:t>
      </w:r>
      <w:r w:rsidR="006A290E" w:rsidRPr="00F42B8F">
        <w:rPr>
          <w:rFonts w:eastAsia="Times New Roman" w:cs="Times New Roman"/>
        </w:rPr>
        <w:t>LGBTQ+</w:t>
      </w:r>
      <w:r w:rsidR="28B5A95B" w:rsidRPr="00F42B8F">
        <w:rPr>
          <w:rFonts w:eastAsia="Times New Roman" w:cs="Times New Roman"/>
        </w:rPr>
        <w:t xml:space="preserve"> Rights</w:t>
      </w:r>
    </w:p>
    <w:p w14:paraId="024F1FAD" w14:textId="1EC02787" w:rsidR="00717987" w:rsidRPr="00F42B8F" w:rsidRDefault="5228BA82" w:rsidP="00E43505">
      <w:pPr>
        <w:pStyle w:val="TitlePageHeading"/>
        <w:spacing w:line="240" w:lineRule="auto"/>
        <w:rPr>
          <w:rFonts w:eastAsia="Times New Roman" w:cs="Times New Roman"/>
        </w:rPr>
      </w:pPr>
      <w:r w:rsidRPr="00F42B8F">
        <w:rPr>
          <w:rFonts w:eastAsia="Times New Roman" w:cs="Times New Roman"/>
        </w:rPr>
        <w:t>Submitted by The Advocates for Human Rights</w:t>
      </w:r>
    </w:p>
    <w:p w14:paraId="16A5BBF7" w14:textId="46CC1561" w:rsidR="00717987" w:rsidRPr="00F42B8F" w:rsidRDefault="5228BA82" w:rsidP="00E43505">
      <w:pPr>
        <w:pStyle w:val="TitlePageSubheading"/>
        <w:spacing w:after="240" w:line="240" w:lineRule="auto"/>
        <w:rPr>
          <w:color w:val="000000" w:themeColor="text1"/>
        </w:rPr>
      </w:pPr>
      <w:r w:rsidRPr="00F42B8F">
        <w:rPr>
          <w:color w:val="000000" w:themeColor="text1"/>
        </w:rPr>
        <w:t>a non-governmental organization in special consultative status with ECOSOC since 1996</w:t>
      </w:r>
    </w:p>
    <w:p w14:paraId="5C212169" w14:textId="75B139BD" w:rsidR="00B75D7F" w:rsidRPr="00F42B8F" w:rsidRDefault="00B75D7F" w:rsidP="00E43505">
      <w:pPr>
        <w:pStyle w:val="TitlePageSubheading"/>
        <w:spacing w:after="240" w:line="240" w:lineRule="auto"/>
        <w:rPr>
          <w:color w:val="000000" w:themeColor="text1"/>
        </w:rPr>
      </w:pPr>
      <w:r w:rsidRPr="00F42B8F">
        <w:rPr>
          <w:color w:val="000000" w:themeColor="text1"/>
        </w:rPr>
        <w:t>and</w:t>
      </w:r>
    </w:p>
    <w:p w14:paraId="62AE4E69" w14:textId="68D4760E" w:rsidR="00B75D7F" w:rsidRPr="00F42B8F" w:rsidRDefault="00B75D7F" w:rsidP="00E43505">
      <w:pPr>
        <w:pStyle w:val="TitlePageSubheading"/>
        <w:spacing w:after="240" w:line="240" w:lineRule="auto"/>
        <w:rPr>
          <w:b/>
          <w:bCs/>
          <w:color w:val="000000" w:themeColor="text1"/>
        </w:rPr>
      </w:pPr>
      <w:r w:rsidRPr="00F42B8F">
        <w:rPr>
          <w:b/>
          <w:bCs/>
          <w:color w:val="000000" w:themeColor="text1"/>
        </w:rPr>
        <w:t>Khaleem Ali</w:t>
      </w:r>
    </w:p>
    <w:p w14:paraId="259769BC" w14:textId="15D62FFD" w:rsidR="00717987" w:rsidRPr="00F42B8F" w:rsidRDefault="5228BA82" w:rsidP="00E43505">
      <w:pPr>
        <w:pStyle w:val="TitlePageHeading"/>
        <w:spacing w:line="240" w:lineRule="auto"/>
        <w:rPr>
          <w:rFonts w:eastAsia="Times New Roman" w:cs="Times New Roman"/>
        </w:rPr>
      </w:pPr>
      <w:r w:rsidRPr="00F42B8F">
        <w:rPr>
          <w:rFonts w:eastAsia="Times New Roman" w:cs="Times New Roman"/>
        </w:rPr>
        <w:t>for the</w:t>
      </w:r>
      <w:r w:rsidR="00174334" w:rsidRPr="00F42B8F">
        <w:rPr>
          <w:rFonts w:eastAsia="Times New Roman" w:cs="Times New Roman"/>
        </w:rPr>
        <w:t xml:space="preserve"> </w:t>
      </w:r>
      <w:r w:rsidR="24F285CC" w:rsidRPr="00F42B8F">
        <w:rPr>
          <w:rFonts w:eastAsia="Times New Roman" w:cs="Times New Roman"/>
        </w:rPr>
        <w:t>143rd</w:t>
      </w:r>
      <w:r w:rsidRPr="00F42B8F">
        <w:rPr>
          <w:rFonts w:eastAsia="Times New Roman" w:cs="Times New Roman"/>
        </w:rPr>
        <w:t xml:space="preserve"> Session of th</w:t>
      </w:r>
      <w:r w:rsidR="688D7A66" w:rsidRPr="00F42B8F">
        <w:rPr>
          <w:rFonts w:eastAsia="Times New Roman" w:cs="Times New Roman"/>
        </w:rPr>
        <w:t>e Human Righ</w:t>
      </w:r>
      <w:r w:rsidR="00140094" w:rsidRPr="00F42B8F">
        <w:rPr>
          <w:rFonts w:eastAsia="Times New Roman" w:cs="Times New Roman"/>
        </w:rPr>
        <w:t>t</w:t>
      </w:r>
      <w:r w:rsidR="688D7A66" w:rsidRPr="00F42B8F">
        <w:rPr>
          <w:rFonts w:eastAsia="Times New Roman" w:cs="Times New Roman"/>
        </w:rPr>
        <w:t xml:space="preserve">s </w:t>
      </w:r>
      <w:r w:rsidR="00140094" w:rsidRPr="00F42B8F">
        <w:rPr>
          <w:rFonts w:eastAsia="Times New Roman" w:cs="Times New Roman"/>
        </w:rPr>
        <w:t>Committee</w:t>
      </w:r>
    </w:p>
    <w:p w14:paraId="0FA9B3B4" w14:textId="363681D0" w:rsidR="00717987" w:rsidRPr="00F42B8F" w:rsidRDefault="688D7A66" w:rsidP="00E43505">
      <w:pPr>
        <w:pStyle w:val="TitlePageHeading"/>
        <w:spacing w:after="240" w:line="240" w:lineRule="auto"/>
        <w:rPr>
          <w:rFonts w:eastAsia="Times New Roman" w:cs="Times New Roman"/>
        </w:rPr>
      </w:pPr>
      <w:r w:rsidRPr="00F42B8F">
        <w:rPr>
          <w:rFonts w:eastAsia="Times New Roman" w:cs="Times New Roman"/>
        </w:rPr>
        <w:t>2 March 2025 – 28 March 2025</w:t>
      </w:r>
    </w:p>
    <w:p w14:paraId="06EF538E" w14:textId="2BA79DC7" w:rsidR="00717987" w:rsidRPr="00F42B8F" w:rsidRDefault="5228BA82" w:rsidP="00E43505">
      <w:pPr>
        <w:pStyle w:val="TitlePageHeading"/>
        <w:spacing w:after="240" w:line="240" w:lineRule="auto"/>
        <w:rPr>
          <w:rFonts w:eastAsia="Times New Roman" w:cs="Times New Roman"/>
        </w:rPr>
      </w:pPr>
      <w:r w:rsidRPr="00F42B8F">
        <w:rPr>
          <w:rFonts w:eastAsia="Times New Roman" w:cs="Times New Roman"/>
        </w:rPr>
        <w:t xml:space="preserve">Submitted </w:t>
      </w:r>
      <w:r w:rsidR="37030A1C" w:rsidRPr="00F42B8F">
        <w:rPr>
          <w:rFonts w:eastAsia="Times New Roman" w:cs="Times New Roman"/>
        </w:rPr>
        <w:t>6 January 2025</w:t>
      </w:r>
    </w:p>
    <w:p w14:paraId="68792C6C" w14:textId="1B4AB2D7" w:rsidR="00717987" w:rsidRPr="00F42B8F" w:rsidRDefault="5228BA82" w:rsidP="00E43505">
      <w:pPr>
        <w:widowControl w:val="0"/>
        <w:spacing w:after="240" w:line="240" w:lineRule="auto"/>
        <w:jc w:val="both"/>
        <w:rPr>
          <w:rStyle w:val="BoilerplateTextChar"/>
          <w:rFonts w:eastAsia="Times New Roman"/>
          <w:color w:val="000000" w:themeColor="text1"/>
        </w:rPr>
      </w:pPr>
      <w:r w:rsidRPr="00F42B8F">
        <w:rPr>
          <w:rStyle w:val="BoilerplateTitleChar"/>
          <w:rFonts w:eastAsia="Times New Roman" w:cs="Times New Roman"/>
        </w:rPr>
        <w:t>The Advocates for Human Rights</w:t>
      </w:r>
      <w:r w:rsidRPr="00F42B8F">
        <w:rPr>
          <w:rStyle w:val="BoilerplateTextChar"/>
          <w:rFonts w:eastAsia="Times New Roman"/>
          <w:color w:val="000000" w:themeColor="text1"/>
        </w:rPr>
        <w:t xml:space="preserve"> (The Advocates) is a volunteer-based non-governmental organization committed to the impartial promotion and protection of international human rights standards and the rule of law since its founding in 1983. The Advocates conducts a range of programs to promote human rights in the United States and around the world, including monitoring and fact finding, direct legal representation, education and training, and publication. The Advocates is the primary provider of legal services to low-income asylum seekers in the Upper Midwest region of the United States</w:t>
      </w:r>
      <w:r w:rsidR="00B80C5E" w:rsidRPr="00F42B8F">
        <w:rPr>
          <w:rStyle w:val="BoilerplateTextChar"/>
          <w:rFonts w:eastAsia="Times New Roman"/>
          <w:color w:val="000000" w:themeColor="text1"/>
        </w:rPr>
        <w:t xml:space="preserve">, </w:t>
      </w:r>
      <w:r w:rsidRPr="00F42B8F">
        <w:rPr>
          <w:rStyle w:val="BoilerplateTextChar"/>
          <w:rFonts w:eastAsia="Times New Roman"/>
          <w:color w:val="000000" w:themeColor="text1"/>
        </w:rPr>
        <w:t>including LGBTIQ+ individuals who have experienced discrimination and violence based on sexual orientation, gender identity and expression, and sex characteristics.</w:t>
      </w:r>
    </w:p>
    <w:p w14:paraId="09F27CC4" w14:textId="63F19346" w:rsidR="00725226" w:rsidRPr="00F42B8F" w:rsidRDefault="00725226" w:rsidP="00E43505">
      <w:pPr>
        <w:widowControl w:val="0"/>
        <w:spacing w:after="240" w:line="240" w:lineRule="auto"/>
        <w:jc w:val="both"/>
        <w:rPr>
          <w:rFonts w:ascii="Times New Roman" w:eastAsia="Times New Roman" w:hAnsi="Times New Roman" w:cs="Times New Roman"/>
          <w:color w:val="000000" w:themeColor="text1"/>
        </w:rPr>
      </w:pPr>
      <w:r w:rsidRPr="00F42B8F">
        <w:rPr>
          <w:rFonts w:ascii="Times New Roman" w:eastAsia="Times New Roman" w:hAnsi="Times New Roman" w:cs="Times New Roman"/>
          <w:b/>
          <w:bCs/>
          <w:color w:val="000000" w:themeColor="text1"/>
        </w:rPr>
        <w:t xml:space="preserve">Khaleem Ali </w:t>
      </w:r>
      <w:r w:rsidRPr="00F42B8F">
        <w:rPr>
          <w:rFonts w:ascii="Times New Roman" w:eastAsia="Times New Roman" w:hAnsi="Times New Roman" w:cs="Times New Roman"/>
          <w:color w:val="000000" w:themeColor="text1"/>
        </w:rPr>
        <w:t>is an Attorney-at-Law and human rights defender based in the Republic of Trinidad and Tobago with more than a decade of experience in activism at the local, regional and international levels. He attended the 137th session of the United Nations Human Rights Council in Geneva and the 52nd meeting of the UN Human Rights Committee (ICCPR) as an expert on human rights issues in the Caribbean Region, namely, the death penalty and LGBTQIA+ rights. He has subsequently been appointed Chair the Working Group on Women and Gender at the World Coalition Against the Death Penalty. Khaleem currently serves on the board of the Greater Caribbean for Life, a regional entity focused on the abolition of the Death Penalty and as the regional lead (Latin America and the Caribbean)  for UNODC’s GenJust Network.</w:t>
      </w:r>
    </w:p>
    <w:p w14:paraId="39C1F20B" w14:textId="5AF621AD" w:rsidR="00B75D7F" w:rsidRPr="00F42B8F" w:rsidRDefault="00B75D7F" w:rsidP="00E43505">
      <w:pPr>
        <w:spacing w:after="120" w:line="240" w:lineRule="auto"/>
        <w:jc w:val="both"/>
        <w:rPr>
          <w:color w:val="000000" w:themeColor="text1"/>
        </w:rPr>
      </w:pPr>
    </w:p>
    <w:p w14:paraId="0AEBA86F" w14:textId="77777777" w:rsidR="00140094" w:rsidRPr="00F42B8F" w:rsidRDefault="00140094" w:rsidP="00E43505">
      <w:pPr>
        <w:spacing w:line="240" w:lineRule="auto"/>
        <w:rPr>
          <w:rFonts w:ascii="Times New Roman" w:eastAsia="Times New Roman" w:hAnsi="Times New Roman" w:cs="Times New Roman"/>
          <w:b/>
          <w:bCs/>
          <w:caps/>
          <w:color w:val="000000" w:themeColor="text1"/>
        </w:rPr>
      </w:pPr>
      <w:r w:rsidRPr="00F42B8F">
        <w:rPr>
          <w:color w:val="000000" w:themeColor="text1"/>
        </w:rPr>
        <w:br w:type="page"/>
      </w:r>
    </w:p>
    <w:p w14:paraId="51A2D521" w14:textId="5F924EF3" w:rsidR="00717987" w:rsidRPr="00F42B8F" w:rsidRDefault="5228BA82" w:rsidP="00E43505">
      <w:pPr>
        <w:pStyle w:val="ExecutiveSummary"/>
        <w:spacing w:after="240" w:line="240" w:lineRule="auto"/>
        <w:rPr>
          <w:color w:val="000000" w:themeColor="text1"/>
        </w:rPr>
      </w:pPr>
      <w:r w:rsidRPr="00F42B8F">
        <w:rPr>
          <w:color w:val="000000" w:themeColor="text1"/>
        </w:rPr>
        <w:lastRenderedPageBreak/>
        <w:t>Executive Summary</w:t>
      </w:r>
    </w:p>
    <w:p w14:paraId="119AC6A4" w14:textId="15A41562" w:rsidR="006712A2" w:rsidRPr="00F42B8F" w:rsidRDefault="00374996" w:rsidP="00E43505">
      <w:pPr>
        <w:pStyle w:val="Paragraph"/>
        <w:numPr>
          <w:ilvl w:val="0"/>
          <w:numId w:val="11"/>
        </w:numPr>
        <w:spacing w:line="240" w:lineRule="auto"/>
        <w:rPr>
          <w:color w:val="000000" w:themeColor="text1"/>
        </w:rPr>
      </w:pPr>
      <w:r w:rsidRPr="00F42B8F">
        <w:rPr>
          <w:color w:val="000000" w:themeColor="text1"/>
        </w:rPr>
        <w:t>On 5 July, 2022, the Eastern Caribbean Supreme Court’s High Court of Justice (“High Court”</w:t>
      </w:r>
      <w:r w:rsidR="0016377A" w:rsidRPr="00F42B8F">
        <w:rPr>
          <w:color w:val="000000" w:themeColor="text1"/>
        </w:rPr>
        <w:t xml:space="preserve">) </w:t>
      </w:r>
      <w:r w:rsidR="002A6626" w:rsidRPr="00F42B8F">
        <w:rPr>
          <w:color w:val="000000" w:themeColor="text1"/>
        </w:rPr>
        <w:t xml:space="preserve">decriminalized </w:t>
      </w:r>
      <w:r w:rsidR="0016377A" w:rsidRPr="00F42B8F">
        <w:rPr>
          <w:color w:val="000000" w:themeColor="text1"/>
        </w:rPr>
        <w:t xml:space="preserve">consensual same-sex sexual activity between adults </w:t>
      </w:r>
      <w:r w:rsidR="0009225E" w:rsidRPr="00F42B8F">
        <w:rPr>
          <w:color w:val="000000" w:themeColor="text1"/>
        </w:rPr>
        <w:t xml:space="preserve">in </w:t>
      </w:r>
      <w:r w:rsidR="00A80A2E" w:rsidRPr="00F42B8F">
        <w:rPr>
          <w:color w:val="000000" w:themeColor="text1"/>
        </w:rPr>
        <w:t xml:space="preserve">a </w:t>
      </w:r>
      <w:r w:rsidR="000B54C6" w:rsidRPr="00F42B8F">
        <w:rPr>
          <w:color w:val="000000" w:themeColor="text1"/>
        </w:rPr>
        <w:t xml:space="preserve">landmark decision </w:t>
      </w:r>
      <w:r w:rsidR="0009225E" w:rsidRPr="00F42B8F">
        <w:rPr>
          <w:color w:val="000000" w:themeColor="text1"/>
        </w:rPr>
        <w:t>.</w:t>
      </w:r>
      <w:r w:rsidR="0009225E" w:rsidRPr="00F42B8F">
        <w:rPr>
          <w:rStyle w:val="FootnoteReference"/>
          <w:color w:val="000000" w:themeColor="text1"/>
        </w:rPr>
        <w:footnoteReference w:id="1"/>
      </w:r>
      <w:r w:rsidR="0009225E" w:rsidRPr="00F42B8F">
        <w:rPr>
          <w:color w:val="000000" w:themeColor="text1"/>
        </w:rPr>
        <w:t xml:space="preserve"> Th</w:t>
      </w:r>
      <w:r w:rsidR="00386D00">
        <w:rPr>
          <w:color w:val="000000" w:themeColor="text1"/>
        </w:rPr>
        <w:t>is</w:t>
      </w:r>
      <w:r w:rsidR="0009225E" w:rsidRPr="00F42B8F">
        <w:rPr>
          <w:color w:val="000000" w:themeColor="text1"/>
        </w:rPr>
        <w:t xml:space="preserve"> Court has jurisdiction over</w:t>
      </w:r>
      <w:r w:rsidR="0014367E" w:rsidRPr="00F42B8F">
        <w:rPr>
          <w:color w:val="000000" w:themeColor="text1"/>
        </w:rPr>
        <w:t xml:space="preserve"> </w:t>
      </w:r>
      <w:r w:rsidR="00940CAF" w:rsidRPr="00F42B8F">
        <w:rPr>
          <w:color w:val="000000" w:themeColor="text1"/>
        </w:rPr>
        <w:t>nine states</w:t>
      </w:r>
      <w:r w:rsidR="0014367E" w:rsidRPr="00F42B8F">
        <w:rPr>
          <w:color w:val="000000" w:themeColor="text1"/>
        </w:rPr>
        <w:t>: Antigua and Barbuda, Dominica, Grenada, St. Kitts-Nevis, St. Lucia, St. Vincent, the Grenadines, Anguilla, the British Virgin Islands</w:t>
      </w:r>
      <w:r w:rsidR="00A94BF8" w:rsidRPr="00F42B8F">
        <w:rPr>
          <w:color w:val="000000" w:themeColor="text1"/>
        </w:rPr>
        <w:t>,</w:t>
      </w:r>
      <w:r w:rsidR="0014367E" w:rsidRPr="00F42B8F">
        <w:rPr>
          <w:color w:val="000000" w:themeColor="text1"/>
        </w:rPr>
        <w:t xml:space="preserve"> and Montserrat.</w:t>
      </w:r>
      <w:r w:rsidR="0014367E" w:rsidRPr="00F42B8F">
        <w:rPr>
          <w:rStyle w:val="FootnoteReference"/>
          <w:color w:val="000000" w:themeColor="text1"/>
        </w:rPr>
        <w:footnoteReference w:id="2"/>
      </w:r>
      <w:r w:rsidR="002A6626" w:rsidRPr="00F42B8F">
        <w:rPr>
          <w:color w:val="000000" w:themeColor="text1"/>
        </w:rPr>
        <w:t xml:space="preserve"> Antigua and Barbuda</w:t>
      </w:r>
      <w:r w:rsidR="006712A2" w:rsidRPr="00F42B8F">
        <w:rPr>
          <w:color w:val="000000" w:themeColor="text1"/>
        </w:rPr>
        <w:t xml:space="preserve">, </w:t>
      </w:r>
      <w:r w:rsidR="00A94BF8" w:rsidRPr="00F42B8F">
        <w:rPr>
          <w:color w:val="000000" w:themeColor="text1"/>
        </w:rPr>
        <w:t>however,</w:t>
      </w:r>
      <w:r w:rsidR="006712A2" w:rsidRPr="00F42B8F">
        <w:rPr>
          <w:color w:val="000000" w:themeColor="text1"/>
        </w:rPr>
        <w:t xml:space="preserve"> </w:t>
      </w:r>
      <w:r w:rsidR="00386D00">
        <w:rPr>
          <w:color w:val="000000" w:themeColor="text1"/>
        </w:rPr>
        <w:t xml:space="preserve">continues to </w:t>
      </w:r>
      <w:r w:rsidR="00D02CC4" w:rsidRPr="00F42B8F">
        <w:rPr>
          <w:color w:val="000000" w:themeColor="text1"/>
        </w:rPr>
        <w:t xml:space="preserve">discriminate </w:t>
      </w:r>
      <w:r w:rsidR="006712A2" w:rsidRPr="00F42B8F">
        <w:rPr>
          <w:color w:val="000000" w:themeColor="text1"/>
        </w:rPr>
        <w:t xml:space="preserve">against </w:t>
      </w:r>
      <w:r w:rsidR="002B3E92" w:rsidRPr="00F42B8F">
        <w:rPr>
          <w:color w:val="000000" w:themeColor="text1"/>
        </w:rPr>
        <w:t>lesbian, gay, bisexual, transgender, queer, and other sexual and gender minorities</w:t>
      </w:r>
      <w:r w:rsidR="006712A2" w:rsidRPr="00F42B8F">
        <w:rPr>
          <w:color w:val="000000" w:themeColor="text1"/>
        </w:rPr>
        <w:t xml:space="preserve"> </w:t>
      </w:r>
      <w:r w:rsidR="002B3E92" w:rsidRPr="00F42B8F">
        <w:rPr>
          <w:color w:val="000000" w:themeColor="text1"/>
        </w:rPr>
        <w:t>(“</w:t>
      </w:r>
      <w:r w:rsidR="006A290E" w:rsidRPr="00F42B8F">
        <w:rPr>
          <w:color w:val="000000" w:themeColor="text1"/>
        </w:rPr>
        <w:t>LGBTQ+</w:t>
      </w:r>
      <w:r w:rsidR="002B3E92" w:rsidRPr="00F42B8F">
        <w:rPr>
          <w:color w:val="000000" w:themeColor="text1"/>
        </w:rPr>
        <w:t xml:space="preserve">”) </w:t>
      </w:r>
      <w:r w:rsidR="00386D00">
        <w:rPr>
          <w:color w:val="000000" w:themeColor="text1"/>
        </w:rPr>
        <w:t xml:space="preserve">through its failure </w:t>
      </w:r>
      <w:r w:rsidR="006712A2" w:rsidRPr="00F42B8F">
        <w:rPr>
          <w:color w:val="000000" w:themeColor="text1"/>
        </w:rPr>
        <w:t>to enact legislation to protect the rights of such individuals, including the legalization of same-sex marriage</w:t>
      </w:r>
      <w:r w:rsidR="00933EE1">
        <w:rPr>
          <w:color w:val="000000" w:themeColor="text1"/>
        </w:rPr>
        <w:t>;</w:t>
      </w:r>
      <w:r w:rsidR="006712A2" w:rsidRPr="00F42B8F">
        <w:rPr>
          <w:color w:val="000000" w:themeColor="text1"/>
        </w:rPr>
        <w:t xml:space="preserve"> the ability for an individual to change their gender marker</w:t>
      </w:r>
      <w:r w:rsidR="00933EE1">
        <w:rPr>
          <w:color w:val="000000" w:themeColor="text1"/>
        </w:rPr>
        <w:t>;</w:t>
      </w:r>
      <w:r w:rsidR="006712A2" w:rsidRPr="00F42B8F">
        <w:rPr>
          <w:color w:val="000000" w:themeColor="text1"/>
        </w:rPr>
        <w:t xml:space="preserve"> and the protection against discrimination on the basis of</w:t>
      </w:r>
      <w:r w:rsidR="00933EE1">
        <w:rPr>
          <w:color w:val="000000" w:themeColor="text1"/>
        </w:rPr>
        <w:t xml:space="preserve"> real or perceived</w:t>
      </w:r>
      <w:r w:rsidR="006712A2" w:rsidRPr="00F42B8F">
        <w:rPr>
          <w:color w:val="000000" w:themeColor="text1"/>
        </w:rPr>
        <w:t xml:space="preserve"> sexual orientation</w:t>
      </w:r>
      <w:r w:rsidR="00933EE1">
        <w:rPr>
          <w:color w:val="000000" w:themeColor="text1"/>
        </w:rPr>
        <w:t>, gender identity, and gender expression</w:t>
      </w:r>
      <w:r w:rsidR="006712A2" w:rsidRPr="00F42B8F">
        <w:rPr>
          <w:color w:val="000000" w:themeColor="text1"/>
        </w:rPr>
        <w:t>. Instead of</w:t>
      </w:r>
      <w:r w:rsidR="00D02CC4" w:rsidRPr="00F42B8F">
        <w:rPr>
          <w:color w:val="000000" w:themeColor="text1"/>
        </w:rPr>
        <w:t xml:space="preserve"> implementing</w:t>
      </w:r>
      <w:r w:rsidR="00386D00">
        <w:rPr>
          <w:color w:val="000000" w:themeColor="text1"/>
        </w:rPr>
        <w:t xml:space="preserve"> laws and policies</w:t>
      </w:r>
      <w:r w:rsidR="00D02CC4" w:rsidRPr="00F42B8F">
        <w:rPr>
          <w:color w:val="000000" w:themeColor="text1"/>
        </w:rPr>
        <w:t xml:space="preserve"> </w:t>
      </w:r>
      <w:proofErr w:type="spellStart"/>
      <w:r w:rsidR="00D02CC4" w:rsidRPr="00F42B8F">
        <w:rPr>
          <w:color w:val="000000" w:themeColor="text1"/>
        </w:rPr>
        <w:t>policies</w:t>
      </w:r>
      <w:proofErr w:type="spellEnd"/>
      <w:r w:rsidR="00D02CC4" w:rsidRPr="00F42B8F">
        <w:rPr>
          <w:color w:val="000000" w:themeColor="text1"/>
        </w:rPr>
        <w:t xml:space="preserve"> </w:t>
      </w:r>
      <w:r w:rsidR="006712A2" w:rsidRPr="00F42B8F">
        <w:rPr>
          <w:color w:val="000000" w:themeColor="text1"/>
        </w:rPr>
        <w:t xml:space="preserve">to protect members of the </w:t>
      </w:r>
      <w:r w:rsidR="006A290E" w:rsidRPr="00F42B8F">
        <w:rPr>
          <w:color w:val="000000" w:themeColor="text1"/>
        </w:rPr>
        <w:t>LGBTQ+</w:t>
      </w:r>
      <w:r w:rsidR="006712A2" w:rsidRPr="00F42B8F">
        <w:rPr>
          <w:color w:val="000000" w:themeColor="text1"/>
        </w:rPr>
        <w:t xml:space="preserve"> community, the </w:t>
      </w:r>
      <w:r w:rsidR="00933EE1">
        <w:rPr>
          <w:color w:val="000000" w:themeColor="text1"/>
        </w:rPr>
        <w:t>G</w:t>
      </w:r>
      <w:r w:rsidR="006712A2" w:rsidRPr="00F42B8F">
        <w:rPr>
          <w:color w:val="000000" w:themeColor="text1"/>
        </w:rPr>
        <w:t xml:space="preserve">overnment has stated that it will not </w:t>
      </w:r>
      <w:r w:rsidR="00386D00">
        <w:rPr>
          <w:color w:val="000000" w:themeColor="text1"/>
        </w:rPr>
        <w:t xml:space="preserve">take any active steps </w:t>
      </w:r>
      <w:r w:rsidR="006712A2" w:rsidRPr="00F42B8F">
        <w:rPr>
          <w:color w:val="000000" w:themeColor="text1"/>
        </w:rPr>
        <w:t>to enact protections.</w:t>
      </w:r>
      <w:r w:rsidR="00401C19">
        <w:rPr>
          <w:rStyle w:val="FootnoteReference"/>
          <w:color w:val="000000" w:themeColor="text1"/>
        </w:rPr>
        <w:footnoteReference w:id="3"/>
      </w:r>
      <w:r w:rsidR="00942E3F" w:rsidRPr="00F42B8F">
        <w:rPr>
          <w:color w:val="000000" w:themeColor="text1"/>
        </w:rPr>
        <w:t xml:space="preserve"> </w:t>
      </w:r>
      <w:r w:rsidR="0043694B" w:rsidRPr="00F42B8F">
        <w:rPr>
          <w:color w:val="000000" w:themeColor="text1"/>
        </w:rPr>
        <w:t xml:space="preserve"> </w:t>
      </w:r>
    </w:p>
    <w:p w14:paraId="4B51CB5F" w14:textId="3AF1E7F4" w:rsidR="00AB5A1A" w:rsidRPr="00F42B8F" w:rsidRDefault="003853A6" w:rsidP="00E43505">
      <w:pPr>
        <w:pStyle w:val="Paragraph"/>
        <w:numPr>
          <w:ilvl w:val="0"/>
          <w:numId w:val="11"/>
        </w:numPr>
        <w:spacing w:line="240" w:lineRule="auto"/>
        <w:rPr>
          <w:color w:val="000000" w:themeColor="text1"/>
        </w:rPr>
      </w:pPr>
      <w:r w:rsidRPr="00772595">
        <w:rPr>
          <w:color w:val="000000" w:themeColor="text1"/>
        </w:rPr>
        <w:t xml:space="preserve">Antigua and Barbuda </w:t>
      </w:r>
      <w:r w:rsidR="00933EE1" w:rsidRPr="00772595">
        <w:rPr>
          <w:color w:val="000000" w:themeColor="text1"/>
        </w:rPr>
        <w:t xml:space="preserve">also </w:t>
      </w:r>
      <w:r w:rsidRPr="00772595">
        <w:rPr>
          <w:color w:val="000000" w:themeColor="text1"/>
        </w:rPr>
        <w:t xml:space="preserve">fails to protect members of the </w:t>
      </w:r>
      <w:r w:rsidR="006A290E" w:rsidRPr="00772595">
        <w:rPr>
          <w:color w:val="000000" w:themeColor="text1"/>
        </w:rPr>
        <w:t>LGBTQ+</w:t>
      </w:r>
      <w:r w:rsidRPr="00772595">
        <w:rPr>
          <w:color w:val="000000" w:themeColor="text1"/>
        </w:rPr>
        <w:t xml:space="preserve"> community from </w:t>
      </w:r>
      <w:r w:rsidR="00933EE1" w:rsidRPr="00772595">
        <w:rPr>
          <w:color w:val="000000" w:themeColor="text1"/>
        </w:rPr>
        <w:t xml:space="preserve">violence by </w:t>
      </w:r>
      <w:r w:rsidR="00386D00">
        <w:rPr>
          <w:color w:val="000000" w:themeColor="text1"/>
        </w:rPr>
        <w:t xml:space="preserve">both </w:t>
      </w:r>
      <w:r w:rsidR="00933EE1" w:rsidRPr="00772595">
        <w:rPr>
          <w:color w:val="000000" w:themeColor="text1"/>
        </w:rPr>
        <w:t>State and non-State actors</w:t>
      </w:r>
      <w:r w:rsidR="0082087C" w:rsidRPr="00772595">
        <w:rPr>
          <w:color w:val="000000" w:themeColor="text1"/>
        </w:rPr>
        <w:t>.</w:t>
      </w:r>
      <w:r w:rsidR="007C363C" w:rsidRPr="00F42B8F">
        <w:rPr>
          <w:color w:val="000000" w:themeColor="text1"/>
        </w:rPr>
        <w:t xml:space="preserve"> </w:t>
      </w:r>
    </w:p>
    <w:p w14:paraId="1799D59D" w14:textId="14F92963" w:rsidR="006558C7" w:rsidRPr="00F42B8F" w:rsidRDefault="006558C7" w:rsidP="00E43505">
      <w:pPr>
        <w:pStyle w:val="Paragraph"/>
        <w:numPr>
          <w:ilvl w:val="0"/>
          <w:numId w:val="11"/>
        </w:numPr>
        <w:spacing w:line="240" w:lineRule="auto"/>
        <w:rPr>
          <w:color w:val="000000" w:themeColor="text1"/>
        </w:rPr>
      </w:pPr>
      <w:r w:rsidRPr="002835D9">
        <w:rPr>
          <w:color w:val="000000" w:themeColor="text1"/>
        </w:rPr>
        <w:t>In this report we use the acronym LGBTQ+ to refer to individuals who self-identify as lesbian, gay, bisexual, transgender and/or queer. These terms necessarily do not include everyone who may experience violations of their human rights on the basis of their real or perceived sexual orientation, gender identity,</w:t>
      </w:r>
      <w:r w:rsidR="006B71A3" w:rsidRPr="002835D9">
        <w:rPr>
          <w:color w:val="000000" w:themeColor="text1"/>
        </w:rPr>
        <w:t xml:space="preserve"> and</w:t>
      </w:r>
      <w:r w:rsidRPr="002835D9">
        <w:rPr>
          <w:color w:val="000000" w:themeColor="text1"/>
        </w:rPr>
        <w:t xml:space="preserve"> gender expression (SOGIE), which is why we also include a “+” with the acronym. Any use of a modified acronym is intentional in that we are speaking only about certain members of the LGBTQ+ population.</w:t>
      </w:r>
      <w:r w:rsidR="00BC014C">
        <w:rPr>
          <w:color w:val="000000" w:themeColor="text1"/>
        </w:rPr>
        <w:t xml:space="preserve"> </w:t>
      </w:r>
      <w:r w:rsidR="001B2DBF">
        <w:rPr>
          <w:color w:val="000000" w:themeColor="text1"/>
        </w:rPr>
        <w:t xml:space="preserve">According to reports, many Antiguans and </w:t>
      </w:r>
      <w:proofErr w:type="spellStart"/>
      <w:r w:rsidR="001B2DBF">
        <w:rPr>
          <w:color w:val="000000" w:themeColor="text1"/>
        </w:rPr>
        <w:t>Barbudians</w:t>
      </w:r>
      <w:proofErr w:type="spellEnd"/>
      <w:r w:rsidR="001B2DBF">
        <w:rPr>
          <w:color w:val="000000" w:themeColor="text1"/>
        </w:rPr>
        <w:t xml:space="preserve"> do not understand </w:t>
      </w:r>
      <w:r w:rsidR="00094D15">
        <w:rPr>
          <w:color w:val="000000" w:themeColor="text1"/>
        </w:rPr>
        <w:t>the term “intersex” and conflate it with transgender identities and/or sexual orientation</w:t>
      </w:r>
      <w:r w:rsidR="001A1A15">
        <w:rPr>
          <w:color w:val="000000" w:themeColor="text1"/>
        </w:rPr>
        <w:t>.</w:t>
      </w:r>
      <w:r w:rsidR="001A1A15">
        <w:rPr>
          <w:rStyle w:val="FootnoteReference"/>
          <w:color w:val="000000" w:themeColor="text1"/>
        </w:rPr>
        <w:footnoteReference w:id="4"/>
      </w:r>
      <w:r w:rsidR="001A1A15">
        <w:rPr>
          <w:color w:val="000000" w:themeColor="text1"/>
        </w:rPr>
        <w:t xml:space="preserve"> </w:t>
      </w:r>
      <w:r w:rsidR="004E1599">
        <w:rPr>
          <w:color w:val="000000" w:themeColor="text1"/>
        </w:rPr>
        <w:t>Thus, while the</w:t>
      </w:r>
      <w:r w:rsidR="00E73212">
        <w:rPr>
          <w:color w:val="000000" w:themeColor="text1"/>
        </w:rPr>
        <w:t xml:space="preserve"> authors found no information that pertains to intersex individuals, it is possible that </w:t>
      </w:r>
      <w:r w:rsidR="007B03FA">
        <w:rPr>
          <w:color w:val="000000" w:themeColor="text1"/>
        </w:rPr>
        <w:t>some information on transgender people applies to both transgender and intersex individuals.</w:t>
      </w:r>
    </w:p>
    <w:p w14:paraId="54929134" w14:textId="3B446E8C" w:rsidR="00717987" w:rsidRPr="00F42B8F" w:rsidRDefault="00787516" w:rsidP="00E43505">
      <w:pPr>
        <w:pStyle w:val="BoilerplateTitle"/>
        <w:spacing w:before="240" w:after="240" w:line="240" w:lineRule="auto"/>
        <w:jc w:val="center"/>
      </w:pPr>
      <w:r w:rsidRPr="00F42B8F">
        <w:t>Antigua and Barbuda</w:t>
      </w:r>
      <w:r w:rsidR="5228BA82" w:rsidRPr="00F42B8F">
        <w:t xml:space="preserve"> fails to uphold its obligations under </w:t>
      </w:r>
      <w:r w:rsidRPr="00F42B8F">
        <w:t>the</w:t>
      </w:r>
      <w:r w:rsidR="00144AE7" w:rsidRPr="00F42B8F">
        <w:t xml:space="preserve"> ICCPR</w:t>
      </w:r>
    </w:p>
    <w:p w14:paraId="3CE7D26E" w14:textId="607EE0D4" w:rsidR="00144AE7" w:rsidRPr="002835D9" w:rsidRDefault="005A2594" w:rsidP="00E43505">
      <w:pPr>
        <w:pStyle w:val="Paragraph"/>
        <w:numPr>
          <w:ilvl w:val="0"/>
          <w:numId w:val="11"/>
        </w:numPr>
        <w:spacing w:line="240" w:lineRule="auto"/>
        <w:rPr>
          <w:color w:val="000000" w:themeColor="text1"/>
        </w:rPr>
      </w:pPr>
      <w:r w:rsidRPr="002835D9">
        <w:rPr>
          <w:color w:val="000000" w:themeColor="text1"/>
        </w:rPr>
        <w:t xml:space="preserve">Antigua and Barbuda has failed to uphold its obligations under the ICCPR with respect to members of the </w:t>
      </w:r>
      <w:r w:rsidR="00935E3E" w:rsidRPr="002835D9">
        <w:rPr>
          <w:color w:val="000000" w:themeColor="text1"/>
        </w:rPr>
        <w:t>LGBTQ+</w:t>
      </w:r>
      <w:r w:rsidRPr="002835D9">
        <w:rPr>
          <w:color w:val="000000" w:themeColor="text1"/>
        </w:rPr>
        <w:t xml:space="preserve"> community. </w:t>
      </w:r>
    </w:p>
    <w:p w14:paraId="7CBDFAC3" w14:textId="302D856C" w:rsidR="00717987" w:rsidRPr="002835D9" w:rsidRDefault="009318B6" w:rsidP="00E43505">
      <w:pPr>
        <w:pStyle w:val="SectionHeading"/>
        <w:keepNext/>
        <w:spacing w:line="240" w:lineRule="auto"/>
        <w:rPr>
          <w:color w:val="000000" w:themeColor="text1"/>
        </w:rPr>
      </w:pPr>
      <w:r w:rsidRPr="002835D9">
        <w:rPr>
          <w:color w:val="000000" w:themeColor="text1"/>
        </w:rPr>
        <w:lastRenderedPageBreak/>
        <w:t xml:space="preserve">The State does not adequately protect </w:t>
      </w:r>
      <w:r w:rsidR="006B71A3" w:rsidRPr="002835D9">
        <w:rPr>
          <w:color w:val="000000" w:themeColor="text1"/>
        </w:rPr>
        <w:t>LGBTQ+</w:t>
      </w:r>
      <w:r w:rsidR="00D2080F" w:rsidRPr="002835D9">
        <w:rPr>
          <w:color w:val="000000" w:themeColor="text1"/>
        </w:rPr>
        <w:t xml:space="preserve"> people </w:t>
      </w:r>
      <w:r w:rsidR="00AE17F8" w:rsidRPr="002835D9">
        <w:rPr>
          <w:color w:val="000000" w:themeColor="text1"/>
        </w:rPr>
        <w:t xml:space="preserve">violence </w:t>
      </w:r>
      <w:r w:rsidRPr="002835D9">
        <w:rPr>
          <w:color w:val="000000" w:themeColor="text1"/>
        </w:rPr>
        <w:t>by</w:t>
      </w:r>
      <w:r w:rsidR="00AE17F8" w:rsidRPr="002835D9">
        <w:rPr>
          <w:color w:val="000000" w:themeColor="text1"/>
        </w:rPr>
        <w:t xml:space="preserve"> State and non-State actors</w:t>
      </w:r>
      <w:r w:rsidR="003775C4" w:rsidRPr="002835D9">
        <w:rPr>
          <w:color w:val="000000" w:themeColor="text1"/>
        </w:rPr>
        <w:t xml:space="preserve"> (ICCPR Art. 7)</w:t>
      </w:r>
    </w:p>
    <w:p w14:paraId="0EDEE8E1" w14:textId="1F049018" w:rsidR="001F0404" w:rsidRPr="002835D9" w:rsidRDefault="00374A57" w:rsidP="00E43505">
      <w:pPr>
        <w:pStyle w:val="ListParagraph"/>
        <w:numPr>
          <w:ilvl w:val="0"/>
          <w:numId w:val="11"/>
        </w:numPr>
        <w:spacing w:after="120" w:line="240" w:lineRule="auto"/>
        <w:contextualSpacing w:val="0"/>
        <w:jc w:val="both"/>
        <w:rPr>
          <w:rFonts w:ascii="Times New Roman" w:hAnsi="Times New Roman" w:cs="Times New Roman"/>
          <w:color w:val="000000" w:themeColor="text1"/>
        </w:rPr>
      </w:pPr>
      <w:r w:rsidRPr="00F42B8F">
        <w:rPr>
          <w:rFonts w:ascii="Times New Roman" w:hAnsi="Times New Roman" w:cs="Times New Roman"/>
          <w:color w:val="000000" w:themeColor="text1"/>
        </w:rPr>
        <w:t xml:space="preserve">There are reports that people </w:t>
      </w:r>
      <w:r w:rsidR="00324728" w:rsidRPr="00F42B8F">
        <w:rPr>
          <w:rFonts w:ascii="Times New Roman" w:hAnsi="Times New Roman" w:cs="Times New Roman"/>
          <w:color w:val="000000" w:themeColor="text1"/>
        </w:rPr>
        <w:t>commonly experience</w:t>
      </w:r>
      <w:r w:rsidR="00D925DF" w:rsidRPr="002835D9">
        <w:rPr>
          <w:rFonts w:ascii="Times New Roman" w:hAnsi="Times New Roman" w:cs="Times New Roman"/>
          <w:color w:val="000000" w:themeColor="text1"/>
        </w:rPr>
        <w:t xml:space="preserve"> </w:t>
      </w:r>
      <w:r w:rsidR="00324728" w:rsidRPr="002835D9">
        <w:rPr>
          <w:rFonts w:ascii="Times New Roman" w:hAnsi="Times New Roman" w:cs="Times New Roman"/>
          <w:color w:val="000000" w:themeColor="text1"/>
        </w:rPr>
        <w:t xml:space="preserve">violence and harassment because of their real or perceived </w:t>
      </w:r>
      <w:r w:rsidR="00242774" w:rsidRPr="002835D9">
        <w:rPr>
          <w:rFonts w:ascii="Times New Roman" w:hAnsi="Times New Roman" w:cs="Times New Roman"/>
          <w:color w:val="000000" w:themeColor="text1"/>
        </w:rPr>
        <w:t>sexual orientation, gender identity, and/or gender expression</w:t>
      </w:r>
      <w:r w:rsidR="001F0404" w:rsidRPr="002835D9">
        <w:rPr>
          <w:rFonts w:ascii="Times New Roman" w:hAnsi="Times New Roman" w:cs="Times New Roman"/>
          <w:color w:val="000000" w:themeColor="text1"/>
        </w:rPr>
        <w:t>.</w:t>
      </w:r>
      <w:r w:rsidR="001F0404" w:rsidRPr="002835D9">
        <w:rPr>
          <w:rStyle w:val="FootnoteReference"/>
          <w:rFonts w:ascii="Times New Roman" w:hAnsi="Times New Roman" w:cs="Times New Roman"/>
          <w:color w:val="000000" w:themeColor="text1"/>
        </w:rPr>
        <w:footnoteReference w:id="5"/>
      </w:r>
      <w:r w:rsidR="001F0404" w:rsidRPr="002835D9">
        <w:rPr>
          <w:rFonts w:ascii="Times New Roman" w:hAnsi="Times New Roman" w:cs="Times New Roman"/>
          <w:color w:val="000000" w:themeColor="text1"/>
        </w:rPr>
        <w:t xml:space="preserve"> </w:t>
      </w:r>
      <w:r w:rsidR="001223F1" w:rsidRPr="002835D9">
        <w:rPr>
          <w:rFonts w:ascii="Times New Roman" w:hAnsi="Times New Roman" w:cs="Times New Roman"/>
          <w:color w:val="000000" w:themeColor="text1"/>
        </w:rPr>
        <w:t>Although LGBTQ+ people most often experience</w:t>
      </w:r>
      <w:r w:rsidR="001F0404" w:rsidRPr="002835D9">
        <w:rPr>
          <w:rFonts w:ascii="Times New Roman" w:hAnsi="Times New Roman" w:cs="Times New Roman"/>
          <w:color w:val="000000" w:themeColor="text1"/>
        </w:rPr>
        <w:t xml:space="preserve"> discrimination</w:t>
      </w:r>
      <w:r w:rsidR="001223F1" w:rsidRPr="002835D9">
        <w:rPr>
          <w:rFonts w:ascii="Times New Roman" w:hAnsi="Times New Roman" w:cs="Times New Roman"/>
          <w:color w:val="000000" w:themeColor="text1"/>
        </w:rPr>
        <w:t xml:space="preserve"> (see </w:t>
      </w:r>
      <w:r w:rsidR="00FE3DF6" w:rsidRPr="002835D9">
        <w:rPr>
          <w:rFonts w:ascii="Times New Roman" w:hAnsi="Times New Roman" w:cs="Times New Roman"/>
          <w:color w:val="000000" w:themeColor="text1"/>
        </w:rPr>
        <w:t>Section II below)</w:t>
      </w:r>
      <w:r w:rsidR="001F0404" w:rsidRPr="002835D9">
        <w:rPr>
          <w:rFonts w:ascii="Times New Roman" w:hAnsi="Times New Roman" w:cs="Times New Roman"/>
          <w:color w:val="000000" w:themeColor="text1"/>
        </w:rPr>
        <w:t xml:space="preserve"> </w:t>
      </w:r>
      <w:r w:rsidR="001223F1" w:rsidRPr="002835D9">
        <w:rPr>
          <w:rFonts w:ascii="Times New Roman" w:hAnsi="Times New Roman" w:cs="Times New Roman"/>
          <w:color w:val="000000" w:themeColor="text1"/>
        </w:rPr>
        <w:t xml:space="preserve">as </w:t>
      </w:r>
      <w:r w:rsidR="001F0404" w:rsidRPr="002835D9">
        <w:rPr>
          <w:rFonts w:ascii="Times New Roman" w:hAnsi="Times New Roman" w:cs="Times New Roman"/>
          <w:color w:val="000000" w:themeColor="text1"/>
        </w:rPr>
        <w:t>“mainly snide remarks due to toxic masculinity,” “homophobia in Antigua and Barbuda sometimes manifests itself in sporadic brutality too.”</w:t>
      </w:r>
      <w:r w:rsidR="00101888" w:rsidRPr="002835D9">
        <w:rPr>
          <w:rStyle w:val="FootnoteReference"/>
          <w:rFonts w:ascii="Times New Roman" w:hAnsi="Times New Roman" w:cs="Times New Roman"/>
          <w:color w:val="000000" w:themeColor="text1"/>
        </w:rPr>
        <w:footnoteReference w:id="6"/>
      </w:r>
    </w:p>
    <w:p w14:paraId="0EDF20BD" w14:textId="1CEF8A95" w:rsidR="001F6A20" w:rsidRPr="002835D9" w:rsidRDefault="001F0404" w:rsidP="00E43505">
      <w:pPr>
        <w:pStyle w:val="ListParagraph"/>
        <w:numPr>
          <w:ilvl w:val="0"/>
          <w:numId w:val="11"/>
        </w:numPr>
        <w:spacing w:after="120" w:line="240" w:lineRule="auto"/>
        <w:contextualSpacing w:val="0"/>
        <w:jc w:val="both"/>
        <w:rPr>
          <w:rFonts w:ascii="Times New Roman" w:hAnsi="Times New Roman" w:cs="Times New Roman"/>
          <w:color w:val="000000" w:themeColor="text1"/>
        </w:rPr>
      </w:pPr>
      <w:r w:rsidRPr="002835D9">
        <w:rPr>
          <w:rFonts w:ascii="Times New Roman" w:hAnsi="Times New Roman" w:cs="Times New Roman"/>
          <w:color w:val="000000" w:themeColor="text1"/>
        </w:rPr>
        <w:t xml:space="preserve">For example, “men who exhibit what are viewed as feminine traits experience violence and ostracization” and “transexual </w:t>
      </w:r>
      <w:r w:rsidR="00A5592A" w:rsidRPr="002835D9">
        <w:rPr>
          <w:rFonts w:ascii="Times New Roman" w:hAnsi="Times New Roman" w:cs="Times New Roman"/>
          <w:color w:val="000000" w:themeColor="text1"/>
        </w:rPr>
        <w:t xml:space="preserve">[sic] </w:t>
      </w:r>
      <w:r w:rsidRPr="002835D9">
        <w:rPr>
          <w:rFonts w:ascii="Times New Roman" w:hAnsi="Times New Roman" w:cs="Times New Roman"/>
          <w:color w:val="000000" w:themeColor="text1"/>
        </w:rPr>
        <w:t>women as part of the LGBTQ+ community are more vulnerable because their presence ‘challenges people’s ideas of masculinity.’”</w:t>
      </w:r>
      <w:r w:rsidR="00C25B17" w:rsidRPr="002835D9">
        <w:rPr>
          <w:rStyle w:val="FootnoteReference"/>
          <w:rFonts w:ascii="Times New Roman" w:hAnsi="Times New Roman" w:cs="Times New Roman"/>
          <w:color w:val="000000" w:themeColor="text1"/>
        </w:rPr>
        <w:footnoteReference w:id="7"/>
      </w:r>
    </w:p>
    <w:p w14:paraId="6BB8BC05" w14:textId="3B178D91" w:rsidR="00835B98" w:rsidRPr="002835D9" w:rsidRDefault="00835B98" w:rsidP="00E43505">
      <w:pPr>
        <w:pStyle w:val="SectionHeading"/>
        <w:numPr>
          <w:ilvl w:val="0"/>
          <w:numId w:val="11"/>
        </w:numPr>
        <w:spacing w:after="120" w:line="240" w:lineRule="auto"/>
        <w:rPr>
          <w:b w:val="0"/>
          <w:bCs w:val="0"/>
          <w:color w:val="000000" w:themeColor="text1"/>
        </w:rPr>
      </w:pPr>
      <w:r w:rsidRPr="002835D9">
        <w:rPr>
          <w:b w:val="0"/>
          <w:bCs w:val="0"/>
          <w:color w:val="000000" w:themeColor="text1"/>
        </w:rPr>
        <w:t>There are</w:t>
      </w:r>
      <w:r w:rsidR="00C07C00" w:rsidRPr="002835D9">
        <w:rPr>
          <w:b w:val="0"/>
          <w:bCs w:val="0"/>
          <w:color w:val="000000" w:themeColor="text1"/>
        </w:rPr>
        <w:t xml:space="preserve"> further</w:t>
      </w:r>
      <w:r w:rsidRPr="002835D9">
        <w:rPr>
          <w:b w:val="0"/>
          <w:bCs w:val="0"/>
          <w:color w:val="000000" w:themeColor="text1"/>
        </w:rPr>
        <w:t xml:space="preserve"> reports that some churches and Christian communities encourage LGBTQ+ people to go through so-called “conversion therapy,”</w:t>
      </w:r>
      <w:r w:rsidRPr="002835D9">
        <w:rPr>
          <w:rStyle w:val="FootnoteReference"/>
          <w:rFonts w:cs="Times New Roman"/>
          <w:b w:val="0"/>
          <w:bCs w:val="0"/>
          <w:color w:val="000000" w:themeColor="text1"/>
        </w:rPr>
        <w:footnoteReference w:id="8"/>
      </w:r>
      <w:r w:rsidRPr="002835D9">
        <w:rPr>
          <w:b w:val="0"/>
          <w:bCs w:val="0"/>
          <w:color w:val="000000" w:themeColor="text1"/>
        </w:rPr>
        <w:t xml:space="preserve"> which the previous Independent Expert on sexual orientation and gender identity, among others within the UN human rights system</w:t>
      </w:r>
      <w:r w:rsidR="00E234D3" w:rsidRPr="002835D9">
        <w:rPr>
          <w:b w:val="0"/>
          <w:bCs w:val="0"/>
          <w:color w:val="000000" w:themeColor="text1"/>
        </w:rPr>
        <w:t>,</w:t>
      </w:r>
      <w:r w:rsidRPr="002835D9">
        <w:rPr>
          <w:b w:val="0"/>
          <w:bCs w:val="0"/>
          <w:color w:val="000000" w:themeColor="text1"/>
        </w:rPr>
        <w:t xml:space="preserve"> has said may amount to torture, cruel, inhuman, or degrading treatment.</w:t>
      </w:r>
      <w:r w:rsidRPr="002835D9">
        <w:rPr>
          <w:rStyle w:val="FootnoteReference"/>
          <w:b w:val="0"/>
          <w:bCs w:val="0"/>
          <w:color w:val="000000" w:themeColor="text1"/>
        </w:rPr>
        <w:footnoteReference w:id="9"/>
      </w:r>
      <w:r w:rsidRPr="002835D9">
        <w:rPr>
          <w:b w:val="0"/>
          <w:bCs w:val="0"/>
          <w:color w:val="000000" w:themeColor="text1"/>
        </w:rPr>
        <w:t xml:space="preserve"> There appear</w:t>
      </w:r>
      <w:r w:rsidR="00386D00">
        <w:rPr>
          <w:b w:val="0"/>
          <w:bCs w:val="0"/>
          <w:color w:val="000000" w:themeColor="text1"/>
        </w:rPr>
        <w:t>s</w:t>
      </w:r>
      <w:r w:rsidRPr="002835D9">
        <w:rPr>
          <w:b w:val="0"/>
          <w:bCs w:val="0"/>
          <w:color w:val="000000" w:themeColor="text1"/>
        </w:rPr>
        <w:t xml:space="preserve"> to be no laws </w:t>
      </w:r>
      <w:r w:rsidR="00386D00">
        <w:rPr>
          <w:b w:val="0"/>
          <w:bCs w:val="0"/>
          <w:color w:val="000000" w:themeColor="text1"/>
        </w:rPr>
        <w:t>prohibiting</w:t>
      </w:r>
      <w:r w:rsidR="007B5003">
        <w:rPr>
          <w:b w:val="0"/>
          <w:bCs w:val="0"/>
          <w:color w:val="000000" w:themeColor="text1"/>
        </w:rPr>
        <w:t xml:space="preserve"> so-called </w:t>
      </w:r>
      <w:r w:rsidR="00CF60AB" w:rsidRPr="002835D9">
        <w:rPr>
          <w:b w:val="0"/>
          <w:bCs w:val="0"/>
          <w:color w:val="000000" w:themeColor="text1"/>
        </w:rPr>
        <w:t>“conversion therapy” in Antigua and Barbuda.</w:t>
      </w:r>
    </w:p>
    <w:p w14:paraId="25909D97" w14:textId="59EEC606" w:rsidR="001355D9" w:rsidRPr="002835D9" w:rsidRDefault="00ED3700" w:rsidP="00E43505">
      <w:pPr>
        <w:pStyle w:val="SectionHeading"/>
        <w:numPr>
          <w:ilvl w:val="0"/>
          <w:numId w:val="11"/>
        </w:numPr>
        <w:spacing w:after="120" w:line="240" w:lineRule="auto"/>
        <w:rPr>
          <w:b w:val="0"/>
          <w:bCs w:val="0"/>
          <w:color w:val="000000" w:themeColor="text1"/>
        </w:rPr>
      </w:pPr>
      <w:r w:rsidRPr="002835D9">
        <w:rPr>
          <w:b w:val="0"/>
          <w:bCs w:val="0"/>
          <w:color w:val="000000" w:themeColor="text1"/>
        </w:rPr>
        <w:t xml:space="preserve">It is not </w:t>
      </w:r>
      <w:r w:rsidR="003304BF" w:rsidRPr="002835D9">
        <w:rPr>
          <w:b w:val="0"/>
          <w:bCs w:val="0"/>
          <w:color w:val="000000" w:themeColor="text1"/>
        </w:rPr>
        <w:t>only</w:t>
      </w:r>
      <w:r w:rsidRPr="002835D9">
        <w:rPr>
          <w:b w:val="0"/>
          <w:bCs w:val="0"/>
          <w:color w:val="000000" w:themeColor="text1"/>
        </w:rPr>
        <w:t xml:space="preserve"> </w:t>
      </w:r>
      <w:r w:rsidR="00CC5E04" w:rsidRPr="002835D9">
        <w:rPr>
          <w:b w:val="0"/>
          <w:bCs w:val="0"/>
          <w:color w:val="000000" w:themeColor="text1"/>
        </w:rPr>
        <w:t>random</w:t>
      </w:r>
      <w:r w:rsidR="003304BF" w:rsidRPr="002835D9">
        <w:rPr>
          <w:b w:val="0"/>
          <w:bCs w:val="0"/>
          <w:color w:val="000000" w:themeColor="text1"/>
        </w:rPr>
        <w:t xml:space="preserve"> State and non-State actors who perpetrate violence against LGBTQ+ people, but also LGBTQ+ people’s family members.</w:t>
      </w:r>
      <w:r w:rsidR="009B17AD" w:rsidRPr="002835D9">
        <w:rPr>
          <w:b w:val="0"/>
          <w:bCs w:val="0"/>
          <w:color w:val="000000" w:themeColor="text1"/>
        </w:rPr>
        <w:t xml:space="preserve"> </w:t>
      </w:r>
      <w:r w:rsidR="00157BD5" w:rsidRPr="002835D9">
        <w:rPr>
          <w:b w:val="0"/>
          <w:bCs w:val="0"/>
          <w:color w:val="000000" w:themeColor="text1"/>
        </w:rPr>
        <w:t>GBQ men and transgender women</w:t>
      </w:r>
      <w:r w:rsidR="009B17AD" w:rsidRPr="002835D9">
        <w:rPr>
          <w:b w:val="0"/>
          <w:bCs w:val="0"/>
          <w:color w:val="000000" w:themeColor="text1"/>
        </w:rPr>
        <w:t xml:space="preserve"> “report being threatened with violence by their families as a result of their sexual orientation and gender identity</w:t>
      </w:r>
      <w:r w:rsidR="00326620" w:rsidRPr="002835D9">
        <w:rPr>
          <w:b w:val="0"/>
          <w:bCs w:val="0"/>
          <w:color w:val="000000" w:themeColor="text1"/>
        </w:rPr>
        <w:t>[, respectively]</w:t>
      </w:r>
      <w:r w:rsidR="009B17AD" w:rsidRPr="002835D9">
        <w:rPr>
          <w:b w:val="0"/>
          <w:bCs w:val="0"/>
          <w:color w:val="000000" w:themeColor="text1"/>
        </w:rPr>
        <w:t>.”</w:t>
      </w:r>
      <w:r w:rsidR="009B17AD" w:rsidRPr="002835D9">
        <w:rPr>
          <w:rStyle w:val="FootnoteReference"/>
          <w:b w:val="0"/>
          <w:bCs w:val="0"/>
          <w:color w:val="000000" w:themeColor="text1"/>
        </w:rPr>
        <w:footnoteReference w:id="10"/>
      </w:r>
      <w:r w:rsidR="00386D00">
        <w:rPr>
          <w:b w:val="0"/>
          <w:bCs w:val="0"/>
          <w:color w:val="000000" w:themeColor="text1"/>
        </w:rPr>
        <w:t xml:space="preserve"> As a result of this, a closet culture has emerged as a manner of protecting oneself.</w:t>
      </w:r>
    </w:p>
    <w:p w14:paraId="4F626FB7" w14:textId="3ACFA6C9" w:rsidR="005A32D1" w:rsidRDefault="005D3E63" w:rsidP="00E43505">
      <w:pPr>
        <w:pStyle w:val="ListParagraph"/>
        <w:numPr>
          <w:ilvl w:val="0"/>
          <w:numId w:val="11"/>
        </w:numPr>
        <w:spacing w:after="120" w:line="240" w:lineRule="auto"/>
        <w:contextualSpacing w:val="0"/>
        <w:jc w:val="both"/>
        <w:rPr>
          <w:rFonts w:ascii="Times New Roman" w:hAnsi="Times New Roman" w:cs="Times New Roman"/>
          <w:color w:val="000000" w:themeColor="text1"/>
        </w:rPr>
      </w:pPr>
      <w:r w:rsidRPr="002835D9">
        <w:rPr>
          <w:rFonts w:ascii="Times New Roman" w:hAnsi="Times New Roman" w:cs="Times New Roman"/>
          <w:color w:val="000000" w:themeColor="text1"/>
        </w:rPr>
        <w:t xml:space="preserve">Given that </w:t>
      </w:r>
      <w:r w:rsidR="00164FB0" w:rsidRPr="002835D9">
        <w:rPr>
          <w:rFonts w:ascii="Times New Roman" w:hAnsi="Times New Roman" w:cs="Times New Roman"/>
          <w:color w:val="000000" w:themeColor="text1"/>
        </w:rPr>
        <w:t xml:space="preserve">government officials and law enforcement often </w:t>
      </w:r>
      <w:r w:rsidR="0039255D" w:rsidRPr="002835D9">
        <w:rPr>
          <w:rFonts w:ascii="Times New Roman" w:hAnsi="Times New Roman" w:cs="Times New Roman"/>
          <w:color w:val="000000" w:themeColor="text1"/>
        </w:rPr>
        <w:t xml:space="preserve">speak </w:t>
      </w:r>
      <w:proofErr w:type="spellStart"/>
      <w:r w:rsidR="0039255D" w:rsidRPr="002835D9">
        <w:rPr>
          <w:rFonts w:ascii="Times New Roman" w:hAnsi="Times New Roman" w:cs="Times New Roman"/>
          <w:color w:val="000000" w:themeColor="text1"/>
        </w:rPr>
        <w:t>publically</w:t>
      </w:r>
      <w:proofErr w:type="spellEnd"/>
      <w:r w:rsidR="0039255D" w:rsidRPr="002835D9">
        <w:rPr>
          <w:rFonts w:ascii="Times New Roman" w:hAnsi="Times New Roman" w:cs="Times New Roman"/>
          <w:color w:val="000000" w:themeColor="text1"/>
        </w:rPr>
        <w:t xml:space="preserve"> about the immorality of LGBTQ+ people and stigmatize LGBTQ+ people (see paragraph </w:t>
      </w:r>
      <w:r w:rsidR="00156BC4" w:rsidRPr="002835D9">
        <w:rPr>
          <w:rFonts w:ascii="Times New Roman" w:hAnsi="Times New Roman" w:cs="Times New Roman"/>
          <w:color w:val="000000" w:themeColor="text1"/>
        </w:rPr>
        <w:t>1</w:t>
      </w:r>
      <w:r w:rsidR="004C0C99">
        <w:rPr>
          <w:rFonts w:ascii="Times New Roman" w:hAnsi="Times New Roman" w:cs="Times New Roman"/>
          <w:color w:val="000000" w:themeColor="text1"/>
        </w:rPr>
        <w:t>3</w:t>
      </w:r>
      <w:r w:rsidR="00EB4121" w:rsidRPr="002835D9">
        <w:rPr>
          <w:rFonts w:ascii="Times New Roman" w:hAnsi="Times New Roman" w:cs="Times New Roman"/>
          <w:color w:val="000000" w:themeColor="text1"/>
        </w:rPr>
        <w:t xml:space="preserve"> below)</w:t>
      </w:r>
      <w:r w:rsidR="00802539" w:rsidRPr="002835D9">
        <w:rPr>
          <w:rFonts w:ascii="Times New Roman" w:hAnsi="Times New Roman" w:cs="Times New Roman"/>
          <w:color w:val="000000" w:themeColor="text1"/>
        </w:rPr>
        <w:t>,</w:t>
      </w:r>
      <w:r w:rsidR="00802539" w:rsidRPr="002835D9">
        <w:rPr>
          <w:rStyle w:val="FootnoteReference"/>
          <w:rFonts w:ascii="Times New Roman" w:hAnsi="Times New Roman" w:cs="Times New Roman"/>
          <w:color w:val="000000" w:themeColor="text1"/>
        </w:rPr>
        <w:t xml:space="preserve"> </w:t>
      </w:r>
      <w:r w:rsidR="00802539" w:rsidRPr="002835D9">
        <w:rPr>
          <w:rStyle w:val="FootnoteReference"/>
          <w:rFonts w:ascii="Times New Roman" w:hAnsi="Times New Roman" w:cs="Times New Roman"/>
          <w:color w:val="000000" w:themeColor="text1"/>
        </w:rPr>
        <w:footnoteReference w:id="11"/>
      </w:r>
      <w:r w:rsidR="00EB4121" w:rsidRPr="002835D9">
        <w:rPr>
          <w:rFonts w:ascii="Times New Roman" w:hAnsi="Times New Roman" w:cs="Times New Roman"/>
          <w:color w:val="000000" w:themeColor="text1"/>
        </w:rPr>
        <w:t xml:space="preserve"> it is possible that many LGBTQ+ people do not feel comfortable reporting incidents of violence to police</w:t>
      </w:r>
      <w:r w:rsidR="00802539" w:rsidRPr="002835D9">
        <w:rPr>
          <w:rFonts w:ascii="Times New Roman" w:hAnsi="Times New Roman" w:cs="Times New Roman"/>
          <w:color w:val="000000" w:themeColor="text1"/>
        </w:rPr>
        <w:t xml:space="preserve"> for fear of further victimization</w:t>
      </w:r>
      <w:r w:rsidR="00AC2FC8" w:rsidRPr="002835D9">
        <w:rPr>
          <w:rFonts w:ascii="Times New Roman" w:hAnsi="Times New Roman" w:cs="Times New Roman"/>
          <w:color w:val="000000" w:themeColor="text1"/>
        </w:rPr>
        <w:t xml:space="preserve">. </w:t>
      </w:r>
    </w:p>
    <w:p w14:paraId="3AE0E78B" w14:textId="1942CF89" w:rsidR="00386D00" w:rsidRPr="002835D9" w:rsidRDefault="00386D00" w:rsidP="00E43505">
      <w:pPr>
        <w:pStyle w:val="ListParagraph"/>
        <w:numPr>
          <w:ilvl w:val="0"/>
          <w:numId w:val="11"/>
        </w:numPr>
        <w:spacing w:after="120" w:line="240" w:lineRule="auto"/>
        <w:contextualSpacing w:val="0"/>
        <w:jc w:val="both"/>
        <w:rPr>
          <w:rFonts w:ascii="Times New Roman" w:hAnsi="Times New Roman" w:cs="Times New Roman"/>
          <w:color w:val="000000" w:themeColor="text1"/>
        </w:rPr>
      </w:pPr>
      <w:r>
        <w:rPr>
          <w:rFonts w:ascii="Times New Roman" w:hAnsi="Times New Roman" w:cs="Times New Roman"/>
          <w:color w:val="000000" w:themeColor="text1"/>
        </w:rPr>
        <w:lastRenderedPageBreak/>
        <w:t xml:space="preserve">LGBTQ+ </w:t>
      </w:r>
      <w:r w:rsidR="00F810BE">
        <w:rPr>
          <w:rFonts w:ascii="Times New Roman" w:hAnsi="Times New Roman" w:cs="Times New Roman"/>
          <w:color w:val="000000" w:themeColor="text1"/>
        </w:rPr>
        <w:t>people</w:t>
      </w:r>
      <w:r w:rsidR="00F810BE">
        <w:rPr>
          <w:rFonts w:ascii="Times New Roman" w:hAnsi="Times New Roman" w:cs="Times New Roman"/>
          <w:color w:val="000000" w:themeColor="text1"/>
        </w:rPr>
        <w:t xml:space="preserve"> </w:t>
      </w:r>
      <w:r>
        <w:rPr>
          <w:rFonts w:ascii="Times New Roman" w:hAnsi="Times New Roman" w:cs="Times New Roman"/>
          <w:color w:val="000000" w:themeColor="text1"/>
        </w:rPr>
        <w:t>who have reported crimes have found that the police are slow to respond and do not take these issues seriously. There have been calls for speciali</w:t>
      </w:r>
      <w:r w:rsidR="00D2069E">
        <w:rPr>
          <w:rFonts w:ascii="Times New Roman" w:hAnsi="Times New Roman" w:cs="Times New Roman"/>
          <w:color w:val="000000" w:themeColor="text1"/>
        </w:rPr>
        <w:t>z</w:t>
      </w:r>
      <w:r>
        <w:rPr>
          <w:rFonts w:ascii="Times New Roman" w:hAnsi="Times New Roman" w:cs="Times New Roman"/>
          <w:color w:val="000000" w:themeColor="text1"/>
        </w:rPr>
        <w:t xml:space="preserve">ed training and </w:t>
      </w:r>
      <w:r w:rsidR="00D2069E">
        <w:rPr>
          <w:rFonts w:ascii="Times New Roman" w:hAnsi="Times New Roman" w:cs="Times New Roman"/>
          <w:color w:val="000000" w:themeColor="text1"/>
        </w:rPr>
        <w:t>sensitization</w:t>
      </w:r>
      <w:r w:rsidR="00D2069E">
        <w:rPr>
          <w:rFonts w:ascii="Times New Roman" w:hAnsi="Times New Roman" w:cs="Times New Roman"/>
          <w:color w:val="000000" w:themeColor="text1"/>
        </w:rPr>
        <w:t xml:space="preserve"> </w:t>
      </w:r>
      <w:r>
        <w:rPr>
          <w:rFonts w:ascii="Times New Roman" w:hAnsi="Times New Roman" w:cs="Times New Roman"/>
          <w:color w:val="000000" w:themeColor="text1"/>
        </w:rPr>
        <w:t xml:space="preserve">sessions for persons employed in law enforcement on GBV and gender. </w:t>
      </w:r>
      <w:r w:rsidR="00D76F94">
        <w:rPr>
          <w:rFonts w:ascii="Times New Roman" w:hAnsi="Times New Roman" w:cs="Times New Roman"/>
          <w:color w:val="000000" w:themeColor="text1"/>
        </w:rPr>
        <w:t>Yet, t</w:t>
      </w:r>
      <w:r>
        <w:rPr>
          <w:rFonts w:ascii="Times New Roman" w:hAnsi="Times New Roman" w:cs="Times New Roman"/>
          <w:color w:val="000000" w:themeColor="text1"/>
        </w:rPr>
        <w:t xml:space="preserve">here have been no comprehensive trainings on same. As a result, </w:t>
      </w:r>
      <w:r w:rsidR="00D76F94">
        <w:rPr>
          <w:rFonts w:ascii="Times New Roman" w:hAnsi="Times New Roman" w:cs="Times New Roman"/>
          <w:color w:val="000000" w:themeColor="text1"/>
        </w:rPr>
        <w:t>individuals</w:t>
      </w:r>
      <w:r w:rsidR="00D76F94">
        <w:rPr>
          <w:rFonts w:ascii="Times New Roman" w:hAnsi="Times New Roman" w:cs="Times New Roman"/>
          <w:color w:val="000000" w:themeColor="text1"/>
        </w:rPr>
        <w:t xml:space="preserve"> </w:t>
      </w:r>
      <w:r>
        <w:rPr>
          <w:rFonts w:ascii="Times New Roman" w:hAnsi="Times New Roman" w:cs="Times New Roman"/>
          <w:color w:val="000000" w:themeColor="text1"/>
        </w:rPr>
        <w:t>within the community are unlikely to report crimes due to the perception that the police would either not take it seriously or not understand.</w:t>
      </w:r>
      <w:r w:rsidR="00013774">
        <w:rPr>
          <w:rStyle w:val="FootnoteReference"/>
          <w:rFonts w:ascii="Times New Roman" w:hAnsi="Times New Roman" w:cs="Times New Roman"/>
          <w:color w:val="000000" w:themeColor="text1"/>
        </w:rPr>
        <w:footnoteReference w:id="12"/>
      </w:r>
      <w:r>
        <w:rPr>
          <w:rFonts w:ascii="Times New Roman" w:hAnsi="Times New Roman" w:cs="Times New Roman"/>
          <w:color w:val="000000" w:themeColor="text1"/>
        </w:rPr>
        <w:t xml:space="preserve"> </w:t>
      </w:r>
    </w:p>
    <w:p w14:paraId="5B270161" w14:textId="61B60E81" w:rsidR="00717987" w:rsidRPr="00F42B8F" w:rsidRDefault="5228BA82" w:rsidP="00E43505">
      <w:pPr>
        <w:pStyle w:val="Paragraph"/>
        <w:numPr>
          <w:ilvl w:val="0"/>
          <w:numId w:val="11"/>
        </w:numPr>
        <w:spacing w:line="240" w:lineRule="auto"/>
        <w:rPr>
          <w:color w:val="000000" w:themeColor="text1"/>
        </w:rPr>
      </w:pPr>
      <w:bookmarkStart w:id="0" w:name="_Hlk184020341"/>
      <w:r w:rsidRPr="00F42B8F">
        <w:rPr>
          <w:b/>
          <w:bCs/>
          <w:color w:val="000000" w:themeColor="text1"/>
        </w:rPr>
        <w:t xml:space="preserve">Suggested questions </w:t>
      </w:r>
      <w:r w:rsidRPr="00F42B8F">
        <w:rPr>
          <w:color w:val="000000" w:themeColor="text1"/>
        </w:rPr>
        <w:t xml:space="preserve">relating to </w:t>
      </w:r>
      <w:r w:rsidR="00084686" w:rsidRPr="00F42B8F">
        <w:rPr>
          <w:color w:val="000000" w:themeColor="text1"/>
        </w:rPr>
        <w:t>Article 7 of the ICCPR</w:t>
      </w:r>
      <w:r w:rsidR="001479F1" w:rsidRPr="00F42B8F">
        <w:rPr>
          <w:color w:val="000000" w:themeColor="text1"/>
        </w:rPr>
        <w:t>:</w:t>
      </w:r>
    </w:p>
    <w:p w14:paraId="3AB1A128" w14:textId="03FE14CB" w:rsidR="00717987" w:rsidRPr="00F42B8F" w:rsidRDefault="008F632D" w:rsidP="00E43505">
      <w:pPr>
        <w:pStyle w:val="ListParagraph"/>
        <w:numPr>
          <w:ilvl w:val="1"/>
          <w:numId w:val="9"/>
        </w:numPr>
        <w:spacing w:after="120" w:line="240" w:lineRule="auto"/>
        <w:contextualSpacing w:val="0"/>
        <w:jc w:val="both"/>
        <w:rPr>
          <w:rFonts w:ascii="Times New Roman" w:eastAsia="Times New Roman" w:hAnsi="Times New Roman" w:cs="Times New Roman"/>
          <w:color w:val="000000" w:themeColor="text1"/>
        </w:rPr>
      </w:pPr>
      <w:r w:rsidRPr="00F42B8F">
        <w:rPr>
          <w:rFonts w:ascii="Times New Roman" w:eastAsia="Times New Roman" w:hAnsi="Times New Roman" w:cs="Times New Roman"/>
          <w:color w:val="000000" w:themeColor="text1"/>
        </w:rPr>
        <w:t>What</w:t>
      </w:r>
      <w:r w:rsidR="00D821E4" w:rsidRPr="00F42B8F">
        <w:rPr>
          <w:rFonts w:ascii="Times New Roman" w:eastAsia="Times New Roman" w:hAnsi="Times New Roman" w:cs="Times New Roman"/>
          <w:color w:val="000000" w:themeColor="text1"/>
        </w:rPr>
        <w:t xml:space="preserve"> </w:t>
      </w:r>
      <w:r w:rsidRPr="00F42B8F">
        <w:rPr>
          <w:rFonts w:ascii="Times New Roman" w:eastAsia="Times New Roman" w:hAnsi="Times New Roman" w:cs="Times New Roman"/>
          <w:color w:val="000000" w:themeColor="text1"/>
        </w:rPr>
        <w:t>steps</w:t>
      </w:r>
      <w:r w:rsidR="00D821E4" w:rsidRPr="00F42B8F">
        <w:rPr>
          <w:rFonts w:ascii="Times New Roman" w:eastAsia="Times New Roman" w:hAnsi="Times New Roman" w:cs="Times New Roman"/>
          <w:color w:val="000000" w:themeColor="text1"/>
        </w:rPr>
        <w:t>, if any,</w:t>
      </w:r>
      <w:r w:rsidRPr="00F42B8F">
        <w:rPr>
          <w:rFonts w:ascii="Times New Roman" w:eastAsia="Times New Roman" w:hAnsi="Times New Roman" w:cs="Times New Roman"/>
          <w:color w:val="000000" w:themeColor="text1"/>
        </w:rPr>
        <w:t xml:space="preserve"> have been taken to protect members of the </w:t>
      </w:r>
      <w:r w:rsidR="00935E3E" w:rsidRPr="00F42B8F">
        <w:rPr>
          <w:rFonts w:ascii="Times New Roman" w:eastAsia="Times New Roman" w:hAnsi="Times New Roman" w:cs="Times New Roman"/>
          <w:color w:val="000000" w:themeColor="text1"/>
        </w:rPr>
        <w:t>LGBTQ+</w:t>
      </w:r>
      <w:r w:rsidRPr="00F42B8F">
        <w:rPr>
          <w:rFonts w:ascii="Times New Roman" w:eastAsia="Times New Roman" w:hAnsi="Times New Roman" w:cs="Times New Roman"/>
          <w:color w:val="000000" w:themeColor="text1"/>
        </w:rPr>
        <w:t xml:space="preserve"> community from physical and verbal attacks </w:t>
      </w:r>
      <w:r w:rsidR="00EA1647" w:rsidRPr="00F42B8F">
        <w:rPr>
          <w:rFonts w:ascii="Times New Roman" w:eastAsia="Times New Roman" w:hAnsi="Times New Roman" w:cs="Times New Roman"/>
          <w:color w:val="000000" w:themeColor="text1"/>
        </w:rPr>
        <w:t>by State and non-State actors</w:t>
      </w:r>
      <w:r w:rsidRPr="00F42B8F">
        <w:rPr>
          <w:rFonts w:ascii="Times New Roman" w:eastAsia="Times New Roman" w:hAnsi="Times New Roman" w:cs="Times New Roman"/>
          <w:color w:val="000000" w:themeColor="text1"/>
        </w:rPr>
        <w:t xml:space="preserve">? </w:t>
      </w:r>
    </w:p>
    <w:p w14:paraId="5DE6497D" w14:textId="18F13268" w:rsidR="0077563C" w:rsidRPr="002835D9" w:rsidRDefault="008F632D" w:rsidP="00E43505">
      <w:pPr>
        <w:pStyle w:val="ListParagraph"/>
        <w:numPr>
          <w:ilvl w:val="1"/>
          <w:numId w:val="9"/>
        </w:numPr>
        <w:spacing w:after="120" w:line="240" w:lineRule="auto"/>
        <w:contextualSpacing w:val="0"/>
        <w:jc w:val="both"/>
        <w:rPr>
          <w:b/>
          <w:bCs/>
          <w:color w:val="000000" w:themeColor="text1"/>
        </w:rPr>
      </w:pPr>
      <w:r w:rsidRPr="00F42B8F">
        <w:rPr>
          <w:rFonts w:ascii="Times New Roman" w:eastAsia="Times New Roman" w:hAnsi="Times New Roman" w:cs="Times New Roman"/>
          <w:color w:val="000000" w:themeColor="text1"/>
        </w:rPr>
        <w:t xml:space="preserve">What has Antigua and Barbuda done to ensure that its law enforcement </w:t>
      </w:r>
      <w:r w:rsidR="00D821E4" w:rsidRPr="00F42B8F">
        <w:rPr>
          <w:rFonts w:ascii="Times New Roman" w:eastAsia="Times New Roman" w:hAnsi="Times New Roman" w:cs="Times New Roman"/>
          <w:color w:val="000000" w:themeColor="text1"/>
        </w:rPr>
        <w:t xml:space="preserve">impartially and promptly </w:t>
      </w:r>
      <w:bookmarkStart w:id="1" w:name="_Hlk184020384"/>
      <w:bookmarkEnd w:id="0"/>
      <w:r w:rsidR="00736181" w:rsidRPr="00F42B8F">
        <w:rPr>
          <w:rFonts w:ascii="Times New Roman" w:eastAsia="Times New Roman" w:hAnsi="Times New Roman" w:cs="Times New Roman"/>
          <w:color w:val="000000" w:themeColor="text1"/>
        </w:rPr>
        <w:t xml:space="preserve">investigates all reports of violence against LGBTQ+ </w:t>
      </w:r>
      <w:r w:rsidR="00F71A1A" w:rsidRPr="00F42B8F">
        <w:rPr>
          <w:rFonts w:ascii="Times New Roman" w:eastAsia="Times New Roman" w:hAnsi="Times New Roman" w:cs="Times New Roman"/>
          <w:color w:val="000000" w:themeColor="text1"/>
        </w:rPr>
        <w:t>people</w:t>
      </w:r>
      <w:r w:rsidR="00D821E4" w:rsidRPr="00F42B8F">
        <w:rPr>
          <w:rFonts w:ascii="Times New Roman" w:eastAsia="Times New Roman" w:hAnsi="Times New Roman" w:cs="Times New Roman"/>
          <w:color w:val="000000" w:themeColor="text1"/>
        </w:rPr>
        <w:t>?</w:t>
      </w:r>
    </w:p>
    <w:p w14:paraId="5278EF1D" w14:textId="4ADDDE6E" w:rsidR="00D821E4" w:rsidRPr="002835D9" w:rsidRDefault="00D821E4" w:rsidP="00E43505">
      <w:pPr>
        <w:pStyle w:val="ListParagraph"/>
        <w:numPr>
          <w:ilvl w:val="1"/>
          <w:numId w:val="9"/>
        </w:numPr>
        <w:spacing w:after="120" w:line="240" w:lineRule="auto"/>
        <w:contextualSpacing w:val="0"/>
        <w:jc w:val="both"/>
        <w:rPr>
          <w:b/>
          <w:bCs/>
          <w:color w:val="000000" w:themeColor="text1"/>
        </w:rPr>
      </w:pPr>
      <w:r w:rsidRPr="00F42B8F">
        <w:rPr>
          <w:rFonts w:ascii="Times New Roman" w:eastAsia="Times New Roman" w:hAnsi="Times New Roman" w:cs="Times New Roman"/>
          <w:color w:val="000000" w:themeColor="text1"/>
        </w:rPr>
        <w:t>What steps, if any, has Antigua and Barbuda taken to</w:t>
      </w:r>
      <w:r w:rsidR="00ED1CD5" w:rsidRPr="00F42B8F">
        <w:rPr>
          <w:rFonts w:ascii="Times New Roman" w:eastAsia="Times New Roman" w:hAnsi="Times New Roman" w:cs="Times New Roman"/>
          <w:color w:val="000000" w:themeColor="text1"/>
        </w:rPr>
        <w:t xml:space="preserve"> ensure that prosecutors and judges will impartially and promptly charge, prosecute, convict, and sentence </w:t>
      </w:r>
      <w:r w:rsidR="00F71A1A" w:rsidRPr="00F42B8F">
        <w:rPr>
          <w:rFonts w:ascii="Times New Roman" w:eastAsia="Times New Roman" w:hAnsi="Times New Roman" w:cs="Times New Roman"/>
          <w:color w:val="000000" w:themeColor="text1"/>
        </w:rPr>
        <w:t>State and non-State actors who commit violence against LGBTQ+ people?</w:t>
      </w:r>
    </w:p>
    <w:p w14:paraId="08C406A6" w14:textId="1C493460" w:rsidR="00632EBA" w:rsidRPr="002835D9" w:rsidRDefault="00632EBA" w:rsidP="00E43505">
      <w:pPr>
        <w:pStyle w:val="ListParagraph"/>
        <w:numPr>
          <w:ilvl w:val="1"/>
          <w:numId w:val="9"/>
        </w:numPr>
        <w:spacing w:after="120" w:line="240" w:lineRule="auto"/>
        <w:contextualSpacing w:val="0"/>
        <w:jc w:val="both"/>
        <w:rPr>
          <w:b/>
          <w:bCs/>
          <w:color w:val="000000" w:themeColor="text1"/>
        </w:rPr>
      </w:pPr>
      <w:r w:rsidRPr="00F42B8F">
        <w:rPr>
          <w:rFonts w:ascii="Times New Roman" w:eastAsia="Times New Roman" w:hAnsi="Times New Roman" w:cs="Times New Roman"/>
          <w:color w:val="000000" w:themeColor="text1"/>
        </w:rPr>
        <w:t>What trainings</w:t>
      </w:r>
      <w:r w:rsidR="00A22D34" w:rsidRPr="00F42B8F">
        <w:rPr>
          <w:rFonts w:ascii="Times New Roman" w:eastAsia="Times New Roman" w:hAnsi="Times New Roman" w:cs="Times New Roman"/>
          <w:color w:val="000000" w:themeColor="text1"/>
        </w:rPr>
        <w:t>, if any,</w:t>
      </w:r>
      <w:r w:rsidRPr="00F42B8F">
        <w:rPr>
          <w:rFonts w:ascii="Times New Roman" w:eastAsia="Times New Roman" w:hAnsi="Times New Roman" w:cs="Times New Roman"/>
          <w:color w:val="000000" w:themeColor="text1"/>
        </w:rPr>
        <w:t xml:space="preserve"> are provided </w:t>
      </w:r>
      <w:r w:rsidR="00A22D34" w:rsidRPr="00F42B8F">
        <w:rPr>
          <w:rFonts w:ascii="Times New Roman" w:eastAsia="Times New Roman" w:hAnsi="Times New Roman" w:cs="Times New Roman"/>
          <w:color w:val="000000" w:themeColor="text1"/>
        </w:rPr>
        <w:t xml:space="preserve">to criminal justice systems actors on countering bias against LGBTQ+ people? Are these trainings mandatory </w:t>
      </w:r>
      <w:r w:rsidR="001A1B33" w:rsidRPr="00F42B8F">
        <w:rPr>
          <w:rFonts w:ascii="Times New Roman" w:eastAsia="Times New Roman" w:hAnsi="Times New Roman" w:cs="Times New Roman"/>
          <w:color w:val="000000" w:themeColor="text1"/>
        </w:rPr>
        <w:t>or optional?</w:t>
      </w:r>
    </w:p>
    <w:p w14:paraId="3653D900" w14:textId="6EFF50A8" w:rsidR="00386D00" w:rsidRDefault="00386D00" w:rsidP="00E43505">
      <w:pPr>
        <w:pStyle w:val="ListParagraph"/>
        <w:numPr>
          <w:ilvl w:val="1"/>
          <w:numId w:val="9"/>
        </w:numPr>
        <w:spacing w:after="120" w:line="240" w:lineRule="auto"/>
        <w:contextualSpacing w:val="0"/>
        <w:jc w:val="both"/>
        <w:rPr>
          <w:rFonts w:ascii="Times New Roman" w:eastAsia="Times New Roman" w:hAnsi="Times New Roman" w:cs="Times New Roman"/>
          <w:color w:val="000000" w:themeColor="text1"/>
        </w:rPr>
      </w:pPr>
      <w:r w:rsidRPr="00386D00">
        <w:rPr>
          <w:rFonts w:ascii="Times New Roman" w:eastAsia="Times New Roman" w:hAnsi="Times New Roman" w:cs="Times New Roman"/>
          <w:color w:val="000000" w:themeColor="text1"/>
        </w:rPr>
        <w:t>Provide data on crimes against LGBTIQ+ individuals, including the perpetrator’s relationship to the victim, report date, investigation steps, hate crime classification, prosecution actions and outcomes, and any restitution to victims.</w:t>
      </w:r>
    </w:p>
    <w:bookmarkEnd w:id="1"/>
    <w:p w14:paraId="50AA16A6" w14:textId="6F62E476" w:rsidR="00F43B04" w:rsidRPr="002835D9" w:rsidRDefault="00EE11F3" w:rsidP="00E43505">
      <w:pPr>
        <w:pStyle w:val="SectionHeading"/>
        <w:spacing w:line="240" w:lineRule="auto"/>
        <w:rPr>
          <w:color w:val="000000" w:themeColor="text1"/>
        </w:rPr>
      </w:pPr>
      <w:r w:rsidRPr="002835D9">
        <w:rPr>
          <w:color w:val="000000" w:themeColor="text1"/>
        </w:rPr>
        <w:t>LGBTQ+</w:t>
      </w:r>
      <w:r w:rsidR="00B05091" w:rsidRPr="002835D9">
        <w:rPr>
          <w:color w:val="000000" w:themeColor="text1"/>
        </w:rPr>
        <w:t xml:space="preserve"> </w:t>
      </w:r>
      <w:r w:rsidR="003775C4" w:rsidRPr="002835D9">
        <w:rPr>
          <w:color w:val="000000" w:themeColor="text1"/>
        </w:rPr>
        <w:t xml:space="preserve">people experience widespread discrimination by State and non-State actors because of their </w:t>
      </w:r>
      <w:r w:rsidR="00B05091" w:rsidRPr="002835D9">
        <w:rPr>
          <w:color w:val="000000" w:themeColor="text1"/>
        </w:rPr>
        <w:t>sexual orientation, gender identity, and gender expression</w:t>
      </w:r>
      <w:r w:rsidR="003775C4" w:rsidRPr="002835D9">
        <w:rPr>
          <w:color w:val="000000" w:themeColor="text1"/>
        </w:rPr>
        <w:t xml:space="preserve"> (ICCPR Art. 26)</w:t>
      </w:r>
    </w:p>
    <w:p w14:paraId="129CB92E" w14:textId="6FC8D3B0" w:rsidR="00156BC4" w:rsidRPr="002835D9" w:rsidRDefault="004715D4" w:rsidP="00E43505">
      <w:pPr>
        <w:pStyle w:val="SectionHeading"/>
        <w:numPr>
          <w:ilvl w:val="0"/>
          <w:numId w:val="11"/>
        </w:numPr>
        <w:spacing w:before="0" w:after="120" w:line="240" w:lineRule="auto"/>
        <w:rPr>
          <w:b w:val="0"/>
          <w:bCs w:val="0"/>
          <w:color w:val="000000" w:themeColor="text1"/>
        </w:rPr>
      </w:pPr>
      <w:r w:rsidRPr="002835D9">
        <w:rPr>
          <w:b w:val="0"/>
          <w:bCs w:val="0"/>
          <w:color w:val="000000" w:themeColor="text1"/>
        </w:rPr>
        <w:t>On 5 July, 2022, the Eastern Caribbean Supreme Court’s High Court of Justice decriminalized consensual same-sex sexual activity between adults in a landmark decision</w:t>
      </w:r>
      <w:r w:rsidR="0009648B" w:rsidRPr="002835D9">
        <w:rPr>
          <w:b w:val="0"/>
          <w:bCs w:val="0"/>
          <w:color w:val="000000" w:themeColor="text1"/>
        </w:rPr>
        <w:t>,</w:t>
      </w:r>
      <w:r w:rsidR="0009648B" w:rsidRPr="002835D9">
        <w:rPr>
          <w:b w:val="0"/>
          <w:bCs w:val="0"/>
          <w:color w:val="000000" w:themeColor="text1"/>
          <w:vertAlign w:val="superscript"/>
        </w:rPr>
        <w:footnoteReference w:id="13"/>
      </w:r>
      <w:r w:rsidR="00156BC4" w:rsidRPr="002835D9">
        <w:rPr>
          <w:b w:val="0"/>
          <w:bCs w:val="0"/>
          <w:color w:val="000000" w:themeColor="text1"/>
        </w:rPr>
        <w:t xml:space="preserve"> stating </w:t>
      </w:r>
      <w:proofErr w:type="gramStart"/>
      <w:r w:rsidR="00156BC4" w:rsidRPr="002835D9">
        <w:rPr>
          <w:b w:val="0"/>
          <w:bCs w:val="0"/>
          <w:color w:val="000000" w:themeColor="text1"/>
        </w:rPr>
        <w:t xml:space="preserve">that </w:t>
      </w:r>
      <w:r w:rsidRPr="002835D9">
        <w:rPr>
          <w:b w:val="0"/>
          <w:bCs w:val="0"/>
          <w:color w:val="000000" w:themeColor="text1"/>
          <w:vertAlign w:val="superscript"/>
        </w:rPr>
        <w:t xml:space="preserve"> </w:t>
      </w:r>
      <w:r w:rsidR="0009648B" w:rsidRPr="002835D9">
        <w:rPr>
          <w:b w:val="0"/>
          <w:bCs w:val="0"/>
          <w:color w:val="000000" w:themeColor="text1"/>
        </w:rPr>
        <w:t>“</w:t>
      </w:r>
      <w:proofErr w:type="gramEnd"/>
      <w:r w:rsidR="0009648B" w:rsidRPr="002835D9">
        <w:rPr>
          <w:b w:val="0"/>
          <w:bCs w:val="0"/>
          <w:color w:val="000000" w:themeColor="text1"/>
        </w:rPr>
        <w:t>Antigua’s 1995 Sexual Offences Act ‘offends the right to liberty, protection of the law, freedom of expression, protection of personal privacy and protection from discrimination on the basis of sex.’”</w:t>
      </w:r>
      <w:r w:rsidR="0009648B" w:rsidRPr="002835D9">
        <w:rPr>
          <w:rStyle w:val="FootnoteReference"/>
          <w:b w:val="0"/>
          <w:bCs w:val="0"/>
          <w:color w:val="000000" w:themeColor="text1"/>
        </w:rPr>
        <w:footnoteReference w:id="14"/>
      </w:r>
    </w:p>
    <w:p w14:paraId="703596A8" w14:textId="0026D143" w:rsidR="009228A2" w:rsidRPr="002835D9" w:rsidRDefault="00F65622" w:rsidP="00E43505">
      <w:pPr>
        <w:pStyle w:val="SectionHeading"/>
        <w:numPr>
          <w:ilvl w:val="0"/>
          <w:numId w:val="11"/>
        </w:numPr>
        <w:spacing w:before="0" w:after="120" w:line="240" w:lineRule="auto"/>
        <w:rPr>
          <w:rFonts w:eastAsia="Times New Roman" w:cs="Times New Roman"/>
          <w:b w:val="0"/>
          <w:bCs w:val="0"/>
          <w:color w:val="000000" w:themeColor="text1"/>
        </w:rPr>
      </w:pPr>
      <w:r w:rsidRPr="002835D9">
        <w:rPr>
          <w:b w:val="0"/>
          <w:bCs w:val="0"/>
          <w:color w:val="000000" w:themeColor="text1"/>
        </w:rPr>
        <w:t>Although t</w:t>
      </w:r>
      <w:r w:rsidR="00BE0667" w:rsidRPr="002835D9">
        <w:rPr>
          <w:b w:val="0"/>
          <w:bCs w:val="0"/>
          <w:color w:val="000000" w:themeColor="text1"/>
        </w:rPr>
        <w:t>he High Court’s</w:t>
      </w:r>
      <w:r w:rsidR="00930AE3" w:rsidRPr="002835D9">
        <w:rPr>
          <w:b w:val="0"/>
          <w:bCs w:val="0"/>
          <w:color w:val="000000" w:themeColor="text1"/>
        </w:rPr>
        <w:t xml:space="preserve"> </w:t>
      </w:r>
      <w:r w:rsidR="00D860D0">
        <w:rPr>
          <w:b w:val="0"/>
          <w:bCs w:val="0"/>
          <w:color w:val="000000" w:themeColor="text1"/>
        </w:rPr>
        <w:t>decriminalization</w:t>
      </w:r>
      <w:r w:rsidR="00D860D0" w:rsidRPr="002835D9">
        <w:rPr>
          <w:b w:val="0"/>
          <w:bCs w:val="0"/>
          <w:color w:val="000000" w:themeColor="text1"/>
        </w:rPr>
        <w:t xml:space="preserve"> </w:t>
      </w:r>
      <w:r w:rsidR="00D860D0">
        <w:rPr>
          <w:b w:val="0"/>
          <w:bCs w:val="0"/>
          <w:color w:val="000000" w:themeColor="text1"/>
        </w:rPr>
        <w:t>d</w:t>
      </w:r>
      <w:r w:rsidR="00942E3F" w:rsidRPr="002835D9">
        <w:rPr>
          <w:b w:val="0"/>
          <w:bCs w:val="0"/>
          <w:color w:val="000000" w:themeColor="text1"/>
        </w:rPr>
        <w:t>ecision</w:t>
      </w:r>
      <w:r w:rsidR="00930AE3" w:rsidRPr="002835D9">
        <w:rPr>
          <w:b w:val="0"/>
          <w:bCs w:val="0"/>
          <w:color w:val="000000" w:themeColor="text1"/>
        </w:rPr>
        <w:t xml:space="preserve"> </w:t>
      </w:r>
      <w:r w:rsidRPr="002835D9">
        <w:rPr>
          <w:b w:val="0"/>
          <w:bCs w:val="0"/>
          <w:color w:val="000000" w:themeColor="text1"/>
        </w:rPr>
        <w:t xml:space="preserve">cited a protection from discrimination on the basis of sex as </w:t>
      </w:r>
      <w:r w:rsidR="00153444" w:rsidRPr="002835D9">
        <w:rPr>
          <w:b w:val="0"/>
          <w:bCs w:val="0"/>
          <w:color w:val="000000" w:themeColor="text1"/>
        </w:rPr>
        <w:t xml:space="preserve">one </w:t>
      </w:r>
      <w:r w:rsidRPr="002835D9">
        <w:rPr>
          <w:b w:val="0"/>
          <w:bCs w:val="0"/>
          <w:color w:val="000000" w:themeColor="text1"/>
        </w:rPr>
        <w:t xml:space="preserve">reason why </w:t>
      </w:r>
      <w:r w:rsidR="00153444" w:rsidRPr="002835D9">
        <w:rPr>
          <w:b w:val="0"/>
          <w:bCs w:val="0"/>
          <w:color w:val="000000" w:themeColor="text1"/>
        </w:rPr>
        <w:t xml:space="preserve">it </w:t>
      </w:r>
      <w:proofErr w:type="spellStart"/>
      <w:r w:rsidR="00153444" w:rsidRPr="002835D9">
        <w:rPr>
          <w:b w:val="0"/>
          <w:bCs w:val="0"/>
          <w:color w:val="000000" w:themeColor="text1"/>
        </w:rPr>
        <w:t>overtunred</w:t>
      </w:r>
      <w:proofErr w:type="spellEnd"/>
      <w:r w:rsidR="00153444" w:rsidRPr="002835D9">
        <w:rPr>
          <w:b w:val="0"/>
          <w:bCs w:val="0"/>
          <w:color w:val="000000" w:themeColor="text1"/>
        </w:rPr>
        <w:t xml:space="preserve"> the Sexual Offences Act, it </w:t>
      </w:r>
      <w:r w:rsidR="00930AE3" w:rsidRPr="002835D9">
        <w:rPr>
          <w:b w:val="0"/>
          <w:bCs w:val="0"/>
          <w:color w:val="000000" w:themeColor="text1"/>
        </w:rPr>
        <w:t>failed to expand non</w:t>
      </w:r>
      <w:r w:rsidR="00153444" w:rsidRPr="002835D9">
        <w:rPr>
          <w:b w:val="0"/>
          <w:bCs w:val="0"/>
          <w:color w:val="000000" w:themeColor="text1"/>
        </w:rPr>
        <w:t>-</w:t>
      </w:r>
      <w:r w:rsidR="00930AE3" w:rsidRPr="002835D9">
        <w:rPr>
          <w:b w:val="0"/>
          <w:bCs w:val="0"/>
          <w:color w:val="000000" w:themeColor="text1"/>
        </w:rPr>
        <w:t xml:space="preserve">discrimination protections for </w:t>
      </w:r>
      <w:r w:rsidR="009C5DB3" w:rsidRPr="002835D9">
        <w:rPr>
          <w:b w:val="0"/>
          <w:bCs w:val="0"/>
          <w:color w:val="000000" w:themeColor="text1"/>
        </w:rPr>
        <w:t xml:space="preserve">members of the </w:t>
      </w:r>
      <w:r w:rsidR="00EE11F3" w:rsidRPr="002835D9">
        <w:rPr>
          <w:b w:val="0"/>
          <w:bCs w:val="0"/>
          <w:color w:val="000000" w:themeColor="text1"/>
        </w:rPr>
        <w:t>LGBTQ+</w:t>
      </w:r>
      <w:r w:rsidR="009C5DB3" w:rsidRPr="002835D9">
        <w:rPr>
          <w:b w:val="0"/>
          <w:bCs w:val="0"/>
          <w:color w:val="000000" w:themeColor="text1"/>
        </w:rPr>
        <w:t xml:space="preserve"> community</w:t>
      </w:r>
      <w:r w:rsidR="00930AE3" w:rsidRPr="002835D9">
        <w:rPr>
          <w:b w:val="0"/>
          <w:bCs w:val="0"/>
          <w:color w:val="000000" w:themeColor="text1"/>
        </w:rPr>
        <w:t xml:space="preserve"> in </w:t>
      </w:r>
      <w:r w:rsidR="00153444" w:rsidRPr="002835D9">
        <w:rPr>
          <w:b w:val="0"/>
          <w:bCs w:val="0"/>
          <w:color w:val="000000" w:themeColor="text1"/>
        </w:rPr>
        <w:t>other aspects</w:t>
      </w:r>
      <w:r w:rsidR="00930AE3" w:rsidRPr="002835D9">
        <w:rPr>
          <w:b w:val="0"/>
          <w:bCs w:val="0"/>
          <w:color w:val="000000" w:themeColor="text1"/>
        </w:rPr>
        <w:t xml:space="preserve"> of life, including but not limited to employment, housing, </w:t>
      </w:r>
      <w:r w:rsidR="009C5DB3" w:rsidRPr="002835D9">
        <w:rPr>
          <w:b w:val="0"/>
          <w:bCs w:val="0"/>
          <w:color w:val="000000" w:themeColor="text1"/>
        </w:rPr>
        <w:t xml:space="preserve">same-sex marriage, </w:t>
      </w:r>
      <w:r w:rsidR="00930AE3" w:rsidRPr="002835D9">
        <w:rPr>
          <w:b w:val="0"/>
          <w:bCs w:val="0"/>
          <w:color w:val="000000" w:themeColor="text1"/>
        </w:rPr>
        <w:t>access to loans through the financial sector, and access to governmental assistance and programs</w:t>
      </w:r>
      <w:r w:rsidR="009C5DB3" w:rsidRPr="002835D9">
        <w:rPr>
          <w:b w:val="0"/>
          <w:bCs w:val="0"/>
          <w:color w:val="000000" w:themeColor="text1"/>
        </w:rPr>
        <w:t xml:space="preserve">. </w:t>
      </w:r>
      <w:r w:rsidR="00570DD0" w:rsidRPr="002835D9">
        <w:rPr>
          <w:b w:val="0"/>
          <w:bCs w:val="0"/>
          <w:color w:val="000000" w:themeColor="text1"/>
        </w:rPr>
        <w:lastRenderedPageBreak/>
        <w:t xml:space="preserve">Consequently, many LGBTQ+ people </w:t>
      </w:r>
      <w:r w:rsidR="00570DD0" w:rsidRPr="002835D9">
        <w:rPr>
          <w:rStyle w:val="ParagraphChar"/>
          <w:rFonts w:eastAsiaTheme="minorEastAsia"/>
          <w:b w:val="0"/>
          <w:bCs w:val="0"/>
          <w:color w:val="000000" w:themeColor="text1"/>
        </w:rPr>
        <w:t>“</w:t>
      </w:r>
      <w:r w:rsidR="009228A2" w:rsidRPr="002835D9">
        <w:rPr>
          <w:rStyle w:val="ParagraphChar"/>
          <w:rFonts w:eastAsiaTheme="minorEastAsia"/>
          <w:b w:val="0"/>
          <w:bCs w:val="0"/>
          <w:color w:val="000000" w:themeColor="text1"/>
        </w:rPr>
        <w:t>are often excluded from social protection laws and policies.”</w:t>
      </w:r>
      <w:r w:rsidR="009228A2" w:rsidRPr="002835D9">
        <w:rPr>
          <w:rStyle w:val="FootnoteReference"/>
          <w:rFonts w:cs="Times New Roman"/>
          <w:b w:val="0"/>
          <w:bCs w:val="0"/>
          <w:color w:val="000000" w:themeColor="text1"/>
        </w:rPr>
        <w:footnoteReference w:id="15"/>
      </w:r>
    </w:p>
    <w:p w14:paraId="18FB2E12" w14:textId="6C3695FC" w:rsidR="00FD18DE" w:rsidRPr="002835D9" w:rsidRDefault="009228A2" w:rsidP="00E43505">
      <w:pPr>
        <w:pStyle w:val="ListParagraph"/>
        <w:numPr>
          <w:ilvl w:val="0"/>
          <w:numId w:val="11"/>
        </w:numPr>
        <w:spacing w:after="120" w:line="240" w:lineRule="auto"/>
        <w:contextualSpacing w:val="0"/>
        <w:jc w:val="both"/>
        <w:rPr>
          <w:rFonts w:ascii="Times New Roman" w:eastAsia="Times New Roman" w:hAnsi="Times New Roman" w:cs="Times New Roman"/>
          <w:color w:val="000000" w:themeColor="text1"/>
        </w:rPr>
      </w:pPr>
      <w:r w:rsidRPr="002835D9">
        <w:rPr>
          <w:rFonts w:ascii="Times New Roman" w:eastAsiaTheme="majorEastAsia" w:hAnsi="Times New Roman" w:cs="Times New Roman"/>
          <w:color w:val="000000" w:themeColor="text1"/>
        </w:rPr>
        <w:t xml:space="preserve">While Sections 12 and 15 have been formally repealed in Antigua and Barbuda, “the </w:t>
      </w:r>
      <w:r w:rsidR="003028C9" w:rsidRPr="00F42B8F">
        <w:rPr>
          <w:rFonts w:ascii="Times New Roman" w:eastAsiaTheme="majorEastAsia" w:hAnsi="Times New Roman" w:cs="Times New Roman"/>
          <w:color w:val="000000" w:themeColor="text1"/>
        </w:rPr>
        <w:t>[G]</w:t>
      </w:r>
      <w:proofErr w:type="spellStart"/>
      <w:r w:rsidRPr="002835D9">
        <w:rPr>
          <w:rFonts w:ascii="Times New Roman" w:eastAsiaTheme="majorEastAsia" w:hAnsi="Times New Roman" w:cs="Times New Roman"/>
          <w:color w:val="000000" w:themeColor="text1"/>
        </w:rPr>
        <w:t>overnment</w:t>
      </w:r>
      <w:proofErr w:type="spellEnd"/>
      <w:r w:rsidRPr="002835D9">
        <w:rPr>
          <w:rFonts w:ascii="Times New Roman" w:eastAsiaTheme="majorEastAsia" w:hAnsi="Times New Roman" w:cs="Times New Roman"/>
          <w:color w:val="000000" w:themeColor="text1"/>
        </w:rPr>
        <w:t xml:space="preserve"> has said it doesn’t intend to make further efforts to enshrine rights and protections for the country’s LGBTQI+ people because it doesn’t want to ‘move too far away from the population’.”</w:t>
      </w:r>
      <w:r w:rsidRPr="002835D9">
        <w:rPr>
          <w:rStyle w:val="FootnoteReference"/>
          <w:rFonts w:ascii="Times New Roman" w:eastAsiaTheme="majorEastAsia" w:hAnsi="Times New Roman" w:cs="Times New Roman"/>
          <w:color w:val="000000" w:themeColor="text1"/>
        </w:rPr>
        <w:footnoteReference w:id="16"/>
      </w:r>
      <w:r w:rsidR="003028C9" w:rsidRPr="00F42B8F">
        <w:rPr>
          <w:rFonts w:ascii="Times New Roman" w:eastAsiaTheme="majorEastAsia" w:hAnsi="Times New Roman" w:cs="Times New Roman"/>
          <w:color w:val="000000" w:themeColor="text1"/>
        </w:rPr>
        <w:t xml:space="preserve"> It is unknown whether the Government has conducted any public opinion surveys on </w:t>
      </w:r>
      <w:proofErr w:type="spellStart"/>
      <w:r w:rsidR="003028C9" w:rsidRPr="00F42B8F">
        <w:rPr>
          <w:rFonts w:ascii="Times New Roman" w:eastAsiaTheme="majorEastAsia" w:hAnsi="Times New Roman" w:cs="Times New Roman"/>
          <w:color w:val="000000" w:themeColor="text1"/>
        </w:rPr>
        <w:t>on</w:t>
      </w:r>
      <w:proofErr w:type="spellEnd"/>
      <w:r w:rsidR="003028C9" w:rsidRPr="00F42B8F">
        <w:rPr>
          <w:rFonts w:ascii="Times New Roman" w:eastAsiaTheme="majorEastAsia" w:hAnsi="Times New Roman" w:cs="Times New Roman"/>
          <w:color w:val="000000" w:themeColor="text1"/>
        </w:rPr>
        <w:t xml:space="preserve"> acceptance of LGBTQ+ people among the general public or</w:t>
      </w:r>
      <w:r w:rsidR="00BC66A0" w:rsidRPr="00F42B8F">
        <w:rPr>
          <w:rFonts w:ascii="Times New Roman" w:eastAsiaTheme="majorEastAsia" w:hAnsi="Times New Roman" w:cs="Times New Roman"/>
          <w:color w:val="000000" w:themeColor="text1"/>
        </w:rPr>
        <w:t xml:space="preserve">, more specifically, whether the general public would be in support of anti-discrimination protections. </w:t>
      </w:r>
    </w:p>
    <w:p w14:paraId="1BAEBD31" w14:textId="32425C8F" w:rsidR="00FD18DE" w:rsidRPr="002835D9" w:rsidRDefault="00BC66A0" w:rsidP="00E43505">
      <w:pPr>
        <w:pStyle w:val="ListParagraph"/>
        <w:numPr>
          <w:ilvl w:val="0"/>
          <w:numId w:val="11"/>
        </w:numPr>
        <w:spacing w:after="120" w:line="240" w:lineRule="auto"/>
        <w:contextualSpacing w:val="0"/>
        <w:jc w:val="both"/>
        <w:rPr>
          <w:rFonts w:ascii="Times New Roman" w:hAnsi="Times New Roman" w:cs="Times New Roman"/>
          <w:color w:val="000000" w:themeColor="text1"/>
        </w:rPr>
      </w:pPr>
      <w:r w:rsidRPr="002835D9">
        <w:rPr>
          <w:rFonts w:ascii="Times New Roman" w:hAnsi="Times New Roman" w:cs="Times New Roman"/>
          <w:color w:val="000000" w:themeColor="text1"/>
        </w:rPr>
        <w:t xml:space="preserve">Some Government officials, however, make their stance on </w:t>
      </w:r>
      <w:r w:rsidR="00671532" w:rsidRPr="002835D9">
        <w:rPr>
          <w:rFonts w:ascii="Times New Roman" w:hAnsi="Times New Roman" w:cs="Times New Roman"/>
          <w:color w:val="000000" w:themeColor="text1"/>
        </w:rPr>
        <w:t>LGBTQ+ people’s rights clear:</w:t>
      </w:r>
      <w:r w:rsidR="00FD18DE" w:rsidRPr="002835D9">
        <w:rPr>
          <w:rFonts w:ascii="Times New Roman" w:hAnsi="Times New Roman" w:cs="Times New Roman"/>
          <w:color w:val="000000" w:themeColor="text1"/>
        </w:rPr>
        <w:t xml:space="preserve"> </w:t>
      </w:r>
      <w:r w:rsidR="00FD18DE" w:rsidRPr="002835D9">
        <w:rPr>
          <w:rFonts w:ascii="Times New Roman" w:eastAsiaTheme="majorEastAsia" w:hAnsi="Times New Roman" w:cs="Times New Roman"/>
          <w:color w:val="000000" w:themeColor="text1"/>
        </w:rPr>
        <w:t>“</w:t>
      </w:r>
      <w:r w:rsidR="00FD18DE" w:rsidRPr="002835D9">
        <w:rPr>
          <w:rFonts w:ascii="Times New Roman" w:hAnsi="Times New Roman" w:cs="Times New Roman"/>
          <w:color w:val="000000" w:themeColor="text1"/>
        </w:rPr>
        <w:t>some politicians publicly espouse the belief that same-sex relations and gender nonconformity are immoral</w:t>
      </w:r>
      <w:r w:rsidR="009D2847" w:rsidRPr="002835D9">
        <w:rPr>
          <w:rFonts w:ascii="Times New Roman" w:hAnsi="Times New Roman" w:cs="Times New Roman"/>
          <w:color w:val="000000" w:themeColor="text1"/>
        </w:rPr>
        <w:t>…</w:t>
      </w:r>
      <w:r w:rsidR="00FD18DE" w:rsidRPr="002835D9">
        <w:rPr>
          <w:rFonts w:ascii="Times New Roman" w:hAnsi="Times New Roman" w:cs="Times New Roman"/>
          <w:color w:val="000000" w:themeColor="text1"/>
        </w:rPr>
        <w:t>.LGBTIQ people have experienced violence, harassment, and discrimination. Social stigmatization at the hands of law enforcement and private citizens is common.”</w:t>
      </w:r>
      <w:r w:rsidR="00FD18DE" w:rsidRPr="002835D9">
        <w:rPr>
          <w:rStyle w:val="FootnoteReference"/>
          <w:rFonts w:ascii="Times New Roman" w:hAnsi="Times New Roman" w:cs="Times New Roman"/>
          <w:color w:val="000000" w:themeColor="text1"/>
        </w:rPr>
        <w:footnoteReference w:id="17"/>
      </w:r>
    </w:p>
    <w:p w14:paraId="23229D59" w14:textId="4C7317BD" w:rsidR="00FD18DE" w:rsidRPr="002835D9" w:rsidRDefault="00FD18DE" w:rsidP="00E43505">
      <w:pPr>
        <w:pStyle w:val="ListParagraph"/>
        <w:numPr>
          <w:ilvl w:val="0"/>
          <w:numId w:val="11"/>
        </w:numPr>
        <w:spacing w:after="120" w:line="240" w:lineRule="auto"/>
        <w:contextualSpacing w:val="0"/>
        <w:jc w:val="both"/>
        <w:rPr>
          <w:rFonts w:ascii="Times New Roman" w:hAnsi="Times New Roman" w:cs="Times New Roman"/>
          <w:color w:val="000000" w:themeColor="text1"/>
        </w:rPr>
      </w:pPr>
      <w:r w:rsidRPr="002835D9">
        <w:rPr>
          <w:rFonts w:ascii="Times New Roman" w:hAnsi="Times New Roman" w:cs="Times New Roman"/>
          <w:color w:val="000000" w:themeColor="text1"/>
        </w:rPr>
        <w:t>While the July 2022 decriminalization of same-sex sexual activity in Antigua and Barbuda is a step in the right direction, “more action is needed beyond legal change</w:t>
      </w:r>
      <w:r w:rsidR="00F42B8F" w:rsidRPr="002835D9">
        <w:rPr>
          <w:rFonts w:ascii="Times New Roman" w:hAnsi="Times New Roman" w:cs="Times New Roman"/>
          <w:color w:val="000000" w:themeColor="text1"/>
        </w:rPr>
        <w:t>….E</w:t>
      </w:r>
      <w:r w:rsidRPr="002835D9">
        <w:rPr>
          <w:rFonts w:ascii="Times New Roman" w:hAnsi="Times New Roman" w:cs="Times New Roman"/>
          <w:color w:val="000000" w:themeColor="text1"/>
        </w:rPr>
        <w:t xml:space="preserve">ven after laws are reformed, the everyday lives of countless LGBTQI+ people will remain marred by </w:t>
      </w:r>
      <w:proofErr w:type="spellStart"/>
      <w:r w:rsidRPr="002835D9">
        <w:rPr>
          <w:rFonts w:ascii="Times New Roman" w:hAnsi="Times New Roman" w:cs="Times New Roman"/>
          <w:color w:val="000000" w:themeColor="text1"/>
        </w:rPr>
        <w:t>marginalisation</w:t>
      </w:r>
      <w:proofErr w:type="spellEnd"/>
      <w:r w:rsidRPr="002835D9">
        <w:rPr>
          <w:rFonts w:ascii="Times New Roman" w:hAnsi="Times New Roman" w:cs="Times New Roman"/>
          <w:color w:val="000000" w:themeColor="text1"/>
        </w:rPr>
        <w:t xml:space="preserve"> and social exclusion.”</w:t>
      </w:r>
      <w:r w:rsidRPr="002835D9">
        <w:rPr>
          <w:rStyle w:val="FootnoteReference"/>
          <w:rFonts w:ascii="Times New Roman" w:hAnsi="Times New Roman" w:cs="Times New Roman"/>
          <w:color w:val="000000" w:themeColor="text1"/>
        </w:rPr>
        <w:footnoteReference w:id="18"/>
      </w:r>
    </w:p>
    <w:p w14:paraId="3259BDD3" w14:textId="1C51F557" w:rsidR="009228A2" w:rsidRPr="00F42B8F" w:rsidRDefault="0046742B" w:rsidP="00E43505">
      <w:pPr>
        <w:pStyle w:val="ListParagraph"/>
        <w:numPr>
          <w:ilvl w:val="0"/>
          <w:numId w:val="11"/>
        </w:numPr>
        <w:spacing w:after="120" w:line="240" w:lineRule="auto"/>
        <w:contextualSpacing w:val="0"/>
        <w:jc w:val="both"/>
        <w:rPr>
          <w:rFonts w:ascii="Times New Roman" w:eastAsia="Times New Roman" w:hAnsi="Times New Roman" w:cs="Times New Roman"/>
          <w:color w:val="000000" w:themeColor="text1"/>
        </w:rPr>
      </w:pPr>
      <w:r>
        <w:rPr>
          <w:rFonts w:ascii="Times New Roman" w:eastAsiaTheme="majorEastAsia" w:hAnsi="Times New Roman" w:cs="Times New Roman"/>
          <w:color w:val="000000" w:themeColor="text1"/>
        </w:rPr>
        <w:t xml:space="preserve">In addition to a general lack of anti-discrimination legislation that encompasses sexual orientation, </w:t>
      </w:r>
      <w:proofErr w:type="spellStart"/>
      <w:r>
        <w:rPr>
          <w:rFonts w:ascii="Times New Roman" w:eastAsiaTheme="majorEastAsia" w:hAnsi="Times New Roman" w:cs="Times New Roman"/>
          <w:color w:val="000000" w:themeColor="text1"/>
        </w:rPr>
        <w:t>gende</w:t>
      </w:r>
      <w:proofErr w:type="spellEnd"/>
      <w:r>
        <w:rPr>
          <w:rFonts w:ascii="Times New Roman" w:eastAsiaTheme="majorEastAsia" w:hAnsi="Times New Roman" w:cs="Times New Roman"/>
          <w:color w:val="000000" w:themeColor="text1"/>
        </w:rPr>
        <w:t xml:space="preserve"> identity, and gender identity,</w:t>
      </w:r>
      <w:r w:rsidR="002D7225">
        <w:rPr>
          <w:rFonts w:ascii="Times New Roman" w:eastAsiaTheme="majorEastAsia" w:hAnsi="Times New Roman" w:cs="Times New Roman"/>
          <w:color w:val="000000" w:themeColor="text1"/>
        </w:rPr>
        <w:t xml:space="preserve"> </w:t>
      </w:r>
      <w:r w:rsidR="009228A2" w:rsidRPr="002835D9">
        <w:rPr>
          <w:rFonts w:ascii="Times New Roman" w:eastAsiaTheme="majorEastAsia" w:hAnsi="Times New Roman" w:cs="Times New Roman"/>
          <w:color w:val="000000" w:themeColor="text1"/>
        </w:rPr>
        <w:t>“</w:t>
      </w:r>
      <w:r w:rsidR="009228A2" w:rsidRPr="002835D9">
        <w:rPr>
          <w:rFonts w:ascii="Times New Roman" w:hAnsi="Times New Roman" w:cs="Times New Roman"/>
          <w:color w:val="000000" w:themeColor="text1"/>
        </w:rPr>
        <w:t>[t]</w:t>
      </w:r>
      <w:proofErr w:type="spellStart"/>
      <w:r w:rsidR="009228A2" w:rsidRPr="002835D9">
        <w:rPr>
          <w:rFonts w:ascii="Times New Roman" w:hAnsi="Times New Roman" w:cs="Times New Roman"/>
          <w:color w:val="000000" w:themeColor="text1"/>
        </w:rPr>
        <w:t>ransgender</w:t>
      </w:r>
      <w:proofErr w:type="spellEnd"/>
      <w:r w:rsidR="009228A2" w:rsidRPr="002835D9">
        <w:rPr>
          <w:rFonts w:ascii="Times New Roman" w:hAnsi="Times New Roman" w:cs="Times New Roman"/>
          <w:color w:val="000000" w:themeColor="text1"/>
        </w:rPr>
        <w:t xml:space="preserve"> people are particularly vulnerable because there is no mechanism for legal gender recognition in Antigua and Barbuda.”</w:t>
      </w:r>
      <w:r w:rsidR="009228A2" w:rsidRPr="002835D9">
        <w:rPr>
          <w:rStyle w:val="FootnoteReference"/>
          <w:rFonts w:ascii="Times New Roman" w:hAnsi="Times New Roman" w:cs="Times New Roman"/>
          <w:color w:val="000000" w:themeColor="text1"/>
        </w:rPr>
        <w:footnoteReference w:id="19"/>
      </w:r>
      <w:r w:rsidR="009228A2" w:rsidRPr="002835D9">
        <w:rPr>
          <w:rFonts w:ascii="Times New Roman" w:hAnsi="Times New Roman" w:cs="Times New Roman"/>
          <w:color w:val="000000" w:themeColor="text1"/>
        </w:rPr>
        <w:t xml:space="preserve"> Specifically, “[t]here is no law in Antigua and Barbuda or court process under the Civil Procedure Rules for an individual to have their gender marker</w:t>
      </w:r>
      <w:r w:rsidR="002D7225">
        <w:rPr>
          <w:rFonts w:ascii="Times New Roman" w:hAnsi="Times New Roman" w:cs="Times New Roman"/>
          <w:color w:val="000000" w:themeColor="text1"/>
        </w:rPr>
        <w:t>…</w:t>
      </w:r>
      <w:r w:rsidR="009228A2" w:rsidRPr="002835D9">
        <w:rPr>
          <w:rFonts w:ascii="Times New Roman" w:hAnsi="Times New Roman" w:cs="Times New Roman"/>
          <w:color w:val="000000" w:themeColor="text1"/>
        </w:rPr>
        <w:t>changed.”</w:t>
      </w:r>
      <w:r w:rsidR="009228A2" w:rsidRPr="002835D9">
        <w:rPr>
          <w:rStyle w:val="FootnoteReference"/>
          <w:rFonts w:ascii="Times New Roman" w:hAnsi="Times New Roman" w:cs="Times New Roman"/>
          <w:color w:val="000000" w:themeColor="text1"/>
        </w:rPr>
        <w:t xml:space="preserve"> </w:t>
      </w:r>
      <w:r w:rsidR="009228A2" w:rsidRPr="002835D9">
        <w:rPr>
          <w:rStyle w:val="FootnoteReference"/>
          <w:rFonts w:ascii="Times New Roman" w:hAnsi="Times New Roman" w:cs="Times New Roman"/>
          <w:color w:val="000000" w:themeColor="text1"/>
        </w:rPr>
        <w:footnoteReference w:id="20"/>
      </w:r>
      <w:r w:rsidR="009228A2" w:rsidRPr="002835D9">
        <w:rPr>
          <w:rFonts w:ascii="Times New Roman" w:hAnsi="Times New Roman" w:cs="Times New Roman"/>
          <w:color w:val="000000" w:themeColor="text1"/>
        </w:rPr>
        <w:t xml:space="preserve"> </w:t>
      </w:r>
    </w:p>
    <w:p w14:paraId="37D410A2" w14:textId="4E776367" w:rsidR="009228A2" w:rsidRPr="00F42B8F" w:rsidRDefault="009228A2" w:rsidP="00E43505">
      <w:pPr>
        <w:pStyle w:val="ListParagraph"/>
        <w:numPr>
          <w:ilvl w:val="0"/>
          <w:numId w:val="11"/>
        </w:numPr>
        <w:spacing w:after="120" w:line="240" w:lineRule="auto"/>
        <w:contextualSpacing w:val="0"/>
        <w:jc w:val="both"/>
        <w:rPr>
          <w:rFonts w:ascii="Times New Roman" w:eastAsia="Times New Roman" w:hAnsi="Times New Roman" w:cs="Times New Roman"/>
          <w:color w:val="000000" w:themeColor="text1"/>
        </w:rPr>
      </w:pPr>
      <w:r w:rsidRPr="002835D9">
        <w:rPr>
          <w:rFonts w:ascii="Times New Roman" w:eastAsiaTheme="majorEastAsia" w:hAnsi="Times New Roman" w:cs="Times New Roman"/>
          <w:color w:val="000000" w:themeColor="text1"/>
        </w:rPr>
        <w:t xml:space="preserve">Further, Antigua and Barbuda has not enacted any legislation expressly allowing </w:t>
      </w:r>
      <w:r w:rsidR="0084333D">
        <w:rPr>
          <w:rFonts w:ascii="Times New Roman" w:eastAsiaTheme="majorEastAsia" w:hAnsi="Times New Roman" w:cs="Times New Roman"/>
          <w:color w:val="000000" w:themeColor="text1"/>
        </w:rPr>
        <w:t>or</w:t>
      </w:r>
      <w:r w:rsidRPr="002835D9">
        <w:rPr>
          <w:rFonts w:ascii="Times New Roman" w:eastAsiaTheme="majorEastAsia" w:hAnsi="Times New Roman" w:cs="Times New Roman"/>
          <w:color w:val="000000" w:themeColor="text1"/>
        </w:rPr>
        <w:t xml:space="preserve"> recognizing same-sex marriag</w:t>
      </w:r>
      <w:r w:rsidR="00D860D0">
        <w:rPr>
          <w:rFonts w:ascii="Times New Roman" w:eastAsiaTheme="majorEastAsia" w:hAnsi="Times New Roman" w:cs="Times New Roman"/>
          <w:color w:val="000000" w:themeColor="text1"/>
        </w:rPr>
        <w:t>e</w:t>
      </w:r>
      <w:r w:rsidRPr="002835D9">
        <w:rPr>
          <w:rFonts w:ascii="Times New Roman" w:eastAsiaTheme="majorEastAsia" w:hAnsi="Times New Roman" w:cs="Times New Roman"/>
          <w:color w:val="000000" w:themeColor="text1"/>
        </w:rPr>
        <w:t>.</w:t>
      </w:r>
      <w:r w:rsidRPr="002835D9">
        <w:rPr>
          <w:rStyle w:val="FootnoteReference"/>
          <w:rFonts w:ascii="Times New Roman" w:eastAsiaTheme="majorEastAsia" w:hAnsi="Times New Roman" w:cs="Times New Roman"/>
          <w:color w:val="000000" w:themeColor="text1"/>
        </w:rPr>
        <w:footnoteReference w:id="21"/>
      </w:r>
      <w:r w:rsidRPr="002835D9">
        <w:rPr>
          <w:rFonts w:ascii="Times New Roman" w:eastAsiaTheme="majorEastAsia" w:hAnsi="Times New Roman" w:cs="Times New Roman"/>
          <w:color w:val="000000" w:themeColor="text1"/>
        </w:rPr>
        <w:t xml:space="preserve"> </w:t>
      </w:r>
      <w:r w:rsidR="00D860D0">
        <w:rPr>
          <w:rFonts w:ascii="Times New Roman" w:eastAsiaTheme="majorEastAsia" w:hAnsi="Times New Roman" w:cs="Times New Roman"/>
          <w:color w:val="000000" w:themeColor="text1"/>
        </w:rPr>
        <w:t>I</w:t>
      </w:r>
      <w:r w:rsidRPr="002835D9">
        <w:rPr>
          <w:rFonts w:ascii="Times New Roman" w:eastAsiaTheme="majorEastAsia" w:hAnsi="Times New Roman" w:cs="Times New Roman"/>
          <w:color w:val="000000" w:themeColor="text1"/>
        </w:rPr>
        <w:t xml:space="preserve">mmediately following the </w:t>
      </w:r>
      <w:r w:rsidR="0097600E">
        <w:rPr>
          <w:rFonts w:ascii="Times New Roman" w:eastAsiaTheme="majorEastAsia" w:hAnsi="Times New Roman" w:cs="Times New Roman"/>
          <w:color w:val="000000" w:themeColor="text1"/>
        </w:rPr>
        <w:t>decriminalization decision</w:t>
      </w:r>
      <w:r w:rsidRPr="002835D9">
        <w:rPr>
          <w:rFonts w:ascii="Times New Roman" w:eastAsiaTheme="majorEastAsia" w:hAnsi="Times New Roman" w:cs="Times New Roman"/>
          <w:color w:val="000000" w:themeColor="text1"/>
        </w:rPr>
        <w:t xml:space="preserve">, the Information Minister, Melford Nicholas, noted that “the government is not actively seeking to reframe the country’s legislative framework to give LGBTQ+ Antiguans and </w:t>
      </w:r>
      <w:proofErr w:type="spellStart"/>
      <w:r w:rsidRPr="002835D9">
        <w:rPr>
          <w:rFonts w:ascii="Times New Roman" w:eastAsiaTheme="majorEastAsia" w:hAnsi="Times New Roman" w:cs="Times New Roman"/>
          <w:color w:val="000000" w:themeColor="text1"/>
        </w:rPr>
        <w:t>Barbudians</w:t>
      </w:r>
      <w:proofErr w:type="spellEnd"/>
      <w:r w:rsidRPr="002835D9">
        <w:rPr>
          <w:rFonts w:ascii="Times New Roman" w:eastAsiaTheme="majorEastAsia" w:hAnsi="Times New Roman" w:cs="Times New Roman"/>
          <w:color w:val="000000" w:themeColor="text1"/>
        </w:rPr>
        <w:t xml:space="preserve"> rights that include the ability to marry their partners.”</w:t>
      </w:r>
      <w:r w:rsidRPr="002835D9">
        <w:rPr>
          <w:rStyle w:val="FootnoteReference"/>
          <w:rFonts w:ascii="Times New Roman" w:eastAsiaTheme="majorEastAsia" w:hAnsi="Times New Roman" w:cs="Times New Roman"/>
          <w:color w:val="000000" w:themeColor="text1"/>
        </w:rPr>
        <w:footnoteReference w:id="22"/>
      </w:r>
      <w:r w:rsidRPr="002835D9">
        <w:rPr>
          <w:rFonts w:ascii="Times New Roman" w:eastAsiaTheme="majorEastAsia" w:hAnsi="Times New Roman" w:cs="Times New Roman"/>
          <w:color w:val="000000" w:themeColor="text1"/>
        </w:rPr>
        <w:t xml:space="preserve"> </w:t>
      </w:r>
    </w:p>
    <w:p w14:paraId="3A9AE1ED" w14:textId="6BCA246D" w:rsidR="00970B37" w:rsidRDefault="00382841" w:rsidP="00E43505">
      <w:pPr>
        <w:pStyle w:val="SectionHeading"/>
        <w:numPr>
          <w:ilvl w:val="0"/>
          <w:numId w:val="11"/>
        </w:numPr>
        <w:spacing w:before="0" w:after="120" w:line="240" w:lineRule="auto"/>
        <w:rPr>
          <w:b w:val="0"/>
          <w:bCs w:val="0"/>
          <w:color w:val="000000" w:themeColor="text1"/>
        </w:rPr>
      </w:pPr>
      <w:r>
        <w:rPr>
          <w:rFonts w:eastAsiaTheme="majorEastAsia" w:cs="Times New Roman"/>
          <w:b w:val="0"/>
          <w:bCs w:val="0"/>
          <w:color w:val="000000" w:themeColor="text1"/>
        </w:rPr>
        <w:lastRenderedPageBreak/>
        <w:t xml:space="preserve">It is not just politicians and government leaders who are </w:t>
      </w:r>
      <w:proofErr w:type="spellStart"/>
      <w:r>
        <w:rPr>
          <w:rFonts w:eastAsiaTheme="majorEastAsia" w:cs="Times New Roman"/>
          <w:b w:val="0"/>
          <w:bCs w:val="0"/>
          <w:color w:val="000000" w:themeColor="text1"/>
        </w:rPr>
        <w:t>publically</w:t>
      </w:r>
      <w:proofErr w:type="spellEnd"/>
      <w:r>
        <w:rPr>
          <w:rFonts w:eastAsiaTheme="majorEastAsia" w:cs="Times New Roman"/>
          <w:b w:val="0"/>
          <w:bCs w:val="0"/>
          <w:color w:val="000000" w:themeColor="text1"/>
        </w:rPr>
        <w:t xml:space="preserve"> </w:t>
      </w:r>
      <w:r w:rsidR="00BF31B8">
        <w:rPr>
          <w:rFonts w:eastAsiaTheme="majorEastAsia" w:cs="Times New Roman"/>
          <w:b w:val="0"/>
          <w:bCs w:val="0"/>
          <w:color w:val="000000" w:themeColor="text1"/>
        </w:rPr>
        <w:t xml:space="preserve">announcing their opposition to </w:t>
      </w:r>
      <w:r w:rsidR="000F3A05">
        <w:rPr>
          <w:rFonts w:eastAsiaTheme="majorEastAsia" w:cs="Times New Roman"/>
          <w:b w:val="0"/>
          <w:bCs w:val="0"/>
          <w:color w:val="000000" w:themeColor="text1"/>
        </w:rPr>
        <w:t xml:space="preserve">legislative reform that would better secure LGBTQ+ people’s rights, but also prominent religious figures who possess considerable influence over the general public. </w:t>
      </w:r>
      <w:r w:rsidR="00970B37" w:rsidRPr="002835D9">
        <w:rPr>
          <w:b w:val="0"/>
          <w:bCs w:val="0"/>
          <w:color w:val="000000" w:themeColor="text1"/>
        </w:rPr>
        <w:t xml:space="preserve">Christian </w:t>
      </w:r>
      <w:r w:rsidR="000F3A05">
        <w:rPr>
          <w:b w:val="0"/>
          <w:bCs w:val="0"/>
          <w:color w:val="000000" w:themeColor="text1"/>
        </w:rPr>
        <w:t>p</w:t>
      </w:r>
      <w:r w:rsidR="00970B37" w:rsidRPr="002835D9">
        <w:rPr>
          <w:b w:val="0"/>
          <w:bCs w:val="0"/>
          <w:color w:val="000000" w:themeColor="text1"/>
        </w:rPr>
        <w:t>astor and president of the Antigua and Barbuda Council of Church Leaders, Bishop Charlesworth Browne, has openly “campaigned against easing the country’s anti-gay laws,” stating his opposition to easing such laws is “for the sake of our children, the health of the nations, and the preservation of our people.”</w:t>
      </w:r>
      <w:r w:rsidR="00970B37" w:rsidRPr="002835D9">
        <w:rPr>
          <w:rStyle w:val="FootnoteReference"/>
          <w:b w:val="0"/>
          <w:bCs w:val="0"/>
          <w:color w:val="000000" w:themeColor="text1"/>
        </w:rPr>
        <w:footnoteReference w:id="23"/>
      </w:r>
      <w:r w:rsidR="00E6239F">
        <w:rPr>
          <w:b w:val="0"/>
          <w:bCs w:val="0"/>
          <w:color w:val="000000" w:themeColor="text1"/>
        </w:rPr>
        <w:t xml:space="preserve"> This rhetoric further stigmatizes LGBTQ+ people as harmful to children and the fabric of society.</w:t>
      </w:r>
    </w:p>
    <w:p w14:paraId="5AA27E66" w14:textId="19B4127B" w:rsidR="00386D00" w:rsidRPr="002835D9" w:rsidRDefault="00386D00" w:rsidP="00E43505">
      <w:pPr>
        <w:pStyle w:val="SectionHeading"/>
        <w:numPr>
          <w:ilvl w:val="0"/>
          <w:numId w:val="11"/>
        </w:numPr>
        <w:spacing w:before="0" w:after="120" w:line="240" w:lineRule="auto"/>
        <w:rPr>
          <w:b w:val="0"/>
          <w:bCs w:val="0"/>
          <w:color w:val="000000" w:themeColor="text1"/>
        </w:rPr>
      </w:pPr>
      <w:r>
        <w:rPr>
          <w:b w:val="0"/>
          <w:bCs w:val="0"/>
          <w:color w:val="000000" w:themeColor="text1"/>
        </w:rPr>
        <w:t xml:space="preserve">As in many other Caribbean islands, religion plays a significant role in the lives of Antiguans and </w:t>
      </w:r>
      <w:proofErr w:type="spellStart"/>
      <w:r>
        <w:rPr>
          <w:b w:val="0"/>
          <w:bCs w:val="0"/>
          <w:color w:val="000000" w:themeColor="text1"/>
        </w:rPr>
        <w:t>Barbudians</w:t>
      </w:r>
      <w:proofErr w:type="spellEnd"/>
      <w:r>
        <w:rPr>
          <w:b w:val="0"/>
          <w:bCs w:val="0"/>
          <w:color w:val="000000" w:themeColor="text1"/>
        </w:rPr>
        <w:t xml:space="preserve">. Religious leaders therefore have significant influence over citizens and in turn have significant influence over the Government. As a result, many </w:t>
      </w:r>
      <w:r w:rsidR="009470BF">
        <w:rPr>
          <w:b w:val="0"/>
          <w:bCs w:val="0"/>
          <w:color w:val="000000" w:themeColor="text1"/>
        </w:rPr>
        <w:t>g</w:t>
      </w:r>
      <w:r>
        <w:rPr>
          <w:b w:val="0"/>
          <w:bCs w:val="0"/>
          <w:color w:val="000000" w:themeColor="text1"/>
        </w:rPr>
        <w:t xml:space="preserve">overnmental decisions and actions are taken from a standpoint of appeasing religious leaders. </w:t>
      </w:r>
    </w:p>
    <w:p w14:paraId="6B500EE2" w14:textId="2B732021" w:rsidR="008A45C5" w:rsidRPr="002835D9" w:rsidRDefault="00F92CCE" w:rsidP="00E43505">
      <w:pPr>
        <w:pStyle w:val="SectionHeading"/>
        <w:numPr>
          <w:ilvl w:val="0"/>
          <w:numId w:val="11"/>
        </w:numPr>
        <w:spacing w:before="0" w:after="120" w:line="240" w:lineRule="auto"/>
        <w:rPr>
          <w:rStyle w:val="ParagraphChar"/>
          <w:rFonts w:eastAsiaTheme="minorEastAsia" w:cstheme="minorBidi"/>
          <w:b w:val="0"/>
          <w:bCs w:val="0"/>
          <w:color w:val="000000" w:themeColor="text1"/>
        </w:rPr>
      </w:pPr>
      <w:r w:rsidRPr="002835D9">
        <w:rPr>
          <w:rStyle w:val="ParagraphChar"/>
          <w:rFonts w:eastAsiaTheme="minorEastAsia"/>
          <w:b w:val="0"/>
          <w:bCs w:val="0"/>
          <w:color w:val="000000" w:themeColor="text1"/>
        </w:rPr>
        <w:t>Due to</w:t>
      </w:r>
      <w:r>
        <w:rPr>
          <w:rStyle w:val="ParagraphChar"/>
          <w:rFonts w:eastAsiaTheme="minorEastAsia"/>
          <w:color w:val="000000" w:themeColor="text1"/>
        </w:rPr>
        <w:t xml:space="preserve"> </w:t>
      </w:r>
      <w:r w:rsidR="00131000">
        <w:rPr>
          <w:b w:val="0"/>
          <w:bCs w:val="0"/>
          <w:color w:val="000000" w:themeColor="text1"/>
        </w:rPr>
        <w:t xml:space="preserve">the stigma against LGBTQ+ people and the public </w:t>
      </w:r>
      <w:proofErr w:type="spellStart"/>
      <w:r w:rsidR="00131000">
        <w:rPr>
          <w:b w:val="0"/>
          <w:bCs w:val="0"/>
          <w:color w:val="000000" w:themeColor="text1"/>
        </w:rPr>
        <w:t>scruitiny</w:t>
      </w:r>
      <w:proofErr w:type="spellEnd"/>
      <w:r w:rsidR="00131000">
        <w:rPr>
          <w:b w:val="0"/>
          <w:bCs w:val="0"/>
          <w:color w:val="000000" w:themeColor="text1"/>
        </w:rPr>
        <w:t xml:space="preserve"> of LGBTQ+ people and their issues by </w:t>
      </w:r>
      <w:proofErr w:type="spellStart"/>
      <w:r w:rsidR="009B7CB6">
        <w:rPr>
          <w:b w:val="0"/>
          <w:bCs w:val="0"/>
          <w:color w:val="000000" w:themeColor="text1"/>
        </w:rPr>
        <w:t>infliuential</w:t>
      </w:r>
      <w:proofErr w:type="spellEnd"/>
      <w:r w:rsidR="009B7CB6">
        <w:rPr>
          <w:b w:val="0"/>
          <w:bCs w:val="0"/>
          <w:color w:val="000000" w:themeColor="text1"/>
        </w:rPr>
        <w:t xml:space="preserve"> leaders, </w:t>
      </w:r>
      <w:r w:rsidR="008A45C5" w:rsidRPr="002835D9">
        <w:rPr>
          <w:b w:val="0"/>
          <w:bCs w:val="0"/>
          <w:color w:val="000000" w:themeColor="text1"/>
        </w:rPr>
        <w:t>many LGBTQ+ individuals “prefer to stay in the closet” and “continue to face stigma and discrimination in their lives, forcing many to mask their sexual identity out of fear.”</w:t>
      </w:r>
      <w:r w:rsidR="008A45C5" w:rsidRPr="002835D9">
        <w:rPr>
          <w:rStyle w:val="FootnoteReference"/>
          <w:b w:val="0"/>
          <w:bCs w:val="0"/>
          <w:color w:val="000000" w:themeColor="text1"/>
        </w:rPr>
        <w:footnoteReference w:id="24"/>
      </w:r>
    </w:p>
    <w:p w14:paraId="4443D570" w14:textId="0783818F" w:rsidR="009228A2" w:rsidRPr="002835D9" w:rsidRDefault="009228A2" w:rsidP="00E43505">
      <w:pPr>
        <w:pStyle w:val="Paragraph"/>
        <w:numPr>
          <w:ilvl w:val="0"/>
          <w:numId w:val="11"/>
        </w:numPr>
        <w:spacing w:line="240" w:lineRule="auto"/>
        <w:rPr>
          <w:color w:val="000000" w:themeColor="text1"/>
        </w:rPr>
      </w:pPr>
      <w:r w:rsidRPr="002835D9">
        <w:rPr>
          <w:b/>
          <w:bCs/>
          <w:color w:val="000000" w:themeColor="text1"/>
        </w:rPr>
        <w:t xml:space="preserve">Suggested questions </w:t>
      </w:r>
      <w:r w:rsidRPr="002835D9">
        <w:rPr>
          <w:color w:val="000000" w:themeColor="text1"/>
        </w:rPr>
        <w:t>relating to Article 2</w:t>
      </w:r>
      <w:r w:rsidR="00B47505" w:rsidRPr="002835D9">
        <w:rPr>
          <w:color w:val="000000" w:themeColor="text1"/>
        </w:rPr>
        <w:t>6</w:t>
      </w:r>
      <w:r w:rsidRPr="002835D9">
        <w:rPr>
          <w:color w:val="000000" w:themeColor="text1"/>
        </w:rPr>
        <w:t xml:space="preserve"> of the ICCPR:</w:t>
      </w:r>
    </w:p>
    <w:p w14:paraId="093B15B0" w14:textId="42EC0D50" w:rsidR="00302CC0" w:rsidRDefault="00302CC0" w:rsidP="00E43505">
      <w:pPr>
        <w:pStyle w:val="ListParagraph"/>
        <w:numPr>
          <w:ilvl w:val="1"/>
          <w:numId w:val="9"/>
        </w:numPr>
        <w:spacing w:after="120" w:line="240" w:lineRule="auto"/>
        <w:contextualSpacing w:val="0"/>
        <w:jc w:val="both"/>
        <w:rPr>
          <w:rFonts w:ascii="Times New Roman" w:eastAsia="Times New Roman" w:hAnsi="Times New Roman" w:cs="Times New Roman"/>
          <w:color w:val="000000" w:themeColor="text1"/>
        </w:rPr>
      </w:pPr>
      <w:r w:rsidRPr="00F42B8F">
        <w:rPr>
          <w:rFonts w:ascii="Times New Roman" w:eastAsia="Times New Roman" w:hAnsi="Times New Roman" w:cs="Times New Roman"/>
          <w:color w:val="000000" w:themeColor="text1"/>
        </w:rPr>
        <w:t xml:space="preserve">What has Antigua and Barbuda done to ensure that members of the LGBTQ+ community do not experience </w:t>
      </w:r>
      <w:r w:rsidR="001F4BF2">
        <w:rPr>
          <w:rFonts w:ascii="Times New Roman" w:eastAsia="Times New Roman" w:hAnsi="Times New Roman" w:cs="Times New Roman"/>
          <w:color w:val="000000" w:themeColor="text1"/>
        </w:rPr>
        <w:t>discrimination by State and non-State actors</w:t>
      </w:r>
      <w:r w:rsidRPr="00F42B8F">
        <w:rPr>
          <w:rFonts w:ascii="Times New Roman" w:eastAsia="Times New Roman" w:hAnsi="Times New Roman" w:cs="Times New Roman"/>
          <w:color w:val="000000" w:themeColor="text1"/>
        </w:rPr>
        <w:t>?</w:t>
      </w:r>
    </w:p>
    <w:p w14:paraId="4FFFFD1C" w14:textId="77777777" w:rsidR="00F5134A" w:rsidRDefault="00F5134A" w:rsidP="00E43505">
      <w:pPr>
        <w:pStyle w:val="ListParagraph"/>
        <w:numPr>
          <w:ilvl w:val="1"/>
          <w:numId w:val="9"/>
        </w:numPr>
        <w:spacing w:after="120" w:line="240" w:lineRule="auto"/>
        <w:contextualSpacing w:val="0"/>
        <w:jc w:val="both"/>
        <w:rPr>
          <w:rFonts w:ascii="Times New Roman" w:eastAsia="Times New Roman" w:hAnsi="Times New Roman" w:cs="Times New Roman"/>
          <w:color w:val="000000" w:themeColor="text1"/>
        </w:rPr>
      </w:pPr>
      <w:r w:rsidRPr="00F42B8F">
        <w:rPr>
          <w:rFonts w:ascii="Times New Roman" w:eastAsia="Times New Roman" w:hAnsi="Times New Roman" w:cs="Times New Roman"/>
          <w:color w:val="000000" w:themeColor="text1"/>
        </w:rPr>
        <w:t xml:space="preserve">What steps, if any, have been taken to enact </w:t>
      </w:r>
      <w:r>
        <w:rPr>
          <w:rFonts w:ascii="Times New Roman" w:eastAsia="Times New Roman" w:hAnsi="Times New Roman" w:cs="Times New Roman"/>
          <w:color w:val="000000" w:themeColor="text1"/>
        </w:rPr>
        <w:t xml:space="preserve">anti-discrimination </w:t>
      </w:r>
      <w:r w:rsidRPr="00F42B8F">
        <w:rPr>
          <w:rFonts w:ascii="Times New Roman" w:eastAsia="Times New Roman" w:hAnsi="Times New Roman" w:cs="Times New Roman"/>
          <w:color w:val="000000" w:themeColor="text1"/>
        </w:rPr>
        <w:t xml:space="preserve">legislation </w:t>
      </w:r>
      <w:r>
        <w:rPr>
          <w:rFonts w:ascii="Times New Roman" w:eastAsia="Times New Roman" w:hAnsi="Times New Roman" w:cs="Times New Roman"/>
          <w:color w:val="000000" w:themeColor="text1"/>
        </w:rPr>
        <w:t>that prohibits discrimination on the basis of sexual orientation, gender identity, and gender expression?</w:t>
      </w:r>
      <w:r w:rsidRPr="00F42B8F">
        <w:rPr>
          <w:rFonts w:ascii="Times New Roman" w:eastAsia="Times New Roman" w:hAnsi="Times New Roman" w:cs="Times New Roman"/>
          <w:color w:val="000000" w:themeColor="text1"/>
        </w:rPr>
        <w:t xml:space="preserve"> </w:t>
      </w:r>
    </w:p>
    <w:p w14:paraId="2A9E08DE" w14:textId="77777777" w:rsidR="00F5134A" w:rsidRPr="00F42B8F" w:rsidRDefault="00F5134A" w:rsidP="00E43505">
      <w:pPr>
        <w:pStyle w:val="ListParagraph"/>
        <w:numPr>
          <w:ilvl w:val="1"/>
          <w:numId w:val="9"/>
        </w:numPr>
        <w:spacing w:after="120" w:line="240" w:lineRule="auto"/>
        <w:contextualSpacing w:val="0"/>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W</w:t>
      </w:r>
      <w:r w:rsidRPr="00F42B8F">
        <w:rPr>
          <w:rFonts w:ascii="Times New Roman" w:eastAsia="Times New Roman" w:hAnsi="Times New Roman" w:cs="Times New Roman"/>
          <w:color w:val="000000" w:themeColor="text1"/>
        </w:rPr>
        <w:t xml:space="preserve">hat, if any, legal remedies </w:t>
      </w:r>
      <w:r>
        <w:rPr>
          <w:rFonts w:ascii="Times New Roman" w:eastAsia="Times New Roman" w:hAnsi="Times New Roman" w:cs="Times New Roman"/>
          <w:color w:val="000000" w:themeColor="text1"/>
        </w:rPr>
        <w:t>exist for</w:t>
      </w:r>
      <w:r w:rsidRPr="00F42B8F">
        <w:rPr>
          <w:rFonts w:ascii="Times New Roman" w:eastAsia="Times New Roman" w:hAnsi="Times New Roman" w:cs="Times New Roman"/>
          <w:color w:val="000000" w:themeColor="text1"/>
        </w:rPr>
        <w:t xml:space="preserve"> individuals who experience discrimination based on </w:t>
      </w:r>
      <w:r>
        <w:rPr>
          <w:rFonts w:ascii="Times New Roman" w:eastAsia="Times New Roman" w:hAnsi="Times New Roman" w:cs="Times New Roman"/>
          <w:color w:val="000000" w:themeColor="text1"/>
        </w:rPr>
        <w:t xml:space="preserve">their real or perceived </w:t>
      </w:r>
      <w:r w:rsidRPr="00F42B8F">
        <w:rPr>
          <w:rFonts w:ascii="Times New Roman" w:eastAsia="Times New Roman" w:hAnsi="Times New Roman" w:cs="Times New Roman"/>
          <w:color w:val="000000" w:themeColor="text1"/>
        </w:rPr>
        <w:t>sexual orientation</w:t>
      </w:r>
      <w:r>
        <w:rPr>
          <w:rFonts w:ascii="Times New Roman" w:eastAsia="Times New Roman" w:hAnsi="Times New Roman" w:cs="Times New Roman"/>
          <w:color w:val="000000" w:themeColor="text1"/>
        </w:rPr>
        <w:t>, gender identity, and/or gender expression</w:t>
      </w:r>
      <w:r w:rsidRPr="00F42B8F">
        <w:rPr>
          <w:rFonts w:ascii="Times New Roman" w:eastAsia="Times New Roman" w:hAnsi="Times New Roman" w:cs="Times New Roman"/>
          <w:color w:val="000000" w:themeColor="text1"/>
        </w:rPr>
        <w:t>?</w:t>
      </w:r>
    </w:p>
    <w:p w14:paraId="3BF69490" w14:textId="77777777" w:rsidR="00F5134A" w:rsidRPr="00076E52" w:rsidRDefault="00F5134A" w:rsidP="00E43505">
      <w:pPr>
        <w:pStyle w:val="ListParagraph"/>
        <w:numPr>
          <w:ilvl w:val="1"/>
          <w:numId w:val="9"/>
        </w:numPr>
        <w:spacing w:after="120" w:line="240" w:lineRule="auto"/>
        <w:contextualSpacing w:val="0"/>
        <w:jc w:val="both"/>
        <w:rPr>
          <w:rFonts w:ascii="Times New Roman" w:eastAsia="Times New Roman" w:hAnsi="Times New Roman" w:cs="Times New Roman"/>
          <w:color w:val="000000" w:themeColor="text1"/>
        </w:rPr>
      </w:pPr>
      <w:r w:rsidRPr="00076E52">
        <w:rPr>
          <w:rFonts w:ascii="Times New Roman" w:hAnsi="Times New Roman" w:cs="Times New Roman"/>
          <w:color w:val="000000" w:themeColor="text1"/>
        </w:rPr>
        <w:t>What steps</w:t>
      </w:r>
      <w:r w:rsidRPr="000430F6">
        <w:rPr>
          <w:rFonts w:ascii="Times New Roman" w:hAnsi="Times New Roman" w:cs="Times New Roman"/>
          <w:color w:val="000000" w:themeColor="text1"/>
        </w:rPr>
        <w:t>, if any,</w:t>
      </w:r>
      <w:r w:rsidRPr="00076E52">
        <w:rPr>
          <w:rFonts w:ascii="Times New Roman" w:hAnsi="Times New Roman" w:cs="Times New Roman"/>
          <w:color w:val="000000" w:themeColor="text1"/>
        </w:rPr>
        <w:t xml:space="preserve"> have been or are being taken by the Ombudsman to conduct investigations of complaints received by members of the LGBTQ+ community?</w:t>
      </w:r>
    </w:p>
    <w:p w14:paraId="0FB2ACA7" w14:textId="6879A828" w:rsidR="00D10D3D" w:rsidRPr="002835D9" w:rsidRDefault="00E6748F" w:rsidP="00E43505">
      <w:pPr>
        <w:pStyle w:val="ListParagraph"/>
        <w:numPr>
          <w:ilvl w:val="1"/>
          <w:numId w:val="9"/>
        </w:numPr>
        <w:spacing w:after="120" w:line="240" w:lineRule="auto"/>
        <w:contextualSpacing w:val="0"/>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What steps, if any, has the Government taken to create a process for transgender individuals to change their legal gender marker</w:t>
      </w:r>
      <w:r w:rsidR="00D10D3D">
        <w:rPr>
          <w:rFonts w:ascii="Times New Roman" w:eastAsia="Times New Roman" w:hAnsi="Times New Roman" w:cs="Times New Roman"/>
          <w:color w:val="000000" w:themeColor="text1"/>
        </w:rPr>
        <w:t xml:space="preserve"> and names?</w:t>
      </w:r>
    </w:p>
    <w:p w14:paraId="0954B730" w14:textId="77777777" w:rsidR="00D10D3D" w:rsidRPr="00F42B8F" w:rsidRDefault="00D10D3D" w:rsidP="00E43505">
      <w:pPr>
        <w:pStyle w:val="ListParagraph"/>
        <w:numPr>
          <w:ilvl w:val="1"/>
          <w:numId w:val="9"/>
        </w:numPr>
        <w:spacing w:after="120" w:line="240" w:lineRule="auto"/>
        <w:contextualSpacing w:val="0"/>
        <w:jc w:val="both"/>
        <w:rPr>
          <w:rFonts w:ascii="Times New Roman" w:eastAsia="Times New Roman" w:hAnsi="Times New Roman" w:cs="Times New Roman"/>
          <w:color w:val="000000" w:themeColor="text1"/>
        </w:rPr>
      </w:pPr>
      <w:r w:rsidRPr="00F42B8F">
        <w:rPr>
          <w:rFonts w:ascii="Times New Roman" w:eastAsia="Times New Roman" w:hAnsi="Times New Roman" w:cs="Times New Roman"/>
          <w:color w:val="000000" w:themeColor="text1"/>
        </w:rPr>
        <w:t>What step</w:t>
      </w:r>
      <w:r>
        <w:rPr>
          <w:rFonts w:ascii="Times New Roman" w:eastAsia="Times New Roman" w:hAnsi="Times New Roman" w:cs="Times New Roman"/>
          <w:color w:val="000000" w:themeColor="text1"/>
        </w:rPr>
        <w:t>s</w:t>
      </w:r>
      <w:r w:rsidRPr="00F42B8F">
        <w:rPr>
          <w:rFonts w:ascii="Times New Roman" w:eastAsia="Times New Roman" w:hAnsi="Times New Roman" w:cs="Times New Roman"/>
          <w:color w:val="000000" w:themeColor="text1"/>
        </w:rPr>
        <w:t xml:space="preserve">, if any, have been taken to enact legislation to recognize and allow same-sex marriages in Antigua and Barbuda? </w:t>
      </w:r>
    </w:p>
    <w:p w14:paraId="3ABBC798" w14:textId="7EC57D37" w:rsidR="00302CC0" w:rsidRPr="00F42B8F" w:rsidRDefault="00302CC0" w:rsidP="00E43505">
      <w:pPr>
        <w:pStyle w:val="ListParagraph"/>
        <w:numPr>
          <w:ilvl w:val="1"/>
          <w:numId w:val="9"/>
        </w:numPr>
        <w:spacing w:after="120" w:line="240" w:lineRule="auto"/>
        <w:contextualSpacing w:val="0"/>
        <w:jc w:val="both"/>
        <w:rPr>
          <w:rFonts w:ascii="Times New Roman" w:eastAsia="Times New Roman" w:hAnsi="Times New Roman" w:cs="Times New Roman"/>
          <w:color w:val="000000" w:themeColor="text1"/>
        </w:rPr>
      </w:pPr>
      <w:r w:rsidRPr="00F42B8F">
        <w:rPr>
          <w:rFonts w:ascii="Times New Roman" w:eastAsia="Times New Roman" w:hAnsi="Times New Roman" w:cs="Times New Roman"/>
          <w:color w:val="000000" w:themeColor="text1"/>
        </w:rPr>
        <w:t>What steps</w:t>
      </w:r>
      <w:r w:rsidR="00800A57" w:rsidRPr="00F42B8F">
        <w:rPr>
          <w:rFonts w:ascii="Times New Roman" w:eastAsia="Times New Roman" w:hAnsi="Times New Roman" w:cs="Times New Roman"/>
          <w:color w:val="000000" w:themeColor="text1"/>
        </w:rPr>
        <w:t>, if any,</w:t>
      </w:r>
      <w:r w:rsidRPr="00F42B8F">
        <w:rPr>
          <w:rFonts w:ascii="Times New Roman" w:eastAsia="Times New Roman" w:hAnsi="Times New Roman" w:cs="Times New Roman"/>
          <w:color w:val="000000" w:themeColor="text1"/>
        </w:rPr>
        <w:t xml:space="preserve"> has Antigua and Barbuda taken to ensure that social and/or public services provide support to members of the LGBTQ+ community? </w:t>
      </w:r>
    </w:p>
    <w:p w14:paraId="50E4F712" w14:textId="003961DF" w:rsidR="00302CC0" w:rsidRPr="00F42B8F" w:rsidRDefault="00302CC0" w:rsidP="00E43505">
      <w:pPr>
        <w:pStyle w:val="ListParagraph"/>
        <w:numPr>
          <w:ilvl w:val="1"/>
          <w:numId w:val="9"/>
        </w:numPr>
        <w:spacing w:after="120" w:line="240" w:lineRule="auto"/>
        <w:contextualSpacing w:val="0"/>
        <w:jc w:val="both"/>
        <w:rPr>
          <w:rFonts w:ascii="Times New Roman" w:eastAsia="Times New Roman" w:hAnsi="Times New Roman" w:cs="Times New Roman"/>
          <w:color w:val="000000" w:themeColor="text1"/>
        </w:rPr>
      </w:pPr>
      <w:r w:rsidRPr="00F42B8F">
        <w:rPr>
          <w:rFonts w:ascii="Times New Roman" w:eastAsia="Times New Roman" w:hAnsi="Times New Roman" w:cs="Times New Roman"/>
          <w:color w:val="000000" w:themeColor="text1"/>
        </w:rPr>
        <w:t>What has Antigua and Barbuda done to ensure that LGBTQ+ individuals are provided fair access to social services without facing discrimination</w:t>
      </w:r>
      <w:r w:rsidR="009B0F3A">
        <w:rPr>
          <w:rFonts w:ascii="Times New Roman" w:eastAsia="Times New Roman" w:hAnsi="Times New Roman" w:cs="Times New Roman"/>
          <w:color w:val="000000" w:themeColor="text1"/>
        </w:rPr>
        <w:t>?</w:t>
      </w:r>
    </w:p>
    <w:p w14:paraId="3AF4B7E5" w14:textId="5C6115D7" w:rsidR="00717987" w:rsidRPr="002835D9" w:rsidRDefault="009B0F3A" w:rsidP="00E43505">
      <w:pPr>
        <w:pStyle w:val="SectionHeading"/>
        <w:numPr>
          <w:ilvl w:val="0"/>
          <w:numId w:val="9"/>
        </w:numPr>
        <w:spacing w:before="0" w:after="120" w:line="240" w:lineRule="auto"/>
        <w:rPr>
          <w:b w:val="0"/>
          <w:bCs w:val="0"/>
          <w:color w:val="000000" w:themeColor="text1"/>
        </w:rPr>
      </w:pPr>
      <w:r w:rsidRPr="002835D9">
        <w:rPr>
          <w:rFonts w:eastAsia="Times New Roman" w:cs="Times New Roman"/>
          <w:b w:val="0"/>
          <w:bCs w:val="0"/>
          <w:color w:val="000000" w:themeColor="text1"/>
        </w:rPr>
        <w:lastRenderedPageBreak/>
        <w:t>Please d</w:t>
      </w:r>
      <w:r>
        <w:rPr>
          <w:rFonts w:eastAsia="Times New Roman" w:cs="Times New Roman"/>
          <w:b w:val="0"/>
          <w:bCs w:val="0"/>
          <w:color w:val="000000" w:themeColor="text1"/>
        </w:rPr>
        <w:t>escribe any and all education campaigns that the Government has provided t</w:t>
      </w:r>
      <w:r w:rsidR="00CB5830">
        <w:rPr>
          <w:rFonts w:eastAsia="Times New Roman" w:cs="Times New Roman"/>
          <w:b w:val="0"/>
          <w:bCs w:val="0"/>
          <w:color w:val="000000" w:themeColor="text1"/>
        </w:rPr>
        <w:t>o Government officials, service providers, and/or the general public on LGBTQ issues and LGBTQ+ people’s human rights</w:t>
      </w:r>
      <w:r w:rsidR="003551DD">
        <w:rPr>
          <w:rFonts w:eastAsia="Times New Roman" w:cs="Times New Roman"/>
          <w:b w:val="0"/>
          <w:bCs w:val="0"/>
          <w:color w:val="000000" w:themeColor="text1"/>
        </w:rPr>
        <w:t xml:space="preserve"> in an effort to reduce stigma and negative social perception of LGBTQ+ people.</w:t>
      </w:r>
    </w:p>
    <w:p w14:paraId="4F6D05CC" w14:textId="574D7931" w:rsidR="00386D00" w:rsidRPr="002835D9" w:rsidRDefault="00386D00" w:rsidP="00E43505">
      <w:pPr>
        <w:pStyle w:val="SectionHeading"/>
        <w:numPr>
          <w:ilvl w:val="0"/>
          <w:numId w:val="9"/>
        </w:numPr>
        <w:spacing w:before="0" w:after="120" w:line="240" w:lineRule="auto"/>
        <w:rPr>
          <w:b w:val="0"/>
          <w:bCs w:val="0"/>
          <w:color w:val="000000" w:themeColor="text1"/>
        </w:rPr>
      </w:pPr>
      <w:r w:rsidRPr="00386D00">
        <w:rPr>
          <w:b w:val="0"/>
          <w:bCs w:val="0"/>
          <w:color w:val="000000" w:themeColor="text1"/>
        </w:rPr>
        <w:t>Describe any government system tracking discrimination complaints from LGBTQ+ individuals. Provide data disaggregated by sexual orientation, gender identity, and expression; perpetrator-victim relationship; the entity handling the complaint; actions taken; outcomes; and any redress provided to victims.</w:t>
      </w:r>
    </w:p>
    <w:p w14:paraId="3A24446A" w14:textId="2356CBBD" w:rsidR="001A6571" w:rsidRDefault="001A6571" w:rsidP="00E43505">
      <w:pPr>
        <w:pStyle w:val="SectionHeading"/>
        <w:numPr>
          <w:ilvl w:val="0"/>
          <w:numId w:val="9"/>
        </w:numPr>
        <w:spacing w:before="0" w:after="120" w:line="240" w:lineRule="auto"/>
        <w:rPr>
          <w:b w:val="0"/>
          <w:bCs w:val="0"/>
          <w:color w:val="000000" w:themeColor="text1"/>
        </w:rPr>
      </w:pPr>
      <w:r>
        <w:rPr>
          <w:b w:val="0"/>
          <w:bCs w:val="0"/>
          <w:color w:val="000000" w:themeColor="text1"/>
        </w:rPr>
        <w:t xml:space="preserve">Please provide information on any </w:t>
      </w:r>
      <w:r w:rsidR="00F5134A">
        <w:rPr>
          <w:b w:val="0"/>
          <w:bCs w:val="0"/>
          <w:color w:val="000000" w:themeColor="text1"/>
        </w:rPr>
        <w:t xml:space="preserve">and all </w:t>
      </w:r>
      <w:r>
        <w:rPr>
          <w:b w:val="0"/>
          <w:bCs w:val="0"/>
          <w:color w:val="000000" w:themeColor="text1"/>
        </w:rPr>
        <w:t xml:space="preserve">governmental support provided to civil society organizations </w:t>
      </w:r>
      <w:r w:rsidR="00D10D3D">
        <w:rPr>
          <w:b w:val="0"/>
          <w:bCs w:val="0"/>
          <w:color w:val="000000" w:themeColor="text1"/>
        </w:rPr>
        <w:t>whose purpose is to provide support and services to LGBTQ+ people.</w:t>
      </w:r>
    </w:p>
    <w:p w14:paraId="2C078E63" w14:textId="6093EBDE" w:rsidR="00717987" w:rsidRPr="002835D9" w:rsidRDefault="00717987" w:rsidP="00E43505">
      <w:pPr>
        <w:spacing w:after="120" w:line="240" w:lineRule="auto"/>
        <w:rPr>
          <w:color w:val="000000" w:themeColor="text1"/>
        </w:rPr>
      </w:pPr>
    </w:p>
    <w:sectPr w:rsidR="00717987" w:rsidRPr="002835D9" w:rsidSect="002835D9">
      <w:headerReference w:type="default" r:id="rId12"/>
      <w:footerReference w:type="even" r:id="rId13"/>
      <w:footerReference w:type="default" r:id="rId14"/>
      <w:headerReference w:type="first" r:id="rId15"/>
      <w:footerReference w:type="first" r:id="rId16"/>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63D420" w14:textId="77777777" w:rsidR="001505C5" w:rsidRDefault="001505C5">
      <w:pPr>
        <w:spacing w:after="0" w:line="240" w:lineRule="auto"/>
      </w:pPr>
      <w:r>
        <w:separator/>
      </w:r>
    </w:p>
  </w:endnote>
  <w:endnote w:type="continuationSeparator" w:id="0">
    <w:p w14:paraId="5D4A95AC" w14:textId="77777777" w:rsidR="001505C5" w:rsidRDefault="001505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Gill Sans MT">
    <w:panose1 w:val="020B0502020104020203"/>
    <w:charset w:val="00"/>
    <w:family w:val="swiss"/>
    <w:pitch w:val="variable"/>
    <w:sig w:usb0="00000007" w:usb1="00000000" w:usb2="00000000" w:usb3="00000000" w:csb0="00000003"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916862663"/>
      <w:docPartObj>
        <w:docPartGallery w:val="Page Numbers (Bottom of Page)"/>
        <w:docPartUnique/>
      </w:docPartObj>
    </w:sdtPr>
    <w:sdtEndPr>
      <w:rPr>
        <w:rStyle w:val="PageNumber"/>
      </w:rPr>
    </w:sdtEndPr>
    <w:sdtContent>
      <w:p w14:paraId="4D5593EC" w14:textId="396DDDB5" w:rsidR="003B04C7" w:rsidRDefault="003B04C7" w:rsidP="004C481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2D6436C" w14:textId="77777777" w:rsidR="003B04C7" w:rsidRDefault="003B04C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51726357"/>
      <w:docPartObj>
        <w:docPartGallery w:val="Page Numbers (Bottom of Page)"/>
        <w:docPartUnique/>
      </w:docPartObj>
    </w:sdtPr>
    <w:sdtEndPr>
      <w:rPr>
        <w:rStyle w:val="PageNumber"/>
      </w:rPr>
    </w:sdtEndPr>
    <w:sdtContent>
      <w:p w14:paraId="4533F6E9" w14:textId="7A36E64D" w:rsidR="003B04C7" w:rsidRDefault="003B04C7" w:rsidP="004C481A">
        <w:pPr>
          <w:pStyle w:val="Footer"/>
          <w:framePr w:wrap="none" w:vAnchor="text" w:hAnchor="margin" w:xAlign="center" w:y="1"/>
          <w:rPr>
            <w:rStyle w:val="PageNumber"/>
          </w:rPr>
        </w:pPr>
        <w:r w:rsidRPr="002835D9">
          <w:rPr>
            <w:rStyle w:val="PageNumber"/>
            <w:rFonts w:ascii="Times New Roman" w:hAnsi="Times New Roman" w:cs="Times New Roman"/>
          </w:rPr>
          <w:fldChar w:fldCharType="begin"/>
        </w:r>
        <w:r w:rsidRPr="002835D9">
          <w:rPr>
            <w:rStyle w:val="PageNumber"/>
            <w:rFonts w:ascii="Times New Roman" w:hAnsi="Times New Roman" w:cs="Times New Roman"/>
          </w:rPr>
          <w:instrText xml:space="preserve"> PAGE </w:instrText>
        </w:r>
        <w:r w:rsidRPr="002835D9">
          <w:rPr>
            <w:rStyle w:val="PageNumber"/>
            <w:rFonts w:ascii="Times New Roman" w:hAnsi="Times New Roman" w:cs="Times New Roman"/>
          </w:rPr>
          <w:fldChar w:fldCharType="separate"/>
        </w:r>
        <w:r w:rsidRPr="002835D9">
          <w:rPr>
            <w:rStyle w:val="PageNumber"/>
            <w:rFonts w:ascii="Times New Roman" w:hAnsi="Times New Roman" w:cs="Times New Roman"/>
            <w:noProof/>
          </w:rPr>
          <w:t>2</w:t>
        </w:r>
        <w:r w:rsidRPr="002835D9">
          <w:rPr>
            <w:rStyle w:val="PageNumber"/>
            <w:rFonts w:ascii="Times New Roman" w:hAnsi="Times New Roman" w:cs="Times New Roman"/>
          </w:rPr>
          <w:fldChar w:fldCharType="end"/>
        </w:r>
      </w:p>
    </w:sdtContent>
  </w:sdt>
  <w:p w14:paraId="27ED123B" w14:textId="617A9D4C" w:rsidR="00AB0618" w:rsidRDefault="00AB0618" w:rsidP="00AB0618">
    <w:pPr>
      <w:pStyle w:val="Footer"/>
      <w:rPr>
        <w:lang w:val="de-DE"/>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C6769B" w14:textId="5BD41BA8" w:rsidR="003B04C7" w:rsidRPr="002835D9" w:rsidRDefault="003B04C7" w:rsidP="002835D9">
    <w:pPr>
      <w:widowControl w:val="0"/>
      <w:jc w:val="center"/>
      <w:rPr>
        <w:lang w:val="de-DE"/>
      </w:rPr>
    </w:pPr>
    <w:r w:rsidRPr="2B24B6BB">
      <w:rPr>
        <w:rFonts w:ascii="Gill Sans MT" w:eastAsia="Gill Sans MT" w:hAnsi="Gill Sans MT" w:cs="Gill Sans MT"/>
        <w:color w:val="333333"/>
        <w:sz w:val="18"/>
        <w:szCs w:val="18"/>
        <w:lang w:val="en"/>
      </w:rPr>
      <w:t xml:space="preserve">The Advocates for Human Rights </w:t>
    </w:r>
    <w:r w:rsidRPr="2B24B6BB">
      <w:rPr>
        <w:rFonts w:ascii="Verdana" w:eastAsia="Verdana" w:hAnsi="Verdana" w:cs="Verdana"/>
        <w:color w:val="333333"/>
        <w:sz w:val="18"/>
        <w:szCs w:val="18"/>
        <w:lang w:val="en"/>
      </w:rPr>
      <w:t>•</w:t>
    </w:r>
    <w:r w:rsidRPr="2B24B6BB">
      <w:rPr>
        <w:rFonts w:ascii="Gill Sans MT" w:eastAsia="Gill Sans MT" w:hAnsi="Gill Sans MT" w:cs="Gill Sans MT"/>
        <w:color w:val="333333"/>
        <w:sz w:val="18"/>
        <w:szCs w:val="18"/>
        <w:lang w:val="en"/>
      </w:rPr>
      <w:t xml:space="preserve"> 330 Second Avenue South </w:t>
    </w:r>
    <w:r w:rsidRPr="2B24B6BB">
      <w:rPr>
        <w:rFonts w:ascii="Verdana" w:eastAsia="Verdana" w:hAnsi="Verdana" w:cs="Verdana"/>
        <w:color w:val="333333"/>
        <w:sz w:val="18"/>
        <w:szCs w:val="18"/>
        <w:lang w:val="en"/>
      </w:rPr>
      <w:t>•</w:t>
    </w:r>
    <w:r w:rsidRPr="2B24B6BB">
      <w:rPr>
        <w:rFonts w:ascii="Gill Sans MT" w:eastAsia="Gill Sans MT" w:hAnsi="Gill Sans MT" w:cs="Gill Sans MT"/>
        <w:color w:val="333333"/>
        <w:sz w:val="18"/>
        <w:szCs w:val="18"/>
        <w:lang w:val="en"/>
      </w:rPr>
      <w:t xml:space="preserve"> Suite 800 </w:t>
    </w:r>
    <w:r w:rsidRPr="2B24B6BB">
      <w:rPr>
        <w:rFonts w:ascii="Verdana" w:eastAsia="Verdana" w:hAnsi="Verdana" w:cs="Verdana"/>
        <w:color w:val="333333"/>
        <w:sz w:val="18"/>
        <w:szCs w:val="18"/>
        <w:lang w:val="en"/>
      </w:rPr>
      <w:t>•</w:t>
    </w:r>
    <w:r w:rsidRPr="2B24B6BB">
      <w:rPr>
        <w:rFonts w:ascii="Gill Sans MT" w:eastAsia="Gill Sans MT" w:hAnsi="Gill Sans MT" w:cs="Gill Sans MT"/>
        <w:color w:val="333333"/>
        <w:sz w:val="18"/>
        <w:szCs w:val="18"/>
        <w:lang w:val="en"/>
      </w:rPr>
      <w:t xml:space="preserve"> Minneapolis, MN  55401 </w:t>
    </w:r>
    <w:r w:rsidRPr="2B24B6BB">
      <w:rPr>
        <w:rFonts w:ascii="Verdana" w:eastAsia="Verdana" w:hAnsi="Verdana" w:cs="Verdana"/>
        <w:color w:val="333333"/>
        <w:sz w:val="18"/>
        <w:szCs w:val="18"/>
        <w:lang w:val="en"/>
      </w:rPr>
      <w:t>•</w:t>
    </w:r>
    <w:r w:rsidRPr="2B24B6BB">
      <w:rPr>
        <w:rFonts w:ascii="Gill Sans MT" w:eastAsia="Gill Sans MT" w:hAnsi="Gill Sans MT" w:cs="Gill Sans MT"/>
        <w:color w:val="333333"/>
        <w:sz w:val="18"/>
        <w:szCs w:val="18"/>
        <w:lang w:val="en"/>
      </w:rPr>
      <w:t xml:space="preserve"> USA </w:t>
    </w:r>
    <w:r>
      <w:br/>
    </w:r>
    <w:r w:rsidRPr="2B24B6BB">
      <w:rPr>
        <w:rFonts w:ascii="Gill Sans MT" w:eastAsia="Gill Sans MT" w:hAnsi="Gill Sans MT" w:cs="Gill Sans MT"/>
        <w:color w:val="333333"/>
        <w:sz w:val="18"/>
        <w:szCs w:val="18"/>
        <w:lang w:val="de-DE"/>
      </w:rPr>
      <w:t xml:space="preserve">Tel:  612-341-3302 </w:t>
    </w:r>
    <w:r w:rsidRPr="2B24B6BB">
      <w:rPr>
        <w:rFonts w:ascii="Verdana" w:eastAsia="Verdana" w:hAnsi="Verdana" w:cs="Verdana"/>
        <w:color w:val="333333"/>
        <w:sz w:val="18"/>
        <w:szCs w:val="18"/>
        <w:lang w:val="de-DE"/>
      </w:rPr>
      <w:t>•</w:t>
    </w:r>
    <w:r w:rsidRPr="2B24B6BB">
      <w:rPr>
        <w:rFonts w:ascii="Gill Sans MT" w:eastAsia="Gill Sans MT" w:hAnsi="Gill Sans MT" w:cs="Gill Sans MT"/>
        <w:color w:val="333333"/>
        <w:sz w:val="18"/>
        <w:szCs w:val="18"/>
        <w:lang w:val="de-DE"/>
      </w:rPr>
      <w:t xml:space="preserve"> Fax:  612-341-2971 </w:t>
    </w:r>
    <w:r w:rsidRPr="2B24B6BB">
      <w:rPr>
        <w:rFonts w:ascii="Verdana" w:eastAsia="Verdana" w:hAnsi="Verdana" w:cs="Verdana"/>
        <w:color w:val="333333"/>
        <w:sz w:val="18"/>
        <w:szCs w:val="18"/>
        <w:lang w:val="de-DE"/>
      </w:rPr>
      <w:t>•</w:t>
    </w:r>
    <w:r w:rsidRPr="2B24B6BB">
      <w:rPr>
        <w:rFonts w:ascii="Gill Sans MT" w:eastAsia="Gill Sans MT" w:hAnsi="Gill Sans MT" w:cs="Gill Sans MT"/>
        <w:color w:val="333333"/>
        <w:sz w:val="18"/>
        <w:szCs w:val="18"/>
        <w:lang w:val="de-DE"/>
      </w:rPr>
      <w:t xml:space="preserve"> Email: </w:t>
    </w:r>
    <w:hyperlink r:id="rId1">
      <w:r w:rsidRPr="2B24B6BB">
        <w:rPr>
          <w:rStyle w:val="Hyperlink"/>
          <w:rFonts w:ascii="Gill Sans MT" w:eastAsia="Gill Sans MT" w:hAnsi="Gill Sans MT" w:cs="Gill Sans MT"/>
          <w:sz w:val="18"/>
          <w:szCs w:val="18"/>
          <w:lang w:val="de-DE"/>
        </w:rPr>
        <w:t>hrights@advrights.org</w:t>
      </w:r>
    </w:hyperlink>
    <w:r w:rsidRPr="2B24B6BB">
      <w:rPr>
        <w:rFonts w:ascii="Gill Sans MT" w:eastAsia="Gill Sans MT" w:hAnsi="Gill Sans MT" w:cs="Gill Sans MT"/>
        <w:color w:val="333333"/>
        <w:sz w:val="18"/>
        <w:szCs w:val="18"/>
        <w:lang w:val="de-DE"/>
      </w:rPr>
      <w:t xml:space="preserve"> </w:t>
    </w:r>
    <w:r w:rsidRPr="2B24B6BB">
      <w:rPr>
        <w:rFonts w:ascii="Verdana" w:eastAsia="Verdana" w:hAnsi="Verdana" w:cs="Verdana"/>
        <w:color w:val="333333"/>
        <w:sz w:val="18"/>
        <w:szCs w:val="18"/>
        <w:lang w:val="de-DE"/>
      </w:rPr>
      <w:t>•</w:t>
    </w:r>
    <w:r w:rsidRPr="2B24B6BB">
      <w:rPr>
        <w:rFonts w:ascii="Gill Sans MT" w:eastAsia="Gill Sans MT" w:hAnsi="Gill Sans MT" w:cs="Gill Sans MT"/>
        <w:color w:val="333333"/>
        <w:sz w:val="18"/>
        <w:szCs w:val="18"/>
        <w:lang w:val="de-DE"/>
      </w:rPr>
      <w:t xml:space="preserve"> </w:t>
    </w:r>
    <w:hyperlink>
      <w:r w:rsidRPr="2B24B6BB">
        <w:rPr>
          <w:rStyle w:val="Hyperlink"/>
          <w:rFonts w:ascii="Gill Sans MT" w:eastAsia="Gill Sans MT" w:hAnsi="Gill Sans MT" w:cs="Gill Sans MT"/>
          <w:sz w:val="18"/>
          <w:szCs w:val="18"/>
          <w:lang w:val="de-DE"/>
        </w:rPr>
        <w:t>www.TheAdvocatesForHumanRights.org</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2430119" w14:textId="77777777" w:rsidR="001505C5" w:rsidRDefault="001505C5">
      <w:pPr>
        <w:spacing w:after="0" w:line="240" w:lineRule="auto"/>
      </w:pPr>
      <w:r>
        <w:separator/>
      </w:r>
    </w:p>
  </w:footnote>
  <w:footnote w:type="continuationSeparator" w:id="0">
    <w:p w14:paraId="6F68E6B8" w14:textId="77777777" w:rsidR="001505C5" w:rsidRDefault="001505C5">
      <w:pPr>
        <w:spacing w:after="0" w:line="240" w:lineRule="auto"/>
      </w:pPr>
      <w:r>
        <w:continuationSeparator/>
      </w:r>
    </w:p>
  </w:footnote>
  <w:footnote w:id="1">
    <w:p w14:paraId="03C5E85D" w14:textId="0ACE403D" w:rsidR="0009225E" w:rsidRPr="004E1599" w:rsidRDefault="0009225E">
      <w:pPr>
        <w:pStyle w:val="FootnoteText"/>
        <w:rPr>
          <w:rFonts w:ascii="Times New Roman" w:hAnsi="Times New Roman" w:cs="Times New Roman"/>
        </w:rPr>
      </w:pPr>
      <w:r w:rsidRPr="004E1599">
        <w:rPr>
          <w:rStyle w:val="FootnoteReference"/>
          <w:rFonts w:ascii="Times New Roman" w:hAnsi="Times New Roman" w:cs="Times New Roman"/>
        </w:rPr>
        <w:footnoteRef/>
      </w:r>
      <w:r w:rsidRPr="004E1599">
        <w:rPr>
          <w:rFonts w:ascii="Times New Roman" w:hAnsi="Times New Roman" w:cs="Times New Roman"/>
        </w:rPr>
        <w:t xml:space="preserve"> Library of Congress, </w:t>
      </w:r>
      <w:r w:rsidRPr="004E1599">
        <w:rPr>
          <w:rFonts w:ascii="Times New Roman" w:hAnsi="Times New Roman" w:cs="Times New Roman"/>
          <w:i/>
          <w:iCs/>
        </w:rPr>
        <w:t>Antigua and Barbuda: Buggery Laws Struck Down as Unconstitutional</w:t>
      </w:r>
      <w:r w:rsidRPr="004E1599">
        <w:rPr>
          <w:rFonts w:ascii="Times New Roman" w:hAnsi="Times New Roman" w:cs="Times New Roman"/>
        </w:rPr>
        <w:t>, accessed Dec. 6, 2024, https://www.loc.gov/item/global-legal-monitor/2022-08-15/antigua-and-barbuda-buggery-laws-struck-down-as-unconstitutional.</w:t>
      </w:r>
    </w:p>
  </w:footnote>
  <w:footnote w:id="2">
    <w:p w14:paraId="4301C63A" w14:textId="6C8BF617" w:rsidR="0014367E" w:rsidRPr="004E1599" w:rsidRDefault="0014367E">
      <w:pPr>
        <w:pStyle w:val="FootnoteText"/>
        <w:rPr>
          <w:rStyle w:val="FootnoteReference"/>
          <w:rFonts w:ascii="Times New Roman" w:hAnsi="Times New Roman" w:cs="Times New Roman"/>
        </w:rPr>
      </w:pPr>
      <w:r w:rsidRPr="004E1599">
        <w:rPr>
          <w:rStyle w:val="FootnoteReference"/>
          <w:rFonts w:ascii="Times New Roman" w:hAnsi="Times New Roman" w:cs="Times New Roman"/>
        </w:rPr>
        <w:footnoteRef/>
      </w:r>
      <w:r w:rsidRPr="004E1599">
        <w:rPr>
          <w:rFonts w:ascii="Times New Roman" w:hAnsi="Times New Roman" w:cs="Times New Roman"/>
        </w:rPr>
        <w:t xml:space="preserve"> </w:t>
      </w:r>
      <w:proofErr w:type="spellStart"/>
      <w:r w:rsidR="00940CAF" w:rsidRPr="004E1599">
        <w:rPr>
          <w:rFonts w:ascii="Times New Roman" w:hAnsi="Times New Roman" w:cs="Times New Roman"/>
        </w:rPr>
        <w:t>WorldLII</w:t>
      </w:r>
      <w:proofErr w:type="spellEnd"/>
      <w:r w:rsidR="00940CAF" w:rsidRPr="004E1599">
        <w:rPr>
          <w:rFonts w:ascii="Times New Roman" w:hAnsi="Times New Roman" w:cs="Times New Roman"/>
        </w:rPr>
        <w:t xml:space="preserve">, </w:t>
      </w:r>
      <w:r w:rsidR="00940CAF" w:rsidRPr="004E1599">
        <w:rPr>
          <w:rFonts w:ascii="Times New Roman" w:hAnsi="Times New Roman" w:cs="Times New Roman"/>
          <w:i/>
          <w:iCs/>
        </w:rPr>
        <w:t>Eastern Caribbean Supreme Court</w:t>
      </w:r>
      <w:r w:rsidR="00940CAF" w:rsidRPr="004E1599">
        <w:rPr>
          <w:rFonts w:ascii="Times New Roman" w:hAnsi="Times New Roman" w:cs="Times New Roman"/>
        </w:rPr>
        <w:t>, accessed Dec. 6, 2024, http://www.worldlii.org/catalog/55933.html.</w:t>
      </w:r>
      <w:r w:rsidR="00940CAF" w:rsidRPr="004E1599">
        <w:rPr>
          <w:rStyle w:val="FootnoteReference"/>
          <w:rFonts w:ascii="Times New Roman" w:hAnsi="Times New Roman" w:cs="Times New Roman"/>
        </w:rPr>
        <w:t xml:space="preserve"> </w:t>
      </w:r>
    </w:p>
  </w:footnote>
  <w:footnote w:id="3">
    <w:p w14:paraId="52D50473" w14:textId="7EBBA9CC" w:rsidR="00401C19" w:rsidRPr="004E1599" w:rsidRDefault="00401C19">
      <w:pPr>
        <w:pStyle w:val="FootnoteText"/>
        <w:rPr>
          <w:rFonts w:ascii="Times New Roman" w:hAnsi="Times New Roman" w:cs="Times New Roman"/>
        </w:rPr>
      </w:pPr>
      <w:r w:rsidRPr="004E1599">
        <w:rPr>
          <w:rStyle w:val="FootnoteReference"/>
          <w:rFonts w:ascii="Times New Roman" w:hAnsi="Times New Roman" w:cs="Times New Roman"/>
        </w:rPr>
        <w:footnoteRef/>
      </w:r>
      <w:r w:rsidRPr="004E1599">
        <w:rPr>
          <w:rFonts w:ascii="Times New Roman" w:hAnsi="Times New Roman" w:cs="Times New Roman"/>
        </w:rPr>
        <w:t xml:space="preserve"> </w:t>
      </w:r>
      <w:r w:rsidR="00002E7F" w:rsidRPr="004E1599">
        <w:rPr>
          <w:rFonts w:ascii="Times New Roman" w:hAnsi="Times New Roman" w:cs="Times New Roman"/>
        </w:rPr>
        <w:t xml:space="preserve">Kadeem Joseph, </w:t>
      </w:r>
      <w:r w:rsidR="00973BFB" w:rsidRPr="004E1599">
        <w:rPr>
          <w:rFonts w:ascii="Times New Roman" w:hAnsi="Times New Roman" w:cs="Times New Roman"/>
          <w:i/>
          <w:iCs/>
        </w:rPr>
        <w:t>Gov’t will not ‘actively’ implement LGBT-focused legislation</w:t>
      </w:r>
      <w:r w:rsidR="00973BFB" w:rsidRPr="004E1599">
        <w:rPr>
          <w:rFonts w:ascii="Times New Roman" w:hAnsi="Times New Roman" w:cs="Times New Roman"/>
        </w:rPr>
        <w:t xml:space="preserve">, Antigua </w:t>
      </w:r>
      <w:r w:rsidR="004E42A1" w:rsidRPr="004E1599">
        <w:rPr>
          <w:rFonts w:ascii="Times New Roman" w:hAnsi="Times New Roman" w:cs="Times New Roman"/>
        </w:rPr>
        <w:t>Observer</w:t>
      </w:r>
      <w:r w:rsidR="002B2B4A" w:rsidRPr="004E1599">
        <w:rPr>
          <w:rFonts w:ascii="Times New Roman" w:hAnsi="Times New Roman" w:cs="Times New Roman"/>
        </w:rPr>
        <w:t xml:space="preserve">, July 7, 2022, </w:t>
      </w:r>
      <w:r w:rsidR="002B2B4A" w:rsidRPr="004E1599">
        <w:rPr>
          <w:rFonts w:ascii="Times New Roman" w:hAnsi="Times New Roman" w:cs="Times New Roman"/>
        </w:rPr>
        <w:t>https://antiguaobserver.com/govt-will-not-actively-implement-lgbt-focused-legislation/</w:t>
      </w:r>
      <w:r w:rsidR="002B2B4A" w:rsidRPr="004E1599">
        <w:rPr>
          <w:rFonts w:ascii="Times New Roman" w:hAnsi="Times New Roman" w:cs="Times New Roman"/>
        </w:rPr>
        <w:t>.</w:t>
      </w:r>
    </w:p>
  </w:footnote>
  <w:footnote w:id="4">
    <w:p w14:paraId="3428EE0E" w14:textId="381C8C07" w:rsidR="001A1A15" w:rsidRPr="004E1599" w:rsidRDefault="001A1A15">
      <w:pPr>
        <w:pStyle w:val="FootnoteText"/>
        <w:rPr>
          <w:rFonts w:ascii="Times New Roman" w:hAnsi="Times New Roman" w:cs="Times New Roman"/>
        </w:rPr>
      </w:pPr>
      <w:r w:rsidRPr="004E1599">
        <w:rPr>
          <w:rStyle w:val="FootnoteReference"/>
          <w:rFonts w:ascii="Times New Roman" w:hAnsi="Times New Roman" w:cs="Times New Roman"/>
        </w:rPr>
        <w:footnoteRef/>
      </w:r>
      <w:r w:rsidRPr="004E1599">
        <w:rPr>
          <w:rFonts w:ascii="Times New Roman" w:hAnsi="Times New Roman" w:cs="Times New Roman"/>
        </w:rPr>
        <w:t xml:space="preserve"> </w:t>
      </w:r>
      <w:r w:rsidR="00490E67" w:rsidRPr="004E1599">
        <w:rPr>
          <w:rFonts w:ascii="Times New Roman" w:hAnsi="Times New Roman" w:cs="Times New Roman"/>
        </w:rPr>
        <w:t>DECIDES</w:t>
      </w:r>
      <w:r w:rsidR="00214043" w:rsidRPr="004E1599">
        <w:rPr>
          <w:rFonts w:ascii="Times New Roman" w:hAnsi="Times New Roman" w:cs="Times New Roman"/>
        </w:rPr>
        <w:t xml:space="preserve"> Antigua and Barbuda</w:t>
      </w:r>
      <w:r w:rsidR="00C14A34" w:rsidRPr="004E1599">
        <w:rPr>
          <w:rFonts w:ascii="Times New Roman" w:hAnsi="Times New Roman" w:cs="Times New Roman"/>
        </w:rPr>
        <w:t xml:space="preserve">, </w:t>
      </w:r>
      <w:r w:rsidR="00C14A34" w:rsidRPr="004E1599">
        <w:rPr>
          <w:rFonts w:ascii="Times New Roman" w:hAnsi="Times New Roman" w:cs="Times New Roman"/>
          <w:i/>
          <w:iCs/>
        </w:rPr>
        <w:t xml:space="preserve">Research Report on Issues Related to Stigma, Discriminations and Human Rights of LGBTI People in Antigua and Barbuda, </w:t>
      </w:r>
      <w:r w:rsidR="0083259B" w:rsidRPr="004E1599">
        <w:rPr>
          <w:rFonts w:ascii="Times New Roman" w:hAnsi="Times New Roman" w:cs="Times New Roman"/>
        </w:rPr>
        <w:t>by Schuyler Esprit, Koren Norton, Anne Harewood George, and Alexandrina Wong</w:t>
      </w:r>
      <w:r w:rsidR="00634D0E" w:rsidRPr="004E1599">
        <w:rPr>
          <w:rFonts w:ascii="Times New Roman" w:hAnsi="Times New Roman" w:cs="Times New Roman"/>
        </w:rPr>
        <w:t xml:space="preserve"> (</w:t>
      </w:r>
      <w:r w:rsidR="005B5FEB" w:rsidRPr="004E1599">
        <w:rPr>
          <w:rFonts w:ascii="Times New Roman" w:hAnsi="Times New Roman" w:cs="Times New Roman"/>
        </w:rPr>
        <w:t>Saint John’s</w:t>
      </w:r>
      <w:r w:rsidR="005C0DB4" w:rsidRPr="004E1599">
        <w:rPr>
          <w:rFonts w:ascii="Times New Roman" w:hAnsi="Times New Roman" w:cs="Times New Roman"/>
        </w:rPr>
        <w:t>: DECIDES Antigua and Barbuda, 2022),</w:t>
      </w:r>
      <w:r w:rsidR="00C14A34" w:rsidRPr="004E1599">
        <w:rPr>
          <w:rFonts w:ascii="Times New Roman" w:hAnsi="Times New Roman" w:cs="Times New Roman"/>
          <w:i/>
          <w:iCs/>
        </w:rPr>
        <w:t xml:space="preserve"> </w:t>
      </w:r>
      <w:r w:rsidRPr="004E1599">
        <w:rPr>
          <w:rFonts w:ascii="Times New Roman" w:hAnsi="Times New Roman" w:cs="Times New Roman"/>
        </w:rPr>
        <w:t>40, 45.</w:t>
      </w:r>
    </w:p>
  </w:footnote>
  <w:footnote w:id="5">
    <w:p w14:paraId="6177CE01" w14:textId="0C805C22" w:rsidR="001F0404" w:rsidRPr="004E1599" w:rsidRDefault="001F0404" w:rsidP="008F47C2">
      <w:pPr>
        <w:pStyle w:val="FootnoteText"/>
        <w:contextualSpacing/>
        <w:rPr>
          <w:rFonts w:ascii="Times New Roman" w:hAnsi="Times New Roman" w:cs="Times New Roman"/>
        </w:rPr>
      </w:pPr>
      <w:r w:rsidRPr="004E1599">
        <w:rPr>
          <w:rStyle w:val="FootnoteReference"/>
          <w:rFonts w:ascii="Times New Roman" w:hAnsi="Times New Roman" w:cs="Times New Roman"/>
        </w:rPr>
        <w:footnoteRef/>
      </w:r>
      <w:r w:rsidRPr="004E1599">
        <w:rPr>
          <w:rFonts w:ascii="Times New Roman" w:hAnsi="Times New Roman" w:cs="Times New Roman"/>
        </w:rPr>
        <w:t xml:space="preserve"> Outright International, </w:t>
      </w:r>
      <w:r w:rsidRPr="004E1599">
        <w:rPr>
          <w:rFonts w:ascii="Times New Roman" w:hAnsi="Times New Roman" w:cs="Times New Roman"/>
          <w:i/>
          <w:iCs/>
        </w:rPr>
        <w:t xml:space="preserve">Antigua and Barbuda: </w:t>
      </w:r>
      <w:proofErr w:type="gramStart"/>
      <w:r w:rsidRPr="004E1599">
        <w:rPr>
          <w:rFonts w:ascii="Times New Roman" w:hAnsi="Times New Roman" w:cs="Times New Roman"/>
          <w:i/>
          <w:iCs/>
        </w:rPr>
        <w:t>At a Glance</w:t>
      </w:r>
      <w:proofErr w:type="gramEnd"/>
      <w:r w:rsidR="0092442D" w:rsidRPr="004E1599">
        <w:rPr>
          <w:rFonts w:ascii="Times New Roman" w:hAnsi="Times New Roman" w:cs="Times New Roman"/>
        </w:rPr>
        <w:t>, accessed</w:t>
      </w:r>
      <w:r w:rsidR="0092442D" w:rsidRPr="004E1599">
        <w:rPr>
          <w:rFonts w:ascii="Times New Roman" w:hAnsi="Times New Roman" w:cs="Times New Roman"/>
          <w:i/>
          <w:iCs/>
        </w:rPr>
        <w:t xml:space="preserve"> </w:t>
      </w:r>
      <w:r w:rsidRPr="004E1599">
        <w:rPr>
          <w:rFonts w:ascii="Times New Roman" w:hAnsi="Times New Roman" w:cs="Times New Roman"/>
        </w:rPr>
        <w:t>Nov 6, 2024</w:t>
      </w:r>
      <w:r w:rsidR="0092442D" w:rsidRPr="004E1599">
        <w:rPr>
          <w:rFonts w:ascii="Times New Roman" w:hAnsi="Times New Roman" w:cs="Times New Roman"/>
        </w:rPr>
        <w:t>,</w:t>
      </w:r>
      <w:r w:rsidRPr="004E1599">
        <w:rPr>
          <w:rFonts w:ascii="Times New Roman" w:hAnsi="Times New Roman" w:cs="Times New Roman"/>
          <w:i/>
          <w:iCs/>
        </w:rPr>
        <w:t xml:space="preserve"> </w:t>
      </w:r>
      <w:r w:rsidR="00BD68CB" w:rsidRPr="004E1599">
        <w:rPr>
          <w:rFonts w:ascii="Times New Roman" w:hAnsi="Times New Roman" w:cs="Times New Roman"/>
        </w:rPr>
        <w:t>https://outrightinternational.org/our-work/americas/antigua-and-barbuda?gad_source=1&amp;gclid=EAIaIQobChMIyvrYqM2OigMV5kX_AR07gQG5EAAYASAAEgJvffD_BwE</w:t>
      </w:r>
      <w:r w:rsidRPr="004E1599">
        <w:rPr>
          <w:rFonts w:ascii="Times New Roman" w:hAnsi="Times New Roman" w:cs="Times New Roman"/>
        </w:rPr>
        <w:t>.</w:t>
      </w:r>
    </w:p>
  </w:footnote>
  <w:footnote w:id="6">
    <w:p w14:paraId="77B15EC1" w14:textId="5D9A98FD" w:rsidR="00101888" w:rsidRPr="004E1599" w:rsidRDefault="00101888" w:rsidP="008F47C2">
      <w:pPr>
        <w:pStyle w:val="FootnoteText"/>
        <w:contextualSpacing/>
        <w:rPr>
          <w:rFonts w:ascii="Times New Roman" w:hAnsi="Times New Roman" w:cs="Times New Roman"/>
        </w:rPr>
      </w:pPr>
      <w:r w:rsidRPr="004E1599">
        <w:rPr>
          <w:rStyle w:val="FootnoteReference"/>
          <w:rFonts w:ascii="Times New Roman" w:hAnsi="Times New Roman" w:cs="Times New Roman"/>
        </w:rPr>
        <w:footnoteRef/>
      </w:r>
      <w:r w:rsidRPr="004E1599">
        <w:rPr>
          <w:rFonts w:ascii="Times New Roman" w:hAnsi="Times New Roman" w:cs="Times New Roman"/>
        </w:rPr>
        <w:t xml:space="preserve"> Gemma Handy, </w:t>
      </w:r>
      <w:r w:rsidRPr="004E1599">
        <w:rPr>
          <w:rFonts w:ascii="Times New Roman" w:hAnsi="Times New Roman" w:cs="Times New Roman"/>
          <w:i/>
          <w:iCs/>
        </w:rPr>
        <w:t>The region which legislates who you can love</w:t>
      </w:r>
      <w:r w:rsidRPr="004E1599">
        <w:rPr>
          <w:rFonts w:ascii="Times New Roman" w:hAnsi="Times New Roman" w:cs="Times New Roman"/>
        </w:rPr>
        <w:t xml:space="preserve">, </w:t>
      </w:r>
      <w:r w:rsidR="0092442D" w:rsidRPr="004E1599">
        <w:rPr>
          <w:rFonts w:ascii="Times New Roman" w:hAnsi="Times New Roman" w:cs="Times New Roman"/>
        </w:rPr>
        <w:t xml:space="preserve">accessed Dec. 4, 2024, </w:t>
      </w:r>
      <w:r w:rsidRPr="004E1599">
        <w:rPr>
          <w:rFonts w:ascii="Times New Roman" w:hAnsi="Times New Roman" w:cs="Times New Roman"/>
        </w:rPr>
        <w:t>https://www.bbc.com/news/world-latin-america-50822222.</w:t>
      </w:r>
    </w:p>
  </w:footnote>
  <w:footnote w:id="7">
    <w:p w14:paraId="1D962807" w14:textId="34B84172" w:rsidR="00C25B17" w:rsidRPr="004E1599" w:rsidRDefault="00C25B17" w:rsidP="008F47C2">
      <w:pPr>
        <w:pStyle w:val="FootnoteText"/>
        <w:contextualSpacing/>
        <w:rPr>
          <w:rFonts w:ascii="Times New Roman" w:hAnsi="Times New Roman" w:cs="Times New Roman"/>
        </w:rPr>
      </w:pPr>
      <w:r w:rsidRPr="004E1599">
        <w:rPr>
          <w:rStyle w:val="FootnoteReference"/>
          <w:rFonts w:ascii="Times New Roman" w:hAnsi="Times New Roman" w:cs="Times New Roman"/>
        </w:rPr>
        <w:footnoteRef/>
      </w:r>
      <w:r w:rsidRPr="004E1599">
        <w:rPr>
          <w:rFonts w:ascii="Times New Roman" w:hAnsi="Times New Roman" w:cs="Times New Roman"/>
        </w:rPr>
        <w:t xml:space="preserve"> </w:t>
      </w:r>
      <w:proofErr w:type="spellStart"/>
      <w:r w:rsidRPr="004E1599">
        <w:rPr>
          <w:rFonts w:ascii="Times New Roman" w:hAnsi="Times New Roman" w:cs="Times New Roman"/>
        </w:rPr>
        <w:t>Elesha</w:t>
      </w:r>
      <w:proofErr w:type="spellEnd"/>
      <w:r w:rsidRPr="004E1599">
        <w:rPr>
          <w:rFonts w:ascii="Times New Roman" w:hAnsi="Times New Roman" w:cs="Times New Roman"/>
        </w:rPr>
        <w:t xml:space="preserve"> George, </w:t>
      </w:r>
      <w:r w:rsidRPr="004E1599">
        <w:rPr>
          <w:rFonts w:ascii="Times New Roman" w:hAnsi="Times New Roman" w:cs="Times New Roman"/>
          <w:i/>
          <w:iCs/>
        </w:rPr>
        <w:t xml:space="preserve">Being LGBTQ in the Caribbean; Sentencing of transgender woman’s killer throws spotlight on discrimination, </w:t>
      </w:r>
      <w:r w:rsidR="005D45BA" w:rsidRPr="004E1599">
        <w:rPr>
          <w:rFonts w:ascii="Times New Roman" w:hAnsi="Times New Roman" w:cs="Times New Roman"/>
        </w:rPr>
        <w:t>accessed Dec. 2, 2024,</w:t>
      </w:r>
      <w:r w:rsidRPr="004E1599">
        <w:rPr>
          <w:rFonts w:ascii="Times New Roman" w:hAnsi="Times New Roman" w:cs="Times New Roman"/>
        </w:rPr>
        <w:t xml:space="preserve"> </w:t>
      </w:r>
      <w:r w:rsidR="00106677" w:rsidRPr="004E1599">
        <w:rPr>
          <w:rFonts w:ascii="Times New Roman" w:hAnsi="Times New Roman" w:cs="Times New Roman"/>
        </w:rPr>
        <w:t xml:space="preserve">https://antiguaobserver.com/being-lgbtq-in-the-caribbean-sentencing-of-transgender-womans-killer-throws-spotlight-on-discrimination/. </w:t>
      </w:r>
    </w:p>
  </w:footnote>
  <w:footnote w:id="8">
    <w:p w14:paraId="2911F731" w14:textId="77777777" w:rsidR="00835B98" w:rsidRPr="004E1599" w:rsidRDefault="00835B98" w:rsidP="00835B98">
      <w:pPr>
        <w:pStyle w:val="FootnoteText"/>
        <w:contextualSpacing/>
        <w:rPr>
          <w:rFonts w:ascii="Times New Roman" w:hAnsi="Times New Roman" w:cs="Times New Roman"/>
        </w:rPr>
      </w:pPr>
      <w:r w:rsidRPr="004E1599">
        <w:rPr>
          <w:rStyle w:val="FootnoteReference"/>
          <w:rFonts w:ascii="Times New Roman" w:hAnsi="Times New Roman" w:cs="Times New Roman"/>
        </w:rPr>
        <w:footnoteRef/>
      </w:r>
      <w:r w:rsidRPr="004E1599">
        <w:rPr>
          <w:rFonts w:ascii="Times New Roman" w:hAnsi="Times New Roman" w:cs="Times New Roman"/>
        </w:rPr>
        <w:t xml:space="preserve"> Luis Andres Henao, </w:t>
      </w:r>
      <w:r w:rsidRPr="004E1599">
        <w:rPr>
          <w:rFonts w:ascii="Times New Roman" w:hAnsi="Times New Roman" w:cs="Times New Roman"/>
          <w:i/>
          <w:iCs/>
        </w:rPr>
        <w:t>Meet the LGBTQ activist who challenged his Caribbean country’s anti-sodomy law and won</w:t>
      </w:r>
      <w:r w:rsidRPr="004E1599">
        <w:rPr>
          <w:rFonts w:ascii="Times New Roman" w:hAnsi="Times New Roman" w:cs="Times New Roman"/>
        </w:rPr>
        <w:t>, AP News, accessed Dec. 2, 2024,</w:t>
      </w:r>
      <w:r w:rsidRPr="004E1599">
        <w:rPr>
          <w:rFonts w:ascii="Times New Roman" w:hAnsi="Times New Roman" w:cs="Times New Roman"/>
          <w:b/>
          <w:bCs/>
        </w:rPr>
        <w:t xml:space="preserve"> </w:t>
      </w:r>
      <w:r w:rsidRPr="004E1599">
        <w:rPr>
          <w:rFonts w:ascii="Times New Roman" w:hAnsi="Times New Roman" w:cs="Times New Roman"/>
        </w:rPr>
        <w:t xml:space="preserve">https://apnews.com/article/lgbtq-caribbean-religion-antigay-law-christians-f44674fbe7442eb4c7d752c8f4e992de. </w:t>
      </w:r>
    </w:p>
  </w:footnote>
  <w:footnote w:id="9">
    <w:p w14:paraId="3144D184" w14:textId="77777777" w:rsidR="00835B98" w:rsidRPr="004E1599" w:rsidRDefault="00835B98" w:rsidP="00835B98">
      <w:pPr>
        <w:pStyle w:val="FootnoteText"/>
        <w:rPr>
          <w:rFonts w:ascii="Times New Roman" w:hAnsi="Times New Roman" w:cs="Times New Roman"/>
        </w:rPr>
      </w:pPr>
      <w:r w:rsidRPr="004E1599">
        <w:rPr>
          <w:rStyle w:val="FootnoteReference"/>
          <w:rFonts w:ascii="Times New Roman" w:hAnsi="Times New Roman" w:cs="Times New Roman"/>
        </w:rPr>
        <w:footnoteRef/>
      </w:r>
      <w:r w:rsidRPr="004E1599">
        <w:rPr>
          <w:rFonts w:ascii="Times New Roman" w:hAnsi="Times New Roman" w:cs="Times New Roman"/>
        </w:rPr>
        <w:t xml:space="preserve"> Human Rights Council, </w:t>
      </w:r>
      <w:r w:rsidRPr="004E1599">
        <w:rPr>
          <w:rFonts w:ascii="Times New Roman" w:hAnsi="Times New Roman" w:cs="Times New Roman"/>
          <w:i/>
          <w:iCs/>
        </w:rPr>
        <w:t>Practices of so-called “conversion therapy”: Report of the Independent Expert on protection against violence and discrimination based on sexual orientation and gender identity</w:t>
      </w:r>
      <w:r w:rsidRPr="004E1599">
        <w:rPr>
          <w:rFonts w:ascii="Times New Roman" w:hAnsi="Times New Roman" w:cs="Times New Roman"/>
        </w:rPr>
        <w:t>, (May 1, 2020), U.N. Doc. A/HRC/44/53, ¶ 62.</w:t>
      </w:r>
    </w:p>
  </w:footnote>
  <w:footnote w:id="10">
    <w:p w14:paraId="36D0BE04" w14:textId="77777777" w:rsidR="009B17AD" w:rsidRPr="004E1599" w:rsidRDefault="009B17AD" w:rsidP="009B17AD">
      <w:pPr>
        <w:pStyle w:val="FootnoteText"/>
        <w:rPr>
          <w:rFonts w:ascii="Times New Roman" w:hAnsi="Times New Roman" w:cs="Times New Roman"/>
        </w:rPr>
      </w:pPr>
      <w:r w:rsidRPr="004E1599">
        <w:rPr>
          <w:rStyle w:val="FootnoteReference"/>
          <w:rFonts w:ascii="Times New Roman" w:hAnsi="Times New Roman" w:cs="Times New Roman"/>
        </w:rPr>
        <w:footnoteRef/>
      </w:r>
      <w:r w:rsidRPr="004E1599">
        <w:rPr>
          <w:rFonts w:ascii="Times New Roman" w:hAnsi="Times New Roman" w:cs="Times New Roman"/>
        </w:rPr>
        <w:t xml:space="preserve"> Women Against Rape (WAR) and The Eastern Caribbean Alliance for Diversity and Equality (ECADE), </w:t>
      </w:r>
      <w:r w:rsidRPr="004E1599">
        <w:rPr>
          <w:rFonts w:ascii="Times New Roman" w:hAnsi="Times New Roman" w:cs="Times New Roman"/>
          <w:i/>
          <w:iCs/>
        </w:rPr>
        <w:t xml:space="preserve">Report on Antigua and Barbuda 39th Session of the Universal Period Review (UPR), </w:t>
      </w:r>
      <w:r w:rsidRPr="004E1599">
        <w:rPr>
          <w:rFonts w:ascii="Times New Roman" w:hAnsi="Times New Roman" w:cs="Times New Roman"/>
        </w:rPr>
        <w:t>accessed Dec. 2, 2024, https://uprdoc.ohchr.org/uprweb/downloadfile.aspx?filename=9088&amp;file=EnglishTranslation.</w:t>
      </w:r>
    </w:p>
  </w:footnote>
  <w:footnote w:id="11">
    <w:p w14:paraId="4B744AC0" w14:textId="77777777" w:rsidR="00802539" w:rsidRPr="004E1599" w:rsidRDefault="00802539" w:rsidP="00802539">
      <w:pPr>
        <w:pStyle w:val="FootnoteText"/>
        <w:contextualSpacing/>
        <w:rPr>
          <w:rFonts w:ascii="Times New Roman" w:hAnsi="Times New Roman" w:cs="Times New Roman"/>
        </w:rPr>
      </w:pPr>
      <w:r w:rsidRPr="004E1599">
        <w:rPr>
          <w:rStyle w:val="FootnoteReference"/>
          <w:rFonts w:ascii="Times New Roman" w:hAnsi="Times New Roman" w:cs="Times New Roman"/>
        </w:rPr>
        <w:footnoteRef/>
      </w:r>
      <w:r w:rsidRPr="004E1599">
        <w:rPr>
          <w:rFonts w:ascii="Times New Roman" w:hAnsi="Times New Roman" w:cs="Times New Roman"/>
        </w:rPr>
        <w:t xml:space="preserve"> Outright International, </w:t>
      </w:r>
      <w:r w:rsidRPr="004E1599">
        <w:rPr>
          <w:rFonts w:ascii="Times New Roman" w:hAnsi="Times New Roman" w:cs="Times New Roman"/>
          <w:i/>
          <w:iCs/>
        </w:rPr>
        <w:t xml:space="preserve">Antigua and Barbuda: At a Glance, </w:t>
      </w:r>
      <w:r w:rsidRPr="004E1599">
        <w:rPr>
          <w:rFonts w:ascii="Times New Roman" w:hAnsi="Times New Roman" w:cs="Times New Roman"/>
        </w:rPr>
        <w:t xml:space="preserve">accessed Nov 6, 2024, https://outrightinternational.org/our-work/americas/antigua-and-barbuda?gad_source=1&amp;gclid=EAIaIQobChMIyvrYqM2OigMV5kX_AR07gQG5EAAYASAAEgJvffD_BwE. </w:t>
      </w:r>
    </w:p>
  </w:footnote>
  <w:footnote w:id="12">
    <w:p w14:paraId="332089D2" w14:textId="09AC58FD" w:rsidR="00013774" w:rsidRPr="004E1599" w:rsidRDefault="00013774">
      <w:pPr>
        <w:pStyle w:val="FootnoteText"/>
        <w:rPr>
          <w:rFonts w:ascii="Times New Roman" w:hAnsi="Times New Roman" w:cs="Times New Roman"/>
        </w:rPr>
      </w:pPr>
      <w:r w:rsidRPr="004E1599">
        <w:rPr>
          <w:rStyle w:val="FootnoteReference"/>
          <w:rFonts w:ascii="Times New Roman" w:hAnsi="Times New Roman" w:cs="Times New Roman"/>
        </w:rPr>
        <w:footnoteRef/>
      </w:r>
      <w:r w:rsidRPr="004E1599">
        <w:rPr>
          <w:rFonts w:ascii="Times New Roman" w:hAnsi="Times New Roman" w:cs="Times New Roman"/>
        </w:rPr>
        <w:t xml:space="preserve"> </w:t>
      </w:r>
      <w:r w:rsidR="00A86423" w:rsidRPr="004E1599">
        <w:rPr>
          <w:rFonts w:ascii="Times New Roman" w:hAnsi="Times New Roman" w:cs="Times New Roman"/>
        </w:rPr>
        <w:t xml:space="preserve">Email from </w:t>
      </w:r>
      <w:r w:rsidR="00C82FD1" w:rsidRPr="004E1599">
        <w:rPr>
          <w:rFonts w:ascii="Times New Roman" w:hAnsi="Times New Roman" w:cs="Times New Roman"/>
        </w:rPr>
        <w:t>Caribbean human rights defender to Nathan Madson (Dec. 30, 2024)</w:t>
      </w:r>
      <w:r w:rsidR="00184F64" w:rsidRPr="004E1599">
        <w:rPr>
          <w:rFonts w:ascii="Times New Roman" w:hAnsi="Times New Roman" w:cs="Times New Roman"/>
        </w:rPr>
        <w:t xml:space="preserve"> (on file with authors).</w:t>
      </w:r>
    </w:p>
  </w:footnote>
  <w:footnote w:id="13">
    <w:p w14:paraId="6AAC4C16" w14:textId="77777777" w:rsidR="0009648B" w:rsidRPr="004E1599" w:rsidRDefault="0009648B" w:rsidP="0009648B">
      <w:pPr>
        <w:pStyle w:val="FootnoteText"/>
        <w:rPr>
          <w:rFonts w:ascii="Times New Roman" w:hAnsi="Times New Roman" w:cs="Times New Roman"/>
        </w:rPr>
      </w:pPr>
      <w:r w:rsidRPr="004E1599">
        <w:rPr>
          <w:rStyle w:val="FootnoteReference"/>
          <w:rFonts w:ascii="Times New Roman" w:hAnsi="Times New Roman" w:cs="Times New Roman"/>
        </w:rPr>
        <w:footnoteRef/>
      </w:r>
      <w:r w:rsidRPr="004E1599">
        <w:rPr>
          <w:rFonts w:ascii="Times New Roman" w:hAnsi="Times New Roman" w:cs="Times New Roman"/>
        </w:rPr>
        <w:t xml:space="preserve"> Library of Congress, </w:t>
      </w:r>
      <w:r w:rsidRPr="004E1599">
        <w:rPr>
          <w:rFonts w:ascii="Times New Roman" w:hAnsi="Times New Roman" w:cs="Times New Roman"/>
          <w:i/>
          <w:iCs/>
        </w:rPr>
        <w:t>Antigua and Barbuda: Buggery Laws Struck Down as Unconstitutional</w:t>
      </w:r>
      <w:r w:rsidRPr="004E1599">
        <w:rPr>
          <w:rFonts w:ascii="Times New Roman" w:hAnsi="Times New Roman" w:cs="Times New Roman"/>
        </w:rPr>
        <w:t>, accessed Dec. 6, 2024, https://www.loc.gov/item/global-legal-monitor/2022-08-15/antigua-and-barbuda-buggery-laws-struck-down-as-unconstitutional.</w:t>
      </w:r>
    </w:p>
  </w:footnote>
  <w:footnote w:id="14">
    <w:p w14:paraId="13AAC3F7" w14:textId="77777777" w:rsidR="0009648B" w:rsidRPr="004E1599" w:rsidRDefault="0009648B" w:rsidP="0009648B">
      <w:pPr>
        <w:pStyle w:val="FootnoteText"/>
        <w:rPr>
          <w:rFonts w:ascii="Times New Roman" w:hAnsi="Times New Roman" w:cs="Times New Roman"/>
          <w:b/>
          <w:bCs/>
        </w:rPr>
      </w:pPr>
      <w:r w:rsidRPr="004E1599">
        <w:rPr>
          <w:rStyle w:val="FootnoteReference"/>
          <w:rFonts w:ascii="Times New Roman" w:hAnsi="Times New Roman" w:cs="Times New Roman"/>
        </w:rPr>
        <w:footnoteRef/>
      </w:r>
      <w:r w:rsidRPr="004E1599">
        <w:rPr>
          <w:rFonts w:ascii="Times New Roman" w:hAnsi="Times New Roman" w:cs="Times New Roman"/>
        </w:rPr>
        <w:t xml:space="preserve"> Luis Andres Henao, </w:t>
      </w:r>
      <w:r w:rsidRPr="004E1599">
        <w:rPr>
          <w:rFonts w:ascii="Times New Roman" w:hAnsi="Times New Roman" w:cs="Times New Roman"/>
          <w:i/>
          <w:iCs/>
        </w:rPr>
        <w:t>Meet the LGBTQ activist who challenged his Caribbean country’s anti-sodomy law and won</w:t>
      </w:r>
      <w:r w:rsidRPr="004E1599">
        <w:rPr>
          <w:rFonts w:ascii="Times New Roman" w:hAnsi="Times New Roman" w:cs="Times New Roman"/>
        </w:rPr>
        <w:t>, AP News, accessed Dec. 2, 2024,</w:t>
      </w:r>
      <w:r w:rsidRPr="004E1599">
        <w:rPr>
          <w:rFonts w:ascii="Times New Roman" w:hAnsi="Times New Roman" w:cs="Times New Roman"/>
          <w:b/>
          <w:bCs/>
        </w:rPr>
        <w:t xml:space="preserve"> </w:t>
      </w:r>
      <w:r w:rsidRPr="004E1599">
        <w:rPr>
          <w:rFonts w:ascii="Times New Roman" w:hAnsi="Times New Roman" w:cs="Times New Roman"/>
        </w:rPr>
        <w:t>https://apnews.com/article/lgbtq-caribbean-religion-antigay-law-christians-f44674fbe7442eb4c7d752c8f4e992de.</w:t>
      </w:r>
    </w:p>
  </w:footnote>
  <w:footnote w:id="15">
    <w:p w14:paraId="6EE38253" w14:textId="77777777" w:rsidR="009228A2" w:rsidRPr="004E1599" w:rsidRDefault="009228A2" w:rsidP="009228A2">
      <w:pPr>
        <w:pStyle w:val="FootnoteText"/>
        <w:contextualSpacing/>
        <w:rPr>
          <w:rFonts w:ascii="Times New Roman" w:hAnsi="Times New Roman" w:cs="Times New Roman"/>
        </w:rPr>
      </w:pPr>
      <w:r w:rsidRPr="004E1599">
        <w:rPr>
          <w:rStyle w:val="FootnoteReference"/>
          <w:rFonts w:ascii="Times New Roman" w:hAnsi="Times New Roman" w:cs="Times New Roman"/>
        </w:rPr>
        <w:footnoteRef/>
      </w:r>
      <w:r w:rsidRPr="004E1599">
        <w:rPr>
          <w:rFonts w:ascii="Times New Roman" w:hAnsi="Times New Roman" w:cs="Times New Roman"/>
        </w:rPr>
        <w:t xml:space="preserve"> Outright International, </w:t>
      </w:r>
      <w:r w:rsidRPr="004E1599">
        <w:rPr>
          <w:rFonts w:ascii="Times New Roman" w:hAnsi="Times New Roman" w:cs="Times New Roman"/>
          <w:i/>
          <w:iCs/>
        </w:rPr>
        <w:t xml:space="preserve">Antigua and Barbuda: At a Glance, </w:t>
      </w:r>
      <w:r w:rsidRPr="004E1599">
        <w:rPr>
          <w:rFonts w:ascii="Times New Roman" w:hAnsi="Times New Roman" w:cs="Times New Roman"/>
        </w:rPr>
        <w:t>accessed Nov. 6, 2024,</w:t>
      </w:r>
      <w:r w:rsidRPr="004E1599">
        <w:rPr>
          <w:rFonts w:ascii="Times New Roman" w:hAnsi="Times New Roman" w:cs="Times New Roman"/>
          <w:i/>
          <w:iCs/>
        </w:rPr>
        <w:t xml:space="preserve"> </w:t>
      </w:r>
      <w:r w:rsidRPr="004E1599">
        <w:rPr>
          <w:rFonts w:ascii="Times New Roman" w:hAnsi="Times New Roman" w:cs="Times New Roman"/>
        </w:rPr>
        <w:t xml:space="preserve">https://outrightinternational.org/our-work/americas/antigua-and-barbuda?gad_source=1&amp;gclid=EAIaIQobChMIyvrYqM2OigMV5kX_AR07gQG5EAAYASAAEgJvffD_BwE. </w:t>
      </w:r>
    </w:p>
  </w:footnote>
  <w:footnote w:id="16">
    <w:p w14:paraId="3B716666" w14:textId="77777777" w:rsidR="009228A2" w:rsidRPr="004E1599" w:rsidRDefault="009228A2" w:rsidP="009228A2">
      <w:pPr>
        <w:pStyle w:val="FootnoteText"/>
        <w:contextualSpacing/>
        <w:rPr>
          <w:rFonts w:ascii="Times New Roman" w:hAnsi="Times New Roman" w:cs="Times New Roman"/>
        </w:rPr>
      </w:pPr>
      <w:r w:rsidRPr="004E1599">
        <w:rPr>
          <w:rStyle w:val="FootnoteReference"/>
          <w:rFonts w:ascii="Times New Roman" w:hAnsi="Times New Roman" w:cs="Times New Roman"/>
        </w:rPr>
        <w:footnoteRef/>
      </w:r>
      <w:r w:rsidRPr="004E1599">
        <w:rPr>
          <w:rFonts w:ascii="Times New Roman" w:hAnsi="Times New Roman" w:cs="Times New Roman"/>
        </w:rPr>
        <w:t xml:space="preserve"> </w:t>
      </w:r>
      <w:proofErr w:type="spellStart"/>
      <w:r w:rsidRPr="004E1599">
        <w:rPr>
          <w:rFonts w:ascii="Times New Roman" w:hAnsi="Times New Roman" w:cs="Times New Roman"/>
        </w:rPr>
        <w:t>Civicus</w:t>
      </w:r>
      <w:proofErr w:type="spellEnd"/>
      <w:r w:rsidRPr="004E1599">
        <w:rPr>
          <w:rFonts w:ascii="Times New Roman" w:hAnsi="Times New Roman" w:cs="Times New Roman"/>
        </w:rPr>
        <w:t xml:space="preserve"> Lens, </w:t>
      </w:r>
      <w:r w:rsidRPr="004E1599">
        <w:rPr>
          <w:rFonts w:ascii="Times New Roman" w:hAnsi="Times New Roman" w:cs="Times New Roman"/>
          <w:i/>
          <w:iCs/>
        </w:rPr>
        <w:t>Antigua and Barbuda: A Step Forward for LGBTQI+ Rights</w:t>
      </w:r>
      <w:r w:rsidRPr="004E1599">
        <w:rPr>
          <w:rFonts w:ascii="Times New Roman" w:hAnsi="Times New Roman" w:cs="Times New Roman"/>
        </w:rPr>
        <w:t xml:space="preserve">, accessed Nov. 27, 2024. https://lens.civicus.org/antigua-and-barbuda-a-step-forward-for-lgbtqi-rights/. </w:t>
      </w:r>
    </w:p>
  </w:footnote>
  <w:footnote w:id="17">
    <w:p w14:paraId="2B891BCB" w14:textId="77777777" w:rsidR="00FD18DE" w:rsidRPr="004E1599" w:rsidRDefault="00FD18DE" w:rsidP="00FD18DE">
      <w:pPr>
        <w:pStyle w:val="FootnoteText"/>
        <w:contextualSpacing/>
        <w:rPr>
          <w:rFonts w:ascii="Times New Roman" w:hAnsi="Times New Roman" w:cs="Times New Roman"/>
        </w:rPr>
      </w:pPr>
      <w:r w:rsidRPr="004E1599">
        <w:rPr>
          <w:rStyle w:val="FootnoteReference"/>
          <w:rFonts w:ascii="Times New Roman" w:hAnsi="Times New Roman" w:cs="Times New Roman"/>
        </w:rPr>
        <w:footnoteRef/>
      </w:r>
      <w:r w:rsidRPr="004E1599">
        <w:rPr>
          <w:rFonts w:ascii="Times New Roman" w:hAnsi="Times New Roman" w:cs="Times New Roman"/>
        </w:rPr>
        <w:t xml:space="preserve"> Outright International, </w:t>
      </w:r>
      <w:r w:rsidRPr="004E1599">
        <w:rPr>
          <w:rFonts w:ascii="Times New Roman" w:hAnsi="Times New Roman" w:cs="Times New Roman"/>
          <w:i/>
          <w:iCs/>
        </w:rPr>
        <w:t xml:space="preserve">Antigua and Barbuda: At a Glance, </w:t>
      </w:r>
      <w:r w:rsidRPr="004E1599">
        <w:rPr>
          <w:rFonts w:ascii="Times New Roman" w:hAnsi="Times New Roman" w:cs="Times New Roman"/>
        </w:rPr>
        <w:t xml:space="preserve">accessed Nov 6, 2024, https://outrightinternational.org/our-work/americas/antigua-and-barbuda?gad_source=1&amp;gclid=EAIaIQobChMIyvrYqM2OigMV5kX_AR07gQG5EAAYASAAEgJvffD_BwE. </w:t>
      </w:r>
    </w:p>
  </w:footnote>
  <w:footnote w:id="18">
    <w:p w14:paraId="723B9556" w14:textId="77777777" w:rsidR="00FD18DE" w:rsidRPr="004E1599" w:rsidRDefault="00FD18DE" w:rsidP="00FD18DE">
      <w:pPr>
        <w:pStyle w:val="FootnoteText"/>
        <w:contextualSpacing/>
        <w:rPr>
          <w:rFonts w:ascii="Times New Roman" w:hAnsi="Times New Roman" w:cs="Times New Roman"/>
        </w:rPr>
      </w:pPr>
      <w:r w:rsidRPr="004E1599">
        <w:rPr>
          <w:rStyle w:val="FootnoteReference"/>
          <w:rFonts w:ascii="Times New Roman" w:hAnsi="Times New Roman" w:cs="Times New Roman"/>
        </w:rPr>
        <w:footnoteRef/>
      </w:r>
      <w:r w:rsidRPr="004E1599">
        <w:rPr>
          <w:rFonts w:ascii="Times New Roman" w:hAnsi="Times New Roman" w:cs="Times New Roman"/>
        </w:rPr>
        <w:t xml:space="preserve"> </w:t>
      </w:r>
      <w:proofErr w:type="spellStart"/>
      <w:r w:rsidRPr="004E1599">
        <w:rPr>
          <w:rFonts w:ascii="Times New Roman" w:hAnsi="Times New Roman" w:cs="Times New Roman"/>
        </w:rPr>
        <w:t>Civicus</w:t>
      </w:r>
      <w:proofErr w:type="spellEnd"/>
      <w:r w:rsidRPr="004E1599">
        <w:rPr>
          <w:rFonts w:ascii="Times New Roman" w:hAnsi="Times New Roman" w:cs="Times New Roman"/>
        </w:rPr>
        <w:t xml:space="preserve"> Lens, </w:t>
      </w:r>
      <w:r w:rsidRPr="004E1599">
        <w:rPr>
          <w:rFonts w:ascii="Times New Roman" w:hAnsi="Times New Roman" w:cs="Times New Roman"/>
          <w:i/>
          <w:iCs/>
        </w:rPr>
        <w:t>Antigua and Barbuda: A Step Forward for LGBTQI+ Rights</w:t>
      </w:r>
      <w:r w:rsidRPr="004E1599">
        <w:rPr>
          <w:rFonts w:ascii="Times New Roman" w:hAnsi="Times New Roman" w:cs="Times New Roman"/>
        </w:rPr>
        <w:t>, accessed Nov. 27, 2024, https://lens.civicus.org/antigua-and-barbuda-a-step-forward-for-lgbtqi-rights/</w:t>
      </w:r>
    </w:p>
  </w:footnote>
  <w:footnote w:id="19">
    <w:p w14:paraId="0872256F" w14:textId="77777777" w:rsidR="009228A2" w:rsidRPr="004E1599" w:rsidRDefault="009228A2" w:rsidP="009228A2">
      <w:pPr>
        <w:pStyle w:val="FootnoteText"/>
        <w:contextualSpacing/>
        <w:rPr>
          <w:rFonts w:ascii="Times New Roman" w:hAnsi="Times New Roman" w:cs="Times New Roman"/>
        </w:rPr>
      </w:pPr>
      <w:r w:rsidRPr="004E1599">
        <w:rPr>
          <w:rStyle w:val="FootnoteReference"/>
          <w:rFonts w:ascii="Times New Roman" w:hAnsi="Times New Roman" w:cs="Times New Roman"/>
        </w:rPr>
        <w:footnoteRef/>
      </w:r>
      <w:r w:rsidRPr="004E1599">
        <w:rPr>
          <w:rFonts w:ascii="Times New Roman" w:hAnsi="Times New Roman" w:cs="Times New Roman"/>
        </w:rPr>
        <w:t xml:space="preserve"> Outright International, </w:t>
      </w:r>
      <w:r w:rsidRPr="004E1599">
        <w:rPr>
          <w:rFonts w:ascii="Times New Roman" w:hAnsi="Times New Roman" w:cs="Times New Roman"/>
          <w:i/>
          <w:iCs/>
        </w:rPr>
        <w:t xml:space="preserve">Antigua and Barbuda: At a Glance, </w:t>
      </w:r>
      <w:r w:rsidRPr="004E1599">
        <w:rPr>
          <w:rFonts w:ascii="Times New Roman" w:hAnsi="Times New Roman" w:cs="Times New Roman"/>
        </w:rPr>
        <w:t>accessed Nov. 6, 2024,</w:t>
      </w:r>
      <w:r w:rsidRPr="004E1599">
        <w:rPr>
          <w:rFonts w:ascii="Times New Roman" w:hAnsi="Times New Roman" w:cs="Times New Roman"/>
          <w:i/>
          <w:iCs/>
        </w:rPr>
        <w:t xml:space="preserve"> </w:t>
      </w:r>
      <w:r w:rsidRPr="004E1599">
        <w:rPr>
          <w:rFonts w:ascii="Times New Roman" w:hAnsi="Times New Roman" w:cs="Times New Roman"/>
        </w:rPr>
        <w:t xml:space="preserve">https://outrightinternational.org/our-work/americas/antigua-and-barbuda?gad_source=1&amp;gclid=EAIaIQobChMIyvrYqM2OigMV5kX_AR07gQG5EAAYASAAEgJvffD_BwE. </w:t>
      </w:r>
    </w:p>
  </w:footnote>
  <w:footnote w:id="20">
    <w:p w14:paraId="1E12C6A7" w14:textId="77777777" w:rsidR="009228A2" w:rsidRPr="004E1599" w:rsidRDefault="009228A2" w:rsidP="009228A2">
      <w:pPr>
        <w:pStyle w:val="FootnoteText"/>
        <w:contextualSpacing/>
        <w:rPr>
          <w:rFonts w:ascii="Times New Roman" w:hAnsi="Times New Roman" w:cs="Times New Roman"/>
        </w:rPr>
      </w:pPr>
      <w:r w:rsidRPr="004E1599">
        <w:rPr>
          <w:rStyle w:val="FootnoteReference"/>
          <w:rFonts w:ascii="Times New Roman" w:hAnsi="Times New Roman" w:cs="Times New Roman"/>
        </w:rPr>
        <w:footnoteRef/>
      </w:r>
      <w:r w:rsidRPr="004E1599">
        <w:rPr>
          <w:rFonts w:ascii="Times New Roman" w:hAnsi="Times New Roman" w:cs="Times New Roman"/>
        </w:rPr>
        <w:t xml:space="preserve"> Women Against Rape (WAR) and The Eastern Caribbean Alliance for Diversity and Equality (ECADE), </w:t>
      </w:r>
      <w:r w:rsidRPr="004E1599">
        <w:rPr>
          <w:rFonts w:ascii="Times New Roman" w:hAnsi="Times New Roman" w:cs="Times New Roman"/>
          <w:i/>
          <w:iCs/>
        </w:rPr>
        <w:t xml:space="preserve">Report on Antigua and Barbuda 39th Session of the Universal Period Review (UPR), </w:t>
      </w:r>
      <w:r w:rsidRPr="004E1599">
        <w:rPr>
          <w:rFonts w:ascii="Times New Roman" w:hAnsi="Times New Roman" w:cs="Times New Roman"/>
        </w:rPr>
        <w:t xml:space="preserve">accessed Dec. 2, 2024, https://uprdoc.ohchr.org/uprweb/downloadfile.aspx?filename=9088&amp;file=EnglishTranslation. </w:t>
      </w:r>
    </w:p>
  </w:footnote>
  <w:footnote w:id="21">
    <w:p w14:paraId="0839A534" w14:textId="77777777" w:rsidR="009228A2" w:rsidRPr="004E1599" w:rsidRDefault="009228A2" w:rsidP="009228A2">
      <w:pPr>
        <w:pStyle w:val="FootnoteText"/>
        <w:contextualSpacing/>
        <w:rPr>
          <w:rFonts w:ascii="Times New Roman" w:hAnsi="Times New Roman" w:cs="Times New Roman"/>
        </w:rPr>
      </w:pPr>
      <w:r w:rsidRPr="004E1599">
        <w:rPr>
          <w:rStyle w:val="FootnoteReference"/>
          <w:rFonts w:ascii="Times New Roman" w:hAnsi="Times New Roman" w:cs="Times New Roman"/>
        </w:rPr>
        <w:footnoteRef/>
      </w:r>
      <w:r w:rsidRPr="004E1599">
        <w:rPr>
          <w:rFonts w:ascii="Times New Roman" w:hAnsi="Times New Roman" w:cs="Times New Roman"/>
        </w:rPr>
        <w:t xml:space="preserve"> </w:t>
      </w:r>
      <w:proofErr w:type="spellStart"/>
      <w:r w:rsidRPr="004E1599">
        <w:rPr>
          <w:rFonts w:ascii="Times New Roman" w:hAnsi="Times New Roman" w:cs="Times New Roman"/>
        </w:rPr>
        <w:t>Equaldex</w:t>
      </w:r>
      <w:proofErr w:type="spellEnd"/>
      <w:r w:rsidRPr="004E1599">
        <w:rPr>
          <w:rFonts w:ascii="Times New Roman" w:hAnsi="Times New Roman" w:cs="Times New Roman"/>
        </w:rPr>
        <w:t xml:space="preserve">, </w:t>
      </w:r>
      <w:r w:rsidRPr="004E1599">
        <w:rPr>
          <w:rFonts w:ascii="Times New Roman" w:hAnsi="Times New Roman" w:cs="Times New Roman"/>
          <w:i/>
          <w:iCs/>
        </w:rPr>
        <w:t>LGBT Rights in Antigua and Barbuda</w:t>
      </w:r>
      <w:r w:rsidRPr="004E1599">
        <w:rPr>
          <w:rFonts w:ascii="Times New Roman" w:hAnsi="Times New Roman" w:cs="Times New Roman"/>
        </w:rPr>
        <w:t xml:space="preserve">, accessed Dec. 2, 2024. https://www.equaldex.com/region/antigua-and-barbuda. </w:t>
      </w:r>
    </w:p>
  </w:footnote>
  <w:footnote w:id="22">
    <w:p w14:paraId="26836853" w14:textId="77777777" w:rsidR="009228A2" w:rsidRPr="004E1599" w:rsidRDefault="009228A2" w:rsidP="009228A2">
      <w:pPr>
        <w:pStyle w:val="FootnoteText"/>
        <w:contextualSpacing/>
        <w:rPr>
          <w:rFonts w:ascii="Times New Roman" w:hAnsi="Times New Roman" w:cs="Times New Roman"/>
        </w:rPr>
      </w:pPr>
      <w:r w:rsidRPr="004E1599">
        <w:rPr>
          <w:rStyle w:val="FootnoteReference"/>
          <w:rFonts w:ascii="Times New Roman" w:hAnsi="Times New Roman" w:cs="Times New Roman"/>
        </w:rPr>
        <w:footnoteRef/>
      </w:r>
      <w:r w:rsidRPr="004E1599">
        <w:rPr>
          <w:rFonts w:ascii="Times New Roman" w:hAnsi="Times New Roman" w:cs="Times New Roman"/>
        </w:rPr>
        <w:t xml:space="preserve"> Dillon De </w:t>
      </w:r>
      <w:proofErr w:type="spellStart"/>
      <w:r w:rsidRPr="004E1599">
        <w:rPr>
          <w:rFonts w:ascii="Times New Roman" w:hAnsi="Times New Roman" w:cs="Times New Roman"/>
        </w:rPr>
        <w:t>Shong</w:t>
      </w:r>
      <w:proofErr w:type="spellEnd"/>
      <w:r w:rsidRPr="004E1599">
        <w:rPr>
          <w:rFonts w:ascii="Times New Roman" w:hAnsi="Times New Roman" w:cs="Times New Roman"/>
        </w:rPr>
        <w:t xml:space="preserve">, </w:t>
      </w:r>
      <w:proofErr w:type="spellStart"/>
      <w:r w:rsidRPr="004E1599">
        <w:rPr>
          <w:rFonts w:ascii="Times New Roman" w:hAnsi="Times New Roman" w:cs="Times New Roman"/>
          <w:i/>
          <w:iCs/>
        </w:rPr>
        <w:t>Legalising</w:t>
      </w:r>
      <w:proofErr w:type="spellEnd"/>
      <w:r w:rsidRPr="004E1599">
        <w:rPr>
          <w:rFonts w:ascii="Times New Roman" w:hAnsi="Times New Roman" w:cs="Times New Roman"/>
          <w:i/>
          <w:iCs/>
        </w:rPr>
        <w:t xml:space="preserve"> gay rights &amp; abortion not on the table for the Antiguan Gov</w:t>
      </w:r>
      <w:r w:rsidRPr="004E1599">
        <w:rPr>
          <w:rFonts w:ascii="Times New Roman" w:hAnsi="Times New Roman" w:cs="Times New Roman"/>
        </w:rPr>
        <w:t xml:space="preserve">, Loop News, accessed Dec. 2, 2024, https://caribbean.loopnews.com/content/legalising-gay-rights-abortion-not-table-antiguan-gov. </w:t>
      </w:r>
    </w:p>
  </w:footnote>
  <w:footnote w:id="23">
    <w:p w14:paraId="2127BAF5" w14:textId="77777777" w:rsidR="00970B37" w:rsidRPr="004E1599" w:rsidRDefault="00970B37" w:rsidP="00970B37">
      <w:pPr>
        <w:pStyle w:val="FootnoteText"/>
        <w:contextualSpacing/>
        <w:rPr>
          <w:rFonts w:ascii="Times New Roman" w:hAnsi="Times New Roman" w:cs="Times New Roman"/>
        </w:rPr>
      </w:pPr>
      <w:r w:rsidRPr="004E1599">
        <w:rPr>
          <w:rStyle w:val="FootnoteReference"/>
          <w:rFonts w:ascii="Times New Roman" w:hAnsi="Times New Roman" w:cs="Times New Roman"/>
        </w:rPr>
        <w:footnoteRef/>
      </w:r>
      <w:r w:rsidRPr="004E1599">
        <w:rPr>
          <w:rFonts w:ascii="Times New Roman" w:hAnsi="Times New Roman" w:cs="Times New Roman"/>
        </w:rPr>
        <w:t xml:space="preserve"> Luis Andres Henao, </w:t>
      </w:r>
      <w:r w:rsidRPr="004E1599">
        <w:rPr>
          <w:rFonts w:ascii="Times New Roman" w:hAnsi="Times New Roman" w:cs="Times New Roman"/>
          <w:i/>
          <w:iCs/>
        </w:rPr>
        <w:t>Meet the LGBTQ activist who challenged his Caribbean country’s anti-sodomy law and won</w:t>
      </w:r>
      <w:r w:rsidRPr="004E1599">
        <w:rPr>
          <w:rFonts w:ascii="Times New Roman" w:hAnsi="Times New Roman" w:cs="Times New Roman"/>
        </w:rPr>
        <w:t>, AP News, accessed Dec. 2, 2024,</w:t>
      </w:r>
      <w:r w:rsidRPr="004E1599">
        <w:rPr>
          <w:rFonts w:ascii="Times New Roman" w:hAnsi="Times New Roman" w:cs="Times New Roman"/>
          <w:b/>
          <w:bCs/>
        </w:rPr>
        <w:t xml:space="preserve"> </w:t>
      </w:r>
      <w:r w:rsidRPr="004E1599">
        <w:rPr>
          <w:rFonts w:ascii="Times New Roman" w:hAnsi="Times New Roman" w:cs="Times New Roman"/>
        </w:rPr>
        <w:t xml:space="preserve">https://apnews.com/article/lgbtq-caribbean-religion-antigay-law-christians-f44674fbe7442eb4c7d752c8f4e992de. </w:t>
      </w:r>
    </w:p>
  </w:footnote>
  <w:footnote w:id="24">
    <w:p w14:paraId="5BDC817C" w14:textId="385B8347" w:rsidR="008A45C5" w:rsidRPr="004E1599" w:rsidRDefault="008A45C5" w:rsidP="008A45C5">
      <w:pPr>
        <w:pStyle w:val="FootnoteText"/>
        <w:contextualSpacing/>
        <w:rPr>
          <w:rFonts w:ascii="Times New Roman" w:hAnsi="Times New Roman" w:cs="Times New Roman"/>
        </w:rPr>
      </w:pPr>
      <w:r w:rsidRPr="004E1599">
        <w:rPr>
          <w:rStyle w:val="FootnoteReference"/>
          <w:rFonts w:ascii="Times New Roman" w:hAnsi="Times New Roman" w:cs="Times New Roman"/>
        </w:rPr>
        <w:footnoteRef/>
      </w:r>
      <w:r w:rsidRPr="004E1599">
        <w:rPr>
          <w:rFonts w:ascii="Times New Roman" w:hAnsi="Times New Roman" w:cs="Times New Roman"/>
        </w:rPr>
        <w:t xml:space="preserve"> Women Against Rape (WAR) and The Eastern Caribbean Alliance for Diversity and Equality (ECADE), </w:t>
      </w:r>
      <w:r w:rsidRPr="004E1599">
        <w:rPr>
          <w:rFonts w:ascii="Times New Roman" w:hAnsi="Times New Roman" w:cs="Times New Roman"/>
          <w:i/>
          <w:iCs/>
        </w:rPr>
        <w:t xml:space="preserve">Report on Antigua and Barbuda 39th Session of the Universal Period Review (UPR), </w:t>
      </w:r>
      <w:r w:rsidRPr="004E1599">
        <w:rPr>
          <w:rFonts w:ascii="Times New Roman" w:hAnsi="Times New Roman" w:cs="Times New Roman"/>
        </w:rPr>
        <w:t xml:space="preserve">accessed Dec. 2, 2024, https://uprdoc.ohchr.org/uprweb/downloadfile.aspx?filename=9088&amp;file=EnglishTranslation.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74DB0FD3" w14:paraId="793D2BAD" w14:textId="77777777" w:rsidTr="74DB0FD3">
      <w:trPr>
        <w:trHeight w:val="300"/>
      </w:trPr>
      <w:tc>
        <w:tcPr>
          <w:tcW w:w="3120" w:type="dxa"/>
        </w:tcPr>
        <w:p w14:paraId="4A613122" w14:textId="0FAD1838" w:rsidR="74DB0FD3" w:rsidRDefault="74DB0FD3" w:rsidP="74DB0FD3">
          <w:pPr>
            <w:pStyle w:val="Header"/>
            <w:ind w:left="-115"/>
          </w:pPr>
        </w:p>
      </w:tc>
      <w:tc>
        <w:tcPr>
          <w:tcW w:w="3120" w:type="dxa"/>
        </w:tcPr>
        <w:p w14:paraId="37182E8D" w14:textId="5AF24128" w:rsidR="74DB0FD3" w:rsidRDefault="74DB0FD3" w:rsidP="74DB0FD3">
          <w:pPr>
            <w:pStyle w:val="Header"/>
            <w:jc w:val="center"/>
          </w:pPr>
        </w:p>
      </w:tc>
      <w:tc>
        <w:tcPr>
          <w:tcW w:w="3120" w:type="dxa"/>
        </w:tcPr>
        <w:p w14:paraId="779D819F" w14:textId="6ADAA0FA" w:rsidR="74DB0FD3" w:rsidRDefault="74DB0FD3" w:rsidP="74DB0FD3">
          <w:pPr>
            <w:pStyle w:val="Header"/>
            <w:ind w:right="-115"/>
            <w:jc w:val="right"/>
          </w:pPr>
        </w:p>
      </w:tc>
    </w:tr>
  </w:tbl>
  <w:p w14:paraId="3A30741E" w14:textId="53CDFD36" w:rsidR="74DB0FD3" w:rsidRDefault="74DB0FD3" w:rsidP="74DB0FD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4BC0C5" w14:textId="10BA9107" w:rsidR="003B04C7" w:rsidRDefault="003B04C7" w:rsidP="002835D9">
    <w:pPr>
      <w:pStyle w:val="Header"/>
      <w:jc w:val="center"/>
    </w:pPr>
    <w:r>
      <w:rPr>
        <w:noProof/>
      </w:rPr>
      <w:drawing>
        <wp:inline distT="0" distB="0" distL="0" distR="0" wp14:anchorId="605A7A6E" wp14:editId="621384F2">
          <wp:extent cx="1762125" cy="666750"/>
          <wp:effectExtent l="0" t="0" r="0" b="0"/>
          <wp:docPr id="1361624254" name="Picture 1361624254"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1624254" name="Picture 1361624254" descr="A blue and white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762125" cy="66675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397C5C"/>
    <w:multiLevelType w:val="hybridMultilevel"/>
    <w:tmpl w:val="494075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17600B"/>
    <w:multiLevelType w:val="hybridMultilevel"/>
    <w:tmpl w:val="41FCCB48"/>
    <w:lvl w:ilvl="0" w:tplc="3E966DAE">
      <w:start w:val="1"/>
      <w:numFmt w:val="upperRoman"/>
      <w:pStyle w:val="SectionHeading"/>
      <w:lvlText w:val="%1."/>
      <w:lvlJc w:val="righ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DAE76A0"/>
    <w:multiLevelType w:val="hybridMultilevel"/>
    <w:tmpl w:val="5F2A5FC8"/>
    <w:lvl w:ilvl="0" w:tplc="E0A6C9B2">
      <w:start w:val="1"/>
      <w:numFmt w:val="upperRoman"/>
      <w:lvlText w:val="%1."/>
      <w:lvlJc w:val="right"/>
      <w:pPr>
        <w:ind w:left="720" w:hanging="360"/>
      </w:pPr>
    </w:lvl>
    <w:lvl w:ilvl="1" w:tplc="5FD8607E">
      <w:start w:val="1"/>
      <w:numFmt w:val="lowerLetter"/>
      <w:lvlText w:val="%2."/>
      <w:lvlJc w:val="left"/>
      <w:pPr>
        <w:ind w:left="1440" w:hanging="360"/>
      </w:pPr>
    </w:lvl>
    <w:lvl w:ilvl="2" w:tplc="186EBBC6">
      <w:start w:val="1"/>
      <w:numFmt w:val="lowerRoman"/>
      <w:lvlText w:val="%3."/>
      <w:lvlJc w:val="right"/>
      <w:pPr>
        <w:ind w:left="2160" w:hanging="180"/>
      </w:pPr>
    </w:lvl>
    <w:lvl w:ilvl="3" w:tplc="34EEEF2C">
      <w:start w:val="1"/>
      <w:numFmt w:val="decimal"/>
      <w:lvlText w:val="%4."/>
      <w:lvlJc w:val="left"/>
      <w:pPr>
        <w:ind w:left="2880" w:hanging="360"/>
      </w:pPr>
    </w:lvl>
    <w:lvl w:ilvl="4" w:tplc="2F2C2AF8">
      <w:start w:val="1"/>
      <w:numFmt w:val="lowerLetter"/>
      <w:lvlText w:val="%5."/>
      <w:lvlJc w:val="left"/>
      <w:pPr>
        <w:ind w:left="3600" w:hanging="360"/>
      </w:pPr>
    </w:lvl>
    <w:lvl w:ilvl="5" w:tplc="CA68B1DE">
      <w:start w:val="1"/>
      <w:numFmt w:val="lowerRoman"/>
      <w:lvlText w:val="%6."/>
      <w:lvlJc w:val="right"/>
      <w:pPr>
        <w:ind w:left="4320" w:hanging="180"/>
      </w:pPr>
    </w:lvl>
    <w:lvl w:ilvl="6" w:tplc="2D14D0FE">
      <w:start w:val="1"/>
      <w:numFmt w:val="decimal"/>
      <w:lvlText w:val="%7."/>
      <w:lvlJc w:val="left"/>
      <w:pPr>
        <w:ind w:left="5040" w:hanging="360"/>
      </w:pPr>
    </w:lvl>
    <w:lvl w:ilvl="7" w:tplc="2936694A">
      <w:start w:val="1"/>
      <w:numFmt w:val="lowerLetter"/>
      <w:lvlText w:val="%8."/>
      <w:lvlJc w:val="left"/>
      <w:pPr>
        <w:ind w:left="5760" w:hanging="360"/>
      </w:pPr>
    </w:lvl>
    <w:lvl w:ilvl="8" w:tplc="9ACA9CDC">
      <w:start w:val="1"/>
      <w:numFmt w:val="lowerRoman"/>
      <w:lvlText w:val="%9."/>
      <w:lvlJc w:val="right"/>
      <w:pPr>
        <w:ind w:left="6480" w:hanging="180"/>
      </w:pPr>
    </w:lvl>
  </w:abstractNum>
  <w:abstractNum w:abstractNumId="3" w15:restartNumberingAfterBreak="0">
    <w:nsid w:val="2BE30BF1"/>
    <w:multiLevelType w:val="hybridMultilevel"/>
    <w:tmpl w:val="22208F1E"/>
    <w:lvl w:ilvl="0" w:tplc="F7180570">
      <w:start w:val="9"/>
      <w:numFmt w:val="decimal"/>
      <w:lvlText w:val="%1."/>
      <w:lvlJc w:val="left"/>
      <w:pPr>
        <w:ind w:left="720" w:hanging="360"/>
      </w:pPr>
    </w:lvl>
    <w:lvl w:ilvl="1" w:tplc="EB0CE3F8">
      <w:start w:val="1"/>
      <w:numFmt w:val="lowerLetter"/>
      <w:lvlText w:val="%2."/>
      <w:lvlJc w:val="left"/>
      <w:pPr>
        <w:ind w:left="1440" w:hanging="360"/>
      </w:pPr>
    </w:lvl>
    <w:lvl w:ilvl="2" w:tplc="5806484E">
      <w:start w:val="1"/>
      <w:numFmt w:val="lowerRoman"/>
      <w:lvlText w:val="%3."/>
      <w:lvlJc w:val="right"/>
      <w:pPr>
        <w:ind w:left="2160" w:hanging="180"/>
      </w:pPr>
    </w:lvl>
    <w:lvl w:ilvl="3" w:tplc="5D74BBF4">
      <w:start w:val="1"/>
      <w:numFmt w:val="decimal"/>
      <w:lvlText w:val="%4."/>
      <w:lvlJc w:val="left"/>
      <w:pPr>
        <w:ind w:left="2880" w:hanging="360"/>
      </w:pPr>
    </w:lvl>
    <w:lvl w:ilvl="4" w:tplc="14264F00">
      <w:start w:val="1"/>
      <w:numFmt w:val="lowerLetter"/>
      <w:lvlText w:val="%5."/>
      <w:lvlJc w:val="left"/>
      <w:pPr>
        <w:ind w:left="3600" w:hanging="360"/>
      </w:pPr>
    </w:lvl>
    <w:lvl w:ilvl="5" w:tplc="376CA7AE">
      <w:start w:val="1"/>
      <w:numFmt w:val="lowerRoman"/>
      <w:lvlText w:val="%6."/>
      <w:lvlJc w:val="right"/>
      <w:pPr>
        <w:ind w:left="4320" w:hanging="180"/>
      </w:pPr>
    </w:lvl>
    <w:lvl w:ilvl="6" w:tplc="30242FD4">
      <w:start w:val="1"/>
      <w:numFmt w:val="decimal"/>
      <w:lvlText w:val="%7."/>
      <w:lvlJc w:val="left"/>
      <w:pPr>
        <w:ind w:left="5040" w:hanging="360"/>
      </w:pPr>
    </w:lvl>
    <w:lvl w:ilvl="7" w:tplc="46FC895E">
      <w:start w:val="1"/>
      <w:numFmt w:val="lowerLetter"/>
      <w:lvlText w:val="%8."/>
      <w:lvlJc w:val="left"/>
      <w:pPr>
        <w:ind w:left="5760" w:hanging="360"/>
      </w:pPr>
    </w:lvl>
    <w:lvl w:ilvl="8" w:tplc="47ACED62">
      <w:start w:val="1"/>
      <w:numFmt w:val="lowerRoman"/>
      <w:lvlText w:val="%9."/>
      <w:lvlJc w:val="right"/>
      <w:pPr>
        <w:ind w:left="6480" w:hanging="180"/>
      </w:pPr>
    </w:lvl>
  </w:abstractNum>
  <w:abstractNum w:abstractNumId="4" w15:restartNumberingAfterBreak="0">
    <w:nsid w:val="319B530F"/>
    <w:multiLevelType w:val="hybridMultilevel"/>
    <w:tmpl w:val="6DBC3CD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3517673B"/>
    <w:multiLevelType w:val="hybridMultilevel"/>
    <w:tmpl w:val="28801552"/>
    <w:lvl w:ilvl="0" w:tplc="358A4C6A">
      <w:start w:val="2"/>
      <w:numFmt w:val="decimal"/>
      <w:lvlText w:val="%1."/>
      <w:lvlJc w:val="left"/>
      <w:pPr>
        <w:ind w:left="720" w:hanging="360"/>
      </w:pPr>
    </w:lvl>
    <w:lvl w:ilvl="1" w:tplc="F20A0868">
      <w:start w:val="1"/>
      <w:numFmt w:val="lowerLetter"/>
      <w:lvlText w:val="%2."/>
      <w:lvlJc w:val="left"/>
      <w:pPr>
        <w:ind w:left="1440" w:hanging="360"/>
      </w:pPr>
    </w:lvl>
    <w:lvl w:ilvl="2" w:tplc="D1309356">
      <w:start w:val="1"/>
      <w:numFmt w:val="lowerRoman"/>
      <w:lvlText w:val="%3."/>
      <w:lvlJc w:val="right"/>
      <w:pPr>
        <w:ind w:left="2160" w:hanging="180"/>
      </w:pPr>
    </w:lvl>
    <w:lvl w:ilvl="3" w:tplc="DF988A00">
      <w:start w:val="1"/>
      <w:numFmt w:val="decimal"/>
      <w:lvlText w:val="%4."/>
      <w:lvlJc w:val="left"/>
      <w:pPr>
        <w:ind w:left="2880" w:hanging="360"/>
      </w:pPr>
    </w:lvl>
    <w:lvl w:ilvl="4" w:tplc="B2AE3EE6">
      <w:start w:val="1"/>
      <w:numFmt w:val="lowerLetter"/>
      <w:lvlText w:val="%5."/>
      <w:lvlJc w:val="left"/>
      <w:pPr>
        <w:ind w:left="3600" w:hanging="360"/>
      </w:pPr>
    </w:lvl>
    <w:lvl w:ilvl="5" w:tplc="9176C1C2">
      <w:start w:val="1"/>
      <w:numFmt w:val="lowerRoman"/>
      <w:lvlText w:val="%6."/>
      <w:lvlJc w:val="right"/>
      <w:pPr>
        <w:ind w:left="4320" w:hanging="180"/>
      </w:pPr>
    </w:lvl>
    <w:lvl w:ilvl="6" w:tplc="A008E9A0">
      <w:start w:val="1"/>
      <w:numFmt w:val="decimal"/>
      <w:lvlText w:val="%7."/>
      <w:lvlJc w:val="left"/>
      <w:pPr>
        <w:ind w:left="5040" w:hanging="360"/>
      </w:pPr>
    </w:lvl>
    <w:lvl w:ilvl="7" w:tplc="4B8CCB68">
      <w:start w:val="1"/>
      <w:numFmt w:val="lowerLetter"/>
      <w:lvlText w:val="%8."/>
      <w:lvlJc w:val="left"/>
      <w:pPr>
        <w:ind w:left="5760" w:hanging="360"/>
      </w:pPr>
    </w:lvl>
    <w:lvl w:ilvl="8" w:tplc="DFCC258A">
      <w:start w:val="1"/>
      <w:numFmt w:val="lowerRoman"/>
      <w:lvlText w:val="%9."/>
      <w:lvlJc w:val="right"/>
      <w:pPr>
        <w:ind w:left="6480" w:hanging="180"/>
      </w:pPr>
    </w:lvl>
  </w:abstractNum>
  <w:abstractNum w:abstractNumId="6" w15:restartNumberingAfterBreak="0">
    <w:nsid w:val="43514616"/>
    <w:multiLevelType w:val="hybridMultilevel"/>
    <w:tmpl w:val="1C347A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3845A13"/>
    <w:multiLevelType w:val="hybridMultilevel"/>
    <w:tmpl w:val="A49436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59F2895"/>
    <w:multiLevelType w:val="hybridMultilevel"/>
    <w:tmpl w:val="A25AC3A6"/>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45C42E06"/>
    <w:multiLevelType w:val="hybridMultilevel"/>
    <w:tmpl w:val="74C64C84"/>
    <w:lvl w:ilvl="0" w:tplc="E5768806">
      <w:start w:val="3"/>
      <w:numFmt w:val="upperRoman"/>
      <w:lvlText w:val="%1."/>
      <w:lvlJc w:val="right"/>
      <w:pPr>
        <w:ind w:left="720" w:hanging="360"/>
      </w:pPr>
    </w:lvl>
    <w:lvl w:ilvl="1" w:tplc="C6A8C922">
      <w:start w:val="1"/>
      <w:numFmt w:val="lowerLetter"/>
      <w:lvlText w:val="%2."/>
      <w:lvlJc w:val="left"/>
      <w:pPr>
        <w:ind w:left="1440" w:hanging="360"/>
      </w:pPr>
    </w:lvl>
    <w:lvl w:ilvl="2" w:tplc="CEBECC2E">
      <w:start w:val="1"/>
      <w:numFmt w:val="lowerRoman"/>
      <w:lvlText w:val="%3."/>
      <w:lvlJc w:val="right"/>
      <w:pPr>
        <w:ind w:left="2160" w:hanging="180"/>
      </w:pPr>
    </w:lvl>
    <w:lvl w:ilvl="3" w:tplc="B032F71A">
      <w:start w:val="1"/>
      <w:numFmt w:val="decimal"/>
      <w:lvlText w:val="%4."/>
      <w:lvlJc w:val="left"/>
      <w:pPr>
        <w:ind w:left="2880" w:hanging="360"/>
      </w:pPr>
    </w:lvl>
    <w:lvl w:ilvl="4" w:tplc="3362A02E">
      <w:start w:val="1"/>
      <w:numFmt w:val="lowerLetter"/>
      <w:lvlText w:val="%5."/>
      <w:lvlJc w:val="left"/>
      <w:pPr>
        <w:ind w:left="3600" w:hanging="360"/>
      </w:pPr>
    </w:lvl>
    <w:lvl w:ilvl="5" w:tplc="AA422A88">
      <w:start w:val="1"/>
      <w:numFmt w:val="lowerRoman"/>
      <w:lvlText w:val="%6."/>
      <w:lvlJc w:val="right"/>
      <w:pPr>
        <w:ind w:left="4320" w:hanging="180"/>
      </w:pPr>
    </w:lvl>
    <w:lvl w:ilvl="6" w:tplc="0B5C1544">
      <w:start w:val="1"/>
      <w:numFmt w:val="decimal"/>
      <w:lvlText w:val="%7."/>
      <w:lvlJc w:val="left"/>
      <w:pPr>
        <w:ind w:left="5040" w:hanging="360"/>
      </w:pPr>
    </w:lvl>
    <w:lvl w:ilvl="7" w:tplc="26805CCA">
      <w:start w:val="1"/>
      <w:numFmt w:val="lowerLetter"/>
      <w:lvlText w:val="%8."/>
      <w:lvlJc w:val="left"/>
      <w:pPr>
        <w:ind w:left="5760" w:hanging="360"/>
      </w:pPr>
    </w:lvl>
    <w:lvl w:ilvl="8" w:tplc="28F0DCD8">
      <w:start w:val="1"/>
      <w:numFmt w:val="lowerRoman"/>
      <w:lvlText w:val="%9."/>
      <w:lvlJc w:val="right"/>
      <w:pPr>
        <w:ind w:left="6480" w:hanging="180"/>
      </w:pPr>
    </w:lvl>
  </w:abstractNum>
  <w:abstractNum w:abstractNumId="10" w15:restartNumberingAfterBreak="0">
    <w:nsid w:val="4955934C"/>
    <w:multiLevelType w:val="hybridMultilevel"/>
    <w:tmpl w:val="1592FBA8"/>
    <w:lvl w:ilvl="0" w:tplc="193EAA7C">
      <w:start w:val="2"/>
      <w:numFmt w:val="upperRoman"/>
      <w:lvlText w:val="%1."/>
      <w:lvlJc w:val="right"/>
      <w:pPr>
        <w:ind w:left="720" w:hanging="360"/>
      </w:pPr>
    </w:lvl>
    <w:lvl w:ilvl="1" w:tplc="E5CA2FC4">
      <w:start w:val="1"/>
      <w:numFmt w:val="lowerLetter"/>
      <w:lvlText w:val="%2."/>
      <w:lvlJc w:val="left"/>
      <w:pPr>
        <w:ind w:left="1440" w:hanging="360"/>
      </w:pPr>
    </w:lvl>
    <w:lvl w:ilvl="2" w:tplc="D988C33A">
      <w:start w:val="1"/>
      <w:numFmt w:val="lowerRoman"/>
      <w:lvlText w:val="%3."/>
      <w:lvlJc w:val="right"/>
      <w:pPr>
        <w:ind w:left="2160" w:hanging="180"/>
      </w:pPr>
    </w:lvl>
    <w:lvl w:ilvl="3" w:tplc="046881D8">
      <w:start w:val="1"/>
      <w:numFmt w:val="decimal"/>
      <w:lvlText w:val="%4."/>
      <w:lvlJc w:val="left"/>
      <w:pPr>
        <w:ind w:left="2880" w:hanging="360"/>
      </w:pPr>
    </w:lvl>
    <w:lvl w:ilvl="4" w:tplc="B8FE957C">
      <w:start w:val="1"/>
      <w:numFmt w:val="lowerLetter"/>
      <w:lvlText w:val="%5."/>
      <w:lvlJc w:val="left"/>
      <w:pPr>
        <w:ind w:left="3600" w:hanging="360"/>
      </w:pPr>
    </w:lvl>
    <w:lvl w:ilvl="5" w:tplc="4A0E55B0">
      <w:start w:val="1"/>
      <w:numFmt w:val="lowerRoman"/>
      <w:lvlText w:val="%6."/>
      <w:lvlJc w:val="right"/>
      <w:pPr>
        <w:ind w:left="4320" w:hanging="180"/>
      </w:pPr>
    </w:lvl>
    <w:lvl w:ilvl="6" w:tplc="99CA6EEA">
      <w:start w:val="1"/>
      <w:numFmt w:val="decimal"/>
      <w:lvlText w:val="%7."/>
      <w:lvlJc w:val="left"/>
      <w:pPr>
        <w:ind w:left="5040" w:hanging="360"/>
      </w:pPr>
    </w:lvl>
    <w:lvl w:ilvl="7" w:tplc="94483AE4">
      <w:start w:val="1"/>
      <w:numFmt w:val="lowerLetter"/>
      <w:lvlText w:val="%8."/>
      <w:lvlJc w:val="left"/>
      <w:pPr>
        <w:ind w:left="5760" w:hanging="360"/>
      </w:pPr>
    </w:lvl>
    <w:lvl w:ilvl="8" w:tplc="B8FE951E">
      <w:start w:val="1"/>
      <w:numFmt w:val="lowerRoman"/>
      <w:lvlText w:val="%9."/>
      <w:lvlJc w:val="right"/>
      <w:pPr>
        <w:ind w:left="6480" w:hanging="180"/>
      </w:pPr>
    </w:lvl>
  </w:abstractNum>
  <w:abstractNum w:abstractNumId="11" w15:restartNumberingAfterBreak="0">
    <w:nsid w:val="4BD14990"/>
    <w:multiLevelType w:val="hybridMultilevel"/>
    <w:tmpl w:val="E1367B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4E51FB9"/>
    <w:multiLevelType w:val="hybridMultilevel"/>
    <w:tmpl w:val="ADCAB3BE"/>
    <w:lvl w:ilvl="0" w:tplc="D25A87B8">
      <w:start w:val="1"/>
      <w:numFmt w:val="bullet"/>
      <w:lvlText w:val="-"/>
      <w:lvlJc w:val="left"/>
      <w:pPr>
        <w:ind w:left="720" w:hanging="360"/>
      </w:pPr>
      <w:rPr>
        <w:rFonts w:ascii="Aptos" w:hAnsi="Aptos" w:hint="default"/>
      </w:rPr>
    </w:lvl>
    <w:lvl w:ilvl="1" w:tplc="119E1FFA">
      <w:start w:val="1"/>
      <w:numFmt w:val="bullet"/>
      <w:lvlText w:val="o"/>
      <w:lvlJc w:val="left"/>
      <w:pPr>
        <w:ind w:left="1440" w:hanging="360"/>
      </w:pPr>
      <w:rPr>
        <w:rFonts w:ascii="Courier New" w:hAnsi="Courier New" w:hint="default"/>
      </w:rPr>
    </w:lvl>
    <w:lvl w:ilvl="2" w:tplc="3D38142C">
      <w:start w:val="1"/>
      <w:numFmt w:val="bullet"/>
      <w:lvlText w:val=""/>
      <w:lvlJc w:val="left"/>
      <w:pPr>
        <w:ind w:left="2160" w:hanging="360"/>
      </w:pPr>
      <w:rPr>
        <w:rFonts w:ascii="Wingdings" w:hAnsi="Wingdings" w:hint="default"/>
      </w:rPr>
    </w:lvl>
    <w:lvl w:ilvl="3" w:tplc="290AC200">
      <w:start w:val="1"/>
      <w:numFmt w:val="bullet"/>
      <w:lvlText w:val=""/>
      <w:lvlJc w:val="left"/>
      <w:pPr>
        <w:ind w:left="2880" w:hanging="360"/>
      </w:pPr>
      <w:rPr>
        <w:rFonts w:ascii="Symbol" w:hAnsi="Symbol" w:hint="default"/>
      </w:rPr>
    </w:lvl>
    <w:lvl w:ilvl="4" w:tplc="FD36C886">
      <w:start w:val="1"/>
      <w:numFmt w:val="bullet"/>
      <w:lvlText w:val="o"/>
      <w:lvlJc w:val="left"/>
      <w:pPr>
        <w:ind w:left="3600" w:hanging="360"/>
      </w:pPr>
      <w:rPr>
        <w:rFonts w:ascii="Courier New" w:hAnsi="Courier New" w:hint="default"/>
      </w:rPr>
    </w:lvl>
    <w:lvl w:ilvl="5" w:tplc="79BA53AC">
      <w:start w:val="1"/>
      <w:numFmt w:val="bullet"/>
      <w:lvlText w:val=""/>
      <w:lvlJc w:val="left"/>
      <w:pPr>
        <w:ind w:left="4320" w:hanging="360"/>
      </w:pPr>
      <w:rPr>
        <w:rFonts w:ascii="Wingdings" w:hAnsi="Wingdings" w:hint="default"/>
      </w:rPr>
    </w:lvl>
    <w:lvl w:ilvl="6" w:tplc="51E2E0CA">
      <w:start w:val="1"/>
      <w:numFmt w:val="bullet"/>
      <w:lvlText w:val=""/>
      <w:lvlJc w:val="left"/>
      <w:pPr>
        <w:ind w:left="5040" w:hanging="360"/>
      </w:pPr>
      <w:rPr>
        <w:rFonts w:ascii="Symbol" w:hAnsi="Symbol" w:hint="default"/>
      </w:rPr>
    </w:lvl>
    <w:lvl w:ilvl="7" w:tplc="5EFECA7C">
      <w:start w:val="1"/>
      <w:numFmt w:val="bullet"/>
      <w:lvlText w:val="o"/>
      <w:lvlJc w:val="left"/>
      <w:pPr>
        <w:ind w:left="5760" w:hanging="360"/>
      </w:pPr>
      <w:rPr>
        <w:rFonts w:ascii="Courier New" w:hAnsi="Courier New" w:hint="default"/>
      </w:rPr>
    </w:lvl>
    <w:lvl w:ilvl="8" w:tplc="7EFE6710">
      <w:start w:val="1"/>
      <w:numFmt w:val="bullet"/>
      <w:lvlText w:val=""/>
      <w:lvlJc w:val="left"/>
      <w:pPr>
        <w:ind w:left="6480" w:hanging="360"/>
      </w:pPr>
      <w:rPr>
        <w:rFonts w:ascii="Wingdings" w:hAnsi="Wingdings" w:hint="default"/>
      </w:rPr>
    </w:lvl>
  </w:abstractNum>
  <w:abstractNum w:abstractNumId="13" w15:restartNumberingAfterBreak="0">
    <w:nsid w:val="71116725"/>
    <w:multiLevelType w:val="hybridMultilevel"/>
    <w:tmpl w:val="4636FB46"/>
    <w:lvl w:ilvl="0" w:tplc="34CE2BF6">
      <w:start w:val="4"/>
      <w:numFmt w:val="decimal"/>
      <w:lvlText w:val="%1."/>
      <w:lvlJc w:val="left"/>
      <w:pPr>
        <w:ind w:left="720" w:hanging="360"/>
      </w:pPr>
    </w:lvl>
    <w:lvl w:ilvl="1" w:tplc="FFD67C5E">
      <w:start w:val="1"/>
      <w:numFmt w:val="lowerLetter"/>
      <w:lvlText w:val="%2."/>
      <w:lvlJc w:val="left"/>
      <w:pPr>
        <w:ind w:left="1440" w:hanging="360"/>
      </w:pPr>
    </w:lvl>
    <w:lvl w:ilvl="2" w:tplc="9FCA95DC">
      <w:start w:val="1"/>
      <w:numFmt w:val="lowerRoman"/>
      <w:lvlText w:val="%3."/>
      <w:lvlJc w:val="right"/>
      <w:pPr>
        <w:ind w:left="2160" w:hanging="180"/>
      </w:pPr>
    </w:lvl>
    <w:lvl w:ilvl="3" w:tplc="BEE2624E">
      <w:start w:val="1"/>
      <w:numFmt w:val="decimal"/>
      <w:lvlText w:val="%4."/>
      <w:lvlJc w:val="left"/>
      <w:pPr>
        <w:ind w:left="2880" w:hanging="360"/>
      </w:pPr>
    </w:lvl>
    <w:lvl w:ilvl="4" w:tplc="B55C270E">
      <w:start w:val="1"/>
      <w:numFmt w:val="lowerLetter"/>
      <w:lvlText w:val="%5."/>
      <w:lvlJc w:val="left"/>
      <w:pPr>
        <w:ind w:left="3600" w:hanging="360"/>
      </w:pPr>
    </w:lvl>
    <w:lvl w:ilvl="5" w:tplc="AD20448C">
      <w:start w:val="1"/>
      <w:numFmt w:val="lowerRoman"/>
      <w:lvlText w:val="%6."/>
      <w:lvlJc w:val="right"/>
      <w:pPr>
        <w:ind w:left="4320" w:hanging="180"/>
      </w:pPr>
    </w:lvl>
    <w:lvl w:ilvl="6" w:tplc="1DF46A88">
      <w:start w:val="1"/>
      <w:numFmt w:val="decimal"/>
      <w:lvlText w:val="%7."/>
      <w:lvlJc w:val="left"/>
      <w:pPr>
        <w:ind w:left="5040" w:hanging="360"/>
      </w:pPr>
    </w:lvl>
    <w:lvl w:ilvl="7" w:tplc="4968751E">
      <w:start w:val="1"/>
      <w:numFmt w:val="lowerLetter"/>
      <w:lvlText w:val="%8."/>
      <w:lvlJc w:val="left"/>
      <w:pPr>
        <w:ind w:left="5760" w:hanging="360"/>
      </w:pPr>
    </w:lvl>
    <w:lvl w:ilvl="8" w:tplc="939EBAEE">
      <w:start w:val="1"/>
      <w:numFmt w:val="lowerRoman"/>
      <w:lvlText w:val="%9."/>
      <w:lvlJc w:val="right"/>
      <w:pPr>
        <w:ind w:left="6480" w:hanging="180"/>
      </w:pPr>
    </w:lvl>
  </w:abstractNum>
  <w:abstractNum w:abstractNumId="14" w15:restartNumberingAfterBreak="0">
    <w:nsid w:val="753E1827"/>
    <w:multiLevelType w:val="hybridMultilevel"/>
    <w:tmpl w:val="2B081516"/>
    <w:lvl w:ilvl="0" w:tplc="04090001">
      <w:start w:val="1"/>
      <w:numFmt w:val="bullet"/>
      <w:lvlText w:val=""/>
      <w:lvlJc w:val="left"/>
      <w:pPr>
        <w:ind w:left="1080" w:hanging="360"/>
      </w:pPr>
      <w:rPr>
        <w:rFonts w:ascii="Symbol" w:hAnsi="Symbol" w:hint="default"/>
      </w:rPr>
    </w:lvl>
    <w:lvl w:ilvl="1" w:tplc="E5C8AA3A">
      <w:start w:val="1"/>
      <w:numFmt w:val="bullet"/>
      <w:lvlText w:val=""/>
      <w:lvlJc w:val="left"/>
      <w:pPr>
        <w:ind w:left="1080" w:hanging="360"/>
      </w:pPr>
      <w:rPr>
        <w:rFonts w:ascii="Symbol" w:hAnsi="Symbol" w:hint="default"/>
      </w:rPr>
    </w:lvl>
    <w:lvl w:ilvl="2" w:tplc="1FAE96A2">
      <w:start w:val="1"/>
      <w:numFmt w:val="lowerRoman"/>
      <w:lvlText w:val="%3."/>
      <w:lvlJc w:val="right"/>
      <w:pPr>
        <w:ind w:left="2160" w:hanging="180"/>
      </w:pPr>
    </w:lvl>
    <w:lvl w:ilvl="3" w:tplc="5B703642">
      <w:start w:val="1"/>
      <w:numFmt w:val="decimal"/>
      <w:lvlText w:val="%4."/>
      <w:lvlJc w:val="left"/>
      <w:pPr>
        <w:ind w:left="2880" w:hanging="360"/>
      </w:pPr>
    </w:lvl>
    <w:lvl w:ilvl="4" w:tplc="FDE84424">
      <w:start w:val="1"/>
      <w:numFmt w:val="lowerLetter"/>
      <w:lvlText w:val="%5."/>
      <w:lvlJc w:val="left"/>
      <w:pPr>
        <w:ind w:left="3600" w:hanging="360"/>
      </w:pPr>
    </w:lvl>
    <w:lvl w:ilvl="5" w:tplc="74C64E32">
      <w:start w:val="1"/>
      <w:numFmt w:val="lowerRoman"/>
      <w:lvlText w:val="%6."/>
      <w:lvlJc w:val="right"/>
      <w:pPr>
        <w:ind w:left="4320" w:hanging="180"/>
      </w:pPr>
    </w:lvl>
    <w:lvl w:ilvl="6" w:tplc="56FA3722">
      <w:start w:val="1"/>
      <w:numFmt w:val="decimal"/>
      <w:lvlText w:val="%7."/>
      <w:lvlJc w:val="left"/>
      <w:pPr>
        <w:ind w:left="5040" w:hanging="360"/>
      </w:pPr>
    </w:lvl>
    <w:lvl w:ilvl="7" w:tplc="7782553C">
      <w:start w:val="1"/>
      <w:numFmt w:val="lowerLetter"/>
      <w:lvlText w:val="%8."/>
      <w:lvlJc w:val="left"/>
      <w:pPr>
        <w:ind w:left="5760" w:hanging="360"/>
      </w:pPr>
    </w:lvl>
    <w:lvl w:ilvl="8" w:tplc="3C109CFA">
      <w:start w:val="1"/>
      <w:numFmt w:val="lowerRoman"/>
      <w:lvlText w:val="%9."/>
      <w:lvlJc w:val="right"/>
      <w:pPr>
        <w:ind w:left="6480" w:hanging="180"/>
      </w:pPr>
    </w:lvl>
  </w:abstractNum>
  <w:abstractNum w:abstractNumId="15" w15:restartNumberingAfterBreak="0">
    <w:nsid w:val="7A4398E6"/>
    <w:multiLevelType w:val="hybridMultilevel"/>
    <w:tmpl w:val="8160AC94"/>
    <w:lvl w:ilvl="0" w:tplc="1FE868CC">
      <w:start w:val="3"/>
      <w:numFmt w:val="decimal"/>
      <w:lvlText w:val="%1."/>
      <w:lvlJc w:val="left"/>
      <w:pPr>
        <w:ind w:left="720" w:hanging="360"/>
      </w:pPr>
    </w:lvl>
    <w:lvl w:ilvl="1" w:tplc="E8A0E314">
      <w:start w:val="1"/>
      <w:numFmt w:val="lowerLetter"/>
      <w:lvlText w:val="%2."/>
      <w:lvlJc w:val="left"/>
      <w:pPr>
        <w:ind w:left="1440" w:hanging="360"/>
      </w:pPr>
    </w:lvl>
    <w:lvl w:ilvl="2" w:tplc="157A5400">
      <w:start w:val="1"/>
      <w:numFmt w:val="lowerRoman"/>
      <w:lvlText w:val="%3."/>
      <w:lvlJc w:val="right"/>
      <w:pPr>
        <w:ind w:left="2160" w:hanging="180"/>
      </w:pPr>
    </w:lvl>
    <w:lvl w:ilvl="3" w:tplc="FE5242EA">
      <w:start w:val="1"/>
      <w:numFmt w:val="decimal"/>
      <w:lvlText w:val="%4."/>
      <w:lvlJc w:val="left"/>
      <w:pPr>
        <w:ind w:left="2880" w:hanging="360"/>
      </w:pPr>
    </w:lvl>
    <w:lvl w:ilvl="4" w:tplc="6A18911C">
      <w:start w:val="1"/>
      <w:numFmt w:val="lowerLetter"/>
      <w:lvlText w:val="%5."/>
      <w:lvlJc w:val="left"/>
      <w:pPr>
        <w:ind w:left="3600" w:hanging="360"/>
      </w:pPr>
    </w:lvl>
    <w:lvl w:ilvl="5" w:tplc="7C76604A">
      <w:start w:val="1"/>
      <w:numFmt w:val="lowerRoman"/>
      <w:lvlText w:val="%6."/>
      <w:lvlJc w:val="right"/>
      <w:pPr>
        <w:ind w:left="4320" w:hanging="180"/>
      </w:pPr>
    </w:lvl>
    <w:lvl w:ilvl="6" w:tplc="5FCEDC00">
      <w:start w:val="1"/>
      <w:numFmt w:val="decimal"/>
      <w:lvlText w:val="%7."/>
      <w:lvlJc w:val="left"/>
      <w:pPr>
        <w:ind w:left="5040" w:hanging="360"/>
      </w:pPr>
    </w:lvl>
    <w:lvl w:ilvl="7" w:tplc="A6FA77C6">
      <w:start w:val="1"/>
      <w:numFmt w:val="lowerLetter"/>
      <w:lvlText w:val="%8."/>
      <w:lvlJc w:val="left"/>
      <w:pPr>
        <w:ind w:left="5760" w:hanging="360"/>
      </w:pPr>
    </w:lvl>
    <w:lvl w:ilvl="8" w:tplc="6F9659DC">
      <w:start w:val="1"/>
      <w:numFmt w:val="lowerRoman"/>
      <w:lvlText w:val="%9."/>
      <w:lvlJc w:val="right"/>
      <w:pPr>
        <w:ind w:left="6480" w:hanging="180"/>
      </w:pPr>
    </w:lvl>
  </w:abstractNum>
  <w:abstractNum w:abstractNumId="16" w15:restartNumberingAfterBreak="0">
    <w:nsid w:val="7AF74152"/>
    <w:multiLevelType w:val="hybridMultilevel"/>
    <w:tmpl w:val="CA942A84"/>
    <w:lvl w:ilvl="0" w:tplc="6FFA62AA">
      <w:start w:val="13"/>
      <w:numFmt w:val="decimal"/>
      <w:lvlText w:val="%1."/>
      <w:lvlJc w:val="left"/>
      <w:pPr>
        <w:ind w:left="720" w:hanging="360"/>
      </w:pPr>
    </w:lvl>
    <w:lvl w:ilvl="1" w:tplc="7114ABE8">
      <w:start w:val="1"/>
      <w:numFmt w:val="lowerLetter"/>
      <w:lvlText w:val="%2."/>
      <w:lvlJc w:val="left"/>
      <w:pPr>
        <w:ind w:left="1440" w:hanging="360"/>
      </w:pPr>
    </w:lvl>
    <w:lvl w:ilvl="2" w:tplc="5BE84E16">
      <w:start w:val="1"/>
      <w:numFmt w:val="lowerRoman"/>
      <w:lvlText w:val="%3."/>
      <w:lvlJc w:val="right"/>
      <w:pPr>
        <w:ind w:left="2160" w:hanging="180"/>
      </w:pPr>
    </w:lvl>
    <w:lvl w:ilvl="3" w:tplc="2BE2CC24">
      <w:start w:val="1"/>
      <w:numFmt w:val="decimal"/>
      <w:lvlText w:val="%4."/>
      <w:lvlJc w:val="left"/>
      <w:pPr>
        <w:ind w:left="2880" w:hanging="360"/>
      </w:pPr>
    </w:lvl>
    <w:lvl w:ilvl="4" w:tplc="20D27D22">
      <w:start w:val="1"/>
      <w:numFmt w:val="lowerLetter"/>
      <w:lvlText w:val="%5."/>
      <w:lvlJc w:val="left"/>
      <w:pPr>
        <w:ind w:left="3600" w:hanging="360"/>
      </w:pPr>
    </w:lvl>
    <w:lvl w:ilvl="5" w:tplc="064AB166">
      <w:start w:val="1"/>
      <w:numFmt w:val="lowerRoman"/>
      <w:lvlText w:val="%6."/>
      <w:lvlJc w:val="right"/>
      <w:pPr>
        <w:ind w:left="4320" w:hanging="180"/>
      </w:pPr>
    </w:lvl>
    <w:lvl w:ilvl="6" w:tplc="3ED8523A">
      <w:start w:val="1"/>
      <w:numFmt w:val="decimal"/>
      <w:lvlText w:val="%7."/>
      <w:lvlJc w:val="left"/>
      <w:pPr>
        <w:ind w:left="5040" w:hanging="360"/>
      </w:pPr>
    </w:lvl>
    <w:lvl w:ilvl="7" w:tplc="E7FAE5BA">
      <w:start w:val="1"/>
      <w:numFmt w:val="lowerLetter"/>
      <w:lvlText w:val="%8."/>
      <w:lvlJc w:val="left"/>
      <w:pPr>
        <w:ind w:left="5760" w:hanging="360"/>
      </w:pPr>
    </w:lvl>
    <w:lvl w:ilvl="8" w:tplc="CD54CD7E">
      <w:start w:val="1"/>
      <w:numFmt w:val="lowerRoman"/>
      <w:lvlText w:val="%9."/>
      <w:lvlJc w:val="right"/>
      <w:pPr>
        <w:ind w:left="6480" w:hanging="180"/>
      </w:pPr>
    </w:lvl>
  </w:abstractNum>
  <w:num w:numId="1" w16cid:durableId="1042247480">
    <w:abstractNumId w:val="16"/>
  </w:num>
  <w:num w:numId="2" w16cid:durableId="622034277">
    <w:abstractNumId w:val="9"/>
  </w:num>
  <w:num w:numId="3" w16cid:durableId="1076127435">
    <w:abstractNumId w:val="3"/>
  </w:num>
  <w:num w:numId="4" w16cid:durableId="2084057714">
    <w:abstractNumId w:val="10"/>
  </w:num>
  <w:num w:numId="5" w16cid:durableId="848833443">
    <w:abstractNumId w:val="13"/>
  </w:num>
  <w:num w:numId="6" w16cid:durableId="553855158">
    <w:abstractNumId w:val="15"/>
  </w:num>
  <w:num w:numId="7" w16cid:durableId="2024164527">
    <w:abstractNumId w:val="2"/>
  </w:num>
  <w:num w:numId="8" w16cid:durableId="944266532">
    <w:abstractNumId w:val="5"/>
  </w:num>
  <w:num w:numId="9" w16cid:durableId="1962299707">
    <w:abstractNumId w:val="14"/>
  </w:num>
  <w:num w:numId="10" w16cid:durableId="1897282534">
    <w:abstractNumId w:val="4"/>
  </w:num>
  <w:num w:numId="11" w16cid:durableId="1866483074">
    <w:abstractNumId w:val="8"/>
  </w:num>
  <w:num w:numId="12" w16cid:durableId="1334147150">
    <w:abstractNumId w:val="1"/>
  </w:num>
  <w:num w:numId="13" w16cid:durableId="611783088">
    <w:abstractNumId w:val="6"/>
  </w:num>
  <w:num w:numId="14" w16cid:durableId="954941831">
    <w:abstractNumId w:val="0"/>
  </w:num>
  <w:num w:numId="15" w16cid:durableId="1913731039">
    <w:abstractNumId w:val="7"/>
  </w:num>
  <w:num w:numId="16" w16cid:durableId="1390764437">
    <w:abstractNumId w:val="11"/>
  </w:num>
  <w:num w:numId="17" w16cid:durableId="1832670097">
    <w:abstractNumId w:val="12"/>
  </w:num>
  <w:num w:numId="18" w16cid:durableId="5117991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ocIDClientMatter" w:val="False"/>
    <w:docVar w:name="DocIDType" w:val="AllPages"/>
    <w:docVar w:name="LegacyDocIDRemoved" w:val="True"/>
  </w:docVars>
  <w:rsids>
    <w:rsidRoot w:val="7C485682"/>
    <w:rsid w:val="00002E7F"/>
    <w:rsid w:val="00012861"/>
    <w:rsid w:val="00012C0F"/>
    <w:rsid w:val="00013774"/>
    <w:rsid w:val="0002279B"/>
    <w:rsid w:val="000242B9"/>
    <w:rsid w:val="000458A6"/>
    <w:rsid w:val="00050132"/>
    <w:rsid w:val="000507D0"/>
    <w:rsid w:val="00052623"/>
    <w:rsid w:val="00056FC9"/>
    <w:rsid w:val="000628B2"/>
    <w:rsid w:val="00064CEF"/>
    <w:rsid w:val="00082E4A"/>
    <w:rsid w:val="000833AC"/>
    <w:rsid w:val="00084686"/>
    <w:rsid w:val="0009225E"/>
    <w:rsid w:val="00094D15"/>
    <w:rsid w:val="0009648B"/>
    <w:rsid w:val="000B54C6"/>
    <w:rsid w:val="000B5CCD"/>
    <w:rsid w:val="000C1058"/>
    <w:rsid w:val="000C3EF5"/>
    <w:rsid w:val="000D10B8"/>
    <w:rsid w:val="000E297C"/>
    <w:rsid w:val="000E6270"/>
    <w:rsid w:val="000F3A05"/>
    <w:rsid w:val="000F58C1"/>
    <w:rsid w:val="000F5BCD"/>
    <w:rsid w:val="00101888"/>
    <w:rsid w:val="00106677"/>
    <w:rsid w:val="001173DF"/>
    <w:rsid w:val="001223F1"/>
    <w:rsid w:val="00131000"/>
    <w:rsid w:val="001355D9"/>
    <w:rsid w:val="001374F4"/>
    <w:rsid w:val="00140094"/>
    <w:rsid w:val="0014100D"/>
    <w:rsid w:val="0014367E"/>
    <w:rsid w:val="00144AE7"/>
    <w:rsid w:val="001479F1"/>
    <w:rsid w:val="001505C5"/>
    <w:rsid w:val="00153444"/>
    <w:rsid w:val="00156BC4"/>
    <w:rsid w:val="00157BD5"/>
    <w:rsid w:val="0016377A"/>
    <w:rsid w:val="00164FB0"/>
    <w:rsid w:val="001727F1"/>
    <w:rsid w:val="00174334"/>
    <w:rsid w:val="00181945"/>
    <w:rsid w:val="00184F64"/>
    <w:rsid w:val="001A1A15"/>
    <w:rsid w:val="001A1B33"/>
    <w:rsid w:val="001A6571"/>
    <w:rsid w:val="001B2DBF"/>
    <w:rsid w:val="001B5615"/>
    <w:rsid w:val="001B6385"/>
    <w:rsid w:val="001C6A82"/>
    <w:rsid w:val="001D2984"/>
    <w:rsid w:val="001D6740"/>
    <w:rsid w:val="001E005D"/>
    <w:rsid w:val="001F0404"/>
    <w:rsid w:val="001F4BF2"/>
    <w:rsid w:val="001F6823"/>
    <w:rsid w:val="001F6A20"/>
    <w:rsid w:val="00214043"/>
    <w:rsid w:val="002400C4"/>
    <w:rsid w:val="00242774"/>
    <w:rsid w:val="00260E27"/>
    <w:rsid w:val="002769FB"/>
    <w:rsid w:val="002804D3"/>
    <w:rsid w:val="002835D9"/>
    <w:rsid w:val="002A175B"/>
    <w:rsid w:val="002A6626"/>
    <w:rsid w:val="002B2B4A"/>
    <w:rsid w:val="002B3E92"/>
    <w:rsid w:val="002C208C"/>
    <w:rsid w:val="002C25B7"/>
    <w:rsid w:val="002C29B2"/>
    <w:rsid w:val="002C600B"/>
    <w:rsid w:val="002D1034"/>
    <w:rsid w:val="002D7225"/>
    <w:rsid w:val="002E7788"/>
    <w:rsid w:val="002F1C62"/>
    <w:rsid w:val="002F4EAC"/>
    <w:rsid w:val="003028C9"/>
    <w:rsid w:val="00302CC0"/>
    <w:rsid w:val="003160B1"/>
    <w:rsid w:val="00324728"/>
    <w:rsid w:val="00326620"/>
    <w:rsid w:val="0033013A"/>
    <w:rsid w:val="003304BF"/>
    <w:rsid w:val="003551DD"/>
    <w:rsid w:val="0036185A"/>
    <w:rsid w:val="00364488"/>
    <w:rsid w:val="003706E4"/>
    <w:rsid w:val="00374996"/>
    <w:rsid w:val="00374A57"/>
    <w:rsid w:val="003775C4"/>
    <w:rsid w:val="00381F1D"/>
    <w:rsid w:val="00382841"/>
    <w:rsid w:val="003846D6"/>
    <w:rsid w:val="003853A6"/>
    <w:rsid w:val="0038666A"/>
    <w:rsid w:val="00386D00"/>
    <w:rsid w:val="0039255D"/>
    <w:rsid w:val="003945A8"/>
    <w:rsid w:val="003976A9"/>
    <w:rsid w:val="003A3586"/>
    <w:rsid w:val="003A3C9E"/>
    <w:rsid w:val="003B04C7"/>
    <w:rsid w:val="003B1FB6"/>
    <w:rsid w:val="003C64BC"/>
    <w:rsid w:val="003F3C8A"/>
    <w:rsid w:val="003F5831"/>
    <w:rsid w:val="003F7380"/>
    <w:rsid w:val="00401C19"/>
    <w:rsid w:val="00411DA1"/>
    <w:rsid w:val="0043694B"/>
    <w:rsid w:val="00441C07"/>
    <w:rsid w:val="00445032"/>
    <w:rsid w:val="004473DD"/>
    <w:rsid w:val="004504CC"/>
    <w:rsid w:val="00450BFD"/>
    <w:rsid w:val="0045114C"/>
    <w:rsid w:val="00452E3B"/>
    <w:rsid w:val="0046742B"/>
    <w:rsid w:val="004715D4"/>
    <w:rsid w:val="00484408"/>
    <w:rsid w:val="00490E67"/>
    <w:rsid w:val="00491143"/>
    <w:rsid w:val="004A4C5C"/>
    <w:rsid w:val="004A6595"/>
    <w:rsid w:val="004B191C"/>
    <w:rsid w:val="004B576D"/>
    <w:rsid w:val="004C0C99"/>
    <w:rsid w:val="004C4707"/>
    <w:rsid w:val="004D1BD8"/>
    <w:rsid w:val="004D3DDD"/>
    <w:rsid w:val="004E1599"/>
    <w:rsid w:val="004E42A1"/>
    <w:rsid w:val="004E567E"/>
    <w:rsid w:val="004F0E39"/>
    <w:rsid w:val="004F160B"/>
    <w:rsid w:val="004F545E"/>
    <w:rsid w:val="005020E0"/>
    <w:rsid w:val="005139DF"/>
    <w:rsid w:val="005179BE"/>
    <w:rsid w:val="005245A8"/>
    <w:rsid w:val="005269A7"/>
    <w:rsid w:val="00530A5E"/>
    <w:rsid w:val="005323E0"/>
    <w:rsid w:val="00534737"/>
    <w:rsid w:val="00537811"/>
    <w:rsid w:val="0054615B"/>
    <w:rsid w:val="0055485B"/>
    <w:rsid w:val="0055757C"/>
    <w:rsid w:val="005607C3"/>
    <w:rsid w:val="005642D6"/>
    <w:rsid w:val="005663D3"/>
    <w:rsid w:val="00570DD0"/>
    <w:rsid w:val="00581213"/>
    <w:rsid w:val="00587DFC"/>
    <w:rsid w:val="00591B82"/>
    <w:rsid w:val="00591F17"/>
    <w:rsid w:val="00592D06"/>
    <w:rsid w:val="00593A2F"/>
    <w:rsid w:val="005A2594"/>
    <w:rsid w:val="005A2719"/>
    <w:rsid w:val="005A32D1"/>
    <w:rsid w:val="005B5FEB"/>
    <w:rsid w:val="005C0DB4"/>
    <w:rsid w:val="005D0EDB"/>
    <w:rsid w:val="005D3E63"/>
    <w:rsid w:val="005D45BA"/>
    <w:rsid w:val="005F0435"/>
    <w:rsid w:val="005F6823"/>
    <w:rsid w:val="006276E8"/>
    <w:rsid w:val="00632EBA"/>
    <w:rsid w:val="00633689"/>
    <w:rsid w:val="00634D0E"/>
    <w:rsid w:val="006465D0"/>
    <w:rsid w:val="00650EAD"/>
    <w:rsid w:val="006558C7"/>
    <w:rsid w:val="00661242"/>
    <w:rsid w:val="00662DA1"/>
    <w:rsid w:val="006712A2"/>
    <w:rsid w:val="00671532"/>
    <w:rsid w:val="00675627"/>
    <w:rsid w:val="00677B8F"/>
    <w:rsid w:val="00680532"/>
    <w:rsid w:val="006821DD"/>
    <w:rsid w:val="00683FBF"/>
    <w:rsid w:val="00687E36"/>
    <w:rsid w:val="006A1094"/>
    <w:rsid w:val="006A290E"/>
    <w:rsid w:val="006A6F90"/>
    <w:rsid w:val="006B71A3"/>
    <w:rsid w:val="006D357D"/>
    <w:rsid w:val="006D6BFC"/>
    <w:rsid w:val="006E4EA8"/>
    <w:rsid w:val="006F75A5"/>
    <w:rsid w:val="00703363"/>
    <w:rsid w:val="007134CD"/>
    <w:rsid w:val="00716956"/>
    <w:rsid w:val="00717987"/>
    <w:rsid w:val="00725226"/>
    <w:rsid w:val="00736181"/>
    <w:rsid w:val="00736BF4"/>
    <w:rsid w:val="00737FCD"/>
    <w:rsid w:val="007438E1"/>
    <w:rsid w:val="007453E4"/>
    <w:rsid w:val="0074584F"/>
    <w:rsid w:val="007461BD"/>
    <w:rsid w:val="00752E52"/>
    <w:rsid w:val="007536A1"/>
    <w:rsid w:val="0076790D"/>
    <w:rsid w:val="00772595"/>
    <w:rsid w:val="0077563C"/>
    <w:rsid w:val="00775C00"/>
    <w:rsid w:val="00782300"/>
    <w:rsid w:val="00787516"/>
    <w:rsid w:val="007901EC"/>
    <w:rsid w:val="007A51E8"/>
    <w:rsid w:val="007A6E89"/>
    <w:rsid w:val="007A79FF"/>
    <w:rsid w:val="007B03FA"/>
    <w:rsid w:val="007B35E1"/>
    <w:rsid w:val="007B5003"/>
    <w:rsid w:val="007B5923"/>
    <w:rsid w:val="007B7EC9"/>
    <w:rsid w:val="007C140E"/>
    <w:rsid w:val="007C363C"/>
    <w:rsid w:val="007C5551"/>
    <w:rsid w:val="007F42D5"/>
    <w:rsid w:val="007F7A20"/>
    <w:rsid w:val="00800A57"/>
    <w:rsid w:val="00800C51"/>
    <w:rsid w:val="00802539"/>
    <w:rsid w:val="00803B49"/>
    <w:rsid w:val="00805F0F"/>
    <w:rsid w:val="00810DA1"/>
    <w:rsid w:val="008167C0"/>
    <w:rsid w:val="0082087C"/>
    <w:rsid w:val="00821A27"/>
    <w:rsid w:val="00823411"/>
    <w:rsid w:val="0083259B"/>
    <w:rsid w:val="00835B98"/>
    <w:rsid w:val="0084333D"/>
    <w:rsid w:val="008507CE"/>
    <w:rsid w:val="00850A5F"/>
    <w:rsid w:val="00850CBA"/>
    <w:rsid w:val="00855CE6"/>
    <w:rsid w:val="008663EC"/>
    <w:rsid w:val="00871224"/>
    <w:rsid w:val="00871B90"/>
    <w:rsid w:val="00892592"/>
    <w:rsid w:val="008A1C2F"/>
    <w:rsid w:val="008A45C5"/>
    <w:rsid w:val="008B3CB5"/>
    <w:rsid w:val="008C5EA7"/>
    <w:rsid w:val="008D504B"/>
    <w:rsid w:val="008D5BF3"/>
    <w:rsid w:val="008D5EAC"/>
    <w:rsid w:val="008D680C"/>
    <w:rsid w:val="008D776D"/>
    <w:rsid w:val="008F27B8"/>
    <w:rsid w:val="008F47C2"/>
    <w:rsid w:val="008F632D"/>
    <w:rsid w:val="009228A2"/>
    <w:rsid w:val="00924236"/>
    <w:rsid w:val="0092442D"/>
    <w:rsid w:val="00930AE3"/>
    <w:rsid w:val="009318B6"/>
    <w:rsid w:val="00933EE1"/>
    <w:rsid w:val="0093489B"/>
    <w:rsid w:val="009353B1"/>
    <w:rsid w:val="00935E3E"/>
    <w:rsid w:val="0093710C"/>
    <w:rsid w:val="00940CAF"/>
    <w:rsid w:val="00942E3F"/>
    <w:rsid w:val="009470BF"/>
    <w:rsid w:val="00950249"/>
    <w:rsid w:val="00964549"/>
    <w:rsid w:val="00970B37"/>
    <w:rsid w:val="00973BFB"/>
    <w:rsid w:val="00974735"/>
    <w:rsid w:val="0097600E"/>
    <w:rsid w:val="00980EF6"/>
    <w:rsid w:val="00996567"/>
    <w:rsid w:val="009B0F3A"/>
    <w:rsid w:val="009B17AD"/>
    <w:rsid w:val="009B63DF"/>
    <w:rsid w:val="009B7CB6"/>
    <w:rsid w:val="009C0006"/>
    <w:rsid w:val="009C5855"/>
    <w:rsid w:val="009C5DB3"/>
    <w:rsid w:val="009C65E0"/>
    <w:rsid w:val="009D11D7"/>
    <w:rsid w:val="009D2847"/>
    <w:rsid w:val="009D3A90"/>
    <w:rsid w:val="009D75A5"/>
    <w:rsid w:val="009E2CB7"/>
    <w:rsid w:val="009E3AC8"/>
    <w:rsid w:val="00A0094B"/>
    <w:rsid w:val="00A01CBC"/>
    <w:rsid w:val="00A22D34"/>
    <w:rsid w:val="00A50F62"/>
    <w:rsid w:val="00A5592A"/>
    <w:rsid w:val="00A7084F"/>
    <w:rsid w:val="00A71233"/>
    <w:rsid w:val="00A80A2E"/>
    <w:rsid w:val="00A82945"/>
    <w:rsid w:val="00A86423"/>
    <w:rsid w:val="00A86D5E"/>
    <w:rsid w:val="00A92A4C"/>
    <w:rsid w:val="00A94BF8"/>
    <w:rsid w:val="00AA372D"/>
    <w:rsid w:val="00AA6703"/>
    <w:rsid w:val="00AA7CA0"/>
    <w:rsid w:val="00AA7E21"/>
    <w:rsid w:val="00AB0618"/>
    <w:rsid w:val="00AB15F9"/>
    <w:rsid w:val="00AB1ED7"/>
    <w:rsid w:val="00AB5A1A"/>
    <w:rsid w:val="00AC2FC8"/>
    <w:rsid w:val="00AC4D95"/>
    <w:rsid w:val="00AE00A1"/>
    <w:rsid w:val="00AE17F8"/>
    <w:rsid w:val="00AE190D"/>
    <w:rsid w:val="00AE3944"/>
    <w:rsid w:val="00AE3F5B"/>
    <w:rsid w:val="00B05091"/>
    <w:rsid w:val="00B120CC"/>
    <w:rsid w:val="00B35290"/>
    <w:rsid w:val="00B379DE"/>
    <w:rsid w:val="00B42C86"/>
    <w:rsid w:val="00B47505"/>
    <w:rsid w:val="00B51489"/>
    <w:rsid w:val="00B562C7"/>
    <w:rsid w:val="00B75D7F"/>
    <w:rsid w:val="00B80C5E"/>
    <w:rsid w:val="00B82288"/>
    <w:rsid w:val="00B82E6B"/>
    <w:rsid w:val="00B852C3"/>
    <w:rsid w:val="00B92381"/>
    <w:rsid w:val="00B95828"/>
    <w:rsid w:val="00B9790F"/>
    <w:rsid w:val="00BA0E36"/>
    <w:rsid w:val="00BB3596"/>
    <w:rsid w:val="00BC014C"/>
    <w:rsid w:val="00BC370C"/>
    <w:rsid w:val="00BC66A0"/>
    <w:rsid w:val="00BD67C7"/>
    <w:rsid w:val="00BD68CB"/>
    <w:rsid w:val="00BE0667"/>
    <w:rsid w:val="00BE400F"/>
    <w:rsid w:val="00BF080E"/>
    <w:rsid w:val="00BF31B8"/>
    <w:rsid w:val="00C00C39"/>
    <w:rsid w:val="00C024AF"/>
    <w:rsid w:val="00C07C00"/>
    <w:rsid w:val="00C14A34"/>
    <w:rsid w:val="00C15E6F"/>
    <w:rsid w:val="00C25B17"/>
    <w:rsid w:val="00C41896"/>
    <w:rsid w:val="00C567B2"/>
    <w:rsid w:val="00C717E4"/>
    <w:rsid w:val="00C71CE0"/>
    <w:rsid w:val="00C82FD1"/>
    <w:rsid w:val="00C96FBC"/>
    <w:rsid w:val="00CB5830"/>
    <w:rsid w:val="00CC5DD3"/>
    <w:rsid w:val="00CC5E04"/>
    <w:rsid w:val="00CD07C9"/>
    <w:rsid w:val="00CE2EEE"/>
    <w:rsid w:val="00CF2C28"/>
    <w:rsid w:val="00CF60AB"/>
    <w:rsid w:val="00D02CC4"/>
    <w:rsid w:val="00D10D3D"/>
    <w:rsid w:val="00D172E7"/>
    <w:rsid w:val="00D2069E"/>
    <w:rsid w:val="00D2080F"/>
    <w:rsid w:val="00D23E7C"/>
    <w:rsid w:val="00D32587"/>
    <w:rsid w:val="00D515A1"/>
    <w:rsid w:val="00D6040F"/>
    <w:rsid w:val="00D62750"/>
    <w:rsid w:val="00D7062B"/>
    <w:rsid w:val="00D746C4"/>
    <w:rsid w:val="00D76F94"/>
    <w:rsid w:val="00D821E4"/>
    <w:rsid w:val="00D852DA"/>
    <w:rsid w:val="00D860D0"/>
    <w:rsid w:val="00D9037D"/>
    <w:rsid w:val="00D924FE"/>
    <w:rsid w:val="00D925DF"/>
    <w:rsid w:val="00D92D99"/>
    <w:rsid w:val="00DA0C62"/>
    <w:rsid w:val="00DA4475"/>
    <w:rsid w:val="00DA7781"/>
    <w:rsid w:val="00DB055E"/>
    <w:rsid w:val="00DC2388"/>
    <w:rsid w:val="00DD288B"/>
    <w:rsid w:val="00DE1DF1"/>
    <w:rsid w:val="00DF58F2"/>
    <w:rsid w:val="00E02082"/>
    <w:rsid w:val="00E02534"/>
    <w:rsid w:val="00E10BFA"/>
    <w:rsid w:val="00E13EE1"/>
    <w:rsid w:val="00E14E13"/>
    <w:rsid w:val="00E234D3"/>
    <w:rsid w:val="00E415F9"/>
    <w:rsid w:val="00E42C71"/>
    <w:rsid w:val="00E43505"/>
    <w:rsid w:val="00E46573"/>
    <w:rsid w:val="00E566A0"/>
    <w:rsid w:val="00E6239F"/>
    <w:rsid w:val="00E6748F"/>
    <w:rsid w:val="00E7037E"/>
    <w:rsid w:val="00E704EB"/>
    <w:rsid w:val="00E73212"/>
    <w:rsid w:val="00E9626C"/>
    <w:rsid w:val="00EA1647"/>
    <w:rsid w:val="00EA4781"/>
    <w:rsid w:val="00EB3208"/>
    <w:rsid w:val="00EB4121"/>
    <w:rsid w:val="00EB6374"/>
    <w:rsid w:val="00ED068C"/>
    <w:rsid w:val="00ED1CD5"/>
    <w:rsid w:val="00ED3700"/>
    <w:rsid w:val="00EE0224"/>
    <w:rsid w:val="00EE11F3"/>
    <w:rsid w:val="00F0663D"/>
    <w:rsid w:val="00F1213C"/>
    <w:rsid w:val="00F15458"/>
    <w:rsid w:val="00F356E4"/>
    <w:rsid w:val="00F40685"/>
    <w:rsid w:val="00F42B8F"/>
    <w:rsid w:val="00F43B04"/>
    <w:rsid w:val="00F454E6"/>
    <w:rsid w:val="00F5134A"/>
    <w:rsid w:val="00F640C7"/>
    <w:rsid w:val="00F651E5"/>
    <w:rsid w:val="00F65622"/>
    <w:rsid w:val="00F712AC"/>
    <w:rsid w:val="00F71A1A"/>
    <w:rsid w:val="00F74910"/>
    <w:rsid w:val="00F810BE"/>
    <w:rsid w:val="00F92B03"/>
    <w:rsid w:val="00F92CCE"/>
    <w:rsid w:val="00F92CF5"/>
    <w:rsid w:val="00FA083B"/>
    <w:rsid w:val="00FA40CD"/>
    <w:rsid w:val="00FA6AD6"/>
    <w:rsid w:val="00FB690D"/>
    <w:rsid w:val="00FD18DE"/>
    <w:rsid w:val="00FE3DF6"/>
    <w:rsid w:val="00FE51F5"/>
    <w:rsid w:val="00FE6006"/>
    <w:rsid w:val="00FF0D3F"/>
    <w:rsid w:val="046DF599"/>
    <w:rsid w:val="05BCC9E1"/>
    <w:rsid w:val="119A74B0"/>
    <w:rsid w:val="13D73EB3"/>
    <w:rsid w:val="24F285CC"/>
    <w:rsid w:val="28B5A95B"/>
    <w:rsid w:val="2B24B6BB"/>
    <w:rsid w:val="341D59DD"/>
    <w:rsid w:val="37030A1C"/>
    <w:rsid w:val="3B71BB91"/>
    <w:rsid w:val="3FD9EFE7"/>
    <w:rsid w:val="4917B517"/>
    <w:rsid w:val="4EB03A16"/>
    <w:rsid w:val="5228BA82"/>
    <w:rsid w:val="59CF4544"/>
    <w:rsid w:val="688D7A66"/>
    <w:rsid w:val="74DB0FD3"/>
    <w:rsid w:val="7C04FCB8"/>
    <w:rsid w:val="7C485682"/>
  </w:rsids>
  <m:mathPr>
    <m:mathFont m:val="Cambria Math"/>
    <m:brkBin m:val="before"/>
    <m:brkBinSub m:val="--"/>
    <m:smallFrac m:val="0"/>
    <m:dispDef/>
    <m:lMargin m:val="0"/>
    <m:rMargin m:val="0"/>
    <m:defJc m:val="centerGroup"/>
    <m:wrapIndent m:val="1440"/>
    <m:intLim m:val="subSup"/>
    <m:naryLim m:val="undOvr"/>
  </m:mathPr>
  <w:themeFontLang w:val="en-US" w:eastAsia="zh-CN" w:bidi="yi-He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485682"/>
  <w15:chartTrackingRefBased/>
  <w15:docId w15:val="{284CB534-9308-4065-A51F-77DE89289C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39DF"/>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customStyle="1" w:styleId="BoilerplateText">
    <w:name w:val="Boilerplate Text"/>
    <w:basedOn w:val="Normal"/>
    <w:link w:val="BoilerplateTextChar"/>
    <w:qFormat/>
    <w:rsid w:val="74DB0FD3"/>
    <w:pPr>
      <w:widowControl w:val="0"/>
      <w:jc w:val="both"/>
    </w:pPr>
    <w:rPr>
      <w:rFonts w:ascii="Times New Roman" w:eastAsia="Arial" w:hAnsi="Times New Roman" w:cs="Times New Roman"/>
      <w:lang w:eastAsia="en-US"/>
    </w:rPr>
  </w:style>
  <w:style w:type="paragraph" w:customStyle="1" w:styleId="BoilerplateTitle">
    <w:name w:val="Boilerplate Title"/>
    <w:basedOn w:val="Normal"/>
    <w:link w:val="BoilerplateTitleChar"/>
    <w:uiPriority w:val="1"/>
    <w:qFormat/>
    <w:rsid w:val="74DB0FD3"/>
    <w:pPr>
      <w:widowControl w:val="0"/>
      <w:jc w:val="both"/>
    </w:pPr>
    <w:rPr>
      <w:rFonts w:ascii="Times New Roman" w:eastAsia="Arial" w:hAnsi="Times New Roman" w:cs="Arial"/>
      <w:b/>
      <w:bCs/>
      <w:color w:val="000000" w:themeColor="text1"/>
      <w:lang w:eastAsia="en-US"/>
    </w:rPr>
  </w:style>
  <w:style w:type="paragraph" w:customStyle="1" w:styleId="BulletRecommendationsQuestions">
    <w:name w:val="Bullet Recommendations/Questions"/>
    <w:basedOn w:val="Normal"/>
    <w:link w:val="BulletRecommendationsQuestionsChar"/>
    <w:uiPriority w:val="1"/>
    <w:qFormat/>
    <w:rsid w:val="74DB0FD3"/>
    <w:pPr>
      <w:spacing w:after="120"/>
      <w:ind w:left="1440" w:hanging="360"/>
      <w:jc w:val="both"/>
    </w:pPr>
    <w:rPr>
      <w:rFonts w:ascii="Times New Roman" w:eastAsia="Times New Roman" w:hAnsi="Times New Roman" w:cs="Times New Roman"/>
    </w:rPr>
  </w:style>
  <w:style w:type="paragraph" w:customStyle="1" w:styleId="ExecutiveSummary">
    <w:name w:val="Executive Summary"/>
    <w:basedOn w:val="Normal"/>
    <w:link w:val="ExecutiveSummaryChar"/>
    <w:uiPriority w:val="1"/>
    <w:qFormat/>
    <w:rsid w:val="74DB0FD3"/>
    <w:pPr>
      <w:jc w:val="center"/>
    </w:pPr>
    <w:rPr>
      <w:rFonts w:ascii="Times New Roman" w:eastAsia="Times New Roman" w:hAnsi="Times New Roman" w:cs="Times New Roman"/>
      <w:b/>
      <w:bCs/>
      <w:caps/>
    </w:rPr>
  </w:style>
  <w:style w:type="paragraph" w:customStyle="1" w:styleId="Paragraph">
    <w:name w:val="Paragraph"/>
    <w:basedOn w:val="Normal"/>
    <w:link w:val="ParagraphChar"/>
    <w:uiPriority w:val="1"/>
    <w:qFormat/>
    <w:rsid w:val="74DB0FD3"/>
    <w:pPr>
      <w:spacing w:after="120"/>
      <w:ind w:left="360" w:hanging="360"/>
      <w:jc w:val="both"/>
    </w:pPr>
    <w:rPr>
      <w:rFonts w:ascii="Times New Roman" w:eastAsia="Times New Roman" w:hAnsi="Times New Roman" w:cs="Times New Roman"/>
    </w:rPr>
  </w:style>
  <w:style w:type="paragraph" w:customStyle="1" w:styleId="SectionHeading">
    <w:name w:val="Section Heading"/>
    <w:basedOn w:val="Normal"/>
    <w:link w:val="SectionHeadingChar"/>
    <w:uiPriority w:val="1"/>
    <w:qFormat/>
    <w:rsid w:val="0093489B"/>
    <w:pPr>
      <w:numPr>
        <w:numId w:val="12"/>
      </w:numPr>
      <w:spacing w:before="240" w:after="240"/>
      <w:jc w:val="both"/>
    </w:pPr>
    <w:rPr>
      <w:rFonts w:ascii="Times New Roman" w:hAnsi="Times New Roman"/>
      <w:b/>
      <w:bCs/>
    </w:rPr>
  </w:style>
  <w:style w:type="paragraph" w:customStyle="1" w:styleId="SectionSummary">
    <w:name w:val="Section Summary"/>
    <w:basedOn w:val="Normal"/>
    <w:link w:val="SectionSummaryChar"/>
    <w:uiPriority w:val="1"/>
    <w:qFormat/>
    <w:rsid w:val="74DB0FD3"/>
    <w:pPr>
      <w:spacing w:before="240" w:after="240"/>
      <w:jc w:val="center"/>
    </w:pPr>
    <w:rPr>
      <w:rFonts w:ascii="Times New Roman" w:eastAsia="Times New Roman" w:hAnsi="Times New Roman" w:cs="Times New Roman"/>
      <w:b/>
      <w:bCs/>
    </w:rPr>
  </w:style>
  <w:style w:type="paragraph" w:customStyle="1" w:styleId="TitlePageHeading">
    <w:name w:val="Title Page Heading"/>
    <w:basedOn w:val="Normal"/>
    <w:link w:val="TitlePageHeadingChar"/>
    <w:uiPriority w:val="1"/>
    <w:qFormat/>
    <w:rsid w:val="74DB0FD3"/>
    <w:pPr>
      <w:keepNext/>
      <w:keepLines/>
      <w:jc w:val="center"/>
      <w:outlineLvl w:val="0"/>
    </w:pPr>
    <w:rPr>
      <w:rFonts w:ascii="Times New Roman" w:eastAsiaTheme="majorEastAsia" w:hAnsi="Times New Roman" w:cstheme="majorBidi"/>
      <w:b/>
      <w:bCs/>
      <w:color w:val="000000" w:themeColor="text1"/>
    </w:rPr>
  </w:style>
  <w:style w:type="paragraph" w:customStyle="1" w:styleId="TitlePageSubheading">
    <w:name w:val="Title Page Subheading"/>
    <w:basedOn w:val="Normal"/>
    <w:link w:val="TitlePageSubheadingChar"/>
    <w:uiPriority w:val="1"/>
    <w:qFormat/>
    <w:rsid w:val="74DB0FD3"/>
    <w:pPr>
      <w:jc w:val="center"/>
    </w:pPr>
    <w:rPr>
      <w:rFonts w:ascii="Times New Roman" w:eastAsia="Times New Roman" w:hAnsi="Times New Roman" w:cs="Times New Roman"/>
    </w:rPr>
  </w:style>
  <w:style w:type="character" w:customStyle="1" w:styleId="TitlePageHeadingChar">
    <w:name w:val="Title Page Heading Char"/>
    <w:basedOn w:val="DefaultParagraphFont"/>
    <w:link w:val="TitlePageHeading"/>
    <w:uiPriority w:val="1"/>
    <w:rsid w:val="74DB0FD3"/>
    <w:rPr>
      <w:rFonts w:ascii="Times New Roman" w:eastAsiaTheme="majorEastAsia" w:hAnsi="Times New Roman" w:cstheme="majorBidi"/>
      <w:b/>
      <w:bCs/>
      <w:color w:val="000000" w:themeColor="text1"/>
      <w:sz w:val="24"/>
      <w:szCs w:val="24"/>
    </w:rPr>
  </w:style>
  <w:style w:type="character" w:customStyle="1" w:styleId="TitlePageSubheadingChar">
    <w:name w:val="Title Page Subheading Char"/>
    <w:basedOn w:val="DefaultParagraphFont"/>
    <w:link w:val="TitlePageSubheading"/>
    <w:uiPriority w:val="1"/>
    <w:rsid w:val="74DB0FD3"/>
    <w:rPr>
      <w:rFonts w:ascii="Times New Roman" w:eastAsia="Times New Roman" w:hAnsi="Times New Roman" w:cs="Times New Roman"/>
      <w:sz w:val="24"/>
      <w:szCs w:val="24"/>
    </w:rPr>
  </w:style>
  <w:style w:type="character" w:customStyle="1" w:styleId="BoilerplateTitleChar">
    <w:name w:val="Boilerplate Title Char"/>
    <w:basedOn w:val="DefaultParagraphFont"/>
    <w:link w:val="BoilerplateTitle"/>
    <w:uiPriority w:val="1"/>
    <w:rsid w:val="74DB0FD3"/>
    <w:rPr>
      <w:rFonts w:ascii="Times New Roman" w:eastAsia="Arial" w:hAnsi="Times New Roman" w:cs="Arial"/>
      <w:b/>
      <w:bCs/>
      <w:color w:val="000000" w:themeColor="text1"/>
      <w:sz w:val="24"/>
      <w:szCs w:val="24"/>
      <w:lang w:eastAsia="en-US"/>
    </w:rPr>
  </w:style>
  <w:style w:type="character" w:customStyle="1" w:styleId="BoilerplateTextChar">
    <w:name w:val="Boilerplate Text Char"/>
    <w:basedOn w:val="DefaultParagraphFont"/>
    <w:link w:val="BoilerplateText"/>
    <w:rsid w:val="74DB0FD3"/>
    <w:rPr>
      <w:rFonts w:ascii="Times New Roman" w:eastAsia="Arial" w:hAnsi="Times New Roman" w:cs="Times New Roman"/>
      <w:sz w:val="24"/>
      <w:szCs w:val="24"/>
      <w:lang w:eastAsia="en-US"/>
    </w:rPr>
  </w:style>
  <w:style w:type="character" w:customStyle="1" w:styleId="ExecutiveSummaryChar">
    <w:name w:val="Executive Summary Char"/>
    <w:basedOn w:val="DefaultParagraphFont"/>
    <w:link w:val="ExecutiveSummary"/>
    <w:uiPriority w:val="1"/>
    <w:rsid w:val="74DB0FD3"/>
    <w:rPr>
      <w:rFonts w:ascii="Times New Roman" w:eastAsia="Times New Roman" w:hAnsi="Times New Roman" w:cs="Times New Roman"/>
      <w:b/>
      <w:bCs/>
      <w:caps/>
      <w:sz w:val="24"/>
      <w:szCs w:val="24"/>
    </w:rPr>
  </w:style>
  <w:style w:type="character" w:customStyle="1" w:styleId="ParagraphChar">
    <w:name w:val="Paragraph Char"/>
    <w:basedOn w:val="DefaultParagraphFont"/>
    <w:link w:val="Paragraph"/>
    <w:uiPriority w:val="1"/>
    <w:rsid w:val="74DB0FD3"/>
    <w:rPr>
      <w:rFonts w:ascii="Times New Roman" w:eastAsia="Times New Roman" w:hAnsi="Times New Roman" w:cs="Times New Roman"/>
      <w:sz w:val="24"/>
      <w:szCs w:val="24"/>
    </w:rPr>
  </w:style>
  <w:style w:type="character" w:customStyle="1" w:styleId="SectionSummaryChar">
    <w:name w:val="Section Summary Char"/>
    <w:basedOn w:val="DefaultParagraphFont"/>
    <w:link w:val="SectionSummary"/>
    <w:uiPriority w:val="1"/>
    <w:rsid w:val="74DB0FD3"/>
    <w:rPr>
      <w:rFonts w:ascii="Times New Roman" w:eastAsia="Times New Roman" w:hAnsi="Times New Roman" w:cs="Times New Roman"/>
      <w:b/>
      <w:bCs/>
      <w:sz w:val="24"/>
      <w:szCs w:val="24"/>
    </w:rPr>
  </w:style>
  <w:style w:type="character" w:customStyle="1" w:styleId="SectionHeadingChar">
    <w:name w:val="Section Heading Char"/>
    <w:basedOn w:val="DefaultParagraphFont"/>
    <w:link w:val="SectionHeading"/>
    <w:uiPriority w:val="1"/>
    <w:rsid w:val="0093489B"/>
    <w:rPr>
      <w:rFonts w:ascii="Times New Roman" w:hAnsi="Times New Roman"/>
      <w:b/>
      <w:bCs/>
    </w:rPr>
  </w:style>
  <w:style w:type="character" w:customStyle="1" w:styleId="BulletRecommendationsQuestionsChar">
    <w:name w:val="Bullet Recommendations/Questions Char"/>
    <w:basedOn w:val="DefaultParagraphFont"/>
    <w:link w:val="BulletRecommendationsQuestions"/>
    <w:uiPriority w:val="1"/>
    <w:rsid w:val="74DB0FD3"/>
    <w:rPr>
      <w:rFonts w:ascii="Times New Roman" w:eastAsia="Times New Roman" w:hAnsi="Times New Roman" w:cs="Times New Roman"/>
      <w:sz w:val="24"/>
      <w:szCs w:val="24"/>
    </w:rPr>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Hyperlink">
    <w:name w:val="Hyperlink"/>
    <w:basedOn w:val="DefaultParagraphFont"/>
    <w:uiPriority w:val="99"/>
    <w:unhideWhenUsed/>
    <w:rPr>
      <w:color w:val="467886" w:themeColor="hyperlink"/>
      <w:u w:val="single"/>
    </w:r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FootnoteText">
    <w:name w:val="footnote text"/>
    <w:basedOn w:val="Normal"/>
    <w:link w:val="FootnoteTextChar"/>
    <w:uiPriority w:val="99"/>
    <w:semiHidden/>
    <w:unhideWhenUsed/>
    <w:rsid w:val="007F42D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F42D5"/>
    <w:rPr>
      <w:sz w:val="20"/>
      <w:szCs w:val="20"/>
    </w:rPr>
  </w:style>
  <w:style w:type="character" w:styleId="FootnoteReference">
    <w:name w:val="footnote reference"/>
    <w:basedOn w:val="DefaultParagraphFont"/>
    <w:uiPriority w:val="99"/>
    <w:semiHidden/>
    <w:unhideWhenUsed/>
    <w:rsid w:val="007F42D5"/>
    <w:rPr>
      <w:vertAlign w:val="superscript"/>
    </w:rPr>
  </w:style>
  <w:style w:type="character" w:styleId="UnresolvedMention">
    <w:name w:val="Unresolved Mention"/>
    <w:basedOn w:val="DefaultParagraphFont"/>
    <w:uiPriority w:val="99"/>
    <w:semiHidden/>
    <w:unhideWhenUsed/>
    <w:rsid w:val="00106677"/>
    <w:rPr>
      <w:color w:val="605E5C"/>
      <w:shd w:val="clear" w:color="auto" w:fill="E1DFDD"/>
    </w:rPr>
  </w:style>
  <w:style w:type="paragraph" w:styleId="EndnoteText">
    <w:name w:val="endnote text"/>
    <w:basedOn w:val="Normal"/>
    <w:link w:val="EndnoteTextChar"/>
    <w:uiPriority w:val="99"/>
    <w:semiHidden/>
    <w:unhideWhenUsed/>
    <w:rsid w:val="00592D06"/>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92D06"/>
    <w:rPr>
      <w:sz w:val="20"/>
      <w:szCs w:val="20"/>
    </w:rPr>
  </w:style>
  <w:style w:type="character" w:styleId="EndnoteReference">
    <w:name w:val="endnote reference"/>
    <w:basedOn w:val="DefaultParagraphFont"/>
    <w:uiPriority w:val="99"/>
    <w:semiHidden/>
    <w:unhideWhenUsed/>
    <w:rsid w:val="00592D06"/>
    <w:rPr>
      <w:vertAlign w:val="superscript"/>
    </w:rPr>
  </w:style>
  <w:style w:type="character" w:styleId="CommentReference">
    <w:name w:val="annotation reference"/>
    <w:basedOn w:val="DefaultParagraphFont"/>
    <w:uiPriority w:val="99"/>
    <w:semiHidden/>
    <w:unhideWhenUsed/>
    <w:rsid w:val="00F454E6"/>
    <w:rPr>
      <w:sz w:val="16"/>
      <w:szCs w:val="16"/>
    </w:rPr>
  </w:style>
  <w:style w:type="paragraph" w:styleId="CommentText">
    <w:name w:val="annotation text"/>
    <w:basedOn w:val="Normal"/>
    <w:link w:val="CommentTextChar"/>
    <w:uiPriority w:val="99"/>
    <w:semiHidden/>
    <w:unhideWhenUsed/>
    <w:rsid w:val="00F454E6"/>
    <w:pPr>
      <w:spacing w:line="240" w:lineRule="auto"/>
    </w:pPr>
    <w:rPr>
      <w:sz w:val="20"/>
      <w:szCs w:val="20"/>
    </w:rPr>
  </w:style>
  <w:style w:type="character" w:customStyle="1" w:styleId="CommentTextChar">
    <w:name w:val="Comment Text Char"/>
    <w:basedOn w:val="DefaultParagraphFont"/>
    <w:link w:val="CommentText"/>
    <w:uiPriority w:val="99"/>
    <w:semiHidden/>
    <w:rsid w:val="00F454E6"/>
    <w:rPr>
      <w:sz w:val="20"/>
      <w:szCs w:val="20"/>
    </w:rPr>
  </w:style>
  <w:style w:type="paragraph" w:styleId="CommentSubject">
    <w:name w:val="annotation subject"/>
    <w:basedOn w:val="CommentText"/>
    <w:next w:val="CommentText"/>
    <w:link w:val="CommentSubjectChar"/>
    <w:uiPriority w:val="99"/>
    <w:semiHidden/>
    <w:unhideWhenUsed/>
    <w:rsid w:val="00F454E6"/>
    <w:rPr>
      <w:b/>
      <w:bCs/>
    </w:rPr>
  </w:style>
  <w:style w:type="character" w:customStyle="1" w:styleId="CommentSubjectChar">
    <w:name w:val="Comment Subject Char"/>
    <w:basedOn w:val="CommentTextChar"/>
    <w:link w:val="CommentSubject"/>
    <w:uiPriority w:val="99"/>
    <w:semiHidden/>
    <w:rsid w:val="00F454E6"/>
    <w:rPr>
      <w:b/>
      <w:bCs/>
      <w:sz w:val="20"/>
      <w:szCs w:val="20"/>
    </w:rPr>
  </w:style>
  <w:style w:type="paragraph" w:styleId="NormalWeb">
    <w:name w:val="Normal (Web)"/>
    <w:basedOn w:val="Normal"/>
    <w:uiPriority w:val="99"/>
    <w:semiHidden/>
    <w:unhideWhenUsed/>
    <w:rsid w:val="006E4EA8"/>
    <w:pPr>
      <w:spacing w:before="100" w:beforeAutospacing="1" w:after="100" w:afterAutospacing="1" w:line="240" w:lineRule="auto"/>
    </w:pPr>
    <w:rPr>
      <w:rFonts w:ascii="Times New Roman" w:eastAsia="Times New Roman" w:hAnsi="Times New Roman" w:cs="Times New Roman"/>
      <w:lang w:eastAsia="en-US"/>
    </w:rPr>
  </w:style>
  <w:style w:type="character" w:styleId="FollowedHyperlink">
    <w:name w:val="FollowedHyperlink"/>
    <w:basedOn w:val="DefaultParagraphFont"/>
    <w:uiPriority w:val="99"/>
    <w:semiHidden/>
    <w:unhideWhenUsed/>
    <w:rsid w:val="008F47C2"/>
    <w:rPr>
      <w:color w:val="96607D" w:themeColor="followedHyperlink"/>
      <w:u w:val="single"/>
    </w:rPr>
  </w:style>
  <w:style w:type="character" w:customStyle="1" w:styleId="DocID">
    <w:name w:val="DocID"/>
    <w:basedOn w:val="DefaultParagraphFont"/>
    <w:rsid w:val="00AB0618"/>
    <w:rPr>
      <w:rFonts w:ascii="Times New Roman" w:eastAsia="Times New Roman" w:hAnsi="Times New Roman" w:cs="Times New Roman"/>
      <w:b w:val="0"/>
      <w:i w:val="0"/>
      <w:caps w:val="0"/>
      <w:vanish w:val="0"/>
      <w:color w:val="000000"/>
      <w:sz w:val="16"/>
      <w:u w:val="none"/>
    </w:rPr>
  </w:style>
  <w:style w:type="paragraph" w:styleId="Revision">
    <w:name w:val="Revision"/>
    <w:hidden/>
    <w:uiPriority w:val="99"/>
    <w:semiHidden/>
    <w:rsid w:val="00782300"/>
    <w:pPr>
      <w:spacing w:after="0" w:line="240" w:lineRule="auto"/>
    </w:pPr>
  </w:style>
  <w:style w:type="character" w:styleId="PageNumber">
    <w:name w:val="page number"/>
    <w:basedOn w:val="DefaultParagraphFont"/>
    <w:uiPriority w:val="99"/>
    <w:semiHidden/>
    <w:unhideWhenUsed/>
    <w:rsid w:val="003B04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7997471">
      <w:bodyDiv w:val="1"/>
      <w:marLeft w:val="0"/>
      <w:marRight w:val="0"/>
      <w:marTop w:val="0"/>
      <w:marBottom w:val="0"/>
      <w:divBdr>
        <w:top w:val="none" w:sz="0" w:space="0" w:color="auto"/>
        <w:left w:val="none" w:sz="0" w:space="0" w:color="auto"/>
        <w:bottom w:val="none" w:sz="0" w:space="0" w:color="auto"/>
        <w:right w:val="none" w:sz="0" w:space="0" w:color="auto"/>
      </w:divBdr>
    </w:div>
    <w:div w:id="465976617">
      <w:bodyDiv w:val="1"/>
      <w:marLeft w:val="0"/>
      <w:marRight w:val="0"/>
      <w:marTop w:val="0"/>
      <w:marBottom w:val="0"/>
      <w:divBdr>
        <w:top w:val="none" w:sz="0" w:space="0" w:color="auto"/>
        <w:left w:val="none" w:sz="0" w:space="0" w:color="auto"/>
        <w:bottom w:val="none" w:sz="0" w:space="0" w:color="auto"/>
        <w:right w:val="none" w:sz="0" w:space="0" w:color="auto"/>
      </w:divBdr>
    </w:div>
    <w:div w:id="1450662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hyperlink" Target="mailto:hrights@advrights.org"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4" ma:contentTypeDescription="Create a new document." ma:contentTypeScope="" ma:versionID="19af097bc9aab964a8eb5c855e2798ed">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f6dcbe3710b343357034373de8697f1c"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element name="TaxCatchAll" ma:index="40"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1"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248d7e1-e1e1-4a8e-9310-749402edb8a9">
      <Terms xmlns="http://schemas.microsoft.com/office/infopath/2007/PartnerControls"/>
    </lcf76f155ced4ddcb4097134ff3c332f>
    <TaxCatchAll xmlns="985ec44e-1bab-4c0b-9df0-6ba128686fc9" xsi:nil="true"/>
    <Document_x0020_Date xmlns="985ec44e-1bab-4c0b-9df0-6ba128686fc9">2025-01-08T14:18:47+00:00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roperties xmlns="http://www.imanage.com/work/xmlschema">
  <documentid>FirmDMS!53447435.6</documentid>
  <senderid>7856</senderid>
  <senderemail>MAXWELL.BREMER@SAUL.COM</senderemail>
  <lastmodified>2024-12-06T14:15:00.0000000-06:00</lastmodified>
  <database>FirmDMS</database>
</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D2D668-CEC8-4F53-96FC-CAAF790EC019}"/>
</file>

<file path=customXml/itemProps2.xml><?xml version="1.0" encoding="utf-8"?>
<ds:datastoreItem xmlns:ds="http://schemas.openxmlformats.org/officeDocument/2006/customXml" ds:itemID="{F8FBE0A2-D6C9-440E-BFD7-F23B9AD1D79C}">
  <ds:schemaRefs>
    <ds:schemaRef ds:uri="http://schemas.microsoft.com/office/2006/metadata/properties"/>
    <ds:schemaRef ds:uri="http://schemas.microsoft.com/office/infopath/2007/PartnerControls"/>
    <ds:schemaRef ds:uri="42df7cb3-2fea-4ba3-b9bf-21660104d6dd"/>
    <ds:schemaRef ds:uri="e968d4b9-9f0d-4b6f-81c6-222446f6098e"/>
  </ds:schemaRefs>
</ds:datastoreItem>
</file>

<file path=customXml/itemProps3.xml><?xml version="1.0" encoding="utf-8"?>
<ds:datastoreItem xmlns:ds="http://schemas.openxmlformats.org/officeDocument/2006/customXml" ds:itemID="{A01E9619-147E-4019-9882-D913A2DD52E0}">
  <ds:schemaRefs>
    <ds:schemaRef ds:uri="http://schemas.microsoft.com/sharepoint/v3/contenttype/forms"/>
  </ds:schemaRefs>
</ds:datastoreItem>
</file>

<file path=customXml/itemProps4.xml><?xml version="1.0" encoding="utf-8"?>
<ds:datastoreItem xmlns:ds="http://schemas.openxmlformats.org/officeDocument/2006/customXml" ds:itemID="{9117DF2A-5D86-A244-901F-86D42CF697F5}">
  <ds:schemaRefs>
    <ds:schemaRef ds:uri="http://www.imanage.com/work/xmlschema"/>
  </ds:schemaRefs>
</ds:datastoreItem>
</file>

<file path=customXml/itemProps5.xml><?xml version="1.0" encoding="utf-8"?>
<ds:datastoreItem xmlns:ds="http://schemas.openxmlformats.org/officeDocument/2006/customXml" ds:itemID="{C6FADCA6-7AF6-46C7-814D-30E31FFD3D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7</Pages>
  <Words>2108</Words>
  <Characters>12016</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Int'l Justice Interns</dc:creator>
  <cp:keywords/>
  <dc:description/>
  <cp:lastModifiedBy>Nathan Madson</cp:lastModifiedBy>
  <cp:revision>37</cp:revision>
  <dcterms:created xsi:type="dcterms:W3CDTF">2025-01-02T14:42:00Z</dcterms:created>
  <dcterms:modified xsi:type="dcterms:W3CDTF">2025-01-02T16:18:00Z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0x0101004100868408537B4FA2A9FA4AC7F0070F</vt:lpwstr>
  </property>
  <property fmtid="{D5CDD505-2E9C-101B-9397-08002B2CF9AE}" pid="3" name="MediaServiceImageTags">
    <vt:lpwstr/>
  </property>
  <property fmtid="{D5CDD505-2E9C-101B-9397-08002B2CF9AE}" pid="4" name="DocumentNumber">
    <vt:lpwstr>53447435</vt:lpwstr>
  </property>
  <property fmtid="{D5CDD505-2E9C-101B-9397-08002B2CF9AE}" pid="5" name="DocumentVersion">
    <vt:lpwstr>6</vt:lpwstr>
  </property>
  <property fmtid="{D5CDD505-2E9C-101B-9397-08002B2CF9AE}" pid="6" name="ClientNumber">
    <vt:lpwstr>155555</vt:lpwstr>
  </property>
  <property fmtid="{D5CDD505-2E9C-101B-9397-08002B2CF9AE}" pid="7" name="MatterNumber">
    <vt:lpwstr>97298</vt:lpwstr>
  </property>
  <property fmtid="{D5CDD505-2E9C-101B-9397-08002B2CF9AE}" pid="8" name="ClientName">
    <vt:lpwstr>Pro Bono-ABA Qualifying (Signature Cause)</vt:lpwstr>
  </property>
  <property fmtid="{D5CDD505-2E9C-101B-9397-08002B2CF9AE}" pid="9" name="MatterName">
    <vt:lpwstr>The Advocates for Human Rights</vt:lpwstr>
  </property>
  <property fmtid="{D5CDD505-2E9C-101B-9397-08002B2CF9AE}" pid="10" name="DatabaseName">
    <vt:lpwstr>FIRMDMS</vt:lpwstr>
  </property>
  <property fmtid="{D5CDD505-2E9C-101B-9397-08002B2CF9AE}" pid="11" name="TypistName">
    <vt:lpwstr>8264</vt:lpwstr>
  </property>
  <property fmtid="{D5CDD505-2E9C-101B-9397-08002B2CF9AE}" pid="12" name="AuthorName">
    <vt:lpwstr>8264</vt:lpwstr>
  </property>
  <property fmtid="{D5CDD505-2E9C-101B-9397-08002B2CF9AE}" pid="13" name="InUseBy">
    <vt:lpwstr/>
  </property>
  <property fmtid="{D5CDD505-2E9C-101B-9397-08002B2CF9AE}" pid="14" name="EditDate">
    <vt:lpwstr>12/6/2024 5:22:31 PM</vt:lpwstr>
  </property>
  <property fmtid="{D5CDD505-2E9C-101B-9397-08002B2CF9AE}" pid="15" name="EditTime">
    <vt:lpwstr/>
  </property>
  <property fmtid="{D5CDD505-2E9C-101B-9397-08002B2CF9AE}" pid="16" name="IsiManageWork">
    <vt:lpwstr>True</vt:lpwstr>
  </property>
  <property fmtid="{D5CDD505-2E9C-101B-9397-08002B2CF9AE}" pid="17" name="DocID">
    <vt:lpwstr>53447435.5</vt:lpwstr>
  </property>
  <property fmtid="{D5CDD505-2E9C-101B-9397-08002B2CF9AE}" pid="18" name="_NewReviewCycle">
    <vt:lpwstr/>
  </property>
</Properties>
</file>