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720BB" w14:textId="77777777" w:rsidR="009D720C" w:rsidRPr="009D720C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t>Las reformas introducidas por el Decreto de Necesidad y Urgencia N.º 843/24, publicado en el Boletín Oficial el 20 de septiembre de 2024, modificaron significativamente los criterios de elegibilidad para acceder a las Pensiones No Contributivas por Invalidez Laboral, con impacto directo sobre las personas con discapacidad.</w:t>
      </w:r>
    </w:p>
    <w:p w14:paraId="4CDF980D" w14:textId="77777777" w:rsidR="009D720C" w:rsidRPr="009D720C" w:rsidRDefault="00CD3474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3474">
        <w:rPr>
          <w:rFonts w:ascii="Arial" w:hAnsi="Arial" w:cs="Arial"/>
          <w:b/>
          <w:sz w:val="24"/>
          <w:szCs w:val="24"/>
          <w:u w:val="single"/>
        </w:rPr>
        <w:t>c</w:t>
      </w:r>
      <w:r w:rsidR="009D720C" w:rsidRPr="00CD3474">
        <w:rPr>
          <w:rFonts w:ascii="Arial" w:hAnsi="Arial" w:cs="Arial"/>
          <w:b/>
          <w:sz w:val="24"/>
          <w:szCs w:val="24"/>
          <w:u w:val="single"/>
        </w:rPr>
        <w:t>ambios en los criterios de elegibilidad</w:t>
      </w:r>
      <w:r>
        <w:rPr>
          <w:rFonts w:ascii="Arial" w:hAnsi="Arial" w:cs="Arial"/>
          <w:sz w:val="24"/>
          <w:szCs w:val="24"/>
        </w:rPr>
        <w:t>:  e</w:t>
      </w:r>
      <w:r w:rsidR="009D720C" w:rsidRPr="009D720C">
        <w:rPr>
          <w:rFonts w:ascii="Arial" w:hAnsi="Arial" w:cs="Arial"/>
          <w:sz w:val="24"/>
          <w:szCs w:val="24"/>
        </w:rPr>
        <w:t xml:space="preserve">l decreto deroga los Decretos 7/23 y 566/23 y sustituye el Anexo I del Decreto 432/97, recuperando el espíritu inicial de la Ley N.º 13.478. </w:t>
      </w:r>
      <w:r w:rsidR="002D515E">
        <w:rPr>
          <w:rFonts w:ascii="Arial" w:hAnsi="Arial" w:cs="Arial"/>
          <w:sz w:val="24"/>
          <w:szCs w:val="24"/>
        </w:rPr>
        <w:t>De este modo</w:t>
      </w:r>
      <w:r w:rsidR="009D720C" w:rsidRPr="009D720C">
        <w:rPr>
          <w:rFonts w:ascii="Arial" w:hAnsi="Arial" w:cs="Arial"/>
          <w:sz w:val="24"/>
          <w:szCs w:val="24"/>
        </w:rPr>
        <w:t>, se vuelve a exigir que quien solicite la pensión esté incapacitado de forma total y permanente, y que no posea un vínculo laboral formal ni esté inscrito en los regímenes previsionales o contributivos</w:t>
      </w:r>
      <w:r>
        <w:rPr>
          <w:rFonts w:ascii="Arial" w:hAnsi="Arial" w:cs="Arial"/>
          <w:sz w:val="24"/>
          <w:szCs w:val="24"/>
        </w:rPr>
        <w:t>.</w:t>
      </w:r>
    </w:p>
    <w:p w14:paraId="38D8F6B3" w14:textId="77777777" w:rsidR="009D720C" w:rsidRPr="009D720C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3474">
        <w:rPr>
          <w:rFonts w:ascii="Arial" w:hAnsi="Arial" w:cs="Arial"/>
          <w:b/>
          <w:sz w:val="24"/>
          <w:szCs w:val="24"/>
          <w:u w:val="single"/>
        </w:rPr>
        <w:t>De acuerdo al nuevo Anexo incluido por el decreto</w:t>
      </w:r>
      <w:r w:rsidRPr="009D720C">
        <w:rPr>
          <w:rFonts w:ascii="Arial" w:hAnsi="Arial" w:cs="Arial"/>
          <w:sz w:val="24"/>
          <w:szCs w:val="24"/>
        </w:rPr>
        <w:t>:</w:t>
      </w:r>
      <w:r w:rsidR="00CD3474">
        <w:rPr>
          <w:rFonts w:ascii="Arial" w:hAnsi="Arial" w:cs="Arial"/>
          <w:sz w:val="24"/>
          <w:szCs w:val="24"/>
        </w:rPr>
        <w:t xml:space="preserve"> Se establecieron requisitos específicos en cuanto a que se debe demostrar la </w:t>
      </w:r>
      <w:r w:rsidRPr="009D720C">
        <w:rPr>
          <w:rFonts w:ascii="Arial" w:hAnsi="Arial" w:cs="Arial"/>
          <w:sz w:val="24"/>
          <w:szCs w:val="24"/>
        </w:rPr>
        <w:t xml:space="preserve">Incapacidad total y permanente, cuando hay una disminución del 66 % o más de la capacidad laboral, acreditable mediante </w:t>
      </w:r>
      <w:r w:rsidR="00CD3474">
        <w:rPr>
          <w:rFonts w:ascii="Arial" w:hAnsi="Arial" w:cs="Arial"/>
          <w:sz w:val="24"/>
          <w:szCs w:val="24"/>
        </w:rPr>
        <w:t>el</w:t>
      </w:r>
      <w:r w:rsidRPr="009D720C">
        <w:rPr>
          <w:rFonts w:ascii="Arial" w:hAnsi="Arial" w:cs="Arial"/>
          <w:sz w:val="24"/>
          <w:szCs w:val="24"/>
        </w:rPr>
        <w:t xml:space="preserve"> Certificado Médico Oficial (CMO) firmado por un profesional de establecimiento oficial o de la Agencia Nacional de Discapacidad (ANDIS).</w:t>
      </w:r>
    </w:p>
    <w:p w14:paraId="767D11E8" w14:textId="77777777" w:rsidR="002F1777" w:rsidRDefault="002F1777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Esto obliga al solicitante a demostrar i</w:t>
      </w:r>
      <w:r w:rsidR="009D720C" w:rsidRPr="009D720C">
        <w:rPr>
          <w:rFonts w:ascii="Arial" w:hAnsi="Arial" w:cs="Arial"/>
          <w:sz w:val="24"/>
          <w:szCs w:val="24"/>
        </w:rPr>
        <w:t>ncompatibilidad</w:t>
      </w:r>
      <w:r>
        <w:rPr>
          <w:rFonts w:ascii="Arial" w:hAnsi="Arial" w:cs="Arial"/>
          <w:sz w:val="24"/>
          <w:szCs w:val="24"/>
        </w:rPr>
        <w:t xml:space="preserve"> de poder obtener un</w:t>
      </w:r>
      <w:r w:rsidR="009D720C" w:rsidRPr="009D720C">
        <w:rPr>
          <w:rFonts w:ascii="Arial" w:hAnsi="Arial" w:cs="Arial"/>
          <w:sz w:val="24"/>
          <w:szCs w:val="24"/>
        </w:rPr>
        <w:t xml:space="preserve"> trabajo formal, </w:t>
      </w:r>
      <w:r>
        <w:rPr>
          <w:rFonts w:ascii="Arial" w:hAnsi="Arial" w:cs="Arial"/>
          <w:sz w:val="24"/>
          <w:szCs w:val="24"/>
        </w:rPr>
        <w:t xml:space="preserve">como así también estar fuera de todo </w:t>
      </w:r>
      <w:r w:rsidR="009D720C" w:rsidRPr="009D720C">
        <w:rPr>
          <w:rFonts w:ascii="Arial" w:hAnsi="Arial" w:cs="Arial"/>
          <w:sz w:val="24"/>
          <w:szCs w:val="24"/>
        </w:rPr>
        <w:t>regímenes previsionales o pensiones contributivas o no contributivas.</w:t>
      </w:r>
    </w:p>
    <w:p w14:paraId="3724EC2A" w14:textId="77777777" w:rsidR="009D720C" w:rsidRPr="009D720C" w:rsidRDefault="002F1777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decreto también restringe la posibilidad de obtener este beneficio a personas que no cumplan con los supuestos de</w:t>
      </w:r>
      <w:r w:rsidR="009D720C" w:rsidRPr="009D720C">
        <w:rPr>
          <w:rFonts w:ascii="Arial" w:hAnsi="Arial" w:cs="Arial"/>
          <w:sz w:val="24"/>
          <w:szCs w:val="24"/>
        </w:rPr>
        <w:t>, nacionalidad, residencia, condición socioeconómica</w:t>
      </w:r>
      <w:r w:rsidR="004B5908">
        <w:rPr>
          <w:rFonts w:ascii="Arial" w:hAnsi="Arial" w:cs="Arial"/>
          <w:sz w:val="24"/>
          <w:szCs w:val="24"/>
        </w:rPr>
        <w:t xml:space="preserve"> y</w:t>
      </w:r>
      <w:r w:rsidR="009D720C" w:rsidRPr="009D720C">
        <w:rPr>
          <w:rFonts w:ascii="Arial" w:hAnsi="Arial" w:cs="Arial"/>
          <w:sz w:val="24"/>
          <w:szCs w:val="24"/>
        </w:rPr>
        <w:t xml:space="preserve"> no tener recursos suficientes.</w:t>
      </w:r>
    </w:p>
    <w:p w14:paraId="1E84DCE7" w14:textId="77777777" w:rsidR="004B5908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t xml:space="preserve">El decreto </w:t>
      </w:r>
      <w:r w:rsidR="004B5908">
        <w:rPr>
          <w:rFonts w:ascii="Arial" w:hAnsi="Arial" w:cs="Arial"/>
          <w:sz w:val="24"/>
          <w:szCs w:val="24"/>
        </w:rPr>
        <w:t xml:space="preserve">también </w:t>
      </w:r>
      <w:r w:rsidRPr="009D720C">
        <w:rPr>
          <w:rFonts w:ascii="Arial" w:hAnsi="Arial" w:cs="Arial"/>
          <w:sz w:val="24"/>
          <w:szCs w:val="24"/>
        </w:rPr>
        <w:t>establece que las pensiones est</w:t>
      </w:r>
      <w:r w:rsidR="004B5908">
        <w:rPr>
          <w:rFonts w:ascii="Arial" w:hAnsi="Arial" w:cs="Arial"/>
          <w:sz w:val="24"/>
          <w:szCs w:val="24"/>
        </w:rPr>
        <w:t>en</w:t>
      </w:r>
      <w:r w:rsidRPr="009D720C">
        <w:rPr>
          <w:rFonts w:ascii="Arial" w:hAnsi="Arial" w:cs="Arial"/>
          <w:sz w:val="24"/>
          <w:szCs w:val="24"/>
        </w:rPr>
        <w:t xml:space="preserve"> sujetas a revisiones y auditorías médicas y socioeconómicas, </w:t>
      </w:r>
      <w:r w:rsidR="004B5908">
        <w:rPr>
          <w:rFonts w:ascii="Arial" w:hAnsi="Arial" w:cs="Arial"/>
          <w:sz w:val="24"/>
          <w:szCs w:val="24"/>
        </w:rPr>
        <w:t xml:space="preserve">en las </w:t>
      </w:r>
      <w:r w:rsidR="004B5908" w:rsidRPr="004B5908">
        <w:rPr>
          <w:rFonts w:ascii="Arial" w:hAnsi="Arial" w:cs="Arial"/>
          <w:b/>
          <w:sz w:val="24"/>
          <w:szCs w:val="24"/>
        </w:rPr>
        <w:t xml:space="preserve">cuales </w:t>
      </w:r>
      <w:r w:rsidRPr="004B5908">
        <w:rPr>
          <w:rFonts w:ascii="Arial" w:hAnsi="Arial" w:cs="Arial"/>
          <w:b/>
          <w:sz w:val="24"/>
          <w:szCs w:val="24"/>
        </w:rPr>
        <w:t>podrán requerirse revalidaciones tanto para pensiones ya otorgadas</w:t>
      </w:r>
      <w:r w:rsidR="007F4AD6">
        <w:rPr>
          <w:rFonts w:ascii="Arial" w:hAnsi="Arial" w:cs="Arial"/>
          <w:b/>
          <w:sz w:val="24"/>
          <w:szCs w:val="24"/>
        </w:rPr>
        <w:t xml:space="preserve"> </w:t>
      </w:r>
      <w:r w:rsidRPr="004B5908">
        <w:rPr>
          <w:rFonts w:ascii="Arial" w:hAnsi="Arial" w:cs="Arial"/>
          <w:b/>
          <w:sz w:val="24"/>
          <w:szCs w:val="24"/>
        </w:rPr>
        <w:t xml:space="preserve">como </w:t>
      </w:r>
      <w:r w:rsidR="004B5908" w:rsidRPr="004B5908">
        <w:rPr>
          <w:rFonts w:ascii="Arial" w:hAnsi="Arial" w:cs="Arial"/>
          <w:b/>
          <w:sz w:val="24"/>
          <w:szCs w:val="24"/>
        </w:rPr>
        <w:t>futuras</w:t>
      </w:r>
      <w:r w:rsidR="004B5908" w:rsidRPr="009D720C">
        <w:rPr>
          <w:rFonts w:ascii="Arial" w:hAnsi="Arial" w:cs="Arial"/>
          <w:sz w:val="24"/>
          <w:szCs w:val="24"/>
        </w:rPr>
        <w:t>.</w:t>
      </w:r>
    </w:p>
    <w:p w14:paraId="6A1B54FE" w14:textId="77777777" w:rsidR="009D720C" w:rsidRPr="004B5908" w:rsidRDefault="009D720C" w:rsidP="002D515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908">
        <w:rPr>
          <w:rFonts w:ascii="Arial" w:hAnsi="Arial" w:cs="Arial"/>
          <w:b/>
          <w:sz w:val="24"/>
          <w:szCs w:val="24"/>
          <w:u w:val="single"/>
        </w:rPr>
        <w:t>Impacto sobre personas con discapacidad</w:t>
      </w:r>
      <w:r w:rsidR="004B5908" w:rsidRPr="004B5908">
        <w:rPr>
          <w:rFonts w:ascii="Arial" w:hAnsi="Arial" w:cs="Arial"/>
          <w:b/>
          <w:sz w:val="24"/>
          <w:szCs w:val="24"/>
          <w:u w:val="single"/>
        </w:rPr>
        <w:t>:</w:t>
      </w:r>
      <w:r w:rsidR="004B5908">
        <w:rPr>
          <w:rFonts w:ascii="Arial" w:hAnsi="Arial" w:cs="Arial"/>
          <w:b/>
          <w:sz w:val="24"/>
          <w:szCs w:val="24"/>
        </w:rPr>
        <w:t xml:space="preserve"> </w:t>
      </w:r>
      <w:r w:rsidRPr="004B5908">
        <w:rPr>
          <w:rFonts w:ascii="Arial" w:hAnsi="Arial" w:cs="Arial"/>
          <w:sz w:val="24"/>
          <w:szCs w:val="24"/>
        </w:rPr>
        <w:t>Estas modificaciones implican restricción de acceso al exigir un nivel elevado de incapacidad</w:t>
      </w:r>
      <w:r w:rsidRPr="009D720C">
        <w:rPr>
          <w:rFonts w:ascii="Arial" w:hAnsi="Arial" w:cs="Arial"/>
          <w:sz w:val="24"/>
          <w:szCs w:val="24"/>
        </w:rPr>
        <w:t xml:space="preserve"> laboral y la ausencia de trabajos o prestaciones, </w:t>
      </w:r>
      <w:r w:rsidR="004B5908" w:rsidRPr="004B5908">
        <w:rPr>
          <w:rFonts w:ascii="Arial" w:hAnsi="Arial" w:cs="Arial"/>
          <w:sz w:val="24"/>
          <w:szCs w:val="24"/>
          <w:u w:val="single"/>
        </w:rPr>
        <w:t xml:space="preserve">lo cual </w:t>
      </w:r>
      <w:r w:rsidRPr="004B5908">
        <w:rPr>
          <w:rFonts w:ascii="Arial" w:hAnsi="Arial" w:cs="Arial"/>
          <w:sz w:val="24"/>
          <w:szCs w:val="24"/>
          <w:u w:val="single"/>
        </w:rPr>
        <w:t>reduce la población elegible</w:t>
      </w:r>
      <w:r w:rsidRPr="009D720C">
        <w:rPr>
          <w:rFonts w:ascii="Arial" w:hAnsi="Arial" w:cs="Arial"/>
          <w:sz w:val="24"/>
          <w:szCs w:val="24"/>
        </w:rPr>
        <w:t>.</w:t>
      </w:r>
      <w:r w:rsidR="004B5908">
        <w:rPr>
          <w:rFonts w:ascii="Arial" w:hAnsi="Arial" w:cs="Arial"/>
          <w:b/>
          <w:sz w:val="24"/>
          <w:szCs w:val="24"/>
        </w:rPr>
        <w:t xml:space="preserve"> </w:t>
      </w:r>
      <w:r w:rsidRPr="009D720C">
        <w:rPr>
          <w:rFonts w:ascii="Arial" w:hAnsi="Arial" w:cs="Arial"/>
          <w:sz w:val="24"/>
          <w:szCs w:val="24"/>
        </w:rPr>
        <w:t xml:space="preserve">La puesta en marcha de auditorías masivas y verificaciones genera incertidumbre y riesgo de perder el beneficio para quienes lo perciben, </w:t>
      </w:r>
      <w:r w:rsidR="004B5908" w:rsidRPr="004B5908">
        <w:rPr>
          <w:rFonts w:ascii="Arial" w:hAnsi="Arial" w:cs="Arial"/>
          <w:b/>
          <w:sz w:val="24"/>
          <w:szCs w:val="24"/>
        </w:rPr>
        <w:t>lo cual i</w:t>
      </w:r>
      <w:r w:rsidRPr="004B5908">
        <w:rPr>
          <w:rFonts w:ascii="Arial" w:hAnsi="Arial" w:cs="Arial"/>
          <w:b/>
          <w:sz w:val="24"/>
          <w:szCs w:val="24"/>
        </w:rPr>
        <w:t xml:space="preserve">gnora las barreras estructurales que enfrentan las personas con discapacidad y pone en riesgo su protección </w:t>
      </w:r>
      <w:r w:rsidR="004B5908" w:rsidRPr="004B5908">
        <w:rPr>
          <w:rFonts w:ascii="Arial" w:hAnsi="Arial" w:cs="Arial"/>
          <w:b/>
          <w:sz w:val="24"/>
          <w:szCs w:val="24"/>
        </w:rPr>
        <w:t>social.</w:t>
      </w:r>
    </w:p>
    <w:p w14:paraId="359894A0" w14:textId="77777777" w:rsidR="009D720C" w:rsidRPr="009D720C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lastRenderedPageBreak/>
        <w:t>El decreto faculta a ANDIS a dictar normas aclaratorias y complementarias que sean necesarias para implementar estas medidas (criterios, procedimientos, documentación, formularios, trámites</w:t>
      </w:r>
      <w:proofErr w:type="gramStart"/>
      <w:r w:rsidRPr="009D720C">
        <w:rPr>
          <w:rFonts w:ascii="Arial" w:hAnsi="Arial" w:cs="Arial"/>
          <w:sz w:val="24"/>
          <w:szCs w:val="24"/>
        </w:rPr>
        <w:t>) .</w:t>
      </w:r>
      <w:proofErr w:type="gramEnd"/>
    </w:p>
    <w:p w14:paraId="398A9DBC" w14:textId="77777777" w:rsidR="00B95BB3" w:rsidRDefault="00B95BB3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cual las solicitudes de estos beneficios </w:t>
      </w:r>
      <w:r w:rsidR="009D720C" w:rsidRPr="009D720C">
        <w:rPr>
          <w:rFonts w:ascii="Arial" w:hAnsi="Arial" w:cs="Arial"/>
          <w:sz w:val="24"/>
          <w:szCs w:val="24"/>
        </w:rPr>
        <w:t xml:space="preserve">deben presentarse ante ANDIS, </w:t>
      </w:r>
      <w:r>
        <w:rPr>
          <w:rFonts w:ascii="Arial" w:hAnsi="Arial" w:cs="Arial"/>
          <w:sz w:val="24"/>
          <w:szCs w:val="24"/>
        </w:rPr>
        <w:t>la cual aplica</w:t>
      </w:r>
      <w:r w:rsidR="009D720C" w:rsidRPr="009D720C">
        <w:rPr>
          <w:rFonts w:ascii="Arial" w:hAnsi="Arial" w:cs="Arial"/>
          <w:sz w:val="24"/>
          <w:szCs w:val="24"/>
        </w:rPr>
        <w:t xml:space="preserve"> auditorías del CMO y evaluaciones socioeconómicas a través de encuestas, cruces de datos (</w:t>
      </w:r>
      <w:proofErr w:type="spellStart"/>
      <w:r w:rsidR="009D720C" w:rsidRPr="009D720C">
        <w:rPr>
          <w:rFonts w:ascii="Arial" w:hAnsi="Arial" w:cs="Arial"/>
          <w:sz w:val="24"/>
          <w:szCs w:val="24"/>
        </w:rPr>
        <w:t>SINTyS</w:t>
      </w:r>
      <w:proofErr w:type="spellEnd"/>
      <w:r w:rsidR="009D720C" w:rsidRPr="009D720C">
        <w:rPr>
          <w:rFonts w:ascii="Arial" w:hAnsi="Arial" w:cs="Arial"/>
          <w:sz w:val="24"/>
          <w:szCs w:val="24"/>
        </w:rPr>
        <w:t>, registros de propiedad, registros migratorios, etc.)</w:t>
      </w:r>
      <w:r>
        <w:rPr>
          <w:rFonts w:ascii="Arial" w:hAnsi="Arial" w:cs="Arial"/>
          <w:sz w:val="24"/>
          <w:szCs w:val="24"/>
        </w:rPr>
        <w:t xml:space="preserve">. </w:t>
      </w:r>
      <w:r w:rsidR="00414BDC">
        <w:rPr>
          <w:rFonts w:ascii="Arial" w:hAnsi="Arial" w:cs="Arial"/>
          <w:sz w:val="24"/>
          <w:szCs w:val="24"/>
        </w:rPr>
        <w:t xml:space="preserve">Esto habilita una </w:t>
      </w:r>
      <w:r>
        <w:rPr>
          <w:rFonts w:ascii="Arial" w:hAnsi="Arial" w:cs="Arial"/>
          <w:sz w:val="24"/>
          <w:szCs w:val="24"/>
        </w:rPr>
        <w:t>f</w:t>
      </w:r>
      <w:r w:rsidR="009D720C" w:rsidRPr="009D720C">
        <w:rPr>
          <w:rFonts w:ascii="Arial" w:hAnsi="Arial" w:cs="Arial"/>
          <w:sz w:val="24"/>
          <w:szCs w:val="24"/>
        </w:rPr>
        <w:t>iscalización continua</w:t>
      </w:r>
      <w:r w:rsidR="00414BDC">
        <w:rPr>
          <w:rFonts w:ascii="Arial" w:hAnsi="Arial" w:cs="Arial"/>
          <w:sz w:val="24"/>
          <w:szCs w:val="24"/>
        </w:rPr>
        <w:t>, permitiendo a</w:t>
      </w:r>
      <w:r>
        <w:rPr>
          <w:rFonts w:ascii="Arial" w:hAnsi="Arial" w:cs="Arial"/>
          <w:sz w:val="24"/>
          <w:szCs w:val="24"/>
        </w:rPr>
        <w:t xml:space="preserve"> </w:t>
      </w:r>
      <w:r w:rsidR="009D720C" w:rsidRPr="009D720C">
        <w:rPr>
          <w:rFonts w:ascii="Arial" w:hAnsi="Arial" w:cs="Arial"/>
          <w:sz w:val="24"/>
          <w:szCs w:val="24"/>
        </w:rPr>
        <w:t>ANDIS</w:t>
      </w:r>
      <w:r>
        <w:rPr>
          <w:rFonts w:ascii="Arial" w:hAnsi="Arial" w:cs="Arial"/>
          <w:sz w:val="24"/>
          <w:szCs w:val="24"/>
        </w:rPr>
        <w:t xml:space="preserve"> a </w:t>
      </w:r>
      <w:r w:rsidR="009D720C" w:rsidRPr="009D720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oder</w:t>
      </w:r>
      <w:r w:rsidR="009D720C" w:rsidRPr="009D720C">
        <w:rPr>
          <w:rFonts w:ascii="Arial" w:hAnsi="Arial" w:cs="Arial"/>
          <w:sz w:val="24"/>
          <w:szCs w:val="24"/>
        </w:rPr>
        <w:t xml:space="preserve"> realizar revisiones, solicitar actualizaciones, inspecciones y auditorías, </w:t>
      </w:r>
      <w:r w:rsidR="009D720C" w:rsidRPr="00B95BB3">
        <w:rPr>
          <w:rFonts w:ascii="Arial" w:hAnsi="Arial" w:cs="Arial"/>
          <w:b/>
          <w:sz w:val="24"/>
          <w:szCs w:val="24"/>
        </w:rPr>
        <w:t xml:space="preserve">incluso después del otorgamiento de la </w:t>
      </w:r>
      <w:r w:rsidRPr="00B95BB3">
        <w:rPr>
          <w:rFonts w:ascii="Arial" w:hAnsi="Arial" w:cs="Arial"/>
          <w:b/>
          <w:sz w:val="24"/>
          <w:szCs w:val="24"/>
        </w:rPr>
        <w:t>pensión</w:t>
      </w:r>
      <w:r>
        <w:rPr>
          <w:rFonts w:ascii="Arial" w:hAnsi="Arial" w:cs="Arial"/>
          <w:sz w:val="24"/>
          <w:szCs w:val="24"/>
        </w:rPr>
        <w:t>.</w:t>
      </w:r>
    </w:p>
    <w:p w14:paraId="15D20672" w14:textId="77777777" w:rsidR="00414BDC" w:rsidRDefault="00414BDC" w:rsidP="002D515E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54E1264" w14:textId="77777777" w:rsidR="009D720C" w:rsidRPr="00B95BB3" w:rsidRDefault="009D720C" w:rsidP="002D515E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95BB3">
        <w:rPr>
          <w:rFonts w:ascii="Arial" w:hAnsi="Arial" w:cs="Arial"/>
          <w:b/>
          <w:sz w:val="24"/>
          <w:szCs w:val="24"/>
          <w:u w:val="single"/>
        </w:rPr>
        <w:t>En resumen</w:t>
      </w:r>
    </w:p>
    <w:p w14:paraId="0F244B0A" w14:textId="77777777" w:rsidR="00B95BB3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t>El DNU 843/24 restringe los criterios de acceso a las pensiones por invalidez, restaurando requisitos anteriores (incapacidad</w:t>
      </w:r>
      <w:r w:rsidR="00E100BB">
        <w:rPr>
          <w:rFonts w:ascii="Arial" w:hAnsi="Arial" w:cs="Arial"/>
          <w:sz w:val="24"/>
          <w:szCs w:val="24"/>
        </w:rPr>
        <w:t xml:space="preserve"> </w:t>
      </w:r>
      <w:r w:rsidRPr="009D720C">
        <w:rPr>
          <w:rFonts w:ascii="Arial" w:hAnsi="Arial" w:cs="Arial"/>
          <w:sz w:val="24"/>
          <w:szCs w:val="24"/>
        </w:rPr>
        <w:t>66 %, ausencia de trabajo o recursos).</w:t>
      </w:r>
    </w:p>
    <w:p w14:paraId="7E5F87C2" w14:textId="77777777" w:rsidR="009D720C" w:rsidRPr="009D720C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t>Se implementa un sistema de auditoría estricta y evaluación socioeconómica, que impacta tanto a nuevos solicitantes como a beneficiarios existentes.</w:t>
      </w:r>
    </w:p>
    <w:p w14:paraId="31E82878" w14:textId="77777777" w:rsidR="009D720C" w:rsidRPr="009D720C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t>ANDIS queda con un rol central en la implementación, desde la elaboración de formularios y procedimientos hasta la realización de auditorías y la administración del régimen de recursos.</w:t>
      </w:r>
    </w:p>
    <w:p w14:paraId="32655B56" w14:textId="77777777" w:rsidR="00977E5E" w:rsidRDefault="009D720C" w:rsidP="002D51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20C">
        <w:rPr>
          <w:rFonts w:ascii="Arial" w:hAnsi="Arial" w:cs="Arial"/>
          <w:sz w:val="24"/>
          <w:szCs w:val="24"/>
        </w:rPr>
        <w:t xml:space="preserve">A todo </w:t>
      </w:r>
      <w:r w:rsidR="009B163E" w:rsidRPr="009D720C">
        <w:rPr>
          <w:rFonts w:ascii="Arial" w:hAnsi="Arial" w:cs="Arial"/>
          <w:sz w:val="24"/>
          <w:szCs w:val="24"/>
        </w:rPr>
        <w:t>esto,</w:t>
      </w:r>
      <w:r w:rsidRPr="009D720C">
        <w:rPr>
          <w:rFonts w:ascii="Arial" w:hAnsi="Arial" w:cs="Arial"/>
          <w:sz w:val="24"/>
          <w:szCs w:val="24"/>
        </w:rPr>
        <w:t xml:space="preserve"> se suma la falta de accesibilidad a conseguir turnos para obtener el Certificado Médico Oficial, </w:t>
      </w:r>
      <w:r w:rsidR="002A5B2D">
        <w:rPr>
          <w:rFonts w:ascii="Arial" w:hAnsi="Arial" w:cs="Arial"/>
          <w:sz w:val="24"/>
          <w:szCs w:val="24"/>
        </w:rPr>
        <w:t xml:space="preserve">(CMO) </w:t>
      </w:r>
      <w:r w:rsidRPr="009D720C">
        <w:rPr>
          <w:rFonts w:ascii="Arial" w:hAnsi="Arial" w:cs="Arial"/>
          <w:sz w:val="24"/>
          <w:szCs w:val="24"/>
        </w:rPr>
        <w:t xml:space="preserve">dado que hasta el momento se cuenta con un solo </w:t>
      </w:r>
      <w:proofErr w:type="spellStart"/>
      <w:r w:rsidR="002A5B2D">
        <w:rPr>
          <w:rFonts w:ascii="Arial" w:hAnsi="Arial" w:cs="Arial"/>
          <w:sz w:val="24"/>
          <w:szCs w:val="24"/>
        </w:rPr>
        <w:t>inea</w:t>
      </w:r>
      <w:proofErr w:type="spellEnd"/>
      <w:r w:rsidR="002A5B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5B2D">
        <w:rPr>
          <w:rFonts w:ascii="Arial" w:hAnsi="Arial" w:cs="Arial"/>
          <w:sz w:val="24"/>
          <w:szCs w:val="24"/>
        </w:rPr>
        <w:t>telefonica</w:t>
      </w:r>
      <w:proofErr w:type="spellEnd"/>
      <w:r w:rsidRPr="009D720C">
        <w:rPr>
          <w:rFonts w:ascii="Arial" w:hAnsi="Arial" w:cs="Arial"/>
          <w:sz w:val="24"/>
          <w:szCs w:val="24"/>
        </w:rPr>
        <w:t xml:space="preserve"> de contacto para acceder </w:t>
      </w:r>
      <w:r w:rsidR="002A5B2D">
        <w:rPr>
          <w:rFonts w:ascii="Arial" w:hAnsi="Arial" w:cs="Arial"/>
          <w:sz w:val="24"/>
          <w:szCs w:val="24"/>
        </w:rPr>
        <w:t xml:space="preserve">a los </w:t>
      </w:r>
      <w:r w:rsidRPr="009D720C">
        <w:rPr>
          <w:rFonts w:ascii="Arial" w:hAnsi="Arial" w:cs="Arial"/>
          <w:sz w:val="24"/>
          <w:szCs w:val="24"/>
        </w:rPr>
        <w:t>turno (147)</w:t>
      </w:r>
      <w:r w:rsidR="002A5B2D">
        <w:rPr>
          <w:rFonts w:ascii="Arial" w:hAnsi="Arial" w:cs="Arial"/>
          <w:sz w:val="24"/>
          <w:szCs w:val="24"/>
        </w:rPr>
        <w:t>,</w:t>
      </w:r>
      <w:r w:rsidRPr="009D720C">
        <w:rPr>
          <w:rFonts w:ascii="Arial" w:hAnsi="Arial" w:cs="Arial"/>
          <w:sz w:val="24"/>
          <w:szCs w:val="24"/>
        </w:rPr>
        <w:t xml:space="preserve"> </w:t>
      </w:r>
      <w:r w:rsidR="00B95BB3">
        <w:rPr>
          <w:rFonts w:ascii="Arial" w:hAnsi="Arial" w:cs="Arial"/>
          <w:sz w:val="24"/>
          <w:szCs w:val="24"/>
        </w:rPr>
        <w:t xml:space="preserve">el mismo cuenta con un </w:t>
      </w:r>
      <w:r w:rsidR="009B163E">
        <w:rPr>
          <w:rFonts w:ascii="Arial" w:hAnsi="Arial" w:cs="Arial"/>
          <w:sz w:val="24"/>
          <w:szCs w:val="24"/>
        </w:rPr>
        <w:t>cupo</w:t>
      </w:r>
      <w:r w:rsidR="00B95BB3">
        <w:rPr>
          <w:rFonts w:ascii="Arial" w:hAnsi="Arial" w:cs="Arial"/>
          <w:sz w:val="24"/>
          <w:szCs w:val="24"/>
        </w:rPr>
        <w:t xml:space="preserve"> de 5 turnos por semana </w:t>
      </w:r>
      <w:r w:rsidRPr="009D720C">
        <w:rPr>
          <w:rFonts w:ascii="Arial" w:hAnsi="Arial" w:cs="Arial"/>
          <w:sz w:val="24"/>
          <w:szCs w:val="24"/>
        </w:rPr>
        <w:t xml:space="preserve">lo cual dificulta la accesibilidad a este beneficio indispensable para la población más vulnerable de nuestro </w:t>
      </w:r>
      <w:r w:rsidR="009B163E" w:rsidRPr="009D720C">
        <w:rPr>
          <w:rFonts w:ascii="Arial" w:hAnsi="Arial" w:cs="Arial"/>
          <w:sz w:val="24"/>
          <w:szCs w:val="24"/>
        </w:rPr>
        <w:t>pa</w:t>
      </w:r>
      <w:r w:rsidR="009B163E" w:rsidRPr="009B163E">
        <w:rPr>
          <w:rFonts w:ascii="Arial" w:hAnsi="Arial" w:cs="Arial"/>
          <w:sz w:val="24"/>
          <w:szCs w:val="24"/>
        </w:rPr>
        <w:t>ís</w:t>
      </w:r>
      <w:r w:rsidR="009B163E">
        <w:rPr>
          <w:rFonts w:ascii="Arial" w:hAnsi="Arial" w:cs="Arial"/>
          <w:sz w:val="24"/>
          <w:szCs w:val="24"/>
        </w:rPr>
        <w:t>.</w:t>
      </w:r>
    </w:p>
    <w:p w14:paraId="756DC09D" w14:textId="77777777" w:rsidR="009B163E" w:rsidRDefault="009B163E" w:rsidP="009B163E">
      <w:pPr>
        <w:jc w:val="both"/>
        <w:rPr>
          <w:rFonts w:ascii="Arial" w:hAnsi="Arial" w:cs="Arial"/>
          <w:sz w:val="24"/>
          <w:szCs w:val="24"/>
        </w:rPr>
      </w:pP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3"/>
      </w:tblGrid>
      <w:tr w:rsidR="00A114D2" w14:paraId="5D4B012A" w14:textId="77777777" w:rsidTr="00A114D2">
        <w:trPr>
          <w:tblCellSpacing w:w="0" w:type="dxa"/>
        </w:trPr>
        <w:tc>
          <w:tcPr>
            <w:tcW w:w="0" w:type="auto"/>
            <w:hideMark/>
          </w:tcPr>
          <w:p w14:paraId="0E834717" w14:textId="77777777" w:rsidR="00A114D2" w:rsidRDefault="00A114D2" w:rsidP="00776C0E">
            <w:pPr>
              <w:spacing w:after="30" w:line="270" w:lineRule="atLeast"/>
              <w:jc w:val="both"/>
              <w:rPr>
                <w:rFonts w:ascii="Calibri" w:eastAsia="Times New Roman" w:hAnsi="Calibri" w:cs="Calibri"/>
                <w:b/>
                <w:bCs/>
                <w:noProof/>
                <w:color w:val="1C91BF"/>
                <w:kern w:val="0"/>
                <w:sz w:val="23"/>
                <w:szCs w:val="23"/>
                <w:lang w:eastAsia="es-AR"/>
                <w14:ligatures w14:val="none"/>
              </w:rPr>
            </w:pPr>
            <w:r w:rsidRPr="00E100BB">
              <w:rPr>
                <w:rFonts w:ascii="Calibri" w:eastAsia="Times New Roman" w:hAnsi="Calibri" w:cs="Calibri"/>
                <w:b/>
                <w:bCs/>
                <w:noProof/>
                <w:color w:val="525252" w:themeColor="accent3" w:themeShade="80"/>
                <w:kern w:val="0"/>
                <w:sz w:val="23"/>
                <w:szCs w:val="23"/>
                <w:lang w:eastAsia="es-AR"/>
                <w14:ligatures w14:val="none"/>
              </w:rPr>
              <w:t>Marcelo Adrian Parra</w:t>
            </w:r>
          </w:p>
        </w:tc>
      </w:tr>
      <w:tr w:rsidR="00A114D2" w14:paraId="295A1147" w14:textId="77777777" w:rsidTr="00A114D2">
        <w:trPr>
          <w:tblCellSpacing w:w="0" w:type="dxa"/>
        </w:trPr>
        <w:tc>
          <w:tcPr>
            <w:tcW w:w="0" w:type="auto"/>
            <w:hideMark/>
          </w:tcPr>
          <w:p w14:paraId="217890DC" w14:textId="77777777" w:rsidR="00A114D2" w:rsidRDefault="00A114D2" w:rsidP="00776C0E">
            <w:pPr>
              <w:spacing w:after="30"/>
              <w:jc w:val="both"/>
              <w:rPr>
                <w:rFonts w:ascii="Calibri" w:eastAsia="Times New Roman" w:hAnsi="Calibri" w:cs="Calibri"/>
                <w:b/>
                <w:bCs/>
                <w:noProof/>
                <w:color w:val="575756"/>
                <w:kern w:val="0"/>
                <w:sz w:val="23"/>
                <w:szCs w:val="23"/>
                <w:lang w:eastAsia="es-A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575756"/>
                <w:kern w:val="0"/>
                <w:sz w:val="23"/>
                <w:szCs w:val="23"/>
                <w:lang w:eastAsia="es-AR"/>
                <w14:ligatures w14:val="none"/>
              </w:rPr>
              <w:t>Oficial Mayor</w:t>
            </w:r>
          </w:p>
        </w:tc>
      </w:tr>
      <w:tr w:rsidR="00A114D2" w14:paraId="13800609" w14:textId="77777777" w:rsidTr="00A114D2">
        <w:trPr>
          <w:tblCellSpacing w:w="0" w:type="dxa"/>
        </w:trPr>
        <w:tc>
          <w:tcPr>
            <w:tcW w:w="0" w:type="auto"/>
            <w:hideMark/>
          </w:tcPr>
          <w:p w14:paraId="7F55A3F6" w14:textId="77777777" w:rsidR="00A114D2" w:rsidRPr="00E100BB" w:rsidRDefault="00A114D2" w:rsidP="00776C0E">
            <w:pPr>
              <w:spacing w:after="30"/>
              <w:jc w:val="both"/>
              <w:rPr>
                <w:rFonts w:ascii="Calibri" w:eastAsia="Times New Roman" w:hAnsi="Calibri" w:cs="Calibri"/>
                <w:noProof/>
                <w:color w:val="525252" w:themeColor="accent3" w:themeShade="80"/>
                <w:kern w:val="0"/>
                <w:sz w:val="20"/>
                <w:szCs w:val="20"/>
                <w:lang w:eastAsia="es-AR"/>
                <w14:ligatures w14:val="none"/>
              </w:rPr>
            </w:pPr>
            <w:r w:rsidRPr="00E100BB">
              <w:rPr>
                <w:rFonts w:ascii="Calibri" w:eastAsia="Times New Roman" w:hAnsi="Calibri" w:cs="Calibri"/>
                <w:noProof/>
                <w:color w:val="525252" w:themeColor="accent3" w:themeShade="80"/>
                <w:kern w:val="0"/>
                <w:sz w:val="20"/>
                <w:szCs w:val="20"/>
                <w:lang w:eastAsia="es-AR"/>
                <w14:ligatures w14:val="none"/>
              </w:rPr>
              <w:t>Defensorías Públicas Curadurías </w:t>
            </w:r>
            <w:r w:rsidR="00E100BB" w:rsidRPr="00E100BB">
              <w:rPr>
                <w:rFonts w:ascii="Calibri" w:eastAsia="Times New Roman" w:hAnsi="Calibri" w:cs="Calibri"/>
                <w:noProof/>
                <w:color w:val="525252" w:themeColor="accent3" w:themeShade="80"/>
                <w:kern w:val="0"/>
                <w:sz w:val="20"/>
                <w:szCs w:val="20"/>
                <w:lang w:eastAsia="es-AR"/>
                <w14:ligatures w14:val="none"/>
              </w:rPr>
              <w:t>-</w:t>
            </w:r>
            <w:r w:rsidRPr="00E100BB">
              <w:rPr>
                <w:rFonts w:ascii="Calibri" w:eastAsia="Times New Roman" w:hAnsi="Calibri" w:cs="Calibri"/>
                <w:noProof/>
                <w:color w:val="525252" w:themeColor="accent3" w:themeShade="80"/>
                <w:kern w:val="0"/>
                <w:sz w:val="20"/>
                <w:szCs w:val="20"/>
                <w:lang w:eastAsia="es-AR"/>
                <w14:ligatures w14:val="none"/>
              </w:rPr>
              <w:t xml:space="preserve"> Ministerio Público de la Defensa</w:t>
            </w:r>
          </w:p>
        </w:tc>
      </w:tr>
      <w:tr w:rsidR="00E100BB" w14:paraId="56291E96" w14:textId="77777777" w:rsidTr="00A114D2">
        <w:trPr>
          <w:tblCellSpacing w:w="0" w:type="dxa"/>
        </w:trPr>
        <w:tc>
          <w:tcPr>
            <w:tcW w:w="0" w:type="auto"/>
          </w:tcPr>
          <w:p w14:paraId="31744FE0" w14:textId="77777777" w:rsidR="00E100BB" w:rsidRDefault="00E100BB" w:rsidP="00776C0E">
            <w:pPr>
              <w:spacing w:after="30"/>
              <w:jc w:val="both"/>
              <w:rPr>
                <w:rFonts w:ascii="Calibri" w:eastAsia="Times New Roman" w:hAnsi="Calibri" w:cs="Calibri"/>
                <w:noProof/>
                <w:color w:val="575756"/>
                <w:kern w:val="0"/>
                <w:sz w:val="20"/>
                <w:szCs w:val="20"/>
                <w:lang w:eastAsia="es-AR"/>
                <w14:ligatures w14:val="none"/>
              </w:rPr>
            </w:pPr>
          </w:p>
        </w:tc>
      </w:tr>
      <w:tr w:rsidR="00E100BB" w14:paraId="1CD4F283" w14:textId="77777777" w:rsidTr="00A114D2">
        <w:trPr>
          <w:tblCellSpacing w:w="0" w:type="dxa"/>
        </w:trPr>
        <w:tc>
          <w:tcPr>
            <w:tcW w:w="0" w:type="auto"/>
          </w:tcPr>
          <w:p w14:paraId="02875502" w14:textId="77777777" w:rsidR="00E100BB" w:rsidRDefault="00E100BB" w:rsidP="00776C0E">
            <w:pPr>
              <w:spacing w:after="30"/>
              <w:jc w:val="both"/>
              <w:rPr>
                <w:rFonts w:ascii="Calibri" w:eastAsia="Times New Roman" w:hAnsi="Calibri" w:cs="Calibri"/>
                <w:noProof/>
                <w:color w:val="575756"/>
                <w:kern w:val="0"/>
                <w:sz w:val="20"/>
                <w:szCs w:val="20"/>
                <w:lang w:eastAsia="es-AR"/>
                <w14:ligatures w14:val="none"/>
              </w:rPr>
            </w:pPr>
          </w:p>
        </w:tc>
      </w:tr>
    </w:tbl>
    <w:p w14:paraId="30685BB1" w14:textId="77777777" w:rsidR="009B163E" w:rsidRPr="00B95BB3" w:rsidRDefault="009B163E" w:rsidP="00A114D2">
      <w:pPr>
        <w:jc w:val="both"/>
        <w:rPr>
          <w:rFonts w:ascii="Arial" w:hAnsi="Arial" w:cs="Arial"/>
          <w:sz w:val="24"/>
          <w:szCs w:val="24"/>
        </w:rPr>
      </w:pPr>
    </w:p>
    <w:sectPr w:rsidR="009B163E" w:rsidRPr="00B95B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20C"/>
    <w:rsid w:val="002A5B2D"/>
    <w:rsid w:val="002D515E"/>
    <w:rsid w:val="002F1777"/>
    <w:rsid w:val="00414BDC"/>
    <w:rsid w:val="004B5908"/>
    <w:rsid w:val="0053279F"/>
    <w:rsid w:val="006F19D1"/>
    <w:rsid w:val="007075DA"/>
    <w:rsid w:val="007F4AD6"/>
    <w:rsid w:val="00977E5E"/>
    <w:rsid w:val="009B163E"/>
    <w:rsid w:val="009D720C"/>
    <w:rsid w:val="00A114D2"/>
    <w:rsid w:val="00B95BB3"/>
    <w:rsid w:val="00CD3474"/>
    <w:rsid w:val="00D16E18"/>
    <w:rsid w:val="00E1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2FC8"/>
  <w15:chartTrackingRefBased/>
  <w15:docId w15:val="{10683094-CF93-406F-B44D-CEF71984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3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2025-08-11T18:52:47+00:00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B8F5012-2618-4E21-8D5A-BA854A1B6607}"/>
</file>

<file path=customXml/itemProps2.xml><?xml version="1.0" encoding="utf-8"?>
<ds:datastoreItem xmlns:ds="http://schemas.openxmlformats.org/officeDocument/2006/customXml" ds:itemID="{245F4762-3E71-461E-AB23-19879D353897}"/>
</file>

<file path=customXml/itemProps3.xml><?xml version="1.0" encoding="utf-8"?>
<ds:datastoreItem xmlns:ds="http://schemas.openxmlformats.org/officeDocument/2006/customXml" ds:itemID="{A2290F86-1FD5-44A4-A21E-66378213AD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3280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PARRA MARCELO ADRIAN</dc:creator>
  <cp:keywords/>
  <dc:description/>
  <cp:lastModifiedBy>Jorge Araya</cp:lastModifiedBy>
  <cp:revision>2</cp:revision>
  <dcterms:created xsi:type="dcterms:W3CDTF">2025-08-11T18:52:00Z</dcterms:created>
  <dcterms:modified xsi:type="dcterms:W3CDTF">2025-08-11T18:52:00Z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