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85BF9" w14:textId="77777777" w:rsidR="00CC2C1D" w:rsidRPr="00775AE5" w:rsidRDefault="00CC2C1D" w:rsidP="008F1439">
      <w:pPr>
        <w:spacing w:line="276" w:lineRule="auto"/>
        <w:ind w:left="720" w:hanging="720"/>
        <w:jc w:val="center"/>
        <w:rPr>
          <w:rFonts w:ascii="Arial" w:hAnsi="Arial" w:cs="Arial"/>
          <w:b/>
          <w:sz w:val="22"/>
          <w:szCs w:val="22"/>
          <w:lang w:val="es-ES"/>
        </w:rPr>
      </w:pPr>
    </w:p>
    <w:p w14:paraId="6F21699F" w14:textId="77777777" w:rsidR="00B17DD2" w:rsidRPr="00775AE5" w:rsidRDefault="00B17DD2" w:rsidP="008F1439">
      <w:pPr>
        <w:spacing w:line="276" w:lineRule="auto"/>
        <w:ind w:left="720" w:hanging="720"/>
        <w:jc w:val="center"/>
        <w:rPr>
          <w:rFonts w:ascii="Arial" w:hAnsi="Arial" w:cs="Arial"/>
          <w:b/>
          <w:sz w:val="22"/>
          <w:szCs w:val="22"/>
          <w:lang w:val="es-ES"/>
        </w:rPr>
      </w:pPr>
    </w:p>
    <w:p w14:paraId="2CE7E40E" w14:textId="77777777" w:rsidR="00B17DD2" w:rsidRPr="00775AE5" w:rsidRDefault="00B17DD2" w:rsidP="008F1439">
      <w:pPr>
        <w:spacing w:line="276" w:lineRule="auto"/>
        <w:ind w:left="720" w:hanging="720"/>
        <w:jc w:val="center"/>
        <w:rPr>
          <w:rFonts w:ascii="Arial" w:hAnsi="Arial" w:cs="Arial"/>
          <w:b/>
          <w:sz w:val="22"/>
          <w:szCs w:val="22"/>
          <w:lang w:val="es-ES"/>
        </w:rPr>
      </w:pPr>
    </w:p>
    <w:p w14:paraId="3616249F" w14:textId="77777777" w:rsidR="00B17DD2" w:rsidRPr="00775AE5" w:rsidRDefault="00B17DD2" w:rsidP="008F1439">
      <w:pPr>
        <w:spacing w:line="276" w:lineRule="auto"/>
        <w:ind w:left="720" w:hanging="720"/>
        <w:jc w:val="center"/>
        <w:rPr>
          <w:rFonts w:ascii="Arial" w:hAnsi="Arial" w:cs="Arial"/>
          <w:b/>
          <w:sz w:val="22"/>
          <w:szCs w:val="22"/>
          <w:lang w:val="es-ES"/>
        </w:rPr>
      </w:pPr>
    </w:p>
    <w:p w14:paraId="10EDB2BB" w14:textId="77777777" w:rsidR="00B17DD2" w:rsidRPr="00775AE5" w:rsidRDefault="00B17DD2" w:rsidP="008F1439">
      <w:pPr>
        <w:spacing w:line="276" w:lineRule="auto"/>
        <w:ind w:left="720" w:hanging="720"/>
        <w:jc w:val="center"/>
        <w:rPr>
          <w:rFonts w:ascii="Arial" w:hAnsi="Arial" w:cs="Arial"/>
          <w:b/>
          <w:sz w:val="22"/>
          <w:szCs w:val="22"/>
          <w:lang w:val="es-ES"/>
        </w:rPr>
      </w:pPr>
    </w:p>
    <w:p w14:paraId="191DC82E" w14:textId="77777777" w:rsidR="00B17DD2" w:rsidRPr="00775AE5" w:rsidRDefault="00B17DD2" w:rsidP="008F1439">
      <w:pPr>
        <w:spacing w:line="276" w:lineRule="auto"/>
        <w:ind w:left="720" w:hanging="720"/>
        <w:jc w:val="center"/>
        <w:rPr>
          <w:rFonts w:ascii="Arial" w:hAnsi="Arial" w:cs="Arial"/>
          <w:b/>
          <w:sz w:val="22"/>
          <w:szCs w:val="22"/>
          <w:lang w:val="es-ES"/>
        </w:rPr>
      </w:pPr>
    </w:p>
    <w:p w14:paraId="5C5D2A75" w14:textId="77777777" w:rsidR="00CC2C1D" w:rsidRPr="00775AE5" w:rsidRDefault="00CC2C1D" w:rsidP="00390DF2">
      <w:pPr>
        <w:spacing w:line="276" w:lineRule="auto"/>
        <w:rPr>
          <w:rFonts w:ascii="Arial" w:hAnsi="Arial" w:cs="Arial"/>
          <w:b/>
          <w:sz w:val="22"/>
          <w:szCs w:val="22"/>
          <w:lang w:val="es-ES"/>
        </w:rPr>
      </w:pPr>
    </w:p>
    <w:p w14:paraId="7D32C3E2" w14:textId="77777777" w:rsidR="00047FC8" w:rsidRPr="00775AE5" w:rsidRDefault="00047FC8" w:rsidP="00390DF2">
      <w:pPr>
        <w:spacing w:line="276" w:lineRule="auto"/>
        <w:rPr>
          <w:rFonts w:ascii="Arial" w:hAnsi="Arial" w:cs="Arial"/>
          <w:b/>
          <w:sz w:val="22"/>
          <w:szCs w:val="22"/>
          <w:lang w:val="es-ES"/>
        </w:rPr>
      </w:pPr>
    </w:p>
    <w:p w14:paraId="1F91BF32" w14:textId="77777777" w:rsidR="00997B8E" w:rsidRPr="00775AE5" w:rsidRDefault="00997B8E" w:rsidP="00390DF2">
      <w:pPr>
        <w:spacing w:line="276" w:lineRule="auto"/>
        <w:rPr>
          <w:rFonts w:ascii="Arial" w:hAnsi="Arial" w:cs="Arial"/>
          <w:b/>
          <w:sz w:val="22"/>
          <w:szCs w:val="22"/>
          <w:lang w:val="es-ES"/>
        </w:rPr>
      </w:pPr>
    </w:p>
    <w:p w14:paraId="3560B203" w14:textId="77777777" w:rsidR="00997B8E" w:rsidRPr="00775AE5" w:rsidRDefault="003501C3" w:rsidP="003501C3">
      <w:pPr>
        <w:tabs>
          <w:tab w:val="left" w:pos="6600"/>
        </w:tabs>
        <w:spacing w:line="276" w:lineRule="auto"/>
        <w:rPr>
          <w:rFonts w:ascii="Arial" w:hAnsi="Arial" w:cs="Arial"/>
          <w:b/>
          <w:sz w:val="22"/>
          <w:szCs w:val="22"/>
          <w:lang w:val="es-ES"/>
        </w:rPr>
      </w:pPr>
      <w:r w:rsidRPr="00775AE5">
        <w:rPr>
          <w:rFonts w:ascii="Arial" w:hAnsi="Arial" w:cs="Arial"/>
          <w:b/>
          <w:sz w:val="22"/>
          <w:szCs w:val="22"/>
          <w:lang w:val="es-ES"/>
        </w:rPr>
        <w:tab/>
      </w:r>
    </w:p>
    <w:p w14:paraId="1537124A" w14:textId="77777777" w:rsidR="007E4275" w:rsidRPr="00775AE5" w:rsidRDefault="007E4275" w:rsidP="00390DF2">
      <w:pPr>
        <w:spacing w:line="276" w:lineRule="auto"/>
        <w:rPr>
          <w:rFonts w:ascii="Arial" w:hAnsi="Arial" w:cs="Arial"/>
          <w:b/>
          <w:sz w:val="22"/>
          <w:szCs w:val="22"/>
          <w:lang w:val="es-ES"/>
        </w:rPr>
      </w:pPr>
    </w:p>
    <w:p w14:paraId="7CC56D3C" w14:textId="77777777" w:rsidR="00CC2C1D" w:rsidRPr="00775AE5" w:rsidRDefault="00CC2C1D" w:rsidP="00390DF2">
      <w:pPr>
        <w:spacing w:line="276" w:lineRule="auto"/>
        <w:jc w:val="center"/>
        <w:rPr>
          <w:rFonts w:ascii="Arial" w:hAnsi="Arial" w:cs="Arial"/>
          <w:b/>
          <w:sz w:val="22"/>
          <w:szCs w:val="22"/>
          <w:lang w:val="es-ES"/>
        </w:rPr>
      </w:pPr>
    </w:p>
    <w:p w14:paraId="3CFC8B29" w14:textId="77777777" w:rsidR="00CC2C1D" w:rsidRPr="00775AE5" w:rsidRDefault="00CC2C1D" w:rsidP="00390DF2">
      <w:pPr>
        <w:spacing w:line="276" w:lineRule="auto"/>
        <w:jc w:val="center"/>
        <w:rPr>
          <w:rFonts w:ascii="Arial" w:hAnsi="Arial" w:cs="Arial"/>
          <w:b/>
          <w:sz w:val="22"/>
          <w:szCs w:val="22"/>
          <w:lang w:val="es-ES"/>
        </w:rPr>
      </w:pPr>
      <w:r w:rsidRPr="00775AE5">
        <w:rPr>
          <w:rFonts w:ascii="Arial" w:hAnsi="Arial" w:cs="Arial"/>
          <w:b/>
          <w:sz w:val="22"/>
          <w:szCs w:val="22"/>
          <w:lang w:val="es-ES"/>
        </w:rPr>
        <w:t xml:space="preserve">Defensoría del Pueblo de Ecuador </w:t>
      </w:r>
    </w:p>
    <w:p w14:paraId="3F73812E" w14:textId="77777777" w:rsidR="00306693" w:rsidRPr="00775AE5" w:rsidRDefault="00306693" w:rsidP="00390DF2">
      <w:pPr>
        <w:spacing w:line="276" w:lineRule="auto"/>
        <w:jc w:val="center"/>
        <w:rPr>
          <w:rFonts w:ascii="Arial" w:hAnsi="Arial" w:cs="Arial"/>
          <w:b/>
          <w:sz w:val="22"/>
          <w:szCs w:val="22"/>
          <w:lang w:val="es-ES"/>
        </w:rPr>
      </w:pPr>
    </w:p>
    <w:p w14:paraId="4D2FA105" w14:textId="77777777" w:rsidR="00CC2C1D" w:rsidRPr="00775AE5" w:rsidRDefault="00CC2C1D" w:rsidP="00390DF2">
      <w:pPr>
        <w:spacing w:line="276" w:lineRule="auto"/>
        <w:jc w:val="center"/>
        <w:rPr>
          <w:rFonts w:ascii="Arial" w:hAnsi="Arial" w:cs="Arial"/>
          <w:sz w:val="22"/>
          <w:szCs w:val="22"/>
          <w:lang w:val="es-ES"/>
        </w:rPr>
      </w:pPr>
      <w:r w:rsidRPr="00775AE5">
        <w:rPr>
          <w:rFonts w:ascii="Arial" w:hAnsi="Arial" w:cs="Arial"/>
          <w:sz w:val="22"/>
          <w:szCs w:val="22"/>
          <w:lang w:val="es-ES"/>
        </w:rPr>
        <w:t>Dirección Nacional de Investigación en Derechos Humanos y de la Naturaleza</w:t>
      </w:r>
    </w:p>
    <w:p w14:paraId="37411874" w14:textId="77777777" w:rsidR="00CC2C1D" w:rsidRPr="00775AE5" w:rsidRDefault="00CC2C1D" w:rsidP="00390DF2">
      <w:pPr>
        <w:spacing w:line="276" w:lineRule="auto"/>
        <w:rPr>
          <w:rFonts w:ascii="Arial" w:hAnsi="Arial" w:cs="Arial"/>
          <w:sz w:val="22"/>
          <w:szCs w:val="22"/>
          <w:lang w:val="es-ES"/>
        </w:rPr>
      </w:pPr>
    </w:p>
    <w:p w14:paraId="5753F999" w14:textId="77777777" w:rsidR="00CC2C1D" w:rsidRPr="00775AE5" w:rsidRDefault="00CC2C1D" w:rsidP="00390DF2">
      <w:pPr>
        <w:spacing w:line="276" w:lineRule="auto"/>
        <w:rPr>
          <w:rFonts w:ascii="Arial" w:hAnsi="Arial" w:cs="Arial"/>
          <w:sz w:val="22"/>
          <w:szCs w:val="22"/>
          <w:lang w:val="es-ES"/>
        </w:rPr>
      </w:pPr>
    </w:p>
    <w:p w14:paraId="4B9B4C28" w14:textId="77777777" w:rsidR="00047FC8" w:rsidRPr="00775AE5" w:rsidRDefault="00047FC8" w:rsidP="00390DF2">
      <w:pPr>
        <w:spacing w:line="276" w:lineRule="auto"/>
        <w:rPr>
          <w:rFonts w:ascii="Arial" w:hAnsi="Arial" w:cs="Arial"/>
          <w:sz w:val="22"/>
          <w:szCs w:val="22"/>
          <w:lang w:val="es-ES"/>
        </w:rPr>
      </w:pPr>
    </w:p>
    <w:p w14:paraId="1FC571C0" w14:textId="77777777" w:rsidR="00047FC8" w:rsidRPr="00775AE5" w:rsidRDefault="00047FC8" w:rsidP="00390DF2">
      <w:pPr>
        <w:spacing w:line="276" w:lineRule="auto"/>
        <w:rPr>
          <w:rFonts w:ascii="Arial" w:hAnsi="Arial" w:cs="Arial"/>
          <w:sz w:val="22"/>
          <w:szCs w:val="22"/>
          <w:lang w:val="es-ES"/>
        </w:rPr>
      </w:pPr>
    </w:p>
    <w:p w14:paraId="74A996B5" w14:textId="77777777" w:rsidR="00BB2CA5" w:rsidRPr="00775AE5" w:rsidRDefault="00BB2CA5" w:rsidP="00390DF2">
      <w:pPr>
        <w:spacing w:line="276" w:lineRule="auto"/>
        <w:rPr>
          <w:rFonts w:ascii="Arial" w:hAnsi="Arial" w:cs="Arial"/>
          <w:sz w:val="22"/>
          <w:szCs w:val="22"/>
          <w:lang w:val="es-ES"/>
        </w:rPr>
      </w:pPr>
    </w:p>
    <w:p w14:paraId="2907944B" w14:textId="77777777" w:rsidR="00BB2CA5" w:rsidRPr="00775AE5" w:rsidRDefault="00BB2CA5" w:rsidP="00390DF2">
      <w:pPr>
        <w:spacing w:line="276" w:lineRule="auto"/>
        <w:rPr>
          <w:rFonts w:ascii="Arial" w:hAnsi="Arial" w:cs="Arial"/>
          <w:sz w:val="22"/>
          <w:szCs w:val="22"/>
          <w:lang w:val="es-ES"/>
        </w:rPr>
      </w:pPr>
    </w:p>
    <w:p w14:paraId="22D0C283" w14:textId="77777777" w:rsidR="00BB2CA5" w:rsidRPr="00775AE5" w:rsidRDefault="00BB2CA5" w:rsidP="00390DF2">
      <w:pPr>
        <w:spacing w:line="276" w:lineRule="auto"/>
        <w:rPr>
          <w:rFonts w:ascii="Arial" w:hAnsi="Arial" w:cs="Arial"/>
          <w:sz w:val="22"/>
          <w:szCs w:val="22"/>
          <w:lang w:val="es-ES"/>
        </w:rPr>
      </w:pPr>
    </w:p>
    <w:p w14:paraId="3DC2D715" w14:textId="77777777" w:rsidR="00BB2CA5" w:rsidRPr="00775AE5" w:rsidRDefault="00BB2CA5" w:rsidP="00390DF2">
      <w:pPr>
        <w:spacing w:line="276" w:lineRule="auto"/>
        <w:rPr>
          <w:rFonts w:ascii="Arial" w:hAnsi="Arial" w:cs="Arial"/>
          <w:sz w:val="22"/>
          <w:szCs w:val="22"/>
          <w:lang w:val="es-ES"/>
        </w:rPr>
      </w:pPr>
    </w:p>
    <w:p w14:paraId="76C22302" w14:textId="77777777" w:rsidR="00BB2CA5" w:rsidRPr="00775AE5" w:rsidRDefault="00BB2CA5" w:rsidP="00390DF2">
      <w:pPr>
        <w:spacing w:line="276" w:lineRule="auto"/>
        <w:rPr>
          <w:rFonts w:ascii="Arial" w:hAnsi="Arial" w:cs="Arial"/>
          <w:sz w:val="22"/>
          <w:szCs w:val="22"/>
          <w:lang w:val="es-ES"/>
        </w:rPr>
      </w:pPr>
    </w:p>
    <w:p w14:paraId="10C5F087" w14:textId="77777777" w:rsidR="00BB2CA5" w:rsidRPr="00775AE5" w:rsidRDefault="00BB2CA5" w:rsidP="00390DF2">
      <w:pPr>
        <w:spacing w:line="276" w:lineRule="auto"/>
        <w:rPr>
          <w:rFonts w:ascii="Arial" w:hAnsi="Arial" w:cs="Arial"/>
          <w:sz w:val="22"/>
          <w:szCs w:val="22"/>
          <w:lang w:val="es-ES"/>
        </w:rPr>
      </w:pPr>
    </w:p>
    <w:p w14:paraId="14A914A2" w14:textId="77777777" w:rsidR="00BB2CA5" w:rsidRPr="00775AE5" w:rsidRDefault="00BB2CA5" w:rsidP="00390DF2">
      <w:pPr>
        <w:spacing w:line="276" w:lineRule="auto"/>
        <w:rPr>
          <w:rFonts w:ascii="Arial" w:hAnsi="Arial" w:cs="Arial"/>
          <w:sz w:val="22"/>
          <w:szCs w:val="22"/>
          <w:lang w:val="es-ES"/>
        </w:rPr>
      </w:pPr>
    </w:p>
    <w:p w14:paraId="3589370F" w14:textId="77777777" w:rsidR="00047FC8" w:rsidRPr="00775AE5" w:rsidRDefault="00047FC8" w:rsidP="00390DF2">
      <w:pPr>
        <w:spacing w:line="276" w:lineRule="auto"/>
        <w:rPr>
          <w:rFonts w:ascii="Arial" w:hAnsi="Arial" w:cs="Arial"/>
          <w:sz w:val="22"/>
          <w:szCs w:val="22"/>
          <w:lang w:val="es-ES"/>
        </w:rPr>
      </w:pPr>
    </w:p>
    <w:p w14:paraId="6C121ABB" w14:textId="77777777" w:rsidR="00306693" w:rsidRPr="00775AE5" w:rsidRDefault="00047FC8" w:rsidP="00390DF2">
      <w:pPr>
        <w:widowControl w:val="0"/>
        <w:autoSpaceDE w:val="0"/>
        <w:autoSpaceDN w:val="0"/>
        <w:adjustRightInd w:val="0"/>
        <w:spacing w:line="276" w:lineRule="auto"/>
        <w:jc w:val="center"/>
        <w:rPr>
          <w:rFonts w:ascii="Arial" w:hAnsi="Arial" w:cs="Arial"/>
          <w:b/>
          <w:sz w:val="22"/>
          <w:szCs w:val="22"/>
          <w:lang w:val="es-ES" w:eastAsia="es-ES"/>
        </w:rPr>
      </w:pPr>
      <w:r w:rsidRPr="00775AE5">
        <w:rPr>
          <w:rFonts w:ascii="Arial" w:hAnsi="Arial" w:cs="Arial"/>
          <w:bCs/>
          <w:sz w:val="22"/>
          <w:szCs w:val="22"/>
          <w:lang w:val="es-ES" w:eastAsia="es-EC"/>
        </w:rPr>
        <w:t>Informe alternativo al Comité Contra la Tortura - ONU</w:t>
      </w:r>
    </w:p>
    <w:p w14:paraId="0D986170" w14:textId="77777777" w:rsidR="00CC2C1D" w:rsidRPr="00775AE5" w:rsidRDefault="00CC2C1D" w:rsidP="00390DF2">
      <w:pPr>
        <w:spacing w:line="276" w:lineRule="auto"/>
        <w:rPr>
          <w:rFonts w:ascii="Arial" w:hAnsi="Arial" w:cs="Arial"/>
          <w:b/>
          <w:sz w:val="22"/>
          <w:szCs w:val="22"/>
          <w:lang w:val="es-ES"/>
        </w:rPr>
      </w:pPr>
    </w:p>
    <w:p w14:paraId="29DEAF93" w14:textId="77777777" w:rsidR="00CC2C1D" w:rsidRPr="00775AE5" w:rsidRDefault="00CC2C1D" w:rsidP="00390DF2">
      <w:pPr>
        <w:spacing w:line="276" w:lineRule="auto"/>
        <w:rPr>
          <w:rFonts w:ascii="Arial" w:hAnsi="Arial" w:cs="Arial"/>
          <w:sz w:val="22"/>
          <w:szCs w:val="22"/>
          <w:lang w:val="es-ES"/>
        </w:rPr>
      </w:pPr>
    </w:p>
    <w:p w14:paraId="5F02627B" w14:textId="77777777" w:rsidR="00CC2C1D" w:rsidRPr="00775AE5" w:rsidRDefault="00CC2C1D" w:rsidP="00390DF2">
      <w:pPr>
        <w:spacing w:line="276" w:lineRule="auto"/>
        <w:rPr>
          <w:rFonts w:ascii="Arial" w:hAnsi="Arial" w:cs="Arial"/>
          <w:sz w:val="22"/>
          <w:szCs w:val="22"/>
          <w:lang w:val="es-ES"/>
        </w:rPr>
      </w:pPr>
    </w:p>
    <w:p w14:paraId="7988FED8" w14:textId="77777777" w:rsidR="00997B8E" w:rsidRPr="00775AE5" w:rsidRDefault="00997B8E" w:rsidP="00390DF2">
      <w:pPr>
        <w:spacing w:line="276" w:lineRule="auto"/>
        <w:rPr>
          <w:rFonts w:ascii="Arial" w:hAnsi="Arial" w:cs="Arial"/>
          <w:sz w:val="22"/>
          <w:szCs w:val="22"/>
          <w:lang w:val="es-ES"/>
        </w:rPr>
      </w:pPr>
    </w:p>
    <w:p w14:paraId="17A58F78" w14:textId="77777777" w:rsidR="00997B8E" w:rsidRPr="00775AE5" w:rsidRDefault="00997B8E" w:rsidP="00390DF2">
      <w:pPr>
        <w:spacing w:line="276" w:lineRule="auto"/>
        <w:rPr>
          <w:rFonts w:ascii="Arial" w:hAnsi="Arial" w:cs="Arial"/>
          <w:sz w:val="22"/>
          <w:szCs w:val="22"/>
          <w:lang w:val="es-ES"/>
        </w:rPr>
      </w:pPr>
    </w:p>
    <w:p w14:paraId="457DB0C1" w14:textId="77777777" w:rsidR="00BB2CA5" w:rsidRPr="00775AE5" w:rsidRDefault="00BB2CA5" w:rsidP="00390DF2">
      <w:pPr>
        <w:spacing w:line="276" w:lineRule="auto"/>
        <w:rPr>
          <w:rFonts w:ascii="Arial" w:hAnsi="Arial" w:cs="Arial"/>
          <w:sz w:val="22"/>
          <w:szCs w:val="22"/>
          <w:lang w:val="es-ES"/>
        </w:rPr>
      </w:pPr>
    </w:p>
    <w:p w14:paraId="01F2C4DE" w14:textId="77777777" w:rsidR="00BB2CA5" w:rsidRPr="00775AE5" w:rsidRDefault="00BB2CA5" w:rsidP="00390DF2">
      <w:pPr>
        <w:spacing w:line="276" w:lineRule="auto"/>
        <w:rPr>
          <w:rFonts w:ascii="Arial" w:hAnsi="Arial" w:cs="Arial"/>
          <w:sz w:val="22"/>
          <w:szCs w:val="22"/>
          <w:lang w:val="es-ES"/>
        </w:rPr>
      </w:pPr>
    </w:p>
    <w:p w14:paraId="59772993" w14:textId="77777777" w:rsidR="00306693" w:rsidRPr="00775AE5" w:rsidRDefault="00306693" w:rsidP="00390DF2">
      <w:pPr>
        <w:spacing w:line="276" w:lineRule="auto"/>
        <w:rPr>
          <w:rFonts w:ascii="Arial" w:hAnsi="Arial" w:cs="Arial"/>
          <w:sz w:val="22"/>
          <w:szCs w:val="22"/>
          <w:lang w:val="es-ES"/>
        </w:rPr>
      </w:pPr>
    </w:p>
    <w:p w14:paraId="4B82DDB2" w14:textId="77777777" w:rsidR="00306693" w:rsidRPr="00775AE5" w:rsidRDefault="00306693" w:rsidP="00390DF2">
      <w:pPr>
        <w:spacing w:line="276" w:lineRule="auto"/>
        <w:rPr>
          <w:rFonts w:ascii="Arial" w:hAnsi="Arial" w:cs="Arial"/>
          <w:sz w:val="22"/>
          <w:szCs w:val="22"/>
          <w:lang w:val="es-ES"/>
        </w:rPr>
      </w:pPr>
    </w:p>
    <w:p w14:paraId="767FD8B7" w14:textId="772A1A3E" w:rsidR="00CC2C1D" w:rsidRPr="00775AE5" w:rsidRDefault="00CC2C1D" w:rsidP="00390DF2">
      <w:pPr>
        <w:spacing w:line="276" w:lineRule="auto"/>
        <w:rPr>
          <w:rFonts w:ascii="Arial" w:hAnsi="Arial" w:cs="Arial"/>
          <w:sz w:val="22"/>
          <w:szCs w:val="22"/>
          <w:lang w:val="es-ES"/>
        </w:rPr>
      </w:pPr>
      <w:r w:rsidRPr="00775AE5">
        <w:rPr>
          <w:rFonts w:ascii="Arial" w:hAnsi="Arial" w:cs="Arial"/>
          <w:b/>
          <w:sz w:val="22"/>
          <w:szCs w:val="22"/>
          <w:lang w:val="es-ES"/>
        </w:rPr>
        <w:t>Fecha de envío:</w:t>
      </w:r>
      <w:r w:rsidRPr="00775AE5">
        <w:rPr>
          <w:rFonts w:ascii="Arial" w:hAnsi="Arial" w:cs="Arial"/>
          <w:sz w:val="22"/>
          <w:szCs w:val="22"/>
          <w:lang w:val="es-ES"/>
        </w:rPr>
        <w:t xml:space="preserve"> </w:t>
      </w:r>
      <w:r w:rsidR="00DE4A3F">
        <w:rPr>
          <w:rFonts w:ascii="Arial" w:hAnsi="Arial" w:cs="Arial"/>
          <w:sz w:val="22"/>
          <w:szCs w:val="22"/>
          <w:lang w:val="es-ES"/>
        </w:rPr>
        <w:t xml:space="preserve">10 de </w:t>
      </w:r>
      <w:r w:rsidR="003814B0" w:rsidRPr="00775AE5">
        <w:rPr>
          <w:rFonts w:ascii="Arial" w:hAnsi="Arial" w:cs="Arial"/>
          <w:sz w:val="22"/>
          <w:szCs w:val="22"/>
          <w:lang w:val="es-ES"/>
        </w:rPr>
        <w:t>junio</w:t>
      </w:r>
      <w:r w:rsidRPr="00775AE5">
        <w:rPr>
          <w:rFonts w:ascii="Arial" w:hAnsi="Arial" w:cs="Arial"/>
          <w:sz w:val="22"/>
          <w:szCs w:val="22"/>
          <w:lang w:val="es-ES"/>
        </w:rPr>
        <w:t xml:space="preserve"> de 202</w:t>
      </w:r>
      <w:r w:rsidR="003814B0" w:rsidRPr="00775AE5">
        <w:rPr>
          <w:rFonts w:ascii="Arial" w:hAnsi="Arial" w:cs="Arial"/>
          <w:sz w:val="22"/>
          <w:szCs w:val="22"/>
          <w:lang w:val="es-ES"/>
        </w:rPr>
        <w:t>4</w:t>
      </w:r>
    </w:p>
    <w:p w14:paraId="29C979EF" w14:textId="77777777" w:rsidR="00BB2CA5" w:rsidRDefault="00BB2CA5" w:rsidP="00390DF2">
      <w:pPr>
        <w:spacing w:line="276" w:lineRule="auto"/>
        <w:rPr>
          <w:rFonts w:ascii="Arial" w:hAnsi="Arial" w:cs="Arial"/>
          <w:sz w:val="22"/>
          <w:szCs w:val="22"/>
          <w:lang w:val="es-ES"/>
        </w:rPr>
      </w:pPr>
    </w:p>
    <w:p w14:paraId="592E7266" w14:textId="77777777" w:rsidR="00331ABE" w:rsidRDefault="00331ABE" w:rsidP="00390DF2">
      <w:pPr>
        <w:spacing w:line="276" w:lineRule="auto"/>
        <w:rPr>
          <w:rFonts w:ascii="Arial" w:hAnsi="Arial" w:cs="Arial"/>
          <w:sz w:val="22"/>
          <w:szCs w:val="22"/>
          <w:lang w:val="es-ES"/>
        </w:rPr>
      </w:pPr>
    </w:p>
    <w:p w14:paraId="7F4E7C46" w14:textId="77777777" w:rsidR="00331ABE" w:rsidRDefault="00331ABE" w:rsidP="00390DF2">
      <w:pPr>
        <w:spacing w:line="276" w:lineRule="auto"/>
        <w:rPr>
          <w:rFonts w:ascii="Arial" w:hAnsi="Arial" w:cs="Arial"/>
          <w:sz w:val="22"/>
          <w:szCs w:val="22"/>
          <w:lang w:val="es-ES"/>
        </w:rPr>
      </w:pPr>
    </w:p>
    <w:p w14:paraId="587B2834" w14:textId="77777777" w:rsidR="00331ABE" w:rsidRPr="00775AE5" w:rsidRDefault="00331ABE" w:rsidP="00390DF2">
      <w:pPr>
        <w:spacing w:line="276" w:lineRule="auto"/>
        <w:rPr>
          <w:rFonts w:ascii="Arial" w:hAnsi="Arial" w:cs="Arial"/>
          <w:sz w:val="22"/>
          <w:szCs w:val="22"/>
          <w:lang w:val="es-ES"/>
        </w:rPr>
      </w:pPr>
    </w:p>
    <w:p w14:paraId="3F1B407E" w14:textId="77777777" w:rsidR="00331ABE" w:rsidRDefault="00331ABE" w:rsidP="00390DF2">
      <w:pPr>
        <w:spacing w:line="276" w:lineRule="auto"/>
        <w:rPr>
          <w:rFonts w:ascii="Arial" w:hAnsi="Arial" w:cs="Arial"/>
          <w:sz w:val="22"/>
          <w:szCs w:val="22"/>
        </w:rPr>
      </w:pPr>
    </w:p>
    <w:p w14:paraId="253DB9F5" w14:textId="77777777" w:rsidR="00DE4A3F" w:rsidRDefault="00DE4A3F" w:rsidP="00390DF2">
      <w:pPr>
        <w:spacing w:line="276" w:lineRule="auto"/>
        <w:rPr>
          <w:rFonts w:ascii="Arial" w:hAnsi="Arial" w:cs="Arial"/>
          <w:sz w:val="22"/>
          <w:szCs w:val="22"/>
        </w:rPr>
      </w:pPr>
    </w:p>
    <w:p w14:paraId="3157824B" w14:textId="07C22BE9" w:rsidR="009D61BA" w:rsidRPr="00775AE5" w:rsidRDefault="009D61BA" w:rsidP="00390DF2">
      <w:pPr>
        <w:spacing w:line="276" w:lineRule="auto"/>
        <w:rPr>
          <w:rFonts w:ascii="Arial" w:hAnsi="Arial" w:cs="Arial"/>
          <w:sz w:val="22"/>
          <w:szCs w:val="22"/>
        </w:rPr>
      </w:pPr>
      <w:r w:rsidRPr="00775AE5">
        <w:rPr>
          <w:rFonts w:ascii="Arial" w:hAnsi="Arial" w:cs="Arial"/>
          <w:sz w:val="22"/>
          <w:szCs w:val="22"/>
        </w:rPr>
        <w:t xml:space="preserve">César Marcel Córdova Valverde </w:t>
      </w:r>
    </w:p>
    <w:p w14:paraId="052E4121" w14:textId="77777777" w:rsidR="00CC2C1D" w:rsidRPr="00775AE5" w:rsidRDefault="00CC2C1D" w:rsidP="00390DF2">
      <w:pPr>
        <w:spacing w:line="276" w:lineRule="auto"/>
        <w:rPr>
          <w:rFonts w:ascii="Arial" w:hAnsi="Arial" w:cs="Arial"/>
          <w:b/>
          <w:sz w:val="22"/>
          <w:szCs w:val="22"/>
          <w:lang w:val="es-ES"/>
        </w:rPr>
      </w:pPr>
      <w:r w:rsidRPr="00775AE5">
        <w:rPr>
          <w:rFonts w:ascii="Arial" w:hAnsi="Arial" w:cs="Arial"/>
          <w:b/>
          <w:sz w:val="22"/>
          <w:szCs w:val="22"/>
          <w:lang w:val="es-ES"/>
        </w:rPr>
        <w:t>Defensor</w:t>
      </w:r>
      <w:r w:rsidR="00E35F32" w:rsidRPr="00775AE5">
        <w:rPr>
          <w:rFonts w:ascii="Arial" w:hAnsi="Arial" w:cs="Arial"/>
          <w:b/>
          <w:sz w:val="22"/>
          <w:szCs w:val="22"/>
          <w:lang w:val="es-ES"/>
        </w:rPr>
        <w:t xml:space="preserve"> del Pueblo de Ecuador </w:t>
      </w:r>
    </w:p>
    <w:p w14:paraId="5A854636" w14:textId="77777777" w:rsidR="00CC2C1D" w:rsidRPr="00775AE5" w:rsidRDefault="00CC2C1D" w:rsidP="00390DF2">
      <w:pPr>
        <w:spacing w:line="276" w:lineRule="auto"/>
        <w:rPr>
          <w:rFonts w:ascii="Arial" w:hAnsi="Arial" w:cs="Arial"/>
          <w:sz w:val="22"/>
          <w:szCs w:val="22"/>
          <w:lang w:val="es-ES"/>
        </w:rPr>
      </w:pPr>
    </w:p>
    <w:p w14:paraId="45E35A70" w14:textId="77777777" w:rsidR="009D61BA" w:rsidRPr="00775AE5" w:rsidRDefault="009D61BA" w:rsidP="00390DF2">
      <w:pPr>
        <w:spacing w:line="276" w:lineRule="auto"/>
        <w:rPr>
          <w:rFonts w:ascii="Arial" w:hAnsi="Arial" w:cs="Arial"/>
          <w:sz w:val="22"/>
          <w:szCs w:val="22"/>
        </w:rPr>
      </w:pPr>
      <w:r w:rsidRPr="00775AE5">
        <w:rPr>
          <w:rFonts w:ascii="Arial" w:hAnsi="Arial" w:cs="Arial"/>
          <w:sz w:val="22"/>
          <w:szCs w:val="22"/>
        </w:rPr>
        <w:t xml:space="preserve">Manuel Estuardo Solano Moreno </w:t>
      </w:r>
    </w:p>
    <w:p w14:paraId="3E1145D7" w14:textId="77777777" w:rsidR="00CC2C1D" w:rsidRPr="00775AE5" w:rsidRDefault="00CC2C1D" w:rsidP="00390DF2">
      <w:pPr>
        <w:spacing w:line="276" w:lineRule="auto"/>
        <w:rPr>
          <w:rFonts w:ascii="Arial" w:hAnsi="Arial" w:cs="Arial"/>
          <w:b/>
          <w:sz w:val="22"/>
          <w:szCs w:val="22"/>
          <w:lang w:val="es-ES"/>
        </w:rPr>
      </w:pPr>
      <w:r w:rsidRPr="00775AE5">
        <w:rPr>
          <w:rFonts w:ascii="Arial" w:hAnsi="Arial" w:cs="Arial"/>
          <w:b/>
          <w:sz w:val="22"/>
          <w:szCs w:val="22"/>
          <w:lang w:val="es-ES"/>
        </w:rPr>
        <w:t xml:space="preserve">Secretario </w:t>
      </w:r>
      <w:r w:rsidR="00A96F58" w:rsidRPr="00775AE5">
        <w:rPr>
          <w:rFonts w:ascii="Arial" w:hAnsi="Arial" w:cs="Arial"/>
          <w:b/>
          <w:sz w:val="22"/>
          <w:szCs w:val="22"/>
          <w:lang w:val="es-ES"/>
        </w:rPr>
        <w:t>g</w:t>
      </w:r>
      <w:r w:rsidRPr="00775AE5">
        <w:rPr>
          <w:rFonts w:ascii="Arial" w:hAnsi="Arial" w:cs="Arial"/>
          <w:b/>
          <w:sz w:val="22"/>
          <w:szCs w:val="22"/>
          <w:lang w:val="es-ES"/>
        </w:rPr>
        <w:t xml:space="preserve">eneral Misional </w:t>
      </w:r>
    </w:p>
    <w:p w14:paraId="37B12A10" w14:textId="77777777" w:rsidR="00CC2C1D" w:rsidRPr="00775AE5" w:rsidRDefault="00CC2C1D" w:rsidP="00390DF2">
      <w:pPr>
        <w:spacing w:line="276" w:lineRule="auto"/>
        <w:rPr>
          <w:rFonts w:ascii="Arial" w:hAnsi="Arial" w:cs="Arial"/>
          <w:sz w:val="22"/>
          <w:szCs w:val="22"/>
          <w:lang w:val="es-ES"/>
        </w:rPr>
      </w:pPr>
    </w:p>
    <w:p w14:paraId="22A7834D" w14:textId="77777777" w:rsidR="009D61BA" w:rsidRPr="00775AE5" w:rsidRDefault="009D61BA" w:rsidP="00390DF2">
      <w:pPr>
        <w:spacing w:line="276" w:lineRule="auto"/>
        <w:rPr>
          <w:rFonts w:ascii="Arial" w:hAnsi="Arial" w:cs="Arial"/>
          <w:sz w:val="22"/>
          <w:szCs w:val="22"/>
        </w:rPr>
      </w:pPr>
      <w:r w:rsidRPr="00775AE5">
        <w:rPr>
          <w:rFonts w:ascii="Arial" w:hAnsi="Arial" w:cs="Arial"/>
          <w:sz w:val="22"/>
          <w:szCs w:val="22"/>
        </w:rPr>
        <w:t xml:space="preserve">Rodrigo Fernando Varela Torres </w:t>
      </w:r>
    </w:p>
    <w:p w14:paraId="0F64F27F" w14:textId="77777777" w:rsidR="00CC2C1D" w:rsidRPr="00775AE5" w:rsidRDefault="00435169" w:rsidP="00390DF2">
      <w:pPr>
        <w:spacing w:line="276" w:lineRule="auto"/>
        <w:rPr>
          <w:rFonts w:ascii="Arial" w:hAnsi="Arial" w:cs="Arial"/>
          <w:b/>
          <w:sz w:val="22"/>
          <w:szCs w:val="22"/>
          <w:lang w:val="es-ES"/>
        </w:rPr>
      </w:pPr>
      <w:r w:rsidRPr="00775AE5">
        <w:rPr>
          <w:rFonts w:ascii="Arial" w:hAnsi="Arial" w:cs="Arial"/>
          <w:b/>
          <w:sz w:val="22"/>
          <w:szCs w:val="22"/>
          <w:lang w:val="es-ES"/>
        </w:rPr>
        <w:t>Coordinador</w:t>
      </w:r>
      <w:r w:rsidR="00A96F58" w:rsidRPr="00775AE5">
        <w:rPr>
          <w:rFonts w:ascii="Arial" w:hAnsi="Arial" w:cs="Arial"/>
          <w:b/>
          <w:sz w:val="22"/>
          <w:szCs w:val="22"/>
          <w:lang w:val="es-ES"/>
        </w:rPr>
        <w:t xml:space="preserve"> g</w:t>
      </w:r>
      <w:r w:rsidR="00CC2C1D" w:rsidRPr="00775AE5">
        <w:rPr>
          <w:rFonts w:ascii="Arial" w:hAnsi="Arial" w:cs="Arial"/>
          <w:b/>
          <w:sz w:val="22"/>
          <w:szCs w:val="22"/>
          <w:lang w:val="es-ES"/>
        </w:rPr>
        <w:t>eneral de Pro</w:t>
      </w:r>
      <w:r w:rsidR="009D61BA" w:rsidRPr="00775AE5">
        <w:rPr>
          <w:rFonts w:ascii="Arial" w:hAnsi="Arial" w:cs="Arial"/>
          <w:b/>
          <w:sz w:val="22"/>
          <w:szCs w:val="22"/>
          <w:lang w:val="es-ES"/>
        </w:rPr>
        <w:t>tección de Derechos Humanos y de la Naturaleza</w:t>
      </w:r>
    </w:p>
    <w:p w14:paraId="2EB7BD97" w14:textId="77777777" w:rsidR="00CC2C1D" w:rsidRPr="00775AE5" w:rsidRDefault="00CC2C1D" w:rsidP="00390DF2">
      <w:pPr>
        <w:spacing w:line="276" w:lineRule="auto"/>
        <w:rPr>
          <w:rFonts w:ascii="Arial" w:hAnsi="Arial" w:cs="Arial"/>
          <w:b/>
          <w:sz w:val="22"/>
          <w:szCs w:val="22"/>
          <w:lang w:val="es-ES"/>
        </w:rPr>
      </w:pPr>
    </w:p>
    <w:p w14:paraId="59F12052" w14:textId="77777777" w:rsidR="0094224A" w:rsidRPr="00775AE5" w:rsidRDefault="0094224A" w:rsidP="0094224A">
      <w:pPr>
        <w:spacing w:line="276" w:lineRule="auto"/>
        <w:rPr>
          <w:rFonts w:ascii="Arial" w:hAnsi="Arial" w:cs="Arial"/>
          <w:sz w:val="22"/>
          <w:szCs w:val="22"/>
        </w:rPr>
      </w:pPr>
      <w:r w:rsidRPr="00775AE5">
        <w:rPr>
          <w:rFonts w:ascii="Arial" w:hAnsi="Arial" w:cs="Arial"/>
          <w:sz w:val="22"/>
          <w:szCs w:val="22"/>
        </w:rPr>
        <w:t xml:space="preserve">Elvis Fernando Paz Morales </w:t>
      </w:r>
    </w:p>
    <w:p w14:paraId="1271DB29" w14:textId="77777777" w:rsidR="0094224A" w:rsidRPr="00775AE5" w:rsidRDefault="00435169" w:rsidP="0094224A">
      <w:pPr>
        <w:spacing w:line="276" w:lineRule="auto"/>
        <w:rPr>
          <w:rFonts w:ascii="Arial" w:hAnsi="Arial" w:cs="Arial"/>
          <w:b/>
          <w:sz w:val="22"/>
          <w:szCs w:val="22"/>
          <w:lang w:val="es-ES"/>
        </w:rPr>
      </w:pPr>
      <w:r w:rsidRPr="00775AE5">
        <w:rPr>
          <w:rFonts w:ascii="Arial" w:hAnsi="Arial" w:cs="Arial"/>
          <w:b/>
          <w:bCs/>
          <w:color w:val="000000"/>
          <w:sz w:val="22"/>
          <w:szCs w:val="22"/>
          <w:lang w:val="es-EC" w:eastAsia="es-EC"/>
        </w:rPr>
        <w:t>Coordinador</w:t>
      </w:r>
      <w:r w:rsidR="0094224A" w:rsidRPr="00775AE5">
        <w:rPr>
          <w:rFonts w:ascii="Arial" w:hAnsi="Arial" w:cs="Arial"/>
          <w:b/>
          <w:bCs/>
          <w:color w:val="000000"/>
          <w:sz w:val="22"/>
          <w:szCs w:val="22"/>
          <w:lang w:val="es-EC" w:eastAsia="es-EC"/>
        </w:rPr>
        <w:t xml:space="preserve"> general de Prevención y Promoción de Derecho Humanos </w:t>
      </w:r>
    </w:p>
    <w:p w14:paraId="34F1608E" w14:textId="77777777" w:rsidR="0094224A" w:rsidRPr="00775AE5" w:rsidRDefault="0094224A" w:rsidP="00390DF2">
      <w:pPr>
        <w:spacing w:line="276" w:lineRule="auto"/>
        <w:rPr>
          <w:rFonts w:ascii="Arial" w:hAnsi="Arial" w:cs="Arial"/>
          <w:b/>
          <w:sz w:val="22"/>
          <w:szCs w:val="22"/>
          <w:lang w:val="es-ES"/>
        </w:rPr>
      </w:pPr>
    </w:p>
    <w:p w14:paraId="2B11E4F4" w14:textId="77777777" w:rsidR="009D61BA" w:rsidRPr="00775AE5" w:rsidRDefault="009D61BA" w:rsidP="009D61BA">
      <w:pPr>
        <w:autoSpaceDE w:val="0"/>
        <w:autoSpaceDN w:val="0"/>
        <w:adjustRightInd w:val="0"/>
        <w:rPr>
          <w:rFonts w:ascii="Arial" w:hAnsi="Arial" w:cs="Arial"/>
          <w:color w:val="000000"/>
          <w:sz w:val="22"/>
          <w:szCs w:val="22"/>
          <w:lang w:val="es-EC" w:eastAsia="es-EC"/>
        </w:rPr>
      </w:pPr>
      <w:r w:rsidRPr="00775AE5">
        <w:rPr>
          <w:rFonts w:ascii="Arial" w:hAnsi="Arial" w:cs="Arial"/>
          <w:color w:val="000000"/>
          <w:sz w:val="22"/>
          <w:szCs w:val="22"/>
          <w:lang w:val="es-EC" w:eastAsia="es-EC"/>
        </w:rPr>
        <w:t xml:space="preserve">Galo </w:t>
      </w:r>
      <w:r w:rsidR="0094224A" w:rsidRPr="00775AE5">
        <w:rPr>
          <w:rFonts w:ascii="Arial" w:hAnsi="Arial" w:cs="Arial"/>
          <w:color w:val="000000"/>
          <w:sz w:val="22"/>
          <w:szCs w:val="22"/>
          <w:lang w:val="es-EC" w:eastAsia="es-EC"/>
        </w:rPr>
        <w:t xml:space="preserve">Hernán Rodríguez Caicedo </w:t>
      </w:r>
    </w:p>
    <w:p w14:paraId="68893569" w14:textId="77777777" w:rsidR="009D61BA" w:rsidRPr="00775AE5" w:rsidRDefault="00435169" w:rsidP="009D61BA">
      <w:pPr>
        <w:spacing w:line="276" w:lineRule="auto"/>
        <w:rPr>
          <w:rFonts w:ascii="Arial" w:hAnsi="Arial" w:cs="Arial"/>
          <w:b/>
          <w:sz w:val="22"/>
          <w:szCs w:val="22"/>
          <w:lang w:val="es-ES"/>
        </w:rPr>
      </w:pPr>
      <w:r w:rsidRPr="00775AE5">
        <w:rPr>
          <w:rFonts w:ascii="Arial" w:hAnsi="Arial" w:cs="Arial"/>
          <w:b/>
          <w:bCs/>
          <w:color w:val="000000"/>
          <w:sz w:val="22"/>
          <w:szCs w:val="22"/>
          <w:lang w:val="es-EC" w:eastAsia="es-EC"/>
        </w:rPr>
        <w:t>Coordinador</w:t>
      </w:r>
      <w:r w:rsidR="009D61BA" w:rsidRPr="00775AE5">
        <w:rPr>
          <w:rFonts w:ascii="Arial" w:hAnsi="Arial" w:cs="Arial"/>
          <w:b/>
          <w:bCs/>
          <w:color w:val="000000"/>
          <w:sz w:val="22"/>
          <w:szCs w:val="22"/>
          <w:lang w:val="es-EC" w:eastAsia="es-EC"/>
        </w:rPr>
        <w:t xml:space="preserve"> </w:t>
      </w:r>
      <w:r w:rsidR="0094224A" w:rsidRPr="00775AE5">
        <w:rPr>
          <w:rFonts w:ascii="Arial" w:hAnsi="Arial" w:cs="Arial"/>
          <w:b/>
          <w:bCs/>
          <w:color w:val="000000"/>
          <w:sz w:val="22"/>
          <w:szCs w:val="22"/>
          <w:lang w:val="es-EC" w:eastAsia="es-EC"/>
        </w:rPr>
        <w:t>g</w:t>
      </w:r>
      <w:r w:rsidR="009D61BA" w:rsidRPr="00775AE5">
        <w:rPr>
          <w:rFonts w:ascii="Arial" w:hAnsi="Arial" w:cs="Arial"/>
          <w:b/>
          <w:bCs/>
          <w:color w:val="000000"/>
          <w:sz w:val="22"/>
          <w:szCs w:val="22"/>
          <w:lang w:val="es-EC" w:eastAsia="es-EC"/>
        </w:rPr>
        <w:t>eneral de Producción Especializada de Gestión del Conocimiento e Investigación</w:t>
      </w:r>
    </w:p>
    <w:p w14:paraId="72D2F600" w14:textId="77777777" w:rsidR="009D61BA" w:rsidRPr="00775AE5" w:rsidRDefault="009D61BA" w:rsidP="00390DF2">
      <w:pPr>
        <w:spacing w:line="276" w:lineRule="auto"/>
        <w:rPr>
          <w:rFonts w:ascii="Arial" w:hAnsi="Arial" w:cs="Arial"/>
          <w:b/>
          <w:sz w:val="22"/>
          <w:szCs w:val="22"/>
          <w:lang w:val="es-ES"/>
        </w:rPr>
      </w:pPr>
    </w:p>
    <w:p w14:paraId="22345DAE" w14:textId="77777777" w:rsidR="00CC2C1D" w:rsidRPr="00775AE5" w:rsidRDefault="00CC2C1D" w:rsidP="00390DF2">
      <w:pPr>
        <w:spacing w:line="276" w:lineRule="auto"/>
        <w:rPr>
          <w:rFonts w:ascii="Arial" w:hAnsi="Arial" w:cs="Arial"/>
          <w:b/>
          <w:sz w:val="22"/>
          <w:szCs w:val="22"/>
          <w:lang w:val="es-ES"/>
        </w:rPr>
      </w:pPr>
      <w:r w:rsidRPr="00775AE5">
        <w:rPr>
          <w:rFonts w:ascii="Arial" w:hAnsi="Arial" w:cs="Arial"/>
          <w:b/>
          <w:sz w:val="22"/>
          <w:szCs w:val="22"/>
          <w:lang w:val="es-ES"/>
        </w:rPr>
        <w:t>Revisión</w:t>
      </w:r>
    </w:p>
    <w:p w14:paraId="4DFAA378" w14:textId="77777777" w:rsidR="009D61BA" w:rsidRPr="00775AE5" w:rsidRDefault="009D61BA" w:rsidP="00390DF2">
      <w:pPr>
        <w:spacing w:line="276" w:lineRule="auto"/>
        <w:rPr>
          <w:rFonts w:ascii="Arial" w:hAnsi="Arial" w:cs="Arial"/>
          <w:sz w:val="22"/>
          <w:szCs w:val="22"/>
        </w:rPr>
      </w:pPr>
      <w:r w:rsidRPr="00775AE5">
        <w:rPr>
          <w:rFonts w:ascii="Arial" w:hAnsi="Arial" w:cs="Arial"/>
          <w:sz w:val="22"/>
          <w:szCs w:val="22"/>
        </w:rPr>
        <w:t>Ricardo Alonso Durán Jaramillo</w:t>
      </w:r>
    </w:p>
    <w:p w14:paraId="235E0278" w14:textId="77777777" w:rsidR="00CC2C1D" w:rsidRPr="00775AE5" w:rsidRDefault="00CC2C1D" w:rsidP="00390DF2">
      <w:pPr>
        <w:spacing w:line="276" w:lineRule="auto"/>
        <w:rPr>
          <w:rFonts w:ascii="Arial" w:hAnsi="Arial" w:cs="Arial"/>
          <w:sz w:val="22"/>
          <w:szCs w:val="22"/>
        </w:rPr>
      </w:pPr>
      <w:r w:rsidRPr="00775AE5">
        <w:rPr>
          <w:rFonts w:ascii="Arial" w:hAnsi="Arial" w:cs="Arial"/>
          <w:sz w:val="22"/>
          <w:szCs w:val="22"/>
        </w:rPr>
        <w:t xml:space="preserve">Leonardo Ordóñez Pesantez </w:t>
      </w:r>
    </w:p>
    <w:p w14:paraId="68918132" w14:textId="77777777" w:rsidR="0094224A" w:rsidRPr="00775AE5" w:rsidRDefault="0094224A" w:rsidP="00390DF2">
      <w:pPr>
        <w:spacing w:line="276" w:lineRule="auto"/>
        <w:rPr>
          <w:rFonts w:ascii="Arial" w:hAnsi="Arial" w:cs="Arial"/>
          <w:sz w:val="22"/>
          <w:szCs w:val="22"/>
        </w:rPr>
      </w:pPr>
      <w:r w:rsidRPr="00775AE5">
        <w:rPr>
          <w:rFonts w:ascii="Arial" w:hAnsi="Arial" w:cs="Arial"/>
          <w:sz w:val="22"/>
          <w:szCs w:val="22"/>
        </w:rPr>
        <w:t xml:space="preserve">Paola Espinosa Izquierdo </w:t>
      </w:r>
    </w:p>
    <w:p w14:paraId="31163F92" w14:textId="77777777" w:rsidR="00CC2C1D" w:rsidRPr="00775AE5" w:rsidRDefault="00A96F58" w:rsidP="00390DF2">
      <w:pPr>
        <w:spacing w:line="276" w:lineRule="auto"/>
        <w:rPr>
          <w:rFonts w:ascii="Arial" w:hAnsi="Arial" w:cs="Arial"/>
          <w:b/>
          <w:sz w:val="22"/>
          <w:szCs w:val="22"/>
          <w:lang w:val="es-ES"/>
        </w:rPr>
      </w:pPr>
      <w:r w:rsidRPr="00775AE5">
        <w:rPr>
          <w:rFonts w:ascii="Arial" w:hAnsi="Arial" w:cs="Arial"/>
          <w:b/>
          <w:sz w:val="22"/>
          <w:szCs w:val="22"/>
          <w:lang w:val="es-ES"/>
        </w:rPr>
        <w:t>Dirección n</w:t>
      </w:r>
      <w:r w:rsidR="00CC2C1D" w:rsidRPr="00775AE5">
        <w:rPr>
          <w:rFonts w:ascii="Arial" w:hAnsi="Arial" w:cs="Arial"/>
          <w:b/>
          <w:sz w:val="22"/>
          <w:szCs w:val="22"/>
          <w:lang w:val="es-ES"/>
        </w:rPr>
        <w:t>acional de Investigación en</w:t>
      </w:r>
      <w:r w:rsidR="00CC2C1D" w:rsidRPr="00775AE5">
        <w:rPr>
          <w:rFonts w:ascii="Arial" w:hAnsi="Arial" w:cs="Arial"/>
          <w:sz w:val="22"/>
          <w:szCs w:val="22"/>
          <w:lang w:val="es-ES"/>
        </w:rPr>
        <w:t xml:space="preserve"> </w:t>
      </w:r>
      <w:r w:rsidR="00CC2C1D" w:rsidRPr="00775AE5">
        <w:rPr>
          <w:rFonts w:ascii="Arial" w:hAnsi="Arial" w:cs="Arial"/>
          <w:b/>
          <w:sz w:val="22"/>
          <w:szCs w:val="22"/>
          <w:lang w:val="es-ES"/>
        </w:rPr>
        <w:t>Derechos Humanos y de la Naturaleza</w:t>
      </w:r>
    </w:p>
    <w:p w14:paraId="3D9186CD" w14:textId="77777777" w:rsidR="00CC2C1D" w:rsidRPr="00775AE5" w:rsidRDefault="00CC2C1D" w:rsidP="00390DF2">
      <w:pPr>
        <w:spacing w:line="276" w:lineRule="auto"/>
        <w:rPr>
          <w:rFonts w:ascii="Arial" w:hAnsi="Arial" w:cs="Arial"/>
          <w:b/>
          <w:sz w:val="22"/>
          <w:szCs w:val="22"/>
          <w:lang w:val="es-ES"/>
        </w:rPr>
      </w:pPr>
    </w:p>
    <w:p w14:paraId="12ED3A3F" w14:textId="77777777" w:rsidR="00CC2C1D" w:rsidRPr="00775AE5" w:rsidRDefault="00CC2C1D" w:rsidP="00390DF2">
      <w:pPr>
        <w:spacing w:line="276" w:lineRule="auto"/>
        <w:rPr>
          <w:rFonts w:ascii="Arial" w:hAnsi="Arial" w:cs="Arial"/>
          <w:b/>
          <w:sz w:val="22"/>
          <w:szCs w:val="22"/>
          <w:lang w:val="es-ES"/>
        </w:rPr>
      </w:pPr>
      <w:r w:rsidRPr="00775AE5">
        <w:rPr>
          <w:rFonts w:ascii="Arial" w:hAnsi="Arial" w:cs="Arial"/>
          <w:b/>
          <w:sz w:val="22"/>
          <w:szCs w:val="22"/>
          <w:lang w:val="es-ES"/>
        </w:rPr>
        <w:t>Elaboración</w:t>
      </w:r>
    </w:p>
    <w:p w14:paraId="43520720" w14:textId="4CD797A4" w:rsidR="00AA2CAB" w:rsidRPr="00775AE5" w:rsidRDefault="006C304A" w:rsidP="00E168DB">
      <w:pPr>
        <w:spacing w:line="276" w:lineRule="auto"/>
        <w:rPr>
          <w:rFonts w:ascii="Arial" w:hAnsi="Arial" w:cs="Arial"/>
          <w:sz w:val="22"/>
          <w:szCs w:val="22"/>
        </w:rPr>
      </w:pPr>
      <w:r w:rsidRPr="00775AE5">
        <w:rPr>
          <w:rFonts w:ascii="Arial" w:hAnsi="Arial" w:cs="Arial"/>
          <w:sz w:val="22"/>
          <w:szCs w:val="22"/>
        </w:rPr>
        <w:t xml:space="preserve">Gabriela Isabel Hidalgo Vélez </w:t>
      </w:r>
    </w:p>
    <w:p w14:paraId="4CAE2C9A" w14:textId="4564B3C9" w:rsidR="00E168DB" w:rsidRPr="00775AE5" w:rsidRDefault="001C77B1" w:rsidP="00E168DB">
      <w:pPr>
        <w:spacing w:line="276" w:lineRule="auto"/>
        <w:rPr>
          <w:rFonts w:ascii="Arial" w:hAnsi="Arial" w:cs="Arial"/>
          <w:sz w:val="22"/>
          <w:szCs w:val="22"/>
          <w:lang w:val="es-ES"/>
        </w:rPr>
      </w:pPr>
      <w:r w:rsidRPr="00775AE5">
        <w:rPr>
          <w:rFonts w:ascii="Arial" w:hAnsi="Arial" w:cs="Arial"/>
          <w:sz w:val="22"/>
          <w:szCs w:val="22"/>
        </w:rPr>
        <w:t xml:space="preserve">Tatiana </w:t>
      </w:r>
      <w:r w:rsidR="00E168DB" w:rsidRPr="00775AE5">
        <w:rPr>
          <w:rFonts w:ascii="Arial" w:hAnsi="Arial" w:cs="Arial"/>
          <w:sz w:val="22"/>
          <w:szCs w:val="22"/>
        </w:rPr>
        <w:t xml:space="preserve">Carolina Rosero </w:t>
      </w:r>
      <w:r w:rsidRPr="00775AE5">
        <w:rPr>
          <w:rFonts w:ascii="Arial" w:hAnsi="Arial" w:cs="Arial"/>
          <w:sz w:val="22"/>
          <w:szCs w:val="22"/>
        </w:rPr>
        <w:t>Moscoso</w:t>
      </w:r>
    </w:p>
    <w:p w14:paraId="50F1F6AC" w14:textId="03FFB120" w:rsidR="00E168DB" w:rsidRPr="00775AE5" w:rsidRDefault="00A14246" w:rsidP="00E168DB">
      <w:pPr>
        <w:spacing w:line="276" w:lineRule="auto"/>
        <w:rPr>
          <w:rFonts w:ascii="Arial" w:hAnsi="Arial" w:cs="Arial"/>
          <w:sz w:val="22"/>
          <w:szCs w:val="22"/>
          <w:lang w:val="es-ES"/>
        </w:rPr>
      </w:pPr>
      <w:r w:rsidRPr="00775AE5">
        <w:rPr>
          <w:rFonts w:ascii="Arial" w:hAnsi="Arial" w:cs="Arial"/>
          <w:sz w:val="22"/>
          <w:szCs w:val="22"/>
          <w:lang w:val="es-ES"/>
        </w:rPr>
        <w:t xml:space="preserve">Gladys Lorena Chávez </w:t>
      </w:r>
      <w:r w:rsidR="00147BA5" w:rsidRPr="00775AE5">
        <w:rPr>
          <w:rFonts w:ascii="Arial" w:hAnsi="Arial" w:cs="Arial"/>
          <w:sz w:val="22"/>
          <w:szCs w:val="22"/>
          <w:lang w:val="es-ES"/>
        </w:rPr>
        <w:t xml:space="preserve">Ledesma </w:t>
      </w:r>
    </w:p>
    <w:p w14:paraId="3C3CF380" w14:textId="77777777" w:rsidR="00B54160" w:rsidRPr="00775AE5" w:rsidRDefault="00056D39" w:rsidP="00056D39">
      <w:pPr>
        <w:spacing w:line="276" w:lineRule="auto"/>
        <w:rPr>
          <w:rFonts w:ascii="Arial" w:hAnsi="Arial" w:cs="Arial"/>
          <w:sz w:val="22"/>
          <w:szCs w:val="22"/>
          <w:lang w:val="es-ES"/>
        </w:rPr>
      </w:pPr>
      <w:r w:rsidRPr="00775AE5">
        <w:rPr>
          <w:rFonts w:ascii="Arial" w:hAnsi="Arial" w:cs="Arial"/>
          <w:sz w:val="22"/>
          <w:szCs w:val="22"/>
          <w:lang w:val="es-ES"/>
        </w:rPr>
        <w:t xml:space="preserve">Francisco Xavier </w:t>
      </w:r>
      <w:r w:rsidR="00B54160" w:rsidRPr="00775AE5">
        <w:rPr>
          <w:rFonts w:ascii="Arial" w:hAnsi="Arial" w:cs="Arial"/>
          <w:sz w:val="22"/>
          <w:szCs w:val="22"/>
          <w:lang w:val="es-ES"/>
        </w:rPr>
        <w:t xml:space="preserve">Bonilla Soria </w:t>
      </w:r>
    </w:p>
    <w:p w14:paraId="2A949851" w14:textId="143244E9" w:rsidR="00D51842" w:rsidRPr="00775AE5" w:rsidRDefault="00D51842" w:rsidP="00056D39">
      <w:pPr>
        <w:spacing w:line="276" w:lineRule="auto"/>
        <w:rPr>
          <w:rFonts w:ascii="Arial" w:hAnsi="Arial" w:cs="Arial"/>
          <w:sz w:val="22"/>
          <w:szCs w:val="22"/>
          <w:lang w:val="es-ES"/>
        </w:rPr>
      </w:pPr>
      <w:r w:rsidRPr="00775AE5">
        <w:rPr>
          <w:rFonts w:ascii="Arial" w:hAnsi="Arial" w:cs="Arial"/>
          <w:sz w:val="22"/>
          <w:szCs w:val="22"/>
          <w:lang w:val="es-ES"/>
        </w:rPr>
        <w:t xml:space="preserve">Alba Lorena Jalón Garces </w:t>
      </w:r>
    </w:p>
    <w:p w14:paraId="40CADD71" w14:textId="78E3E6CE" w:rsidR="00D51842" w:rsidRPr="00775AE5" w:rsidRDefault="004C4153" w:rsidP="00056D39">
      <w:pPr>
        <w:spacing w:line="276" w:lineRule="auto"/>
        <w:rPr>
          <w:rFonts w:ascii="Arial" w:hAnsi="Arial" w:cs="Arial"/>
          <w:sz w:val="22"/>
          <w:szCs w:val="22"/>
          <w:lang w:val="es-ES"/>
        </w:rPr>
      </w:pPr>
      <w:r w:rsidRPr="00775AE5">
        <w:rPr>
          <w:rFonts w:ascii="Arial" w:hAnsi="Arial" w:cs="Arial"/>
          <w:sz w:val="22"/>
          <w:szCs w:val="22"/>
          <w:lang w:val="es-ES"/>
        </w:rPr>
        <w:t>Di</w:t>
      </w:r>
      <w:r w:rsidR="00944CB7" w:rsidRPr="00775AE5">
        <w:rPr>
          <w:rFonts w:ascii="Arial" w:hAnsi="Arial" w:cs="Arial"/>
          <w:sz w:val="22"/>
          <w:szCs w:val="22"/>
          <w:lang w:val="es-ES"/>
        </w:rPr>
        <w:t xml:space="preserve">ego </w:t>
      </w:r>
      <w:r w:rsidR="008C000A" w:rsidRPr="00775AE5">
        <w:rPr>
          <w:rFonts w:ascii="Arial" w:hAnsi="Arial" w:cs="Arial"/>
          <w:sz w:val="22"/>
          <w:szCs w:val="22"/>
          <w:lang w:val="es-ES"/>
        </w:rPr>
        <w:t xml:space="preserve">Alejandro Rodríguez Mayorga </w:t>
      </w:r>
    </w:p>
    <w:p w14:paraId="18CBF438" w14:textId="668D8CF7" w:rsidR="00D51842" w:rsidRPr="00775AE5" w:rsidRDefault="00F309EB" w:rsidP="00056D39">
      <w:pPr>
        <w:spacing w:line="276" w:lineRule="auto"/>
        <w:rPr>
          <w:rFonts w:ascii="Arial" w:hAnsi="Arial" w:cs="Arial"/>
          <w:sz w:val="22"/>
          <w:szCs w:val="22"/>
          <w:lang w:val="es-ES"/>
        </w:rPr>
      </w:pPr>
      <w:r w:rsidRPr="00775AE5">
        <w:rPr>
          <w:rFonts w:ascii="Arial" w:hAnsi="Arial" w:cs="Arial"/>
          <w:sz w:val="22"/>
          <w:szCs w:val="22"/>
          <w:lang w:val="es-ES"/>
        </w:rPr>
        <w:t xml:space="preserve">Carlos Gonzalo </w:t>
      </w:r>
      <w:r w:rsidR="004F0863" w:rsidRPr="00775AE5">
        <w:rPr>
          <w:rFonts w:ascii="Arial" w:hAnsi="Arial" w:cs="Arial"/>
          <w:sz w:val="22"/>
          <w:szCs w:val="22"/>
          <w:lang w:val="es-ES"/>
        </w:rPr>
        <w:t>Alban Subía</w:t>
      </w:r>
    </w:p>
    <w:p w14:paraId="1B50A36F" w14:textId="6F6298D6" w:rsidR="004557B7" w:rsidRPr="00775AE5" w:rsidRDefault="00142CDC" w:rsidP="00390DF2">
      <w:pPr>
        <w:spacing w:line="276" w:lineRule="auto"/>
        <w:rPr>
          <w:rFonts w:ascii="Arial" w:hAnsi="Arial" w:cs="Arial"/>
          <w:b/>
          <w:sz w:val="22"/>
          <w:szCs w:val="22"/>
          <w:lang w:val="es-ES"/>
        </w:rPr>
      </w:pPr>
      <w:r w:rsidRPr="00775AE5">
        <w:rPr>
          <w:rFonts w:ascii="Arial" w:hAnsi="Arial" w:cs="Arial"/>
          <w:sz w:val="22"/>
          <w:szCs w:val="22"/>
          <w:lang w:val="es-ES"/>
        </w:rPr>
        <w:t xml:space="preserve">Henry </w:t>
      </w:r>
      <w:r w:rsidR="00D92FE6" w:rsidRPr="00775AE5">
        <w:rPr>
          <w:rFonts w:ascii="Arial" w:hAnsi="Arial" w:cs="Arial"/>
          <w:sz w:val="22"/>
          <w:szCs w:val="22"/>
          <w:lang w:val="es-ES"/>
        </w:rPr>
        <w:t>Robinson Bolaños Aguilar</w:t>
      </w:r>
      <w:r w:rsidR="00D92FE6" w:rsidRPr="00775AE5">
        <w:rPr>
          <w:rFonts w:ascii="Arial" w:hAnsi="Arial" w:cs="Arial"/>
          <w:b/>
          <w:sz w:val="22"/>
          <w:szCs w:val="22"/>
          <w:lang w:val="es-ES"/>
        </w:rPr>
        <w:t xml:space="preserve"> </w:t>
      </w:r>
    </w:p>
    <w:p w14:paraId="67F2DC50" w14:textId="77777777" w:rsidR="004557B7" w:rsidRPr="00775AE5" w:rsidRDefault="004557B7" w:rsidP="00390DF2">
      <w:pPr>
        <w:spacing w:line="276" w:lineRule="auto"/>
        <w:rPr>
          <w:rFonts w:ascii="Arial" w:hAnsi="Arial" w:cs="Arial"/>
          <w:b/>
          <w:sz w:val="22"/>
          <w:szCs w:val="22"/>
          <w:lang w:val="es-ES"/>
        </w:rPr>
      </w:pPr>
    </w:p>
    <w:p w14:paraId="61F36360" w14:textId="77777777" w:rsidR="00B17DD2" w:rsidRPr="00775AE5" w:rsidRDefault="00B17DD2" w:rsidP="00390DF2">
      <w:pPr>
        <w:spacing w:line="276" w:lineRule="auto"/>
        <w:rPr>
          <w:rFonts w:ascii="Arial" w:hAnsi="Arial" w:cs="Arial"/>
          <w:b/>
          <w:sz w:val="22"/>
          <w:szCs w:val="22"/>
          <w:lang w:val="es-ES"/>
        </w:rPr>
      </w:pPr>
    </w:p>
    <w:p w14:paraId="76246E21" w14:textId="77777777" w:rsidR="00B17DD2" w:rsidRPr="00775AE5" w:rsidRDefault="00B17DD2" w:rsidP="00390DF2">
      <w:pPr>
        <w:spacing w:line="276" w:lineRule="auto"/>
        <w:rPr>
          <w:rFonts w:ascii="Arial" w:hAnsi="Arial" w:cs="Arial"/>
          <w:b/>
          <w:sz w:val="22"/>
          <w:szCs w:val="22"/>
          <w:lang w:val="es-ES"/>
        </w:rPr>
      </w:pPr>
    </w:p>
    <w:p w14:paraId="5391FA57" w14:textId="77777777" w:rsidR="00B17DD2" w:rsidRPr="00775AE5" w:rsidRDefault="00B17DD2" w:rsidP="00390DF2">
      <w:pPr>
        <w:spacing w:line="276" w:lineRule="auto"/>
        <w:rPr>
          <w:rFonts w:ascii="Arial" w:hAnsi="Arial" w:cs="Arial"/>
          <w:b/>
          <w:sz w:val="22"/>
          <w:szCs w:val="22"/>
          <w:lang w:val="es-ES"/>
        </w:rPr>
      </w:pPr>
    </w:p>
    <w:p w14:paraId="54BC7123" w14:textId="77777777" w:rsidR="00CC2C1D" w:rsidRPr="00775AE5" w:rsidRDefault="00CC2C1D" w:rsidP="00390DF2">
      <w:pPr>
        <w:spacing w:line="276" w:lineRule="auto"/>
        <w:rPr>
          <w:rFonts w:ascii="Arial" w:hAnsi="Arial" w:cs="Arial"/>
          <w:b/>
          <w:sz w:val="22"/>
          <w:szCs w:val="22"/>
          <w:lang w:val="es-ES"/>
        </w:rPr>
      </w:pPr>
      <w:r w:rsidRPr="00775AE5">
        <w:rPr>
          <w:rFonts w:ascii="Arial" w:hAnsi="Arial" w:cs="Arial"/>
          <w:b/>
          <w:sz w:val="22"/>
          <w:szCs w:val="22"/>
          <w:lang w:val="es-ES"/>
        </w:rPr>
        <w:t>Revisión editorial</w:t>
      </w:r>
    </w:p>
    <w:p w14:paraId="5C4D2E2B" w14:textId="77777777" w:rsidR="00CC2C1D" w:rsidRPr="00775AE5" w:rsidRDefault="00A96F58" w:rsidP="00390DF2">
      <w:pPr>
        <w:spacing w:line="276" w:lineRule="auto"/>
        <w:rPr>
          <w:rFonts w:ascii="Arial" w:hAnsi="Arial" w:cs="Arial"/>
          <w:b/>
          <w:sz w:val="22"/>
          <w:szCs w:val="22"/>
          <w:lang w:val="es-ES"/>
        </w:rPr>
      </w:pPr>
      <w:r w:rsidRPr="00775AE5">
        <w:rPr>
          <w:rFonts w:ascii="Arial" w:hAnsi="Arial" w:cs="Arial"/>
          <w:b/>
          <w:sz w:val="22"/>
          <w:szCs w:val="22"/>
          <w:lang w:val="es-ES"/>
        </w:rPr>
        <w:t>Dirección n</w:t>
      </w:r>
      <w:r w:rsidR="00CC2C1D" w:rsidRPr="00775AE5">
        <w:rPr>
          <w:rFonts w:ascii="Arial" w:hAnsi="Arial" w:cs="Arial"/>
          <w:b/>
          <w:sz w:val="22"/>
          <w:szCs w:val="22"/>
          <w:lang w:val="es-ES"/>
        </w:rPr>
        <w:t>acional de Administración del Conocimiento</w:t>
      </w:r>
    </w:p>
    <w:p w14:paraId="17F11B63" w14:textId="77777777" w:rsidR="0094224A" w:rsidRPr="00775AE5" w:rsidRDefault="0094224A" w:rsidP="00390DF2">
      <w:pPr>
        <w:spacing w:line="276" w:lineRule="auto"/>
        <w:rPr>
          <w:rFonts w:ascii="Arial" w:hAnsi="Arial" w:cs="Arial"/>
          <w:sz w:val="22"/>
          <w:szCs w:val="22"/>
        </w:rPr>
      </w:pPr>
      <w:r w:rsidRPr="00775AE5">
        <w:rPr>
          <w:rFonts w:ascii="Arial" w:hAnsi="Arial" w:cs="Arial"/>
          <w:sz w:val="22"/>
          <w:szCs w:val="22"/>
        </w:rPr>
        <w:t xml:space="preserve">Av. 12 de Octubre 16-114 y Pasaje Nicolás Jiménez </w:t>
      </w:r>
    </w:p>
    <w:p w14:paraId="17B470CC" w14:textId="77777777" w:rsidR="00CC2C1D" w:rsidRPr="00775AE5" w:rsidRDefault="00CC2C1D" w:rsidP="00390DF2">
      <w:pPr>
        <w:spacing w:line="276" w:lineRule="auto"/>
        <w:rPr>
          <w:rFonts w:ascii="Arial" w:hAnsi="Arial" w:cs="Arial"/>
          <w:sz w:val="22"/>
          <w:szCs w:val="22"/>
          <w:lang w:val="es-ES"/>
        </w:rPr>
      </w:pPr>
      <w:r w:rsidRPr="00775AE5">
        <w:rPr>
          <w:rFonts w:ascii="Arial" w:hAnsi="Arial" w:cs="Arial"/>
          <w:sz w:val="22"/>
          <w:szCs w:val="22"/>
          <w:lang w:val="es-ES"/>
        </w:rPr>
        <w:t>Quito, Ecuador.</w:t>
      </w:r>
    </w:p>
    <w:p w14:paraId="0057EEB2" w14:textId="11D94D07" w:rsidR="00CC2C1D" w:rsidRPr="00775AE5" w:rsidRDefault="00B93283" w:rsidP="00390DF2">
      <w:pPr>
        <w:spacing w:line="276" w:lineRule="auto"/>
        <w:rPr>
          <w:rFonts w:ascii="Arial" w:hAnsi="Arial" w:cs="Arial"/>
          <w:sz w:val="22"/>
          <w:szCs w:val="22"/>
          <w:lang w:val="es-ES"/>
        </w:rPr>
      </w:pPr>
      <w:r w:rsidRPr="00775AE5">
        <w:rPr>
          <w:rFonts w:ascii="Arial" w:hAnsi="Arial" w:cs="Arial"/>
          <w:sz w:val="22"/>
          <w:szCs w:val="22"/>
          <w:lang w:val="es-ES"/>
        </w:rPr>
        <w:t>Telf.</w:t>
      </w:r>
      <w:r w:rsidR="00CC2C1D" w:rsidRPr="00775AE5">
        <w:rPr>
          <w:rFonts w:ascii="Arial" w:hAnsi="Arial" w:cs="Arial"/>
          <w:sz w:val="22"/>
          <w:szCs w:val="22"/>
          <w:lang w:val="es-ES"/>
        </w:rPr>
        <w:t xml:space="preserve">: +593 2 330 1112 </w:t>
      </w:r>
    </w:p>
    <w:p w14:paraId="486CD910" w14:textId="77777777" w:rsidR="00CC2C1D" w:rsidRPr="00775AE5" w:rsidRDefault="008A75FD" w:rsidP="00390DF2">
      <w:pPr>
        <w:spacing w:line="276" w:lineRule="auto"/>
        <w:rPr>
          <w:rFonts w:ascii="Arial" w:hAnsi="Arial" w:cs="Arial"/>
          <w:sz w:val="22"/>
          <w:szCs w:val="22"/>
          <w:lang w:val="es-ES"/>
        </w:rPr>
      </w:pPr>
      <w:hyperlink r:id="rId11" w:history="1">
        <w:r w:rsidR="00CC2C1D" w:rsidRPr="00775AE5">
          <w:rPr>
            <w:rStyle w:val="Hyperlink"/>
            <w:rFonts w:ascii="Arial" w:hAnsi="Arial" w:cs="Arial"/>
            <w:sz w:val="22"/>
            <w:szCs w:val="22"/>
            <w:lang w:val="es-ES"/>
          </w:rPr>
          <w:t>www.dpe.gob.ec</w:t>
        </w:r>
      </w:hyperlink>
    </w:p>
    <w:p w14:paraId="12D00FB6" w14:textId="77777777" w:rsidR="00997B8E" w:rsidRPr="00775AE5" w:rsidRDefault="00997B8E" w:rsidP="00390DF2">
      <w:pPr>
        <w:spacing w:line="276" w:lineRule="auto"/>
        <w:rPr>
          <w:rFonts w:ascii="Arial" w:hAnsi="Arial" w:cs="Arial"/>
          <w:sz w:val="22"/>
          <w:szCs w:val="22"/>
          <w:lang w:val="es-ES"/>
        </w:rPr>
      </w:pPr>
    </w:p>
    <w:p w14:paraId="7A0DA961" w14:textId="77777777" w:rsidR="00A86093" w:rsidRPr="00775AE5" w:rsidRDefault="001A2F70" w:rsidP="00390DF2">
      <w:pPr>
        <w:spacing w:line="276" w:lineRule="auto"/>
        <w:jc w:val="center"/>
        <w:rPr>
          <w:rFonts w:ascii="Arial" w:hAnsi="Arial" w:cs="Arial"/>
          <w:b/>
          <w:sz w:val="22"/>
          <w:szCs w:val="22"/>
          <w:lang w:val="es-ES"/>
        </w:rPr>
      </w:pPr>
      <w:r w:rsidRPr="00775AE5">
        <w:rPr>
          <w:rFonts w:ascii="Arial" w:hAnsi="Arial" w:cs="Arial"/>
          <w:b/>
          <w:sz w:val="22"/>
          <w:szCs w:val="22"/>
          <w:lang w:val="es-ES"/>
        </w:rPr>
        <w:lastRenderedPageBreak/>
        <w:t>Siglas y abreviaturas</w:t>
      </w:r>
    </w:p>
    <w:p w14:paraId="08A8FCC5" w14:textId="77777777" w:rsidR="00415B55" w:rsidRPr="00775AE5" w:rsidRDefault="00415B55" w:rsidP="00390DF2">
      <w:pPr>
        <w:spacing w:line="276" w:lineRule="auto"/>
        <w:rPr>
          <w:rFonts w:ascii="Arial" w:hAnsi="Arial" w:cs="Arial"/>
          <w:sz w:val="22"/>
          <w:szCs w:val="2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118"/>
      </w:tblGrid>
      <w:tr w:rsidR="00BB2CA5" w:rsidRPr="00775AE5" w14:paraId="1845FB23" w14:textId="77777777" w:rsidTr="00727FCE">
        <w:tc>
          <w:tcPr>
            <w:tcW w:w="1809" w:type="dxa"/>
            <w:shd w:val="clear" w:color="auto" w:fill="auto"/>
          </w:tcPr>
          <w:p w14:paraId="55F5BE73"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ASP</w:t>
            </w:r>
          </w:p>
        </w:tc>
        <w:tc>
          <w:tcPr>
            <w:tcW w:w="7118" w:type="dxa"/>
            <w:shd w:val="clear" w:color="auto" w:fill="auto"/>
          </w:tcPr>
          <w:p w14:paraId="4F98140C"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Agente de Seguridad Penitenciaria</w:t>
            </w:r>
          </w:p>
        </w:tc>
      </w:tr>
      <w:tr w:rsidR="00BB2CA5" w:rsidRPr="00775AE5" w14:paraId="43EA746C" w14:textId="77777777" w:rsidTr="00727FCE">
        <w:tc>
          <w:tcPr>
            <w:tcW w:w="1809" w:type="dxa"/>
            <w:shd w:val="clear" w:color="auto" w:fill="auto"/>
          </w:tcPr>
          <w:p w14:paraId="4FC01AF9"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CAI</w:t>
            </w:r>
          </w:p>
        </w:tc>
        <w:tc>
          <w:tcPr>
            <w:tcW w:w="7118" w:type="dxa"/>
            <w:shd w:val="clear" w:color="auto" w:fill="auto"/>
          </w:tcPr>
          <w:p w14:paraId="17D79136"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Centro de Adolescentes Infractores</w:t>
            </w:r>
          </w:p>
        </w:tc>
      </w:tr>
      <w:tr w:rsidR="00BB2CA5" w:rsidRPr="00775AE5" w14:paraId="51C0FA22" w14:textId="77777777" w:rsidTr="00727FCE">
        <w:tc>
          <w:tcPr>
            <w:tcW w:w="1809" w:type="dxa"/>
            <w:shd w:val="clear" w:color="auto" w:fill="auto"/>
          </w:tcPr>
          <w:p w14:paraId="148128BB"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CAT</w:t>
            </w:r>
          </w:p>
        </w:tc>
        <w:tc>
          <w:tcPr>
            <w:tcW w:w="7118" w:type="dxa"/>
            <w:shd w:val="clear" w:color="auto" w:fill="auto"/>
          </w:tcPr>
          <w:p w14:paraId="3A044B13"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Comité contra la Tortura (siglas en inglés)</w:t>
            </w:r>
          </w:p>
        </w:tc>
      </w:tr>
      <w:tr w:rsidR="00BB2CA5" w:rsidRPr="00775AE5" w14:paraId="44CB7B19" w14:textId="77777777" w:rsidTr="00727FCE">
        <w:tc>
          <w:tcPr>
            <w:tcW w:w="1809" w:type="dxa"/>
            <w:shd w:val="clear" w:color="auto" w:fill="auto"/>
          </w:tcPr>
          <w:p w14:paraId="7348C935"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CDP</w:t>
            </w:r>
          </w:p>
        </w:tc>
        <w:tc>
          <w:tcPr>
            <w:tcW w:w="7118" w:type="dxa"/>
            <w:shd w:val="clear" w:color="auto" w:fill="auto"/>
          </w:tcPr>
          <w:p w14:paraId="4A5BF4CF"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Centro de Detención Provisional</w:t>
            </w:r>
          </w:p>
        </w:tc>
      </w:tr>
      <w:tr w:rsidR="00BB2CA5" w:rsidRPr="00775AE5" w14:paraId="482B654D" w14:textId="77777777" w:rsidTr="00727FCE">
        <w:tc>
          <w:tcPr>
            <w:tcW w:w="1809" w:type="dxa"/>
            <w:shd w:val="clear" w:color="auto" w:fill="auto"/>
          </w:tcPr>
          <w:p w14:paraId="4D3E3603"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hAnsi="Arial" w:cs="Arial"/>
                <w:bCs/>
                <w:sz w:val="22"/>
                <w:szCs w:val="22"/>
                <w:lang w:val="es-ES"/>
              </w:rPr>
              <w:t>CMW</w:t>
            </w:r>
          </w:p>
        </w:tc>
        <w:tc>
          <w:tcPr>
            <w:tcW w:w="7118" w:type="dxa"/>
            <w:shd w:val="clear" w:color="auto" w:fill="auto"/>
          </w:tcPr>
          <w:p w14:paraId="66AAF950"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hAnsi="Arial" w:cs="Arial"/>
                <w:bCs/>
                <w:sz w:val="22"/>
                <w:szCs w:val="22"/>
                <w:lang w:val="es-ES"/>
              </w:rPr>
              <w:t>Comité de Protección de los Derechos de Todos los Trabajadores Migratorios y de sus Familias</w:t>
            </w:r>
          </w:p>
        </w:tc>
      </w:tr>
      <w:tr w:rsidR="00BB2CA5" w:rsidRPr="00775AE5" w14:paraId="53C563D9" w14:textId="77777777" w:rsidTr="00727FCE">
        <w:tc>
          <w:tcPr>
            <w:tcW w:w="1809" w:type="dxa"/>
            <w:shd w:val="clear" w:color="auto" w:fill="auto"/>
          </w:tcPr>
          <w:p w14:paraId="43DA22C0"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 xml:space="preserve">COIP </w:t>
            </w:r>
            <w:r w:rsidRPr="00775AE5">
              <w:rPr>
                <w:rFonts w:ascii="Arial" w:eastAsia="Calibri" w:hAnsi="Arial" w:cs="Arial"/>
                <w:bCs/>
                <w:sz w:val="22"/>
                <w:szCs w:val="22"/>
                <w:lang w:val="es-ES"/>
              </w:rPr>
              <w:tab/>
            </w:r>
          </w:p>
        </w:tc>
        <w:tc>
          <w:tcPr>
            <w:tcW w:w="7118" w:type="dxa"/>
            <w:shd w:val="clear" w:color="auto" w:fill="auto"/>
          </w:tcPr>
          <w:p w14:paraId="2273E92F"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Código Orgánico Integral Penal</w:t>
            </w:r>
          </w:p>
        </w:tc>
      </w:tr>
      <w:tr w:rsidR="00BB2CA5" w:rsidRPr="00775AE5" w14:paraId="6536962A" w14:textId="77777777" w:rsidTr="00727FCE">
        <w:tc>
          <w:tcPr>
            <w:tcW w:w="1809" w:type="dxa"/>
            <w:shd w:val="clear" w:color="auto" w:fill="auto"/>
          </w:tcPr>
          <w:p w14:paraId="56946960"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hAnsi="Arial" w:cs="Arial"/>
                <w:bCs/>
                <w:sz w:val="22"/>
                <w:szCs w:val="22"/>
                <w:lang w:val="es-ES"/>
              </w:rPr>
              <w:t>COOTAD</w:t>
            </w:r>
          </w:p>
        </w:tc>
        <w:tc>
          <w:tcPr>
            <w:tcW w:w="7118" w:type="dxa"/>
            <w:shd w:val="clear" w:color="auto" w:fill="auto"/>
          </w:tcPr>
          <w:p w14:paraId="169B7725"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hAnsi="Arial" w:cs="Arial"/>
                <w:bCs/>
                <w:sz w:val="22"/>
                <w:szCs w:val="22"/>
                <w:lang w:val="es-ES"/>
              </w:rPr>
              <w:t>Código Orgánico de Organización Territorial, Autonomía y Descentralización</w:t>
            </w:r>
          </w:p>
        </w:tc>
      </w:tr>
      <w:tr w:rsidR="00BB2CA5" w:rsidRPr="00775AE5" w14:paraId="3B9051C9" w14:textId="77777777" w:rsidTr="00727FCE">
        <w:tc>
          <w:tcPr>
            <w:tcW w:w="1809" w:type="dxa"/>
            <w:shd w:val="clear" w:color="auto" w:fill="auto"/>
          </w:tcPr>
          <w:p w14:paraId="7A2BAD49"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CPPL</w:t>
            </w:r>
          </w:p>
        </w:tc>
        <w:tc>
          <w:tcPr>
            <w:tcW w:w="7118" w:type="dxa"/>
            <w:shd w:val="clear" w:color="auto" w:fill="auto"/>
          </w:tcPr>
          <w:p w14:paraId="78A3B62A"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Centro de Privación Provisional de Libertad</w:t>
            </w:r>
          </w:p>
        </w:tc>
      </w:tr>
      <w:tr w:rsidR="00BB2CA5" w:rsidRPr="00775AE5" w14:paraId="22B8E4B9" w14:textId="77777777" w:rsidTr="00727FCE">
        <w:tc>
          <w:tcPr>
            <w:tcW w:w="1809" w:type="dxa"/>
            <w:shd w:val="clear" w:color="auto" w:fill="auto"/>
          </w:tcPr>
          <w:p w14:paraId="2A9E4E7C"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hAnsi="Arial" w:cs="Arial"/>
                <w:bCs/>
                <w:sz w:val="22"/>
                <w:szCs w:val="22"/>
                <w:lang w:val="es-ES"/>
              </w:rPr>
              <w:t>CRC</w:t>
            </w:r>
          </w:p>
        </w:tc>
        <w:tc>
          <w:tcPr>
            <w:tcW w:w="7118" w:type="dxa"/>
            <w:shd w:val="clear" w:color="auto" w:fill="auto"/>
          </w:tcPr>
          <w:p w14:paraId="1635A2F2"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hAnsi="Arial" w:cs="Arial"/>
                <w:bCs/>
                <w:sz w:val="22"/>
                <w:szCs w:val="22"/>
                <w:lang w:val="es-ES"/>
              </w:rPr>
              <w:t>Comité de los Derechos del Niño</w:t>
            </w:r>
          </w:p>
        </w:tc>
      </w:tr>
      <w:tr w:rsidR="00BB2CA5" w:rsidRPr="00775AE5" w14:paraId="7FB446DD" w14:textId="77777777" w:rsidTr="00727FCE">
        <w:tc>
          <w:tcPr>
            <w:tcW w:w="1809" w:type="dxa"/>
            <w:shd w:val="clear" w:color="auto" w:fill="auto"/>
          </w:tcPr>
          <w:p w14:paraId="2A2B59A3"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CRS</w:t>
            </w:r>
          </w:p>
        </w:tc>
        <w:tc>
          <w:tcPr>
            <w:tcW w:w="7118" w:type="dxa"/>
            <w:shd w:val="clear" w:color="auto" w:fill="auto"/>
          </w:tcPr>
          <w:p w14:paraId="5C1A802E"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Centro de Rehabilitación Social</w:t>
            </w:r>
          </w:p>
        </w:tc>
      </w:tr>
      <w:tr w:rsidR="00BB2CA5" w:rsidRPr="00775AE5" w14:paraId="3DE142BB" w14:textId="77777777" w:rsidTr="00727FCE">
        <w:tc>
          <w:tcPr>
            <w:tcW w:w="1809" w:type="dxa"/>
            <w:shd w:val="clear" w:color="auto" w:fill="auto"/>
          </w:tcPr>
          <w:p w14:paraId="420F8A8A"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CRSR</w:t>
            </w:r>
          </w:p>
        </w:tc>
        <w:tc>
          <w:tcPr>
            <w:tcW w:w="7118" w:type="dxa"/>
            <w:shd w:val="clear" w:color="auto" w:fill="auto"/>
          </w:tcPr>
          <w:p w14:paraId="6942AC84"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 xml:space="preserve">Centro de Rehabilitación Social Regional </w:t>
            </w:r>
          </w:p>
        </w:tc>
      </w:tr>
      <w:tr w:rsidR="00BB2CA5" w:rsidRPr="00775AE5" w14:paraId="5720DC87" w14:textId="77777777" w:rsidTr="00727FCE">
        <w:tc>
          <w:tcPr>
            <w:tcW w:w="1809" w:type="dxa"/>
            <w:shd w:val="clear" w:color="auto" w:fill="auto"/>
          </w:tcPr>
          <w:p w14:paraId="05C9E6AA"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DPE</w:t>
            </w:r>
          </w:p>
        </w:tc>
        <w:tc>
          <w:tcPr>
            <w:tcW w:w="7118" w:type="dxa"/>
            <w:shd w:val="clear" w:color="auto" w:fill="auto"/>
          </w:tcPr>
          <w:p w14:paraId="2DA2BC5C"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Defensoría del Pueblo del Ecuador</w:t>
            </w:r>
          </w:p>
        </w:tc>
      </w:tr>
      <w:tr w:rsidR="00BB2CA5" w:rsidRPr="00775AE5" w14:paraId="6470ED37" w14:textId="77777777" w:rsidTr="00727FCE">
        <w:tc>
          <w:tcPr>
            <w:tcW w:w="1809" w:type="dxa"/>
            <w:shd w:val="clear" w:color="auto" w:fill="auto"/>
          </w:tcPr>
          <w:p w14:paraId="22B90F58"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GIR</w:t>
            </w:r>
          </w:p>
        </w:tc>
        <w:tc>
          <w:tcPr>
            <w:tcW w:w="7118" w:type="dxa"/>
            <w:shd w:val="clear" w:color="auto" w:fill="auto"/>
          </w:tcPr>
          <w:p w14:paraId="308E76D1"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Grupo de Intervención y Rescate</w:t>
            </w:r>
          </w:p>
        </w:tc>
      </w:tr>
      <w:tr w:rsidR="00BB2CA5" w:rsidRPr="00775AE5" w14:paraId="6FFC2F2C" w14:textId="77777777" w:rsidTr="00727FCE">
        <w:tc>
          <w:tcPr>
            <w:tcW w:w="1809" w:type="dxa"/>
            <w:shd w:val="clear" w:color="auto" w:fill="auto"/>
          </w:tcPr>
          <w:p w14:paraId="5B494726"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GOE</w:t>
            </w:r>
          </w:p>
        </w:tc>
        <w:tc>
          <w:tcPr>
            <w:tcW w:w="7118" w:type="dxa"/>
            <w:shd w:val="clear" w:color="auto" w:fill="auto"/>
          </w:tcPr>
          <w:p w14:paraId="253B536C"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Grupo de Operaciones Especiales</w:t>
            </w:r>
          </w:p>
        </w:tc>
      </w:tr>
      <w:tr w:rsidR="00BB2CA5" w:rsidRPr="00775AE5" w14:paraId="67C40147" w14:textId="77777777" w:rsidTr="00727FCE">
        <w:tc>
          <w:tcPr>
            <w:tcW w:w="1809" w:type="dxa"/>
            <w:shd w:val="clear" w:color="auto" w:fill="auto"/>
          </w:tcPr>
          <w:p w14:paraId="38AA9C20" w14:textId="77777777" w:rsidR="00BB2CA5" w:rsidRPr="00775AE5" w:rsidRDefault="00BB2CA5" w:rsidP="00390DF2">
            <w:pPr>
              <w:spacing w:line="276" w:lineRule="auto"/>
              <w:rPr>
                <w:rFonts w:ascii="Arial" w:hAnsi="Arial" w:cs="Arial"/>
                <w:bCs/>
                <w:sz w:val="22"/>
                <w:szCs w:val="22"/>
                <w:lang w:val="es-ES"/>
              </w:rPr>
            </w:pPr>
            <w:r w:rsidRPr="00775AE5">
              <w:rPr>
                <w:rFonts w:ascii="Arial" w:hAnsi="Arial" w:cs="Arial"/>
                <w:bCs/>
                <w:sz w:val="22"/>
                <w:szCs w:val="22"/>
                <w:lang w:val="es-ES"/>
              </w:rPr>
              <w:t>LOIPEVC</w:t>
            </w:r>
          </w:p>
        </w:tc>
        <w:tc>
          <w:tcPr>
            <w:tcW w:w="7118" w:type="dxa"/>
            <w:shd w:val="clear" w:color="auto" w:fill="auto"/>
          </w:tcPr>
          <w:p w14:paraId="04345C42" w14:textId="77777777" w:rsidR="00BB2CA5" w:rsidRPr="00775AE5" w:rsidRDefault="00BB2CA5" w:rsidP="00390DF2">
            <w:pPr>
              <w:spacing w:line="276" w:lineRule="auto"/>
              <w:rPr>
                <w:rFonts w:ascii="Arial" w:hAnsi="Arial" w:cs="Arial"/>
                <w:sz w:val="22"/>
                <w:szCs w:val="22"/>
                <w:lang w:eastAsia="en-US"/>
              </w:rPr>
            </w:pPr>
            <w:bookmarkStart w:id="0" w:name="_Toc50130258"/>
            <w:r w:rsidRPr="00775AE5">
              <w:rPr>
                <w:rFonts w:ascii="Arial" w:eastAsia="Calibri" w:hAnsi="Arial" w:cs="Arial"/>
                <w:bCs/>
                <w:sz w:val="22"/>
                <w:szCs w:val="22"/>
                <w:lang w:val="es-ES"/>
              </w:rPr>
              <w:t>Ley Orgánica Integral para Prevenir y Erradicar la Violencia contra las Mujeres</w:t>
            </w:r>
            <w:bookmarkEnd w:id="0"/>
            <w:r w:rsidRPr="00775AE5">
              <w:rPr>
                <w:rFonts w:ascii="Arial" w:eastAsia="Calibri" w:hAnsi="Arial" w:cs="Arial"/>
                <w:sz w:val="22"/>
                <w:szCs w:val="22"/>
                <w:lang w:eastAsia="en-US"/>
              </w:rPr>
              <w:t xml:space="preserve"> </w:t>
            </w:r>
          </w:p>
        </w:tc>
      </w:tr>
      <w:tr w:rsidR="00BB2CA5" w:rsidRPr="00775AE5" w14:paraId="68AAD6FC" w14:textId="77777777" w:rsidTr="00727FCE">
        <w:tc>
          <w:tcPr>
            <w:tcW w:w="1809" w:type="dxa"/>
            <w:shd w:val="clear" w:color="auto" w:fill="auto"/>
          </w:tcPr>
          <w:p w14:paraId="6571EE90"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hAnsi="Arial" w:cs="Arial"/>
                <w:bCs/>
                <w:sz w:val="22"/>
                <w:szCs w:val="22"/>
                <w:lang w:val="es-ES"/>
              </w:rPr>
              <w:t>LOMH</w:t>
            </w:r>
          </w:p>
        </w:tc>
        <w:tc>
          <w:tcPr>
            <w:tcW w:w="7118" w:type="dxa"/>
            <w:shd w:val="clear" w:color="auto" w:fill="auto"/>
          </w:tcPr>
          <w:p w14:paraId="5ED9E81F"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hAnsi="Arial" w:cs="Arial"/>
                <w:bCs/>
                <w:sz w:val="22"/>
                <w:szCs w:val="22"/>
                <w:lang w:val="es-ES"/>
              </w:rPr>
              <w:t>Ley Orgánica de Movilidad Humana</w:t>
            </w:r>
          </w:p>
        </w:tc>
      </w:tr>
      <w:tr w:rsidR="00F32EEF" w:rsidRPr="00775AE5" w14:paraId="5AAFDA2B" w14:textId="77777777" w:rsidTr="00727FCE">
        <w:tc>
          <w:tcPr>
            <w:tcW w:w="1809" w:type="dxa"/>
            <w:shd w:val="clear" w:color="auto" w:fill="auto"/>
          </w:tcPr>
          <w:p w14:paraId="7D0666B2" w14:textId="77777777" w:rsidR="00F32EEF" w:rsidRPr="00775AE5" w:rsidRDefault="00F32EEF" w:rsidP="00390DF2">
            <w:pPr>
              <w:spacing w:line="276" w:lineRule="auto"/>
              <w:rPr>
                <w:rFonts w:ascii="Arial" w:hAnsi="Arial" w:cs="Arial"/>
                <w:bCs/>
                <w:sz w:val="22"/>
                <w:szCs w:val="22"/>
                <w:lang w:val="es-ES"/>
              </w:rPr>
            </w:pPr>
            <w:r w:rsidRPr="00775AE5">
              <w:rPr>
                <w:rFonts w:ascii="Arial" w:hAnsi="Arial" w:cs="Arial"/>
                <w:bCs/>
                <w:sz w:val="22"/>
                <w:szCs w:val="22"/>
                <w:lang w:val="es-ES"/>
              </w:rPr>
              <w:t>LPL</w:t>
            </w:r>
          </w:p>
        </w:tc>
        <w:tc>
          <w:tcPr>
            <w:tcW w:w="7118" w:type="dxa"/>
            <w:shd w:val="clear" w:color="auto" w:fill="auto"/>
          </w:tcPr>
          <w:p w14:paraId="799EC31B" w14:textId="77777777" w:rsidR="00F32EEF" w:rsidRPr="00775AE5" w:rsidRDefault="00F32EEF" w:rsidP="00390DF2">
            <w:pPr>
              <w:spacing w:line="276" w:lineRule="auto"/>
              <w:rPr>
                <w:rFonts w:ascii="Arial" w:hAnsi="Arial" w:cs="Arial"/>
                <w:bCs/>
                <w:sz w:val="22"/>
                <w:szCs w:val="22"/>
                <w:lang w:val="es-ES"/>
              </w:rPr>
            </w:pPr>
            <w:r w:rsidRPr="00775AE5">
              <w:rPr>
                <w:rFonts w:ascii="Arial" w:hAnsi="Arial" w:cs="Arial"/>
                <w:bCs/>
                <w:sz w:val="22"/>
                <w:szCs w:val="22"/>
                <w:lang w:val="es-ES"/>
              </w:rPr>
              <w:t>Lugar de privación de libertad</w:t>
            </w:r>
          </w:p>
        </w:tc>
      </w:tr>
      <w:tr w:rsidR="00BB2CA5" w:rsidRPr="00775AE5" w14:paraId="2D8974A0" w14:textId="77777777" w:rsidTr="00727FCE">
        <w:tc>
          <w:tcPr>
            <w:tcW w:w="1809" w:type="dxa"/>
            <w:shd w:val="clear" w:color="auto" w:fill="auto"/>
          </w:tcPr>
          <w:p w14:paraId="27518B19"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MINEDUC</w:t>
            </w:r>
          </w:p>
        </w:tc>
        <w:tc>
          <w:tcPr>
            <w:tcW w:w="7118" w:type="dxa"/>
            <w:shd w:val="clear" w:color="auto" w:fill="auto"/>
          </w:tcPr>
          <w:p w14:paraId="7E521200"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Ministerio de Educación</w:t>
            </w:r>
          </w:p>
        </w:tc>
      </w:tr>
      <w:tr w:rsidR="00BB2CA5" w:rsidRPr="00775AE5" w14:paraId="3F1DBE1C" w14:textId="77777777" w:rsidTr="00727FCE">
        <w:tc>
          <w:tcPr>
            <w:tcW w:w="1809" w:type="dxa"/>
            <w:shd w:val="clear" w:color="auto" w:fill="auto"/>
          </w:tcPr>
          <w:p w14:paraId="0D4BE3E3"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MJDHC</w:t>
            </w:r>
          </w:p>
        </w:tc>
        <w:tc>
          <w:tcPr>
            <w:tcW w:w="7118" w:type="dxa"/>
            <w:shd w:val="clear" w:color="auto" w:fill="auto"/>
          </w:tcPr>
          <w:p w14:paraId="33723310"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Ministerio de Justicia, Derechos Humanos y Cultos</w:t>
            </w:r>
          </w:p>
        </w:tc>
      </w:tr>
      <w:tr w:rsidR="00BB2CA5" w:rsidRPr="00775AE5" w14:paraId="6C9DDDD2" w14:textId="77777777" w:rsidTr="00727FCE">
        <w:tc>
          <w:tcPr>
            <w:tcW w:w="1809" w:type="dxa"/>
            <w:shd w:val="clear" w:color="auto" w:fill="auto"/>
          </w:tcPr>
          <w:p w14:paraId="73131515"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MNPT</w:t>
            </w:r>
            <w:r w:rsidRPr="00775AE5">
              <w:rPr>
                <w:rFonts w:ascii="Arial" w:eastAsia="Calibri" w:hAnsi="Arial" w:cs="Arial"/>
                <w:bCs/>
                <w:sz w:val="22"/>
                <w:szCs w:val="22"/>
                <w:lang w:val="es-ES"/>
              </w:rPr>
              <w:softHyphen/>
              <w:t xml:space="preserve">  </w:t>
            </w:r>
          </w:p>
        </w:tc>
        <w:tc>
          <w:tcPr>
            <w:tcW w:w="7118" w:type="dxa"/>
            <w:shd w:val="clear" w:color="auto" w:fill="auto"/>
          </w:tcPr>
          <w:p w14:paraId="3E1CA976"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Mecanismo Nacional de Prevención de la Tortura</w:t>
            </w:r>
          </w:p>
        </w:tc>
      </w:tr>
      <w:tr w:rsidR="00BB2CA5" w:rsidRPr="00775AE5" w14:paraId="03FA9CF8" w14:textId="77777777" w:rsidTr="00727FCE">
        <w:tc>
          <w:tcPr>
            <w:tcW w:w="1809" w:type="dxa"/>
            <w:shd w:val="clear" w:color="auto" w:fill="auto"/>
          </w:tcPr>
          <w:p w14:paraId="7F53A5D7"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MSP</w:t>
            </w:r>
          </w:p>
        </w:tc>
        <w:tc>
          <w:tcPr>
            <w:tcW w:w="7118" w:type="dxa"/>
            <w:shd w:val="clear" w:color="auto" w:fill="auto"/>
          </w:tcPr>
          <w:p w14:paraId="470E2051"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Ministerio de Salud Pública</w:t>
            </w:r>
          </w:p>
        </w:tc>
      </w:tr>
      <w:tr w:rsidR="00BB2CA5" w:rsidRPr="00775AE5" w14:paraId="76CA2D1D" w14:textId="77777777" w:rsidTr="00727FCE">
        <w:tc>
          <w:tcPr>
            <w:tcW w:w="1809" w:type="dxa"/>
            <w:shd w:val="clear" w:color="auto" w:fill="auto"/>
          </w:tcPr>
          <w:p w14:paraId="40648BE4"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hAnsi="Arial" w:cs="Arial"/>
                <w:bCs/>
                <w:sz w:val="22"/>
                <w:szCs w:val="22"/>
                <w:lang w:val="es-ES"/>
              </w:rPr>
              <w:t>NNA</w:t>
            </w:r>
          </w:p>
        </w:tc>
        <w:tc>
          <w:tcPr>
            <w:tcW w:w="7118" w:type="dxa"/>
            <w:shd w:val="clear" w:color="auto" w:fill="auto"/>
          </w:tcPr>
          <w:p w14:paraId="6C5793B3"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hAnsi="Arial" w:cs="Arial"/>
                <w:bCs/>
                <w:sz w:val="22"/>
                <w:szCs w:val="22"/>
                <w:lang w:val="es-ES"/>
              </w:rPr>
              <w:t>Niños, niñas y adolescentes</w:t>
            </w:r>
          </w:p>
        </w:tc>
      </w:tr>
      <w:tr w:rsidR="00BB2CA5" w:rsidRPr="00775AE5" w14:paraId="27178324" w14:textId="77777777" w:rsidTr="00727FCE">
        <w:tc>
          <w:tcPr>
            <w:tcW w:w="1809" w:type="dxa"/>
            <w:shd w:val="clear" w:color="auto" w:fill="auto"/>
          </w:tcPr>
          <w:p w14:paraId="4531B1BD"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hAnsi="Arial" w:cs="Arial"/>
                <w:bCs/>
                <w:sz w:val="22"/>
                <w:szCs w:val="22"/>
                <w:lang w:val="es-ES"/>
              </w:rPr>
              <w:t>PACTA</w:t>
            </w:r>
          </w:p>
        </w:tc>
        <w:tc>
          <w:tcPr>
            <w:tcW w:w="7118" w:type="dxa"/>
            <w:shd w:val="clear" w:color="auto" w:fill="auto"/>
          </w:tcPr>
          <w:p w14:paraId="1E7C7169"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hAnsi="Arial" w:cs="Arial"/>
                <w:bCs/>
                <w:sz w:val="22"/>
                <w:szCs w:val="22"/>
                <w:lang w:val="es-ES"/>
              </w:rPr>
              <w:t xml:space="preserve">Plan de Acción contra la Trata de Personas </w:t>
            </w:r>
          </w:p>
        </w:tc>
      </w:tr>
      <w:tr w:rsidR="00BB2CA5" w:rsidRPr="00775AE5" w14:paraId="3CFB2459" w14:textId="77777777" w:rsidTr="00727FCE">
        <w:tc>
          <w:tcPr>
            <w:tcW w:w="1809" w:type="dxa"/>
            <w:shd w:val="clear" w:color="auto" w:fill="auto"/>
          </w:tcPr>
          <w:p w14:paraId="4C0EC62F"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PPL</w:t>
            </w:r>
          </w:p>
        </w:tc>
        <w:tc>
          <w:tcPr>
            <w:tcW w:w="7118" w:type="dxa"/>
            <w:shd w:val="clear" w:color="auto" w:fill="auto"/>
          </w:tcPr>
          <w:p w14:paraId="6DD5C533"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Personas Privadas de Libertad</w:t>
            </w:r>
          </w:p>
        </w:tc>
      </w:tr>
      <w:tr w:rsidR="00BB2CA5" w:rsidRPr="00775AE5" w14:paraId="474E1B1A" w14:textId="77777777" w:rsidTr="00727FCE">
        <w:tc>
          <w:tcPr>
            <w:tcW w:w="1809" w:type="dxa"/>
            <w:shd w:val="clear" w:color="auto" w:fill="auto"/>
          </w:tcPr>
          <w:p w14:paraId="09AE36B0"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RSNRS</w:t>
            </w:r>
          </w:p>
        </w:tc>
        <w:tc>
          <w:tcPr>
            <w:tcW w:w="7118" w:type="dxa"/>
            <w:shd w:val="clear" w:color="auto" w:fill="auto"/>
          </w:tcPr>
          <w:p w14:paraId="7B74B4EE"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Reglamento del Sistema Nacional de Rehabilitación Social</w:t>
            </w:r>
          </w:p>
        </w:tc>
      </w:tr>
      <w:tr w:rsidR="00BB2CA5" w:rsidRPr="00775AE5" w14:paraId="5608C078" w14:textId="77777777" w:rsidTr="00727FCE">
        <w:tc>
          <w:tcPr>
            <w:tcW w:w="1809" w:type="dxa"/>
            <w:shd w:val="clear" w:color="auto" w:fill="auto"/>
          </w:tcPr>
          <w:p w14:paraId="1A728C0A" w14:textId="77777777" w:rsidR="00BB2CA5" w:rsidRPr="00775AE5" w:rsidRDefault="00BB2CA5" w:rsidP="003349D5">
            <w:pPr>
              <w:rPr>
                <w:rFonts w:ascii="Arial" w:hAnsi="Arial" w:cs="Arial"/>
                <w:bCs/>
                <w:sz w:val="22"/>
                <w:szCs w:val="22"/>
                <w:lang w:val="es-ES"/>
              </w:rPr>
            </w:pPr>
            <w:r w:rsidRPr="00775AE5">
              <w:rPr>
                <w:rFonts w:ascii="Arial" w:hAnsi="Arial" w:cs="Arial"/>
                <w:bCs/>
                <w:sz w:val="22"/>
                <w:szCs w:val="22"/>
                <w:lang w:val="es-ES"/>
              </w:rPr>
              <w:t>RUV</w:t>
            </w:r>
          </w:p>
        </w:tc>
        <w:tc>
          <w:tcPr>
            <w:tcW w:w="7118" w:type="dxa"/>
            <w:shd w:val="clear" w:color="auto" w:fill="auto"/>
          </w:tcPr>
          <w:p w14:paraId="37731C12" w14:textId="77777777" w:rsidR="00BB2CA5" w:rsidRPr="00775AE5" w:rsidRDefault="00BB2CA5" w:rsidP="003349D5">
            <w:pPr>
              <w:rPr>
                <w:rFonts w:ascii="Arial" w:hAnsi="Arial" w:cs="Arial"/>
                <w:sz w:val="22"/>
                <w:szCs w:val="22"/>
                <w:lang w:eastAsia="en-US"/>
              </w:rPr>
            </w:pPr>
            <w:bookmarkStart w:id="1" w:name="_Toc50130259"/>
            <w:r w:rsidRPr="00775AE5">
              <w:rPr>
                <w:rFonts w:ascii="Arial" w:eastAsia="Calibri" w:hAnsi="Arial" w:cs="Arial"/>
                <w:sz w:val="22"/>
                <w:szCs w:val="22"/>
              </w:rPr>
              <w:t>Registro Único de Violencia contra las Mujeres</w:t>
            </w:r>
            <w:bookmarkEnd w:id="1"/>
          </w:p>
        </w:tc>
      </w:tr>
      <w:tr w:rsidR="00BB2CA5" w:rsidRPr="00775AE5" w14:paraId="3C897365" w14:textId="77777777" w:rsidTr="00727FCE">
        <w:tc>
          <w:tcPr>
            <w:tcW w:w="1809" w:type="dxa"/>
            <w:shd w:val="clear" w:color="auto" w:fill="auto"/>
          </w:tcPr>
          <w:p w14:paraId="28CCA4F2"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 xml:space="preserve">SNAI: </w:t>
            </w:r>
          </w:p>
        </w:tc>
        <w:tc>
          <w:tcPr>
            <w:tcW w:w="7118" w:type="dxa"/>
            <w:shd w:val="clear" w:color="auto" w:fill="auto"/>
          </w:tcPr>
          <w:p w14:paraId="4DE09A3A"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Servicio Nacional de Atención Integral a Personas Adultas Privadas de Libertad y Adolescentes Infractores</w:t>
            </w:r>
          </w:p>
        </w:tc>
      </w:tr>
      <w:tr w:rsidR="00BB2CA5" w:rsidRPr="00775AE5" w14:paraId="2BA1EA67" w14:textId="77777777" w:rsidTr="00727FCE">
        <w:tc>
          <w:tcPr>
            <w:tcW w:w="1809" w:type="dxa"/>
            <w:shd w:val="clear" w:color="auto" w:fill="auto"/>
          </w:tcPr>
          <w:p w14:paraId="001CB8BF"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SNRS</w:t>
            </w:r>
          </w:p>
        </w:tc>
        <w:tc>
          <w:tcPr>
            <w:tcW w:w="7118" w:type="dxa"/>
            <w:shd w:val="clear" w:color="auto" w:fill="auto"/>
          </w:tcPr>
          <w:p w14:paraId="68E81CB3"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Sistema Nacional de Rehabilitación Social</w:t>
            </w:r>
          </w:p>
        </w:tc>
      </w:tr>
      <w:tr w:rsidR="00BB2CA5" w:rsidRPr="00775AE5" w14:paraId="014EA278" w14:textId="77777777" w:rsidTr="00727FCE">
        <w:tc>
          <w:tcPr>
            <w:tcW w:w="1809" w:type="dxa"/>
            <w:shd w:val="clear" w:color="auto" w:fill="auto"/>
          </w:tcPr>
          <w:p w14:paraId="7DAA3E71" w14:textId="77777777" w:rsidR="00BB2CA5" w:rsidRPr="00775AE5" w:rsidRDefault="00BB2CA5" w:rsidP="00390DF2">
            <w:pPr>
              <w:spacing w:line="276" w:lineRule="auto"/>
              <w:rPr>
                <w:rFonts w:ascii="Arial" w:hAnsi="Arial" w:cs="Arial"/>
                <w:bCs/>
                <w:sz w:val="22"/>
                <w:szCs w:val="22"/>
                <w:lang w:val="es-ES"/>
              </w:rPr>
            </w:pPr>
            <w:r w:rsidRPr="00775AE5">
              <w:rPr>
                <w:rFonts w:ascii="Arial" w:hAnsi="Arial" w:cs="Arial"/>
                <w:bCs/>
                <w:sz w:val="22"/>
                <w:szCs w:val="22"/>
                <w:lang w:val="es-ES"/>
              </w:rPr>
              <w:t>SPAVT</w:t>
            </w:r>
          </w:p>
        </w:tc>
        <w:tc>
          <w:tcPr>
            <w:tcW w:w="7118" w:type="dxa"/>
            <w:shd w:val="clear" w:color="auto" w:fill="auto"/>
          </w:tcPr>
          <w:p w14:paraId="072A6AC4" w14:textId="77777777" w:rsidR="00BB2CA5" w:rsidRPr="00775AE5" w:rsidRDefault="00BB2CA5" w:rsidP="00390DF2">
            <w:pPr>
              <w:spacing w:line="276" w:lineRule="auto"/>
              <w:rPr>
                <w:rFonts w:ascii="Arial" w:hAnsi="Arial" w:cs="Arial"/>
                <w:bCs/>
                <w:sz w:val="22"/>
                <w:szCs w:val="22"/>
                <w:lang w:val="es-ES"/>
              </w:rPr>
            </w:pPr>
            <w:r w:rsidRPr="00775AE5">
              <w:rPr>
                <w:rFonts w:ascii="Arial" w:hAnsi="Arial" w:cs="Arial"/>
                <w:bCs/>
                <w:sz w:val="22"/>
                <w:szCs w:val="22"/>
                <w:lang w:val="es-ES"/>
              </w:rPr>
              <w:t xml:space="preserve">Sistema de protección a víctimas y testigos </w:t>
            </w:r>
          </w:p>
        </w:tc>
      </w:tr>
      <w:tr w:rsidR="00BB2CA5" w:rsidRPr="00775AE5" w14:paraId="5321C3C5" w14:textId="77777777" w:rsidTr="00727FCE">
        <w:tc>
          <w:tcPr>
            <w:tcW w:w="1809" w:type="dxa"/>
            <w:shd w:val="clear" w:color="auto" w:fill="auto"/>
          </w:tcPr>
          <w:p w14:paraId="40BB9116"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SPT</w:t>
            </w:r>
          </w:p>
        </w:tc>
        <w:tc>
          <w:tcPr>
            <w:tcW w:w="7118" w:type="dxa"/>
            <w:shd w:val="clear" w:color="auto" w:fill="auto"/>
          </w:tcPr>
          <w:p w14:paraId="76B9DB5F"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Subcomité para la Prevención de la Tortura y Otros Tratos o Penas Crueles, Inhumanos o Degradantes</w:t>
            </w:r>
          </w:p>
        </w:tc>
      </w:tr>
      <w:tr w:rsidR="00BB2CA5" w:rsidRPr="00775AE5" w14:paraId="697F6292" w14:textId="77777777" w:rsidTr="00727FCE">
        <w:tc>
          <w:tcPr>
            <w:tcW w:w="1809" w:type="dxa"/>
            <w:shd w:val="clear" w:color="auto" w:fill="auto"/>
          </w:tcPr>
          <w:p w14:paraId="51604AEF"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UAT</w:t>
            </w:r>
          </w:p>
        </w:tc>
        <w:tc>
          <w:tcPr>
            <w:tcW w:w="7118" w:type="dxa"/>
            <w:shd w:val="clear" w:color="auto" w:fill="auto"/>
          </w:tcPr>
          <w:p w14:paraId="7627A204"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Unidad de Aseguramiento Transitorio</w:t>
            </w:r>
          </w:p>
        </w:tc>
      </w:tr>
      <w:tr w:rsidR="00BB2CA5" w:rsidRPr="00775AE5" w14:paraId="29CCB98B" w14:textId="77777777" w:rsidTr="00727FCE">
        <w:tc>
          <w:tcPr>
            <w:tcW w:w="1809" w:type="dxa"/>
            <w:shd w:val="clear" w:color="auto" w:fill="auto"/>
          </w:tcPr>
          <w:p w14:paraId="56F56343"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UMO</w:t>
            </w:r>
          </w:p>
        </w:tc>
        <w:tc>
          <w:tcPr>
            <w:tcW w:w="7118" w:type="dxa"/>
            <w:shd w:val="clear" w:color="auto" w:fill="auto"/>
          </w:tcPr>
          <w:p w14:paraId="1EEDF495"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Unidad de Mantenimiento del Orden</w:t>
            </w:r>
          </w:p>
        </w:tc>
      </w:tr>
      <w:tr w:rsidR="00BB2CA5" w:rsidRPr="00775AE5" w14:paraId="2770F358" w14:textId="77777777" w:rsidTr="00727FCE">
        <w:tc>
          <w:tcPr>
            <w:tcW w:w="1809" w:type="dxa"/>
            <w:shd w:val="clear" w:color="auto" w:fill="auto"/>
          </w:tcPr>
          <w:p w14:paraId="2DF6D2ED"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UPC</w:t>
            </w:r>
          </w:p>
        </w:tc>
        <w:tc>
          <w:tcPr>
            <w:tcW w:w="7118" w:type="dxa"/>
            <w:shd w:val="clear" w:color="auto" w:fill="auto"/>
          </w:tcPr>
          <w:p w14:paraId="7106A83C"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Unidad de Policía Comunitaria</w:t>
            </w:r>
          </w:p>
        </w:tc>
      </w:tr>
      <w:tr w:rsidR="00BB2CA5" w:rsidRPr="00775AE5" w14:paraId="01652AE6" w14:textId="77777777" w:rsidTr="00727FCE">
        <w:tc>
          <w:tcPr>
            <w:tcW w:w="1809" w:type="dxa"/>
            <w:shd w:val="clear" w:color="auto" w:fill="auto"/>
          </w:tcPr>
          <w:p w14:paraId="33344006"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ZAT</w:t>
            </w:r>
          </w:p>
        </w:tc>
        <w:tc>
          <w:tcPr>
            <w:tcW w:w="7118" w:type="dxa"/>
            <w:shd w:val="clear" w:color="auto" w:fill="auto"/>
          </w:tcPr>
          <w:p w14:paraId="768903D6" w14:textId="77777777" w:rsidR="00BB2CA5" w:rsidRPr="00775AE5" w:rsidRDefault="00BB2CA5" w:rsidP="00390DF2">
            <w:pPr>
              <w:spacing w:line="276" w:lineRule="auto"/>
              <w:rPr>
                <w:rFonts w:ascii="Arial" w:eastAsia="Calibri" w:hAnsi="Arial" w:cs="Arial"/>
                <w:bCs/>
                <w:sz w:val="22"/>
                <w:szCs w:val="22"/>
                <w:lang w:val="es-ES"/>
              </w:rPr>
            </w:pPr>
            <w:r w:rsidRPr="00775AE5">
              <w:rPr>
                <w:rFonts w:ascii="Arial" w:eastAsia="Calibri" w:hAnsi="Arial" w:cs="Arial"/>
                <w:bCs/>
                <w:sz w:val="22"/>
                <w:szCs w:val="22"/>
                <w:lang w:val="es-ES"/>
              </w:rPr>
              <w:t>Zona de aseguramiento transitorio</w:t>
            </w:r>
          </w:p>
        </w:tc>
      </w:tr>
    </w:tbl>
    <w:p w14:paraId="212B5A4D" w14:textId="77777777" w:rsidR="002754A0" w:rsidRPr="00775AE5" w:rsidRDefault="002754A0" w:rsidP="00390DF2">
      <w:pPr>
        <w:spacing w:line="276" w:lineRule="auto"/>
        <w:rPr>
          <w:rFonts w:ascii="Arial" w:hAnsi="Arial" w:cs="Arial"/>
          <w:sz w:val="22"/>
          <w:szCs w:val="22"/>
          <w:lang w:val="es-ES"/>
        </w:rPr>
      </w:pPr>
    </w:p>
    <w:p w14:paraId="00FA7AF8" w14:textId="77777777" w:rsidR="00BB2CA5" w:rsidRDefault="00BB2CA5" w:rsidP="00390DF2">
      <w:pPr>
        <w:spacing w:line="276" w:lineRule="auto"/>
        <w:rPr>
          <w:rFonts w:ascii="Arial" w:hAnsi="Arial" w:cs="Arial"/>
          <w:sz w:val="22"/>
          <w:szCs w:val="22"/>
          <w:lang w:val="es-ES"/>
        </w:rPr>
      </w:pPr>
    </w:p>
    <w:p w14:paraId="7C184490" w14:textId="2F8D755D" w:rsidR="00A97A96" w:rsidRPr="00DE4A3F" w:rsidRDefault="004B3C90">
      <w:pPr>
        <w:pStyle w:val="TOC1"/>
        <w:rPr>
          <w:rFonts w:asciiTheme="minorHAnsi" w:eastAsiaTheme="minorEastAsia" w:hAnsiTheme="minorHAnsi" w:cstheme="minorBidi"/>
          <w:noProof/>
          <w:kern w:val="2"/>
          <w:sz w:val="20"/>
          <w:szCs w:val="20"/>
          <w:lang w:val="es-EC" w:eastAsia="es-EC"/>
          <w14:ligatures w14:val="standardContextual"/>
        </w:rPr>
      </w:pPr>
      <w:r w:rsidRPr="00775AE5">
        <w:rPr>
          <w:rFonts w:ascii="Arial" w:hAnsi="Arial" w:cs="Arial"/>
          <w:sz w:val="22"/>
          <w:szCs w:val="22"/>
          <w:lang w:val="es-ES"/>
        </w:rPr>
        <w:fldChar w:fldCharType="begin"/>
      </w:r>
      <w:r w:rsidRPr="00775AE5">
        <w:rPr>
          <w:rFonts w:ascii="Arial" w:hAnsi="Arial" w:cs="Arial"/>
          <w:sz w:val="22"/>
          <w:szCs w:val="22"/>
          <w:lang w:val="es-ES"/>
        </w:rPr>
        <w:instrText xml:space="preserve"> TOC \o "1-3" \h \z \u </w:instrText>
      </w:r>
      <w:r w:rsidRPr="00775AE5">
        <w:rPr>
          <w:rFonts w:ascii="Arial" w:hAnsi="Arial" w:cs="Arial"/>
          <w:sz w:val="22"/>
          <w:szCs w:val="22"/>
          <w:lang w:val="es-ES"/>
        </w:rPr>
        <w:fldChar w:fldCharType="separate"/>
      </w:r>
      <w:hyperlink w:anchor="_Toc168907328" w:history="1">
        <w:r w:rsidR="00A97A96" w:rsidRPr="00DE4A3F">
          <w:rPr>
            <w:rStyle w:val="Hyperlink"/>
            <w:rFonts w:ascii="Arial" w:hAnsi="Arial" w:cs="Arial"/>
            <w:noProof/>
            <w:sz w:val="20"/>
            <w:szCs w:val="20"/>
          </w:rPr>
          <w:t>Introducción</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_Toc168907328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5</w:t>
        </w:r>
        <w:r w:rsidR="00A97A96" w:rsidRPr="00DE4A3F">
          <w:rPr>
            <w:noProof/>
            <w:webHidden/>
            <w:sz w:val="20"/>
            <w:szCs w:val="20"/>
          </w:rPr>
          <w:fldChar w:fldCharType="end"/>
        </w:r>
      </w:hyperlink>
    </w:p>
    <w:p w14:paraId="4A0B3568" w14:textId="41E705B6" w:rsidR="00A97A96" w:rsidRPr="00DE4A3F" w:rsidRDefault="008A75FD">
      <w:pPr>
        <w:pStyle w:val="TOC1"/>
        <w:rPr>
          <w:rFonts w:asciiTheme="minorHAnsi" w:eastAsiaTheme="minorEastAsia" w:hAnsiTheme="minorHAnsi" w:cstheme="minorBidi"/>
          <w:noProof/>
          <w:kern w:val="2"/>
          <w:sz w:val="20"/>
          <w:szCs w:val="20"/>
          <w:lang w:val="es-EC" w:eastAsia="es-EC"/>
          <w14:ligatures w14:val="standardContextual"/>
        </w:rPr>
      </w:pPr>
      <w:hyperlink w:anchor="_Toc168907329" w:history="1">
        <w:r w:rsidR="00A97A96" w:rsidRPr="00DE4A3F">
          <w:rPr>
            <w:rStyle w:val="Hyperlink"/>
            <w:rFonts w:ascii="Arial" w:hAnsi="Arial" w:cs="Arial"/>
            <w:noProof/>
            <w:sz w:val="20"/>
            <w:szCs w:val="20"/>
          </w:rPr>
          <w:t>I.</w:t>
        </w:r>
        <w:r w:rsidR="00A97A96" w:rsidRPr="00DE4A3F">
          <w:rPr>
            <w:rFonts w:asciiTheme="minorHAnsi" w:eastAsiaTheme="minorEastAsia" w:hAnsiTheme="minorHAnsi" w:cstheme="minorBidi"/>
            <w:noProof/>
            <w:kern w:val="2"/>
            <w:sz w:val="20"/>
            <w:szCs w:val="20"/>
            <w:lang w:val="es-EC" w:eastAsia="es-EC"/>
            <w14:ligatures w14:val="standardContextual"/>
          </w:rPr>
          <w:tab/>
        </w:r>
        <w:r w:rsidR="00A97A96" w:rsidRPr="00DE4A3F">
          <w:rPr>
            <w:rStyle w:val="Hyperlink"/>
            <w:rFonts w:ascii="Arial" w:hAnsi="Arial" w:cs="Arial"/>
            <w:noProof/>
            <w:sz w:val="20"/>
            <w:szCs w:val="20"/>
          </w:rPr>
          <w:t>Información específica sobre la aplicación de la convención contra la tortura y otros tratos o penas crueles, inhumanos o degradantes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_Toc168907329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6</w:t>
        </w:r>
        <w:r w:rsidR="00A97A96" w:rsidRPr="00DE4A3F">
          <w:rPr>
            <w:noProof/>
            <w:webHidden/>
            <w:sz w:val="20"/>
            <w:szCs w:val="20"/>
          </w:rPr>
          <w:fldChar w:fldCharType="end"/>
        </w:r>
      </w:hyperlink>
    </w:p>
    <w:p w14:paraId="2B0CC29B" w14:textId="39A2412C" w:rsidR="00A97A96" w:rsidRPr="00DE4A3F" w:rsidRDefault="008A75FD">
      <w:pPr>
        <w:pStyle w:val="TOC2"/>
        <w:rPr>
          <w:rFonts w:asciiTheme="minorHAnsi" w:eastAsiaTheme="minorEastAsia" w:hAnsiTheme="minorHAnsi" w:cstheme="minorBidi"/>
          <w:noProof/>
          <w:kern w:val="2"/>
          <w:sz w:val="20"/>
          <w:szCs w:val="20"/>
          <w:lang w:val="es-EC" w:eastAsia="es-EC"/>
          <w14:ligatures w14:val="standardContextual"/>
        </w:rPr>
      </w:pPr>
      <w:hyperlink w:anchor="_Toc168907330" w:history="1">
        <w:r w:rsidR="00A97A96" w:rsidRPr="00DE4A3F">
          <w:rPr>
            <w:rStyle w:val="Hyperlink"/>
            <w:rFonts w:ascii="Arial" w:hAnsi="Arial"/>
            <w:noProof/>
            <w:sz w:val="20"/>
            <w:szCs w:val="20"/>
          </w:rPr>
          <w:t>1. Artículos 1 y 4</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_Toc168907330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6</w:t>
        </w:r>
        <w:r w:rsidR="00A97A96" w:rsidRPr="00DE4A3F">
          <w:rPr>
            <w:noProof/>
            <w:webHidden/>
            <w:sz w:val="20"/>
            <w:szCs w:val="20"/>
          </w:rPr>
          <w:fldChar w:fldCharType="end"/>
        </w:r>
      </w:hyperlink>
    </w:p>
    <w:p w14:paraId="23927666" w14:textId="49733B11"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31" w:history="1">
        <w:r w:rsidR="00A97A96" w:rsidRPr="00DE4A3F">
          <w:rPr>
            <w:rStyle w:val="Hyperlink"/>
            <w:rFonts w:ascii="Arial" w:hAnsi="Arial" w:cs="Arial"/>
            <w:noProof/>
            <w:sz w:val="20"/>
            <w:szCs w:val="20"/>
          </w:rPr>
          <w:t>1.1 Armonización del artículo 151 del COIP con el artículo 1 de la Convención de la Tortura respecto a la definición de tortura establecido en el instrumento internacional (Párrafo 2 de la Lista de cuestiones)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_Toc168907331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6</w:t>
        </w:r>
        <w:r w:rsidR="00A97A96" w:rsidRPr="00DE4A3F">
          <w:rPr>
            <w:noProof/>
            <w:webHidden/>
            <w:sz w:val="20"/>
            <w:szCs w:val="20"/>
          </w:rPr>
          <w:fldChar w:fldCharType="end"/>
        </w:r>
      </w:hyperlink>
    </w:p>
    <w:p w14:paraId="44D4E279" w14:textId="384C85A1" w:rsidR="00A97A96" w:rsidRPr="00DE4A3F" w:rsidRDefault="008A75FD">
      <w:pPr>
        <w:pStyle w:val="TOC2"/>
        <w:rPr>
          <w:rFonts w:asciiTheme="minorHAnsi" w:eastAsiaTheme="minorEastAsia" w:hAnsiTheme="minorHAnsi" w:cstheme="minorBidi"/>
          <w:noProof/>
          <w:kern w:val="2"/>
          <w:sz w:val="20"/>
          <w:szCs w:val="20"/>
          <w:lang w:val="es-EC" w:eastAsia="es-EC"/>
          <w14:ligatures w14:val="standardContextual"/>
        </w:rPr>
      </w:pPr>
      <w:hyperlink w:anchor="_Toc168907332" w:history="1">
        <w:r w:rsidR="00A97A96" w:rsidRPr="00DE4A3F">
          <w:rPr>
            <w:rStyle w:val="Hyperlink"/>
            <w:rFonts w:ascii="Arial" w:hAnsi="Arial"/>
            <w:noProof/>
            <w:sz w:val="20"/>
            <w:szCs w:val="20"/>
          </w:rPr>
          <w:t>2. Artículo 2 (Párrafo 3 de la Lista de Cuestiones)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_Toc168907332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6</w:t>
        </w:r>
        <w:r w:rsidR="00A97A96" w:rsidRPr="00DE4A3F">
          <w:rPr>
            <w:noProof/>
            <w:webHidden/>
            <w:sz w:val="20"/>
            <w:szCs w:val="20"/>
          </w:rPr>
          <w:fldChar w:fldCharType="end"/>
        </w:r>
      </w:hyperlink>
    </w:p>
    <w:p w14:paraId="3601175F" w14:textId="7EF4A7D4"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33" w:history="1">
        <w:r w:rsidR="00A97A96" w:rsidRPr="00DE4A3F">
          <w:rPr>
            <w:rStyle w:val="Hyperlink"/>
            <w:rFonts w:ascii="Arial" w:hAnsi="Arial" w:cs="Arial"/>
            <w:noProof/>
            <w:sz w:val="20"/>
            <w:szCs w:val="20"/>
          </w:rPr>
          <w:t>3. Artículo 2 (Párrafos 7 y 8 de la Lista de Cuestiones)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_Toc168907333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9</w:t>
        </w:r>
        <w:r w:rsidR="00A97A96" w:rsidRPr="00DE4A3F">
          <w:rPr>
            <w:noProof/>
            <w:webHidden/>
            <w:sz w:val="20"/>
            <w:szCs w:val="20"/>
          </w:rPr>
          <w:fldChar w:fldCharType="end"/>
        </w:r>
      </w:hyperlink>
    </w:p>
    <w:p w14:paraId="62EA6210" w14:textId="172FD5CC"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34" w:history="1">
        <w:r w:rsidR="00A97A96" w:rsidRPr="00DE4A3F">
          <w:rPr>
            <w:rStyle w:val="Hyperlink"/>
            <w:rFonts w:ascii="Arial" w:hAnsi="Arial" w:cs="Arial"/>
            <w:noProof/>
            <w:sz w:val="20"/>
            <w:szCs w:val="20"/>
          </w:rPr>
          <w:t>3.2. Violencia contra la mujer</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_Toc168907334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19</w:t>
        </w:r>
        <w:r w:rsidR="00A97A96" w:rsidRPr="00DE4A3F">
          <w:rPr>
            <w:noProof/>
            <w:webHidden/>
            <w:sz w:val="20"/>
            <w:szCs w:val="20"/>
          </w:rPr>
          <w:fldChar w:fldCharType="end"/>
        </w:r>
      </w:hyperlink>
    </w:p>
    <w:p w14:paraId="54C0F5C0" w14:textId="787EEA5F" w:rsidR="00A97A96" w:rsidRPr="00DE4A3F" w:rsidRDefault="008A75FD">
      <w:pPr>
        <w:pStyle w:val="TOC2"/>
        <w:rPr>
          <w:rFonts w:asciiTheme="minorHAnsi" w:eastAsiaTheme="minorEastAsia" w:hAnsiTheme="minorHAnsi" w:cstheme="minorBidi"/>
          <w:noProof/>
          <w:kern w:val="2"/>
          <w:sz w:val="20"/>
          <w:szCs w:val="20"/>
          <w:lang w:val="es-EC" w:eastAsia="es-EC"/>
          <w14:ligatures w14:val="standardContextual"/>
        </w:rPr>
      </w:pPr>
      <w:hyperlink w:anchor="_Toc168907335" w:history="1">
        <w:r w:rsidR="00A97A96" w:rsidRPr="00DE4A3F">
          <w:rPr>
            <w:rStyle w:val="Hyperlink"/>
            <w:rFonts w:ascii="Arial" w:hAnsi="Arial"/>
            <w:noProof/>
            <w:sz w:val="20"/>
            <w:szCs w:val="20"/>
          </w:rPr>
          <w:t>4. Artículo 2 (Párrafo 9 de la Lista de Cuestiones)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_Toc168907335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26</w:t>
        </w:r>
        <w:r w:rsidR="00A97A96" w:rsidRPr="00DE4A3F">
          <w:rPr>
            <w:noProof/>
            <w:webHidden/>
            <w:sz w:val="20"/>
            <w:szCs w:val="20"/>
          </w:rPr>
          <w:fldChar w:fldCharType="end"/>
        </w:r>
      </w:hyperlink>
    </w:p>
    <w:p w14:paraId="09A09CD9" w14:textId="3FE91AD8"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36" w:history="1">
        <w:r w:rsidR="00A97A96" w:rsidRPr="00DE4A3F">
          <w:rPr>
            <w:rStyle w:val="Hyperlink"/>
            <w:rFonts w:ascii="Arial" w:hAnsi="Arial" w:cs="Arial"/>
            <w:noProof/>
            <w:sz w:val="20"/>
            <w:szCs w:val="20"/>
          </w:rPr>
          <w:t>4.1. Movilidad humana, medidas adoptadas para prevenir o combatir la trata de personas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_Toc168907336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26</w:t>
        </w:r>
        <w:r w:rsidR="00A97A96" w:rsidRPr="00DE4A3F">
          <w:rPr>
            <w:noProof/>
            <w:webHidden/>
            <w:sz w:val="20"/>
            <w:szCs w:val="20"/>
          </w:rPr>
          <w:fldChar w:fldCharType="end"/>
        </w:r>
      </w:hyperlink>
    </w:p>
    <w:p w14:paraId="71ADD8FE" w14:textId="2FC20E9E" w:rsidR="00A97A96" w:rsidRPr="00DE4A3F" w:rsidRDefault="008A75FD">
      <w:pPr>
        <w:pStyle w:val="TOC2"/>
        <w:rPr>
          <w:rFonts w:asciiTheme="minorHAnsi" w:eastAsiaTheme="minorEastAsia" w:hAnsiTheme="minorHAnsi" w:cstheme="minorBidi"/>
          <w:noProof/>
          <w:kern w:val="2"/>
          <w:sz w:val="20"/>
          <w:szCs w:val="20"/>
          <w:lang w:val="es-EC" w:eastAsia="es-EC"/>
          <w14:ligatures w14:val="standardContextual"/>
        </w:rPr>
      </w:pPr>
      <w:hyperlink w:anchor="_Toc168907337" w:history="1">
        <w:r w:rsidR="00A97A96" w:rsidRPr="00DE4A3F">
          <w:rPr>
            <w:rStyle w:val="Hyperlink"/>
            <w:rFonts w:ascii="Arial" w:hAnsi="Arial"/>
            <w:noProof/>
            <w:sz w:val="20"/>
            <w:szCs w:val="20"/>
          </w:rPr>
          <w:t>7. Artículo 14 (Párrafos 32, 33 de la Lista de Cuestiones)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_Toc168907337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41</w:t>
        </w:r>
        <w:r w:rsidR="00A97A96" w:rsidRPr="00DE4A3F">
          <w:rPr>
            <w:noProof/>
            <w:webHidden/>
            <w:sz w:val="20"/>
            <w:szCs w:val="20"/>
          </w:rPr>
          <w:fldChar w:fldCharType="end"/>
        </w:r>
      </w:hyperlink>
    </w:p>
    <w:p w14:paraId="356A6FE6" w14:textId="7E03074F"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38" w:history="1">
        <w:r w:rsidR="00A97A96" w:rsidRPr="00DE4A3F">
          <w:rPr>
            <w:rStyle w:val="Hyperlink"/>
            <w:rFonts w:ascii="Arial" w:hAnsi="Arial" w:cs="Arial"/>
            <w:noProof/>
            <w:sz w:val="20"/>
            <w:szCs w:val="20"/>
          </w:rPr>
          <w:t>7.1. Medidas de reparación a las víctimas de tortura o sus familiares documentadas por la Comisión de la Verdad</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_Toc168907338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41</w:t>
        </w:r>
        <w:r w:rsidR="00A97A96" w:rsidRPr="00DE4A3F">
          <w:rPr>
            <w:noProof/>
            <w:webHidden/>
            <w:sz w:val="20"/>
            <w:szCs w:val="20"/>
          </w:rPr>
          <w:fldChar w:fldCharType="end"/>
        </w:r>
      </w:hyperlink>
    </w:p>
    <w:p w14:paraId="4F53AC7C" w14:textId="38296FCB" w:rsidR="00A97A96" w:rsidRPr="00DE4A3F" w:rsidRDefault="008A75FD">
      <w:pPr>
        <w:pStyle w:val="TOC2"/>
        <w:rPr>
          <w:rFonts w:asciiTheme="minorHAnsi" w:eastAsiaTheme="minorEastAsia" w:hAnsiTheme="minorHAnsi" w:cstheme="minorBidi"/>
          <w:noProof/>
          <w:kern w:val="2"/>
          <w:sz w:val="20"/>
          <w:szCs w:val="20"/>
          <w:lang w:val="es-EC" w:eastAsia="es-EC"/>
          <w14:ligatures w14:val="standardContextual"/>
        </w:rPr>
      </w:pPr>
      <w:hyperlink w:anchor="_Toc168907339" w:history="1">
        <w:r w:rsidR="00A97A96" w:rsidRPr="00DE4A3F">
          <w:rPr>
            <w:rStyle w:val="Hyperlink"/>
            <w:rFonts w:ascii="Arial" w:hAnsi="Arial"/>
            <w:noProof/>
            <w:sz w:val="20"/>
            <w:szCs w:val="20"/>
          </w:rPr>
          <w:t>8. Artículo 16 (Párrafo 35 de la Lista de Cuestiones)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_Toc168907339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55</w:t>
        </w:r>
        <w:r w:rsidR="00A97A96" w:rsidRPr="00DE4A3F">
          <w:rPr>
            <w:noProof/>
            <w:webHidden/>
            <w:sz w:val="20"/>
            <w:szCs w:val="20"/>
          </w:rPr>
          <w:fldChar w:fldCharType="end"/>
        </w:r>
      </w:hyperlink>
    </w:p>
    <w:p w14:paraId="580CFA65" w14:textId="3BC2940C"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40" w:history="1">
        <w:r w:rsidR="00A97A96" w:rsidRPr="00DE4A3F">
          <w:rPr>
            <w:rStyle w:val="Hyperlink"/>
            <w:rFonts w:ascii="Arial" w:hAnsi="Arial" w:cs="Arial"/>
            <w:noProof/>
            <w:sz w:val="20"/>
            <w:szCs w:val="20"/>
          </w:rPr>
          <w:t>8.1. La protección a defensoras y defensores de derechos humanos y periodistas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_Toc168907340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55</w:t>
        </w:r>
        <w:r w:rsidR="00A97A96" w:rsidRPr="00DE4A3F">
          <w:rPr>
            <w:noProof/>
            <w:webHidden/>
            <w:sz w:val="20"/>
            <w:szCs w:val="20"/>
          </w:rPr>
          <w:fldChar w:fldCharType="end"/>
        </w:r>
      </w:hyperlink>
    </w:p>
    <w:p w14:paraId="04EEDD5F" w14:textId="793971E4"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41" w:history="1">
        <w:r w:rsidR="00A97A96" w:rsidRPr="00DE4A3F">
          <w:rPr>
            <w:rStyle w:val="Hyperlink"/>
            <w:rFonts w:ascii="Arial" w:hAnsi="Arial" w:cs="Arial"/>
            <w:noProof/>
            <w:sz w:val="20"/>
            <w:szCs w:val="20"/>
          </w:rPr>
          <w:t>8.2. Mujeres defensoras de la naturaleza</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_Toc168907341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57</w:t>
        </w:r>
        <w:r w:rsidR="00A97A96" w:rsidRPr="00DE4A3F">
          <w:rPr>
            <w:noProof/>
            <w:webHidden/>
            <w:sz w:val="20"/>
            <w:szCs w:val="20"/>
          </w:rPr>
          <w:fldChar w:fldCharType="end"/>
        </w:r>
      </w:hyperlink>
    </w:p>
    <w:p w14:paraId="5AAF2F78" w14:textId="0F9C11E6" w:rsidR="00A97A96" w:rsidRPr="00DE4A3F" w:rsidRDefault="008A75FD">
      <w:pPr>
        <w:pStyle w:val="TOC1"/>
        <w:rPr>
          <w:rFonts w:asciiTheme="minorHAnsi" w:eastAsiaTheme="minorEastAsia" w:hAnsiTheme="minorHAnsi" w:cstheme="minorBidi"/>
          <w:noProof/>
          <w:kern w:val="2"/>
          <w:sz w:val="20"/>
          <w:szCs w:val="20"/>
          <w:lang w:val="es-EC" w:eastAsia="es-EC"/>
          <w14:ligatures w14:val="standardContextual"/>
        </w:rPr>
      </w:pPr>
      <w:hyperlink w:anchor="_Toc168907342" w:history="1">
        <w:r w:rsidR="00A97A96" w:rsidRPr="00DE4A3F">
          <w:rPr>
            <w:rStyle w:val="Hyperlink"/>
            <w:rFonts w:ascii="Arial" w:hAnsi="Arial" w:cs="Arial"/>
            <w:b/>
            <w:bCs/>
            <w:noProof/>
            <w:sz w:val="20"/>
            <w:szCs w:val="20"/>
          </w:rPr>
          <w:t xml:space="preserve">Segunda Parte: El Mecanismo de Prevención de la Tortura y su rol en el cumplimiento de la Convención contra la Tortura y su Protocolo </w:t>
        </w:r>
        <w:r w:rsidR="00A97A96" w:rsidRPr="00DE4A3F">
          <w:rPr>
            <w:rStyle w:val="Hyperlink"/>
            <w:rFonts w:ascii="Arial" w:hAnsi="Arial" w:cs="Arial"/>
            <w:b/>
            <w:noProof/>
            <w:sz w:val="20"/>
            <w:szCs w:val="20"/>
          </w:rPr>
          <w:t>(Período 2017 - 2024)</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_Toc168907342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58</w:t>
        </w:r>
        <w:r w:rsidR="00A97A96" w:rsidRPr="00DE4A3F">
          <w:rPr>
            <w:noProof/>
            <w:webHidden/>
            <w:sz w:val="20"/>
            <w:szCs w:val="20"/>
          </w:rPr>
          <w:fldChar w:fldCharType="end"/>
        </w:r>
      </w:hyperlink>
    </w:p>
    <w:p w14:paraId="0DBD0403" w14:textId="3ACA0081"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43" w:history="1">
        <w:r w:rsidR="00A97A96" w:rsidRPr="00DE4A3F">
          <w:rPr>
            <w:rStyle w:val="Hyperlink"/>
            <w:rFonts w:ascii="Arial" w:hAnsi="Arial" w:cs="Arial"/>
            <w:noProof/>
            <w:sz w:val="20"/>
            <w:szCs w:val="20"/>
          </w:rPr>
          <w:t>1. Artículo 2 (Párrafo 4 de la Lista de Cuestiones)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_Toc168907343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58</w:t>
        </w:r>
        <w:r w:rsidR="00A97A96" w:rsidRPr="00DE4A3F">
          <w:rPr>
            <w:noProof/>
            <w:webHidden/>
            <w:sz w:val="20"/>
            <w:szCs w:val="20"/>
          </w:rPr>
          <w:fldChar w:fldCharType="end"/>
        </w:r>
      </w:hyperlink>
    </w:p>
    <w:p w14:paraId="274F8C68" w14:textId="01A559F4"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44" w:history="1">
        <w:r w:rsidR="00A97A96" w:rsidRPr="00DE4A3F">
          <w:rPr>
            <w:rStyle w:val="Hyperlink"/>
            <w:rFonts w:ascii="Arial" w:hAnsi="Arial" w:cs="Arial"/>
            <w:noProof/>
            <w:sz w:val="20"/>
            <w:szCs w:val="20"/>
          </w:rPr>
          <w:t>1.2. Artículo 10 (Párrafo 17 de la Lista de Cuestiones)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_Toc168907344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64</w:t>
        </w:r>
        <w:r w:rsidR="00A97A96" w:rsidRPr="00DE4A3F">
          <w:rPr>
            <w:noProof/>
            <w:webHidden/>
            <w:sz w:val="20"/>
            <w:szCs w:val="20"/>
          </w:rPr>
          <w:fldChar w:fldCharType="end"/>
        </w:r>
      </w:hyperlink>
    </w:p>
    <w:p w14:paraId="31CA36CB" w14:textId="49048608"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45" w:history="1">
        <w:r w:rsidR="00A97A96" w:rsidRPr="00DE4A3F">
          <w:rPr>
            <w:rStyle w:val="Hyperlink"/>
            <w:rFonts w:ascii="Arial" w:hAnsi="Arial" w:cs="Arial"/>
            <w:noProof/>
            <w:sz w:val="20"/>
            <w:szCs w:val="20"/>
          </w:rPr>
          <w:t>1.2.1 Formación y capacitación</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_Toc168907345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64</w:t>
        </w:r>
        <w:r w:rsidR="00A97A96" w:rsidRPr="00DE4A3F">
          <w:rPr>
            <w:noProof/>
            <w:webHidden/>
            <w:sz w:val="20"/>
            <w:szCs w:val="20"/>
          </w:rPr>
          <w:fldChar w:fldCharType="end"/>
        </w:r>
      </w:hyperlink>
    </w:p>
    <w:p w14:paraId="35A4C863" w14:textId="0EAD6434"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46" w:history="1">
        <w:r w:rsidR="00A97A96" w:rsidRPr="00DE4A3F">
          <w:rPr>
            <w:rStyle w:val="Hyperlink"/>
            <w:rFonts w:ascii="Arial" w:hAnsi="Arial" w:cs="Arial"/>
            <w:noProof/>
            <w:sz w:val="20"/>
            <w:szCs w:val="20"/>
          </w:rPr>
          <w:t>1.3. Artículo 11 (Párrafo 20 de la Lista de Cuestiones)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_Toc168907346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68</w:t>
        </w:r>
        <w:r w:rsidR="00A97A96" w:rsidRPr="00DE4A3F">
          <w:rPr>
            <w:noProof/>
            <w:webHidden/>
            <w:sz w:val="20"/>
            <w:szCs w:val="20"/>
          </w:rPr>
          <w:fldChar w:fldCharType="end"/>
        </w:r>
      </w:hyperlink>
    </w:p>
    <w:p w14:paraId="0DA8521D" w14:textId="0DDB076E"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47" w:history="1">
        <w:r w:rsidR="00A97A96" w:rsidRPr="00DE4A3F">
          <w:rPr>
            <w:rStyle w:val="Hyperlink"/>
            <w:rFonts w:ascii="Arial" w:hAnsi="Arial" w:cs="Arial"/>
            <w:noProof/>
            <w:sz w:val="20"/>
            <w:szCs w:val="20"/>
          </w:rPr>
          <w:t>Condiciones de reclusión</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_Toc168907347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68</w:t>
        </w:r>
        <w:r w:rsidR="00A97A96" w:rsidRPr="00DE4A3F">
          <w:rPr>
            <w:noProof/>
            <w:webHidden/>
            <w:sz w:val="20"/>
            <w:szCs w:val="20"/>
          </w:rPr>
          <w:fldChar w:fldCharType="end"/>
        </w:r>
      </w:hyperlink>
    </w:p>
    <w:p w14:paraId="0D62D557" w14:textId="623FD583"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48" w:history="1">
        <w:r w:rsidR="00A97A96" w:rsidRPr="00DE4A3F">
          <w:rPr>
            <w:rStyle w:val="Hyperlink"/>
            <w:rFonts w:ascii="Arial" w:hAnsi="Arial" w:cs="Arial"/>
            <w:noProof/>
            <w:sz w:val="20"/>
            <w:szCs w:val="20"/>
          </w:rPr>
          <w:t>1.4. Artículo 11 (Párrafo 21 de la Lista de Cuestiones)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_Toc168907348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92</w:t>
        </w:r>
        <w:r w:rsidR="00A97A96" w:rsidRPr="00DE4A3F">
          <w:rPr>
            <w:noProof/>
            <w:webHidden/>
            <w:sz w:val="20"/>
            <w:szCs w:val="20"/>
          </w:rPr>
          <w:fldChar w:fldCharType="end"/>
        </w:r>
      </w:hyperlink>
    </w:p>
    <w:p w14:paraId="239F23ED" w14:textId="5E3D91B7"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49" w:history="1">
        <w:r w:rsidR="00A97A96" w:rsidRPr="00DE4A3F">
          <w:rPr>
            <w:rStyle w:val="Hyperlink"/>
            <w:rFonts w:ascii="Arial" w:hAnsi="Arial" w:cs="Arial"/>
            <w:noProof/>
            <w:sz w:val="20"/>
            <w:szCs w:val="20"/>
          </w:rPr>
          <w:t>Condiciones de reclusión</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_Toc168907349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92</w:t>
        </w:r>
        <w:r w:rsidR="00A97A96" w:rsidRPr="00DE4A3F">
          <w:rPr>
            <w:noProof/>
            <w:webHidden/>
            <w:sz w:val="20"/>
            <w:szCs w:val="20"/>
          </w:rPr>
          <w:fldChar w:fldCharType="end"/>
        </w:r>
      </w:hyperlink>
    </w:p>
    <w:p w14:paraId="2B321337" w14:textId="5D225598" w:rsidR="00A97A96" w:rsidRPr="00DE4A3F" w:rsidRDefault="008A75FD">
      <w:pPr>
        <w:pStyle w:val="TOC2"/>
        <w:tabs>
          <w:tab w:val="left" w:pos="960"/>
        </w:tabs>
        <w:rPr>
          <w:rFonts w:asciiTheme="minorHAnsi" w:eastAsiaTheme="minorEastAsia" w:hAnsiTheme="minorHAnsi" w:cstheme="minorBidi"/>
          <w:noProof/>
          <w:kern w:val="2"/>
          <w:sz w:val="20"/>
          <w:szCs w:val="20"/>
          <w:lang w:val="es-EC" w:eastAsia="es-EC"/>
          <w14:ligatures w14:val="standardContextual"/>
        </w:rPr>
      </w:pPr>
      <w:hyperlink w:anchor="_Toc168907350" w:history="1">
        <w:r w:rsidR="00A97A96" w:rsidRPr="00DE4A3F">
          <w:rPr>
            <w:rStyle w:val="Hyperlink"/>
            <w:rFonts w:ascii="Arial" w:hAnsi="Arial"/>
            <w:noProof/>
            <w:sz w:val="20"/>
            <w:szCs w:val="20"/>
          </w:rPr>
          <w:t>A)</w:t>
        </w:r>
        <w:r w:rsidR="00A97A96" w:rsidRPr="00DE4A3F">
          <w:rPr>
            <w:rFonts w:asciiTheme="minorHAnsi" w:eastAsiaTheme="minorEastAsia" w:hAnsiTheme="minorHAnsi" w:cstheme="minorBidi"/>
            <w:noProof/>
            <w:kern w:val="2"/>
            <w:sz w:val="20"/>
            <w:szCs w:val="20"/>
            <w:lang w:val="es-EC" w:eastAsia="es-EC"/>
            <w14:ligatures w14:val="standardContextual"/>
          </w:rPr>
          <w:tab/>
        </w:r>
        <w:r w:rsidR="00A97A96" w:rsidRPr="00DE4A3F">
          <w:rPr>
            <w:rStyle w:val="Hyperlink"/>
            <w:rFonts w:ascii="Arial" w:hAnsi="Arial"/>
            <w:noProof/>
            <w:sz w:val="20"/>
            <w:szCs w:val="20"/>
          </w:rPr>
          <w:t>Seguimiento de Cumplimiento de sentencia No. 14-12 AN</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_Toc168907350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101</w:t>
        </w:r>
        <w:r w:rsidR="00A97A96" w:rsidRPr="00DE4A3F">
          <w:rPr>
            <w:noProof/>
            <w:webHidden/>
            <w:sz w:val="20"/>
            <w:szCs w:val="20"/>
          </w:rPr>
          <w:fldChar w:fldCharType="end"/>
        </w:r>
      </w:hyperlink>
    </w:p>
    <w:p w14:paraId="3B17EFD6" w14:textId="3A049035" w:rsidR="00A97A96" w:rsidRPr="00DE4A3F" w:rsidRDefault="008A75FD">
      <w:pPr>
        <w:pStyle w:val="TOC2"/>
        <w:tabs>
          <w:tab w:val="left" w:pos="960"/>
        </w:tabs>
        <w:rPr>
          <w:rFonts w:asciiTheme="minorHAnsi" w:eastAsiaTheme="minorEastAsia" w:hAnsiTheme="minorHAnsi" w:cstheme="minorBidi"/>
          <w:noProof/>
          <w:kern w:val="2"/>
          <w:sz w:val="20"/>
          <w:szCs w:val="20"/>
          <w:lang w:val="es-EC" w:eastAsia="es-EC"/>
          <w14:ligatures w14:val="standardContextual"/>
        </w:rPr>
      </w:pPr>
      <w:hyperlink w:anchor="_Toc168907351" w:history="1">
        <w:r w:rsidR="00A97A96" w:rsidRPr="00DE4A3F">
          <w:rPr>
            <w:rStyle w:val="Hyperlink"/>
            <w:rFonts w:ascii="Arial" w:hAnsi="Arial"/>
            <w:noProof/>
            <w:sz w:val="20"/>
            <w:szCs w:val="20"/>
          </w:rPr>
          <w:t>B)</w:t>
        </w:r>
        <w:r w:rsidR="00A97A96" w:rsidRPr="00DE4A3F">
          <w:rPr>
            <w:rFonts w:asciiTheme="minorHAnsi" w:eastAsiaTheme="minorEastAsia" w:hAnsiTheme="minorHAnsi" w:cstheme="minorBidi"/>
            <w:noProof/>
            <w:kern w:val="2"/>
            <w:sz w:val="20"/>
            <w:szCs w:val="20"/>
            <w:lang w:val="es-EC" w:eastAsia="es-EC"/>
            <w14:ligatures w14:val="standardContextual"/>
          </w:rPr>
          <w:tab/>
        </w:r>
        <w:r w:rsidR="00A97A96" w:rsidRPr="00DE4A3F">
          <w:rPr>
            <w:rStyle w:val="Hyperlink"/>
            <w:rFonts w:ascii="Arial" w:hAnsi="Arial"/>
            <w:noProof/>
            <w:sz w:val="20"/>
            <w:szCs w:val="20"/>
          </w:rPr>
          <w:t>Condiciones de privación de libertad de PPL por apremio</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_Toc168907351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103</w:t>
        </w:r>
        <w:r w:rsidR="00A97A96" w:rsidRPr="00DE4A3F">
          <w:rPr>
            <w:noProof/>
            <w:webHidden/>
            <w:sz w:val="20"/>
            <w:szCs w:val="20"/>
          </w:rPr>
          <w:fldChar w:fldCharType="end"/>
        </w:r>
      </w:hyperlink>
    </w:p>
    <w:p w14:paraId="2058A9D4" w14:textId="117EFA69" w:rsidR="00A97A96" w:rsidRPr="00DE4A3F" w:rsidRDefault="008A75FD">
      <w:pPr>
        <w:pStyle w:val="TOC2"/>
        <w:tabs>
          <w:tab w:val="left" w:pos="960"/>
        </w:tabs>
        <w:rPr>
          <w:rFonts w:asciiTheme="minorHAnsi" w:eastAsiaTheme="minorEastAsia" w:hAnsiTheme="minorHAnsi" w:cstheme="minorBidi"/>
          <w:noProof/>
          <w:kern w:val="2"/>
          <w:sz w:val="20"/>
          <w:szCs w:val="20"/>
          <w:lang w:val="es-EC" w:eastAsia="es-EC"/>
          <w14:ligatures w14:val="standardContextual"/>
        </w:rPr>
      </w:pPr>
      <w:hyperlink w:anchor="_Toc168907352" w:history="1">
        <w:r w:rsidR="00A97A96" w:rsidRPr="00DE4A3F">
          <w:rPr>
            <w:rStyle w:val="Hyperlink"/>
            <w:rFonts w:ascii="Arial" w:hAnsi="Arial"/>
            <w:noProof/>
            <w:sz w:val="20"/>
            <w:szCs w:val="20"/>
          </w:rPr>
          <w:t>C)</w:t>
        </w:r>
        <w:r w:rsidR="00A97A96" w:rsidRPr="00DE4A3F">
          <w:rPr>
            <w:rFonts w:asciiTheme="minorHAnsi" w:eastAsiaTheme="minorEastAsia" w:hAnsiTheme="minorHAnsi" w:cstheme="minorBidi"/>
            <w:noProof/>
            <w:kern w:val="2"/>
            <w:sz w:val="20"/>
            <w:szCs w:val="20"/>
            <w:lang w:val="es-EC" w:eastAsia="es-EC"/>
            <w14:ligatures w14:val="standardContextual"/>
          </w:rPr>
          <w:tab/>
        </w:r>
        <w:r w:rsidR="00A97A96" w:rsidRPr="00DE4A3F">
          <w:rPr>
            <w:rStyle w:val="Hyperlink"/>
            <w:rFonts w:ascii="Arial" w:hAnsi="Arial"/>
            <w:noProof/>
            <w:sz w:val="20"/>
            <w:szCs w:val="20"/>
          </w:rPr>
          <w:t>Hacinamiento CRS Ibarra</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_Toc168907352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103</w:t>
        </w:r>
        <w:r w:rsidR="00A97A96" w:rsidRPr="00DE4A3F">
          <w:rPr>
            <w:noProof/>
            <w:webHidden/>
            <w:sz w:val="20"/>
            <w:szCs w:val="20"/>
          </w:rPr>
          <w:fldChar w:fldCharType="end"/>
        </w:r>
      </w:hyperlink>
    </w:p>
    <w:p w14:paraId="0477EFA1" w14:textId="04DF871E" w:rsidR="00A97A96" w:rsidRPr="00DE4A3F" w:rsidRDefault="008A75FD">
      <w:pPr>
        <w:pStyle w:val="TOC3"/>
        <w:tabs>
          <w:tab w:val="left" w:pos="960"/>
        </w:tabs>
        <w:rPr>
          <w:rFonts w:asciiTheme="minorHAnsi" w:eastAsiaTheme="minorEastAsia" w:hAnsiTheme="minorHAnsi" w:cstheme="minorBidi"/>
          <w:noProof/>
          <w:kern w:val="2"/>
          <w:sz w:val="20"/>
          <w:szCs w:val="20"/>
          <w:lang w:val="es-EC" w:eastAsia="es-EC"/>
          <w14:ligatures w14:val="standardContextual"/>
        </w:rPr>
      </w:pPr>
      <w:hyperlink w:anchor="_Toc168907353" w:history="1">
        <w:r w:rsidR="00A97A96" w:rsidRPr="00DE4A3F">
          <w:rPr>
            <w:rStyle w:val="Hyperlink"/>
            <w:rFonts w:ascii="Arial" w:hAnsi="Arial" w:cs="Arial"/>
            <w:noProof/>
            <w:sz w:val="20"/>
            <w:szCs w:val="20"/>
          </w:rPr>
          <w:t>b.</w:t>
        </w:r>
        <w:r w:rsidR="00A97A96" w:rsidRPr="00DE4A3F">
          <w:rPr>
            <w:rFonts w:asciiTheme="minorHAnsi" w:eastAsiaTheme="minorEastAsia" w:hAnsiTheme="minorHAnsi" w:cstheme="minorBidi"/>
            <w:noProof/>
            <w:kern w:val="2"/>
            <w:sz w:val="20"/>
            <w:szCs w:val="20"/>
            <w:lang w:val="es-EC" w:eastAsia="es-EC"/>
            <w14:ligatures w14:val="standardContextual"/>
          </w:rPr>
          <w:tab/>
        </w:r>
        <w:r w:rsidR="00A97A96" w:rsidRPr="00DE4A3F">
          <w:rPr>
            <w:rStyle w:val="Hyperlink"/>
            <w:rFonts w:ascii="Arial" w:hAnsi="Arial" w:cs="Arial"/>
            <w:noProof/>
            <w:sz w:val="20"/>
            <w:szCs w:val="20"/>
          </w:rPr>
          <w:t>Artículo 11 (Párrafo 22 de la Lista de Cuestiones)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_Toc168907353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104</w:t>
        </w:r>
        <w:r w:rsidR="00A97A96" w:rsidRPr="00DE4A3F">
          <w:rPr>
            <w:noProof/>
            <w:webHidden/>
            <w:sz w:val="20"/>
            <w:szCs w:val="20"/>
          </w:rPr>
          <w:fldChar w:fldCharType="end"/>
        </w:r>
      </w:hyperlink>
    </w:p>
    <w:p w14:paraId="08309D27" w14:textId="7A214726" w:rsidR="00A97A96" w:rsidRPr="00DE4A3F" w:rsidRDefault="008A75FD">
      <w:pPr>
        <w:pStyle w:val="TOC3"/>
        <w:tabs>
          <w:tab w:val="left" w:pos="960"/>
        </w:tabs>
        <w:rPr>
          <w:rFonts w:asciiTheme="minorHAnsi" w:eastAsiaTheme="minorEastAsia" w:hAnsiTheme="minorHAnsi" w:cstheme="minorBidi"/>
          <w:noProof/>
          <w:kern w:val="2"/>
          <w:sz w:val="20"/>
          <w:szCs w:val="20"/>
          <w:lang w:val="es-EC" w:eastAsia="es-EC"/>
          <w14:ligatures w14:val="standardContextual"/>
        </w:rPr>
      </w:pPr>
      <w:hyperlink w:anchor="_Toc168907354" w:history="1">
        <w:r w:rsidR="00A97A96" w:rsidRPr="00DE4A3F">
          <w:rPr>
            <w:rStyle w:val="Hyperlink"/>
            <w:rFonts w:ascii="Symbol" w:hAnsi="Symbol" w:cs="Arial"/>
            <w:noProof/>
            <w:sz w:val="20"/>
            <w:szCs w:val="20"/>
          </w:rPr>
          <w:t></w:t>
        </w:r>
        <w:r w:rsidR="00A97A96" w:rsidRPr="00DE4A3F">
          <w:rPr>
            <w:rFonts w:asciiTheme="minorHAnsi" w:eastAsiaTheme="minorEastAsia" w:hAnsiTheme="minorHAnsi" w:cstheme="minorBidi"/>
            <w:noProof/>
            <w:kern w:val="2"/>
            <w:sz w:val="20"/>
            <w:szCs w:val="20"/>
            <w:lang w:val="es-EC" w:eastAsia="es-EC"/>
            <w14:ligatures w14:val="standardContextual"/>
          </w:rPr>
          <w:tab/>
        </w:r>
        <w:r w:rsidR="00A97A96" w:rsidRPr="00DE4A3F">
          <w:rPr>
            <w:rStyle w:val="Hyperlink"/>
            <w:rFonts w:ascii="Arial" w:hAnsi="Arial" w:cs="Arial"/>
            <w:noProof/>
            <w:sz w:val="20"/>
            <w:szCs w:val="20"/>
          </w:rPr>
          <w:t>PPL mujeres y personas de diversidades sexo-genéricas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_Toc168907354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104</w:t>
        </w:r>
        <w:r w:rsidR="00A97A96" w:rsidRPr="00DE4A3F">
          <w:rPr>
            <w:noProof/>
            <w:webHidden/>
            <w:sz w:val="20"/>
            <w:szCs w:val="20"/>
          </w:rPr>
          <w:fldChar w:fldCharType="end"/>
        </w:r>
      </w:hyperlink>
    </w:p>
    <w:p w14:paraId="4C099458" w14:textId="1F7DE9AD"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55" w:history="1">
        <w:r w:rsidR="00A97A96" w:rsidRPr="00DE4A3F">
          <w:rPr>
            <w:rStyle w:val="Hyperlink"/>
            <w:rFonts w:ascii="Arial" w:hAnsi="Arial" w:cs="Arial"/>
            <w:noProof/>
            <w:sz w:val="20"/>
            <w:szCs w:val="20"/>
          </w:rPr>
          <w:t>1.6. Artículo 11 (Párrafo 23 de la Lista de Cuestiones)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_Toc168907355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110</w:t>
        </w:r>
        <w:r w:rsidR="00A97A96" w:rsidRPr="00DE4A3F">
          <w:rPr>
            <w:noProof/>
            <w:webHidden/>
            <w:sz w:val="20"/>
            <w:szCs w:val="20"/>
          </w:rPr>
          <w:fldChar w:fldCharType="end"/>
        </w:r>
      </w:hyperlink>
    </w:p>
    <w:p w14:paraId="268CD022" w14:textId="29B29375"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56" w:history="1">
        <w:r w:rsidR="00A97A96" w:rsidRPr="00DE4A3F">
          <w:rPr>
            <w:rStyle w:val="Hyperlink"/>
            <w:rFonts w:ascii="Arial" w:hAnsi="Arial" w:cs="Arial"/>
            <w:noProof/>
            <w:sz w:val="20"/>
            <w:szCs w:val="20"/>
          </w:rPr>
          <w:t>1.7. Artículo 11 (Párrafos 24 y párrafo 25 de la Lista de Cuestiones)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_Toc168907356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112</w:t>
        </w:r>
        <w:r w:rsidR="00A97A96" w:rsidRPr="00DE4A3F">
          <w:rPr>
            <w:noProof/>
            <w:webHidden/>
            <w:sz w:val="20"/>
            <w:szCs w:val="20"/>
          </w:rPr>
          <w:fldChar w:fldCharType="end"/>
        </w:r>
      </w:hyperlink>
    </w:p>
    <w:p w14:paraId="03196BDE" w14:textId="6AC984F0"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57" w:history="1">
        <w:r w:rsidR="00A97A96" w:rsidRPr="00DE4A3F">
          <w:rPr>
            <w:rStyle w:val="Hyperlink"/>
            <w:rFonts w:ascii="Arial" w:hAnsi="Arial" w:cs="Arial"/>
            <w:noProof/>
            <w:sz w:val="20"/>
            <w:szCs w:val="20"/>
          </w:rPr>
          <w:t>1.7.1 Actos de violencia</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_Toc168907357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112</w:t>
        </w:r>
        <w:r w:rsidR="00A97A96" w:rsidRPr="00DE4A3F">
          <w:rPr>
            <w:noProof/>
            <w:webHidden/>
            <w:sz w:val="20"/>
            <w:szCs w:val="20"/>
          </w:rPr>
          <w:fldChar w:fldCharType="end"/>
        </w:r>
      </w:hyperlink>
    </w:p>
    <w:p w14:paraId="014BCA04" w14:textId="75FCDF1F"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58" w:history="1">
        <w:r w:rsidR="00A97A96" w:rsidRPr="00DE4A3F">
          <w:rPr>
            <w:rStyle w:val="Hyperlink"/>
            <w:rFonts w:ascii="Arial" w:eastAsia="Calibri" w:hAnsi="Arial" w:cs="Arial"/>
            <w:noProof/>
            <w:sz w:val="20"/>
            <w:szCs w:val="20"/>
          </w:rPr>
          <w:t xml:space="preserve">1.8. Artículo 12 y 13 (Párrafo 28 </w:t>
        </w:r>
        <w:r w:rsidR="00A97A96" w:rsidRPr="00DE4A3F">
          <w:rPr>
            <w:rStyle w:val="Hyperlink"/>
            <w:rFonts w:ascii="Arial" w:hAnsi="Arial" w:cs="Arial"/>
            <w:noProof/>
            <w:sz w:val="20"/>
            <w:szCs w:val="20"/>
            <w:lang w:val="es-ES"/>
          </w:rPr>
          <w:t>de la Lista de Cuestiones).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_Toc168907358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117</w:t>
        </w:r>
        <w:r w:rsidR="00A97A96" w:rsidRPr="00DE4A3F">
          <w:rPr>
            <w:noProof/>
            <w:webHidden/>
            <w:sz w:val="20"/>
            <w:szCs w:val="20"/>
          </w:rPr>
          <w:fldChar w:fldCharType="end"/>
        </w:r>
      </w:hyperlink>
    </w:p>
    <w:p w14:paraId="5391AEEE" w14:textId="23730886"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59" w:history="1">
        <w:r w:rsidR="00A97A96" w:rsidRPr="00DE4A3F">
          <w:rPr>
            <w:rStyle w:val="Hyperlink"/>
            <w:rFonts w:ascii="Arial" w:hAnsi="Arial" w:cs="Arial"/>
            <w:noProof/>
            <w:sz w:val="20"/>
            <w:szCs w:val="20"/>
          </w:rPr>
          <w:t>1.9. Artículo 12 y 13 (Párrafo 29 de la Lista de Cuestiones).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_Toc168907359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135</w:t>
        </w:r>
        <w:r w:rsidR="00A97A96" w:rsidRPr="00DE4A3F">
          <w:rPr>
            <w:noProof/>
            <w:webHidden/>
            <w:sz w:val="20"/>
            <w:szCs w:val="20"/>
          </w:rPr>
          <w:fldChar w:fldCharType="end"/>
        </w:r>
      </w:hyperlink>
    </w:p>
    <w:p w14:paraId="16F0C922" w14:textId="07150141"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60" w:history="1">
        <w:r w:rsidR="00A97A96" w:rsidRPr="00DE4A3F">
          <w:rPr>
            <w:rStyle w:val="Hyperlink"/>
            <w:rFonts w:ascii="Arial" w:hAnsi="Arial" w:cs="Arial"/>
            <w:noProof/>
            <w:sz w:val="20"/>
            <w:szCs w:val="20"/>
          </w:rPr>
          <w:t>1.10. Artículo 16 (Párrafo 38 de la Lista de Cuestione)</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_Toc168907360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144</w:t>
        </w:r>
        <w:r w:rsidR="00A97A96" w:rsidRPr="00DE4A3F">
          <w:rPr>
            <w:noProof/>
            <w:webHidden/>
            <w:sz w:val="20"/>
            <w:szCs w:val="20"/>
          </w:rPr>
          <w:fldChar w:fldCharType="end"/>
        </w:r>
      </w:hyperlink>
    </w:p>
    <w:p w14:paraId="2E60DA92" w14:textId="7F5B2BA8" w:rsidR="00A97A96" w:rsidRPr="00DE4A3F" w:rsidRDefault="008A75FD">
      <w:pPr>
        <w:pStyle w:val="TOC3"/>
        <w:rPr>
          <w:rFonts w:asciiTheme="minorHAnsi" w:eastAsiaTheme="minorEastAsia" w:hAnsiTheme="minorHAnsi" w:cstheme="minorBidi"/>
          <w:noProof/>
          <w:kern w:val="2"/>
          <w:sz w:val="20"/>
          <w:szCs w:val="20"/>
          <w:lang w:val="es-EC" w:eastAsia="es-EC"/>
          <w14:ligatures w14:val="standardContextual"/>
        </w:rPr>
      </w:pPr>
      <w:hyperlink w:anchor="_Toc168907361" w:history="1">
        <w:r w:rsidR="00A97A96" w:rsidRPr="00DE4A3F">
          <w:rPr>
            <w:rStyle w:val="Hyperlink"/>
            <w:rFonts w:ascii="Arial" w:hAnsi="Arial" w:cs="Arial"/>
            <w:noProof/>
            <w:sz w:val="20"/>
            <w:szCs w:val="20"/>
          </w:rPr>
          <w:t>1.10.1 Malos tratos a aspirantes de policía</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_Toc168907361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144</w:t>
        </w:r>
        <w:r w:rsidR="00A97A96" w:rsidRPr="00DE4A3F">
          <w:rPr>
            <w:noProof/>
            <w:webHidden/>
            <w:sz w:val="20"/>
            <w:szCs w:val="20"/>
          </w:rPr>
          <w:fldChar w:fldCharType="end"/>
        </w:r>
      </w:hyperlink>
    </w:p>
    <w:p w14:paraId="54ADD5E0" w14:textId="30626945" w:rsidR="00A97A96" w:rsidRPr="00DE4A3F" w:rsidRDefault="008A75FD">
      <w:pPr>
        <w:pStyle w:val="TOC1"/>
        <w:rPr>
          <w:rFonts w:asciiTheme="minorHAnsi" w:eastAsiaTheme="minorEastAsia" w:hAnsiTheme="minorHAnsi" w:cstheme="minorBidi"/>
          <w:noProof/>
          <w:kern w:val="2"/>
          <w:sz w:val="20"/>
          <w:szCs w:val="20"/>
          <w:lang w:val="es-EC" w:eastAsia="es-EC"/>
          <w14:ligatures w14:val="standardContextual"/>
        </w:rPr>
      </w:pPr>
      <w:hyperlink w:anchor="_Toc168907362" w:history="1">
        <w:r w:rsidR="00A97A96" w:rsidRPr="00DE4A3F">
          <w:rPr>
            <w:rStyle w:val="Hyperlink"/>
            <w:rFonts w:ascii="Arial" w:hAnsi="Arial" w:cs="Arial"/>
            <w:noProof/>
            <w:sz w:val="20"/>
            <w:szCs w:val="20"/>
          </w:rPr>
          <w:t>II.</w:t>
        </w:r>
        <w:r w:rsidR="00A97A96" w:rsidRPr="00DE4A3F">
          <w:rPr>
            <w:rFonts w:asciiTheme="minorHAnsi" w:eastAsiaTheme="minorEastAsia" w:hAnsiTheme="minorHAnsi" w:cstheme="minorBidi"/>
            <w:noProof/>
            <w:kern w:val="2"/>
            <w:sz w:val="20"/>
            <w:szCs w:val="20"/>
            <w:lang w:val="es-EC" w:eastAsia="es-EC"/>
            <w14:ligatures w14:val="standardContextual"/>
          </w:rPr>
          <w:tab/>
        </w:r>
        <w:r w:rsidR="00A97A96" w:rsidRPr="00DE4A3F">
          <w:rPr>
            <w:rStyle w:val="Hyperlink"/>
            <w:rFonts w:ascii="Arial" w:hAnsi="Arial" w:cs="Arial"/>
            <w:noProof/>
            <w:sz w:val="20"/>
            <w:szCs w:val="20"/>
          </w:rPr>
          <w:t>Retos y Desafíos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_Toc168907362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146</w:t>
        </w:r>
        <w:r w:rsidR="00A97A96" w:rsidRPr="00DE4A3F">
          <w:rPr>
            <w:noProof/>
            <w:webHidden/>
            <w:sz w:val="20"/>
            <w:szCs w:val="20"/>
          </w:rPr>
          <w:fldChar w:fldCharType="end"/>
        </w:r>
      </w:hyperlink>
    </w:p>
    <w:p w14:paraId="2BF2CD1D" w14:textId="673CBEBE" w:rsidR="00A97A96" w:rsidRDefault="008A75FD">
      <w:pPr>
        <w:pStyle w:val="TOC1"/>
        <w:rPr>
          <w:rFonts w:asciiTheme="minorHAnsi" w:eastAsiaTheme="minorEastAsia" w:hAnsiTheme="minorHAnsi" w:cstheme="minorBidi"/>
          <w:noProof/>
          <w:kern w:val="2"/>
          <w:lang w:val="es-EC" w:eastAsia="es-EC"/>
          <w14:ligatures w14:val="standardContextual"/>
        </w:rPr>
      </w:pPr>
      <w:hyperlink w:anchor="_Toc168907363" w:history="1">
        <w:r w:rsidR="00A97A96" w:rsidRPr="00DE4A3F">
          <w:rPr>
            <w:rStyle w:val="Hyperlink"/>
            <w:rFonts w:ascii="Arial" w:hAnsi="Arial" w:cs="Arial"/>
            <w:noProof/>
            <w:sz w:val="20"/>
            <w:szCs w:val="20"/>
          </w:rPr>
          <w:t>III.</w:t>
        </w:r>
        <w:r w:rsidR="00A97A96" w:rsidRPr="00DE4A3F">
          <w:rPr>
            <w:rFonts w:asciiTheme="minorHAnsi" w:eastAsiaTheme="minorEastAsia" w:hAnsiTheme="minorHAnsi" w:cstheme="minorBidi"/>
            <w:noProof/>
            <w:kern w:val="2"/>
            <w:sz w:val="20"/>
            <w:szCs w:val="20"/>
            <w:lang w:val="es-EC" w:eastAsia="es-EC"/>
            <w14:ligatures w14:val="standardContextual"/>
          </w:rPr>
          <w:tab/>
        </w:r>
        <w:r w:rsidR="00A97A96" w:rsidRPr="00DE4A3F">
          <w:rPr>
            <w:rStyle w:val="Hyperlink"/>
            <w:rFonts w:ascii="Arial" w:hAnsi="Arial" w:cs="Arial"/>
            <w:noProof/>
            <w:sz w:val="20"/>
            <w:szCs w:val="20"/>
          </w:rPr>
          <w:t>Lista de Referencias</w:t>
        </w:r>
        <w:r w:rsidR="00A97A96" w:rsidRPr="00DE4A3F">
          <w:rPr>
            <w:noProof/>
            <w:webHidden/>
            <w:sz w:val="20"/>
            <w:szCs w:val="20"/>
          </w:rPr>
          <w:tab/>
        </w:r>
        <w:r w:rsidR="00A97A96" w:rsidRPr="00DE4A3F">
          <w:rPr>
            <w:noProof/>
            <w:webHidden/>
            <w:sz w:val="20"/>
            <w:szCs w:val="20"/>
          </w:rPr>
          <w:fldChar w:fldCharType="begin"/>
        </w:r>
        <w:r w:rsidR="00A97A96" w:rsidRPr="00DE4A3F">
          <w:rPr>
            <w:noProof/>
            <w:webHidden/>
            <w:sz w:val="20"/>
            <w:szCs w:val="20"/>
          </w:rPr>
          <w:instrText xml:space="preserve"> PAGEREF _Toc168907363 \h </w:instrText>
        </w:r>
        <w:r w:rsidR="00A97A96" w:rsidRPr="00DE4A3F">
          <w:rPr>
            <w:noProof/>
            <w:webHidden/>
            <w:sz w:val="20"/>
            <w:szCs w:val="20"/>
          </w:rPr>
        </w:r>
        <w:r w:rsidR="00A97A96" w:rsidRPr="00DE4A3F">
          <w:rPr>
            <w:noProof/>
            <w:webHidden/>
            <w:sz w:val="20"/>
            <w:szCs w:val="20"/>
          </w:rPr>
          <w:fldChar w:fldCharType="separate"/>
        </w:r>
        <w:r w:rsidR="00DE4A3F">
          <w:rPr>
            <w:noProof/>
            <w:webHidden/>
            <w:sz w:val="20"/>
            <w:szCs w:val="20"/>
          </w:rPr>
          <w:t>153</w:t>
        </w:r>
        <w:r w:rsidR="00A97A96" w:rsidRPr="00DE4A3F">
          <w:rPr>
            <w:noProof/>
            <w:webHidden/>
            <w:sz w:val="20"/>
            <w:szCs w:val="20"/>
          </w:rPr>
          <w:fldChar w:fldCharType="end"/>
        </w:r>
      </w:hyperlink>
    </w:p>
    <w:p w14:paraId="2A80146F" w14:textId="1CB3AA1A" w:rsidR="004B3C90" w:rsidRPr="00775AE5" w:rsidRDefault="004B3C90" w:rsidP="00390DF2">
      <w:pPr>
        <w:spacing w:line="276" w:lineRule="auto"/>
        <w:rPr>
          <w:rFonts w:ascii="Arial" w:hAnsi="Arial" w:cs="Arial"/>
          <w:sz w:val="22"/>
          <w:szCs w:val="22"/>
          <w:lang w:val="es-ES"/>
        </w:rPr>
      </w:pPr>
      <w:r w:rsidRPr="00775AE5">
        <w:rPr>
          <w:rFonts w:ascii="Arial" w:hAnsi="Arial" w:cs="Arial"/>
          <w:sz w:val="22"/>
          <w:szCs w:val="22"/>
          <w:lang w:val="es-ES"/>
        </w:rPr>
        <w:fldChar w:fldCharType="end"/>
      </w:r>
    </w:p>
    <w:p w14:paraId="0E9CA0EC" w14:textId="77777777" w:rsidR="004B3C90" w:rsidRPr="00775AE5" w:rsidRDefault="004B3C90" w:rsidP="00390DF2">
      <w:pPr>
        <w:spacing w:line="276" w:lineRule="auto"/>
        <w:rPr>
          <w:rFonts w:ascii="Arial" w:hAnsi="Arial" w:cs="Arial"/>
          <w:sz w:val="22"/>
          <w:szCs w:val="22"/>
          <w:lang w:val="es-ES"/>
        </w:rPr>
      </w:pPr>
    </w:p>
    <w:p w14:paraId="29D632DC" w14:textId="77777777" w:rsidR="004B3C90" w:rsidRPr="00775AE5" w:rsidRDefault="004B3C90" w:rsidP="00390DF2">
      <w:pPr>
        <w:spacing w:line="276" w:lineRule="auto"/>
        <w:rPr>
          <w:rFonts w:ascii="Arial" w:hAnsi="Arial" w:cs="Arial"/>
          <w:sz w:val="22"/>
          <w:szCs w:val="22"/>
          <w:lang w:val="es-ES"/>
        </w:rPr>
      </w:pPr>
    </w:p>
    <w:p w14:paraId="1969F372" w14:textId="77777777" w:rsidR="004B3C90" w:rsidRPr="00775AE5" w:rsidRDefault="004B3C90" w:rsidP="00390DF2">
      <w:pPr>
        <w:spacing w:line="276" w:lineRule="auto"/>
        <w:rPr>
          <w:rFonts w:ascii="Arial" w:hAnsi="Arial" w:cs="Arial"/>
          <w:sz w:val="22"/>
          <w:szCs w:val="22"/>
          <w:lang w:val="es-ES"/>
        </w:rPr>
      </w:pPr>
    </w:p>
    <w:p w14:paraId="10AD27DF" w14:textId="77777777" w:rsidR="004B3C90" w:rsidRPr="00775AE5" w:rsidRDefault="004B3C90" w:rsidP="00390DF2">
      <w:pPr>
        <w:spacing w:line="276" w:lineRule="auto"/>
        <w:rPr>
          <w:rFonts w:ascii="Arial" w:hAnsi="Arial" w:cs="Arial"/>
          <w:sz w:val="22"/>
          <w:szCs w:val="22"/>
          <w:lang w:val="es-ES"/>
        </w:rPr>
      </w:pPr>
    </w:p>
    <w:p w14:paraId="5991B7E7" w14:textId="77777777" w:rsidR="004B3C90" w:rsidRPr="00775AE5" w:rsidRDefault="004B3C90" w:rsidP="00390DF2">
      <w:pPr>
        <w:spacing w:line="276" w:lineRule="auto"/>
        <w:rPr>
          <w:rFonts w:ascii="Arial" w:hAnsi="Arial" w:cs="Arial"/>
          <w:sz w:val="22"/>
          <w:szCs w:val="22"/>
          <w:lang w:val="es-ES"/>
        </w:rPr>
      </w:pPr>
    </w:p>
    <w:p w14:paraId="0E815FC4" w14:textId="36581DAC" w:rsidR="00DF4CBC" w:rsidRPr="00775AE5" w:rsidRDefault="00290C33" w:rsidP="00390DF2">
      <w:pPr>
        <w:pStyle w:val="Heading1"/>
        <w:numPr>
          <w:ilvl w:val="0"/>
          <w:numId w:val="0"/>
        </w:numPr>
        <w:spacing w:line="276" w:lineRule="auto"/>
        <w:ind w:left="1080" w:hanging="720"/>
        <w:rPr>
          <w:rStyle w:val="Strong"/>
          <w:rFonts w:ascii="Arial" w:hAnsi="Arial" w:cs="Arial"/>
          <w:b/>
          <w:bCs/>
          <w:sz w:val="22"/>
          <w:szCs w:val="22"/>
        </w:rPr>
      </w:pPr>
      <w:bookmarkStart w:id="2" w:name="_Toc168907328"/>
      <w:r w:rsidRPr="00775AE5">
        <w:rPr>
          <w:rStyle w:val="Strong"/>
          <w:rFonts w:ascii="Arial" w:hAnsi="Arial" w:cs="Arial"/>
          <w:b/>
          <w:bCs/>
          <w:sz w:val="22"/>
          <w:szCs w:val="22"/>
        </w:rPr>
        <w:t>I</w:t>
      </w:r>
      <w:r w:rsidR="008C406C" w:rsidRPr="00775AE5">
        <w:rPr>
          <w:rStyle w:val="Strong"/>
          <w:rFonts w:ascii="Arial" w:hAnsi="Arial" w:cs="Arial"/>
          <w:b/>
          <w:bCs/>
          <w:sz w:val="22"/>
          <w:szCs w:val="22"/>
        </w:rPr>
        <w:t>ntroducción</w:t>
      </w:r>
      <w:bookmarkEnd w:id="2"/>
      <w:r w:rsidRPr="00775AE5">
        <w:rPr>
          <w:rStyle w:val="Strong"/>
          <w:rFonts w:ascii="Arial" w:hAnsi="Arial" w:cs="Arial"/>
          <w:b/>
          <w:bCs/>
          <w:sz w:val="22"/>
          <w:szCs w:val="22"/>
        </w:rPr>
        <w:t xml:space="preserve"> </w:t>
      </w:r>
    </w:p>
    <w:p w14:paraId="14439143" w14:textId="77777777" w:rsidR="00347573" w:rsidRPr="00775AE5" w:rsidRDefault="00347573" w:rsidP="00390DF2">
      <w:pPr>
        <w:spacing w:line="276" w:lineRule="auto"/>
        <w:rPr>
          <w:rFonts w:ascii="Arial" w:hAnsi="Arial" w:cs="Arial"/>
          <w:sz w:val="22"/>
          <w:szCs w:val="22"/>
          <w:lang w:val="es-ES"/>
        </w:rPr>
      </w:pPr>
    </w:p>
    <w:p w14:paraId="1DFDCA09" w14:textId="77777777" w:rsidR="009C6B31" w:rsidRPr="00775AE5" w:rsidRDefault="009C6B31" w:rsidP="009C6B31">
      <w:pPr>
        <w:spacing w:line="276" w:lineRule="auto"/>
        <w:jc w:val="both"/>
        <w:rPr>
          <w:rFonts w:ascii="Arial" w:hAnsi="Arial" w:cs="Arial"/>
          <w:sz w:val="22"/>
          <w:szCs w:val="22"/>
          <w:lang w:val="es-ES"/>
        </w:rPr>
      </w:pPr>
      <w:r w:rsidRPr="00775AE5">
        <w:rPr>
          <w:rFonts w:ascii="Arial" w:hAnsi="Arial" w:cs="Arial"/>
          <w:sz w:val="22"/>
          <w:szCs w:val="22"/>
          <w:lang w:val="es-ES"/>
        </w:rPr>
        <w:t>La Defensoría del Pueblo de Ecuador, en el marco de sus competencias, remite el presente Informe Alternativo, para consideración del Comité Contra la Tortura de las Naciones Unidas (CAT) que revisará en este año el Octavo Informe Periódico.</w:t>
      </w:r>
    </w:p>
    <w:p w14:paraId="2C3C7A19" w14:textId="77777777" w:rsidR="009C6B31" w:rsidRPr="00775AE5" w:rsidRDefault="009C6B31" w:rsidP="009C6B31">
      <w:pPr>
        <w:autoSpaceDE w:val="0"/>
        <w:autoSpaceDN w:val="0"/>
        <w:adjustRightInd w:val="0"/>
        <w:spacing w:line="276" w:lineRule="auto"/>
        <w:jc w:val="both"/>
        <w:rPr>
          <w:rFonts w:ascii="Arial" w:hAnsi="Arial" w:cs="Arial"/>
          <w:sz w:val="22"/>
          <w:szCs w:val="22"/>
          <w:lang w:val="es-ES"/>
        </w:rPr>
      </w:pPr>
    </w:p>
    <w:p w14:paraId="2724CC77" w14:textId="7AAE5813" w:rsidR="009C6B31" w:rsidRPr="00775AE5" w:rsidRDefault="009C6B31" w:rsidP="009C6B31">
      <w:pPr>
        <w:autoSpaceDE w:val="0"/>
        <w:autoSpaceDN w:val="0"/>
        <w:adjustRightInd w:val="0"/>
        <w:spacing w:line="276" w:lineRule="auto"/>
        <w:jc w:val="both"/>
        <w:rPr>
          <w:rFonts w:ascii="Arial" w:hAnsi="Arial" w:cs="Arial"/>
          <w:sz w:val="22"/>
          <w:szCs w:val="22"/>
          <w:lang w:val="es-ES"/>
        </w:rPr>
      </w:pPr>
      <w:r w:rsidRPr="00775AE5">
        <w:rPr>
          <w:rFonts w:ascii="Arial" w:hAnsi="Arial" w:cs="Arial"/>
          <w:sz w:val="22"/>
          <w:szCs w:val="22"/>
          <w:lang w:val="es-ES"/>
        </w:rPr>
        <w:t xml:space="preserve">El informe está organizado en función de las </w:t>
      </w:r>
      <w:r w:rsidRPr="00775AE5">
        <w:rPr>
          <w:rFonts w:ascii="Arial" w:eastAsia="Calibri" w:hAnsi="Arial" w:cs="Arial"/>
          <w:sz w:val="22"/>
          <w:szCs w:val="22"/>
          <w:lang w:val="es-ES"/>
        </w:rPr>
        <w:t>Observaciones finales sobre el séptimo informe periódico</w:t>
      </w:r>
      <w:r w:rsidRPr="00775AE5">
        <w:rPr>
          <w:rFonts w:ascii="Arial" w:hAnsi="Arial" w:cs="Arial"/>
          <w:sz w:val="22"/>
          <w:szCs w:val="22"/>
          <w:lang w:val="es-ES"/>
        </w:rPr>
        <w:t xml:space="preserve"> </w:t>
      </w:r>
      <w:r w:rsidRPr="00775AE5">
        <w:rPr>
          <w:rFonts w:ascii="Arial" w:eastAsia="Calibri" w:hAnsi="Arial" w:cs="Arial"/>
          <w:sz w:val="22"/>
          <w:szCs w:val="22"/>
          <w:lang w:val="es-ES"/>
        </w:rPr>
        <w:t>del</w:t>
      </w:r>
      <w:r w:rsidRPr="00775AE5">
        <w:rPr>
          <w:rFonts w:ascii="Arial" w:hAnsi="Arial" w:cs="Arial"/>
          <w:sz w:val="22"/>
          <w:szCs w:val="22"/>
          <w:lang w:val="es-ES"/>
        </w:rPr>
        <w:t xml:space="preserve"> </w:t>
      </w:r>
      <w:r w:rsidRPr="00775AE5">
        <w:rPr>
          <w:rFonts w:ascii="Arial" w:eastAsia="Calibri" w:hAnsi="Arial" w:cs="Arial"/>
          <w:sz w:val="22"/>
          <w:szCs w:val="22"/>
          <w:lang w:val="es-ES"/>
        </w:rPr>
        <w:t>Ecu</w:t>
      </w:r>
      <w:r w:rsidRPr="00775AE5">
        <w:rPr>
          <w:rFonts w:ascii="Arial" w:hAnsi="Arial" w:cs="Arial"/>
          <w:sz w:val="22"/>
          <w:szCs w:val="22"/>
          <w:lang w:val="es-ES"/>
        </w:rPr>
        <w:t xml:space="preserve">ador y en concordancia con la Lista de cuestiones previa a la presentación del </w:t>
      </w:r>
      <w:r w:rsidRPr="00775AE5">
        <w:rPr>
          <w:rFonts w:ascii="Arial" w:hAnsi="Arial" w:cs="Arial"/>
          <w:sz w:val="22"/>
          <w:szCs w:val="22"/>
          <w:lang w:val="es-ES"/>
        </w:rPr>
        <w:fldChar w:fldCharType="begin"/>
      </w:r>
      <w:r w:rsidRPr="00775AE5">
        <w:rPr>
          <w:rFonts w:ascii="Arial" w:hAnsi="Arial" w:cs="Arial"/>
          <w:sz w:val="22"/>
          <w:szCs w:val="22"/>
          <w:lang w:val="es-ES"/>
        </w:rPr>
        <w:instrText xml:space="preserve"> DOCPROPERTY  preps  \* MERGEFORMAT </w:instrText>
      </w:r>
      <w:r w:rsidRPr="00775AE5">
        <w:rPr>
          <w:rFonts w:ascii="Arial" w:hAnsi="Arial" w:cs="Arial"/>
          <w:sz w:val="22"/>
          <w:szCs w:val="22"/>
          <w:lang w:val="es-ES"/>
        </w:rPr>
        <w:fldChar w:fldCharType="separate"/>
      </w:r>
      <w:r w:rsidRPr="00775AE5">
        <w:rPr>
          <w:rFonts w:ascii="Arial" w:hAnsi="Arial" w:cs="Arial"/>
          <w:sz w:val="22"/>
          <w:szCs w:val="22"/>
          <w:lang w:val="es-ES"/>
        </w:rPr>
        <w:t>octavo informe periódico del Ecuador</w:t>
      </w:r>
      <w:r w:rsidRPr="00775AE5">
        <w:rPr>
          <w:rFonts w:ascii="Arial" w:hAnsi="Arial" w:cs="Arial"/>
          <w:sz w:val="22"/>
          <w:szCs w:val="22"/>
          <w:lang w:val="es-ES"/>
        </w:rPr>
        <w:fldChar w:fldCharType="end"/>
      </w:r>
      <w:r w:rsidRPr="00775AE5">
        <w:rPr>
          <w:rFonts w:ascii="Arial" w:hAnsi="Arial" w:cs="Arial"/>
          <w:sz w:val="22"/>
          <w:szCs w:val="22"/>
          <w:lang w:val="es-ES"/>
        </w:rPr>
        <w:t xml:space="preserve">. Se ha priorizado para este informe temáticas como: la reforma normativa </w:t>
      </w:r>
      <w:r w:rsidR="00CA38EB">
        <w:rPr>
          <w:rFonts w:ascii="Arial" w:hAnsi="Arial" w:cs="Arial"/>
          <w:sz w:val="22"/>
          <w:szCs w:val="22"/>
          <w:lang w:val="es-ES"/>
        </w:rPr>
        <w:t>relacionada con</w:t>
      </w:r>
      <w:r w:rsidRPr="00775AE5">
        <w:rPr>
          <w:rFonts w:ascii="Arial" w:hAnsi="Arial" w:cs="Arial"/>
          <w:sz w:val="22"/>
          <w:szCs w:val="22"/>
          <w:lang w:val="es-ES"/>
        </w:rPr>
        <w:t xml:space="preserve"> la despenalización del aborto, violencia contra la mujer, violencia sexual en el ámbito educativo, procesos de expulsión y devolución; detenciones en zonas de tránsito de los aeropuertos y trata de personas, medidas de reparación a las víctimas de tortura o sus familiares, protección a periodistas, personas defensoras de derechos humanos y otros representantes de sociedad civil, entre otros. </w:t>
      </w:r>
    </w:p>
    <w:p w14:paraId="49C4B5FA" w14:textId="77777777" w:rsidR="009C6B31" w:rsidRPr="00775AE5" w:rsidRDefault="009C6B31" w:rsidP="009C6B31">
      <w:pPr>
        <w:autoSpaceDE w:val="0"/>
        <w:autoSpaceDN w:val="0"/>
        <w:adjustRightInd w:val="0"/>
        <w:spacing w:line="276" w:lineRule="auto"/>
        <w:jc w:val="both"/>
        <w:rPr>
          <w:rFonts w:ascii="Arial" w:hAnsi="Arial" w:cs="Arial"/>
          <w:sz w:val="22"/>
          <w:szCs w:val="22"/>
          <w:lang w:val="es-ES"/>
        </w:rPr>
      </w:pPr>
    </w:p>
    <w:p w14:paraId="5450FAF4" w14:textId="1A86179E" w:rsidR="00347573" w:rsidRPr="00775AE5" w:rsidRDefault="009C6B31" w:rsidP="009C6B31">
      <w:pPr>
        <w:autoSpaceDE w:val="0"/>
        <w:autoSpaceDN w:val="0"/>
        <w:adjustRightInd w:val="0"/>
        <w:spacing w:line="276" w:lineRule="auto"/>
        <w:jc w:val="both"/>
        <w:rPr>
          <w:rFonts w:ascii="Arial" w:hAnsi="Arial" w:cs="Arial"/>
          <w:sz w:val="22"/>
          <w:szCs w:val="22"/>
          <w:lang w:val="es-ES"/>
        </w:rPr>
      </w:pPr>
      <w:r w:rsidRPr="00775AE5">
        <w:rPr>
          <w:rFonts w:ascii="Arial" w:hAnsi="Arial" w:cs="Arial"/>
          <w:sz w:val="22"/>
          <w:szCs w:val="22"/>
          <w:lang w:val="es-ES"/>
        </w:rPr>
        <w:t xml:space="preserve">Los diferentes acápites contienen información proporcionada por las unidades misionales de la Defensoría del Pueblo de Ecuador y por entidades estatales. Al final del documento se plantean retos y desafíos. </w:t>
      </w:r>
      <w:r w:rsidR="00347573" w:rsidRPr="00775AE5">
        <w:rPr>
          <w:rFonts w:ascii="Arial" w:hAnsi="Arial" w:cs="Arial"/>
          <w:sz w:val="22"/>
          <w:szCs w:val="22"/>
          <w:lang w:val="es-ES"/>
        </w:rPr>
        <w:t xml:space="preserve"> </w:t>
      </w:r>
    </w:p>
    <w:p w14:paraId="41B84698" w14:textId="77777777" w:rsidR="00347573" w:rsidRPr="00775AE5" w:rsidRDefault="00347573" w:rsidP="00390DF2">
      <w:pPr>
        <w:spacing w:line="276" w:lineRule="auto"/>
        <w:jc w:val="both"/>
        <w:rPr>
          <w:rFonts w:ascii="Arial" w:hAnsi="Arial" w:cs="Arial"/>
          <w:sz w:val="22"/>
          <w:szCs w:val="22"/>
          <w:lang w:val="es-ES"/>
        </w:rPr>
      </w:pPr>
    </w:p>
    <w:p w14:paraId="55791AE5" w14:textId="195692B7" w:rsidR="00347573" w:rsidRPr="00775AE5" w:rsidRDefault="00347573" w:rsidP="00390DF2">
      <w:pPr>
        <w:spacing w:line="276" w:lineRule="auto"/>
        <w:jc w:val="both"/>
        <w:rPr>
          <w:rFonts w:ascii="Arial" w:hAnsi="Arial" w:cs="Arial"/>
          <w:sz w:val="22"/>
          <w:szCs w:val="22"/>
          <w:lang w:val="es-ES"/>
        </w:rPr>
      </w:pPr>
      <w:r w:rsidRPr="00775AE5">
        <w:rPr>
          <w:rFonts w:ascii="Arial" w:hAnsi="Arial" w:cs="Arial"/>
          <w:sz w:val="22"/>
          <w:szCs w:val="22"/>
          <w:lang w:val="es-ES"/>
        </w:rPr>
        <w:t>En caso de necesitar más información, por favor, se debe tomar contacto con la Dirección Nacional de Investigación e</w:t>
      </w:r>
      <w:r w:rsidR="0018416F" w:rsidRPr="00775AE5">
        <w:rPr>
          <w:rFonts w:ascii="Arial" w:hAnsi="Arial" w:cs="Arial"/>
          <w:sz w:val="22"/>
          <w:szCs w:val="22"/>
          <w:lang w:val="es-ES"/>
        </w:rPr>
        <w:t>n Derechos Humanos y de la Naturaleza a</w:t>
      </w:r>
      <w:r w:rsidRPr="00775AE5">
        <w:rPr>
          <w:rFonts w:ascii="Arial" w:hAnsi="Arial" w:cs="Arial"/>
          <w:sz w:val="22"/>
          <w:szCs w:val="22"/>
          <w:lang w:val="es-ES"/>
        </w:rPr>
        <w:t xml:space="preserve">l correo </w:t>
      </w:r>
      <w:hyperlink r:id="rId12" w:history="1">
        <w:r w:rsidR="00B62B3B" w:rsidRPr="00775AE5">
          <w:rPr>
            <w:rStyle w:val="Hyperlink"/>
            <w:rFonts w:ascii="Arial" w:hAnsi="Arial" w:cs="Arial"/>
            <w:sz w:val="22"/>
            <w:szCs w:val="22"/>
            <w:lang w:val="es-ES"/>
          </w:rPr>
          <w:t>ricardo.duran@dpe.gob.ec</w:t>
        </w:r>
      </w:hyperlink>
      <w:r w:rsidRPr="00775AE5">
        <w:rPr>
          <w:rFonts w:ascii="Arial" w:hAnsi="Arial" w:cs="Arial"/>
          <w:sz w:val="22"/>
          <w:szCs w:val="22"/>
          <w:lang w:val="es-ES"/>
        </w:rPr>
        <w:t xml:space="preserve"> o al teléfono (593) 02 330 1112, ext. 2511, 2519, 2518.</w:t>
      </w:r>
    </w:p>
    <w:p w14:paraId="2209AFB1" w14:textId="77777777" w:rsidR="00347573" w:rsidRPr="00775AE5" w:rsidRDefault="00347573" w:rsidP="00390DF2">
      <w:pPr>
        <w:spacing w:line="276" w:lineRule="auto"/>
        <w:rPr>
          <w:rFonts w:ascii="Arial" w:hAnsi="Arial" w:cs="Arial"/>
          <w:sz w:val="22"/>
          <w:szCs w:val="22"/>
          <w:lang w:val="es-ES"/>
        </w:rPr>
      </w:pPr>
    </w:p>
    <w:p w14:paraId="68A5CD60" w14:textId="77777777" w:rsidR="00DF4CBC" w:rsidRPr="00775AE5" w:rsidRDefault="00DF4CBC" w:rsidP="00390DF2">
      <w:pPr>
        <w:spacing w:line="276" w:lineRule="auto"/>
        <w:jc w:val="both"/>
        <w:rPr>
          <w:rFonts w:ascii="Arial" w:hAnsi="Arial" w:cs="Arial"/>
          <w:sz w:val="22"/>
          <w:szCs w:val="22"/>
          <w:lang w:val="es-ES"/>
        </w:rPr>
      </w:pPr>
    </w:p>
    <w:p w14:paraId="3BC4BEEE" w14:textId="77777777" w:rsidR="0018416F" w:rsidRPr="00775AE5" w:rsidRDefault="0018416F" w:rsidP="00390DF2">
      <w:pPr>
        <w:spacing w:line="276" w:lineRule="auto"/>
        <w:jc w:val="both"/>
        <w:rPr>
          <w:rFonts w:ascii="Arial" w:hAnsi="Arial" w:cs="Arial"/>
          <w:sz w:val="22"/>
          <w:szCs w:val="22"/>
          <w:lang w:val="es-ES"/>
        </w:rPr>
      </w:pPr>
    </w:p>
    <w:p w14:paraId="05DD8F40" w14:textId="77777777" w:rsidR="00390DF2" w:rsidRPr="00775AE5" w:rsidRDefault="00390DF2" w:rsidP="00390DF2">
      <w:pPr>
        <w:spacing w:line="276" w:lineRule="auto"/>
        <w:jc w:val="both"/>
        <w:rPr>
          <w:rFonts w:ascii="Arial" w:hAnsi="Arial" w:cs="Arial"/>
          <w:sz w:val="22"/>
          <w:szCs w:val="22"/>
          <w:lang w:val="es-ES"/>
        </w:rPr>
      </w:pPr>
    </w:p>
    <w:p w14:paraId="1FCD351C" w14:textId="77777777" w:rsidR="00390DF2" w:rsidRPr="00775AE5" w:rsidRDefault="00390DF2" w:rsidP="00390DF2">
      <w:pPr>
        <w:spacing w:line="276" w:lineRule="auto"/>
        <w:jc w:val="both"/>
        <w:rPr>
          <w:rFonts w:ascii="Arial" w:hAnsi="Arial" w:cs="Arial"/>
          <w:sz w:val="22"/>
          <w:szCs w:val="22"/>
          <w:lang w:val="es-ES"/>
        </w:rPr>
      </w:pPr>
    </w:p>
    <w:p w14:paraId="1E7B491E" w14:textId="77777777" w:rsidR="00390DF2" w:rsidRPr="00775AE5" w:rsidRDefault="00390DF2" w:rsidP="00390DF2">
      <w:pPr>
        <w:spacing w:line="276" w:lineRule="auto"/>
        <w:jc w:val="both"/>
        <w:rPr>
          <w:rFonts w:ascii="Arial" w:hAnsi="Arial" w:cs="Arial"/>
          <w:sz w:val="22"/>
          <w:szCs w:val="22"/>
          <w:lang w:val="es-ES"/>
        </w:rPr>
      </w:pPr>
    </w:p>
    <w:p w14:paraId="7AB0C47C" w14:textId="77777777" w:rsidR="00390DF2" w:rsidRPr="00775AE5" w:rsidRDefault="00390DF2" w:rsidP="00390DF2">
      <w:pPr>
        <w:spacing w:line="276" w:lineRule="auto"/>
        <w:jc w:val="both"/>
        <w:rPr>
          <w:rFonts w:ascii="Arial" w:hAnsi="Arial" w:cs="Arial"/>
          <w:sz w:val="22"/>
          <w:szCs w:val="22"/>
          <w:lang w:val="es-ES"/>
        </w:rPr>
      </w:pPr>
    </w:p>
    <w:p w14:paraId="6A6EB8EA" w14:textId="77777777" w:rsidR="00390DF2" w:rsidRPr="00775AE5" w:rsidRDefault="00390DF2" w:rsidP="00390DF2">
      <w:pPr>
        <w:spacing w:line="276" w:lineRule="auto"/>
        <w:jc w:val="both"/>
        <w:rPr>
          <w:rFonts w:ascii="Arial" w:hAnsi="Arial" w:cs="Arial"/>
          <w:sz w:val="22"/>
          <w:szCs w:val="22"/>
          <w:lang w:val="es-ES"/>
        </w:rPr>
      </w:pPr>
    </w:p>
    <w:p w14:paraId="5FC4A5EC" w14:textId="77777777" w:rsidR="009C6B31" w:rsidRPr="00775AE5" w:rsidRDefault="009C6B31" w:rsidP="00390DF2">
      <w:pPr>
        <w:spacing w:line="276" w:lineRule="auto"/>
        <w:jc w:val="both"/>
        <w:rPr>
          <w:rFonts w:ascii="Arial" w:hAnsi="Arial" w:cs="Arial"/>
          <w:sz w:val="22"/>
          <w:szCs w:val="22"/>
          <w:lang w:val="es-ES"/>
        </w:rPr>
      </w:pPr>
    </w:p>
    <w:p w14:paraId="233A4533" w14:textId="77777777" w:rsidR="009C6B31" w:rsidRPr="00775AE5" w:rsidRDefault="009C6B31" w:rsidP="00390DF2">
      <w:pPr>
        <w:spacing w:line="276" w:lineRule="auto"/>
        <w:jc w:val="both"/>
        <w:rPr>
          <w:rFonts w:ascii="Arial" w:hAnsi="Arial" w:cs="Arial"/>
          <w:sz w:val="22"/>
          <w:szCs w:val="22"/>
          <w:lang w:val="es-ES"/>
        </w:rPr>
      </w:pPr>
    </w:p>
    <w:p w14:paraId="20A4EC5B" w14:textId="77777777" w:rsidR="009C6B31" w:rsidRPr="00775AE5" w:rsidRDefault="009C6B31" w:rsidP="00390DF2">
      <w:pPr>
        <w:spacing w:line="276" w:lineRule="auto"/>
        <w:jc w:val="both"/>
        <w:rPr>
          <w:rFonts w:ascii="Arial" w:hAnsi="Arial" w:cs="Arial"/>
          <w:sz w:val="22"/>
          <w:szCs w:val="22"/>
          <w:lang w:val="es-ES"/>
        </w:rPr>
      </w:pPr>
    </w:p>
    <w:p w14:paraId="54F07AC7" w14:textId="77777777" w:rsidR="009C6B31" w:rsidRPr="00775AE5" w:rsidRDefault="009C6B31" w:rsidP="00390DF2">
      <w:pPr>
        <w:spacing w:line="276" w:lineRule="auto"/>
        <w:jc w:val="both"/>
        <w:rPr>
          <w:rFonts w:ascii="Arial" w:hAnsi="Arial" w:cs="Arial"/>
          <w:sz w:val="22"/>
          <w:szCs w:val="22"/>
          <w:lang w:val="es-ES"/>
        </w:rPr>
      </w:pPr>
    </w:p>
    <w:p w14:paraId="0ECB7DBC" w14:textId="77777777" w:rsidR="009C6B31" w:rsidRDefault="009C6B31" w:rsidP="00390DF2">
      <w:pPr>
        <w:spacing w:line="276" w:lineRule="auto"/>
        <w:jc w:val="both"/>
        <w:rPr>
          <w:rFonts w:ascii="Arial" w:hAnsi="Arial" w:cs="Arial"/>
          <w:sz w:val="22"/>
          <w:szCs w:val="22"/>
          <w:lang w:val="es-ES"/>
        </w:rPr>
      </w:pPr>
    </w:p>
    <w:p w14:paraId="7A629BE2" w14:textId="77777777" w:rsidR="00CA38EB" w:rsidRDefault="00CA38EB" w:rsidP="00390DF2">
      <w:pPr>
        <w:spacing w:line="276" w:lineRule="auto"/>
        <w:jc w:val="both"/>
        <w:rPr>
          <w:rFonts w:ascii="Arial" w:hAnsi="Arial" w:cs="Arial"/>
          <w:sz w:val="22"/>
          <w:szCs w:val="22"/>
          <w:lang w:val="es-ES"/>
        </w:rPr>
      </w:pPr>
    </w:p>
    <w:p w14:paraId="766CD7D8" w14:textId="77777777" w:rsidR="00CA38EB" w:rsidRDefault="00CA38EB" w:rsidP="00390DF2">
      <w:pPr>
        <w:spacing w:line="276" w:lineRule="auto"/>
        <w:jc w:val="both"/>
        <w:rPr>
          <w:rFonts w:ascii="Arial" w:hAnsi="Arial" w:cs="Arial"/>
          <w:sz w:val="22"/>
          <w:szCs w:val="22"/>
          <w:lang w:val="es-ES"/>
        </w:rPr>
      </w:pPr>
    </w:p>
    <w:p w14:paraId="7572310E" w14:textId="77777777" w:rsidR="00CA38EB" w:rsidRDefault="00CA38EB" w:rsidP="00390DF2">
      <w:pPr>
        <w:spacing w:line="276" w:lineRule="auto"/>
        <w:jc w:val="both"/>
        <w:rPr>
          <w:rFonts w:ascii="Arial" w:hAnsi="Arial" w:cs="Arial"/>
          <w:sz w:val="22"/>
          <w:szCs w:val="22"/>
          <w:lang w:val="es-ES"/>
        </w:rPr>
      </w:pPr>
    </w:p>
    <w:p w14:paraId="4554D779" w14:textId="77777777" w:rsidR="00CA38EB" w:rsidRPr="00775AE5" w:rsidRDefault="00CA38EB" w:rsidP="00390DF2">
      <w:pPr>
        <w:spacing w:line="276" w:lineRule="auto"/>
        <w:jc w:val="both"/>
        <w:rPr>
          <w:rFonts w:ascii="Arial" w:hAnsi="Arial" w:cs="Arial"/>
          <w:sz w:val="22"/>
          <w:szCs w:val="22"/>
          <w:lang w:val="es-ES"/>
        </w:rPr>
      </w:pPr>
    </w:p>
    <w:p w14:paraId="28538CC6" w14:textId="77777777" w:rsidR="009C6B31" w:rsidRPr="00775AE5" w:rsidRDefault="009C6B31" w:rsidP="00390DF2">
      <w:pPr>
        <w:spacing w:line="276" w:lineRule="auto"/>
        <w:jc w:val="both"/>
        <w:rPr>
          <w:rFonts w:ascii="Arial" w:hAnsi="Arial" w:cs="Arial"/>
          <w:sz w:val="22"/>
          <w:szCs w:val="22"/>
          <w:lang w:val="es-ES"/>
        </w:rPr>
      </w:pPr>
    </w:p>
    <w:p w14:paraId="11A67E67" w14:textId="77777777" w:rsidR="009C6B31" w:rsidRPr="00775AE5" w:rsidRDefault="009C6B31" w:rsidP="00390DF2">
      <w:pPr>
        <w:spacing w:line="276" w:lineRule="auto"/>
        <w:jc w:val="both"/>
        <w:rPr>
          <w:rFonts w:ascii="Arial" w:hAnsi="Arial" w:cs="Arial"/>
          <w:sz w:val="22"/>
          <w:szCs w:val="22"/>
          <w:lang w:val="es-ES"/>
        </w:rPr>
      </w:pPr>
    </w:p>
    <w:p w14:paraId="34B8CA31" w14:textId="77777777" w:rsidR="00390DF2" w:rsidRPr="00775AE5" w:rsidRDefault="00390DF2" w:rsidP="00390DF2">
      <w:pPr>
        <w:spacing w:line="276" w:lineRule="auto"/>
        <w:jc w:val="both"/>
        <w:rPr>
          <w:rFonts w:ascii="Arial" w:hAnsi="Arial" w:cs="Arial"/>
          <w:sz w:val="22"/>
          <w:szCs w:val="22"/>
          <w:lang w:val="es-ES"/>
        </w:rPr>
      </w:pPr>
    </w:p>
    <w:p w14:paraId="303183D5" w14:textId="77777777" w:rsidR="00390DF2" w:rsidRPr="00775AE5" w:rsidRDefault="00390DF2" w:rsidP="00390DF2">
      <w:pPr>
        <w:spacing w:line="276" w:lineRule="auto"/>
        <w:jc w:val="both"/>
        <w:rPr>
          <w:rFonts w:ascii="Arial" w:hAnsi="Arial" w:cs="Arial"/>
          <w:sz w:val="22"/>
          <w:szCs w:val="22"/>
          <w:lang w:val="es-ES"/>
        </w:rPr>
      </w:pPr>
    </w:p>
    <w:p w14:paraId="769B4789" w14:textId="076BAC2A" w:rsidR="00DF4CBC" w:rsidRPr="00775AE5" w:rsidRDefault="00EB1434" w:rsidP="00B17DD2">
      <w:pPr>
        <w:pStyle w:val="Heading1"/>
        <w:numPr>
          <w:ilvl w:val="0"/>
          <w:numId w:val="14"/>
        </w:numPr>
        <w:spacing w:line="276" w:lineRule="auto"/>
        <w:rPr>
          <w:rFonts w:ascii="Arial" w:hAnsi="Arial" w:cs="Arial"/>
          <w:sz w:val="22"/>
          <w:szCs w:val="22"/>
        </w:rPr>
      </w:pPr>
      <w:bookmarkStart w:id="3" w:name="_Toc168907329"/>
      <w:r w:rsidRPr="00775AE5">
        <w:rPr>
          <w:rFonts w:ascii="Arial" w:hAnsi="Arial" w:cs="Arial"/>
          <w:sz w:val="22"/>
          <w:szCs w:val="22"/>
        </w:rPr>
        <w:t>I</w:t>
      </w:r>
      <w:r w:rsidR="008C406C" w:rsidRPr="00775AE5">
        <w:rPr>
          <w:rFonts w:ascii="Arial" w:hAnsi="Arial" w:cs="Arial"/>
          <w:sz w:val="22"/>
          <w:szCs w:val="22"/>
        </w:rPr>
        <w:t>nformación específica sobre la aplicación de la convención contra la tortura y otros tratos o penas crueles, inhumanos o degradantes</w:t>
      </w:r>
      <w:bookmarkEnd w:id="3"/>
    </w:p>
    <w:p w14:paraId="3E1445B6" w14:textId="77777777" w:rsidR="005E47FA" w:rsidRPr="00775AE5" w:rsidRDefault="005E47FA" w:rsidP="00390DF2">
      <w:pPr>
        <w:spacing w:line="276" w:lineRule="auto"/>
        <w:jc w:val="both"/>
        <w:rPr>
          <w:rFonts w:ascii="Arial" w:hAnsi="Arial" w:cs="Arial"/>
          <w:b/>
          <w:sz w:val="22"/>
          <w:szCs w:val="22"/>
          <w:lang w:val="es-ES"/>
        </w:rPr>
      </w:pPr>
    </w:p>
    <w:p w14:paraId="2AC3232C" w14:textId="77777777" w:rsidR="004D2C87" w:rsidRPr="00775AE5" w:rsidRDefault="00E0191B" w:rsidP="00390DF2">
      <w:pPr>
        <w:pStyle w:val="Heading2"/>
        <w:spacing w:line="276" w:lineRule="auto"/>
        <w:ind w:firstLine="284"/>
        <w:rPr>
          <w:rFonts w:ascii="Arial" w:hAnsi="Arial"/>
          <w:sz w:val="22"/>
          <w:szCs w:val="22"/>
        </w:rPr>
      </w:pPr>
      <w:bookmarkStart w:id="4" w:name="_Toc168907330"/>
      <w:r w:rsidRPr="00775AE5">
        <w:rPr>
          <w:rFonts w:ascii="Arial" w:hAnsi="Arial"/>
          <w:sz w:val="22"/>
          <w:szCs w:val="22"/>
        </w:rPr>
        <w:t xml:space="preserve">1. </w:t>
      </w:r>
      <w:r w:rsidR="00D411C1" w:rsidRPr="00775AE5">
        <w:rPr>
          <w:rFonts w:ascii="Arial" w:hAnsi="Arial"/>
          <w:sz w:val="22"/>
          <w:szCs w:val="22"/>
        </w:rPr>
        <w:t>Artículos 1 y 4</w:t>
      </w:r>
      <w:bookmarkEnd w:id="4"/>
    </w:p>
    <w:p w14:paraId="1B291079" w14:textId="77777777" w:rsidR="00DB6296" w:rsidRPr="00775AE5" w:rsidRDefault="00DB6296" w:rsidP="00640CCA">
      <w:pPr>
        <w:pStyle w:val="Heading3"/>
        <w:rPr>
          <w:rFonts w:ascii="Arial" w:hAnsi="Arial" w:cs="Arial"/>
          <w:sz w:val="22"/>
          <w:szCs w:val="22"/>
          <w:highlight w:val="cyan"/>
        </w:rPr>
      </w:pPr>
    </w:p>
    <w:p w14:paraId="1169C25C" w14:textId="77777777" w:rsidR="00DB6296" w:rsidRPr="00775AE5" w:rsidRDefault="00A2295D" w:rsidP="00640CCA">
      <w:pPr>
        <w:pStyle w:val="Heading3"/>
        <w:rPr>
          <w:rFonts w:ascii="Arial" w:hAnsi="Arial" w:cs="Arial"/>
          <w:sz w:val="22"/>
          <w:szCs w:val="22"/>
        </w:rPr>
      </w:pPr>
      <w:bookmarkStart w:id="5" w:name="_Toc168907331"/>
      <w:r w:rsidRPr="00775AE5">
        <w:rPr>
          <w:rFonts w:ascii="Arial" w:hAnsi="Arial" w:cs="Arial"/>
          <w:sz w:val="22"/>
          <w:szCs w:val="22"/>
        </w:rPr>
        <w:t xml:space="preserve">1.1 </w:t>
      </w:r>
      <w:r w:rsidR="00DB6296" w:rsidRPr="00775AE5">
        <w:rPr>
          <w:rFonts w:ascii="Arial" w:hAnsi="Arial" w:cs="Arial"/>
          <w:sz w:val="22"/>
          <w:szCs w:val="22"/>
        </w:rPr>
        <w:t>Armonización del artículo 151 del COIP con el artículo 1 de la Convención de la Tortura respecto a la definición de tortura establecido en el instrumento internacional</w:t>
      </w:r>
      <w:r w:rsidR="00390DF2" w:rsidRPr="00775AE5">
        <w:rPr>
          <w:rFonts w:ascii="Arial" w:hAnsi="Arial" w:cs="Arial"/>
          <w:sz w:val="22"/>
          <w:szCs w:val="22"/>
        </w:rPr>
        <w:t xml:space="preserve"> (</w:t>
      </w:r>
      <w:r w:rsidR="00827F46" w:rsidRPr="00775AE5">
        <w:rPr>
          <w:rFonts w:ascii="Arial" w:hAnsi="Arial" w:cs="Arial"/>
          <w:sz w:val="22"/>
          <w:szCs w:val="22"/>
        </w:rPr>
        <w:t xml:space="preserve">Párrafo </w:t>
      </w:r>
      <w:r w:rsidR="00390DF2" w:rsidRPr="00775AE5">
        <w:rPr>
          <w:rFonts w:ascii="Arial" w:hAnsi="Arial" w:cs="Arial"/>
          <w:sz w:val="22"/>
          <w:szCs w:val="22"/>
        </w:rPr>
        <w:t>2</w:t>
      </w:r>
      <w:r w:rsidR="00F32EEF" w:rsidRPr="00775AE5">
        <w:rPr>
          <w:rFonts w:ascii="Arial" w:hAnsi="Arial" w:cs="Arial"/>
          <w:sz w:val="22"/>
          <w:szCs w:val="22"/>
        </w:rPr>
        <w:t xml:space="preserve"> de la</w:t>
      </w:r>
      <w:r w:rsidR="00390DF2" w:rsidRPr="00775AE5">
        <w:rPr>
          <w:rFonts w:ascii="Arial" w:hAnsi="Arial" w:cs="Arial"/>
          <w:sz w:val="22"/>
          <w:szCs w:val="22"/>
        </w:rPr>
        <w:t xml:space="preserve"> Lista de cuestiones</w:t>
      </w:r>
      <w:r w:rsidR="00827F46" w:rsidRPr="00775AE5">
        <w:rPr>
          <w:rFonts w:ascii="Arial" w:hAnsi="Arial" w:cs="Arial"/>
          <w:sz w:val="22"/>
          <w:szCs w:val="22"/>
        </w:rPr>
        <w:t>)</w:t>
      </w:r>
      <w:bookmarkEnd w:id="5"/>
    </w:p>
    <w:p w14:paraId="2151F314" w14:textId="77777777" w:rsidR="00390DF2" w:rsidRPr="00775AE5" w:rsidRDefault="00390DF2" w:rsidP="00390DF2">
      <w:pPr>
        <w:widowControl w:val="0"/>
        <w:suppressAutoHyphens/>
        <w:spacing w:line="276" w:lineRule="auto"/>
        <w:jc w:val="both"/>
        <w:rPr>
          <w:rFonts w:ascii="Arial" w:eastAsia="DejaVu Sans" w:hAnsi="Arial" w:cs="Arial"/>
          <w:sz w:val="22"/>
          <w:szCs w:val="22"/>
          <w:lang w:val="es-VE" w:eastAsia="es-EC"/>
        </w:rPr>
      </w:pPr>
    </w:p>
    <w:p w14:paraId="5FE70DD2" w14:textId="77777777" w:rsidR="00DB6296" w:rsidRPr="00775AE5" w:rsidRDefault="00DB6296" w:rsidP="00390DF2">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A pesar de que el COIP en diciembre del 2019 fue objeto de reforma a 127 artículos entre los cuales se endurecieron la aplicación de penas y se promovió la prohibición de rebaja de penas a determinados delitos, no se ha armonizado el artículo 151 del COIP con la definición de la Convención contra la Tortura, tal como se solicitó en el párrafo 12 de las Observaciones Finales Séptimo Informe Periódico del Ecuador.</w:t>
      </w:r>
    </w:p>
    <w:p w14:paraId="3E0A1D09" w14:textId="77777777" w:rsidR="00390DF2" w:rsidRPr="00775AE5" w:rsidRDefault="00390DF2" w:rsidP="00390DF2">
      <w:pPr>
        <w:pStyle w:val="Heading2"/>
        <w:spacing w:line="276" w:lineRule="auto"/>
        <w:rPr>
          <w:rFonts w:ascii="Arial" w:hAnsi="Arial"/>
          <w:sz w:val="22"/>
          <w:szCs w:val="22"/>
        </w:rPr>
      </w:pPr>
    </w:p>
    <w:p w14:paraId="2508C3C1" w14:textId="77777777" w:rsidR="00791261" w:rsidRPr="00775AE5" w:rsidRDefault="00A2295D" w:rsidP="00390DF2">
      <w:pPr>
        <w:pStyle w:val="Heading2"/>
        <w:spacing w:line="276" w:lineRule="auto"/>
        <w:rPr>
          <w:rFonts w:ascii="Arial" w:hAnsi="Arial"/>
          <w:sz w:val="22"/>
          <w:szCs w:val="22"/>
        </w:rPr>
      </w:pPr>
      <w:bookmarkStart w:id="6" w:name="_Toc168907332"/>
      <w:r w:rsidRPr="00775AE5">
        <w:rPr>
          <w:rFonts w:ascii="Arial" w:hAnsi="Arial"/>
          <w:sz w:val="22"/>
          <w:szCs w:val="22"/>
        </w:rPr>
        <w:t xml:space="preserve">2. Artículo 2 </w:t>
      </w:r>
      <w:r w:rsidR="004E3C13" w:rsidRPr="00775AE5">
        <w:rPr>
          <w:rFonts w:ascii="Arial" w:hAnsi="Arial"/>
          <w:sz w:val="22"/>
          <w:szCs w:val="22"/>
        </w:rPr>
        <w:t>(Párrafo 3 de la Lista de Cuestiones)</w:t>
      </w:r>
      <w:bookmarkEnd w:id="6"/>
    </w:p>
    <w:p w14:paraId="5C4A82A7" w14:textId="77777777" w:rsidR="00DF11B0" w:rsidRPr="00775AE5" w:rsidRDefault="00DF11B0" w:rsidP="00390DF2">
      <w:pPr>
        <w:tabs>
          <w:tab w:val="left" w:pos="284"/>
        </w:tabs>
        <w:spacing w:line="276" w:lineRule="auto"/>
        <w:rPr>
          <w:rFonts w:ascii="Arial" w:hAnsi="Arial" w:cs="Arial"/>
          <w:sz w:val="22"/>
          <w:szCs w:val="22"/>
          <w:lang w:val="es-ES"/>
        </w:rPr>
      </w:pPr>
    </w:p>
    <w:p w14:paraId="31831BB5" w14:textId="77777777" w:rsidR="00A2295D" w:rsidRPr="00775AE5" w:rsidRDefault="00DF11B0" w:rsidP="00390DF2">
      <w:pPr>
        <w:spacing w:line="276" w:lineRule="auto"/>
        <w:ind w:firstLine="360"/>
        <w:jc w:val="both"/>
        <w:rPr>
          <w:rFonts w:ascii="Arial" w:hAnsi="Arial" w:cs="Arial"/>
          <w:b/>
          <w:sz w:val="22"/>
          <w:szCs w:val="22"/>
        </w:rPr>
      </w:pPr>
      <w:r w:rsidRPr="00775AE5">
        <w:rPr>
          <w:rFonts w:ascii="Arial" w:hAnsi="Arial" w:cs="Arial"/>
          <w:b/>
          <w:sz w:val="22"/>
          <w:szCs w:val="22"/>
          <w:lang w:val="es-VE"/>
        </w:rPr>
        <w:tab/>
      </w:r>
      <w:r w:rsidR="00791261" w:rsidRPr="00775AE5">
        <w:rPr>
          <w:rFonts w:ascii="Arial" w:hAnsi="Arial" w:cs="Arial"/>
          <w:b/>
          <w:sz w:val="22"/>
          <w:szCs w:val="22"/>
          <w:lang w:val="es-VE"/>
        </w:rPr>
        <w:t>2</w:t>
      </w:r>
      <w:r w:rsidR="00791261" w:rsidRPr="00775AE5">
        <w:rPr>
          <w:rFonts w:ascii="Arial" w:hAnsi="Arial" w:cs="Arial"/>
          <w:b/>
          <w:sz w:val="22"/>
          <w:szCs w:val="22"/>
        </w:rPr>
        <w:t xml:space="preserve">.1 </w:t>
      </w:r>
      <w:r w:rsidR="00A2295D" w:rsidRPr="00775AE5">
        <w:rPr>
          <w:rFonts w:ascii="Arial" w:hAnsi="Arial" w:cs="Arial"/>
          <w:b/>
          <w:sz w:val="22"/>
          <w:szCs w:val="22"/>
        </w:rPr>
        <w:t>Salvaguardas legales fundamentales</w:t>
      </w:r>
      <w:r w:rsidR="00827F46" w:rsidRPr="00775AE5">
        <w:rPr>
          <w:rFonts w:ascii="Arial" w:hAnsi="Arial" w:cs="Arial"/>
          <w:b/>
          <w:sz w:val="22"/>
          <w:szCs w:val="22"/>
        </w:rPr>
        <w:t xml:space="preserve"> </w:t>
      </w:r>
    </w:p>
    <w:p w14:paraId="0DCABCD5" w14:textId="77777777" w:rsidR="00827F46" w:rsidRPr="00775AE5" w:rsidRDefault="00827F46" w:rsidP="00390DF2">
      <w:pPr>
        <w:widowControl w:val="0"/>
        <w:suppressAutoHyphens/>
        <w:spacing w:line="276" w:lineRule="auto"/>
        <w:jc w:val="both"/>
        <w:rPr>
          <w:rFonts w:ascii="Arial" w:eastAsia="DejaVu Sans" w:hAnsi="Arial" w:cs="Arial"/>
          <w:sz w:val="22"/>
          <w:szCs w:val="22"/>
          <w:lang w:eastAsia="es-EC"/>
        </w:rPr>
      </w:pPr>
    </w:p>
    <w:p w14:paraId="35BAF532" w14:textId="77777777" w:rsidR="00A2295D" w:rsidRPr="00775AE5" w:rsidRDefault="00EC4763" w:rsidP="00390DF2">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w:t>
      </w:r>
      <w:r w:rsidR="00A2295D" w:rsidRPr="00775AE5">
        <w:rPr>
          <w:rFonts w:ascii="Arial" w:eastAsia="DejaVu Sans" w:hAnsi="Arial" w:cs="Arial"/>
          <w:sz w:val="22"/>
          <w:szCs w:val="22"/>
          <w:lang w:val="es-VE" w:eastAsia="es-EC"/>
        </w:rPr>
        <w:t>l Estado ecuatoriano ha sido observado por distintos organismos de Naciones Unidas respecto al tratamiento de las personas privadas de libertad, como lo ha hecho el Comité contra la Tortura y el Subcomité para la Prevención de la Tortura. Además, el Ecuador ha sido declarado responsable internacionalmente por la Corte Interamericana de Derechos Humanos en varias sentencias por la vulneración de derechos de personas privadas de libertad, que obligan al país a mejorar las condiciones de privación de libertad, a disminuir el uso de la prisión preventiva y a coadyuvar con la prevención del delito a través de medidas no punitivas.</w:t>
      </w:r>
    </w:p>
    <w:p w14:paraId="605D5362" w14:textId="77777777" w:rsidR="00F32EEF" w:rsidRPr="00775AE5" w:rsidRDefault="00F32EEF" w:rsidP="00F32EEF">
      <w:pPr>
        <w:widowControl w:val="0"/>
        <w:suppressAutoHyphens/>
        <w:spacing w:line="276" w:lineRule="auto"/>
        <w:jc w:val="both"/>
        <w:rPr>
          <w:rFonts w:ascii="Arial" w:eastAsia="DejaVu Sans" w:hAnsi="Arial" w:cs="Arial"/>
          <w:sz w:val="22"/>
          <w:szCs w:val="22"/>
          <w:lang w:val="es-VE" w:eastAsia="es-EC"/>
        </w:rPr>
      </w:pPr>
    </w:p>
    <w:p w14:paraId="7754B6BB" w14:textId="77777777" w:rsidR="00A2295D" w:rsidRPr="00775AE5" w:rsidRDefault="00F32EEF" w:rsidP="00F32EEF">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Además, s</w:t>
      </w:r>
      <w:r w:rsidR="00A2295D" w:rsidRPr="00775AE5">
        <w:rPr>
          <w:rFonts w:ascii="Arial" w:eastAsia="DejaVu Sans" w:hAnsi="Arial" w:cs="Arial"/>
          <w:sz w:val="22"/>
          <w:szCs w:val="22"/>
          <w:lang w:val="es-VE" w:eastAsia="es-EC"/>
        </w:rPr>
        <w:t>alvaguardas fundamentales contempladas en nuestra legislación no fueron observadas al momento en que la fuerza pública ejecutó las aprehensiones de los manifestantes en el marco de las protestas de octubre de 2019; principalmente las relacionadas a lectura de derechos, identificación de los agentes aprehensores, explicación de motivos y la autoridad que la dispone, llamada telefónica para comunicarse con familiares o abogado patrocinado, permanencia en un lugar autorizado como</w:t>
      </w:r>
      <w:r w:rsidRPr="00775AE5">
        <w:rPr>
          <w:rFonts w:ascii="Arial" w:eastAsia="DejaVu Sans" w:hAnsi="Arial" w:cs="Arial"/>
          <w:sz w:val="22"/>
          <w:szCs w:val="22"/>
          <w:lang w:val="es-VE" w:eastAsia="es-EC"/>
        </w:rPr>
        <w:t xml:space="preserve"> Lugar de privación de libertad (</w:t>
      </w:r>
      <w:r w:rsidR="00A2295D" w:rsidRPr="00775AE5">
        <w:rPr>
          <w:rFonts w:ascii="Arial" w:eastAsia="DejaVu Sans" w:hAnsi="Arial" w:cs="Arial"/>
          <w:sz w:val="22"/>
          <w:szCs w:val="22"/>
          <w:lang w:val="es-VE" w:eastAsia="es-EC"/>
        </w:rPr>
        <w:t>LPL</w:t>
      </w:r>
      <w:r w:rsidRPr="00775AE5">
        <w:rPr>
          <w:rFonts w:ascii="Arial" w:eastAsia="DejaVu Sans" w:hAnsi="Arial" w:cs="Arial"/>
          <w:sz w:val="22"/>
          <w:szCs w:val="22"/>
          <w:lang w:val="es-VE" w:eastAsia="es-EC"/>
        </w:rPr>
        <w:t>)</w:t>
      </w:r>
      <w:r w:rsidR="00A2295D" w:rsidRPr="00775AE5">
        <w:rPr>
          <w:rFonts w:ascii="Arial" w:eastAsia="DejaVu Sans" w:hAnsi="Arial" w:cs="Arial"/>
          <w:sz w:val="22"/>
          <w:szCs w:val="22"/>
          <w:lang w:val="es-VE" w:eastAsia="es-EC"/>
        </w:rPr>
        <w:t xml:space="preserve"> mientras espera su respectiva audiencia, entre otros. </w:t>
      </w:r>
    </w:p>
    <w:p w14:paraId="07F325DD" w14:textId="77777777" w:rsidR="00F32EEF" w:rsidRPr="00775AE5" w:rsidRDefault="00F32EEF" w:rsidP="00F32EEF">
      <w:pPr>
        <w:widowControl w:val="0"/>
        <w:suppressAutoHyphens/>
        <w:spacing w:line="276" w:lineRule="auto"/>
        <w:jc w:val="both"/>
        <w:rPr>
          <w:rFonts w:ascii="Arial" w:eastAsia="DejaVu Sans" w:hAnsi="Arial" w:cs="Arial"/>
          <w:sz w:val="22"/>
          <w:szCs w:val="22"/>
          <w:lang w:val="es-VE" w:eastAsia="es-EC"/>
        </w:rPr>
      </w:pPr>
    </w:p>
    <w:p w14:paraId="16004191" w14:textId="77777777" w:rsidR="00A2295D" w:rsidRPr="00775AE5" w:rsidRDefault="00A2295D" w:rsidP="00F32EEF">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Se han recogido testimonios mayoritarios y concordantes, acerca del hecho de que gran parte de las personas que fueron aprehendidas durante las protestas de octubre de 2019 por parte de la fuerza pública, sufrieron malos tratos injustificados o desproporcionados, tanto al momento de su detención como en el lapso posterior en que fueron mantenidos bajo la custodia de las fuerzas policiales o militares.</w:t>
      </w:r>
    </w:p>
    <w:p w14:paraId="22E00695" w14:textId="77777777" w:rsidR="00F32EEF" w:rsidRPr="00775AE5" w:rsidRDefault="00F32EEF" w:rsidP="00F32EEF">
      <w:pPr>
        <w:widowControl w:val="0"/>
        <w:suppressAutoHyphens/>
        <w:spacing w:line="276" w:lineRule="auto"/>
        <w:jc w:val="both"/>
        <w:rPr>
          <w:rFonts w:ascii="Arial" w:eastAsia="DejaVu Sans" w:hAnsi="Arial" w:cs="Arial"/>
          <w:sz w:val="22"/>
          <w:szCs w:val="22"/>
          <w:lang w:val="es-VE" w:eastAsia="es-EC"/>
        </w:rPr>
      </w:pPr>
    </w:p>
    <w:p w14:paraId="2984A2AF" w14:textId="77777777" w:rsidR="00640CCA" w:rsidRPr="00775AE5" w:rsidRDefault="00A2295D" w:rsidP="00F32EEF">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Las salvaguardas al momento de la detención no fueron cumplidas por parte del gobierno durante las detenciones en las manifestaciones del mes de octubre de 2019. Según lo observado por el MNPT y por las denuncias de las personas detenidas. Así, se refirieron vulneraciones al debido proceso, pues los detenidos previos de ser trasladados a la zona de aseguramiento transitorio, fueron llevados a unidades de la policía comunitaria, en donde fueron maltratados físicamente, como sucedió en la ciudad de Quito.</w:t>
      </w:r>
    </w:p>
    <w:p w14:paraId="076950BC" w14:textId="1844FC02" w:rsidR="00F32EEF" w:rsidRPr="00775AE5" w:rsidRDefault="008A042C" w:rsidP="00F32EEF">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 </w:t>
      </w:r>
    </w:p>
    <w:p w14:paraId="6E4ADE29" w14:textId="77777777" w:rsidR="00A2295D" w:rsidRPr="00775AE5" w:rsidRDefault="00A2295D" w:rsidP="00F32EEF">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Además, en otros casos, grupos de personas detenidas fueron llevados a las instalaciones del GIR, el mismo que no es un lugar autorizado para la permanencia de personas detenidas.</w:t>
      </w:r>
    </w:p>
    <w:p w14:paraId="4939CEFE" w14:textId="77777777" w:rsidR="00F32EEF" w:rsidRPr="00775AE5" w:rsidRDefault="00F32EEF" w:rsidP="00F32EEF">
      <w:pPr>
        <w:widowControl w:val="0"/>
        <w:suppressAutoHyphens/>
        <w:spacing w:line="276" w:lineRule="auto"/>
        <w:jc w:val="both"/>
        <w:rPr>
          <w:rFonts w:ascii="Arial" w:eastAsia="DejaVu Sans" w:hAnsi="Arial" w:cs="Arial"/>
          <w:sz w:val="22"/>
          <w:szCs w:val="22"/>
          <w:lang w:val="es-VE" w:eastAsia="es-EC"/>
        </w:rPr>
      </w:pPr>
    </w:p>
    <w:p w14:paraId="49C6C91B" w14:textId="5F73411E" w:rsidR="00A2295D" w:rsidRPr="00775AE5" w:rsidRDefault="00A2295D" w:rsidP="00F32EEF">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Por lo antes expuesto, las principales preocupaciones respecto a salvaguardas en </w:t>
      </w:r>
      <w:r w:rsidR="00CA38EB" w:rsidRPr="00775AE5">
        <w:rPr>
          <w:rFonts w:ascii="Arial" w:eastAsia="DejaVu Sans" w:hAnsi="Arial" w:cs="Arial"/>
          <w:sz w:val="22"/>
          <w:szCs w:val="22"/>
          <w:lang w:val="es-VE" w:eastAsia="es-EC"/>
        </w:rPr>
        <w:t>primeras horas</w:t>
      </w:r>
      <w:r w:rsidRPr="00775AE5">
        <w:rPr>
          <w:rFonts w:ascii="Arial" w:eastAsia="DejaVu Sans" w:hAnsi="Arial" w:cs="Arial"/>
          <w:sz w:val="22"/>
          <w:szCs w:val="22"/>
          <w:lang w:val="es-VE" w:eastAsia="es-EC"/>
        </w:rPr>
        <w:t xml:space="preserve"> de detención identificadas por el MNPT</w:t>
      </w:r>
      <w:r w:rsidR="00F32EEF" w:rsidRPr="00775AE5">
        <w:rPr>
          <w:rFonts w:ascii="Arial" w:eastAsia="DejaVu Sans" w:hAnsi="Arial" w:cs="Arial"/>
          <w:sz w:val="22"/>
          <w:szCs w:val="22"/>
          <w:lang w:val="es-VE" w:eastAsia="es-EC"/>
        </w:rPr>
        <w:t xml:space="preserve"> son</w:t>
      </w:r>
      <w:r w:rsidRPr="00775AE5">
        <w:rPr>
          <w:rFonts w:ascii="Arial" w:eastAsia="DejaVu Sans" w:hAnsi="Arial" w:cs="Arial"/>
          <w:sz w:val="22"/>
          <w:szCs w:val="22"/>
          <w:lang w:val="es-VE" w:eastAsia="es-EC"/>
        </w:rPr>
        <w:t>:</w:t>
      </w:r>
    </w:p>
    <w:p w14:paraId="6A1DDAB0" w14:textId="77777777" w:rsidR="00F32EEF" w:rsidRPr="00775AE5" w:rsidRDefault="00F32EEF" w:rsidP="00F32EEF">
      <w:pPr>
        <w:widowControl w:val="0"/>
        <w:suppressAutoHyphens/>
        <w:spacing w:line="276" w:lineRule="auto"/>
        <w:jc w:val="both"/>
        <w:rPr>
          <w:rFonts w:ascii="Arial" w:eastAsia="DejaVu Sans" w:hAnsi="Arial" w:cs="Arial"/>
          <w:sz w:val="22"/>
          <w:szCs w:val="22"/>
          <w:lang w:val="es-VE" w:eastAsia="es-EC"/>
        </w:rPr>
      </w:pPr>
    </w:p>
    <w:p w14:paraId="165B6F87" w14:textId="77777777" w:rsidR="00A2295D" w:rsidRPr="00775AE5" w:rsidRDefault="00A2295D" w:rsidP="00A307D8">
      <w:pPr>
        <w:widowControl w:val="0"/>
        <w:numPr>
          <w:ilvl w:val="0"/>
          <w:numId w:val="8"/>
        </w:numPr>
        <w:suppressAutoHyphens/>
        <w:spacing w:line="276" w:lineRule="auto"/>
        <w:jc w:val="both"/>
        <w:rPr>
          <w:rFonts w:ascii="Arial" w:eastAsia="DejaVu Sans" w:hAnsi="Arial" w:cs="Arial"/>
          <w:b/>
          <w:sz w:val="22"/>
          <w:szCs w:val="22"/>
          <w:lang w:val="es-VE" w:eastAsia="es-EC"/>
        </w:rPr>
      </w:pPr>
      <w:r w:rsidRPr="00775AE5">
        <w:rPr>
          <w:rFonts w:ascii="Arial" w:eastAsia="DejaVu Sans" w:hAnsi="Arial" w:cs="Arial"/>
          <w:b/>
          <w:sz w:val="22"/>
          <w:szCs w:val="22"/>
          <w:lang w:val="es-VE" w:eastAsia="es-EC"/>
        </w:rPr>
        <w:t>Garantías del debido proceso</w:t>
      </w:r>
    </w:p>
    <w:p w14:paraId="4CD23C80" w14:textId="77777777" w:rsidR="00F32EEF" w:rsidRPr="00775AE5" w:rsidRDefault="00F32EEF" w:rsidP="00390DF2">
      <w:pPr>
        <w:widowControl w:val="0"/>
        <w:suppressAutoHyphens/>
        <w:spacing w:line="276" w:lineRule="auto"/>
        <w:jc w:val="both"/>
        <w:rPr>
          <w:rFonts w:ascii="Arial" w:eastAsia="DejaVu Sans" w:hAnsi="Arial" w:cs="Arial"/>
          <w:sz w:val="22"/>
          <w:szCs w:val="22"/>
          <w:lang w:val="es-VE" w:eastAsia="es-EC"/>
        </w:rPr>
      </w:pPr>
    </w:p>
    <w:p w14:paraId="3867C5A7" w14:textId="77777777" w:rsidR="00A2295D" w:rsidRPr="00775AE5" w:rsidRDefault="00A2295D" w:rsidP="00390DF2">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Los agentes aprehensores no se identificaron al momento de la detención; no señalaron de forma y lenguaje claro y sencillo los motivos de detención, en algunos casos solo se limitaron únicamente a señalar un artículo de la ley, sin embargo, las personas entrevistadas no tenían claridad del tipo penal.</w:t>
      </w:r>
    </w:p>
    <w:p w14:paraId="001678A1" w14:textId="77777777" w:rsidR="00F32EEF" w:rsidRPr="00775AE5" w:rsidRDefault="00F32EEF" w:rsidP="00F32EEF">
      <w:pPr>
        <w:widowControl w:val="0"/>
        <w:suppressAutoHyphens/>
        <w:spacing w:line="276" w:lineRule="auto"/>
        <w:jc w:val="both"/>
        <w:rPr>
          <w:rFonts w:ascii="Arial" w:eastAsia="DejaVu Sans" w:hAnsi="Arial" w:cs="Arial"/>
          <w:sz w:val="22"/>
          <w:szCs w:val="22"/>
          <w:lang w:val="es-VE" w:eastAsia="es-EC"/>
        </w:rPr>
      </w:pPr>
    </w:p>
    <w:p w14:paraId="791E6D9C" w14:textId="77777777" w:rsidR="00A2295D" w:rsidRPr="00775AE5" w:rsidRDefault="00A2295D" w:rsidP="00F32EEF">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De la revisión de los expedientes, se identificó en las hojas de lectura de derechos que la persona “SE ENCUENTRA APREHENDIDO POR LA PRESUNTA INFRACCION FLAGRANTE” sin detallar el tipo penal especifico que dio lugar a la aprehensión en flagrancia.</w:t>
      </w:r>
    </w:p>
    <w:p w14:paraId="1F5FF190" w14:textId="77777777" w:rsidR="00F32EEF" w:rsidRPr="00775AE5" w:rsidRDefault="00F32EEF" w:rsidP="00F32EEF">
      <w:pPr>
        <w:widowControl w:val="0"/>
        <w:suppressAutoHyphens/>
        <w:spacing w:line="276" w:lineRule="auto"/>
        <w:jc w:val="both"/>
        <w:rPr>
          <w:rFonts w:ascii="Arial" w:eastAsia="DejaVu Sans" w:hAnsi="Arial" w:cs="Arial"/>
          <w:sz w:val="22"/>
          <w:szCs w:val="22"/>
          <w:lang w:val="es-VE" w:eastAsia="es-EC"/>
        </w:rPr>
      </w:pPr>
    </w:p>
    <w:p w14:paraId="3EC2D430" w14:textId="77777777" w:rsidR="00A2295D" w:rsidRPr="00775AE5" w:rsidRDefault="00A2295D" w:rsidP="00F32EEF">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Las personas aprehendidas no fueron trasladadas a la unidad de flagrancia de forma directa e inmediata. En Quito, en algunos casos fueron trasladados a la UPC de Carapungo, UPC de Calderón y a la UPC Manuela Sáenz; e incluso se identificó el traslado de las personas aprehendidas en la Asamblea a las instalaciones del Grupo de intervención y rescate de la Policía Nacional GIR, incumpliendo así las garantías del debido proceso, que inclusive en este último caso, se pretendía llevar a cabo la audiencia de Flagrancia en estas instalaciones, y no en los juzgados tal como la legislación lo determina.   </w:t>
      </w:r>
    </w:p>
    <w:p w14:paraId="53531C17" w14:textId="77777777" w:rsidR="00F32EEF" w:rsidRPr="00775AE5" w:rsidRDefault="00F32EEF" w:rsidP="00F32EEF">
      <w:pPr>
        <w:widowControl w:val="0"/>
        <w:suppressAutoHyphens/>
        <w:spacing w:line="276" w:lineRule="auto"/>
        <w:jc w:val="both"/>
        <w:rPr>
          <w:rFonts w:ascii="Arial" w:eastAsia="DejaVu Sans" w:hAnsi="Arial" w:cs="Arial"/>
          <w:sz w:val="22"/>
          <w:szCs w:val="22"/>
          <w:lang w:val="es-VE" w:eastAsia="es-EC"/>
        </w:rPr>
      </w:pPr>
    </w:p>
    <w:p w14:paraId="3669725A" w14:textId="77777777" w:rsidR="00A2295D" w:rsidRPr="00775AE5" w:rsidRDefault="00A2295D" w:rsidP="00F32EEF">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No se garantizó a todas las personas detenidas el acceso a una llamada a familiares o abogados de manera inmediata, sino que esto fue al momento de llegar a las unidades de flagrancia, luego de horas después de su detención. De la misma manera, las personas detenidas desconocían cuando se realizaría su audiencia pues no tenían acceso a ningún tipo de información, ni tampoco a poder prepararse para la misma con antelación con sus abogados.</w:t>
      </w:r>
    </w:p>
    <w:p w14:paraId="0654B1ED" w14:textId="77777777" w:rsidR="00F32EEF" w:rsidRPr="00775AE5" w:rsidRDefault="00F32EEF" w:rsidP="00F32EEF">
      <w:pPr>
        <w:widowControl w:val="0"/>
        <w:suppressAutoHyphens/>
        <w:spacing w:line="276" w:lineRule="auto"/>
        <w:jc w:val="both"/>
        <w:rPr>
          <w:rFonts w:ascii="Arial" w:eastAsia="DejaVu Sans" w:hAnsi="Arial" w:cs="Arial"/>
          <w:sz w:val="22"/>
          <w:szCs w:val="22"/>
          <w:lang w:val="es-VE" w:eastAsia="es-EC"/>
        </w:rPr>
      </w:pPr>
    </w:p>
    <w:p w14:paraId="7A3A92A8" w14:textId="77777777" w:rsidR="00A2295D" w:rsidRPr="00775AE5" w:rsidRDefault="00A2295D" w:rsidP="00F32EEF">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Al momento de la entrevista con organizaciones de derechos humanos de la sociedad civil y abogados particulares, manifestaron que a pesar de que familiares de las personas detenidas los contactaron para que asuman la defensa, no se les había permitido tener contacto con sus defendidos.</w:t>
      </w:r>
    </w:p>
    <w:p w14:paraId="341934C3" w14:textId="77777777" w:rsidR="00F32EEF" w:rsidRPr="00775AE5" w:rsidRDefault="00F32EEF" w:rsidP="00F32EEF">
      <w:pPr>
        <w:widowControl w:val="0"/>
        <w:suppressAutoHyphens/>
        <w:spacing w:line="276" w:lineRule="auto"/>
        <w:jc w:val="both"/>
        <w:rPr>
          <w:rFonts w:ascii="Arial" w:eastAsia="DejaVu Sans" w:hAnsi="Arial" w:cs="Arial"/>
          <w:sz w:val="22"/>
          <w:szCs w:val="22"/>
          <w:lang w:val="es-VE" w:eastAsia="es-EC"/>
        </w:rPr>
      </w:pPr>
    </w:p>
    <w:p w14:paraId="4609EEE3" w14:textId="77777777" w:rsidR="00A2295D" w:rsidRPr="00775AE5" w:rsidRDefault="00A2295D" w:rsidP="00A307D8">
      <w:pPr>
        <w:widowControl w:val="0"/>
        <w:numPr>
          <w:ilvl w:val="0"/>
          <w:numId w:val="8"/>
        </w:numPr>
        <w:suppressAutoHyphens/>
        <w:spacing w:line="276" w:lineRule="auto"/>
        <w:jc w:val="both"/>
        <w:rPr>
          <w:rFonts w:ascii="Arial" w:eastAsia="DejaVu Sans" w:hAnsi="Arial" w:cs="Arial"/>
          <w:b/>
          <w:sz w:val="22"/>
          <w:szCs w:val="22"/>
          <w:lang w:val="es-VE" w:eastAsia="es-EC"/>
        </w:rPr>
      </w:pPr>
      <w:r w:rsidRPr="00775AE5">
        <w:rPr>
          <w:rFonts w:ascii="Arial" w:eastAsia="DejaVu Sans" w:hAnsi="Arial" w:cs="Arial"/>
          <w:b/>
          <w:sz w:val="22"/>
          <w:szCs w:val="22"/>
          <w:lang w:val="es-VE" w:eastAsia="es-EC"/>
        </w:rPr>
        <w:t xml:space="preserve">Derecho a la integridad </w:t>
      </w:r>
    </w:p>
    <w:p w14:paraId="061E5056" w14:textId="77777777" w:rsidR="00F32EEF" w:rsidRPr="00775AE5" w:rsidRDefault="00F32EEF" w:rsidP="00390DF2">
      <w:pPr>
        <w:widowControl w:val="0"/>
        <w:suppressAutoHyphens/>
        <w:spacing w:line="276" w:lineRule="auto"/>
        <w:jc w:val="both"/>
        <w:rPr>
          <w:rFonts w:ascii="Arial" w:eastAsia="DejaVu Sans" w:hAnsi="Arial" w:cs="Arial"/>
          <w:sz w:val="22"/>
          <w:szCs w:val="22"/>
          <w:lang w:val="es-VE" w:eastAsia="es-EC"/>
        </w:rPr>
      </w:pPr>
    </w:p>
    <w:p w14:paraId="53FCACDC" w14:textId="77777777" w:rsidR="00A2295D" w:rsidRPr="00775AE5" w:rsidRDefault="00A2295D" w:rsidP="00390DF2">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Las entrevistas se realizaron a las personas detenidas que se encontraban en el subsuelo de la Unidad de Flagrancia, y a quienes ya se encontraban en las celdas de la ZAT, mismas que mencionaron que existió uso excesivo de la fuerza por parte de la policía al momento de la detención, pues recibieron golpes, puñetes, cachetadas, patadas e insultos de los agentes aprehensores. Causó extrema preocupación el caso de una persona detenida quien manifestó que al llegar en el área del parqueadero de la ZAT ubicado en la av. Patria, fue esposado por la espalda y sumergida su cabeza en agua por no tener una identificación y negarse a indicar sus nombres, además de ser amenazado con ser asesinado y desaparecido si se seguía negando proporcionar información; estas acciones habrían sido ejecutadas por miembros de la Policía Nacional. La versión del detenido fue corroborada por otra de las PPL quien fue detenido junto al denunciante de los maltratos. Los casos identificados por el MNPT en sus visitas fueron puestos en conocimiento de la Fiscalía para la correspondiente investigación. </w:t>
      </w:r>
    </w:p>
    <w:p w14:paraId="1F8067EA" w14:textId="77777777" w:rsidR="00F32EEF" w:rsidRPr="00775AE5" w:rsidRDefault="00F32EEF" w:rsidP="00390DF2">
      <w:pPr>
        <w:widowControl w:val="0"/>
        <w:suppressAutoHyphens/>
        <w:spacing w:line="276" w:lineRule="auto"/>
        <w:jc w:val="both"/>
        <w:rPr>
          <w:rFonts w:ascii="Arial" w:eastAsia="DejaVu Sans" w:hAnsi="Arial" w:cs="Arial"/>
          <w:sz w:val="22"/>
          <w:szCs w:val="22"/>
          <w:lang w:val="es-VE" w:eastAsia="es-EC"/>
        </w:rPr>
      </w:pPr>
    </w:p>
    <w:p w14:paraId="1C1F3661" w14:textId="77777777" w:rsidR="00A2295D" w:rsidRPr="00775AE5" w:rsidRDefault="00A2295D" w:rsidP="00A307D8">
      <w:pPr>
        <w:widowControl w:val="0"/>
        <w:numPr>
          <w:ilvl w:val="0"/>
          <w:numId w:val="8"/>
        </w:numPr>
        <w:suppressAutoHyphens/>
        <w:spacing w:line="276" w:lineRule="auto"/>
        <w:jc w:val="both"/>
        <w:rPr>
          <w:rFonts w:ascii="Arial" w:eastAsia="DejaVu Sans" w:hAnsi="Arial" w:cs="Arial"/>
          <w:b/>
          <w:sz w:val="22"/>
          <w:szCs w:val="22"/>
          <w:lang w:val="es-VE" w:eastAsia="es-EC"/>
        </w:rPr>
      </w:pPr>
      <w:r w:rsidRPr="00775AE5">
        <w:rPr>
          <w:rFonts w:ascii="Arial" w:eastAsia="DejaVu Sans" w:hAnsi="Arial" w:cs="Arial"/>
          <w:b/>
          <w:sz w:val="22"/>
          <w:szCs w:val="22"/>
          <w:lang w:val="es-VE" w:eastAsia="es-EC"/>
        </w:rPr>
        <w:t>Condiciones de permanencia durante la detención.</w:t>
      </w:r>
    </w:p>
    <w:p w14:paraId="7475EDD1" w14:textId="77777777" w:rsidR="00F32EEF" w:rsidRPr="00775AE5" w:rsidRDefault="00F32EEF" w:rsidP="00390DF2">
      <w:pPr>
        <w:widowControl w:val="0"/>
        <w:suppressAutoHyphens/>
        <w:spacing w:line="276" w:lineRule="auto"/>
        <w:jc w:val="both"/>
        <w:rPr>
          <w:rFonts w:ascii="Arial" w:eastAsia="DejaVu Sans" w:hAnsi="Arial" w:cs="Arial"/>
          <w:sz w:val="22"/>
          <w:szCs w:val="22"/>
          <w:lang w:val="es-VE" w:eastAsia="es-EC"/>
        </w:rPr>
      </w:pPr>
    </w:p>
    <w:p w14:paraId="6B316F2C" w14:textId="77777777" w:rsidR="00A2295D" w:rsidRPr="00775AE5" w:rsidRDefault="00A2295D" w:rsidP="00390DF2">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Previo el ingreso a la ZAT en la ciudad de Quito, las personas detenidas permanecieron en el subsuelo de la Unidad de Flagrancia, donde no existen sillas o bancas, y deben permanecer sentadas en el piso, mientras duraba el proceso de ingreso. Cabe señalar que las personas detenidas debieron pernoctar en el suelo y sin cobijas.</w:t>
      </w:r>
    </w:p>
    <w:p w14:paraId="6282DBC0" w14:textId="77777777" w:rsidR="00F32EEF" w:rsidRPr="00775AE5" w:rsidRDefault="00F32EEF" w:rsidP="00F32EEF">
      <w:pPr>
        <w:widowControl w:val="0"/>
        <w:suppressAutoHyphens/>
        <w:spacing w:line="276" w:lineRule="auto"/>
        <w:jc w:val="both"/>
        <w:rPr>
          <w:rFonts w:ascii="Arial" w:eastAsia="DejaVu Sans" w:hAnsi="Arial" w:cs="Arial"/>
          <w:sz w:val="22"/>
          <w:szCs w:val="22"/>
          <w:lang w:val="es-VE" w:eastAsia="es-EC"/>
        </w:rPr>
      </w:pPr>
    </w:p>
    <w:p w14:paraId="51353CD3" w14:textId="77777777" w:rsidR="00A2295D" w:rsidRPr="00775AE5" w:rsidRDefault="00A2295D" w:rsidP="00F32EEF">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Previo el ingreso a las instalaciones del GIR como se mencionó, el personal policial les habría ordenado permanecer sentadas o hasta acostadas en el piso, mientras se realizaba el proceso de ingreso, proceso que duró varias horas.</w:t>
      </w:r>
    </w:p>
    <w:p w14:paraId="026B4FF6" w14:textId="77777777" w:rsidR="00F32EEF" w:rsidRPr="00775AE5" w:rsidRDefault="00F32EEF" w:rsidP="00F32EEF">
      <w:pPr>
        <w:widowControl w:val="0"/>
        <w:suppressAutoHyphens/>
        <w:spacing w:line="276" w:lineRule="auto"/>
        <w:jc w:val="both"/>
        <w:rPr>
          <w:rFonts w:ascii="Arial" w:eastAsia="DejaVu Sans" w:hAnsi="Arial" w:cs="Arial"/>
          <w:sz w:val="22"/>
          <w:szCs w:val="22"/>
          <w:lang w:val="es-VE" w:eastAsia="es-EC"/>
        </w:rPr>
      </w:pPr>
    </w:p>
    <w:p w14:paraId="69E733A8" w14:textId="77777777" w:rsidR="00A2295D" w:rsidRPr="00775AE5" w:rsidRDefault="00A2295D" w:rsidP="00F32EEF">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En el caso de las personas detenidas en el ZAT desde la detención la mayoría de personas no accedieron a alimentos, salvo casos cuyos familiares les proveyeron de los mismos. En el caso de las 74 personas detenidas que se encontraban en el GIR señalaron que desde su detención no habían accedido a alimentación, y solo un grupo pudo comprar alimento que los estaban compartiendo con otros detenidos. Respecto a la hora en la que se entregaría alimento para las personas detenidas se consultó con el personal del SNAI, manifestando que ya se había previsto la entrega de desayuno del día siguiente.</w:t>
      </w:r>
    </w:p>
    <w:p w14:paraId="65B5A313" w14:textId="77777777" w:rsidR="0066483F" w:rsidRPr="00775AE5" w:rsidRDefault="0066483F" w:rsidP="0066483F">
      <w:pPr>
        <w:widowControl w:val="0"/>
        <w:suppressAutoHyphens/>
        <w:spacing w:line="276" w:lineRule="auto"/>
        <w:jc w:val="both"/>
        <w:rPr>
          <w:rFonts w:ascii="Arial" w:eastAsia="DejaVu Sans" w:hAnsi="Arial" w:cs="Arial"/>
          <w:sz w:val="22"/>
          <w:szCs w:val="22"/>
          <w:lang w:val="es-VE" w:eastAsia="es-EC"/>
        </w:rPr>
      </w:pPr>
    </w:p>
    <w:p w14:paraId="043E0817" w14:textId="77777777" w:rsidR="00A2295D" w:rsidRPr="00775AE5" w:rsidRDefault="00A2295D" w:rsidP="0066483F">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Las personas detenidas refirieron que estaban tomando agua para la sed de los lavabos ubicados en los baños, ya que no se les proporcionaba agua para el consumo.</w:t>
      </w:r>
    </w:p>
    <w:p w14:paraId="5AC91B51" w14:textId="77777777" w:rsidR="0066483F" w:rsidRPr="00775AE5" w:rsidRDefault="0066483F" w:rsidP="0066483F">
      <w:pPr>
        <w:widowControl w:val="0"/>
        <w:suppressAutoHyphens/>
        <w:spacing w:line="276" w:lineRule="auto"/>
        <w:jc w:val="both"/>
        <w:rPr>
          <w:rFonts w:ascii="Arial" w:eastAsia="DejaVu Sans" w:hAnsi="Arial" w:cs="Arial"/>
          <w:sz w:val="22"/>
          <w:szCs w:val="22"/>
          <w:lang w:val="es-VE" w:eastAsia="es-EC"/>
        </w:rPr>
      </w:pPr>
    </w:p>
    <w:p w14:paraId="7029DEC5" w14:textId="77777777" w:rsidR="00A2295D" w:rsidRPr="00775AE5" w:rsidRDefault="00A2295D" w:rsidP="00A307D8">
      <w:pPr>
        <w:widowControl w:val="0"/>
        <w:numPr>
          <w:ilvl w:val="0"/>
          <w:numId w:val="8"/>
        </w:numPr>
        <w:suppressAutoHyphens/>
        <w:spacing w:line="276" w:lineRule="auto"/>
        <w:jc w:val="both"/>
        <w:rPr>
          <w:rFonts w:ascii="Arial" w:eastAsia="DejaVu Sans" w:hAnsi="Arial" w:cs="Arial"/>
          <w:b/>
          <w:sz w:val="22"/>
          <w:szCs w:val="22"/>
          <w:lang w:val="es-VE" w:eastAsia="es-EC"/>
        </w:rPr>
      </w:pPr>
      <w:r w:rsidRPr="00775AE5">
        <w:rPr>
          <w:rFonts w:ascii="Arial" w:eastAsia="DejaVu Sans" w:hAnsi="Arial" w:cs="Arial"/>
          <w:b/>
          <w:sz w:val="22"/>
          <w:szCs w:val="22"/>
          <w:lang w:val="es-VE" w:eastAsia="es-EC"/>
        </w:rPr>
        <w:t xml:space="preserve">Revisión médica </w:t>
      </w:r>
    </w:p>
    <w:p w14:paraId="11541E6F" w14:textId="77777777" w:rsidR="0066483F" w:rsidRPr="00775AE5" w:rsidRDefault="0066483F" w:rsidP="00390DF2">
      <w:pPr>
        <w:widowControl w:val="0"/>
        <w:suppressAutoHyphens/>
        <w:spacing w:line="276" w:lineRule="auto"/>
        <w:jc w:val="both"/>
        <w:rPr>
          <w:rFonts w:ascii="Arial" w:eastAsia="DejaVu Sans" w:hAnsi="Arial" w:cs="Arial"/>
          <w:sz w:val="22"/>
          <w:szCs w:val="22"/>
          <w:lang w:val="es-VE" w:eastAsia="es-EC"/>
        </w:rPr>
      </w:pPr>
    </w:p>
    <w:p w14:paraId="63204D55" w14:textId="77777777" w:rsidR="00A2295D" w:rsidRPr="00775AE5" w:rsidRDefault="0094224A" w:rsidP="00390DF2">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Con relación al</w:t>
      </w:r>
      <w:r w:rsidR="00A2295D" w:rsidRPr="00775AE5">
        <w:rPr>
          <w:rFonts w:ascii="Arial" w:eastAsia="DejaVu Sans" w:hAnsi="Arial" w:cs="Arial"/>
          <w:sz w:val="22"/>
          <w:szCs w:val="22"/>
          <w:lang w:val="es-VE" w:eastAsia="es-EC"/>
        </w:rPr>
        <w:t xml:space="preserve"> certificado médico, por ejemplo, se observó que un grupo de cerca 27 personas detenidas el día 03 de octubre del 2019, serían revisadas para obtención del certificado apenas una hora antes de la audiencia, más no al momento del ingreso a ZAT.</w:t>
      </w:r>
    </w:p>
    <w:p w14:paraId="69439AE1" w14:textId="77777777" w:rsidR="0066483F" w:rsidRPr="00775AE5" w:rsidRDefault="0066483F" w:rsidP="0066483F">
      <w:pPr>
        <w:widowControl w:val="0"/>
        <w:suppressAutoHyphens/>
        <w:spacing w:line="276" w:lineRule="auto"/>
        <w:jc w:val="both"/>
        <w:rPr>
          <w:rFonts w:ascii="Arial" w:eastAsia="DejaVu Sans" w:hAnsi="Arial" w:cs="Arial"/>
          <w:sz w:val="22"/>
          <w:szCs w:val="22"/>
          <w:lang w:val="es-VE" w:eastAsia="es-EC"/>
        </w:rPr>
      </w:pPr>
    </w:p>
    <w:p w14:paraId="6199A43F" w14:textId="77777777" w:rsidR="00A2295D" w:rsidRPr="00775AE5" w:rsidRDefault="00A2295D" w:rsidP="0066483F">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Los consultorios médicos de las ZAT visitadas no cuentan con un espacio adecuado para la revisión de las personas detenidas. La medicación con la que cuentan es básica como antiinflamatorios, medicamentos para problemas digestivos y algunos antibióticos.</w:t>
      </w:r>
    </w:p>
    <w:p w14:paraId="5E3EDE0D" w14:textId="77777777" w:rsidR="0066483F" w:rsidRPr="00775AE5" w:rsidRDefault="0066483F" w:rsidP="0066483F">
      <w:pPr>
        <w:widowControl w:val="0"/>
        <w:suppressAutoHyphens/>
        <w:spacing w:line="276" w:lineRule="auto"/>
        <w:jc w:val="both"/>
        <w:rPr>
          <w:rFonts w:ascii="Arial" w:eastAsia="DejaVu Sans" w:hAnsi="Arial" w:cs="Arial"/>
          <w:sz w:val="22"/>
          <w:szCs w:val="22"/>
          <w:lang w:val="es-VE" w:eastAsia="es-EC"/>
        </w:rPr>
      </w:pPr>
    </w:p>
    <w:p w14:paraId="2CD97868" w14:textId="77777777" w:rsidR="00A2295D" w:rsidRPr="00775AE5" w:rsidRDefault="00A2295D" w:rsidP="0066483F">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En este consultorio no se realiza ningún procedimiento médico, </w:t>
      </w:r>
      <w:r w:rsidR="0094224A" w:rsidRPr="00775AE5">
        <w:rPr>
          <w:rFonts w:ascii="Arial" w:eastAsia="DejaVu Sans" w:hAnsi="Arial" w:cs="Arial"/>
          <w:sz w:val="22"/>
          <w:szCs w:val="22"/>
          <w:lang w:val="es-VE" w:eastAsia="es-EC"/>
        </w:rPr>
        <w:t>como,</w:t>
      </w:r>
      <w:r w:rsidRPr="00775AE5">
        <w:rPr>
          <w:rFonts w:ascii="Arial" w:eastAsia="DejaVu Sans" w:hAnsi="Arial" w:cs="Arial"/>
          <w:sz w:val="22"/>
          <w:szCs w:val="22"/>
          <w:lang w:val="es-VE" w:eastAsia="es-EC"/>
        </w:rPr>
        <w:t xml:space="preserve"> por ejemplo, la sutura de cortes. Cualquier necesidad de otro tipo de atención, las personas detenidas son referidos a centros de salud para su tratamiento. Las personas detenidas que tenían diagnósticos que requieren tratamiento continuo, habían accedido a la medicación, porque sus familiares les habían proporcionado.</w:t>
      </w:r>
    </w:p>
    <w:p w14:paraId="2DED05E6" w14:textId="77777777" w:rsidR="0066483F" w:rsidRPr="00775AE5" w:rsidRDefault="0066483F" w:rsidP="0066483F">
      <w:pPr>
        <w:widowControl w:val="0"/>
        <w:suppressAutoHyphens/>
        <w:spacing w:line="276" w:lineRule="auto"/>
        <w:jc w:val="both"/>
        <w:rPr>
          <w:rFonts w:ascii="Arial" w:eastAsia="DejaVu Sans" w:hAnsi="Arial" w:cs="Arial"/>
          <w:sz w:val="22"/>
          <w:szCs w:val="22"/>
          <w:lang w:val="es-VE" w:eastAsia="es-EC"/>
        </w:rPr>
      </w:pPr>
    </w:p>
    <w:p w14:paraId="79081368" w14:textId="77777777" w:rsidR="00A2295D" w:rsidRPr="00775AE5" w:rsidRDefault="00A2295D" w:rsidP="0066483F">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Durante la visita a las instalaciones del GIR personal médico realizó el chequeo para la obtención del certificado de salud, entre las personas entrevistadas hubo preocupación ya desde su detención no habían tomado su medicación, se identificó tres personas que debían acceder a tratamiento continuo por diabetes, epilepsia y asma.</w:t>
      </w:r>
    </w:p>
    <w:p w14:paraId="45DD683A" w14:textId="77777777" w:rsidR="00771D31" w:rsidRPr="00775AE5" w:rsidRDefault="00771D31" w:rsidP="00390DF2">
      <w:pPr>
        <w:pStyle w:val="Heading2"/>
        <w:spacing w:line="276" w:lineRule="auto"/>
        <w:rPr>
          <w:rFonts w:ascii="Arial" w:hAnsi="Arial"/>
          <w:sz w:val="22"/>
          <w:szCs w:val="22"/>
        </w:rPr>
      </w:pPr>
    </w:p>
    <w:p w14:paraId="0FDAE6C4" w14:textId="193F6821" w:rsidR="003B3792" w:rsidRPr="00775AE5" w:rsidRDefault="00DF11B0" w:rsidP="00640CCA">
      <w:pPr>
        <w:pStyle w:val="Heading3"/>
        <w:rPr>
          <w:rFonts w:ascii="Arial" w:hAnsi="Arial" w:cs="Arial"/>
          <w:color w:val="FFFFFF"/>
          <w:sz w:val="22"/>
          <w:szCs w:val="22"/>
          <w:highlight w:val="magenta"/>
        </w:rPr>
      </w:pPr>
      <w:bookmarkStart w:id="7" w:name="_Toc168907333"/>
      <w:r w:rsidRPr="00775AE5">
        <w:rPr>
          <w:rFonts w:ascii="Arial" w:hAnsi="Arial" w:cs="Arial"/>
          <w:sz w:val="22"/>
          <w:szCs w:val="22"/>
        </w:rPr>
        <w:t>3</w:t>
      </w:r>
      <w:r w:rsidR="00E0191B" w:rsidRPr="00775AE5">
        <w:rPr>
          <w:rFonts w:ascii="Arial" w:hAnsi="Arial" w:cs="Arial"/>
          <w:sz w:val="22"/>
          <w:szCs w:val="22"/>
        </w:rPr>
        <w:t xml:space="preserve">. </w:t>
      </w:r>
      <w:r w:rsidR="004E3C13" w:rsidRPr="00775AE5">
        <w:rPr>
          <w:rFonts w:ascii="Arial" w:hAnsi="Arial" w:cs="Arial"/>
          <w:sz w:val="22"/>
          <w:szCs w:val="22"/>
        </w:rPr>
        <w:t xml:space="preserve">Artículo 2 </w:t>
      </w:r>
      <w:r w:rsidR="006A6BCD" w:rsidRPr="00775AE5">
        <w:rPr>
          <w:rFonts w:ascii="Arial" w:hAnsi="Arial" w:cs="Arial"/>
          <w:sz w:val="22"/>
          <w:szCs w:val="22"/>
        </w:rPr>
        <w:t>(Párrafos 7</w:t>
      </w:r>
      <w:r w:rsidR="00432DCA" w:rsidRPr="00775AE5">
        <w:rPr>
          <w:rFonts w:ascii="Arial" w:hAnsi="Arial" w:cs="Arial"/>
          <w:sz w:val="22"/>
          <w:szCs w:val="22"/>
        </w:rPr>
        <w:t xml:space="preserve"> y </w:t>
      </w:r>
      <w:r w:rsidR="006A6BCD" w:rsidRPr="00775AE5">
        <w:rPr>
          <w:rFonts w:ascii="Arial" w:hAnsi="Arial" w:cs="Arial"/>
          <w:sz w:val="22"/>
          <w:szCs w:val="22"/>
        </w:rPr>
        <w:t>8 de la Lista de Cuestiones)</w:t>
      </w:r>
      <w:bookmarkEnd w:id="7"/>
    </w:p>
    <w:p w14:paraId="5BD39823" w14:textId="77777777" w:rsidR="00883869" w:rsidRPr="00775AE5" w:rsidRDefault="00883869" w:rsidP="00883869">
      <w:pPr>
        <w:pStyle w:val="SingleTxtG"/>
        <w:ind w:left="0" w:right="-93"/>
        <w:rPr>
          <w:rFonts w:ascii="Arial" w:hAnsi="Arial" w:cs="Arial"/>
          <w:sz w:val="22"/>
          <w:szCs w:val="22"/>
        </w:rPr>
      </w:pPr>
    </w:p>
    <w:p w14:paraId="164597E3" w14:textId="7BF8F110" w:rsidR="00883869" w:rsidRPr="00775AE5" w:rsidRDefault="00883869" w:rsidP="00883869">
      <w:pPr>
        <w:jc w:val="both"/>
        <w:rPr>
          <w:rFonts w:ascii="Arial" w:hAnsi="Arial" w:cs="Arial"/>
          <w:sz w:val="22"/>
          <w:szCs w:val="22"/>
        </w:rPr>
      </w:pPr>
      <w:r w:rsidRPr="00775AE5">
        <w:rPr>
          <w:rFonts w:ascii="Arial" w:hAnsi="Arial" w:cs="Arial"/>
          <w:sz w:val="22"/>
          <w:szCs w:val="22"/>
        </w:rPr>
        <w:t>A raíz de los hechos de violencia sexual en contra de niños y niñas sucedidos en la Academia Aeronáutica Mayor Pedro Traversari (AAMPETRA) de la ciudad de Quito y la alarma social que ello provocó este hecho, el 26 de julio de 2017 en el Pleno de la Asamblea Nacional creó una Comisión Especializada Ocasional, con la finalidad de investigar los casos de abuso sexual a niños, niñas y adolescentes, en escuelas y colegios del país y en otras instituciones públicas y privadas.</w:t>
      </w:r>
    </w:p>
    <w:p w14:paraId="06E096B1" w14:textId="77777777" w:rsidR="00883869" w:rsidRPr="00775AE5" w:rsidRDefault="00883869" w:rsidP="00883869">
      <w:pPr>
        <w:rPr>
          <w:rFonts w:ascii="Arial" w:hAnsi="Arial" w:cs="Arial"/>
          <w:sz w:val="22"/>
          <w:szCs w:val="22"/>
        </w:rPr>
      </w:pPr>
    </w:p>
    <w:p w14:paraId="7101B2C1" w14:textId="77777777" w:rsidR="00883869" w:rsidRPr="00775AE5" w:rsidRDefault="00883869" w:rsidP="00883869">
      <w:pPr>
        <w:spacing w:line="276" w:lineRule="auto"/>
        <w:jc w:val="both"/>
        <w:rPr>
          <w:rFonts w:ascii="Arial" w:hAnsi="Arial" w:cs="Arial"/>
          <w:sz w:val="22"/>
          <w:szCs w:val="22"/>
        </w:rPr>
      </w:pPr>
      <w:r w:rsidRPr="00775AE5">
        <w:rPr>
          <w:rFonts w:ascii="Arial" w:hAnsi="Arial" w:cs="Arial"/>
          <w:sz w:val="22"/>
          <w:szCs w:val="22"/>
        </w:rPr>
        <w:t>Las cifras preliminares se destacaron 7.531 denuncias de violencia y abuso sexual contra niñas, niños y adolescentes que recibió la Comisión Especializada Ocasional AAMPETRA las que fueron enviadas a la Fiscalía; estas denuncias corresponden al período comprendido entre enero de 2015 y abril de 2018, y a las que no se les dio seguimiento según el informe de la Asamblea Nacional.</w:t>
      </w:r>
    </w:p>
    <w:p w14:paraId="693387A1" w14:textId="77777777" w:rsidR="00883869" w:rsidRPr="00775AE5" w:rsidRDefault="00883869" w:rsidP="00883869">
      <w:pPr>
        <w:spacing w:line="276" w:lineRule="auto"/>
        <w:jc w:val="both"/>
        <w:rPr>
          <w:rFonts w:ascii="Arial" w:hAnsi="Arial" w:cs="Arial"/>
          <w:sz w:val="22"/>
          <w:szCs w:val="22"/>
        </w:rPr>
      </w:pPr>
    </w:p>
    <w:p w14:paraId="78E70C84" w14:textId="77777777" w:rsidR="00883869" w:rsidRPr="00775AE5" w:rsidRDefault="00883869" w:rsidP="00883869">
      <w:pPr>
        <w:spacing w:line="276" w:lineRule="auto"/>
        <w:jc w:val="both"/>
        <w:rPr>
          <w:rFonts w:ascii="Arial" w:hAnsi="Arial" w:cs="Arial"/>
          <w:sz w:val="22"/>
          <w:szCs w:val="22"/>
        </w:rPr>
      </w:pPr>
      <w:r w:rsidRPr="00775AE5">
        <w:rPr>
          <w:rFonts w:ascii="Arial" w:hAnsi="Arial" w:cs="Arial"/>
          <w:sz w:val="22"/>
          <w:szCs w:val="22"/>
        </w:rPr>
        <w:t>La Defensoría del Pueblo de Ecuador, decidió impulsar una investigación defensorial para dar seguimiento al cumplimiento de las recomendaciones del Informe de la Comisión Ocasional Especializada AAMPETRA y conocer la situación desde el año 2018 hasta junio del 2023.</w:t>
      </w:r>
    </w:p>
    <w:p w14:paraId="52D82CC5" w14:textId="77777777" w:rsidR="00883869" w:rsidRPr="00775AE5" w:rsidRDefault="00883869" w:rsidP="00883869">
      <w:pPr>
        <w:spacing w:line="276" w:lineRule="auto"/>
        <w:jc w:val="both"/>
        <w:rPr>
          <w:rFonts w:ascii="Arial" w:hAnsi="Arial" w:cs="Arial"/>
          <w:sz w:val="22"/>
          <w:szCs w:val="22"/>
        </w:rPr>
      </w:pPr>
    </w:p>
    <w:p w14:paraId="4A3A757B" w14:textId="3C589D1D" w:rsidR="00883869" w:rsidRPr="00775AE5" w:rsidRDefault="00883869" w:rsidP="00883869">
      <w:pPr>
        <w:jc w:val="both"/>
        <w:rPr>
          <w:rFonts w:ascii="Arial" w:hAnsi="Arial" w:cs="Arial"/>
          <w:sz w:val="22"/>
          <w:szCs w:val="22"/>
        </w:rPr>
      </w:pPr>
      <w:r w:rsidRPr="00775AE5">
        <w:rPr>
          <w:rFonts w:ascii="Arial" w:hAnsi="Arial" w:cs="Arial"/>
          <w:sz w:val="22"/>
          <w:szCs w:val="22"/>
        </w:rPr>
        <w:t xml:space="preserve">La investigación defensorial sobre violencia sexual contra niñas, niños y adolescentes en Ecuador que se encuentre en curso a la </w:t>
      </w:r>
      <w:r w:rsidR="00640D14" w:rsidRPr="00775AE5">
        <w:rPr>
          <w:rFonts w:ascii="Arial" w:hAnsi="Arial" w:cs="Arial"/>
          <w:sz w:val="22"/>
          <w:szCs w:val="22"/>
        </w:rPr>
        <w:t>presente, tiene</w:t>
      </w:r>
      <w:r w:rsidRPr="00775AE5">
        <w:rPr>
          <w:rFonts w:ascii="Arial" w:hAnsi="Arial" w:cs="Arial"/>
          <w:sz w:val="22"/>
          <w:szCs w:val="22"/>
        </w:rPr>
        <w:t xml:space="preserve"> como objetivo determinar la situación del tratamiento que brindan las entidades estatales responsables por la protección, detección, denuncia, investigación, juzgamiento y reparación a las víctimas de este delito en el país.  El informe de la investigación está dirigido a:</w:t>
      </w:r>
    </w:p>
    <w:p w14:paraId="3FB9C973" w14:textId="77777777" w:rsidR="00883869" w:rsidRPr="00775AE5" w:rsidRDefault="00883869" w:rsidP="00883869">
      <w:pPr>
        <w:jc w:val="both"/>
        <w:rPr>
          <w:rFonts w:ascii="Arial" w:hAnsi="Arial" w:cs="Arial"/>
          <w:sz w:val="22"/>
          <w:szCs w:val="22"/>
        </w:rPr>
      </w:pPr>
    </w:p>
    <w:p w14:paraId="55720B7B" w14:textId="77777777" w:rsidR="00883869" w:rsidRPr="00775AE5" w:rsidRDefault="00883869" w:rsidP="00B17DD2">
      <w:pPr>
        <w:pStyle w:val="ListParagraph"/>
        <w:numPr>
          <w:ilvl w:val="0"/>
          <w:numId w:val="24"/>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Constatar, llamar la atención y demandar respuestas desde el Estado, entidad responsable por la garantía de derechos de las y los habitantes del Ecuador, según lo determina el artículo 3, numeral 1 de la Constitución de la República.  En los casos de violencia sexual contra esta población se vulneran los derechos a la vida, integridad física y psicológica, al desarrollo integral, a la salud, libertad y dignidad, acceso a la justicia, derecho a la reparación integral, entre otros.</w:t>
      </w:r>
    </w:p>
    <w:p w14:paraId="132F4B32" w14:textId="77777777" w:rsidR="00883869" w:rsidRPr="00775AE5" w:rsidRDefault="00883869" w:rsidP="00B17DD2">
      <w:pPr>
        <w:pStyle w:val="ListParagraph"/>
        <w:numPr>
          <w:ilvl w:val="0"/>
          <w:numId w:val="24"/>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Demandar del ejecutivo espacios especializados para la atención y protección de niñas, niños, y adolescentes con claridad en la rectoría del tema, y con políticas públicas suficientes, sostenibles, eficientes y eficaces.</w:t>
      </w:r>
    </w:p>
    <w:p w14:paraId="18648B04" w14:textId="77777777" w:rsidR="00883869" w:rsidRPr="00775AE5" w:rsidRDefault="00883869" w:rsidP="00B17DD2">
      <w:pPr>
        <w:pStyle w:val="ListParagraph"/>
        <w:numPr>
          <w:ilvl w:val="0"/>
          <w:numId w:val="24"/>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Demandar los servicios con coberturas suficientes y en horarios que respondan a la necesidad de los usuarios.</w:t>
      </w:r>
    </w:p>
    <w:p w14:paraId="6435E7BA" w14:textId="77777777" w:rsidR="00883869" w:rsidRPr="00775AE5" w:rsidRDefault="00883869" w:rsidP="00B17DD2">
      <w:pPr>
        <w:pStyle w:val="ListParagraph"/>
        <w:numPr>
          <w:ilvl w:val="0"/>
          <w:numId w:val="24"/>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Demandar una política de protección integral de las niñas, niños y adolescentes que tenga en cuenta la necesidad de erradicar la violencia sexual en base a la educación, prevención, protección y denuncia.</w:t>
      </w:r>
    </w:p>
    <w:p w14:paraId="0307AB28" w14:textId="77777777" w:rsidR="00883869" w:rsidRPr="00775AE5" w:rsidRDefault="00883869" w:rsidP="00B17DD2">
      <w:pPr>
        <w:pStyle w:val="ListParagraph"/>
        <w:numPr>
          <w:ilvl w:val="0"/>
          <w:numId w:val="24"/>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Alertar y exhortar a la sociedad y a las familias sobre la necesidad de actuar para superar las prácticas de violencia sexual en contra de niñas, niños y adolescentes.</w:t>
      </w:r>
    </w:p>
    <w:p w14:paraId="583DD62D" w14:textId="77777777" w:rsidR="00883869" w:rsidRPr="00775AE5" w:rsidRDefault="00883869" w:rsidP="00B17DD2">
      <w:pPr>
        <w:pStyle w:val="ListParagraph"/>
        <w:numPr>
          <w:ilvl w:val="0"/>
          <w:numId w:val="24"/>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Demandar del sector justicia la optimización de procedimientos y servicios para que los trámites de investigación y juzgamiento eviten la revictimización y cumplan con los objetivos de fondo de lograr justicia y reparación de las víctimas de violencia sexual.</w:t>
      </w:r>
    </w:p>
    <w:p w14:paraId="574E627A" w14:textId="77777777" w:rsidR="00883869" w:rsidRPr="00775AE5" w:rsidRDefault="00883869" w:rsidP="00883869">
      <w:pPr>
        <w:jc w:val="both"/>
        <w:rPr>
          <w:rFonts w:ascii="Arial" w:hAnsi="Arial" w:cs="Arial"/>
          <w:sz w:val="22"/>
          <w:szCs w:val="22"/>
        </w:rPr>
      </w:pPr>
      <w:r w:rsidRPr="00775AE5">
        <w:rPr>
          <w:rFonts w:ascii="Arial" w:hAnsi="Arial" w:cs="Arial"/>
          <w:sz w:val="22"/>
          <w:szCs w:val="22"/>
        </w:rPr>
        <w:t>Para cumplir estos objetivos y  aplicando del artículo 30 de la Ley Orgánica de la Defensoría del Pueblo referente a la obligación de colaboración, se requirió información sobre temas relacionados con violencia sexual en contra de niñas, niños y adolescentes al Consejo de la Judicatura, Fiscalía General del Estado, Ministerio de Educación, Ministerio de Salud Pública, Ministerio de Inclusión Económica y Social, Ministerio de la Mujer y Derechos Humanos, Ministerio del Interior, Ministerio del Deporte, Ministerio de Cultura, Conferencia Episcopal, Consejo Nacional de Igualdad y Libertad Religiosa, Casa de las Culturas, Defensoría Pública.</w:t>
      </w:r>
    </w:p>
    <w:p w14:paraId="7524C2E6" w14:textId="77777777" w:rsidR="00883869" w:rsidRPr="00775AE5" w:rsidRDefault="00883869" w:rsidP="00883869">
      <w:pPr>
        <w:spacing w:line="276" w:lineRule="auto"/>
        <w:jc w:val="both"/>
        <w:rPr>
          <w:rFonts w:ascii="Arial" w:hAnsi="Arial" w:cs="Arial"/>
          <w:sz w:val="22"/>
          <w:szCs w:val="22"/>
        </w:rPr>
      </w:pPr>
    </w:p>
    <w:p w14:paraId="1E55F6EE" w14:textId="588EFE09" w:rsidR="00883869" w:rsidRPr="00775AE5" w:rsidRDefault="00883869" w:rsidP="00883869">
      <w:pPr>
        <w:spacing w:line="276" w:lineRule="auto"/>
        <w:jc w:val="both"/>
        <w:rPr>
          <w:rFonts w:ascii="Arial" w:hAnsi="Arial" w:cs="Arial"/>
          <w:sz w:val="22"/>
          <w:szCs w:val="22"/>
        </w:rPr>
      </w:pPr>
      <w:r w:rsidRPr="00775AE5">
        <w:rPr>
          <w:rFonts w:ascii="Arial" w:hAnsi="Arial" w:cs="Arial"/>
          <w:sz w:val="22"/>
          <w:szCs w:val="22"/>
        </w:rPr>
        <w:t xml:space="preserve">Con fecha la Fiscalía General del Estado remitió la siguiente información correspondiente al </w:t>
      </w:r>
      <w:r w:rsidR="00AF7D05" w:rsidRPr="00775AE5">
        <w:rPr>
          <w:rFonts w:ascii="Arial" w:hAnsi="Arial" w:cs="Arial"/>
          <w:sz w:val="22"/>
          <w:szCs w:val="22"/>
        </w:rPr>
        <w:t>período 01</w:t>
      </w:r>
      <w:r w:rsidRPr="00775AE5">
        <w:rPr>
          <w:rFonts w:ascii="Arial" w:hAnsi="Arial" w:cs="Arial"/>
          <w:sz w:val="22"/>
          <w:szCs w:val="22"/>
        </w:rPr>
        <w:t xml:space="preserve"> de enero del 2018 al 16 de junio del 2023:</w:t>
      </w:r>
    </w:p>
    <w:p w14:paraId="62EEC839" w14:textId="77777777" w:rsidR="00883869" w:rsidRPr="00775AE5" w:rsidRDefault="00883869" w:rsidP="00883869">
      <w:pPr>
        <w:spacing w:line="276" w:lineRule="auto"/>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4925"/>
        <w:gridCol w:w="2053"/>
        <w:gridCol w:w="13"/>
      </w:tblGrid>
      <w:tr w:rsidR="00A307D8" w:rsidRPr="00775AE5" w14:paraId="51322261" w14:textId="77777777" w:rsidTr="00775AE5">
        <w:trPr>
          <w:trHeight w:val="300"/>
          <w:jc w:val="center"/>
        </w:trPr>
        <w:tc>
          <w:tcPr>
            <w:tcW w:w="6991" w:type="dxa"/>
            <w:gridSpan w:val="3"/>
            <w:shd w:val="clear" w:color="auto" w:fill="D5DCE4"/>
          </w:tcPr>
          <w:p w14:paraId="7D8422A5"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Casos de violencia sexual cometidos contra niñas, niños y adolescentes</w:t>
            </w:r>
          </w:p>
        </w:tc>
      </w:tr>
      <w:tr w:rsidR="00A307D8" w:rsidRPr="00775AE5" w14:paraId="434D78BD" w14:textId="77777777" w:rsidTr="00775AE5">
        <w:trPr>
          <w:gridAfter w:val="1"/>
          <w:wAfter w:w="13" w:type="dxa"/>
          <w:trHeight w:val="300"/>
          <w:jc w:val="center"/>
        </w:trPr>
        <w:tc>
          <w:tcPr>
            <w:tcW w:w="4925" w:type="dxa"/>
            <w:shd w:val="clear" w:color="auto" w:fill="auto"/>
          </w:tcPr>
          <w:p w14:paraId="0B5DC89F"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Investigación previa</w:t>
            </w:r>
          </w:p>
        </w:tc>
        <w:tc>
          <w:tcPr>
            <w:tcW w:w="2053" w:type="dxa"/>
            <w:shd w:val="clear" w:color="auto" w:fill="auto"/>
          </w:tcPr>
          <w:p w14:paraId="27E62606"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29720</w:t>
            </w:r>
          </w:p>
        </w:tc>
      </w:tr>
      <w:tr w:rsidR="00A307D8" w:rsidRPr="00775AE5" w14:paraId="5F1AF01C" w14:textId="77777777" w:rsidTr="00775AE5">
        <w:trPr>
          <w:gridAfter w:val="1"/>
          <w:wAfter w:w="13" w:type="dxa"/>
          <w:trHeight w:val="300"/>
          <w:jc w:val="center"/>
        </w:trPr>
        <w:tc>
          <w:tcPr>
            <w:tcW w:w="4925" w:type="dxa"/>
            <w:shd w:val="clear" w:color="auto" w:fill="auto"/>
          </w:tcPr>
          <w:p w14:paraId="0E1DCC38"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Archivo aceptado</w:t>
            </w:r>
          </w:p>
        </w:tc>
        <w:tc>
          <w:tcPr>
            <w:tcW w:w="2053" w:type="dxa"/>
            <w:shd w:val="clear" w:color="auto" w:fill="auto"/>
          </w:tcPr>
          <w:p w14:paraId="283046DA"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9061</w:t>
            </w:r>
          </w:p>
        </w:tc>
      </w:tr>
      <w:tr w:rsidR="00A307D8" w:rsidRPr="00775AE5" w14:paraId="7B5DCADD" w14:textId="77777777" w:rsidTr="00775AE5">
        <w:trPr>
          <w:gridAfter w:val="1"/>
          <w:wAfter w:w="13" w:type="dxa"/>
          <w:trHeight w:val="300"/>
          <w:jc w:val="center"/>
        </w:trPr>
        <w:tc>
          <w:tcPr>
            <w:tcW w:w="4925" w:type="dxa"/>
            <w:shd w:val="clear" w:color="auto" w:fill="auto"/>
          </w:tcPr>
          <w:p w14:paraId="277A56FD"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Archivo solicitado</w:t>
            </w:r>
          </w:p>
        </w:tc>
        <w:tc>
          <w:tcPr>
            <w:tcW w:w="2053" w:type="dxa"/>
            <w:shd w:val="clear" w:color="auto" w:fill="auto"/>
          </w:tcPr>
          <w:p w14:paraId="1B67E235"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5421</w:t>
            </w:r>
          </w:p>
        </w:tc>
      </w:tr>
      <w:tr w:rsidR="00A307D8" w:rsidRPr="00775AE5" w14:paraId="0A6FCE1B" w14:textId="77777777" w:rsidTr="00775AE5">
        <w:trPr>
          <w:gridAfter w:val="1"/>
          <w:wAfter w:w="13" w:type="dxa"/>
          <w:trHeight w:val="300"/>
          <w:jc w:val="center"/>
        </w:trPr>
        <w:tc>
          <w:tcPr>
            <w:tcW w:w="4925" w:type="dxa"/>
            <w:shd w:val="clear" w:color="auto" w:fill="auto"/>
          </w:tcPr>
          <w:p w14:paraId="583C88A7"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Sentencia</w:t>
            </w:r>
          </w:p>
        </w:tc>
        <w:tc>
          <w:tcPr>
            <w:tcW w:w="2053" w:type="dxa"/>
            <w:shd w:val="clear" w:color="auto" w:fill="auto"/>
          </w:tcPr>
          <w:p w14:paraId="25535EFD"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2161</w:t>
            </w:r>
          </w:p>
        </w:tc>
      </w:tr>
      <w:tr w:rsidR="00A307D8" w:rsidRPr="00775AE5" w14:paraId="613B3187" w14:textId="77777777" w:rsidTr="00775AE5">
        <w:trPr>
          <w:gridAfter w:val="1"/>
          <w:wAfter w:w="13" w:type="dxa"/>
          <w:trHeight w:val="300"/>
          <w:jc w:val="center"/>
        </w:trPr>
        <w:tc>
          <w:tcPr>
            <w:tcW w:w="4925" w:type="dxa"/>
            <w:shd w:val="clear" w:color="auto" w:fill="auto"/>
          </w:tcPr>
          <w:p w14:paraId="7E428C24"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Dictamen acusatorio</w:t>
            </w:r>
          </w:p>
        </w:tc>
        <w:tc>
          <w:tcPr>
            <w:tcW w:w="2053" w:type="dxa"/>
            <w:shd w:val="clear" w:color="auto" w:fill="auto"/>
          </w:tcPr>
          <w:p w14:paraId="5A0732F8"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1571</w:t>
            </w:r>
          </w:p>
        </w:tc>
      </w:tr>
      <w:tr w:rsidR="00A307D8" w:rsidRPr="00775AE5" w14:paraId="2683E301" w14:textId="77777777" w:rsidTr="00775AE5">
        <w:trPr>
          <w:gridAfter w:val="1"/>
          <w:wAfter w:w="13" w:type="dxa"/>
          <w:trHeight w:val="300"/>
          <w:jc w:val="center"/>
        </w:trPr>
        <w:tc>
          <w:tcPr>
            <w:tcW w:w="4925" w:type="dxa"/>
            <w:shd w:val="clear" w:color="auto" w:fill="auto"/>
          </w:tcPr>
          <w:p w14:paraId="36E7F54A"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Llamamiento a juicio</w:t>
            </w:r>
          </w:p>
        </w:tc>
        <w:tc>
          <w:tcPr>
            <w:tcW w:w="2053" w:type="dxa"/>
            <w:shd w:val="clear" w:color="auto" w:fill="auto"/>
          </w:tcPr>
          <w:p w14:paraId="7BB9EB46"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1186</w:t>
            </w:r>
          </w:p>
        </w:tc>
      </w:tr>
      <w:tr w:rsidR="00A307D8" w:rsidRPr="00775AE5" w14:paraId="24FBBC00" w14:textId="77777777" w:rsidTr="00775AE5">
        <w:trPr>
          <w:gridAfter w:val="1"/>
          <w:wAfter w:w="13" w:type="dxa"/>
          <w:trHeight w:val="300"/>
          <w:jc w:val="center"/>
        </w:trPr>
        <w:tc>
          <w:tcPr>
            <w:tcW w:w="4925" w:type="dxa"/>
            <w:shd w:val="clear" w:color="auto" w:fill="auto"/>
          </w:tcPr>
          <w:p w14:paraId="2CA85988"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Sobreseimiento</w:t>
            </w:r>
          </w:p>
        </w:tc>
        <w:tc>
          <w:tcPr>
            <w:tcW w:w="2053" w:type="dxa"/>
            <w:shd w:val="clear" w:color="auto" w:fill="auto"/>
          </w:tcPr>
          <w:p w14:paraId="517F8AC6"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870</w:t>
            </w:r>
          </w:p>
        </w:tc>
      </w:tr>
      <w:tr w:rsidR="00A307D8" w:rsidRPr="00775AE5" w14:paraId="28050132" w14:textId="77777777" w:rsidTr="00775AE5">
        <w:trPr>
          <w:gridAfter w:val="1"/>
          <w:wAfter w:w="13" w:type="dxa"/>
          <w:trHeight w:val="300"/>
          <w:jc w:val="center"/>
        </w:trPr>
        <w:tc>
          <w:tcPr>
            <w:tcW w:w="4925" w:type="dxa"/>
            <w:shd w:val="clear" w:color="auto" w:fill="auto"/>
          </w:tcPr>
          <w:p w14:paraId="68681F51"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Sentencia ratifica estado de inocencia</w:t>
            </w:r>
          </w:p>
        </w:tc>
        <w:tc>
          <w:tcPr>
            <w:tcW w:w="2053" w:type="dxa"/>
            <w:shd w:val="clear" w:color="auto" w:fill="auto"/>
          </w:tcPr>
          <w:p w14:paraId="7D866606"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589</w:t>
            </w:r>
          </w:p>
        </w:tc>
      </w:tr>
      <w:tr w:rsidR="00A307D8" w:rsidRPr="00775AE5" w14:paraId="127EF7F9" w14:textId="77777777" w:rsidTr="00775AE5">
        <w:trPr>
          <w:gridAfter w:val="1"/>
          <w:wAfter w:w="13" w:type="dxa"/>
          <w:trHeight w:val="300"/>
          <w:jc w:val="center"/>
        </w:trPr>
        <w:tc>
          <w:tcPr>
            <w:tcW w:w="4925" w:type="dxa"/>
            <w:shd w:val="clear" w:color="auto" w:fill="auto"/>
          </w:tcPr>
          <w:p w14:paraId="630BAF4F"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Instrucción fiscal</w:t>
            </w:r>
          </w:p>
        </w:tc>
        <w:tc>
          <w:tcPr>
            <w:tcW w:w="2053" w:type="dxa"/>
            <w:shd w:val="clear" w:color="auto" w:fill="auto"/>
          </w:tcPr>
          <w:p w14:paraId="525142DD"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296</w:t>
            </w:r>
          </w:p>
        </w:tc>
      </w:tr>
      <w:tr w:rsidR="00A307D8" w:rsidRPr="00775AE5" w14:paraId="7171660A" w14:textId="77777777" w:rsidTr="00775AE5">
        <w:trPr>
          <w:gridAfter w:val="1"/>
          <w:wAfter w:w="13" w:type="dxa"/>
          <w:trHeight w:val="300"/>
          <w:jc w:val="center"/>
        </w:trPr>
        <w:tc>
          <w:tcPr>
            <w:tcW w:w="4925" w:type="dxa"/>
            <w:shd w:val="clear" w:color="auto" w:fill="auto"/>
          </w:tcPr>
          <w:p w14:paraId="2BFBBD36"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Dictamen abstentivo</w:t>
            </w:r>
          </w:p>
        </w:tc>
        <w:tc>
          <w:tcPr>
            <w:tcW w:w="2053" w:type="dxa"/>
            <w:shd w:val="clear" w:color="auto" w:fill="auto"/>
          </w:tcPr>
          <w:p w14:paraId="73968B78"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260</w:t>
            </w:r>
          </w:p>
        </w:tc>
      </w:tr>
      <w:tr w:rsidR="00A307D8" w:rsidRPr="00775AE5" w14:paraId="4674ED12" w14:textId="77777777" w:rsidTr="00775AE5">
        <w:trPr>
          <w:gridAfter w:val="1"/>
          <w:wAfter w:w="13" w:type="dxa"/>
          <w:trHeight w:val="300"/>
          <w:jc w:val="center"/>
        </w:trPr>
        <w:tc>
          <w:tcPr>
            <w:tcW w:w="4925" w:type="dxa"/>
            <w:shd w:val="clear" w:color="auto" w:fill="auto"/>
          </w:tcPr>
          <w:p w14:paraId="266479C2"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Suspensión del proceso a prueba cumplido</w:t>
            </w:r>
          </w:p>
        </w:tc>
        <w:tc>
          <w:tcPr>
            <w:tcW w:w="2053" w:type="dxa"/>
            <w:shd w:val="clear" w:color="auto" w:fill="auto"/>
          </w:tcPr>
          <w:p w14:paraId="779FBF25"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185</w:t>
            </w:r>
          </w:p>
        </w:tc>
      </w:tr>
      <w:tr w:rsidR="00A307D8" w:rsidRPr="00775AE5" w14:paraId="16300C59" w14:textId="77777777" w:rsidTr="00775AE5">
        <w:trPr>
          <w:gridAfter w:val="1"/>
          <w:wAfter w:w="13" w:type="dxa"/>
          <w:trHeight w:val="300"/>
          <w:jc w:val="center"/>
        </w:trPr>
        <w:tc>
          <w:tcPr>
            <w:tcW w:w="4925" w:type="dxa"/>
            <w:shd w:val="clear" w:color="auto" w:fill="auto"/>
          </w:tcPr>
          <w:p w14:paraId="0EB7A47B"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Conciliación</w:t>
            </w:r>
          </w:p>
        </w:tc>
        <w:tc>
          <w:tcPr>
            <w:tcW w:w="2053" w:type="dxa"/>
            <w:shd w:val="clear" w:color="auto" w:fill="auto"/>
          </w:tcPr>
          <w:p w14:paraId="362DCD77"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178</w:t>
            </w:r>
          </w:p>
        </w:tc>
      </w:tr>
      <w:tr w:rsidR="00A307D8" w:rsidRPr="00775AE5" w14:paraId="7EF628ED" w14:textId="77777777" w:rsidTr="00775AE5">
        <w:trPr>
          <w:gridAfter w:val="1"/>
          <w:wAfter w:w="13" w:type="dxa"/>
          <w:trHeight w:val="300"/>
          <w:jc w:val="center"/>
        </w:trPr>
        <w:tc>
          <w:tcPr>
            <w:tcW w:w="4925" w:type="dxa"/>
            <w:shd w:val="clear" w:color="auto" w:fill="auto"/>
          </w:tcPr>
          <w:p w14:paraId="4C567C10"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Prescripción</w:t>
            </w:r>
          </w:p>
        </w:tc>
        <w:tc>
          <w:tcPr>
            <w:tcW w:w="2053" w:type="dxa"/>
            <w:shd w:val="clear" w:color="auto" w:fill="auto"/>
          </w:tcPr>
          <w:p w14:paraId="2CE24176"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128</w:t>
            </w:r>
          </w:p>
        </w:tc>
      </w:tr>
      <w:tr w:rsidR="00A307D8" w:rsidRPr="00775AE5" w14:paraId="3C74B8BA" w14:textId="77777777" w:rsidTr="00775AE5">
        <w:trPr>
          <w:gridAfter w:val="1"/>
          <w:wAfter w:w="13" w:type="dxa"/>
          <w:trHeight w:val="300"/>
          <w:jc w:val="center"/>
        </w:trPr>
        <w:tc>
          <w:tcPr>
            <w:tcW w:w="4925" w:type="dxa"/>
            <w:shd w:val="clear" w:color="auto" w:fill="auto"/>
          </w:tcPr>
          <w:p w14:paraId="448CFCDD"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Procedimiento abreviado</w:t>
            </w:r>
          </w:p>
        </w:tc>
        <w:tc>
          <w:tcPr>
            <w:tcW w:w="2053" w:type="dxa"/>
            <w:shd w:val="clear" w:color="auto" w:fill="auto"/>
          </w:tcPr>
          <w:p w14:paraId="6FCD925C"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74</w:t>
            </w:r>
          </w:p>
        </w:tc>
      </w:tr>
      <w:tr w:rsidR="00A307D8" w:rsidRPr="00775AE5" w14:paraId="16A5E4EF" w14:textId="77777777" w:rsidTr="00775AE5">
        <w:trPr>
          <w:gridAfter w:val="1"/>
          <w:wAfter w:w="13" w:type="dxa"/>
          <w:trHeight w:val="300"/>
          <w:jc w:val="center"/>
        </w:trPr>
        <w:tc>
          <w:tcPr>
            <w:tcW w:w="4925" w:type="dxa"/>
            <w:shd w:val="clear" w:color="auto" w:fill="auto"/>
          </w:tcPr>
          <w:p w14:paraId="64DF8139" w14:textId="15EC4B3A" w:rsidR="00883869" w:rsidRPr="00775AE5" w:rsidRDefault="00883869" w:rsidP="00A307D8">
            <w:pPr>
              <w:jc w:val="both"/>
              <w:rPr>
                <w:rFonts w:ascii="Arial" w:hAnsi="Arial" w:cs="Arial"/>
                <w:sz w:val="22"/>
                <w:szCs w:val="22"/>
              </w:rPr>
            </w:pPr>
            <w:r w:rsidRPr="00775AE5">
              <w:rPr>
                <w:rFonts w:ascii="Arial" w:hAnsi="Arial" w:cs="Arial"/>
                <w:sz w:val="22"/>
                <w:szCs w:val="22"/>
              </w:rPr>
              <w:t xml:space="preserve">Apelación de </w:t>
            </w:r>
            <w:r w:rsidR="00E248E5" w:rsidRPr="00775AE5">
              <w:rPr>
                <w:rFonts w:ascii="Arial" w:hAnsi="Arial" w:cs="Arial"/>
                <w:sz w:val="22"/>
                <w:szCs w:val="22"/>
              </w:rPr>
              <w:t>la sentencia</w:t>
            </w:r>
          </w:p>
        </w:tc>
        <w:tc>
          <w:tcPr>
            <w:tcW w:w="2053" w:type="dxa"/>
            <w:shd w:val="clear" w:color="auto" w:fill="auto"/>
          </w:tcPr>
          <w:p w14:paraId="6D6D56C0"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70</w:t>
            </w:r>
          </w:p>
        </w:tc>
      </w:tr>
      <w:tr w:rsidR="00A307D8" w:rsidRPr="00775AE5" w14:paraId="457AA550" w14:textId="77777777" w:rsidTr="00775AE5">
        <w:trPr>
          <w:gridAfter w:val="1"/>
          <w:wAfter w:w="13" w:type="dxa"/>
          <w:trHeight w:val="300"/>
          <w:jc w:val="center"/>
        </w:trPr>
        <w:tc>
          <w:tcPr>
            <w:tcW w:w="4925" w:type="dxa"/>
            <w:shd w:val="clear" w:color="auto" w:fill="auto"/>
          </w:tcPr>
          <w:p w14:paraId="754C6EED"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Extinción del ejercicio de la acción penal</w:t>
            </w:r>
          </w:p>
        </w:tc>
        <w:tc>
          <w:tcPr>
            <w:tcW w:w="2053" w:type="dxa"/>
            <w:shd w:val="clear" w:color="auto" w:fill="auto"/>
          </w:tcPr>
          <w:p w14:paraId="10486C97"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61</w:t>
            </w:r>
          </w:p>
        </w:tc>
      </w:tr>
      <w:tr w:rsidR="00A307D8" w:rsidRPr="00775AE5" w14:paraId="7FDB2E08" w14:textId="77777777" w:rsidTr="00775AE5">
        <w:trPr>
          <w:gridAfter w:val="1"/>
          <w:wAfter w:w="13" w:type="dxa"/>
          <w:trHeight w:val="300"/>
          <w:jc w:val="center"/>
        </w:trPr>
        <w:tc>
          <w:tcPr>
            <w:tcW w:w="4925" w:type="dxa"/>
            <w:shd w:val="clear" w:color="auto" w:fill="auto"/>
          </w:tcPr>
          <w:p w14:paraId="0D24BA58"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Preparatoria de juicio</w:t>
            </w:r>
          </w:p>
        </w:tc>
        <w:tc>
          <w:tcPr>
            <w:tcW w:w="2053" w:type="dxa"/>
            <w:shd w:val="clear" w:color="auto" w:fill="auto"/>
          </w:tcPr>
          <w:p w14:paraId="550D71FF"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49</w:t>
            </w:r>
          </w:p>
        </w:tc>
      </w:tr>
      <w:tr w:rsidR="00A307D8" w:rsidRPr="00775AE5" w14:paraId="60EE3BAA" w14:textId="77777777" w:rsidTr="00775AE5">
        <w:trPr>
          <w:gridAfter w:val="1"/>
          <w:wAfter w:w="13" w:type="dxa"/>
          <w:trHeight w:val="300"/>
          <w:jc w:val="center"/>
        </w:trPr>
        <w:tc>
          <w:tcPr>
            <w:tcW w:w="4925" w:type="dxa"/>
            <w:shd w:val="clear" w:color="auto" w:fill="auto"/>
          </w:tcPr>
          <w:p w14:paraId="1681E66A"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Juicio</w:t>
            </w:r>
          </w:p>
        </w:tc>
        <w:tc>
          <w:tcPr>
            <w:tcW w:w="2053" w:type="dxa"/>
            <w:shd w:val="clear" w:color="auto" w:fill="auto"/>
          </w:tcPr>
          <w:p w14:paraId="10712D94"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36</w:t>
            </w:r>
          </w:p>
        </w:tc>
      </w:tr>
      <w:tr w:rsidR="00A307D8" w:rsidRPr="00775AE5" w14:paraId="0018C2AB" w14:textId="77777777" w:rsidTr="00775AE5">
        <w:trPr>
          <w:gridAfter w:val="1"/>
          <w:wAfter w:w="13" w:type="dxa"/>
          <w:trHeight w:val="300"/>
          <w:jc w:val="center"/>
        </w:trPr>
        <w:tc>
          <w:tcPr>
            <w:tcW w:w="4925" w:type="dxa"/>
            <w:shd w:val="clear" w:color="auto" w:fill="auto"/>
          </w:tcPr>
          <w:p w14:paraId="2E73CBBD"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Muerte de la persona sospechosa – procesada</w:t>
            </w:r>
          </w:p>
        </w:tc>
        <w:tc>
          <w:tcPr>
            <w:tcW w:w="2053" w:type="dxa"/>
            <w:shd w:val="clear" w:color="auto" w:fill="auto"/>
          </w:tcPr>
          <w:p w14:paraId="2B5BE97A"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35</w:t>
            </w:r>
          </w:p>
        </w:tc>
      </w:tr>
      <w:tr w:rsidR="00A307D8" w:rsidRPr="00775AE5" w14:paraId="7F2968DE" w14:textId="77777777" w:rsidTr="00775AE5">
        <w:trPr>
          <w:gridAfter w:val="1"/>
          <w:wAfter w:w="13" w:type="dxa"/>
          <w:trHeight w:val="300"/>
          <w:jc w:val="center"/>
        </w:trPr>
        <w:tc>
          <w:tcPr>
            <w:tcW w:w="4925" w:type="dxa"/>
            <w:shd w:val="clear" w:color="auto" w:fill="auto"/>
          </w:tcPr>
          <w:p w14:paraId="50F0C953"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Dictamen</w:t>
            </w:r>
          </w:p>
        </w:tc>
        <w:tc>
          <w:tcPr>
            <w:tcW w:w="2053" w:type="dxa"/>
            <w:shd w:val="clear" w:color="auto" w:fill="auto"/>
          </w:tcPr>
          <w:p w14:paraId="40685FA1"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24</w:t>
            </w:r>
          </w:p>
        </w:tc>
      </w:tr>
      <w:tr w:rsidR="00A307D8" w:rsidRPr="00775AE5" w14:paraId="73C3A6D4" w14:textId="77777777" w:rsidTr="00775AE5">
        <w:trPr>
          <w:gridAfter w:val="1"/>
          <w:wAfter w:w="13" w:type="dxa"/>
          <w:trHeight w:val="300"/>
          <w:jc w:val="center"/>
        </w:trPr>
        <w:tc>
          <w:tcPr>
            <w:tcW w:w="4925" w:type="dxa"/>
            <w:shd w:val="clear" w:color="auto" w:fill="auto"/>
          </w:tcPr>
          <w:p w14:paraId="72A9147E"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Recurso de casación</w:t>
            </w:r>
          </w:p>
        </w:tc>
        <w:tc>
          <w:tcPr>
            <w:tcW w:w="2053" w:type="dxa"/>
            <w:shd w:val="clear" w:color="auto" w:fill="auto"/>
          </w:tcPr>
          <w:p w14:paraId="5B840BC0"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13</w:t>
            </w:r>
          </w:p>
        </w:tc>
      </w:tr>
      <w:tr w:rsidR="00A307D8" w:rsidRPr="00775AE5" w14:paraId="2224C2DB" w14:textId="77777777" w:rsidTr="00775AE5">
        <w:trPr>
          <w:gridAfter w:val="1"/>
          <w:wAfter w:w="13" w:type="dxa"/>
          <w:trHeight w:val="300"/>
          <w:jc w:val="center"/>
        </w:trPr>
        <w:tc>
          <w:tcPr>
            <w:tcW w:w="4925" w:type="dxa"/>
            <w:shd w:val="clear" w:color="auto" w:fill="auto"/>
          </w:tcPr>
          <w:p w14:paraId="33E40A4D"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Remisión</w:t>
            </w:r>
          </w:p>
        </w:tc>
        <w:tc>
          <w:tcPr>
            <w:tcW w:w="2053" w:type="dxa"/>
            <w:shd w:val="clear" w:color="auto" w:fill="auto"/>
          </w:tcPr>
          <w:p w14:paraId="4E6C0C68"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13</w:t>
            </w:r>
          </w:p>
        </w:tc>
      </w:tr>
      <w:tr w:rsidR="00A307D8" w:rsidRPr="00775AE5" w14:paraId="0625C5FC" w14:textId="77777777" w:rsidTr="00775AE5">
        <w:trPr>
          <w:gridAfter w:val="1"/>
          <w:wAfter w:w="13" w:type="dxa"/>
          <w:trHeight w:val="300"/>
          <w:jc w:val="center"/>
        </w:trPr>
        <w:tc>
          <w:tcPr>
            <w:tcW w:w="4925" w:type="dxa"/>
            <w:shd w:val="clear" w:color="auto" w:fill="auto"/>
          </w:tcPr>
          <w:p w14:paraId="77541390"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Dictamen mixto</w:t>
            </w:r>
          </w:p>
        </w:tc>
        <w:tc>
          <w:tcPr>
            <w:tcW w:w="2053" w:type="dxa"/>
            <w:shd w:val="clear" w:color="auto" w:fill="auto"/>
          </w:tcPr>
          <w:p w14:paraId="6F7F6A81"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10</w:t>
            </w:r>
          </w:p>
        </w:tc>
      </w:tr>
      <w:tr w:rsidR="00A307D8" w:rsidRPr="00775AE5" w14:paraId="1241B2BF" w14:textId="77777777" w:rsidTr="00775AE5">
        <w:trPr>
          <w:gridAfter w:val="1"/>
          <w:wAfter w:w="13" w:type="dxa"/>
          <w:trHeight w:val="300"/>
          <w:jc w:val="center"/>
        </w:trPr>
        <w:tc>
          <w:tcPr>
            <w:tcW w:w="4925" w:type="dxa"/>
            <w:shd w:val="clear" w:color="auto" w:fill="auto"/>
          </w:tcPr>
          <w:p w14:paraId="72291668" w14:textId="77777777" w:rsidR="00883869" w:rsidRPr="00775AE5" w:rsidRDefault="00883869" w:rsidP="00A307D8">
            <w:pPr>
              <w:jc w:val="both"/>
              <w:rPr>
                <w:rFonts w:ascii="Arial" w:hAnsi="Arial" w:cs="Arial"/>
                <w:sz w:val="22"/>
                <w:szCs w:val="22"/>
              </w:rPr>
            </w:pPr>
            <w:proofErr w:type="spellStart"/>
            <w:r w:rsidRPr="00775AE5">
              <w:rPr>
                <w:rFonts w:ascii="Arial" w:hAnsi="Arial" w:cs="Arial"/>
                <w:sz w:val="22"/>
                <w:szCs w:val="22"/>
              </w:rPr>
              <w:t>Re-formulación</w:t>
            </w:r>
            <w:proofErr w:type="spellEnd"/>
            <w:r w:rsidRPr="00775AE5">
              <w:rPr>
                <w:rFonts w:ascii="Arial" w:hAnsi="Arial" w:cs="Arial"/>
                <w:sz w:val="22"/>
                <w:szCs w:val="22"/>
              </w:rPr>
              <w:t xml:space="preserve"> de cargos</w:t>
            </w:r>
          </w:p>
        </w:tc>
        <w:tc>
          <w:tcPr>
            <w:tcW w:w="2053" w:type="dxa"/>
            <w:shd w:val="clear" w:color="auto" w:fill="auto"/>
          </w:tcPr>
          <w:p w14:paraId="2D4D8706"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8</w:t>
            </w:r>
          </w:p>
        </w:tc>
      </w:tr>
      <w:tr w:rsidR="00A307D8" w:rsidRPr="00775AE5" w14:paraId="7C9B9913" w14:textId="77777777" w:rsidTr="00775AE5">
        <w:trPr>
          <w:gridAfter w:val="1"/>
          <w:wAfter w:w="13" w:type="dxa"/>
          <w:trHeight w:val="300"/>
          <w:jc w:val="center"/>
        </w:trPr>
        <w:tc>
          <w:tcPr>
            <w:tcW w:w="4925" w:type="dxa"/>
            <w:shd w:val="clear" w:color="auto" w:fill="auto"/>
          </w:tcPr>
          <w:p w14:paraId="7D72FA63"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Suspensión condicional de la pena cumplida</w:t>
            </w:r>
          </w:p>
        </w:tc>
        <w:tc>
          <w:tcPr>
            <w:tcW w:w="2053" w:type="dxa"/>
            <w:shd w:val="clear" w:color="auto" w:fill="auto"/>
          </w:tcPr>
          <w:p w14:paraId="3EFCA03A"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6</w:t>
            </w:r>
          </w:p>
        </w:tc>
      </w:tr>
      <w:tr w:rsidR="00A307D8" w:rsidRPr="00775AE5" w14:paraId="1BD609F8" w14:textId="77777777" w:rsidTr="00775AE5">
        <w:trPr>
          <w:gridAfter w:val="1"/>
          <w:wAfter w:w="13" w:type="dxa"/>
          <w:trHeight w:val="300"/>
          <w:jc w:val="center"/>
        </w:trPr>
        <w:tc>
          <w:tcPr>
            <w:tcW w:w="4925" w:type="dxa"/>
            <w:shd w:val="clear" w:color="auto" w:fill="auto"/>
          </w:tcPr>
          <w:p w14:paraId="784C5D18"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Apelación al auto de nulidad</w:t>
            </w:r>
          </w:p>
        </w:tc>
        <w:tc>
          <w:tcPr>
            <w:tcW w:w="2053" w:type="dxa"/>
            <w:shd w:val="clear" w:color="auto" w:fill="auto"/>
          </w:tcPr>
          <w:p w14:paraId="249C50D7"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6</w:t>
            </w:r>
          </w:p>
        </w:tc>
      </w:tr>
      <w:tr w:rsidR="00A307D8" w:rsidRPr="00775AE5" w14:paraId="5EF2B484" w14:textId="77777777" w:rsidTr="00775AE5">
        <w:trPr>
          <w:gridAfter w:val="1"/>
          <w:wAfter w:w="13" w:type="dxa"/>
          <w:trHeight w:val="300"/>
          <w:jc w:val="center"/>
        </w:trPr>
        <w:tc>
          <w:tcPr>
            <w:tcW w:w="4925" w:type="dxa"/>
            <w:shd w:val="clear" w:color="auto" w:fill="auto"/>
          </w:tcPr>
          <w:p w14:paraId="7D493BF7"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Cumplimiento integral de la pena</w:t>
            </w:r>
          </w:p>
        </w:tc>
        <w:tc>
          <w:tcPr>
            <w:tcW w:w="2053" w:type="dxa"/>
            <w:shd w:val="clear" w:color="auto" w:fill="auto"/>
          </w:tcPr>
          <w:p w14:paraId="7D8E80DE"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5</w:t>
            </w:r>
          </w:p>
        </w:tc>
      </w:tr>
      <w:tr w:rsidR="00A307D8" w:rsidRPr="00775AE5" w14:paraId="71AD818B" w14:textId="77777777" w:rsidTr="00775AE5">
        <w:trPr>
          <w:gridAfter w:val="1"/>
          <w:wAfter w:w="13" w:type="dxa"/>
          <w:trHeight w:val="300"/>
          <w:jc w:val="center"/>
        </w:trPr>
        <w:tc>
          <w:tcPr>
            <w:tcW w:w="4925" w:type="dxa"/>
            <w:shd w:val="clear" w:color="auto" w:fill="auto"/>
          </w:tcPr>
          <w:p w14:paraId="20040D23"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Muerte de la persona condenada</w:t>
            </w:r>
          </w:p>
        </w:tc>
        <w:tc>
          <w:tcPr>
            <w:tcW w:w="2053" w:type="dxa"/>
            <w:shd w:val="clear" w:color="auto" w:fill="auto"/>
          </w:tcPr>
          <w:p w14:paraId="5678C1BE"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4</w:t>
            </w:r>
          </w:p>
        </w:tc>
      </w:tr>
      <w:tr w:rsidR="00A307D8" w:rsidRPr="00775AE5" w14:paraId="277BC283" w14:textId="77777777" w:rsidTr="00775AE5">
        <w:trPr>
          <w:gridAfter w:val="1"/>
          <w:wAfter w:w="13" w:type="dxa"/>
          <w:trHeight w:val="300"/>
          <w:jc w:val="center"/>
        </w:trPr>
        <w:tc>
          <w:tcPr>
            <w:tcW w:w="4925" w:type="dxa"/>
            <w:shd w:val="clear" w:color="auto" w:fill="auto"/>
          </w:tcPr>
          <w:p w14:paraId="284FA470"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Procedimiento directo</w:t>
            </w:r>
          </w:p>
        </w:tc>
        <w:tc>
          <w:tcPr>
            <w:tcW w:w="2053" w:type="dxa"/>
            <w:shd w:val="clear" w:color="auto" w:fill="auto"/>
          </w:tcPr>
          <w:p w14:paraId="126428BE" w14:textId="77777777" w:rsidR="00883869" w:rsidRPr="00775AE5" w:rsidRDefault="00883869" w:rsidP="00775AE5">
            <w:pPr>
              <w:spacing w:line="259" w:lineRule="auto"/>
              <w:jc w:val="center"/>
              <w:rPr>
                <w:rFonts w:ascii="Arial" w:hAnsi="Arial" w:cs="Arial"/>
                <w:sz w:val="22"/>
                <w:szCs w:val="22"/>
              </w:rPr>
            </w:pPr>
            <w:r w:rsidRPr="00775AE5">
              <w:rPr>
                <w:rFonts w:ascii="Arial" w:hAnsi="Arial" w:cs="Arial"/>
                <w:sz w:val="22"/>
                <w:szCs w:val="22"/>
              </w:rPr>
              <w:t>3</w:t>
            </w:r>
          </w:p>
        </w:tc>
      </w:tr>
      <w:tr w:rsidR="00A307D8" w:rsidRPr="00775AE5" w14:paraId="6EDA5804" w14:textId="77777777" w:rsidTr="00775AE5">
        <w:trPr>
          <w:gridAfter w:val="1"/>
          <w:wAfter w:w="13" w:type="dxa"/>
          <w:trHeight w:val="300"/>
          <w:jc w:val="center"/>
        </w:trPr>
        <w:tc>
          <w:tcPr>
            <w:tcW w:w="4925" w:type="dxa"/>
            <w:shd w:val="clear" w:color="auto" w:fill="auto"/>
          </w:tcPr>
          <w:p w14:paraId="51E1EBFD"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Vinculación</w:t>
            </w:r>
          </w:p>
        </w:tc>
        <w:tc>
          <w:tcPr>
            <w:tcW w:w="2053" w:type="dxa"/>
            <w:shd w:val="clear" w:color="auto" w:fill="auto"/>
          </w:tcPr>
          <w:p w14:paraId="63271EED"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3</w:t>
            </w:r>
          </w:p>
        </w:tc>
      </w:tr>
      <w:tr w:rsidR="00A307D8" w:rsidRPr="00775AE5" w14:paraId="383DC55F" w14:textId="77777777" w:rsidTr="00775AE5">
        <w:trPr>
          <w:gridAfter w:val="1"/>
          <w:wAfter w:w="13" w:type="dxa"/>
          <w:trHeight w:val="300"/>
          <w:jc w:val="center"/>
        </w:trPr>
        <w:tc>
          <w:tcPr>
            <w:tcW w:w="4925" w:type="dxa"/>
            <w:shd w:val="clear" w:color="auto" w:fill="auto"/>
          </w:tcPr>
          <w:p w14:paraId="496F7D33"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Apelación del auto de sobreseimiento</w:t>
            </w:r>
          </w:p>
        </w:tc>
        <w:tc>
          <w:tcPr>
            <w:tcW w:w="2053" w:type="dxa"/>
            <w:shd w:val="clear" w:color="auto" w:fill="auto"/>
          </w:tcPr>
          <w:p w14:paraId="5522EF28"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2</w:t>
            </w:r>
          </w:p>
        </w:tc>
      </w:tr>
      <w:tr w:rsidR="00A307D8" w:rsidRPr="00775AE5" w14:paraId="490182D1" w14:textId="77777777" w:rsidTr="00775AE5">
        <w:trPr>
          <w:gridAfter w:val="1"/>
          <w:wAfter w:w="13" w:type="dxa"/>
          <w:trHeight w:val="300"/>
          <w:jc w:val="center"/>
        </w:trPr>
        <w:tc>
          <w:tcPr>
            <w:tcW w:w="4925" w:type="dxa"/>
            <w:shd w:val="clear" w:color="auto" w:fill="auto"/>
          </w:tcPr>
          <w:p w14:paraId="34C9A04F"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Principio de oportunidad solicitado</w:t>
            </w:r>
          </w:p>
        </w:tc>
        <w:tc>
          <w:tcPr>
            <w:tcW w:w="2053" w:type="dxa"/>
            <w:shd w:val="clear" w:color="auto" w:fill="auto"/>
          </w:tcPr>
          <w:p w14:paraId="3617C586"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1</w:t>
            </w:r>
          </w:p>
        </w:tc>
      </w:tr>
      <w:tr w:rsidR="00A307D8" w:rsidRPr="00775AE5" w14:paraId="56916A1E" w14:textId="77777777" w:rsidTr="00775AE5">
        <w:trPr>
          <w:gridAfter w:val="1"/>
          <w:wAfter w:w="13" w:type="dxa"/>
          <w:trHeight w:val="300"/>
          <w:jc w:val="center"/>
        </w:trPr>
        <w:tc>
          <w:tcPr>
            <w:tcW w:w="4925" w:type="dxa"/>
            <w:shd w:val="clear" w:color="auto" w:fill="auto"/>
          </w:tcPr>
          <w:p w14:paraId="5A045D4C"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Principio de oportunidad aceptado</w:t>
            </w:r>
          </w:p>
        </w:tc>
        <w:tc>
          <w:tcPr>
            <w:tcW w:w="2053" w:type="dxa"/>
            <w:shd w:val="clear" w:color="auto" w:fill="auto"/>
          </w:tcPr>
          <w:p w14:paraId="747C107C"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1</w:t>
            </w:r>
          </w:p>
        </w:tc>
      </w:tr>
      <w:tr w:rsidR="00A307D8" w:rsidRPr="00775AE5" w14:paraId="683E9307" w14:textId="77777777" w:rsidTr="00775AE5">
        <w:trPr>
          <w:gridAfter w:val="1"/>
          <w:wAfter w:w="13" w:type="dxa"/>
          <w:trHeight w:val="300"/>
          <w:jc w:val="center"/>
        </w:trPr>
        <w:tc>
          <w:tcPr>
            <w:tcW w:w="4925" w:type="dxa"/>
            <w:shd w:val="clear" w:color="auto" w:fill="auto"/>
          </w:tcPr>
          <w:p w14:paraId="23A0F185"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Mediación penal aceptada</w:t>
            </w:r>
          </w:p>
        </w:tc>
        <w:tc>
          <w:tcPr>
            <w:tcW w:w="2053" w:type="dxa"/>
            <w:shd w:val="clear" w:color="auto" w:fill="auto"/>
          </w:tcPr>
          <w:p w14:paraId="705E2F04"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1</w:t>
            </w:r>
          </w:p>
        </w:tc>
      </w:tr>
    </w:tbl>
    <w:p w14:paraId="53A8CCA5" w14:textId="77777777" w:rsidR="00775AE5" w:rsidRDefault="00775AE5" w:rsidP="00883869">
      <w:pPr>
        <w:jc w:val="both"/>
        <w:rPr>
          <w:rFonts w:ascii="Arial" w:hAnsi="Arial" w:cs="Arial"/>
          <w:sz w:val="22"/>
          <w:szCs w:val="22"/>
        </w:rPr>
      </w:pPr>
    </w:p>
    <w:p w14:paraId="0B151F6E" w14:textId="4D8DCAC5" w:rsidR="00883869" w:rsidRPr="00775AE5" w:rsidRDefault="00883869" w:rsidP="00883869">
      <w:pPr>
        <w:jc w:val="both"/>
        <w:rPr>
          <w:rFonts w:ascii="Arial" w:hAnsi="Arial" w:cs="Arial"/>
          <w:sz w:val="22"/>
          <w:szCs w:val="22"/>
        </w:rPr>
      </w:pPr>
      <w:r w:rsidRPr="00775AE5">
        <w:rPr>
          <w:rFonts w:ascii="Arial" w:hAnsi="Arial" w:cs="Arial"/>
          <w:sz w:val="22"/>
          <w:szCs w:val="22"/>
        </w:rPr>
        <w:t>Mediante oficio-CJ-DNASJ-2023-0136-OF de 31 de julio de 2023 la Directora Nacional de Acceso a los Servicios de Justicia del Consejo de la Judicatura, remitió información sobre hechos de violencia sexual contra niñas, niños y adolescentes, correspondiente al período: 01 de enero del 2018 al 30 de junio del 2023.</w:t>
      </w:r>
    </w:p>
    <w:p w14:paraId="446373DC" w14:textId="77777777" w:rsidR="00883869" w:rsidRPr="00775AE5" w:rsidRDefault="00883869" w:rsidP="00883869">
      <w:pPr>
        <w:jc w:val="both"/>
        <w:rPr>
          <w:rFonts w:ascii="Arial" w:hAnsi="Arial" w:cs="Arial"/>
          <w:sz w:val="22"/>
          <w:szCs w:val="22"/>
        </w:rPr>
      </w:pPr>
    </w:p>
    <w:p w14:paraId="3660A1E7" w14:textId="2E51419A" w:rsidR="00883869" w:rsidRPr="00775AE5" w:rsidRDefault="00883869" w:rsidP="00883869">
      <w:pPr>
        <w:jc w:val="center"/>
        <w:rPr>
          <w:rFonts w:ascii="Arial" w:hAnsi="Arial" w:cs="Arial"/>
          <w:b/>
          <w:sz w:val="22"/>
          <w:szCs w:val="22"/>
        </w:rPr>
      </w:pPr>
      <w:r w:rsidRPr="00775AE5">
        <w:rPr>
          <w:rFonts w:ascii="Arial" w:hAnsi="Arial" w:cs="Arial"/>
          <w:b/>
          <w:sz w:val="22"/>
          <w:szCs w:val="22"/>
        </w:rPr>
        <w:t xml:space="preserve">9006 </w:t>
      </w:r>
      <w:r w:rsidR="00AF7D05" w:rsidRPr="00775AE5">
        <w:rPr>
          <w:rFonts w:ascii="Arial" w:hAnsi="Arial" w:cs="Arial"/>
          <w:b/>
          <w:sz w:val="22"/>
          <w:szCs w:val="22"/>
        </w:rPr>
        <w:t>casos</w:t>
      </w:r>
      <w:r w:rsidRPr="00775AE5">
        <w:rPr>
          <w:rFonts w:ascii="Arial" w:hAnsi="Arial" w:cs="Arial"/>
          <w:b/>
          <w:sz w:val="22"/>
          <w:szCs w:val="22"/>
        </w:rPr>
        <w:t xml:space="preserve"> judicializados por violencia sexual cometidos contra niñas, niños y adolescentes</w:t>
      </w:r>
    </w:p>
    <w:p w14:paraId="342FF2BC" w14:textId="77777777" w:rsidR="00883869" w:rsidRPr="00775AE5" w:rsidRDefault="00883869" w:rsidP="00883869">
      <w:pPr>
        <w:jc w:val="both"/>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8"/>
        <w:gridCol w:w="2338"/>
        <w:gridCol w:w="2338"/>
        <w:gridCol w:w="2338"/>
      </w:tblGrid>
      <w:tr w:rsidR="00A307D8" w:rsidRPr="00775AE5" w14:paraId="2C3F4FD4" w14:textId="77777777" w:rsidTr="005558BE">
        <w:trPr>
          <w:trHeight w:val="1375"/>
          <w:jc w:val="center"/>
        </w:trPr>
        <w:tc>
          <w:tcPr>
            <w:tcW w:w="1250" w:type="pct"/>
            <w:shd w:val="clear" w:color="auto" w:fill="auto"/>
          </w:tcPr>
          <w:p w14:paraId="2E7FEBA4" w14:textId="77777777" w:rsidR="00883869" w:rsidRPr="00775AE5" w:rsidRDefault="00883869" w:rsidP="00A307D8">
            <w:pPr>
              <w:ind w:left="720"/>
              <w:jc w:val="both"/>
              <w:rPr>
                <w:rFonts w:ascii="Arial" w:hAnsi="Arial" w:cs="Arial"/>
                <w:sz w:val="22"/>
                <w:szCs w:val="22"/>
                <w:lang w:val="es-EC"/>
              </w:rPr>
            </w:pPr>
            <w:r w:rsidRPr="00775AE5">
              <w:rPr>
                <w:rFonts w:ascii="Arial" w:hAnsi="Arial" w:cs="Arial"/>
                <w:b/>
                <w:bCs/>
                <w:sz w:val="22"/>
                <w:szCs w:val="22"/>
              </w:rPr>
              <w:t>2097</w:t>
            </w:r>
          </w:p>
          <w:p w14:paraId="7C7FC825" w14:textId="77777777" w:rsidR="00883869" w:rsidRPr="00775AE5" w:rsidRDefault="00883869" w:rsidP="00A307D8">
            <w:pPr>
              <w:jc w:val="both"/>
              <w:rPr>
                <w:rFonts w:ascii="Arial" w:hAnsi="Arial" w:cs="Arial"/>
                <w:sz w:val="22"/>
                <w:szCs w:val="22"/>
                <w:lang w:val="es-EC"/>
              </w:rPr>
            </w:pPr>
            <w:r w:rsidRPr="00775AE5">
              <w:rPr>
                <w:rFonts w:ascii="Arial" w:hAnsi="Arial" w:cs="Arial"/>
                <w:sz w:val="22"/>
                <w:szCs w:val="22"/>
              </w:rPr>
              <w:t>Fueron resueltos con sentencia condenatoria</w:t>
            </w:r>
          </w:p>
          <w:p w14:paraId="4D2E1DEA" w14:textId="77777777" w:rsidR="00883869" w:rsidRPr="00775AE5" w:rsidRDefault="00883869" w:rsidP="00A307D8">
            <w:pPr>
              <w:jc w:val="both"/>
              <w:rPr>
                <w:rFonts w:ascii="Arial" w:hAnsi="Arial" w:cs="Arial"/>
                <w:sz w:val="22"/>
                <w:szCs w:val="22"/>
              </w:rPr>
            </w:pPr>
          </w:p>
        </w:tc>
        <w:tc>
          <w:tcPr>
            <w:tcW w:w="1250" w:type="pct"/>
            <w:shd w:val="clear" w:color="auto" w:fill="auto"/>
          </w:tcPr>
          <w:p w14:paraId="7D3E7830" w14:textId="77777777" w:rsidR="00883869" w:rsidRPr="00775AE5" w:rsidRDefault="00883869" w:rsidP="00A307D8">
            <w:pPr>
              <w:ind w:left="720"/>
              <w:jc w:val="both"/>
              <w:rPr>
                <w:rFonts w:ascii="Arial" w:hAnsi="Arial" w:cs="Arial"/>
                <w:sz w:val="22"/>
                <w:szCs w:val="22"/>
                <w:lang w:val="es-EC"/>
              </w:rPr>
            </w:pPr>
            <w:r w:rsidRPr="00775AE5">
              <w:rPr>
                <w:rFonts w:ascii="Arial" w:hAnsi="Arial" w:cs="Arial"/>
                <w:b/>
                <w:bCs/>
                <w:sz w:val="22"/>
                <w:szCs w:val="22"/>
              </w:rPr>
              <w:t>428</w:t>
            </w:r>
          </w:p>
          <w:p w14:paraId="6095D600" w14:textId="77777777" w:rsidR="00883869" w:rsidRPr="00775AE5" w:rsidRDefault="00883869" w:rsidP="00A307D8">
            <w:pPr>
              <w:jc w:val="center"/>
              <w:rPr>
                <w:rFonts w:ascii="Arial" w:hAnsi="Arial" w:cs="Arial"/>
                <w:sz w:val="22"/>
                <w:szCs w:val="22"/>
                <w:lang w:val="es-EC"/>
              </w:rPr>
            </w:pPr>
            <w:r w:rsidRPr="00775AE5">
              <w:rPr>
                <w:rFonts w:ascii="Arial" w:hAnsi="Arial" w:cs="Arial"/>
                <w:sz w:val="22"/>
                <w:szCs w:val="22"/>
              </w:rPr>
              <w:t>Ratificatorias de inocencia</w:t>
            </w:r>
          </w:p>
          <w:p w14:paraId="6F3FB4E9" w14:textId="77777777" w:rsidR="00883869" w:rsidRPr="00775AE5" w:rsidRDefault="00883869" w:rsidP="00A307D8">
            <w:pPr>
              <w:jc w:val="both"/>
              <w:rPr>
                <w:rFonts w:ascii="Arial" w:hAnsi="Arial" w:cs="Arial"/>
                <w:sz w:val="22"/>
                <w:szCs w:val="22"/>
              </w:rPr>
            </w:pPr>
          </w:p>
        </w:tc>
        <w:tc>
          <w:tcPr>
            <w:tcW w:w="1250" w:type="pct"/>
            <w:shd w:val="clear" w:color="auto" w:fill="auto"/>
          </w:tcPr>
          <w:p w14:paraId="7A0C3298" w14:textId="77777777" w:rsidR="00883869" w:rsidRPr="00775AE5" w:rsidRDefault="00883869" w:rsidP="00A307D8">
            <w:pPr>
              <w:ind w:left="720"/>
              <w:jc w:val="both"/>
              <w:rPr>
                <w:rFonts w:ascii="Arial" w:hAnsi="Arial" w:cs="Arial"/>
                <w:sz w:val="22"/>
                <w:szCs w:val="22"/>
                <w:lang w:val="es-EC"/>
              </w:rPr>
            </w:pPr>
            <w:r w:rsidRPr="00775AE5">
              <w:rPr>
                <w:rFonts w:ascii="Arial" w:hAnsi="Arial" w:cs="Arial"/>
                <w:b/>
                <w:bCs/>
                <w:sz w:val="22"/>
                <w:szCs w:val="22"/>
              </w:rPr>
              <w:t>41</w:t>
            </w:r>
          </w:p>
          <w:p w14:paraId="6AEF7949" w14:textId="0C4A87C0" w:rsidR="00883869" w:rsidRPr="00775AE5" w:rsidRDefault="00883869" w:rsidP="00A307D8">
            <w:pPr>
              <w:jc w:val="both"/>
              <w:rPr>
                <w:rFonts w:ascii="Arial" w:hAnsi="Arial" w:cs="Arial"/>
                <w:sz w:val="22"/>
                <w:szCs w:val="22"/>
                <w:lang w:val="es-EC"/>
              </w:rPr>
            </w:pPr>
            <w:r w:rsidRPr="00775AE5">
              <w:rPr>
                <w:rFonts w:ascii="Arial" w:hAnsi="Arial" w:cs="Arial"/>
                <w:sz w:val="22"/>
                <w:szCs w:val="22"/>
              </w:rPr>
              <w:t>Casos con sentencia mixta (cuando existe más de dos procesados)</w:t>
            </w:r>
          </w:p>
        </w:tc>
        <w:tc>
          <w:tcPr>
            <w:tcW w:w="1250" w:type="pct"/>
            <w:shd w:val="clear" w:color="auto" w:fill="auto"/>
          </w:tcPr>
          <w:p w14:paraId="000CE50D" w14:textId="77777777" w:rsidR="00883869" w:rsidRPr="00775AE5" w:rsidRDefault="00883869" w:rsidP="00A307D8">
            <w:pPr>
              <w:ind w:left="720"/>
              <w:rPr>
                <w:rFonts w:ascii="Arial" w:hAnsi="Arial" w:cs="Arial"/>
                <w:sz w:val="22"/>
                <w:szCs w:val="22"/>
                <w:lang w:val="es-EC"/>
              </w:rPr>
            </w:pPr>
            <w:r w:rsidRPr="00775AE5">
              <w:rPr>
                <w:rFonts w:ascii="Arial" w:hAnsi="Arial" w:cs="Arial"/>
                <w:b/>
                <w:bCs/>
                <w:sz w:val="22"/>
                <w:szCs w:val="22"/>
              </w:rPr>
              <w:t xml:space="preserve">     6.440</w:t>
            </w:r>
          </w:p>
          <w:p w14:paraId="09BBDD32" w14:textId="77777777" w:rsidR="00883869" w:rsidRPr="00775AE5" w:rsidRDefault="00883869" w:rsidP="00A307D8">
            <w:pPr>
              <w:ind w:left="360"/>
              <w:jc w:val="center"/>
              <w:rPr>
                <w:rFonts w:ascii="Arial" w:hAnsi="Arial" w:cs="Arial"/>
                <w:sz w:val="22"/>
                <w:szCs w:val="22"/>
                <w:lang w:val="es-EC"/>
              </w:rPr>
            </w:pPr>
            <w:r w:rsidRPr="00775AE5">
              <w:rPr>
                <w:rFonts w:ascii="Arial" w:hAnsi="Arial" w:cs="Arial"/>
                <w:bCs/>
                <w:sz w:val="22"/>
                <w:szCs w:val="22"/>
              </w:rPr>
              <w:t>Casos sin información</w:t>
            </w:r>
          </w:p>
          <w:p w14:paraId="072186DC" w14:textId="77777777" w:rsidR="00883869" w:rsidRPr="00775AE5" w:rsidRDefault="00883869" w:rsidP="00A307D8">
            <w:pPr>
              <w:jc w:val="both"/>
              <w:rPr>
                <w:rFonts w:ascii="Arial" w:hAnsi="Arial" w:cs="Arial"/>
                <w:sz w:val="22"/>
                <w:szCs w:val="22"/>
              </w:rPr>
            </w:pPr>
          </w:p>
        </w:tc>
      </w:tr>
    </w:tbl>
    <w:p w14:paraId="13E63840"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Fuente: Sistema Automático de Trámite Judicial Ecuatoriano, SATJE</w:t>
      </w:r>
    </w:p>
    <w:p w14:paraId="0208B46A" w14:textId="77777777" w:rsidR="00883869" w:rsidRPr="00775AE5" w:rsidRDefault="00883869" w:rsidP="00883869">
      <w:pPr>
        <w:jc w:val="both"/>
        <w:rPr>
          <w:rFonts w:ascii="Arial" w:hAnsi="Arial" w:cs="Arial"/>
          <w:sz w:val="22"/>
          <w:szCs w:val="22"/>
        </w:rPr>
      </w:pPr>
    </w:p>
    <w:p w14:paraId="22FDECB9" w14:textId="77777777" w:rsidR="00883869" w:rsidRPr="00775AE5" w:rsidRDefault="00883869" w:rsidP="00883869">
      <w:pPr>
        <w:jc w:val="both"/>
        <w:rPr>
          <w:rFonts w:ascii="Arial" w:hAnsi="Arial" w:cs="Arial"/>
          <w:sz w:val="22"/>
          <w:szCs w:val="22"/>
        </w:rPr>
      </w:pPr>
      <w:r w:rsidRPr="00775AE5">
        <w:rPr>
          <w:rFonts w:ascii="Arial" w:hAnsi="Arial" w:cs="Arial"/>
          <w:sz w:val="22"/>
          <w:szCs w:val="22"/>
        </w:rPr>
        <w:t>Mediante oficio Nro. DP-DPG-2023-0424-O de 10 de agosto de 2023, suscrito por el Defensor Público, Ángel Torres, se recibe respuesta a la solicitud de información sobre procesos de violencia sexual contra niñas, niños y adolescentes. Período: 2018 a junio del 2023.</w:t>
      </w:r>
    </w:p>
    <w:p w14:paraId="0121C018" w14:textId="77777777" w:rsidR="00883869" w:rsidRPr="00775AE5" w:rsidRDefault="00883869" w:rsidP="00883869">
      <w:pPr>
        <w:jc w:val="both"/>
        <w:rPr>
          <w:rFonts w:ascii="Arial" w:hAnsi="Arial" w:cs="Arial"/>
          <w:sz w:val="22"/>
          <w:szCs w:val="22"/>
        </w:rPr>
      </w:pPr>
    </w:p>
    <w:p w14:paraId="06D301EF" w14:textId="6BBBC1A3" w:rsidR="00883869" w:rsidRPr="00775AE5" w:rsidRDefault="00945DDE" w:rsidP="00E248E5">
      <w:pPr>
        <w:jc w:val="center"/>
        <w:rPr>
          <w:rFonts w:ascii="Arial" w:hAnsi="Arial" w:cs="Arial"/>
          <w:sz w:val="22"/>
          <w:szCs w:val="22"/>
        </w:rPr>
      </w:pPr>
      <w:r w:rsidRPr="00775AE5">
        <w:rPr>
          <w:rFonts w:ascii="Arial" w:hAnsi="Arial" w:cs="Arial"/>
          <w:noProof/>
          <w:sz w:val="22"/>
          <w:szCs w:val="22"/>
          <w:lang w:val="es-ES" w:eastAsia="es-ES"/>
        </w:rPr>
        <w:drawing>
          <wp:inline distT="0" distB="0" distL="0" distR="0" wp14:anchorId="61706FE6" wp14:editId="177E84DD">
            <wp:extent cx="5743575" cy="2466975"/>
            <wp:effectExtent l="0" t="0" r="0" b="0"/>
            <wp:docPr id="1" name="Imagen 94768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47689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3575" cy="2466975"/>
                    </a:xfrm>
                    <a:prstGeom prst="rect">
                      <a:avLst/>
                    </a:prstGeom>
                    <a:noFill/>
                    <a:ln>
                      <a:noFill/>
                    </a:ln>
                  </pic:spPr>
                </pic:pic>
              </a:graphicData>
            </a:graphic>
          </wp:inline>
        </w:drawing>
      </w:r>
    </w:p>
    <w:p w14:paraId="67FDF48C"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Fuente: Sistema de Gestión de la Defensoría Pública-SGDP</w:t>
      </w:r>
    </w:p>
    <w:p w14:paraId="149B9DEC" w14:textId="77777777" w:rsidR="00883869" w:rsidRPr="00775AE5" w:rsidRDefault="00883869" w:rsidP="00883869">
      <w:pPr>
        <w:jc w:val="both"/>
        <w:rPr>
          <w:rFonts w:ascii="Arial" w:hAnsi="Arial" w:cs="Arial"/>
          <w:sz w:val="22"/>
          <w:szCs w:val="22"/>
        </w:rPr>
      </w:pPr>
    </w:p>
    <w:p w14:paraId="3106247A" w14:textId="77777777" w:rsidR="00883869" w:rsidRPr="00775AE5" w:rsidRDefault="00883869" w:rsidP="00883869">
      <w:pPr>
        <w:jc w:val="both"/>
        <w:rPr>
          <w:rFonts w:ascii="Arial" w:hAnsi="Arial" w:cs="Arial"/>
          <w:sz w:val="22"/>
          <w:szCs w:val="22"/>
        </w:rPr>
      </w:pPr>
    </w:p>
    <w:p w14:paraId="74F1AA4A" w14:textId="77777777" w:rsidR="00883869" w:rsidRPr="00775AE5" w:rsidRDefault="00883869" w:rsidP="00883869">
      <w:pPr>
        <w:jc w:val="both"/>
        <w:rPr>
          <w:rFonts w:ascii="Arial" w:hAnsi="Arial" w:cs="Arial"/>
          <w:sz w:val="22"/>
          <w:szCs w:val="22"/>
        </w:rPr>
      </w:pPr>
      <w:r w:rsidRPr="00775AE5">
        <w:rPr>
          <w:rFonts w:ascii="Arial" w:hAnsi="Arial" w:cs="Arial"/>
          <w:sz w:val="22"/>
          <w:szCs w:val="22"/>
        </w:rPr>
        <w:t xml:space="preserve">Mediante oficio Nro. MDI-VSC-SSC-2023-0230-OF de 18 de agosto de 2023 el Subsecretario de Seguridad Ciudadana del Ministerio del Interior, remitió la </w:t>
      </w:r>
      <w:r w:rsidR="003501C3" w:rsidRPr="00775AE5">
        <w:rPr>
          <w:rFonts w:ascii="Arial" w:hAnsi="Arial" w:cs="Arial"/>
          <w:sz w:val="22"/>
          <w:szCs w:val="22"/>
        </w:rPr>
        <w:t>siguiente información</w:t>
      </w:r>
      <w:r w:rsidRPr="00775AE5">
        <w:rPr>
          <w:rFonts w:ascii="Arial" w:hAnsi="Arial" w:cs="Arial"/>
          <w:sz w:val="22"/>
          <w:szCs w:val="22"/>
        </w:rPr>
        <w:t xml:space="preserve"> sobre hechos de violencia sexual contra niñas, niños y adolescentes.  Período: enero 2021- junio 2023:</w:t>
      </w:r>
    </w:p>
    <w:p w14:paraId="761EDA6E" w14:textId="77777777" w:rsidR="00883869" w:rsidRPr="00775AE5" w:rsidRDefault="00883869" w:rsidP="00883869">
      <w:pPr>
        <w:jc w:val="both"/>
        <w:rPr>
          <w:rFonts w:ascii="Arial" w:hAnsi="Arial" w:cs="Arial"/>
          <w:sz w:val="22"/>
          <w:szCs w:val="22"/>
        </w:rPr>
      </w:pPr>
    </w:p>
    <w:p w14:paraId="18AEB06A" w14:textId="77777777" w:rsidR="00883869" w:rsidRPr="00775AE5" w:rsidRDefault="00883869" w:rsidP="00883869">
      <w:pPr>
        <w:jc w:val="center"/>
        <w:rPr>
          <w:rFonts w:ascii="Arial" w:hAnsi="Arial" w:cs="Arial"/>
          <w:b/>
          <w:sz w:val="22"/>
          <w:szCs w:val="22"/>
        </w:rPr>
      </w:pPr>
      <w:r w:rsidRPr="00775AE5">
        <w:rPr>
          <w:rFonts w:ascii="Arial" w:hAnsi="Arial" w:cs="Arial"/>
          <w:b/>
          <w:sz w:val="22"/>
          <w:szCs w:val="22"/>
        </w:rPr>
        <w:t>27917 delitos</w:t>
      </w:r>
    </w:p>
    <w:p w14:paraId="00B28F21" w14:textId="77777777" w:rsidR="00883869" w:rsidRPr="00775AE5" w:rsidRDefault="00883869" w:rsidP="00883869">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2244"/>
        <w:gridCol w:w="2245"/>
        <w:gridCol w:w="2245"/>
      </w:tblGrid>
      <w:tr w:rsidR="00A307D8" w:rsidRPr="00775AE5" w14:paraId="05D1AA5C" w14:textId="77777777" w:rsidTr="00E248E5">
        <w:trPr>
          <w:jc w:val="center"/>
        </w:trPr>
        <w:tc>
          <w:tcPr>
            <w:tcW w:w="2244" w:type="dxa"/>
            <w:shd w:val="clear" w:color="auto" w:fill="auto"/>
          </w:tcPr>
          <w:p w14:paraId="5D299671" w14:textId="77777777" w:rsidR="00883869" w:rsidRPr="00775AE5" w:rsidRDefault="00883869" w:rsidP="00A307D8">
            <w:pPr>
              <w:jc w:val="center"/>
              <w:rPr>
                <w:rFonts w:ascii="Arial" w:hAnsi="Arial" w:cs="Arial"/>
                <w:sz w:val="22"/>
                <w:szCs w:val="22"/>
              </w:rPr>
            </w:pPr>
            <w:r w:rsidRPr="00775AE5">
              <w:rPr>
                <w:rFonts w:ascii="Arial" w:hAnsi="Arial" w:cs="Arial"/>
                <w:sz w:val="22"/>
                <w:szCs w:val="22"/>
              </w:rPr>
              <w:t>13956</w:t>
            </w:r>
          </w:p>
          <w:p w14:paraId="1F7D4266" w14:textId="77777777" w:rsidR="00883869" w:rsidRPr="00775AE5" w:rsidRDefault="00883869" w:rsidP="00A307D8">
            <w:pPr>
              <w:jc w:val="center"/>
              <w:rPr>
                <w:rFonts w:ascii="Arial" w:hAnsi="Arial" w:cs="Arial"/>
                <w:sz w:val="22"/>
                <w:szCs w:val="22"/>
              </w:rPr>
            </w:pPr>
            <w:r w:rsidRPr="00775AE5">
              <w:rPr>
                <w:rFonts w:ascii="Arial" w:hAnsi="Arial" w:cs="Arial"/>
                <w:sz w:val="22"/>
                <w:szCs w:val="22"/>
              </w:rPr>
              <w:t>Abuso Sexual</w:t>
            </w:r>
          </w:p>
        </w:tc>
        <w:tc>
          <w:tcPr>
            <w:tcW w:w="2244" w:type="dxa"/>
            <w:shd w:val="clear" w:color="auto" w:fill="auto"/>
          </w:tcPr>
          <w:p w14:paraId="2368FDBA" w14:textId="77777777" w:rsidR="00883869" w:rsidRPr="00775AE5" w:rsidRDefault="00883869" w:rsidP="00A307D8">
            <w:pPr>
              <w:jc w:val="center"/>
              <w:rPr>
                <w:rFonts w:ascii="Arial" w:hAnsi="Arial" w:cs="Arial"/>
                <w:sz w:val="22"/>
                <w:szCs w:val="22"/>
              </w:rPr>
            </w:pPr>
            <w:r w:rsidRPr="00775AE5">
              <w:rPr>
                <w:rFonts w:ascii="Arial" w:hAnsi="Arial" w:cs="Arial"/>
                <w:sz w:val="22"/>
                <w:szCs w:val="22"/>
              </w:rPr>
              <w:t>11206</w:t>
            </w:r>
          </w:p>
          <w:p w14:paraId="0DDA84AB" w14:textId="77777777" w:rsidR="00883869" w:rsidRPr="00775AE5" w:rsidRDefault="00883869" w:rsidP="00A307D8">
            <w:pPr>
              <w:jc w:val="center"/>
              <w:rPr>
                <w:rFonts w:ascii="Arial" w:hAnsi="Arial" w:cs="Arial"/>
                <w:sz w:val="22"/>
                <w:szCs w:val="22"/>
              </w:rPr>
            </w:pPr>
            <w:r w:rsidRPr="00775AE5">
              <w:rPr>
                <w:rFonts w:ascii="Arial" w:hAnsi="Arial" w:cs="Arial"/>
                <w:sz w:val="22"/>
                <w:szCs w:val="22"/>
              </w:rPr>
              <w:t>Violación</w:t>
            </w:r>
          </w:p>
        </w:tc>
        <w:tc>
          <w:tcPr>
            <w:tcW w:w="2245" w:type="dxa"/>
            <w:shd w:val="clear" w:color="auto" w:fill="auto"/>
          </w:tcPr>
          <w:p w14:paraId="13203B29" w14:textId="77777777" w:rsidR="00883869" w:rsidRPr="00775AE5" w:rsidRDefault="00883869" w:rsidP="00A307D8">
            <w:pPr>
              <w:jc w:val="center"/>
              <w:rPr>
                <w:rFonts w:ascii="Arial" w:hAnsi="Arial" w:cs="Arial"/>
                <w:sz w:val="22"/>
                <w:szCs w:val="22"/>
              </w:rPr>
            </w:pPr>
            <w:r w:rsidRPr="00775AE5">
              <w:rPr>
                <w:rFonts w:ascii="Arial" w:hAnsi="Arial" w:cs="Arial"/>
                <w:sz w:val="22"/>
                <w:szCs w:val="22"/>
              </w:rPr>
              <w:t>2408</w:t>
            </w:r>
          </w:p>
          <w:p w14:paraId="568A5FB9" w14:textId="77777777" w:rsidR="00883869" w:rsidRPr="00775AE5" w:rsidRDefault="00883869" w:rsidP="00A307D8">
            <w:pPr>
              <w:jc w:val="center"/>
              <w:rPr>
                <w:rFonts w:ascii="Arial" w:hAnsi="Arial" w:cs="Arial"/>
                <w:sz w:val="22"/>
                <w:szCs w:val="22"/>
              </w:rPr>
            </w:pPr>
            <w:r w:rsidRPr="00775AE5">
              <w:rPr>
                <w:rFonts w:ascii="Arial" w:hAnsi="Arial" w:cs="Arial"/>
                <w:sz w:val="22"/>
                <w:szCs w:val="22"/>
              </w:rPr>
              <w:t>Acoso Sexual</w:t>
            </w:r>
          </w:p>
        </w:tc>
        <w:tc>
          <w:tcPr>
            <w:tcW w:w="2245" w:type="dxa"/>
            <w:shd w:val="clear" w:color="auto" w:fill="auto"/>
          </w:tcPr>
          <w:p w14:paraId="15870F28"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347</w:t>
            </w:r>
          </w:p>
          <w:p w14:paraId="795D27ED" w14:textId="77777777" w:rsidR="00883869" w:rsidRPr="00775AE5" w:rsidRDefault="00883869" w:rsidP="00A307D8">
            <w:pPr>
              <w:jc w:val="both"/>
              <w:rPr>
                <w:rFonts w:ascii="Arial" w:hAnsi="Arial" w:cs="Arial"/>
                <w:sz w:val="22"/>
                <w:szCs w:val="22"/>
              </w:rPr>
            </w:pPr>
            <w:r w:rsidRPr="00775AE5">
              <w:rPr>
                <w:rFonts w:ascii="Arial" w:hAnsi="Arial" w:cs="Arial"/>
                <w:sz w:val="22"/>
                <w:szCs w:val="22"/>
              </w:rPr>
              <w:t>Violencia Sexual en contra de la mujer y miembros del núcleo familiar</w:t>
            </w:r>
          </w:p>
        </w:tc>
      </w:tr>
    </w:tbl>
    <w:p w14:paraId="57813741" w14:textId="77777777" w:rsidR="00883869" w:rsidRPr="00775AE5" w:rsidRDefault="00883869" w:rsidP="00883869">
      <w:pPr>
        <w:jc w:val="both"/>
        <w:rPr>
          <w:rFonts w:ascii="Arial" w:hAnsi="Arial" w:cs="Arial"/>
          <w:sz w:val="22"/>
          <w:szCs w:val="22"/>
        </w:rPr>
      </w:pPr>
    </w:p>
    <w:p w14:paraId="13319C6C"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Fuente: Base estadística DCOP-UNCIS</w:t>
      </w:r>
    </w:p>
    <w:p w14:paraId="714A8C9C" w14:textId="77777777" w:rsidR="00883869" w:rsidRPr="00775AE5" w:rsidRDefault="00883869" w:rsidP="00883869">
      <w:pPr>
        <w:jc w:val="both"/>
        <w:rPr>
          <w:rFonts w:ascii="Arial" w:hAnsi="Arial" w:cs="Arial"/>
          <w:sz w:val="22"/>
          <w:szCs w:val="22"/>
        </w:rPr>
      </w:pPr>
    </w:p>
    <w:p w14:paraId="54013169" w14:textId="77777777" w:rsidR="00883869" w:rsidRPr="00775AE5" w:rsidRDefault="00883869" w:rsidP="00883869">
      <w:pPr>
        <w:jc w:val="both"/>
        <w:rPr>
          <w:rFonts w:ascii="Arial" w:hAnsi="Arial" w:cs="Arial"/>
          <w:sz w:val="22"/>
          <w:szCs w:val="22"/>
        </w:rPr>
      </w:pPr>
      <w:r w:rsidRPr="00775AE5">
        <w:rPr>
          <w:rFonts w:ascii="Arial" w:hAnsi="Arial" w:cs="Arial"/>
          <w:sz w:val="22"/>
          <w:szCs w:val="22"/>
        </w:rPr>
        <w:t xml:space="preserve">El Ministerio del Interior indica que el 64% de víctimas no continúan con la denuncia, lo que se evidencia que recae la obligatoriedad de impulsar la denuncia en la víctima y no como deber del Estado, al igual que el Ministerio de la Mujer y Derechos Humanos. Las víctimas se ven obligadas a impulsar los procesos, lo que los vuelve complejos y </w:t>
      </w:r>
      <w:proofErr w:type="spellStart"/>
      <w:r w:rsidRPr="00775AE5">
        <w:rPr>
          <w:rFonts w:ascii="Arial" w:hAnsi="Arial" w:cs="Arial"/>
          <w:sz w:val="22"/>
          <w:szCs w:val="22"/>
        </w:rPr>
        <w:t>revictimizantes</w:t>
      </w:r>
      <w:proofErr w:type="spellEnd"/>
      <w:r w:rsidRPr="00775AE5">
        <w:rPr>
          <w:rFonts w:ascii="Arial" w:hAnsi="Arial" w:cs="Arial"/>
          <w:sz w:val="22"/>
          <w:szCs w:val="22"/>
        </w:rPr>
        <w:t>.</w:t>
      </w:r>
    </w:p>
    <w:p w14:paraId="4CD162FC" w14:textId="77777777" w:rsidR="00883869" w:rsidRPr="00775AE5" w:rsidRDefault="00883869" w:rsidP="00883869">
      <w:pPr>
        <w:jc w:val="both"/>
        <w:rPr>
          <w:rFonts w:ascii="Arial" w:hAnsi="Arial" w:cs="Arial"/>
          <w:sz w:val="22"/>
          <w:szCs w:val="22"/>
        </w:rPr>
      </w:pPr>
    </w:p>
    <w:p w14:paraId="17CF2F39" w14:textId="77777777" w:rsidR="00883869" w:rsidRPr="00775AE5" w:rsidRDefault="00883869" w:rsidP="00883869">
      <w:pPr>
        <w:jc w:val="both"/>
        <w:rPr>
          <w:rFonts w:ascii="Arial" w:hAnsi="Arial" w:cs="Arial"/>
          <w:sz w:val="22"/>
          <w:szCs w:val="22"/>
        </w:rPr>
      </w:pPr>
      <w:r w:rsidRPr="00775AE5">
        <w:rPr>
          <w:rFonts w:ascii="Arial" w:hAnsi="Arial" w:cs="Arial"/>
          <w:sz w:val="22"/>
          <w:szCs w:val="22"/>
        </w:rPr>
        <w:t>Mediante oficio Nro. MSP-MSP-2023-3074-O de 21 de agosto de 2023 el Ministro de Salud Pública, remitió la siguiente información sobre hechos de violencia sexual contra niñas, niños y adolescentes. Período: 2018 – 2023 (1er Semestre)</w:t>
      </w:r>
    </w:p>
    <w:p w14:paraId="025350BD" w14:textId="6BCA3D87" w:rsidR="00883869" w:rsidRPr="00775AE5" w:rsidRDefault="00945DDE" w:rsidP="00E248E5">
      <w:pPr>
        <w:jc w:val="center"/>
        <w:rPr>
          <w:rFonts w:ascii="Arial" w:hAnsi="Arial" w:cs="Arial"/>
          <w:sz w:val="22"/>
          <w:szCs w:val="22"/>
        </w:rPr>
      </w:pPr>
      <w:r w:rsidRPr="00775AE5">
        <w:rPr>
          <w:rFonts w:ascii="Arial" w:hAnsi="Arial" w:cs="Arial"/>
          <w:noProof/>
          <w:sz w:val="22"/>
          <w:szCs w:val="22"/>
          <w:lang w:val="es-ES" w:eastAsia="es-ES"/>
        </w:rPr>
        <w:drawing>
          <wp:inline distT="0" distB="0" distL="0" distR="0" wp14:anchorId="3181A811" wp14:editId="7FD364AD">
            <wp:extent cx="5610225" cy="3343275"/>
            <wp:effectExtent l="0" t="0" r="0" b="0"/>
            <wp:docPr id="2" name="Imagen 503846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384673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0225" cy="3343275"/>
                    </a:xfrm>
                    <a:prstGeom prst="rect">
                      <a:avLst/>
                    </a:prstGeom>
                    <a:noFill/>
                    <a:ln>
                      <a:noFill/>
                    </a:ln>
                  </pic:spPr>
                </pic:pic>
              </a:graphicData>
            </a:graphic>
          </wp:inline>
        </w:drawing>
      </w:r>
    </w:p>
    <w:p w14:paraId="514D0A85" w14:textId="77777777" w:rsidR="00883869" w:rsidRPr="00775AE5" w:rsidRDefault="00883869" w:rsidP="00883869">
      <w:pPr>
        <w:jc w:val="both"/>
        <w:rPr>
          <w:rFonts w:ascii="Arial" w:hAnsi="Arial" w:cs="Arial"/>
          <w:sz w:val="22"/>
          <w:szCs w:val="22"/>
        </w:rPr>
      </w:pPr>
    </w:p>
    <w:p w14:paraId="13998270" w14:textId="77777777" w:rsidR="00883869" w:rsidRPr="00775AE5" w:rsidRDefault="00883869" w:rsidP="00883869">
      <w:pPr>
        <w:jc w:val="both"/>
        <w:rPr>
          <w:rFonts w:ascii="Arial" w:hAnsi="Arial" w:cs="Arial"/>
          <w:sz w:val="22"/>
          <w:szCs w:val="22"/>
        </w:rPr>
      </w:pPr>
    </w:p>
    <w:p w14:paraId="032DBF4F" w14:textId="77777777" w:rsidR="00883869" w:rsidRPr="00775AE5" w:rsidRDefault="00883869" w:rsidP="00883869">
      <w:pPr>
        <w:jc w:val="both"/>
        <w:rPr>
          <w:rFonts w:ascii="Arial" w:hAnsi="Arial" w:cs="Arial"/>
          <w:sz w:val="22"/>
          <w:szCs w:val="22"/>
        </w:rPr>
      </w:pPr>
      <w:r w:rsidRPr="00775AE5">
        <w:rPr>
          <w:rFonts w:ascii="Arial" w:hAnsi="Arial" w:cs="Arial"/>
          <w:sz w:val="22"/>
          <w:szCs w:val="22"/>
        </w:rPr>
        <w:t>Mediante oficio Nro. MINEDUC-MINEDUC-2023-00805-OF de 07 de agosto de 2023 la Ministra de Educación, remitió la siguiente respuesta a solicitud de información sobre hechos de violencia sexual contra niñas, niños y adolescentes. Período: 01 de enero del 2018 al 30 de junio del 2023</w:t>
      </w:r>
    </w:p>
    <w:p w14:paraId="0D10EB28" w14:textId="77777777" w:rsidR="00883869" w:rsidRPr="00775AE5" w:rsidRDefault="00883869" w:rsidP="00883869">
      <w:pPr>
        <w:jc w:val="both"/>
        <w:rPr>
          <w:rFonts w:ascii="Arial" w:hAnsi="Arial" w:cs="Arial"/>
          <w:sz w:val="22"/>
          <w:szCs w:val="22"/>
        </w:rPr>
      </w:pPr>
    </w:p>
    <w:p w14:paraId="5D1A0C83" w14:textId="77777777" w:rsidR="00883869" w:rsidRPr="00775AE5" w:rsidRDefault="00883869" w:rsidP="00883869">
      <w:pPr>
        <w:jc w:val="center"/>
        <w:rPr>
          <w:rFonts w:ascii="Arial" w:hAnsi="Arial" w:cs="Arial"/>
          <w:sz w:val="22"/>
          <w:szCs w:val="22"/>
        </w:rPr>
      </w:pPr>
      <w:r w:rsidRPr="00775AE5">
        <w:rPr>
          <w:rFonts w:ascii="Arial" w:hAnsi="Arial" w:cs="Arial"/>
          <w:sz w:val="22"/>
          <w:szCs w:val="22"/>
        </w:rPr>
        <w:t>Período 2018 a junio 2023</w:t>
      </w:r>
    </w:p>
    <w:p w14:paraId="4B5EEA27" w14:textId="77777777" w:rsidR="00883869" w:rsidRPr="00775AE5" w:rsidRDefault="00883869" w:rsidP="00883869">
      <w:pPr>
        <w:jc w:val="center"/>
        <w:rPr>
          <w:rFonts w:ascii="Arial" w:hAnsi="Arial" w:cs="Arial"/>
          <w:sz w:val="22"/>
          <w:szCs w:val="22"/>
        </w:rPr>
      </w:pPr>
      <w:r w:rsidRPr="00775AE5">
        <w:rPr>
          <w:rFonts w:ascii="Arial" w:hAnsi="Arial" w:cs="Arial"/>
          <w:sz w:val="22"/>
          <w:szCs w:val="22"/>
        </w:rPr>
        <w:t>Casos judicializados por violencia sexual cometidos en contra de nías, niños y adolescentes</w:t>
      </w:r>
    </w:p>
    <w:p w14:paraId="1349AC4B" w14:textId="77777777" w:rsidR="00883869" w:rsidRPr="00775AE5" w:rsidRDefault="00883869" w:rsidP="00883869">
      <w:pPr>
        <w:jc w:val="center"/>
        <w:rPr>
          <w:rFonts w:ascii="Arial" w:hAnsi="Arial" w:cs="Arial"/>
          <w:sz w:val="22"/>
          <w:szCs w:val="22"/>
        </w:rPr>
      </w:pPr>
      <w:r w:rsidRPr="00775AE5">
        <w:rPr>
          <w:rFonts w:ascii="Arial" w:hAnsi="Arial" w:cs="Arial"/>
          <w:sz w:val="22"/>
          <w:szCs w:val="22"/>
        </w:rPr>
        <w:t xml:space="preserve">97,24 han sido denunciados en la </w:t>
      </w:r>
      <w:r w:rsidR="003501C3" w:rsidRPr="00775AE5">
        <w:rPr>
          <w:rFonts w:ascii="Arial" w:hAnsi="Arial" w:cs="Arial"/>
          <w:sz w:val="22"/>
          <w:szCs w:val="22"/>
        </w:rPr>
        <w:t>fiscalía general</w:t>
      </w:r>
      <w:r w:rsidRPr="00775AE5">
        <w:rPr>
          <w:rFonts w:ascii="Arial" w:hAnsi="Arial" w:cs="Arial"/>
          <w:sz w:val="22"/>
          <w:szCs w:val="22"/>
        </w:rPr>
        <w:t xml:space="preserve"> del Estado</w:t>
      </w:r>
    </w:p>
    <w:p w14:paraId="0C636FB9" w14:textId="77777777" w:rsidR="00883869" w:rsidRPr="00775AE5" w:rsidRDefault="00883869" w:rsidP="00883869">
      <w:pPr>
        <w:jc w:val="cente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2993"/>
        <w:gridCol w:w="2993"/>
      </w:tblGrid>
      <w:tr w:rsidR="00A307D8" w:rsidRPr="00775AE5" w14:paraId="44983481" w14:textId="77777777" w:rsidTr="00775AE5">
        <w:trPr>
          <w:jc w:val="center"/>
        </w:trPr>
        <w:tc>
          <w:tcPr>
            <w:tcW w:w="2992" w:type="dxa"/>
            <w:shd w:val="clear" w:color="auto" w:fill="auto"/>
          </w:tcPr>
          <w:p w14:paraId="5DC1C1B4" w14:textId="77777777" w:rsidR="00883869" w:rsidRPr="00775AE5" w:rsidRDefault="00883869" w:rsidP="00A307D8">
            <w:pPr>
              <w:jc w:val="center"/>
              <w:rPr>
                <w:rFonts w:ascii="Arial" w:hAnsi="Arial" w:cs="Arial"/>
                <w:sz w:val="22"/>
                <w:szCs w:val="22"/>
              </w:rPr>
            </w:pPr>
            <w:r w:rsidRPr="00775AE5">
              <w:rPr>
                <w:rFonts w:ascii="Arial" w:hAnsi="Arial" w:cs="Arial"/>
                <w:sz w:val="22"/>
                <w:szCs w:val="22"/>
              </w:rPr>
              <w:t>547 casos no denunciados</w:t>
            </w:r>
          </w:p>
          <w:p w14:paraId="6D310AC0" w14:textId="77777777" w:rsidR="00883869" w:rsidRPr="00775AE5" w:rsidRDefault="00883869" w:rsidP="00A307D8">
            <w:pPr>
              <w:jc w:val="center"/>
              <w:rPr>
                <w:rFonts w:ascii="Arial" w:hAnsi="Arial" w:cs="Arial"/>
                <w:sz w:val="22"/>
                <w:szCs w:val="22"/>
              </w:rPr>
            </w:pPr>
            <w:r w:rsidRPr="00775AE5">
              <w:rPr>
                <w:rFonts w:ascii="Arial" w:hAnsi="Arial" w:cs="Arial"/>
                <w:sz w:val="22"/>
                <w:szCs w:val="22"/>
              </w:rPr>
              <w:t>2.76 %</w:t>
            </w:r>
          </w:p>
        </w:tc>
        <w:tc>
          <w:tcPr>
            <w:tcW w:w="2993" w:type="dxa"/>
            <w:shd w:val="clear" w:color="auto" w:fill="auto"/>
          </w:tcPr>
          <w:p w14:paraId="0D766B54" w14:textId="77777777" w:rsidR="00883869" w:rsidRPr="00775AE5" w:rsidRDefault="00883869" w:rsidP="00A307D8">
            <w:pPr>
              <w:jc w:val="center"/>
              <w:rPr>
                <w:rFonts w:ascii="Arial" w:hAnsi="Arial" w:cs="Arial"/>
                <w:sz w:val="22"/>
                <w:szCs w:val="22"/>
              </w:rPr>
            </w:pPr>
            <w:r w:rsidRPr="00775AE5">
              <w:rPr>
                <w:rFonts w:ascii="Arial" w:hAnsi="Arial" w:cs="Arial"/>
                <w:sz w:val="22"/>
                <w:szCs w:val="22"/>
              </w:rPr>
              <w:t>19282 casos denunciado</w:t>
            </w:r>
          </w:p>
          <w:p w14:paraId="1300277F" w14:textId="77777777" w:rsidR="00883869" w:rsidRPr="00775AE5" w:rsidRDefault="00883869" w:rsidP="00A307D8">
            <w:pPr>
              <w:jc w:val="center"/>
              <w:rPr>
                <w:rFonts w:ascii="Arial" w:hAnsi="Arial" w:cs="Arial"/>
                <w:sz w:val="22"/>
                <w:szCs w:val="22"/>
              </w:rPr>
            </w:pPr>
            <w:r w:rsidRPr="00775AE5">
              <w:rPr>
                <w:rFonts w:ascii="Arial" w:hAnsi="Arial" w:cs="Arial"/>
                <w:sz w:val="22"/>
                <w:szCs w:val="22"/>
              </w:rPr>
              <w:t>97.24%</w:t>
            </w:r>
          </w:p>
        </w:tc>
        <w:tc>
          <w:tcPr>
            <w:tcW w:w="2993" w:type="dxa"/>
            <w:shd w:val="clear" w:color="auto" w:fill="auto"/>
          </w:tcPr>
          <w:p w14:paraId="07F7EC89" w14:textId="77777777" w:rsidR="00883869" w:rsidRPr="00775AE5" w:rsidRDefault="00883869" w:rsidP="00A307D8">
            <w:pPr>
              <w:jc w:val="center"/>
              <w:rPr>
                <w:rFonts w:ascii="Arial" w:hAnsi="Arial" w:cs="Arial"/>
                <w:sz w:val="22"/>
                <w:szCs w:val="22"/>
              </w:rPr>
            </w:pPr>
            <w:r w:rsidRPr="00775AE5">
              <w:rPr>
                <w:rFonts w:ascii="Arial" w:hAnsi="Arial" w:cs="Arial"/>
                <w:sz w:val="22"/>
                <w:szCs w:val="22"/>
              </w:rPr>
              <w:t>Total</w:t>
            </w:r>
          </w:p>
          <w:p w14:paraId="4D39FC7D" w14:textId="77777777" w:rsidR="00883869" w:rsidRPr="00775AE5" w:rsidRDefault="00883869" w:rsidP="00A307D8">
            <w:pPr>
              <w:jc w:val="center"/>
              <w:rPr>
                <w:rFonts w:ascii="Arial" w:hAnsi="Arial" w:cs="Arial"/>
                <w:sz w:val="22"/>
                <w:szCs w:val="22"/>
              </w:rPr>
            </w:pPr>
            <w:r w:rsidRPr="00775AE5">
              <w:rPr>
                <w:rFonts w:ascii="Arial" w:hAnsi="Arial" w:cs="Arial"/>
                <w:sz w:val="22"/>
                <w:szCs w:val="22"/>
              </w:rPr>
              <w:t>19.829</w:t>
            </w:r>
          </w:p>
        </w:tc>
      </w:tr>
    </w:tbl>
    <w:p w14:paraId="1E2324B0" w14:textId="77777777" w:rsidR="00883869" w:rsidRPr="00775AE5" w:rsidRDefault="00883869" w:rsidP="00883869">
      <w:pPr>
        <w:jc w:val="both"/>
        <w:rPr>
          <w:rFonts w:ascii="Arial" w:hAnsi="Arial" w:cs="Arial"/>
          <w:sz w:val="22"/>
          <w:szCs w:val="22"/>
        </w:rPr>
      </w:pPr>
    </w:p>
    <w:p w14:paraId="3E7C65F6" w14:textId="7FA37AFB" w:rsidR="00883869" w:rsidRPr="00775AE5" w:rsidRDefault="00883869" w:rsidP="009C3E3E">
      <w:pPr>
        <w:jc w:val="center"/>
        <w:rPr>
          <w:rFonts w:ascii="Arial" w:hAnsi="Arial" w:cs="Arial"/>
          <w:sz w:val="22"/>
          <w:szCs w:val="22"/>
        </w:rPr>
      </w:pPr>
      <w:r w:rsidRPr="00775AE5">
        <w:rPr>
          <w:rFonts w:ascii="Arial" w:hAnsi="Arial" w:cs="Arial"/>
          <w:sz w:val="22"/>
          <w:szCs w:val="22"/>
        </w:rPr>
        <w:t>Fuente: Informe Técnico Nro.  DNEDBV-2023-297- IT</w:t>
      </w:r>
    </w:p>
    <w:p w14:paraId="456069C8" w14:textId="77777777" w:rsidR="00883869" w:rsidRPr="00775AE5" w:rsidRDefault="00883869" w:rsidP="00883869">
      <w:pPr>
        <w:jc w:val="both"/>
        <w:rPr>
          <w:rFonts w:ascii="Arial" w:hAnsi="Arial" w:cs="Arial"/>
          <w:sz w:val="22"/>
          <w:szCs w:val="22"/>
        </w:rPr>
      </w:pPr>
    </w:p>
    <w:p w14:paraId="1EC6E836" w14:textId="377E84ED" w:rsidR="00883869" w:rsidRPr="00775AE5" w:rsidRDefault="00945DDE" w:rsidP="00E248E5">
      <w:pPr>
        <w:jc w:val="center"/>
        <w:rPr>
          <w:rFonts w:ascii="Arial" w:hAnsi="Arial" w:cs="Arial"/>
          <w:sz w:val="22"/>
          <w:szCs w:val="22"/>
        </w:rPr>
      </w:pPr>
      <w:r w:rsidRPr="00775AE5">
        <w:rPr>
          <w:rFonts w:ascii="Arial" w:hAnsi="Arial" w:cs="Arial"/>
          <w:noProof/>
          <w:sz w:val="22"/>
          <w:szCs w:val="22"/>
          <w:lang w:val="es-ES" w:eastAsia="es-ES"/>
        </w:rPr>
        <w:drawing>
          <wp:inline distT="0" distB="0" distL="0" distR="0" wp14:anchorId="56196206" wp14:editId="692E7D01">
            <wp:extent cx="5686425" cy="2295525"/>
            <wp:effectExtent l="0" t="0" r="0" b="0"/>
            <wp:docPr id="3" name="Imagen 75055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505535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86425" cy="2295525"/>
                    </a:xfrm>
                    <a:prstGeom prst="rect">
                      <a:avLst/>
                    </a:prstGeom>
                    <a:noFill/>
                    <a:ln>
                      <a:noFill/>
                    </a:ln>
                  </pic:spPr>
                </pic:pic>
              </a:graphicData>
            </a:graphic>
          </wp:inline>
        </w:drawing>
      </w:r>
    </w:p>
    <w:p w14:paraId="4FC72F31" w14:textId="77777777" w:rsidR="00883869" w:rsidRPr="00775AE5" w:rsidRDefault="00883869" w:rsidP="00775AE5">
      <w:pPr>
        <w:jc w:val="center"/>
        <w:rPr>
          <w:rFonts w:ascii="Arial" w:hAnsi="Arial" w:cs="Arial"/>
          <w:sz w:val="22"/>
          <w:szCs w:val="22"/>
        </w:rPr>
      </w:pPr>
      <w:r w:rsidRPr="00775AE5">
        <w:rPr>
          <w:rFonts w:ascii="Arial" w:hAnsi="Arial" w:cs="Arial"/>
          <w:sz w:val="22"/>
          <w:szCs w:val="22"/>
        </w:rPr>
        <w:t>Fuente: Informe Nro.  DNEDBV-2023-297- IT</w:t>
      </w:r>
    </w:p>
    <w:p w14:paraId="32485FB8" w14:textId="77777777" w:rsidR="00883869" w:rsidRPr="00775AE5" w:rsidRDefault="00883869" w:rsidP="00883869">
      <w:pPr>
        <w:jc w:val="both"/>
        <w:rPr>
          <w:rFonts w:ascii="Arial" w:hAnsi="Arial" w:cs="Arial"/>
          <w:sz w:val="22"/>
          <w:szCs w:val="22"/>
        </w:rPr>
      </w:pPr>
    </w:p>
    <w:p w14:paraId="1D8CD71C" w14:textId="216C21C8" w:rsidR="00883869" w:rsidRPr="00775AE5" w:rsidRDefault="00945DDE" w:rsidP="0022729F">
      <w:pPr>
        <w:jc w:val="center"/>
        <w:rPr>
          <w:rFonts w:ascii="Arial" w:hAnsi="Arial" w:cs="Arial"/>
          <w:sz w:val="22"/>
          <w:szCs w:val="22"/>
        </w:rPr>
      </w:pPr>
      <w:r w:rsidRPr="00775AE5">
        <w:rPr>
          <w:rFonts w:ascii="Arial" w:hAnsi="Arial" w:cs="Arial"/>
          <w:noProof/>
          <w:sz w:val="22"/>
          <w:szCs w:val="22"/>
          <w:lang w:val="es-ES" w:eastAsia="es-ES"/>
        </w:rPr>
        <w:drawing>
          <wp:inline distT="0" distB="0" distL="0" distR="0" wp14:anchorId="26D275D2" wp14:editId="0FDB123C">
            <wp:extent cx="5229225" cy="1638300"/>
            <wp:effectExtent l="0" t="0" r="9525" b="0"/>
            <wp:docPr id="4" name="Imagen 939659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3965959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29225" cy="1638300"/>
                    </a:xfrm>
                    <a:prstGeom prst="rect">
                      <a:avLst/>
                    </a:prstGeom>
                    <a:noFill/>
                    <a:ln>
                      <a:noFill/>
                    </a:ln>
                  </pic:spPr>
                </pic:pic>
              </a:graphicData>
            </a:graphic>
          </wp:inline>
        </w:drawing>
      </w:r>
    </w:p>
    <w:p w14:paraId="0ACA4424" w14:textId="23F9E80C" w:rsidR="00883869" w:rsidRPr="00775AE5" w:rsidRDefault="00883869" w:rsidP="00883869">
      <w:pPr>
        <w:jc w:val="both"/>
        <w:rPr>
          <w:rFonts w:ascii="Arial" w:hAnsi="Arial" w:cs="Arial"/>
          <w:sz w:val="22"/>
          <w:szCs w:val="22"/>
        </w:rPr>
      </w:pPr>
      <w:r w:rsidRPr="00775AE5">
        <w:rPr>
          <w:rFonts w:ascii="Arial" w:hAnsi="Arial" w:cs="Arial"/>
          <w:sz w:val="22"/>
          <w:szCs w:val="22"/>
        </w:rPr>
        <w:t>.</w:t>
      </w:r>
    </w:p>
    <w:p w14:paraId="0CA4DF84" w14:textId="1B99E841" w:rsidR="00883869" w:rsidRPr="00775AE5" w:rsidRDefault="00945DDE" w:rsidP="0022729F">
      <w:pPr>
        <w:jc w:val="center"/>
        <w:rPr>
          <w:rFonts w:ascii="Arial" w:hAnsi="Arial" w:cs="Arial"/>
          <w:sz w:val="22"/>
          <w:szCs w:val="22"/>
        </w:rPr>
      </w:pPr>
      <w:r w:rsidRPr="00775AE5">
        <w:rPr>
          <w:rFonts w:ascii="Arial" w:hAnsi="Arial" w:cs="Arial"/>
          <w:noProof/>
          <w:sz w:val="22"/>
          <w:szCs w:val="22"/>
          <w:lang w:val="es-ES" w:eastAsia="es-ES"/>
        </w:rPr>
        <w:drawing>
          <wp:inline distT="0" distB="0" distL="0" distR="0" wp14:anchorId="72FEB381" wp14:editId="7588E278">
            <wp:extent cx="4047490" cy="2247900"/>
            <wp:effectExtent l="0" t="0" r="0" b="0"/>
            <wp:docPr id="5" name="Imagen 690708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9070826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47490" cy="2247900"/>
                    </a:xfrm>
                    <a:prstGeom prst="rect">
                      <a:avLst/>
                    </a:prstGeom>
                    <a:noFill/>
                    <a:ln>
                      <a:noFill/>
                    </a:ln>
                  </pic:spPr>
                </pic:pic>
              </a:graphicData>
            </a:graphic>
          </wp:inline>
        </w:drawing>
      </w:r>
    </w:p>
    <w:p w14:paraId="657975A7" w14:textId="77777777" w:rsidR="009C3E3E" w:rsidRDefault="009C3E3E" w:rsidP="00883869">
      <w:pPr>
        <w:jc w:val="both"/>
        <w:rPr>
          <w:rFonts w:ascii="Arial" w:hAnsi="Arial" w:cs="Arial"/>
          <w:sz w:val="22"/>
          <w:szCs w:val="22"/>
        </w:rPr>
      </w:pPr>
    </w:p>
    <w:p w14:paraId="2C1F748A" w14:textId="0AD34136" w:rsidR="00883869" w:rsidRPr="00775AE5" w:rsidRDefault="00883869" w:rsidP="00883869">
      <w:pPr>
        <w:jc w:val="both"/>
        <w:rPr>
          <w:rFonts w:ascii="Arial" w:hAnsi="Arial" w:cs="Arial"/>
          <w:sz w:val="22"/>
          <w:szCs w:val="22"/>
        </w:rPr>
      </w:pPr>
      <w:r w:rsidRPr="00775AE5">
        <w:rPr>
          <w:rFonts w:ascii="Arial" w:hAnsi="Arial" w:cs="Arial"/>
          <w:sz w:val="22"/>
          <w:szCs w:val="22"/>
        </w:rPr>
        <w:t xml:space="preserve">Las otras instituciones requeridas no mantienen afirmación </w:t>
      </w:r>
      <w:r w:rsidR="0022729F" w:rsidRPr="00775AE5">
        <w:rPr>
          <w:rFonts w:ascii="Arial" w:hAnsi="Arial" w:cs="Arial"/>
          <w:sz w:val="22"/>
          <w:szCs w:val="22"/>
        </w:rPr>
        <w:t>sistematizada que</w:t>
      </w:r>
      <w:r w:rsidRPr="00775AE5">
        <w:rPr>
          <w:rFonts w:ascii="Arial" w:hAnsi="Arial" w:cs="Arial"/>
          <w:sz w:val="22"/>
          <w:szCs w:val="22"/>
        </w:rPr>
        <w:t xml:space="preserve"> permita acceder a gráficos demostrativos, sin embargo, todas tienen protocolos de actuación freten a violencia sexual cuya aplicación no siempre es eficaz.</w:t>
      </w:r>
    </w:p>
    <w:p w14:paraId="4DC6A4B4" w14:textId="77777777" w:rsidR="00883869" w:rsidRPr="00775AE5" w:rsidRDefault="00883869" w:rsidP="00883869">
      <w:pPr>
        <w:jc w:val="both"/>
        <w:rPr>
          <w:rFonts w:ascii="Arial" w:hAnsi="Arial" w:cs="Arial"/>
          <w:sz w:val="22"/>
          <w:szCs w:val="22"/>
        </w:rPr>
      </w:pPr>
    </w:p>
    <w:p w14:paraId="58A96DAC" w14:textId="77777777" w:rsidR="00883869" w:rsidRPr="00775AE5" w:rsidRDefault="00883869" w:rsidP="00883869">
      <w:pPr>
        <w:jc w:val="both"/>
        <w:rPr>
          <w:rFonts w:ascii="Arial" w:hAnsi="Arial" w:cs="Arial"/>
          <w:b/>
          <w:sz w:val="22"/>
          <w:szCs w:val="22"/>
        </w:rPr>
      </w:pPr>
      <w:r w:rsidRPr="00775AE5">
        <w:rPr>
          <w:rFonts w:ascii="Arial" w:hAnsi="Arial" w:cs="Arial"/>
          <w:sz w:val="22"/>
          <w:szCs w:val="22"/>
        </w:rPr>
        <w:t xml:space="preserve">A </w:t>
      </w:r>
      <w:r w:rsidR="003501C3" w:rsidRPr="00775AE5">
        <w:rPr>
          <w:rFonts w:ascii="Arial" w:hAnsi="Arial" w:cs="Arial"/>
          <w:sz w:val="22"/>
          <w:szCs w:val="22"/>
        </w:rPr>
        <w:t>continuación,</w:t>
      </w:r>
      <w:r w:rsidRPr="00775AE5">
        <w:rPr>
          <w:rFonts w:ascii="Arial" w:hAnsi="Arial" w:cs="Arial"/>
          <w:sz w:val="22"/>
          <w:szCs w:val="22"/>
        </w:rPr>
        <w:t xml:space="preserve"> se muestra el resumen que el informe intermedio ejecutado por la Defensoría del Pueblo.</w:t>
      </w:r>
    </w:p>
    <w:p w14:paraId="76E148FB" w14:textId="77777777" w:rsidR="00883869" w:rsidRPr="00775AE5" w:rsidRDefault="00883869" w:rsidP="00883869">
      <w:pPr>
        <w:jc w:val="both"/>
        <w:rPr>
          <w:rFonts w:ascii="Arial" w:hAnsi="Arial" w:cs="Arial"/>
          <w:b/>
          <w:sz w:val="22"/>
          <w:szCs w:val="22"/>
        </w:rPr>
      </w:pPr>
    </w:p>
    <w:p w14:paraId="3BB9BBCC" w14:textId="77777777" w:rsidR="00883869" w:rsidRPr="00775AE5" w:rsidRDefault="00883869" w:rsidP="00883869">
      <w:pPr>
        <w:jc w:val="both"/>
        <w:rPr>
          <w:rFonts w:ascii="Arial" w:hAnsi="Arial" w:cs="Arial"/>
          <w:b/>
          <w:sz w:val="22"/>
          <w:szCs w:val="22"/>
        </w:rPr>
      </w:pPr>
    </w:p>
    <w:p w14:paraId="5F664944" w14:textId="1D4FAA9A" w:rsidR="00883869" w:rsidRPr="00775AE5" w:rsidRDefault="00883869" w:rsidP="00883869">
      <w:pPr>
        <w:jc w:val="both"/>
        <w:rPr>
          <w:rFonts w:ascii="Arial" w:hAnsi="Arial" w:cs="Arial"/>
          <w:b/>
          <w:sz w:val="22"/>
          <w:szCs w:val="22"/>
        </w:rPr>
      </w:pPr>
      <w:r w:rsidRPr="00775AE5">
        <w:rPr>
          <w:rFonts w:ascii="Arial" w:hAnsi="Arial" w:cs="Arial"/>
          <w:b/>
          <w:sz w:val="22"/>
          <w:szCs w:val="22"/>
        </w:rPr>
        <w:t>C</w:t>
      </w:r>
      <w:r w:rsidR="00775AE5">
        <w:rPr>
          <w:rFonts w:ascii="Arial" w:hAnsi="Arial" w:cs="Arial"/>
          <w:b/>
          <w:sz w:val="22"/>
          <w:szCs w:val="22"/>
        </w:rPr>
        <w:t>onclusiones específicas</w:t>
      </w:r>
      <w:r w:rsidRPr="00775AE5">
        <w:rPr>
          <w:rFonts w:ascii="Arial" w:hAnsi="Arial" w:cs="Arial"/>
          <w:b/>
          <w:sz w:val="22"/>
          <w:szCs w:val="22"/>
        </w:rPr>
        <w:t>:</w:t>
      </w:r>
    </w:p>
    <w:p w14:paraId="72158C78" w14:textId="77777777" w:rsidR="00883869" w:rsidRPr="00775AE5" w:rsidRDefault="00883869" w:rsidP="00883869">
      <w:pPr>
        <w:jc w:val="both"/>
        <w:rPr>
          <w:rFonts w:ascii="Arial" w:hAnsi="Arial" w:cs="Arial"/>
          <w:b/>
          <w:sz w:val="22"/>
          <w:szCs w:val="22"/>
        </w:rPr>
      </w:pPr>
    </w:p>
    <w:p w14:paraId="3FBABE78" w14:textId="77777777" w:rsidR="00883869" w:rsidRPr="00775AE5" w:rsidRDefault="00883869" w:rsidP="00883869">
      <w:pPr>
        <w:jc w:val="both"/>
        <w:rPr>
          <w:rFonts w:ascii="Arial" w:hAnsi="Arial" w:cs="Arial"/>
          <w:sz w:val="22"/>
          <w:szCs w:val="22"/>
        </w:rPr>
      </w:pPr>
      <w:r w:rsidRPr="00775AE5">
        <w:rPr>
          <w:rFonts w:ascii="Arial" w:hAnsi="Arial" w:cs="Arial"/>
          <w:sz w:val="22"/>
          <w:szCs w:val="22"/>
        </w:rPr>
        <w:t>De la información que han enviado las instituciones, se ha llegado a las siguientes conclusiones específicas:</w:t>
      </w:r>
    </w:p>
    <w:p w14:paraId="7A29EA91" w14:textId="77777777" w:rsidR="00883869" w:rsidRPr="00775AE5" w:rsidRDefault="00883869" w:rsidP="00883869">
      <w:pPr>
        <w:jc w:val="both"/>
        <w:rPr>
          <w:rFonts w:ascii="Arial" w:hAnsi="Arial" w:cs="Arial"/>
          <w:b/>
          <w:sz w:val="22"/>
          <w:szCs w:val="22"/>
        </w:rPr>
      </w:pPr>
    </w:p>
    <w:p w14:paraId="3518A8E0" w14:textId="3FADF8D6" w:rsidR="00883869" w:rsidRPr="00775AE5" w:rsidRDefault="00883869" w:rsidP="00883869">
      <w:pPr>
        <w:jc w:val="both"/>
        <w:rPr>
          <w:rFonts w:ascii="Arial" w:hAnsi="Arial" w:cs="Arial"/>
          <w:b/>
          <w:sz w:val="22"/>
          <w:szCs w:val="22"/>
        </w:rPr>
      </w:pPr>
      <w:r w:rsidRPr="00775AE5">
        <w:rPr>
          <w:rFonts w:ascii="Arial" w:hAnsi="Arial" w:cs="Arial"/>
          <w:b/>
          <w:sz w:val="22"/>
          <w:szCs w:val="22"/>
        </w:rPr>
        <w:t>F</w:t>
      </w:r>
      <w:r w:rsidR="00156067">
        <w:rPr>
          <w:rFonts w:ascii="Arial" w:hAnsi="Arial" w:cs="Arial"/>
          <w:b/>
          <w:sz w:val="22"/>
          <w:szCs w:val="22"/>
        </w:rPr>
        <w:t>iscalía General del Estado</w:t>
      </w:r>
    </w:p>
    <w:p w14:paraId="0E1357F2" w14:textId="77777777" w:rsidR="00883869" w:rsidRPr="00775AE5" w:rsidRDefault="00883869" w:rsidP="00B17DD2">
      <w:pPr>
        <w:pStyle w:val="ListParagraph"/>
        <w:numPr>
          <w:ilvl w:val="0"/>
          <w:numId w:val="31"/>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De los 52051 casos que reporta la Fiscalía, solamente 2161 que corresponde al 4.15%, han recibido sentencia.</w:t>
      </w:r>
    </w:p>
    <w:p w14:paraId="172185BB" w14:textId="77777777" w:rsidR="00883869" w:rsidRPr="00775AE5" w:rsidRDefault="00883869" w:rsidP="00B17DD2">
      <w:pPr>
        <w:pStyle w:val="ListParagraph"/>
        <w:numPr>
          <w:ilvl w:val="0"/>
          <w:numId w:val="31"/>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Un total de 9061 casos que corresponden al 17,40% constan como archivo aceptado.</w:t>
      </w:r>
    </w:p>
    <w:p w14:paraId="7C140DDA" w14:textId="77777777" w:rsidR="00883869" w:rsidRPr="00775AE5" w:rsidRDefault="00883869" w:rsidP="00B17DD2">
      <w:pPr>
        <w:pStyle w:val="ListParagraph"/>
        <w:numPr>
          <w:ilvl w:val="0"/>
          <w:numId w:val="31"/>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Un total de 5421 casos que corresponden al 10,47% constan con archivo solicitado.</w:t>
      </w:r>
    </w:p>
    <w:p w14:paraId="286469DF" w14:textId="77777777" w:rsidR="00883869" w:rsidRPr="00775AE5" w:rsidRDefault="00883869" w:rsidP="00B17DD2">
      <w:pPr>
        <w:pStyle w:val="ListParagraph"/>
        <w:numPr>
          <w:ilvl w:val="0"/>
          <w:numId w:val="31"/>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Asimismo, 870 casos que corresponden al 1.67% han sido sobreseídos.</w:t>
      </w:r>
    </w:p>
    <w:p w14:paraId="2F3E4549" w14:textId="77777777" w:rsidR="00883869" w:rsidRPr="00775AE5" w:rsidRDefault="00883869" w:rsidP="00B17DD2">
      <w:pPr>
        <w:pStyle w:val="ListParagraph"/>
        <w:numPr>
          <w:ilvl w:val="0"/>
          <w:numId w:val="31"/>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589 casos que corresponden al 1.13% han recibido sentencia ratificadora del estado de inocencia.</w:t>
      </w:r>
    </w:p>
    <w:p w14:paraId="02F4E0FB" w14:textId="77777777" w:rsidR="00883869" w:rsidRPr="00775AE5" w:rsidRDefault="00883869" w:rsidP="00B17DD2">
      <w:pPr>
        <w:pStyle w:val="ListParagraph"/>
        <w:numPr>
          <w:ilvl w:val="0"/>
          <w:numId w:val="31"/>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Existe 1 caso de mediación penal aceptada.</w:t>
      </w:r>
    </w:p>
    <w:p w14:paraId="0767C066" w14:textId="77777777" w:rsidR="00883869" w:rsidRPr="00775AE5" w:rsidRDefault="00883869" w:rsidP="00883869">
      <w:pPr>
        <w:jc w:val="both"/>
        <w:rPr>
          <w:rFonts w:ascii="Arial" w:hAnsi="Arial" w:cs="Arial"/>
          <w:sz w:val="22"/>
          <w:szCs w:val="22"/>
        </w:rPr>
      </w:pPr>
    </w:p>
    <w:p w14:paraId="324CB9E9" w14:textId="7AC0ABED" w:rsidR="00883869" w:rsidRPr="00775AE5" w:rsidRDefault="00883869" w:rsidP="00883869">
      <w:pPr>
        <w:jc w:val="both"/>
        <w:rPr>
          <w:rFonts w:ascii="Arial" w:hAnsi="Arial" w:cs="Arial"/>
          <w:b/>
          <w:sz w:val="22"/>
          <w:szCs w:val="22"/>
        </w:rPr>
      </w:pPr>
      <w:r w:rsidRPr="00775AE5">
        <w:rPr>
          <w:rFonts w:ascii="Arial" w:hAnsi="Arial" w:cs="Arial"/>
          <w:b/>
          <w:sz w:val="22"/>
          <w:szCs w:val="22"/>
        </w:rPr>
        <w:t>C</w:t>
      </w:r>
      <w:r w:rsidR="00156067">
        <w:rPr>
          <w:rFonts w:ascii="Arial" w:hAnsi="Arial" w:cs="Arial"/>
          <w:b/>
          <w:sz w:val="22"/>
          <w:szCs w:val="22"/>
        </w:rPr>
        <w:t>onsejo de la Judicatura</w:t>
      </w:r>
    </w:p>
    <w:p w14:paraId="4484FA99" w14:textId="77777777" w:rsidR="00883869" w:rsidRPr="00775AE5" w:rsidRDefault="00883869" w:rsidP="00B17DD2">
      <w:pPr>
        <w:pStyle w:val="ListParagraph"/>
        <w:numPr>
          <w:ilvl w:val="0"/>
          <w:numId w:val="34"/>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De un total de 9006 casos, solamente 2566 han sido resueltos en sentencia, esto equivale al 28,49%.</w:t>
      </w:r>
    </w:p>
    <w:p w14:paraId="3C8E9DCE" w14:textId="77777777" w:rsidR="00883869" w:rsidRPr="00775AE5" w:rsidRDefault="00883869" w:rsidP="00B17DD2">
      <w:pPr>
        <w:pStyle w:val="ListParagraph"/>
        <w:numPr>
          <w:ilvl w:val="0"/>
          <w:numId w:val="34"/>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De los 6.440 que equivale al 71,50%, la Defensoría del Pueblo no ha recibido información.</w:t>
      </w:r>
    </w:p>
    <w:p w14:paraId="4648BE4E" w14:textId="7B3F9654" w:rsidR="00883869" w:rsidRPr="00775AE5" w:rsidRDefault="00883869" w:rsidP="00883869">
      <w:pPr>
        <w:jc w:val="both"/>
        <w:rPr>
          <w:rFonts w:ascii="Arial" w:hAnsi="Arial" w:cs="Arial"/>
          <w:b/>
          <w:sz w:val="22"/>
          <w:szCs w:val="22"/>
        </w:rPr>
      </w:pPr>
      <w:r w:rsidRPr="00775AE5">
        <w:rPr>
          <w:rFonts w:ascii="Arial" w:hAnsi="Arial" w:cs="Arial"/>
          <w:b/>
          <w:sz w:val="22"/>
          <w:szCs w:val="22"/>
        </w:rPr>
        <w:t>D</w:t>
      </w:r>
      <w:r w:rsidR="00156067">
        <w:rPr>
          <w:rFonts w:ascii="Arial" w:hAnsi="Arial" w:cs="Arial"/>
          <w:b/>
          <w:sz w:val="22"/>
          <w:szCs w:val="22"/>
        </w:rPr>
        <w:t>efensoría Pública</w:t>
      </w:r>
    </w:p>
    <w:p w14:paraId="6FB98156" w14:textId="77777777" w:rsidR="00883869" w:rsidRPr="00775AE5" w:rsidRDefault="00883869" w:rsidP="00B17DD2">
      <w:pPr>
        <w:pStyle w:val="ListParagraph"/>
        <w:numPr>
          <w:ilvl w:val="0"/>
          <w:numId w:val="30"/>
        </w:numPr>
        <w:spacing w:line="259" w:lineRule="auto"/>
        <w:jc w:val="both"/>
        <w:rPr>
          <w:rFonts w:ascii="Arial" w:hAnsi="Arial" w:cs="Arial"/>
          <w:sz w:val="22"/>
          <w:szCs w:val="22"/>
          <w:lang w:val="es-ES" w:eastAsia="es-ES"/>
        </w:rPr>
      </w:pPr>
      <w:r w:rsidRPr="00775AE5">
        <w:rPr>
          <w:rFonts w:ascii="Arial" w:hAnsi="Arial" w:cs="Arial"/>
          <w:sz w:val="22"/>
          <w:szCs w:val="22"/>
          <w:lang w:val="es-ES" w:eastAsia="es-ES"/>
        </w:rPr>
        <w:t>En el año 2022, se patrocinó a 8368 procesados que corresponde al 80,16% y 2070 víctimas, que corresponde al 19,83%. De estos casos, 102 que corresponde al 0,97% fueron archivados, 126 que corresponde al 1,20% recibieron sentencia condenatoria y 52 casos que corresponden al 0.49% recibieron sentencia ratificadora de inocencia. No se tiene información de la situación de los 10158 casos restantes, que corresponde al 97,31%.</w:t>
      </w:r>
    </w:p>
    <w:p w14:paraId="3AA3B9A0" w14:textId="77777777" w:rsidR="00883869" w:rsidRPr="00775AE5" w:rsidRDefault="00883869" w:rsidP="00B17DD2">
      <w:pPr>
        <w:pStyle w:val="ListParagraph"/>
        <w:numPr>
          <w:ilvl w:val="0"/>
          <w:numId w:val="30"/>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Según la información enviada “Los defensores públicos brindan sus servicios misionales en diferentes temas de atención en materia penal y materia no penal. No existen defensores públicos que patrocinan únicamente a víctimas”.</w:t>
      </w:r>
    </w:p>
    <w:p w14:paraId="361512DB" w14:textId="77777777" w:rsidR="00883869" w:rsidRPr="00775AE5" w:rsidRDefault="00883869" w:rsidP="00B17DD2">
      <w:pPr>
        <w:pStyle w:val="ListParagraph"/>
        <w:numPr>
          <w:ilvl w:val="0"/>
          <w:numId w:val="30"/>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En las provincias de El Oro, Galápagos, Napo y Orellana no se cuenta con ninguna defensora o defensor público.</w:t>
      </w:r>
    </w:p>
    <w:p w14:paraId="61812C54" w14:textId="77777777" w:rsidR="00883869" w:rsidRPr="00775AE5" w:rsidRDefault="00883869" w:rsidP="00B17DD2">
      <w:pPr>
        <w:pStyle w:val="ListParagraph"/>
        <w:numPr>
          <w:ilvl w:val="0"/>
          <w:numId w:val="30"/>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 xml:space="preserve">No se remite el Protocolo para la actuación de la Defensoría Pública en los casos de violencia contra la mujer y miembros del grupo familiar, debido a que está desactualizado. </w:t>
      </w:r>
    </w:p>
    <w:p w14:paraId="338E8B60" w14:textId="4860D509" w:rsidR="00883869" w:rsidRPr="00775AE5" w:rsidRDefault="00883869" w:rsidP="00883869">
      <w:pPr>
        <w:jc w:val="both"/>
        <w:rPr>
          <w:rFonts w:ascii="Arial" w:hAnsi="Arial" w:cs="Arial"/>
          <w:b/>
          <w:sz w:val="22"/>
          <w:szCs w:val="22"/>
        </w:rPr>
      </w:pPr>
      <w:r w:rsidRPr="00775AE5">
        <w:rPr>
          <w:rFonts w:ascii="Arial" w:hAnsi="Arial" w:cs="Arial"/>
          <w:b/>
          <w:sz w:val="22"/>
          <w:szCs w:val="22"/>
        </w:rPr>
        <w:t>M</w:t>
      </w:r>
      <w:r w:rsidR="00156067">
        <w:rPr>
          <w:rFonts w:ascii="Arial" w:hAnsi="Arial" w:cs="Arial"/>
          <w:b/>
          <w:sz w:val="22"/>
          <w:szCs w:val="22"/>
        </w:rPr>
        <w:t>inistro del Interior</w:t>
      </w:r>
    </w:p>
    <w:p w14:paraId="7E85BB30" w14:textId="77777777" w:rsidR="00883869" w:rsidRPr="00775AE5" w:rsidRDefault="00883869" w:rsidP="00B17DD2">
      <w:pPr>
        <w:pStyle w:val="ListParagraph"/>
        <w:numPr>
          <w:ilvl w:val="0"/>
          <w:numId w:val="29"/>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 xml:space="preserve">El número de delitos y víctimas no coinciden, se entiende que puede ser debido a que la persona agredida es víctima de más de un delito. </w:t>
      </w:r>
    </w:p>
    <w:p w14:paraId="6B6B0E0E" w14:textId="77777777" w:rsidR="00883869" w:rsidRPr="00775AE5" w:rsidRDefault="00883869" w:rsidP="00B17DD2">
      <w:pPr>
        <w:pStyle w:val="ListParagraph"/>
        <w:numPr>
          <w:ilvl w:val="0"/>
          <w:numId w:val="29"/>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El informe indica que existen 1576 víctimas de sexo masculino y 19856 víctimas de sexo femenino. De ese total no se conoce cuántas víctimas son niñas, niños y adolescentes.  El Ministerio indica que el 64% de víctimas no continúan con la denuncia.</w:t>
      </w:r>
    </w:p>
    <w:p w14:paraId="05072567" w14:textId="0257F96B" w:rsidR="00883869" w:rsidRPr="00775AE5" w:rsidRDefault="00883869" w:rsidP="00883869">
      <w:pPr>
        <w:jc w:val="both"/>
        <w:rPr>
          <w:rFonts w:ascii="Arial" w:hAnsi="Arial" w:cs="Arial"/>
          <w:b/>
          <w:sz w:val="22"/>
          <w:szCs w:val="22"/>
        </w:rPr>
      </w:pPr>
      <w:r w:rsidRPr="00775AE5">
        <w:rPr>
          <w:rFonts w:ascii="Arial" w:hAnsi="Arial" w:cs="Arial"/>
          <w:b/>
          <w:sz w:val="22"/>
          <w:szCs w:val="22"/>
        </w:rPr>
        <w:t>M</w:t>
      </w:r>
      <w:r w:rsidR="00156067">
        <w:rPr>
          <w:rFonts w:ascii="Arial" w:hAnsi="Arial" w:cs="Arial"/>
          <w:b/>
          <w:sz w:val="22"/>
          <w:szCs w:val="22"/>
        </w:rPr>
        <w:t xml:space="preserve">inisterio de Salud </w:t>
      </w:r>
      <w:r w:rsidRPr="00775AE5">
        <w:rPr>
          <w:rFonts w:ascii="Arial" w:hAnsi="Arial" w:cs="Arial"/>
          <w:b/>
          <w:sz w:val="22"/>
          <w:szCs w:val="22"/>
        </w:rPr>
        <w:t>P</w:t>
      </w:r>
      <w:r w:rsidR="00156067">
        <w:rPr>
          <w:rFonts w:ascii="Arial" w:hAnsi="Arial" w:cs="Arial"/>
          <w:b/>
          <w:sz w:val="22"/>
          <w:szCs w:val="22"/>
        </w:rPr>
        <w:t>ública</w:t>
      </w:r>
    </w:p>
    <w:p w14:paraId="7E328CB2" w14:textId="77777777" w:rsidR="00883869" w:rsidRPr="00775AE5" w:rsidRDefault="00883869" w:rsidP="00B17DD2">
      <w:pPr>
        <w:pStyle w:val="ListParagraph"/>
        <w:numPr>
          <w:ilvl w:val="0"/>
          <w:numId w:val="28"/>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De los 39250 pacientes niñas, niños y adolescentes víctimas de violencia de 0 a 19 años, únicamente constan 9774 notificaciones realizadas dentro del sistema de salud.</w:t>
      </w:r>
    </w:p>
    <w:p w14:paraId="744C9647" w14:textId="77777777" w:rsidR="00883869" w:rsidRPr="00775AE5" w:rsidRDefault="00883869" w:rsidP="00B17DD2">
      <w:pPr>
        <w:pStyle w:val="ListParagraph"/>
        <w:numPr>
          <w:ilvl w:val="0"/>
          <w:numId w:val="28"/>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Las 9774 notificaciones a Fiscalía corresponden del año 2021 al 2023 ya que antes de esa fecha no contaban con un instrumento de registro.</w:t>
      </w:r>
    </w:p>
    <w:p w14:paraId="392E0752" w14:textId="77777777" w:rsidR="00883869" w:rsidRPr="00775AE5" w:rsidRDefault="00883869" w:rsidP="00B17DD2">
      <w:pPr>
        <w:pStyle w:val="ListParagraph"/>
        <w:numPr>
          <w:ilvl w:val="0"/>
          <w:numId w:val="28"/>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 xml:space="preserve">Se informó con reserva de fuente que los médicos que atienden no cumplen con la obligación de denuncia por las supuestas complicaciones que les causarían al ser necesaria su comparecencia en los procesos fiscales y judiciales. </w:t>
      </w:r>
    </w:p>
    <w:p w14:paraId="35DBB36D" w14:textId="77777777" w:rsidR="00883869" w:rsidRPr="00775AE5" w:rsidRDefault="00883869" w:rsidP="00B17DD2">
      <w:pPr>
        <w:pStyle w:val="ListParagraph"/>
        <w:numPr>
          <w:ilvl w:val="0"/>
          <w:numId w:val="28"/>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No coincide la información del número de casos ingresados entre el 2021 a 2022 con las notificaciones realizadas en el mismo periodo de tiempo. Es decir que realizan menos notificaciones por número de pacientes víctimas de violencia.</w:t>
      </w:r>
    </w:p>
    <w:p w14:paraId="487F1FE2" w14:textId="77777777" w:rsidR="00883869" w:rsidRPr="00775AE5" w:rsidRDefault="00883869" w:rsidP="00B17DD2">
      <w:pPr>
        <w:pStyle w:val="ListParagraph"/>
        <w:numPr>
          <w:ilvl w:val="0"/>
          <w:numId w:val="28"/>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Según las estadísticas reportadas, en el 2018 hubo 10211 pacientes víctimas de violencia, mientras que en el año 2022 se registraron 4791, cuando es de conocimiento general que la situación de violencia en el país se ha incrementado.</w:t>
      </w:r>
    </w:p>
    <w:p w14:paraId="4FF6FF49" w14:textId="77777777" w:rsidR="00883869" w:rsidRPr="00775AE5" w:rsidRDefault="00883869" w:rsidP="00883869">
      <w:pPr>
        <w:jc w:val="both"/>
        <w:rPr>
          <w:rFonts w:ascii="Arial" w:hAnsi="Arial" w:cs="Arial"/>
          <w:sz w:val="22"/>
          <w:szCs w:val="22"/>
        </w:rPr>
      </w:pPr>
    </w:p>
    <w:p w14:paraId="51AC79B9" w14:textId="0A7D411F" w:rsidR="00883869" w:rsidRPr="00775AE5" w:rsidRDefault="00883869" w:rsidP="00883869">
      <w:pPr>
        <w:jc w:val="both"/>
        <w:rPr>
          <w:rFonts w:ascii="Arial" w:hAnsi="Arial" w:cs="Arial"/>
          <w:b/>
          <w:sz w:val="22"/>
          <w:szCs w:val="22"/>
        </w:rPr>
      </w:pPr>
      <w:r w:rsidRPr="00775AE5">
        <w:rPr>
          <w:rFonts w:ascii="Arial" w:hAnsi="Arial" w:cs="Arial"/>
          <w:b/>
          <w:sz w:val="22"/>
          <w:szCs w:val="22"/>
        </w:rPr>
        <w:t>M</w:t>
      </w:r>
      <w:r w:rsidR="000F1076">
        <w:rPr>
          <w:rFonts w:ascii="Arial" w:hAnsi="Arial" w:cs="Arial"/>
          <w:b/>
          <w:sz w:val="22"/>
          <w:szCs w:val="22"/>
        </w:rPr>
        <w:t>inisterio de Educación</w:t>
      </w:r>
    </w:p>
    <w:p w14:paraId="60C67EC1" w14:textId="7EDD749D" w:rsidR="00883869" w:rsidRPr="00775AE5" w:rsidRDefault="00883869" w:rsidP="00B17DD2">
      <w:pPr>
        <w:pStyle w:val="ListParagraph"/>
        <w:numPr>
          <w:ilvl w:val="0"/>
          <w:numId w:val="36"/>
        </w:numPr>
        <w:spacing w:line="259" w:lineRule="auto"/>
        <w:jc w:val="both"/>
        <w:rPr>
          <w:rFonts w:ascii="Arial" w:hAnsi="Arial" w:cs="Arial"/>
          <w:sz w:val="22"/>
          <w:szCs w:val="22"/>
          <w:lang w:val="es-ES" w:eastAsia="es-ES"/>
        </w:rPr>
      </w:pPr>
      <w:r w:rsidRPr="00775AE5">
        <w:rPr>
          <w:rFonts w:ascii="Arial" w:hAnsi="Arial" w:cs="Arial"/>
          <w:sz w:val="22"/>
          <w:szCs w:val="22"/>
          <w:lang w:val="es-ES" w:eastAsia="es-ES"/>
        </w:rPr>
        <w:t xml:space="preserve">Existen 547 casos que no han sido denunciados en la Fiscalía General del Estado, </w:t>
      </w:r>
      <w:r w:rsidR="00CA38EB" w:rsidRPr="00775AE5">
        <w:rPr>
          <w:rFonts w:ascii="Arial" w:hAnsi="Arial" w:cs="Arial"/>
          <w:sz w:val="22"/>
          <w:szCs w:val="22"/>
          <w:lang w:val="es-ES" w:eastAsia="es-ES"/>
        </w:rPr>
        <w:t>a pesar de que</w:t>
      </w:r>
      <w:r w:rsidRPr="00775AE5">
        <w:rPr>
          <w:rFonts w:ascii="Arial" w:hAnsi="Arial" w:cs="Arial"/>
          <w:sz w:val="22"/>
          <w:szCs w:val="22"/>
          <w:lang w:val="es-ES" w:eastAsia="es-ES"/>
        </w:rPr>
        <w:t xml:space="preserve"> el Protocolos y rutas de actuación frente a situaciones de violencia detectada o cometida dentro del sistema educativo, disponen la presentación de la denuncia.</w:t>
      </w:r>
    </w:p>
    <w:p w14:paraId="39F99611" w14:textId="77777777" w:rsidR="00883869" w:rsidRPr="00775AE5" w:rsidRDefault="00883869" w:rsidP="00B17DD2">
      <w:pPr>
        <w:pStyle w:val="ListParagraph"/>
        <w:numPr>
          <w:ilvl w:val="0"/>
          <w:numId w:val="35"/>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El Ministerio explica que no incluyen las variables de profesión de los agresores, ni su nivel de educación, como tampoco cuentan con información referente al lugar en donde se realizó el hecho de violencia sexual.</w:t>
      </w:r>
    </w:p>
    <w:p w14:paraId="36FEEFDB" w14:textId="77777777" w:rsidR="00883869" w:rsidRPr="00775AE5" w:rsidRDefault="00883869" w:rsidP="00883869">
      <w:pPr>
        <w:pStyle w:val="ListParagraph"/>
        <w:jc w:val="both"/>
        <w:rPr>
          <w:rFonts w:ascii="Arial" w:hAnsi="Arial" w:cs="Arial"/>
          <w:sz w:val="22"/>
          <w:szCs w:val="22"/>
          <w:lang w:val="es-ES" w:eastAsia="es-ES"/>
        </w:rPr>
      </w:pPr>
    </w:p>
    <w:p w14:paraId="6D446AB0" w14:textId="0677FED9" w:rsidR="00883869" w:rsidRPr="00775AE5" w:rsidRDefault="00883869" w:rsidP="00883869">
      <w:pPr>
        <w:jc w:val="both"/>
        <w:rPr>
          <w:rFonts w:ascii="Arial" w:hAnsi="Arial" w:cs="Arial"/>
          <w:b/>
          <w:sz w:val="22"/>
          <w:szCs w:val="22"/>
        </w:rPr>
      </w:pPr>
      <w:r w:rsidRPr="00775AE5">
        <w:rPr>
          <w:rFonts w:ascii="Arial" w:hAnsi="Arial" w:cs="Arial"/>
          <w:b/>
          <w:sz w:val="22"/>
          <w:szCs w:val="22"/>
        </w:rPr>
        <w:t>M</w:t>
      </w:r>
      <w:r w:rsidR="000F1076">
        <w:rPr>
          <w:rFonts w:ascii="Arial" w:hAnsi="Arial" w:cs="Arial"/>
          <w:b/>
          <w:sz w:val="22"/>
          <w:szCs w:val="22"/>
        </w:rPr>
        <w:t xml:space="preserve">inisterio de Inclusión Económica y Social </w:t>
      </w:r>
    </w:p>
    <w:p w14:paraId="74BDE2BD" w14:textId="77777777" w:rsidR="00883869" w:rsidRPr="00775AE5" w:rsidRDefault="00883869" w:rsidP="00B17DD2">
      <w:pPr>
        <w:pStyle w:val="ListParagraph"/>
        <w:numPr>
          <w:ilvl w:val="0"/>
          <w:numId w:val="32"/>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 xml:space="preserve">El MIES menciona que “no es el ente rector de políticas públicas, en general, para niñas, niños y adolescentes, sino de las políticas de protección, inclusión y movilidad social y económica cuando se trata de primera infancia; y de las políticas de protección especial de niños, niñas y adolescentes”. El MIES preside el Consejo Nacional de Igualdad Intergeneracional por ser el ente rector de la política pública del ciclo de vida, lo que contradice la información remitida. </w:t>
      </w:r>
    </w:p>
    <w:p w14:paraId="33B04FCB" w14:textId="77777777" w:rsidR="00883869" w:rsidRPr="00775AE5" w:rsidRDefault="00883869" w:rsidP="00B17DD2">
      <w:pPr>
        <w:pStyle w:val="ListParagraph"/>
        <w:numPr>
          <w:ilvl w:val="0"/>
          <w:numId w:val="32"/>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La información enviada en la matriz denominada “Datos de violencia por años”, así como la contenida en el oficio Nro. MIES-MIES-2023-1485-O de 27 de septiembre de 2023, no se menciona desde que mes del año 2018 se reporta la información. Esta matriz reporta datos respecto a niñas, niños y adolescentes de 0 a 17 años que reciben el servicio de acogimiento institucional. No se reporta información general sobre hechos de violencia sexual en los demás servicios que brinda el MIES.</w:t>
      </w:r>
    </w:p>
    <w:p w14:paraId="0DF1DE37" w14:textId="09F1B499" w:rsidR="00883869" w:rsidRPr="00775AE5" w:rsidRDefault="00883869" w:rsidP="00B17DD2">
      <w:pPr>
        <w:pStyle w:val="ListParagraph"/>
        <w:numPr>
          <w:ilvl w:val="0"/>
          <w:numId w:val="32"/>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 xml:space="preserve">En el memorando precitado se menciona que la información es discrecional, indicando que por eso no se remite información de las y los agresores, sin entender a </w:t>
      </w:r>
      <w:r w:rsidR="00CA38EB" w:rsidRPr="00775AE5">
        <w:rPr>
          <w:rFonts w:ascii="Arial" w:hAnsi="Arial" w:cs="Arial"/>
          <w:sz w:val="22"/>
          <w:szCs w:val="22"/>
          <w:lang w:val="es-ES" w:eastAsia="es-ES"/>
        </w:rPr>
        <w:t>qué</w:t>
      </w:r>
      <w:r w:rsidRPr="00775AE5">
        <w:rPr>
          <w:rFonts w:ascii="Arial" w:hAnsi="Arial" w:cs="Arial"/>
          <w:sz w:val="22"/>
          <w:szCs w:val="22"/>
          <w:lang w:val="es-ES" w:eastAsia="es-ES"/>
        </w:rPr>
        <w:t xml:space="preserve"> se refiere con “discrecional”. </w:t>
      </w:r>
    </w:p>
    <w:p w14:paraId="12E691B1" w14:textId="77777777" w:rsidR="00883869" w:rsidRPr="00775AE5" w:rsidRDefault="00883869" w:rsidP="00B17DD2">
      <w:pPr>
        <w:pStyle w:val="ListParagraph"/>
        <w:numPr>
          <w:ilvl w:val="0"/>
          <w:numId w:val="32"/>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Ninguna de la información remitida sobre capacitaciones realizadas se refiere a capacitaciones sobre el Protocolo General de Actuación Frente a la Violencia contra Niñas, Niños, Adolescentes, Personas con Discapacidad, personas Adultas Mayores y Mujeres, en los servicios MIES.</w:t>
      </w:r>
    </w:p>
    <w:p w14:paraId="326FDF23" w14:textId="77777777" w:rsidR="00883869" w:rsidRPr="00775AE5" w:rsidRDefault="00883869" w:rsidP="00883869">
      <w:pPr>
        <w:pStyle w:val="ListParagraph"/>
        <w:jc w:val="both"/>
        <w:rPr>
          <w:rFonts w:ascii="Arial" w:hAnsi="Arial" w:cs="Arial"/>
          <w:sz w:val="22"/>
          <w:szCs w:val="22"/>
          <w:lang w:val="es-ES" w:eastAsia="es-ES"/>
        </w:rPr>
      </w:pPr>
    </w:p>
    <w:p w14:paraId="4C13A207" w14:textId="77777777" w:rsidR="00DE4A3F" w:rsidRDefault="00DE4A3F" w:rsidP="00883869">
      <w:pPr>
        <w:jc w:val="both"/>
        <w:rPr>
          <w:rFonts w:ascii="Arial" w:hAnsi="Arial" w:cs="Arial"/>
          <w:b/>
          <w:sz w:val="22"/>
          <w:szCs w:val="22"/>
        </w:rPr>
      </w:pPr>
    </w:p>
    <w:p w14:paraId="08CFFF29" w14:textId="325F6ED1" w:rsidR="00883869" w:rsidRPr="00775AE5" w:rsidRDefault="00883869" w:rsidP="00883869">
      <w:pPr>
        <w:jc w:val="both"/>
        <w:rPr>
          <w:rFonts w:ascii="Arial" w:hAnsi="Arial" w:cs="Arial"/>
          <w:b/>
          <w:sz w:val="22"/>
          <w:szCs w:val="22"/>
        </w:rPr>
      </w:pPr>
      <w:r w:rsidRPr="00775AE5">
        <w:rPr>
          <w:rFonts w:ascii="Arial" w:hAnsi="Arial" w:cs="Arial"/>
          <w:b/>
          <w:sz w:val="22"/>
          <w:szCs w:val="22"/>
        </w:rPr>
        <w:t>M</w:t>
      </w:r>
      <w:r w:rsidR="000F1076">
        <w:rPr>
          <w:rFonts w:ascii="Arial" w:hAnsi="Arial" w:cs="Arial"/>
          <w:b/>
          <w:sz w:val="22"/>
          <w:szCs w:val="22"/>
        </w:rPr>
        <w:t>inisterio de la Mujer y Derechos Humanos</w:t>
      </w:r>
    </w:p>
    <w:p w14:paraId="2E7C7946" w14:textId="77777777" w:rsidR="00883869" w:rsidRPr="00775AE5" w:rsidRDefault="00883869" w:rsidP="00B17DD2">
      <w:pPr>
        <w:pStyle w:val="ListParagraph"/>
        <w:numPr>
          <w:ilvl w:val="0"/>
          <w:numId w:val="25"/>
        </w:numPr>
        <w:spacing w:line="259" w:lineRule="auto"/>
        <w:jc w:val="both"/>
        <w:rPr>
          <w:rFonts w:ascii="Arial" w:hAnsi="Arial" w:cs="Arial"/>
          <w:sz w:val="22"/>
          <w:szCs w:val="22"/>
          <w:lang w:val="es-ES" w:eastAsia="es-ES"/>
        </w:rPr>
      </w:pPr>
      <w:r w:rsidRPr="00775AE5">
        <w:rPr>
          <w:rFonts w:ascii="Arial" w:hAnsi="Arial" w:cs="Arial"/>
          <w:sz w:val="22"/>
          <w:szCs w:val="22"/>
          <w:lang w:val="es-ES" w:eastAsia="es-ES"/>
        </w:rPr>
        <w:t>No se menciona el número de personas capacitadas y manejando su política de Prevención del embarazo en niñas y adolescentes y los modelos de atención. No se menciona que cuenten con un Protocolo específico de atención a niñas, niños y adolescentes, víctimas de violencia sexual.</w:t>
      </w:r>
    </w:p>
    <w:p w14:paraId="784540CD" w14:textId="77777777" w:rsidR="00883869" w:rsidRPr="00775AE5" w:rsidRDefault="00883869" w:rsidP="00B17DD2">
      <w:pPr>
        <w:pStyle w:val="ListParagraph"/>
        <w:numPr>
          <w:ilvl w:val="0"/>
          <w:numId w:val="25"/>
        </w:numPr>
        <w:spacing w:line="259" w:lineRule="auto"/>
        <w:jc w:val="both"/>
        <w:rPr>
          <w:rFonts w:ascii="Arial" w:hAnsi="Arial" w:cs="Arial"/>
          <w:sz w:val="22"/>
          <w:szCs w:val="22"/>
          <w:lang w:val="es-ES" w:eastAsia="es-ES"/>
        </w:rPr>
      </w:pPr>
      <w:r w:rsidRPr="00775AE5">
        <w:rPr>
          <w:rFonts w:ascii="Arial" w:hAnsi="Arial" w:cs="Arial"/>
          <w:sz w:val="22"/>
          <w:szCs w:val="22"/>
          <w:lang w:val="es-ES" w:eastAsia="es-ES"/>
        </w:rPr>
        <w:t>El Ministerio de la Mujer señala que “no realizan denuncias directas por no ser ámbito de sus competencias”, incumpliéndose con el deber de denuncia establecido en el artículo 17 y 72 del Código Orgánico de la Niñez y Adolescencia.</w:t>
      </w:r>
    </w:p>
    <w:p w14:paraId="13D3F887" w14:textId="77777777" w:rsidR="00883869" w:rsidRPr="00775AE5" w:rsidRDefault="00883869" w:rsidP="00B17DD2">
      <w:pPr>
        <w:pStyle w:val="ListParagraph"/>
        <w:numPr>
          <w:ilvl w:val="0"/>
          <w:numId w:val="25"/>
        </w:numPr>
        <w:spacing w:line="259" w:lineRule="auto"/>
        <w:jc w:val="both"/>
        <w:rPr>
          <w:rFonts w:ascii="Arial" w:hAnsi="Arial" w:cs="Arial"/>
          <w:sz w:val="22"/>
          <w:szCs w:val="22"/>
          <w:lang w:val="es-ES" w:eastAsia="es-ES"/>
        </w:rPr>
      </w:pPr>
      <w:r w:rsidRPr="00775AE5">
        <w:rPr>
          <w:rFonts w:ascii="Arial" w:hAnsi="Arial" w:cs="Arial"/>
          <w:sz w:val="22"/>
          <w:szCs w:val="22"/>
          <w:lang w:val="es-ES" w:eastAsia="es-ES"/>
        </w:rPr>
        <w:t>No se cuenta con servicios específicos y especializados para niñas, niños y adolescentes.</w:t>
      </w:r>
    </w:p>
    <w:p w14:paraId="45F216DA" w14:textId="77777777" w:rsidR="00883869" w:rsidRPr="00775AE5" w:rsidRDefault="00883869" w:rsidP="00B17DD2">
      <w:pPr>
        <w:pStyle w:val="ListParagraph"/>
        <w:numPr>
          <w:ilvl w:val="0"/>
          <w:numId w:val="26"/>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No se cuenta con un Protocolo específico de atención a niñas, niños y adolescentes, víctimas de violencia sexual, ya que solo informan que cuentan con la Política Intersectorial de Prevención del embarazo en niñas y adolescentes Ecuador 2018 – 2025, el Modelo de Atención Integral "Centro Violeta" y el Modelo de Atención del Servicio de Protección Integral.</w:t>
      </w:r>
    </w:p>
    <w:p w14:paraId="736391CB" w14:textId="77777777" w:rsidR="00883869" w:rsidRPr="00775AE5" w:rsidRDefault="00883869" w:rsidP="00883869">
      <w:pPr>
        <w:spacing w:line="257" w:lineRule="auto"/>
        <w:jc w:val="both"/>
        <w:rPr>
          <w:rFonts w:ascii="Arial" w:hAnsi="Arial" w:cs="Arial"/>
          <w:sz w:val="22"/>
          <w:szCs w:val="22"/>
        </w:rPr>
      </w:pPr>
    </w:p>
    <w:p w14:paraId="4DDD0877" w14:textId="0A1E4F57" w:rsidR="00883869" w:rsidRPr="00775AE5" w:rsidRDefault="00883869" w:rsidP="00883869">
      <w:pPr>
        <w:spacing w:line="257" w:lineRule="auto"/>
        <w:jc w:val="both"/>
        <w:rPr>
          <w:rFonts w:ascii="Arial" w:hAnsi="Arial" w:cs="Arial"/>
          <w:b/>
          <w:sz w:val="22"/>
          <w:szCs w:val="22"/>
        </w:rPr>
      </w:pPr>
      <w:r w:rsidRPr="00775AE5">
        <w:rPr>
          <w:rFonts w:ascii="Arial" w:hAnsi="Arial" w:cs="Arial"/>
          <w:b/>
          <w:sz w:val="22"/>
          <w:szCs w:val="22"/>
        </w:rPr>
        <w:t>C</w:t>
      </w:r>
      <w:r w:rsidR="000F1076">
        <w:rPr>
          <w:rFonts w:ascii="Arial" w:hAnsi="Arial" w:cs="Arial"/>
          <w:b/>
          <w:sz w:val="22"/>
          <w:szCs w:val="22"/>
        </w:rPr>
        <w:t>onferencia Episcopal</w:t>
      </w:r>
      <w:r w:rsidRPr="00775AE5">
        <w:rPr>
          <w:rFonts w:ascii="Arial" w:hAnsi="Arial" w:cs="Arial"/>
          <w:b/>
          <w:sz w:val="22"/>
          <w:szCs w:val="22"/>
        </w:rPr>
        <w:t xml:space="preserve"> </w:t>
      </w:r>
    </w:p>
    <w:p w14:paraId="339A907A" w14:textId="77777777" w:rsidR="00883869" w:rsidRPr="00775AE5" w:rsidRDefault="00883869" w:rsidP="00883869">
      <w:pPr>
        <w:spacing w:line="257" w:lineRule="auto"/>
        <w:jc w:val="both"/>
        <w:rPr>
          <w:rFonts w:ascii="Arial" w:hAnsi="Arial" w:cs="Arial"/>
          <w:sz w:val="22"/>
          <w:szCs w:val="22"/>
        </w:rPr>
      </w:pPr>
      <w:r w:rsidRPr="00775AE5">
        <w:rPr>
          <w:rFonts w:ascii="Arial" w:hAnsi="Arial" w:cs="Arial"/>
          <w:sz w:val="22"/>
          <w:szCs w:val="22"/>
        </w:rPr>
        <w:t>No cuenta con información de casos de violencia sexual cometidos contra niñas, niños y adolescentes de cada una de las jurisdicciones eclesiásticas ni de sus sacerdotes. Se adjunta la nómina del episcopado ecuatoriano con información de correos electrónicos y direcciones de cada una de las jurisdicciones eclesiásticas para que se requiera este pedido a cada una de las jurisdicciones eclesiásticas.</w:t>
      </w:r>
    </w:p>
    <w:p w14:paraId="4BA56A97" w14:textId="77777777" w:rsidR="00883869" w:rsidRPr="00775AE5" w:rsidRDefault="00883869" w:rsidP="00883869">
      <w:pPr>
        <w:spacing w:line="257" w:lineRule="auto"/>
        <w:jc w:val="both"/>
        <w:rPr>
          <w:rFonts w:ascii="Arial" w:hAnsi="Arial" w:cs="Arial"/>
          <w:sz w:val="22"/>
          <w:szCs w:val="22"/>
        </w:rPr>
      </w:pPr>
    </w:p>
    <w:p w14:paraId="23F70DA1" w14:textId="7A151ECD" w:rsidR="00883869" w:rsidRPr="00775AE5" w:rsidRDefault="00883869" w:rsidP="00883869">
      <w:pPr>
        <w:spacing w:line="257" w:lineRule="auto"/>
        <w:jc w:val="both"/>
        <w:rPr>
          <w:rFonts w:ascii="Arial" w:hAnsi="Arial" w:cs="Arial"/>
          <w:b/>
          <w:sz w:val="22"/>
          <w:szCs w:val="22"/>
        </w:rPr>
      </w:pPr>
      <w:proofErr w:type="spellStart"/>
      <w:r w:rsidRPr="00775AE5">
        <w:rPr>
          <w:rFonts w:ascii="Arial" w:hAnsi="Arial" w:cs="Arial"/>
          <w:b/>
          <w:sz w:val="22"/>
          <w:szCs w:val="22"/>
        </w:rPr>
        <w:t>C</w:t>
      </w:r>
      <w:r w:rsidR="000F1076">
        <w:rPr>
          <w:rFonts w:ascii="Arial" w:hAnsi="Arial" w:cs="Arial"/>
          <w:b/>
          <w:sz w:val="22"/>
          <w:szCs w:val="22"/>
        </w:rPr>
        <w:t>onalir</w:t>
      </w:r>
      <w:proofErr w:type="spellEnd"/>
    </w:p>
    <w:p w14:paraId="57D2AD1B" w14:textId="77777777" w:rsidR="00883869" w:rsidRPr="00775AE5" w:rsidRDefault="00883869" w:rsidP="00883869">
      <w:pPr>
        <w:spacing w:line="257" w:lineRule="auto"/>
        <w:jc w:val="both"/>
        <w:rPr>
          <w:rFonts w:ascii="Arial" w:hAnsi="Arial" w:cs="Arial"/>
          <w:sz w:val="22"/>
          <w:szCs w:val="22"/>
        </w:rPr>
      </w:pPr>
      <w:r w:rsidRPr="00775AE5">
        <w:rPr>
          <w:rFonts w:ascii="Arial" w:hAnsi="Arial" w:cs="Arial"/>
          <w:sz w:val="22"/>
          <w:szCs w:val="22"/>
        </w:rPr>
        <w:t xml:space="preserve">No remitió ninguna información, ni aún a pesar de la insistencia realizada. </w:t>
      </w:r>
    </w:p>
    <w:p w14:paraId="4847D9EC" w14:textId="77777777" w:rsidR="00883869" w:rsidRPr="00775AE5" w:rsidRDefault="00883869" w:rsidP="00883869">
      <w:pPr>
        <w:spacing w:line="257" w:lineRule="auto"/>
        <w:jc w:val="both"/>
        <w:rPr>
          <w:rFonts w:ascii="Arial" w:hAnsi="Arial" w:cs="Arial"/>
          <w:sz w:val="22"/>
          <w:szCs w:val="22"/>
        </w:rPr>
      </w:pPr>
    </w:p>
    <w:p w14:paraId="078008E8" w14:textId="6D9C3C01" w:rsidR="00883869" w:rsidRPr="00775AE5" w:rsidRDefault="00883869" w:rsidP="00883869">
      <w:pPr>
        <w:spacing w:line="257" w:lineRule="auto"/>
        <w:jc w:val="both"/>
        <w:rPr>
          <w:rFonts w:ascii="Arial" w:hAnsi="Arial" w:cs="Arial"/>
          <w:b/>
          <w:sz w:val="22"/>
          <w:szCs w:val="22"/>
        </w:rPr>
      </w:pPr>
      <w:r w:rsidRPr="00775AE5">
        <w:rPr>
          <w:rFonts w:ascii="Arial" w:hAnsi="Arial" w:cs="Arial"/>
          <w:b/>
          <w:sz w:val="22"/>
          <w:szCs w:val="22"/>
        </w:rPr>
        <w:t>M</w:t>
      </w:r>
      <w:r w:rsidR="000F1076">
        <w:rPr>
          <w:rFonts w:ascii="Arial" w:hAnsi="Arial" w:cs="Arial"/>
          <w:b/>
          <w:sz w:val="22"/>
          <w:szCs w:val="22"/>
        </w:rPr>
        <w:t>inisterio del Deporte</w:t>
      </w:r>
    </w:p>
    <w:p w14:paraId="55E25B69" w14:textId="77777777" w:rsidR="00883869" w:rsidRPr="00775AE5" w:rsidRDefault="00883869" w:rsidP="00883869">
      <w:pPr>
        <w:spacing w:line="257" w:lineRule="auto"/>
        <w:jc w:val="both"/>
        <w:rPr>
          <w:rFonts w:ascii="Arial" w:hAnsi="Arial" w:cs="Arial"/>
          <w:sz w:val="22"/>
          <w:szCs w:val="22"/>
        </w:rPr>
      </w:pPr>
      <w:r w:rsidRPr="00775AE5">
        <w:rPr>
          <w:rFonts w:ascii="Arial" w:hAnsi="Arial" w:cs="Arial"/>
          <w:sz w:val="22"/>
          <w:szCs w:val="22"/>
        </w:rPr>
        <w:t>Se remitieron dos casos en los que se solicita la intervención en casos de violencia, no se tiene conocimiento de un histórico de los casos de violencia sexual cometidos contra niñas, niños y adolescentes.</w:t>
      </w:r>
    </w:p>
    <w:p w14:paraId="67D9AEA6" w14:textId="77777777" w:rsidR="00883869" w:rsidRPr="00775AE5" w:rsidRDefault="00883869" w:rsidP="00883869">
      <w:pPr>
        <w:spacing w:line="257" w:lineRule="auto"/>
        <w:jc w:val="both"/>
        <w:rPr>
          <w:rFonts w:ascii="Arial" w:hAnsi="Arial" w:cs="Arial"/>
          <w:sz w:val="22"/>
          <w:szCs w:val="22"/>
        </w:rPr>
      </w:pPr>
    </w:p>
    <w:p w14:paraId="250DF88A" w14:textId="6D2EC799" w:rsidR="00883869" w:rsidRPr="00775AE5" w:rsidRDefault="00883869" w:rsidP="00883869">
      <w:pPr>
        <w:jc w:val="both"/>
        <w:rPr>
          <w:rFonts w:ascii="Arial" w:hAnsi="Arial" w:cs="Arial"/>
          <w:b/>
          <w:sz w:val="22"/>
          <w:szCs w:val="22"/>
        </w:rPr>
      </w:pPr>
      <w:r w:rsidRPr="000F1076">
        <w:rPr>
          <w:rFonts w:ascii="Arial" w:hAnsi="Arial" w:cs="Arial"/>
          <w:b/>
          <w:sz w:val="22"/>
          <w:szCs w:val="22"/>
        </w:rPr>
        <w:t>M</w:t>
      </w:r>
      <w:r w:rsidR="000F1076">
        <w:rPr>
          <w:rFonts w:ascii="Arial" w:hAnsi="Arial" w:cs="Arial"/>
          <w:b/>
          <w:sz w:val="22"/>
          <w:szCs w:val="22"/>
        </w:rPr>
        <w:t>inisterio de Cultura</w:t>
      </w:r>
    </w:p>
    <w:p w14:paraId="24047EA1" w14:textId="77777777" w:rsidR="00883869" w:rsidRPr="00775AE5" w:rsidRDefault="00883869" w:rsidP="00B17DD2">
      <w:pPr>
        <w:pStyle w:val="ListParagraph"/>
        <w:numPr>
          <w:ilvl w:val="0"/>
          <w:numId w:val="33"/>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El Ministerio de Cultura no tiene un registro de los centros culturales a los que asisten niñas, niños y adolescentes.</w:t>
      </w:r>
    </w:p>
    <w:p w14:paraId="5B7ABEAD" w14:textId="77777777" w:rsidR="00883869" w:rsidRPr="00775AE5" w:rsidRDefault="00883869" w:rsidP="00B17DD2">
      <w:pPr>
        <w:pStyle w:val="ListParagraph"/>
        <w:numPr>
          <w:ilvl w:val="0"/>
          <w:numId w:val="33"/>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 xml:space="preserve">No registra casos detectados o denunciados de violencia sexual contra niñas, niños y adolescentes en el periodo 2018 a junio 2023, sin </w:t>
      </w:r>
      <w:r w:rsidR="003501C3" w:rsidRPr="00775AE5">
        <w:rPr>
          <w:rFonts w:ascii="Arial" w:hAnsi="Arial" w:cs="Arial"/>
          <w:sz w:val="22"/>
          <w:szCs w:val="22"/>
          <w:lang w:val="es-ES" w:eastAsia="es-ES"/>
        </w:rPr>
        <w:t>embargo,</w:t>
      </w:r>
      <w:r w:rsidRPr="00775AE5">
        <w:rPr>
          <w:rFonts w:ascii="Arial" w:hAnsi="Arial" w:cs="Arial"/>
          <w:sz w:val="22"/>
          <w:szCs w:val="22"/>
          <w:lang w:val="es-ES" w:eastAsia="es-ES"/>
        </w:rPr>
        <w:t xml:space="preserve"> se conocen de casos de violencia sexual ocurridos en ámbitos culturales y perpetrados por profesores o instructores.</w:t>
      </w:r>
    </w:p>
    <w:p w14:paraId="0EF1EB09" w14:textId="77777777" w:rsidR="00883869" w:rsidRPr="00775AE5" w:rsidRDefault="00883869" w:rsidP="00883869">
      <w:pPr>
        <w:pStyle w:val="ListParagraph"/>
        <w:jc w:val="both"/>
        <w:rPr>
          <w:rFonts w:ascii="Arial" w:hAnsi="Arial" w:cs="Arial"/>
          <w:sz w:val="22"/>
          <w:szCs w:val="22"/>
          <w:lang w:val="es-ES" w:eastAsia="es-ES"/>
        </w:rPr>
      </w:pPr>
    </w:p>
    <w:p w14:paraId="71D2793B" w14:textId="6C079745" w:rsidR="00883869" w:rsidRPr="00775AE5" w:rsidRDefault="00883869" w:rsidP="00883869">
      <w:pPr>
        <w:spacing w:line="257" w:lineRule="auto"/>
        <w:jc w:val="both"/>
        <w:rPr>
          <w:rFonts w:ascii="Arial" w:hAnsi="Arial" w:cs="Arial"/>
          <w:b/>
          <w:sz w:val="22"/>
          <w:szCs w:val="22"/>
        </w:rPr>
      </w:pPr>
      <w:r w:rsidRPr="000F1076">
        <w:rPr>
          <w:rFonts w:ascii="Arial" w:hAnsi="Arial" w:cs="Arial"/>
          <w:b/>
          <w:sz w:val="22"/>
          <w:szCs w:val="22"/>
        </w:rPr>
        <w:t>C</w:t>
      </w:r>
      <w:r w:rsidR="000F1076">
        <w:rPr>
          <w:rFonts w:ascii="Arial" w:hAnsi="Arial" w:cs="Arial"/>
          <w:b/>
          <w:sz w:val="22"/>
          <w:szCs w:val="22"/>
        </w:rPr>
        <w:t>asa de la Cultura Ecuatoriana Benjamín Carrión</w:t>
      </w:r>
    </w:p>
    <w:p w14:paraId="3281B8C8" w14:textId="77777777" w:rsidR="00883869" w:rsidRPr="00775AE5" w:rsidRDefault="00883869" w:rsidP="00883869">
      <w:pPr>
        <w:spacing w:line="257" w:lineRule="auto"/>
        <w:jc w:val="both"/>
        <w:rPr>
          <w:rFonts w:ascii="Arial" w:hAnsi="Arial" w:cs="Arial"/>
          <w:sz w:val="22"/>
          <w:szCs w:val="22"/>
        </w:rPr>
      </w:pPr>
      <w:r w:rsidRPr="00775AE5">
        <w:rPr>
          <w:rFonts w:ascii="Arial" w:hAnsi="Arial" w:cs="Arial"/>
          <w:sz w:val="22"/>
          <w:szCs w:val="22"/>
        </w:rPr>
        <w:t>No cuentan con un Protocolo de intervención en situaciones de violencia sexual contra niñas, niños y adolescentes, este se encuentra en proceso de finalización de elaboración.</w:t>
      </w:r>
    </w:p>
    <w:p w14:paraId="359A9D4F" w14:textId="77777777" w:rsidR="00883869" w:rsidRPr="00775AE5" w:rsidRDefault="00883869" w:rsidP="00883869">
      <w:pPr>
        <w:jc w:val="both"/>
        <w:rPr>
          <w:rFonts w:ascii="Arial" w:hAnsi="Arial" w:cs="Arial"/>
          <w:sz w:val="22"/>
          <w:szCs w:val="22"/>
        </w:rPr>
      </w:pPr>
    </w:p>
    <w:p w14:paraId="283BBEF6" w14:textId="77777777" w:rsidR="00DE4A3F" w:rsidRDefault="00DE4A3F" w:rsidP="00883869">
      <w:pPr>
        <w:jc w:val="both"/>
        <w:rPr>
          <w:rFonts w:ascii="Arial" w:hAnsi="Arial" w:cs="Arial"/>
          <w:b/>
          <w:sz w:val="22"/>
          <w:szCs w:val="22"/>
        </w:rPr>
      </w:pPr>
    </w:p>
    <w:p w14:paraId="1719A3BC" w14:textId="77777777" w:rsidR="00DE4A3F" w:rsidRDefault="00DE4A3F" w:rsidP="00883869">
      <w:pPr>
        <w:jc w:val="both"/>
        <w:rPr>
          <w:rFonts w:ascii="Arial" w:hAnsi="Arial" w:cs="Arial"/>
          <w:b/>
          <w:sz w:val="22"/>
          <w:szCs w:val="22"/>
        </w:rPr>
      </w:pPr>
    </w:p>
    <w:p w14:paraId="0791B293" w14:textId="3B9D325C" w:rsidR="00883869" w:rsidRPr="00775AE5" w:rsidRDefault="00883869" w:rsidP="00883869">
      <w:pPr>
        <w:jc w:val="both"/>
        <w:rPr>
          <w:rFonts w:ascii="Arial" w:hAnsi="Arial" w:cs="Arial"/>
          <w:b/>
          <w:sz w:val="22"/>
          <w:szCs w:val="22"/>
        </w:rPr>
      </w:pPr>
      <w:r w:rsidRPr="00775AE5">
        <w:rPr>
          <w:rFonts w:ascii="Arial" w:hAnsi="Arial" w:cs="Arial"/>
          <w:b/>
          <w:sz w:val="22"/>
          <w:szCs w:val="22"/>
        </w:rPr>
        <w:t>C</w:t>
      </w:r>
      <w:r w:rsidR="000F1076">
        <w:rPr>
          <w:rFonts w:ascii="Arial" w:hAnsi="Arial" w:cs="Arial"/>
          <w:b/>
          <w:sz w:val="22"/>
          <w:szCs w:val="22"/>
        </w:rPr>
        <w:t>onclusiones Generales</w:t>
      </w:r>
    </w:p>
    <w:p w14:paraId="7B7C60D4" w14:textId="77777777" w:rsidR="00883869" w:rsidRPr="00775AE5" w:rsidRDefault="00883869" w:rsidP="00B17DD2">
      <w:pPr>
        <w:pStyle w:val="ListParagraph"/>
        <w:numPr>
          <w:ilvl w:val="0"/>
          <w:numId w:val="27"/>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 xml:space="preserve">Las cifras entre </w:t>
      </w:r>
      <w:r w:rsidR="003501C3" w:rsidRPr="00775AE5">
        <w:rPr>
          <w:rFonts w:ascii="Arial" w:hAnsi="Arial" w:cs="Arial"/>
          <w:sz w:val="22"/>
          <w:szCs w:val="22"/>
          <w:lang w:val="es-ES" w:eastAsia="es-ES"/>
        </w:rPr>
        <w:t>fiscalía general</w:t>
      </w:r>
      <w:r w:rsidRPr="00775AE5">
        <w:rPr>
          <w:rFonts w:ascii="Arial" w:hAnsi="Arial" w:cs="Arial"/>
          <w:sz w:val="22"/>
          <w:szCs w:val="22"/>
          <w:lang w:val="es-ES" w:eastAsia="es-ES"/>
        </w:rPr>
        <w:t xml:space="preserve"> del Estado y Consejo de la Judicatura no coinciden, no tienen sistemas análogos donde puedan cruzar la información, este hecho complica el seguimiento y verificación de información.  Lo indicado sería que el sector justicia maneje un solo sistema que permita presentar información coherente en el que se puedan realizar seguimientos más simples y fiables.</w:t>
      </w:r>
    </w:p>
    <w:p w14:paraId="6D9BA464" w14:textId="77777777" w:rsidR="00883869" w:rsidRPr="00775AE5" w:rsidRDefault="00883869" w:rsidP="00B17DD2">
      <w:pPr>
        <w:pStyle w:val="ListParagraph"/>
        <w:numPr>
          <w:ilvl w:val="0"/>
          <w:numId w:val="27"/>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 xml:space="preserve">El porcentaje de casos concluidos con sentencia es mínimo, lo que genera una sensación de impunidad en las víctimas y la sociedad.  Las actividades procesales no cumplen un protocolo especializado de trato a las víctimas menores de edad que provoca que en muchos casos sus familias desistan de continuar con sus denuncias. Por esta razón, los niveles de impunidad respecto de las denuncias presentadas, frente a los casos resueltos representa el 95,85%. La Fiscalía reportó un caso de mediación penal aceptada en materia de violencia sexual lo cual es contrario a la disposición del artículo 663, inciso segundo del Código Orgánico Integral Penal. </w:t>
      </w:r>
    </w:p>
    <w:p w14:paraId="06FE8871" w14:textId="77777777" w:rsidR="00883869" w:rsidRPr="00775AE5" w:rsidRDefault="00883869" w:rsidP="00B17DD2">
      <w:pPr>
        <w:pStyle w:val="ListParagraph"/>
        <w:numPr>
          <w:ilvl w:val="0"/>
          <w:numId w:val="27"/>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De un total de 52051 denuncias de violencia sexual presentadas en Fiscalía, solamente 14734 han sido atendidas en el Sistema de Salud Pública.  Este hecho muestra a priori que las víctimas no reciben atención médica y psicológica como un apoyo básico y obligatorio en los casos de violencia.</w:t>
      </w:r>
    </w:p>
    <w:p w14:paraId="6DC5111E" w14:textId="77777777" w:rsidR="00883869" w:rsidRPr="00775AE5" w:rsidRDefault="00883869" w:rsidP="00B17DD2">
      <w:pPr>
        <w:pStyle w:val="ListParagraph"/>
        <w:numPr>
          <w:ilvl w:val="0"/>
          <w:numId w:val="27"/>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La Defensoría Pública atiende preferentemente a los perpetradores y no a las víctimas. Esta constatación muestra que deben revisarse los roles de esta institución. “Los defensores públicos brindan sus servicios misionales en diferentes temas de atención en materia penal y materia no penal. No existen defensores públicos que patrocinan únicamente a víctimas”. En primer lugar, asumir la importancia de abrir los servicios a las víctimas que son personas a las que el Estado no puede dejar de proteger.  La mayoría de ellas no cuentan con posibilidades de patrocinio legal por lo que muchos casos se ven obligadas a abandonar los procesos de denuncia y seguimiento procesal. Nuevamente, se experimenta un sentimiento de abandono e indefensión, se percibe que las instituciones defienden a las personas agresoras.  El especializar al personal de la Defensoría Pública en atención a la víctima no supone dejar de lado la atención de defensa técnica de los presuntos perpetradores que no cuenten con recursos; lo que no es correcto es que se elija a una de las partes en detrimento de la otra, al final la Constitución establece el derecho a la igualdad en el goce y garantía de derechos.</w:t>
      </w:r>
    </w:p>
    <w:p w14:paraId="3C2EA356" w14:textId="77777777" w:rsidR="00883869" w:rsidRPr="00775AE5" w:rsidRDefault="00883869" w:rsidP="00B17DD2">
      <w:pPr>
        <w:pStyle w:val="ListParagraph"/>
        <w:numPr>
          <w:ilvl w:val="0"/>
          <w:numId w:val="27"/>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Ninguna institución remitió información sobre personas agresoras, por lo que no se puede perfilar ni hacer un diagnóstico sobre su situación y las agresiones consecutivas que realizarían a sus víctimas.  No se debe dejar de lado el hecho de que el abuso sexual tiene su origen en las estructuras culturales de nuestra sociedad donde prevalece el comportamiento machista e instintivo que concibe a la víctima como un objeto, estas conductas potencialmente pueden repetirse en cuanto los agresores crean oportunidades para reiterar sus conductas abusivas.  El seguimiento y acompañamiento psicosocial de los agresores permitirá tener posibilidad de prevención y acciones más efectivas de protección a las víctimas.</w:t>
      </w:r>
    </w:p>
    <w:p w14:paraId="643CE265" w14:textId="77777777" w:rsidR="00883869" w:rsidRPr="00775AE5" w:rsidRDefault="00883869" w:rsidP="00B17DD2">
      <w:pPr>
        <w:pStyle w:val="ListParagraph"/>
        <w:numPr>
          <w:ilvl w:val="0"/>
          <w:numId w:val="27"/>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 xml:space="preserve">Existen protocolos de actuación diseñados para realizar intervenciones especializadas; normalmente estos instrumentos han sido preparados con apoyo técnico externo lo que garantiza que sus contenidos sean apropiados técnicamente, el problema estriba que su aplicación demanda especialización de las y los operadores, infraestructura disponible y operativa.  Por ejemplo, no basta tener una cámara de </w:t>
      </w:r>
      <w:proofErr w:type="spellStart"/>
      <w:r w:rsidRPr="00775AE5">
        <w:rPr>
          <w:rFonts w:ascii="Arial" w:hAnsi="Arial" w:cs="Arial"/>
          <w:sz w:val="22"/>
          <w:szCs w:val="22"/>
          <w:lang w:val="es-ES" w:eastAsia="es-ES"/>
        </w:rPr>
        <w:t>Gessel</w:t>
      </w:r>
      <w:proofErr w:type="spellEnd"/>
      <w:r w:rsidRPr="00775AE5">
        <w:rPr>
          <w:rFonts w:ascii="Arial" w:hAnsi="Arial" w:cs="Arial"/>
          <w:sz w:val="22"/>
          <w:szCs w:val="22"/>
          <w:lang w:val="es-ES" w:eastAsia="es-ES"/>
        </w:rPr>
        <w:t xml:space="preserve"> si no se garantiza la disponibilidad de equipos humanos y tecnológicos que aseguren la evidencia de los testimonios anticipados. Los protocolos son fundamentales, pero por sí solos no garantizan el debido proceso. </w:t>
      </w:r>
    </w:p>
    <w:p w14:paraId="0EC639D3" w14:textId="77777777" w:rsidR="00883869" w:rsidRPr="00775AE5" w:rsidRDefault="00883869" w:rsidP="00B17DD2">
      <w:pPr>
        <w:pStyle w:val="ListParagraph"/>
        <w:numPr>
          <w:ilvl w:val="0"/>
          <w:numId w:val="27"/>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No existe atención especializada a niñas, niños y adolescentes víctimas de violencia sexual entendida ésta como la disponibilidad de personal de apoyo que cuente con las capacidades técnicas para brindar informes útiles para los fiscales y jueces.  El conocimiento técnico en psicología, trabajo social u otras áreas debe estar alineado con la clara aplicación de los principios, conceptos y normas del derecho de niñas, niños y adolescentes que son normas especializadas que parten de la concepción de que los niños, niñas y adolescentes son sujetos de derechos y pueden ejercerlos por sí mismos.  La o el operador de justicia debe tener noción del valor del derecho a la escucha y tener la suficiente capacidad de discernimiento para recomendar según convenga a su interés superior.</w:t>
      </w:r>
    </w:p>
    <w:p w14:paraId="65A5142A" w14:textId="77777777" w:rsidR="00883869" w:rsidRPr="00775AE5" w:rsidRDefault="00883869" w:rsidP="00B17DD2">
      <w:pPr>
        <w:pStyle w:val="ListParagraph"/>
        <w:numPr>
          <w:ilvl w:val="0"/>
          <w:numId w:val="27"/>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El MIES y el Ministerio de la Mujer no cuentan con servicios especializados y específicos para niñas, niños y adolescentes y con horarios que respondan a las realidades de la población.</w:t>
      </w:r>
    </w:p>
    <w:p w14:paraId="09037829" w14:textId="77777777" w:rsidR="00883869" w:rsidRPr="00775AE5" w:rsidRDefault="00883869" w:rsidP="00B17DD2">
      <w:pPr>
        <w:pStyle w:val="ListParagraph"/>
        <w:numPr>
          <w:ilvl w:val="0"/>
          <w:numId w:val="27"/>
        </w:numPr>
        <w:spacing w:after="160" w:line="259" w:lineRule="auto"/>
        <w:jc w:val="both"/>
        <w:rPr>
          <w:rFonts w:ascii="Arial" w:hAnsi="Arial" w:cs="Arial"/>
          <w:sz w:val="22"/>
          <w:szCs w:val="22"/>
          <w:lang w:val="es-ES" w:eastAsia="es-ES"/>
        </w:rPr>
      </w:pPr>
      <w:r w:rsidRPr="00775AE5">
        <w:rPr>
          <w:rFonts w:ascii="Arial" w:hAnsi="Arial" w:cs="Arial"/>
          <w:sz w:val="22"/>
          <w:szCs w:val="22"/>
          <w:lang w:val="es-ES" w:eastAsia="es-ES"/>
        </w:rPr>
        <w:t>El Ministerio de Salud Pública tiene un servicio de salud mental que no responde a las necesidades de la población sin atención comunitaria y especializada.</w:t>
      </w:r>
    </w:p>
    <w:p w14:paraId="65257BC2" w14:textId="77777777" w:rsidR="00883869" w:rsidRPr="00775AE5" w:rsidRDefault="00883869" w:rsidP="00883869">
      <w:pPr>
        <w:jc w:val="both"/>
        <w:rPr>
          <w:rFonts w:ascii="Arial" w:hAnsi="Arial" w:cs="Arial"/>
          <w:sz w:val="22"/>
          <w:szCs w:val="22"/>
        </w:rPr>
      </w:pPr>
    </w:p>
    <w:p w14:paraId="6A09AA86" w14:textId="77777777" w:rsidR="00883869" w:rsidRPr="00775AE5" w:rsidRDefault="00883869" w:rsidP="00883869">
      <w:pPr>
        <w:jc w:val="both"/>
        <w:rPr>
          <w:rFonts w:ascii="Arial" w:hAnsi="Arial" w:cs="Arial"/>
          <w:sz w:val="22"/>
          <w:szCs w:val="22"/>
        </w:rPr>
      </w:pPr>
      <w:r w:rsidRPr="00775AE5">
        <w:rPr>
          <w:rFonts w:ascii="Arial" w:hAnsi="Arial" w:cs="Arial"/>
          <w:sz w:val="22"/>
          <w:szCs w:val="22"/>
        </w:rPr>
        <w:t>Como fruto de este informe intermedio la Defensoría del Pueblo de Ecuador ha instaurado una Mesa Técnica de Acceso a la Justicia y Protección para las Niñas, Niños y Adolescentes víctimas de violencia sexual.  Este espacio trabaja en el diseño de una hoja de ruta coordinada para la atención adecuada de los casos y recomendaciones que plantea el informe defensorial.  A la presente un documento de compromisos y hoja de ruta se encuentra en construcción.</w:t>
      </w:r>
    </w:p>
    <w:p w14:paraId="0FDFC9D9" w14:textId="77777777" w:rsidR="00883869" w:rsidRPr="00775AE5" w:rsidRDefault="00883869" w:rsidP="00883869">
      <w:pPr>
        <w:jc w:val="both"/>
        <w:rPr>
          <w:rFonts w:ascii="Arial" w:hAnsi="Arial" w:cs="Arial"/>
          <w:sz w:val="22"/>
          <w:szCs w:val="22"/>
        </w:rPr>
      </w:pPr>
    </w:p>
    <w:p w14:paraId="174F4447" w14:textId="77777777" w:rsidR="00883869" w:rsidRPr="00775AE5" w:rsidRDefault="00883869" w:rsidP="00883869">
      <w:pPr>
        <w:jc w:val="both"/>
        <w:rPr>
          <w:rFonts w:ascii="Arial" w:hAnsi="Arial" w:cs="Arial"/>
          <w:sz w:val="22"/>
          <w:szCs w:val="22"/>
        </w:rPr>
      </w:pPr>
      <w:r w:rsidRPr="00775AE5">
        <w:rPr>
          <w:rFonts w:ascii="Arial" w:hAnsi="Arial" w:cs="Arial"/>
          <w:sz w:val="22"/>
          <w:szCs w:val="22"/>
        </w:rPr>
        <w:t>Uno de los frutos de esta investigación ha sido el compromiso de optimización de actuaciones y procedimientos de prevención de violencia sexual y atención oportuna y pertinente a las víctimas.</w:t>
      </w:r>
    </w:p>
    <w:p w14:paraId="56FB2558" w14:textId="77777777" w:rsidR="00883869" w:rsidRPr="00775AE5" w:rsidRDefault="00883869" w:rsidP="003B3792">
      <w:pPr>
        <w:rPr>
          <w:rFonts w:ascii="Arial" w:hAnsi="Arial" w:cs="Arial"/>
          <w:sz w:val="22"/>
          <w:szCs w:val="22"/>
        </w:rPr>
      </w:pPr>
    </w:p>
    <w:p w14:paraId="2B7E6296" w14:textId="77777777" w:rsidR="00D45694" w:rsidRPr="00775AE5" w:rsidRDefault="00D45694" w:rsidP="00390DF2">
      <w:pPr>
        <w:spacing w:line="276" w:lineRule="auto"/>
        <w:rPr>
          <w:rFonts w:ascii="Arial" w:hAnsi="Arial" w:cs="Arial"/>
          <w:b/>
          <w:sz w:val="22"/>
          <w:szCs w:val="22"/>
          <w:lang w:val="es-ES"/>
        </w:rPr>
      </w:pPr>
    </w:p>
    <w:p w14:paraId="2A98E950" w14:textId="55ED6801" w:rsidR="0034726C" w:rsidRPr="00775AE5" w:rsidRDefault="00DF11B0" w:rsidP="00640CCA">
      <w:pPr>
        <w:pStyle w:val="Heading3"/>
        <w:rPr>
          <w:rFonts w:ascii="Arial" w:hAnsi="Arial" w:cs="Arial"/>
          <w:sz w:val="22"/>
          <w:szCs w:val="22"/>
        </w:rPr>
      </w:pPr>
      <w:bookmarkStart w:id="8" w:name="_Toc168907334"/>
      <w:r w:rsidRPr="00775AE5">
        <w:rPr>
          <w:rFonts w:ascii="Arial" w:hAnsi="Arial" w:cs="Arial"/>
          <w:sz w:val="22"/>
          <w:szCs w:val="22"/>
        </w:rPr>
        <w:t>3</w:t>
      </w:r>
      <w:r w:rsidR="00D45694" w:rsidRPr="00775AE5">
        <w:rPr>
          <w:rFonts w:ascii="Arial" w:hAnsi="Arial" w:cs="Arial"/>
          <w:sz w:val="22"/>
          <w:szCs w:val="22"/>
        </w:rPr>
        <w:t xml:space="preserve">.2. </w:t>
      </w:r>
      <w:r w:rsidR="008565AE" w:rsidRPr="00775AE5">
        <w:rPr>
          <w:rFonts w:ascii="Arial" w:hAnsi="Arial" w:cs="Arial"/>
          <w:sz w:val="22"/>
          <w:szCs w:val="22"/>
        </w:rPr>
        <w:t xml:space="preserve">Violencia contra </w:t>
      </w:r>
      <w:r w:rsidR="006604B7" w:rsidRPr="00775AE5">
        <w:rPr>
          <w:rFonts w:ascii="Arial" w:hAnsi="Arial" w:cs="Arial"/>
          <w:sz w:val="22"/>
          <w:szCs w:val="22"/>
        </w:rPr>
        <w:t>l</w:t>
      </w:r>
      <w:r w:rsidR="008565AE" w:rsidRPr="00775AE5">
        <w:rPr>
          <w:rFonts w:ascii="Arial" w:hAnsi="Arial" w:cs="Arial"/>
          <w:sz w:val="22"/>
          <w:szCs w:val="22"/>
        </w:rPr>
        <w:t>a mujer</w:t>
      </w:r>
      <w:bookmarkEnd w:id="8"/>
      <w:r w:rsidR="008565AE" w:rsidRPr="00775AE5">
        <w:rPr>
          <w:rFonts w:ascii="Arial" w:hAnsi="Arial" w:cs="Arial"/>
          <w:sz w:val="22"/>
          <w:szCs w:val="22"/>
        </w:rPr>
        <w:t xml:space="preserve"> </w:t>
      </w:r>
      <w:r w:rsidR="00F05535" w:rsidRPr="00775AE5">
        <w:rPr>
          <w:rFonts w:ascii="Arial" w:hAnsi="Arial" w:cs="Arial"/>
          <w:sz w:val="22"/>
          <w:szCs w:val="22"/>
        </w:rPr>
        <w:t xml:space="preserve"> </w:t>
      </w:r>
    </w:p>
    <w:p w14:paraId="473B6D37" w14:textId="77777777" w:rsidR="008565AE" w:rsidRPr="00775AE5" w:rsidRDefault="008565AE" w:rsidP="00390DF2">
      <w:pPr>
        <w:pStyle w:val="ListParagraph"/>
        <w:spacing w:line="276" w:lineRule="auto"/>
        <w:rPr>
          <w:rFonts w:ascii="Arial" w:hAnsi="Arial" w:cs="Arial"/>
          <w:b/>
          <w:sz w:val="22"/>
          <w:szCs w:val="22"/>
          <w:lang w:val="es-ES"/>
        </w:rPr>
      </w:pPr>
    </w:p>
    <w:p w14:paraId="4DD9B7F0" w14:textId="77777777" w:rsidR="009934F2" w:rsidRPr="00775AE5" w:rsidRDefault="003C2926"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Dentro de las medidas adoptadas para combatir todas las formas de violencia contra las mujeres, el Estado ecuatoriano cuenta desde febrero del 2018, con la Ley Orgánica Integral para Prevenir y Erradicar la Violencia contra las Mujeres (LOIPEVC</w:t>
      </w:r>
      <w:r w:rsidR="004F3D20" w:rsidRPr="00775AE5">
        <w:rPr>
          <w:rFonts w:ascii="Arial" w:hAnsi="Arial" w:cs="Arial"/>
          <w:bCs/>
          <w:sz w:val="22"/>
          <w:szCs w:val="22"/>
          <w:lang w:val="es-ES"/>
        </w:rPr>
        <w:t>M</w:t>
      </w:r>
      <w:r w:rsidRPr="00775AE5">
        <w:rPr>
          <w:rFonts w:ascii="Arial" w:hAnsi="Arial" w:cs="Arial"/>
          <w:bCs/>
          <w:sz w:val="22"/>
          <w:szCs w:val="22"/>
          <w:lang w:val="es-ES"/>
        </w:rPr>
        <w:t xml:space="preserve">). </w:t>
      </w:r>
      <w:r w:rsidR="00166E92" w:rsidRPr="00775AE5">
        <w:rPr>
          <w:rFonts w:ascii="Arial" w:hAnsi="Arial" w:cs="Arial"/>
          <w:bCs/>
          <w:sz w:val="22"/>
          <w:szCs w:val="22"/>
          <w:lang w:val="es-ES"/>
        </w:rPr>
        <w:t>A</w:t>
      </w:r>
      <w:r w:rsidRPr="00775AE5">
        <w:rPr>
          <w:rFonts w:ascii="Arial" w:hAnsi="Arial" w:cs="Arial"/>
          <w:bCs/>
          <w:sz w:val="22"/>
          <w:szCs w:val="22"/>
          <w:lang w:val="es-ES"/>
        </w:rPr>
        <w:t xml:space="preserve">ntes de la aprobación de la Ley, existieron fuertes debates sobre la misma en lo relacionado al contenido de artículos sobre aborto, el incluir en las mallas curriculares temas como las </w:t>
      </w:r>
      <w:r w:rsidR="009934F2" w:rsidRPr="00775AE5">
        <w:rPr>
          <w:rFonts w:ascii="Arial" w:hAnsi="Arial" w:cs="Arial"/>
          <w:bCs/>
          <w:sz w:val="22"/>
          <w:szCs w:val="22"/>
          <w:lang w:val="es-ES"/>
        </w:rPr>
        <w:t xml:space="preserve">nuevas </w:t>
      </w:r>
      <w:r w:rsidRPr="00775AE5">
        <w:rPr>
          <w:rFonts w:ascii="Arial" w:hAnsi="Arial" w:cs="Arial"/>
          <w:bCs/>
          <w:sz w:val="22"/>
          <w:szCs w:val="22"/>
          <w:lang w:val="es-ES"/>
        </w:rPr>
        <w:t xml:space="preserve">masculinidades y transversalización del enfoque de género y acceso a salud sexual y reproductiva para adolescentes. </w:t>
      </w:r>
    </w:p>
    <w:p w14:paraId="34724DAD" w14:textId="77777777" w:rsidR="009934F2" w:rsidRPr="00775AE5" w:rsidRDefault="009934F2" w:rsidP="00390DF2">
      <w:pPr>
        <w:pStyle w:val="Header"/>
        <w:spacing w:line="276" w:lineRule="auto"/>
        <w:jc w:val="both"/>
        <w:rPr>
          <w:rFonts w:ascii="Arial" w:hAnsi="Arial" w:cs="Arial"/>
          <w:bCs/>
          <w:sz w:val="22"/>
          <w:szCs w:val="22"/>
          <w:lang w:val="es-ES"/>
        </w:rPr>
      </w:pPr>
    </w:p>
    <w:p w14:paraId="201AB75F" w14:textId="4DBC002E" w:rsidR="003C2926" w:rsidRPr="00775AE5" w:rsidRDefault="003C2926"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 xml:space="preserve">Se dio especial presión desde los grupos </w:t>
      </w:r>
      <w:r w:rsidR="009934F2" w:rsidRPr="00775AE5">
        <w:rPr>
          <w:rFonts w:ascii="Arial" w:hAnsi="Arial" w:cs="Arial"/>
          <w:bCs/>
          <w:sz w:val="22"/>
          <w:szCs w:val="22"/>
          <w:lang w:val="es-ES"/>
        </w:rPr>
        <w:t>de corte conservador</w:t>
      </w:r>
      <w:r w:rsidRPr="00775AE5">
        <w:rPr>
          <w:rFonts w:ascii="Arial" w:hAnsi="Arial" w:cs="Arial"/>
          <w:bCs/>
          <w:sz w:val="22"/>
          <w:szCs w:val="22"/>
          <w:lang w:val="es-ES"/>
        </w:rPr>
        <w:t xml:space="preserve">, quienes pusieron objeciones sobre estos temas argumentando que se está imponiendo una ideología de género, lo cual, generó cambios en la Ley. Estos cambios por su </w:t>
      </w:r>
      <w:r w:rsidR="003E0070" w:rsidRPr="00775AE5">
        <w:rPr>
          <w:rFonts w:ascii="Arial" w:hAnsi="Arial" w:cs="Arial"/>
          <w:bCs/>
          <w:sz w:val="22"/>
          <w:szCs w:val="22"/>
          <w:lang w:val="es-ES"/>
        </w:rPr>
        <w:t>parte</w:t>
      </w:r>
      <w:r w:rsidRPr="00775AE5">
        <w:rPr>
          <w:rFonts w:ascii="Arial" w:hAnsi="Arial" w:cs="Arial"/>
          <w:bCs/>
          <w:sz w:val="22"/>
          <w:szCs w:val="22"/>
          <w:lang w:val="es-ES"/>
        </w:rPr>
        <w:t xml:space="preserve"> fueron de gran preocupación para los grupos </w:t>
      </w:r>
      <w:r w:rsidR="00CA38EB" w:rsidRPr="00775AE5">
        <w:rPr>
          <w:rFonts w:ascii="Arial" w:hAnsi="Arial" w:cs="Arial"/>
          <w:bCs/>
          <w:sz w:val="22"/>
          <w:szCs w:val="22"/>
          <w:lang w:val="es-ES"/>
        </w:rPr>
        <w:t>proderecho</w:t>
      </w:r>
      <w:r w:rsidRPr="00775AE5">
        <w:rPr>
          <w:rFonts w:ascii="Arial" w:hAnsi="Arial" w:cs="Arial"/>
          <w:bCs/>
          <w:sz w:val="22"/>
          <w:szCs w:val="22"/>
          <w:lang w:val="es-ES"/>
        </w:rPr>
        <w:t>, pues a pesar de contar con una Ley de Prevención y Erradicación de la Violencia contra las mujeres, todavía se criminaliza a aquellas mujeres que deciden abortar por propia voluntad y ejercer su derecho a decidir sobre su cuerpo. Según datos de colectivos de sociedad civil, 243 mujeres han sido criminalizadas por abortar.</w:t>
      </w:r>
      <w:r w:rsidRPr="00775AE5">
        <w:rPr>
          <w:rStyle w:val="FootnoteReference"/>
          <w:rFonts w:ascii="Arial" w:hAnsi="Arial" w:cs="Arial"/>
          <w:bCs/>
          <w:sz w:val="22"/>
          <w:szCs w:val="22"/>
          <w:lang w:val="es-ES"/>
        </w:rPr>
        <w:footnoteReference w:id="1"/>
      </w:r>
    </w:p>
    <w:p w14:paraId="3BF982F7" w14:textId="77777777" w:rsidR="00A506E3" w:rsidRPr="00775AE5" w:rsidRDefault="00A506E3" w:rsidP="00390DF2">
      <w:pPr>
        <w:pStyle w:val="Header"/>
        <w:spacing w:line="276" w:lineRule="auto"/>
        <w:jc w:val="both"/>
        <w:rPr>
          <w:rFonts w:ascii="Arial" w:hAnsi="Arial" w:cs="Arial"/>
          <w:bCs/>
          <w:sz w:val="22"/>
          <w:szCs w:val="22"/>
          <w:lang w:val="es-ES"/>
        </w:rPr>
      </w:pPr>
    </w:p>
    <w:p w14:paraId="6E221432" w14:textId="77777777" w:rsidR="003C2926" w:rsidRPr="00775AE5" w:rsidRDefault="00166E92"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 xml:space="preserve">El </w:t>
      </w:r>
      <w:r w:rsidR="00E4291D" w:rsidRPr="00775AE5">
        <w:rPr>
          <w:rFonts w:ascii="Arial" w:hAnsi="Arial" w:cs="Arial"/>
          <w:bCs/>
          <w:sz w:val="22"/>
          <w:szCs w:val="22"/>
          <w:lang w:val="es-ES"/>
        </w:rPr>
        <w:t>presidente</w:t>
      </w:r>
      <w:r w:rsidRPr="00775AE5">
        <w:rPr>
          <w:rFonts w:ascii="Arial" w:hAnsi="Arial" w:cs="Arial"/>
          <w:bCs/>
          <w:sz w:val="22"/>
          <w:szCs w:val="22"/>
          <w:lang w:val="es-ES"/>
        </w:rPr>
        <w:t xml:space="preserve"> Lenin Moreno</w:t>
      </w:r>
      <w:r w:rsidR="003C2926" w:rsidRPr="00775AE5">
        <w:rPr>
          <w:rFonts w:ascii="Arial" w:hAnsi="Arial" w:cs="Arial"/>
          <w:bCs/>
          <w:sz w:val="22"/>
          <w:szCs w:val="22"/>
          <w:lang w:val="es-ES"/>
        </w:rPr>
        <w:t xml:space="preserve"> veto parcialme</w:t>
      </w:r>
      <w:r w:rsidRPr="00775AE5">
        <w:rPr>
          <w:rFonts w:ascii="Arial" w:hAnsi="Arial" w:cs="Arial"/>
          <w:bCs/>
          <w:sz w:val="22"/>
          <w:szCs w:val="22"/>
          <w:lang w:val="es-ES"/>
        </w:rPr>
        <w:t xml:space="preserve">nte la Ley </w:t>
      </w:r>
      <w:r w:rsidR="003C2926" w:rsidRPr="00775AE5">
        <w:rPr>
          <w:rFonts w:ascii="Arial" w:hAnsi="Arial" w:cs="Arial"/>
          <w:bCs/>
          <w:sz w:val="22"/>
          <w:szCs w:val="22"/>
          <w:lang w:val="es-ES"/>
        </w:rPr>
        <w:t xml:space="preserve">ante lo </w:t>
      </w:r>
      <w:r w:rsidR="009934F2" w:rsidRPr="00775AE5">
        <w:rPr>
          <w:rFonts w:ascii="Arial" w:hAnsi="Arial" w:cs="Arial"/>
          <w:bCs/>
          <w:sz w:val="22"/>
          <w:szCs w:val="22"/>
          <w:lang w:val="es-ES"/>
        </w:rPr>
        <w:t>cual la</w:t>
      </w:r>
      <w:r w:rsidR="003C2926" w:rsidRPr="00775AE5">
        <w:rPr>
          <w:rFonts w:ascii="Arial" w:hAnsi="Arial" w:cs="Arial"/>
          <w:bCs/>
          <w:sz w:val="22"/>
          <w:szCs w:val="22"/>
          <w:lang w:val="es-ES"/>
        </w:rPr>
        <w:t xml:space="preserve"> Asamblea Nacional tuvo que reconsiderar ciertos puntos, debido a la provocación de “polémica, críticas y mucha confusión”</w:t>
      </w:r>
      <w:r w:rsidR="003C2926" w:rsidRPr="00775AE5">
        <w:rPr>
          <w:rFonts w:ascii="Arial" w:hAnsi="Arial" w:cs="Arial"/>
          <w:bCs/>
          <w:sz w:val="22"/>
          <w:szCs w:val="22"/>
          <w:vertAlign w:val="superscript"/>
        </w:rPr>
        <w:footnoteReference w:id="2"/>
      </w:r>
      <w:r w:rsidR="003C2926" w:rsidRPr="00775AE5">
        <w:rPr>
          <w:rFonts w:ascii="Arial" w:hAnsi="Arial" w:cs="Arial"/>
          <w:bCs/>
          <w:sz w:val="22"/>
          <w:szCs w:val="22"/>
          <w:vertAlign w:val="superscript"/>
          <w:lang w:val="es-ES"/>
        </w:rPr>
        <w:t>,</w:t>
      </w:r>
      <w:r w:rsidR="003C2926" w:rsidRPr="00775AE5">
        <w:rPr>
          <w:rFonts w:ascii="Arial" w:hAnsi="Arial" w:cs="Arial"/>
          <w:bCs/>
          <w:sz w:val="22"/>
          <w:szCs w:val="22"/>
          <w:lang w:val="es-ES"/>
        </w:rPr>
        <w:t xml:space="preserve"> lo cual freno los avances alcanzados en temas de aborto principalmente.</w:t>
      </w:r>
    </w:p>
    <w:p w14:paraId="2C6DB388" w14:textId="77777777" w:rsidR="003C2926" w:rsidRPr="00775AE5" w:rsidRDefault="003C2926" w:rsidP="00390DF2">
      <w:pPr>
        <w:pStyle w:val="Header"/>
        <w:spacing w:line="276" w:lineRule="auto"/>
        <w:rPr>
          <w:rFonts w:ascii="Arial" w:hAnsi="Arial" w:cs="Arial"/>
          <w:bCs/>
          <w:sz w:val="22"/>
          <w:szCs w:val="22"/>
          <w:lang w:val="es-ES"/>
        </w:rPr>
      </w:pPr>
    </w:p>
    <w:p w14:paraId="078D3B81" w14:textId="77777777" w:rsidR="0034726C" w:rsidRPr="00775AE5" w:rsidRDefault="003C2926" w:rsidP="00390DF2">
      <w:pPr>
        <w:pStyle w:val="Header"/>
        <w:spacing w:line="276" w:lineRule="auto"/>
        <w:rPr>
          <w:rFonts w:ascii="Arial" w:hAnsi="Arial" w:cs="Arial"/>
          <w:bCs/>
          <w:sz w:val="22"/>
          <w:szCs w:val="22"/>
          <w:lang w:val="es-ES"/>
        </w:rPr>
      </w:pPr>
      <w:r w:rsidRPr="00775AE5">
        <w:rPr>
          <w:rFonts w:ascii="Arial" w:hAnsi="Arial" w:cs="Arial"/>
          <w:bCs/>
          <w:sz w:val="22"/>
          <w:szCs w:val="22"/>
          <w:lang w:val="es-ES"/>
        </w:rPr>
        <w:t>Conforme lo menciona el artículo 1 de dicha Ley, su objetivo es</w:t>
      </w:r>
      <w:r w:rsidR="0034726C" w:rsidRPr="00775AE5">
        <w:rPr>
          <w:rFonts w:ascii="Arial" w:hAnsi="Arial" w:cs="Arial"/>
          <w:bCs/>
          <w:sz w:val="22"/>
          <w:szCs w:val="22"/>
          <w:lang w:val="es-ES"/>
        </w:rPr>
        <w:t>:</w:t>
      </w:r>
    </w:p>
    <w:p w14:paraId="50308832" w14:textId="77777777" w:rsidR="0034726C" w:rsidRPr="00775AE5" w:rsidRDefault="0034726C" w:rsidP="00390DF2">
      <w:pPr>
        <w:pStyle w:val="Header"/>
        <w:spacing w:line="276" w:lineRule="auto"/>
        <w:rPr>
          <w:rFonts w:ascii="Arial" w:hAnsi="Arial" w:cs="Arial"/>
          <w:bCs/>
          <w:sz w:val="22"/>
          <w:szCs w:val="22"/>
          <w:lang w:val="es-ES"/>
        </w:rPr>
      </w:pPr>
    </w:p>
    <w:p w14:paraId="70E5D92D" w14:textId="77777777" w:rsidR="003C2926" w:rsidRPr="00775AE5" w:rsidRDefault="003C2926" w:rsidP="00390DF2">
      <w:pPr>
        <w:pStyle w:val="Header"/>
        <w:spacing w:line="276" w:lineRule="auto"/>
        <w:ind w:left="720"/>
        <w:jc w:val="both"/>
        <w:rPr>
          <w:rFonts w:ascii="Arial" w:hAnsi="Arial" w:cs="Arial"/>
          <w:bCs/>
          <w:sz w:val="22"/>
          <w:szCs w:val="22"/>
          <w:lang w:val="es-ES"/>
        </w:rPr>
      </w:pPr>
      <w:r w:rsidRPr="00775AE5">
        <w:rPr>
          <w:rFonts w:ascii="Arial" w:hAnsi="Arial" w:cs="Arial"/>
          <w:bCs/>
          <w:sz w:val="22"/>
          <w:szCs w:val="22"/>
          <w:lang w:val="es-ES"/>
        </w:rPr>
        <w:t xml:space="preserve">prevenir y erradicar todo tipo de violencia contra las mujeres: niñas, adolescentes, jóvenes, adultas y adultas mayores, en toda su diversidad, en los ámbitos público y privado; en especial, cuando se encuentran en múltiples situaciones de vulnerabilidad o de riesgo, mediante políticas y acciones integrales de prevención, atención, protección y reparación de las víctimas; así como a través de la reeducación de la persona agresora y el trabajo en masculinidades. </w:t>
      </w:r>
    </w:p>
    <w:p w14:paraId="3CC98C95" w14:textId="77777777" w:rsidR="003C2926" w:rsidRPr="00775AE5" w:rsidRDefault="003C2926" w:rsidP="00390DF2">
      <w:pPr>
        <w:pStyle w:val="Header"/>
        <w:spacing w:line="276" w:lineRule="auto"/>
        <w:rPr>
          <w:rFonts w:ascii="Arial" w:hAnsi="Arial" w:cs="Arial"/>
          <w:bCs/>
          <w:sz w:val="22"/>
          <w:szCs w:val="22"/>
          <w:lang w:val="es-ES"/>
        </w:rPr>
      </w:pPr>
    </w:p>
    <w:p w14:paraId="1B230613" w14:textId="77777777" w:rsidR="003C2926" w:rsidRPr="00775AE5" w:rsidRDefault="00E4291D"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A pesar de que</w:t>
      </w:r>
      <w:r w:rsidR="003C2926" w:rsidRPr="00775AE5">
        <w:rPr>
          <w:rFonts w:ascii="Arial" w:hAnsi="Arial" w:cs="Arial"/>
          <w:bCs/>
          <w:sz w:val="22"/>
          <w:szCs w:val="22"/>
          <w:lang w:val="es-ES"/>
        </w:rPr>
        <w:t xml:space="preserve"> la Ley habla sobre mujeres en toda su diversidad, todavía existen vacíos en la política pública para poder incorporar la dimensión de interseccionalidad, especialmente porque aún se deja de lado a las mujeres diversas. En este sentido, es necesario plantear un análisis interpretativo de la Ley, considerando también la incorporación del enfoque interseccional para abarcar lo que la misma considera como “en toda su diversidad”, el cual busca visibilizar las características sociales, culturales, políticas, económicas, entre otras, que entrecruzan a las mujeres y que muchas de estas ahondan en las situaciones de vulnerabilidad y riesgo en la que pueden estar sometidas. Frente a lo mencionado, una debilidad de la propuesta presentada en el Plan Nacional para la Prevención y Erradicación de Violenci</w:t>
      </w:r>
      <w:r w:rsidR="009F43CB" w:rsidRPr="00775AE5">
        <w:rPr>
          <w:rFonts w:ascii="Arial" w:hAnsi="Arial" w:cs="Arial"/>
          <w:bCs/>
          <w:sz w:val="22"/>
          <w:szCs w:val="22"/>
          <w:lang w:val="es-ES"/>
        </w:rPr>
        <w:t xml:space="preserve">a contra las </w:t>
      </w:r>
      <w:r w:rsidRPr="00775AE5">
        <w:rPr>
          <w:rFonts w:ascii="Arial" w:hAnsi="Arial" w:cs="Arial"/>
          <w:bCs/>
          <w:sz w:val="22"/>
          <w:szCs w:val="22"/>
          <w:lang w:val="es-ES"/>
        </w:rPr>
        <w:t>Mujeres</w:t>
      </w:r>
      <w:r w:rsidR="009F43CB" w:rsidRPr="00775AE5">
        <w:rPr>
          <w:rFonts w:ascii="Arial" w:hAnsi="Arial" w:cs="Arial"/>
          <w:bCs/>
          <w:sz w:val="22"/>
          <w:szCs w:val="22"/>
          <w:lang w:val="es-ES"/>
        </w:rPr>
        <w:t xml:space="preserve"> es </w:t>
      </w:r>
      <w:r w:rsidR="003C2926" w:rsidRPr="00775AE5">
        <w:rPr>
          <w:rFonts w:ascii="Arial" w:hAnsi="Arial" w:cs="Arial"/>
          <w:bCs/>
          <w:sz w:val="22"/>
          <w:szCs w:val="22"/>
          <w:lang w:val="es-ES"/>
        </w:rPr>
        <w:t xml:space="preserve">poder visibilizar en el narrativo (aun cuando se menciona que el enfoque de interseccionalidad estará presente), así como en plantear acciones concretas para las mujeres diversas, tal como lo propone la Ley. En este sentido, el documento de propuesta del </w:t>
      </w:r>
      <w:r w:rsidRPr="00775AE5">
        <w:rPr>
          <w:rFonts w:ascii="Arial" w:hAnsi="Arial" w:cs="Arial"/>
          <w:bCs/>
          <w:sz w:val="22"/>
          <w:szCs w:val="22"/>
          <w:lang w:val="es-ES"/>
        </w:rPr>
        <w:t>Plan</w:t>
      </w:r>
      <w:r w:rsidR="003C2926" w:rsidRPr="00775AE5">
        <w:rPr>
          <w:rFonts w:ascii="Arial" w:hAnsi="Arial" w:cs="Arial"/>
          <w:bCs/>
          <w:sz w:val="22"/>
          <w:szCs w:val="22"/>
          <w:lang w:val="es-ES"/>
        </w:rPr>
        <w:t xml:space="preserve"> no considera a un grupo históricamente ha estado ausente en la normativa y en la política, como son las mujeres de las diversidades sexo genérica diversa (Lesbianas, Trans, Bisexuales e Intersex).</w:t>
      </w:r>
    </w:p>
    <w:p w14:paraId="29ACC77E" w14:textId="77777777" w:rsidR="003C2926" w:rsidRPr="00775AE5" w:rsidRDefault="003C2926" w:rsidP="00390DF2">
      <w:pPr>
        <w:pStyle w:val="Header"/>
        <w:spacing w:line="276" w:lineRule="auto"/>
        <w:rPr>
          <w:rFonts w:ascii="Arial" w:hAnsi="Arial" w:cs="Arial"/>
          <w:bCs/>
          <w:sz w:val="22"/>
          <w:szCs w:val="22"/>
          <w:lang w:val="es-ES"/>
        </w:rPr>
      </w:pPr>
    </w:p>
    <w:p w14:paraId="646DF647" w14:textId="77777777" w:rsidR="00E4291D" w:rsidRPr="00775AE5" w:rsidRDefault="003C2926"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 xml:space="preserve">Existen ejemplos claros </w:t>
      </w:r>
      <w:r w:rsidR="009F43CB" w:rsidRPr="00775AE5">
        <w:rPr>
          <w:rFonts w:ascii="Arial" w:hAnsi="Arial" w:cs="Arial"/>
          <w:bCs/>
          <w:sz w:val="22"/>
          <w:szCs w:val="22"/>
          <w:lang w:val="es-ES"/>
        </w:rPr>
        <w:t xml:space="preserve">de </w:t>
      </w:r>
      <w:r w:rsidRPr="00775AE5">
        <w:rPr>
          <w:rFonts w:ascii="Arial" w:hAnsi="Arial" w:cs="Arial"/>
          <w:bCs/>
          <w:sz w:val="22"/>
          <w:szCs w:val="22"/>
          <w:lang w:val="es-ES"/>
        </w:rPr>
        <w:t xml:space="preserve">violencia y tortura a las que son sometidas este grupo como las detenciones arbitrarias para terapias de reconversión, violencia gineco obstétrica, entre otras, los cuáles deben considerados. </w:t>
      </w:r>
    </w:p>
    <w:p w14:paraId="698DE2E6" w14:textId="77777777" w:rsidR="003C2926" w:rsidRPr="00775AE5" w:rsidRDefault="003C2926"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 xml:space="preserve">Tal como lo determina el Reglamento de la LOIPEVCM, el horizonte para su implementación es para los siguientes 4 años, por lo que no hay justificativo alguno para seguir segregando esta población, justificando que estarán incluidas en una iniciativa de gobierno. </w:t>
      </w:r>
    </w:p>
    <w:p w14:paraId="03467AFC" w14:textId="77777777" w:rsidR="003C2926" w:rsidRPr="00775AE5" w:rsidRDefault="003C2926" w:rsidP="00390DF2">
      <w:pPr>
        <w:pStyle w:val="Header"/>
        <w:spacing w:line="276" w:lineRule="auto"/>
        <w:jc w:val="both"/>
        <w:rPr>
          <w:rFonts w:ascii="Arial" w:hAnsi="Arial" w:cs="Arial"/>
          <w:bCs/>
          <w:sz w:val="22"/>
          <w:szCs w:val="22"/>
          <w:lang w:val="es-ES"/>
        </w:rPr>
      </w:pPr>
    </w:p>
    <w:p w14:paraId="41E8B877" w14:textId="1FF8177B" w:rsidR="00E4291D" w:rsidRPr="00775AE5" w:rsidRDefault="003C2926"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 xml:space="preserve">La LOIPEVCM es considerada como una normativa de segunda generación, ya que apuesta a la </w:t>
      </w:r>
      <w:proofErr w:type="spellStart"/>
      <w:r w:rsidRPr="00775AE5">
        <w:rPr>
          <w:rFonts w:ascii="Arial" w:hAnsi="Arial" w:cs="Arial"/>
          <w:bCs/>
          <w:sz w:val="22"/>
          <w:szCs w:val="22"/>
          <w:lang w:val="es-ES"/>
        </w:rPr>
        <w:t>visibilización</w:t>
      </w:r>
      <w:proofErr w:type="spellEnd"/>
      <w:r w:rsidRPr="00775AE5">
        <w:rPr>
          <w:rFonts w:ascii="Arial" w:hAnsi="Arial" w:cs="Arial"/>
          <w:bCs/>
          <w:sz w:val="22"/>
          <w:szCs w:val="22"/>
          <w:lang w:val="es-ES"/>
        </w:rPr>
        <w:t xml:space="preserve"> de problemáticas que aquejan un sector específico de la sociedad y </w:t>
      </w:r>
      <w:r w:rsidR="00CA38EB" w:rsidRPr="00775AE5">
        <w:rPr>
          <w:rFonts w:ascii="Arial" w:hAnsi="Arial" w:cs="Arial"/>
          <w:bCs/>
          <w:sz w:val="22"/>
          <w:szCs w:val="22"/>
          <w:lang w:val="es-ES"/>
        </w:rPr>
        <w:t>que,</w:t>
      </w:r>
      <w:r w:rsidRPr="00775AE5">
        <w:rPr>
          <w:rFonts w:ascii="Arial" w:hAnsi="Arial" w:cs="Arial"/>
          <w:bCs/>
          <w:sz w:val="22"/>
          <w:szCs w:val="22"/>
          <w:lang w:val="es-ES"/>
        </w:rPr>
        <w:t xml:space="preserve"> por lo tanto, son necesarias de ser puestas en la agenda pública para su tratamiento. De igual forma, esta es una Ley histórica a nivel país, ya que trabaja con 4 ejes: prevención, atención, protección y reparación, lo que la hace una Ley no meramente punitiva, sino administrativa, vinculada a la Función Judicial a través de las Medidas Administrativas de Prevención, que a su vez, previene y protege la vida de las víctimas al ir más allá de las denuncias de casos, acompañando a las víctimas para que puedan restablecer sus proyectos de vida. De igual forma, es una ley que amplía las tres violencias más conocidas, física, psicológica y sexual a siete tipos de violencia, económica y patrimonial, simbólica, política y gineco-obstetra y delimita los ámbitos donde se expresan dichas violencias, con lo cual, se abren temas integrales para abordar dicha problemática. </w:t>
      </w:r>
    </w:p>
    <w:p w14:paraId="17F97970" w14:textId="77777777" w:rsidR="00E4291D" w:rsidRPr="00775AE5" w:rsidRDefault="00E4291D" w:rsidP="00390DF2">
      <w:pPr>
        <w:pStyle w:val="Header"/>
        <w:spacing w:line="276" w:lineRule="auto"/>
        <w:jc w:val="both"/>
        <w:rPr>
          <w:rFonts w:ascii="Arial" w:hAnsi="Arial" w:cs="Arial"/>
          <w:bCs/>
          <w:sz w:val="22"/>
          <w:szCs w:val="22"/>
          <w:lang w:val="es-ES"/>
        </w:rPr>
      </w:pPr>
    </w:p>
    <w:p w14:paraId="58B47DC0" w14:textId="77777777" w:rsidR="003C2926" w:rsidRPr="00775AE5" w:rsidRDefault="003C2926"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 xml:space="preserve">No obstante, a pesar de que existen </w:t>
      </w:r>
      <w:r w:rsidR="00E4291D" w:rsidRPr="00775AE5">
        <w:rPr>
          <w:rFonts w:ascii="Arial" w:hAnsi="Arial" w:cs="Arial"/>
          <w:bCs/>
          <w:sz w:val="22"/>
          <w:szCs w:val="22"/>
          <w:lang w:val="es-ES"/>
        </w:rPr>
        <w:t>nuevos conceptos y concepción de los diferentes tipos de violencia</w:t>
      </w:r>
      <w:r w:rsidR="00144CD5" w:rsidRPr="00775AE5">
        <w:rPr>
          <w:rFonts w:ascii="Arial" w:hAnsi="Arial" w:cs="Arial"/>
          <w:bCs/>
          <w:sz w:val="22"/>
          <w:szCs w:val="22"/>
          <w:lang w:val="es-ES"/>
        </w:rPr>
        <w:t xml:space="preserve">, el COIP </w:t>
      </w:r>
      <w:r w:rsidRPr="00775AE5">
        <w:rPr>
          <w:rFonts w:ascii="Arial" w:hAnsi="Arial" w:cs="Arial"/>
          <w:bCs/>
          <w:sz w:val="22"/>
          <w:szCs w:val="22"/>
          <w:lang w:val="es-ES"/>
        </w:rPr>
        <w:t>no tipifica a estas violencias generando un vacío normativo. De esta forma, se recomienda trabajar con los organismos responsables la modificación del COIP con un enfoque integral y ampliado de estos otros tipos de violencia ya que las mismas tienen efectos sobre la</w:t>
      </w:r>
      <w:r w:rsidR="00144CD5" w:rsidRPr="00775AE5">
        <w:rPr>
          <w:rFonts w:ascii="Arial" w:hAnsi="Arial" w:cs="Arial"/>
          <w:bCs/>
          <w:sz w:val="22"/>
          <w:szCs w:val="22"/>
          <w:lang w:val="es-ES"/>
        </w:rPr>
        <w:t xml:space="preserve"> vida de las mujeres por lo que</w:t>
      </w:r>
      <w:r w:rsidRPr="00775AE5">
        <w:rPr>
          <w:rFonts w:ascii="Arial" w:hAnsi="Arial" w:cs="Arial"/>
          <w:bCs/>
          <w:sz w:val="22"/>
          <w:szCs w:val="22"/>
          <w:lang w:val="es-ES"/>
        </w:rPr>
        <w:t xml:space="preserve"> su trabajo, atención y sanción </w:t>
      </w:r>
      <w:proofErr w:type="spellStart"/>
      <w:r w:rsidRPr="00775AE5">
        <w:rPr>
          <w:rFonts w:ascii="Arial" w:hAnsi="Arial" w:cs="Arial"/>
          <w:bCs/>
          <w:sz w:val="22"/>
          <w:szCs w:val="22"/>
          <w:lang w:val="es-ES"/>
        </w:rPr>
        <w:t>esta</w:t>
      </w:r>
      <w:proofErr w:type="spellEnd"/>
      <w:r w:rsidRPr="00775AE5">
        <w:rPr>
          <w:rFonts w:ascii="Arial" w:hAnsi="Arial" w:cs="Arial"/>
          <w:bCs/>
          <w:sz w:val="22"/>
          <w:szCs w:val="22"/>
          <w:lang w:val="es-ES"/>
        </w:rPr>
        <w:t xml:space="preserve"> directamente ligado con el tema de la prevención y erradicación de la violencia. </w:t>
      </w:r>
    </w:p>
    <w:p w14:paraId="1F491435" w14:textId="77777777" w:rsidR="0066483F" w:rsidRPr="00775AE5" w:rsidRDefault="0066483F" w:rsidP="00390DF2">
      <w:pPr>
        <w:pStyle w:val="Header"/>
        <w:spacing w:line="276" w:lineRule="auto"/>
        <w:jc w:val="both"/>
        <w:rPr>
          <w:rFonts w:ascii="Arial" w:hAnsi="Arial" w:cs="Arial"/>
          <w:bCs/>
          <w:sz w:val="22"/>
          <w:szCs w:val="22"/>
          <w:lang w:val="es-ES"/>
        </w:rPr>
      </w:pPr>
    </w:p>
    <w:p w14:paraId="5198E67B" w14:textId="77777777" w:rsidR="006C742E" w:rsidRPr="00775AE5" w:rsidRDefault="003C2926" w:rsidP="006C742E">
      <w:pPr>
        <w:pStyle w:val="Header"/>
        <w:spacing w:line="276" w:lineRule="auto"/>
        <w:jc w:val="both"/>
        <w:rPr>
          <w:rFonts w:ascii="Arial" w:hAnsi="Arial" w:cs="Arial"/>
          <w:sz w:val="22"/>
          <w:szCs w:val="22"/>
          <w:lang w:val="es-ES"/>
        </w:rPr>
      </w:pPr>
      <w:r w:rsidRPr="00775AE5">
        <w:rPr>
          <w:rFonts w:ascii="Arial" w:hAnsi="Arial" w:cs="Arial"/>
          <w:bCs/>
          <w:sz w:val="22"/>
          <w:szCs w:val="22"/>
          <w:lang w:val="es-ES"/>
        </w:rPr>
        <w:t>La Ley, c</w:t>
      </w:r>
      <w:r w:rsidRPr="00775AE5">
        <w:rPr>
          <w:rFonts w:ascii="Arial" w:hAnsi="Arial" w:cs="Arial"/>
          <w:sz w:val="22"/>
          <w:szCs w:val="22"/>
          <w:lang w:val="es-ES"/>
        </w:rPr>
        <w:t xml:space="preserve">rea el Sistema Nacional para Prevenir y Erradicar la Violencia contra las Mujeres, la cual está compuesta por alrededor de 16 instituciones nacionales, los </w:t>
      </w:r>
      <w:proofErr w:type="spellStart"/>
      <w:r w:rsidRPr="00775AE5">
        <w:rPr>
          <w:rFonts w:ascii="Arial" w:hAnsi="Arial" w:cs="Arial"/>
          <w:sz w:val="22"/>
          <w:szCs w:val="22"/>
          <w:lang w:val="es-ES"/>
        </w:rPr>
        <w:t>GAD´s</w:t>
      </w:r>
      <w:proofErr w:type="spellEnd"/>
      <w:r w:rsidRPr="00775AE5">
        <w:rPr>
          <w:rFonts w:ascii="Arial" w:hAnsi="Arial" w:cs="Arial"/>
          <w:sz w:val="22"/>
          <w:szCs w:val="22"/>
          <w:lang w:val="es-ES"/>
        </w:rPr>
        <w:t xml:space="preserve"> y los gremios que son parte de los </w:t>
      </w:r>
      <w:proofErr w:type="spellStart"/>
      <w:r w:rsidRPr="00775AE5">
        <w:rPr>
          <w:rFonts w:ascii="Arial" w:hAnsi="Arial" w:cs="Arial"/>
          <w:sz w:val="22"/>
          <w:szCs w:val="22"/>
          <w:lang w:val="es-ES"/>
        </w:rPr>
        <w:t>GAD´s</w:t>
      </w:r>
      <w:proofErr w:type="spellEnd"/>
      <w:r w:rsidRPr="00775AE5">
        <w:rPr>
          <w:rFonts w:ascii="Arial" w:hAnsi="Arial" w:cs="Arial"/>
          <w:sz w:val="22"/>
          <w:szCs w:val="22"/>
          <w:lang w:val="es-ES"/>
        </w:rPr>
        <w:t>, con el propósito de ejecutar políticas públicas especializadas de prevención, atención, protección y reparación en materia de violencia basada en género.</w:t>
      </w:r>
      <w:r w:rsidR="006C742E" w:rsidRPr="00775AE5">
        <w:rPr>
          <w:rFonts w:ascii="Arial" w:hAnsi="Arial" w:cs="Arial"/>
          <w:sz w:val="22"/>
          <w:szCs w:val="22"/>
          <w:lang w:val="es-ES"/>
        </w:rPr>
        <w:t xml:space="preserve"> </w:t>
      </w:r>
    </w:p>
    <w:p w14:paraId="71CEE37C" w14:textId="77777777" w:rsidR="006C742E" w:rsidRPr="00775AE5" w:rsidRDefault="006C742E" w:rsidP="006C742E">
      <w:pPr>
        <w:pStyle w:val="Header"/>
        <w:spacing w:line="276" w:lineRule="auto"/>
        <w:jc w:val="both"/>
        <w:rPr>
          <w:rFonts w:ascii="Arial" w:hAnsi="Arial" w:cs="Arial"/>
          <w:sz w:val="22"/>
          <w:szCs w:val="22"/>
          <w:lang w:val="es-ES"/>
        </w:rPr>
      </w:pPr>
    </w:p>
    <w:p w14:paraId="28F9EDFB" w14:textId="77777777" w:rsidR="00E4291D" w:rsidRPr="00775AE5" w:rsidRDefault="003C2926" w:rsidP="006C742E">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Entre estas instituciones, se encuentra la Defensoría del Pueblo, misma que desde abril de 2020, cuenta con dos unidades fundamentales para el trabajo en temas de violencia basada en género.</w:t>
      </w:r>
    </w:p>
    <w:p w14:paraId="172B793F" w14:textId="77777777" w:rsidR="00E4291D" w:rsidRPr="00775AE5" w:rsidRDefault="00E4291D" w:rsidP="006C742E">
      <w:pPr>
        <w:pStyle w:val="Header"/>
        <w:spacing w:line="276" w:lineRule="auto"/>
        <w:jc w:val="both"/>
        <w:rPr>
          <w:rFonts w:ascii="Arial" w:hAnsi="Arial" w:cs="Arial"/>
          <w:bCs/>
          <w:sz w:val="22"/>
          <w:szCs w:val="22"/>
          <w:lang w:val="es-ES"/>
        </w:rPr>
      </w:pPr>
    </w:p>
    <w:p w14:paraId="79D72F2A" w14:textId="77777777" w:rsidR="003C2926" w:rsidRPr="00775AE5" w:rsidRDefault="003C2926" w:rsidP="006C742E">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La Unidad de Asesoría y Atención Defensorial, unidad encargada de brindar asesoría directa y especializada sobre las entidades competentes para atender casos específicos de violencia contra la mujer, niña o adolescente mujer</w:t>
      </w:r>
      <w:r w:rsidR="00E4291D" w:rsidRPr="00775AE5">
        <w:rPr>
          <w:rFonts w:ascii="Arial" w:hAnsi="Arial" w:cs="Arial"/>
          <w:bCs/>
          <w:sz w:val="22"/>
          <w:szCs w:val="22"/>
          <w:lang w:val="es-ES"/>
        </w:rPr>
        <w:t xml:space="preserve"> es </w:t>
      </w:r>
      <w:r w:rsidRPr="00775AE5">
        <w:rPr>
          <w:rFonts w:ascii="Arial" w:hAnsi="Arial" w:cs="Arial"/>
          <w:bCs/>
          <w:sz w:val="22"/>
          <w:szCs w:val="22"/>
          <w:lang w:val="es-ES"/>
        </w:rPr>
        <w:t xml:space="preserve">la Dirección Nacional del Mecanismo para la Prevención de la Violencia Contra la Mujer y basada en Género, misma que tiene como misión velar por el reconocimiento de las mujeres y de las personas pertenecientes a otras diversidades sexo genéricas, mediante el diseño de estrategias para la implementación de acciones de prevención y protección que promuevan el cambio de estereotipos, prejuicios y estigmas, para aportar a la construcción de una vida libre de violencia. </w:t>
      </w:r>
      <w:r w:rsidR="006C742E" w:rsidRPr="00775AE5">
        <w:rPr>
          <w:rFonts w:ascii="Arial" w:hAnsi="Arial" w:cs="Arial"/>
          <w:bCs/>
          <w:sz w:val="22"/>
          <w:szCs w:val="22"/>
          <w:lang w:val="es-ES"/>
        </w:rPr>
        <w:t>Además, este Mecanismo</w:t>
      </w:r>
      <w:r w:rsidRPr="00775AE5">
        <w:rPr>
          <w:rFonts w:ascii="Arial" w:hAnsi="Arial" w:cs="Arial"/>
          <w:bCs/>
          <w:sz w:val="22"/>
          <w:szCs w:val="22"/>
          <w:lang w:val="es-ES"/>
        </w:rPr>
        <w:t xml:space="preserve"> se encarga de </w:t>
      </w:r>
      <w:r w:rsidR="006C742E" w:rsidRPr="00775AE5">
        <w:rPr>
          <w:rFonts w:ascii="Arial" w:hAnsi="Arial" w:cs="Arial"/>
          <w:bCs/>
          <w:sz w:val="22"/>
          <w:szCs w:val="22"/>
          <w:lang w:val="es-ES"/>
        </w:rPr>
        <w:t>efectuar</w:t>
      </w:r>
      <w:r w:rsidRPr="00775AE5">
        <w:rPr>
          <w:rFonts w:ascii="Arial" w:hAnsi="Arial" w:cs="Arial"/>
          <w:bCs/>
          <w:sz w:val="22"/>
          <w:szCs w:val="22"/>
          <w:lang w:val="es-ES"/>
        </w:rPr>
        <w:t xml:space="preserve"> las acciones que por competencia le otorga la Ley a la Defensoría del Pueblo y la propia LOIPEVCM, con ello su implementación a nivel territorial, a través de delegaciones provinciales, quienes </w:t>
      </w:r>
      <w:r w:rsidR="00E4291D" w:rsidRPr="00775AE5">
        <w:rPr>
          <w:rFonts w:ascii="Arial" w:hAnsi="Arial" w:cs="Arial"/>
          <w:bCs/>
          <w:sz w:val="22"/>
          <w:szCs w:val="22"/>
          <w:lang w:val="es-ES"/>
        </w:rPr>
        <w:t>han destinado puntos focales de género para la atención, asesoría y de ser el caso derivación de los casos de violencia; es importante indicar que en el caso de mujeres privadas de la libertad el mecanismo a promovido reuniones específicas con las entidades del estado involucradas en la atención de violencia (Ministerio de la Mujer y Derechos Humanos, SNAI, Ministerio de Salud).</w:t>
      </w:r>
      <w:r w:rsidRPr="00775AE5">
        <w:rPr>
          <w:rFonts w:ascii="Arial" w:hAnsi="Arial" w:cs="Arial"/>
          <w:bCs/>
          <w:sz w:val="22"/>
          <w:szCs w:val="22"/>
          <w:lang w:val="es-ES"/>
        </w:rPr>
        <w:t xml:space="preserve"> </w:t>
      </w:r>
    </w:p>
    <w:p w14:paraId="4F3950D3" w14:textId="77777777" w:rsidR="006C742E" w:rsidRPr="00775AE5" w:rsidRDefault="006C742E" w:rsidP="006C742E">
      <w:pPr>
        <w:pStyle w:val="Header"/>
        <w:spacing w:line="276" w:lineRule="auto"/>
        <w:jc w:val="both"/>
        <w:rPr>
          <w:rFonts w:ascii="Arial" w:hAnsi="Arial" w:cs="Arial"/>
          <w:bCs/>
          <w:sz w:val="22"/>
          <w:szCs w:val="22"/>
          <w:lang w:val="es-ES"/>
        </w:rPr>
      </w:pPr>
    </w:p>
    <w:p w14:paraId="64DE7E26" w14:textId="77777777" w:rsidR="003C2926" w:rsidRPr="00775AE5" w:rsidRDefault="003C2926"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 xml:space="preserve">También se han generado capacitaciones a diferentes actores estatales, sobre temas de violencia de género, desarrollando procesos educativos de formación, sensibilización y capacitación, pues se considera que el trabajo en </w:t>
      </w:r>
      <w:r w:rsidR="00E4291D" w:rsidRPr="00775AE5">
        <w:rPr>
          <w:rFonts w:ascii="Arial" w:hAnsi="Arial" w:cs="Arial"/>
          <w:bCs/>
          <w:sz w:val="22"/>
          <w:szCs w:val="22"/>
          <w:lang w:val="es-ES"/>
        </w:rPr>
        <w:t>prevención</w:t>
      </w:r>
      <w:r w:rsidRPr="00775AE5">
        <w:rPr>
          <w:rFonts w:ascii="Arial" w:hAnsi="Arial" w:cs="Arial"/>
          <w:bCs/>
          <w:sz w:val="22"/>
          <w:szCs w:val="22"/>
          <w:lang w:val="es-ES"/>
        </w:rPr>
        <w:t xml:space="preserve"> permite eliminar progresivamente los patrones socioculturales y estereotipos que justifican o naturalizan la violencia basada en género.</w:t>
      </w:r>
    </w:p>
    <w:p w14:paraId="469A6D4B" w14:textId="77777777" w:rsidR="003C2926" w:rsidRPr="00775AE5" w:rsidRDefault="003C2926" w:rsidP="00390DF2">
      <w:pPr>
        <w:pStyle w:val="Header"/>
        <w:spacing w:line="276" w:lineRule="auto"/>
        <w:rPr>
          <w:rFonts w:ascii="Arial" w:hAnsi="Arial" w:cs="Arial"/>
          <w:bCs/>
          <w:sz w:val="22"/>
          <w:szCs w:val="22"/>
          <w:lang w:val="es-ES"/>
        </w:rPr>
      </w:pPr>
    </w:p>
    <w:p w14:paraId="2D5FA8E5" w14:textId="77777777" w:rsidR="00E51563" w:rsidRPr="00775AE5" w:rsidRDefault="009F43CB" w:rsidP="00390DF2">
      <w:pPr>
        <w:pStyle w:val="Header"/>
        <w:spacing w:line="276" w:lineRule="auto"/>
        <w:jc w:val="both"/>
        <w:rPr>
          <w:rFonts w:ascii="Arial" w:hAnsi="Arial" w:cs="Arial"/>
          <w:sz w:val="22"/>
          <w:szCs w:val="22"/>
          <w:lang w:val="es-ES" w:eastAsia="es-EC"/>
        </w:rPr>
      </w:pPr>
      <w:r w:rsidRPr="00775AE5">
        <w:rPr>
          <w:rFonts w:ascii="Arial" w:hAnsi="Arial" w:cs="Arial"/>
          <w:bCs/>
          <w:sz w:val="22"/>
          <w:szCs w:val="22"/>
          <w:lang w:val="es-ES"/>
        </w:rPr>
        <w:t xml:space="preserve">Al interior de la Defensoría del Pueblo se </w:t>
      </w:r>
      <w:r w:rsidR="00E51563" w:rsidRPr="00775AE5">
        <w:rPr>
          <w:rFonts w:ascii="Arial" w:hAnsi="Arial" w:cs="Arial"/>
          <w:bCs/>
          <w:sz w:val="22"/>
          <w:szCs w:val="22"/>
          <w:lang w:val="es-ES"/>
        </w:rPr>
        <w:t xml:space="preserve">han </w:t>
      </w:r>
      <w:r w:rsidR="00E51563" w:rsidRPr="00775AE5">
        <w:rPr>
          <w:rFonts w:ascii="Arial" w:hAnsi="Arial" w:cs="Arial"/>
          <w:sz w:val="22"/>
          <w:szCs w:val="22"/>
          <w:lang w:val="es-ES" w:eastAsia="es-EC"/>
        </w:rPr>
        <w:t>generado procesos de enseñanza-aprendizaje, como es la capacitación, sensibilización y difusión de temas como: aspectos básicos de los derechos</w:t>
      </w:r>
      <w:r w:rsidRPr="00775AE5">
        <w:rPr>
          <w:rFonts w:ascii="Arial" w:hAnsi="Arial" w:cs="Arial"/>
          <w:sz w:val="22"/>
          <w:szCs w:val="22"/>
          <w:lang w:val="es-ES" w:eastAsia="es-EC"/>
        </w:rPr>
        <w:t xml:space="preserve"> humanos</w:t>
      </w:r>
      <w:r w:rsidR="00E51563" w:rsidRPr="00775AE5">
        <w:rPr>
          <w:rFonts w:ascii="Arial" w:hAnsi="Arial" w:cs="Arial"/>
          <w:sz w:val="22"/>
          <w:szCs w:val="22"/>
          <w:lang w:val="es-ES" w:eastAsia="es-EC"/>
        </w:rPr>
        <w:t>, enfoques de género, derechos de las mujeres, igualdad y no discriminación y derecho</w:t>
      </w:r>
      <w:r w:rsidRPr="00775AE5">
        <w:rPr>
          <w:rFonts w:ascii="Arial" w:hAnsi="Arial" w:cs="Arial"/>
          <w:sz w:val="22"/>
          <w:szCs w:val="22"/>
          <w:lang w:val="es-ES" w:eastAsia="es-EC"/>
        </w:rPr>
        <w:t xml:space="preserve"> a una vida libre de violencias</w:t>
      </w:r>
      <w:r w:rsidR="00E51563" w:rsidRPr="00775AE5">
        <w:rPr>
          <w:rFonts w:ascii="Arial" w:hAnsi="Arial" w:cs="Arial"/>
          <w:sz w:val="22"/>
          <w:szCs w:val="22"/>
          <w:lang w:val="es-ES" w:eastAsia="es-EC"/>
        </w:rPr>
        <w:t>. Adicionalmente, se han realizado procesos educativos orientados a la prevención y erradicación de violencia contra las mujeres, niñas, adolescentes, jóvenes, adultas y adultas mayores.</w:t>
      </w:r>
    </w:p>
    <w:p w14:paraId="49DF1A14" w14:textId="77777777" w:rsidR="00E51563" w:rsidRPr="00775AE5" w:rsidRDefault="00E51563" w:rsidP="00390DF2">
      <w:pPr>
        <w:pStyle w:val="Header"/>
        <w:spacing w:line="276" w:lineRule="auto"/>
        <w:rPr>
          <w:rFonts w:ascii="Arial" w:hAnsi="Arial" w:cs="Arial"/>
          <w:sz w:val="22"/>
          <w:szCs w:val="22"/>
          <w:lang w:val="es-ES" w:eastAsia="es-EC"/>
        </w:rPr>
      </w:pPr>
    </w:p>
    <w:p w14:paraId="0EF856A6" w14:textId="77777777" w:rsidR="00E51563" w:rsidRPr="00775AE5" w:rsidRDefault="00E51563"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Respecto a lo e</w:t>
      </w:r>
      <w:r w:rsidR="006C742E" w:rsidRPr="00775AE5">
        <w:rPr>
          <w:rFonts w:ascii="Arial" w:hAnsi="Arial" w:cs="Arial"/>
          <w:bCs/>
          <w:sz w:val="22"/>
          <w:szCs w:val="22"/>
          <w:lang w:val="es-ES"/>
        </w:rPr>
        <w:t>stipulado en la LOIPEVCM, la Defensoría del Pueblo</w:t>
      </w:r>
      <w:r w:rsidRPr="00775AE5">
        <w:rPr>
          <w:rFonts w:ascii="Arial" w:hAnsi="Arial" w:cs="Arial"/>
          <w:bCs/>
          <w:sz w:val="22"/>
          <w:szCs w:val="22"/>
          <w:lang w:val="es-ES"/>
        </w:rPr>
        <w:t xml:space="preserve"> ha realizado</w:t>
      </w:r>
      <w:r w:rsidR="006C742E" w:rsidRPr="00775AE5">
        <w:rPr>
          <w:rFonts w:ascii="Arial" w:hAnsi="Arial" w:cs="Arial"/>
          <w:bCs/>
          <w:sz w:val="22"/>
          <w:szCs w:val="22"/>
          <w:lang w:val="es-ES"/>
        </w:rPr>
        <w:t>: vigilancia</w:t>
      </w:r>
      <w:r w:rsidRPr="00775AE5">
        <w:rPr>
          <w:rFonts w:ascii="Arial" w:hAnsi="Arial" w:cs="Arial"/>
          <w:bCs/>
          <w:sz w:val="22"/>
          <w:szCs w:val="22"/>
          <w:lang w:val="es-ES"/>
        </w:rPr>
        <w:t xml:space="preserve"> del debido proceso, elaboración de informes y seguimiento del otorgamiento de medidas admi</w:t>
      </w:r>
      <w:r w:rsidR="00E96C08" w:rsidRPr="00775AE5">
        <w:rPr>
          <w:rFonts w:ascii="Arial" w:hAnsi="Arial" w:cs="Arial"/>
          <w:bCs/>
          <w:sz w:val="22"/>
          <w:szCs w:val="22"/>
          <w:lang w:val="es-ES"/>
        </w:rPr>
        <w:t>nist</w:t>
      </w:r>
      <w:r w:rsidRPr="00775AE5">
        <w:rPr>
          <w:rFonts w:ascii="Arial" w:hAnsi="Arial" w:cs="Arial"/>
          <w:bCs/>
          <w:sz w:val="22"/>
          <w:szCs w:val="22"/>
          <w:lang w:val="es-ES"/>
        </w:rPr>
        <w:t xml:space="preserve">rativas de protección. </w:t>
      </w:r>
      <w:r w:rsidR="00E96C08" w:rsidRPr="00775AE5">
        <w:rPr>
          <w:rFonts w:ascii="Arial" w:hAnsi="Arial" w:cs="Arial"/>
          <w:bCs/>
          <w:sz w:val="22"/>
          <w:szCs w:val="22"/>
          <w:lang w:val="es-ES"/>
        </w:rPr>
        <w:t>L</w:t>
      </w:r>
      <w:r w:rsidRPr="00775AE5">
        <w:rPr>
          <w:rFonts w:ascii="Arial" w:hAnsi="Arial" w:cs="Arial"/>
          <w:bCs/>
          <w:sz w:val="22"/>
          <w:szCs w:val="22"/>
          <w:lang w:val="es-ES"/>
        </w:rPr>
        <w:t>a D</w:t>
      </w:r>
      <w:r w:rsidR="009F43CB" w:rsidRPr="00775AE5">
        <w:rPr>
          <w:rFonts w:ascii="Arial" w:hAnsi="Arial" w:cs="Arial"/>
          <w:bCs/>
          <w:sz w:val="22"/>
          <w:szCs w:val="22"/>
          <w:lang w:val="es-ES"/>
        </w:rPr>
        <w:t>efensoría</w:t>
      </w:r>
      <w:r w:rsidRPr="00775AE5">
        <w:rPr>
          <w:rFonts w:ascii="Arial" w:hAnsi="Arial" w:cs="Arial"/>
          <w:bCs/>
          <w:sz w:val="22"/>
          <w:szCs w:val="22"/>
          <w:lang w:val="es-ES"/>
        </w:rPr>
        <w:t xml:space="preserve"> ha observado la existencia de dificultades para la remisión de las medidas de protección, donde los tiempos y canales de remisión deben ser mejorados </w:t>
      </w:r>
      <w:r w:rsidR="00E96C08" w:rsidRPr="00775AE5">
        <w:rPr>
          <w:rFonts w:ascii="Arial" w:hAnsi="Arial" w:cs="Arial"/>
          <w:bCs/>
          <w:sz w:val="22"/>
          <w:szCs w:val="22"/>
          <w:lang w:val="es-ES"/>
        </w:rPr>
        <w:t xml:space="preserve">a fin de </w:t>
      </w:r>
      <w:r w:rsidRPr="00775AE5">
        <w:rPr>
          <w:rFonts w:ascii="Arial" w:hAnsi="Arial" w:cs="Arial"/>
          <w:bCs/>
          <w:sz w:val="22"/>
          <w:szCs w:val="22"/>
          <w:lang w:val="es-ES"/>
        </w:rPr>
        <w:t xml:space="preserve">realizar de manera oportuna el seguimiento y responder de forma adecuada al eje de protección de la Ley. </w:t>
      </w:r>
      <w:r w:rsidR="009F43CB" w:rsidRPr="00775AE5">
        <w:rPr>
          <w:rFonts w:ascii="Arial" w:hAnsi="Arial" w:cs="Arial"/>
          <w:bCs/>
          <w:sz w:val="22"/>
          <w:szCs w:val="22"/>
          <w:lang w:val="es-ES"/>
        </w:rPr>
        <w:t xml:space="preserve">Por tanto, </w:t>
      </w:r>
      <w:r w:rsidRPr="00775AE5">
        <w:rPr>
          <w:rFonts w:ascii="Arial" w:hAnsi="Arial" w:cs="Arial"/>
          <w:bCs/>
          <w:sz w:val="22"/>
          <w:szCs w:val="22"/>
          <w:lang w:val="es-ES"/>
        </w:rPr>
        <w:t xml:space="preserve">es necesario fortalecer a los entes de protección de derechos, entre esos a los Gobiernos Autónomos Descentralizados, para que puedan abordar de forma adecuada los casos de violencia, especialmente aquellos cantones de difícil acceso.   </w:t>
      </w:r>
    </w:p>
    <w:p w14:paraId="6820C890" w14:textId="77777777" w:rsidR="00E51563" w:rsidRPr="00775AE5" w:rsidRDefault="00E51563"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 xml:space="preserve"> </w:t>
      </w:r>
    </w:p>
    <w:p w14:paraId="4CBB273C" w14:textId="77777777" w:rsidR="00E51563" w:rsidRPr="00775AE5" w:rsidRDefault="00E51563"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Para la con</w:t>
      </w:r>
      <w:r w:rsidR="009F43CB" w:rsidRPr="00775AE5">
        <w:rPr>
          <w:rFonts w:ascii="Arial" w:hAnsi="Arial" w:cs="Arial"/>
          <w:bCs/>
          <w:sz w:val="22"/>
          <w:szCs w:val="22"/>
          <w:lang w:val="es-ES"/>
        </w:rPr>
        <w:t>strucción de estadísticas la Defensoría</w:t>
      </w:r>
      <w:r w:rsidRPr="00775AE5">
        <w:rPr>
          <w:rFonts w:ascii="Arial" w:hAnsi="Arial" w:cs="Arial"/>
          <w:bCs/>
          <w:sz w:val="22"/>
          <w:szCs w:val="22"/>
          <w:lang w:val="es-ES"/>
        </w:rPr>
        <w:t xml:space="preserve"> cuenta con </w:t>
      </w:r>
      <w:r w:rsidR="006C742E" w:rsidRPr="00775AE5">
        <w:rPr>
          <w:rFonts w:ascii="Arial" w:hAnsi="Arial" w:cs="Arial"/>
          <w:bCs/>
          <w:sz w:val="22"/>
          <w:szCs w:val="22"/>
          <w:lang w:val="es-ES"/>
        </w:rPr>
        <w:t xml:space="preserve">el </w:t>
      </w:r>
      <w:r w:rsidRPr="00775AE5">
        <w:rPr>
          <w:rFonts w:ascii="Arial" w:hAnsi="Arial" w:cs="Arial"/>
          <w:bCs/>
          <w:sz w:val="22"/>
          <w:szCs w:val="22"/>
          <w:lang w:val="es-ES"/>
        </w:rPr>
        <w:t>Sistema de Gestión Defensorial-SIGED, mismo que permite registrar los casos y peticiones presentadas con la respectiva documentación de respaldo, de esta manera se ha generado una estadística institucional en territorio, hasta la construcción del Registros Único de Violencia.</w:t>
      </w:r>
    </w:p>
    <w:p w14:paraId="42DD0A5B" w14:textId="77777777" w:rsidR="00E51563" w:rsidRPr="00775AE5" w:rsidRDefault="00E51563" w:rsidP="00390DF2">
      <w:pPr>
        <w:pStyle w:val="Header"/>
        <w:spacing w:line="276" w:lineRule="auto"/>
        <w:rPr>
          <w:rFonts w:ascii="Arial" w:hAnsi="Arial" w:cs="Arial"/>
          <w:bCs/>
          <w:sz w:val="22"/>
          <w:szCs w:val="22"/>
          <w:lang w:val="es-ES"/>
        </w:rPr>
      </w:pPr>
    </w:p>
    <w:p w14:paraId="34E30B91" w14:textId="77777777" w:rsidR="00E51563" w:rsidRPr="00775AE5" w:rsidRDefault="006C742E"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Por otra parte, la Defensoría del Pueblo</w:t>
      </w:r>
      <w:r w:rsidR="00E51563" w:rsidRPr="00775AE5">
        <w:rPr>
          <w:rFonts w:ascii="Arial" w:hAnsi="Arial" w:cs="Arial"/>
          <w:bCs/>
          <w:sz w:val="22"/>
          <w:szCs w:val="22"/>
          <w:lang w:val="es-ES"/>
        </w:rPr>
        <w:t xml:space="preserve"> ha realizado investigaciones defensoriales y ha dictado resoluciones para que se continúe atendiendo las denuncias por violencia contra las mujeres y que desplieguen acciones de prevención y se tomen medidas adecuadas. Ha generado proceso de asesoría y acompañamiento a víctimas de violencia. Por otra parte, la</w:t>
      </w:r>
      <w:r w:rsidRPr="00775AE5">
        <w:rPr>
          <w:rFonts w:ascii="Arial" w:hAnsi="Arial" w:cs="Arial"/>
          <w:bCs/>
          <w:sz w:val="22"/>
          <w:szCs w:val="22"/>
          <w:lang w:val="es-ES"/>
        </w:rPr>
        <w:t xml:space="preserve"> Defensoría del Pueblo</w:t>
      </w:r>
      <w:r w:rsidR="00E51563" w:rsidRPr="00775AE5">
        <w:rPr>
          <w:rFonts w:ascii="Arial" w:hAnsi="Arial" w:cs="Arial"/>
          <w:bCs/>
          <w:sz w:val="22"/>
          <w:szCs w:val="22"/>
          <w:lang w:val="es-ES"/>
        </w:rPr>
        <w:t xml:space="preserve"> ha dado seguimiento a la vigilancia del debido proceso y apoyado a familiares del caso AMPETRA y dictado resoluciones sobre los concursos de belleza “Niña Ecuador”.</w:t>
      </w:r>
    </w:p>
    <w:p w14:paraId="053F9099" w14:textId="77777777" w:rsidR="00E51563" w:rsidRPr="00775AE5" w:rsidRDefault="00E51563" w:rsidP="00390DF2">
      <w:pPr>
        <w:pStyle w:val="Header"/>
        <w:spacing w:line="276" w:lineRule="auto"/>
        <w:rPr>
          <w:rFonts w:ascii="Arial" w:hAnsi="Arial" w:cs="Arial"/>
          <w:bCs/>
          <w:sz w:val="22"/>
          <w:szCs w:val="22"/>
          <w:lang w:val="es-ES"/>
        </w:rPr>
      </w:pPr>
    </w:p>
    <w:p w14:paraId="729AE5AA" w14:textId="77777777" w:rsidR="00E51563" w:rsidRPr="00775AE5" w:rsidRDefault="009F43CB"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 xml:space="preserve">Cabe señalar </w:t>
      </w:r>
      <w:r w:rsidR="00E51563" w:rsidRPr="00775AE5">
        <w:rPr>
          <w:rFonts w:ascii="Arial" w:hAnsi="Arial" w:cs="Arial"/>
          <w:bCs/>
          <w:sz w:val="22"/>
          <w:szCs w:val="22"/>
          <w:lang w:val="es-ES"/>
        </w:rPr>
        <w:t>que desde 2018 se ha trabajado en una propuesta para la implementación del proyecto “Fortalecimiento del enfoque de géner</w:t>
      </w:r>
      <w:r w:rsidR="006C742E" w:rsidRPr="00775AE5">
        <w:rPr>
          <w:rFonts w:ascii="Arial" w:hAnsi="Arial" w:cs="Arial"/>
          <w:bCs/>
          <w:sz w:val="22"/>
          <w:szCs w:val="22"/>
          <w:lang w:val="es-ES"/>
        </w:rPr>
        <w:t>o en la Defensoría del Pueblo</w:t>
      </w:r>
      <w:r w:rsidR="00E51563" w:rsidRPr="00775AE5">
        <w:rPr>
          <w:rFonts w:ascii="Arial" w:hAnsi="Arial" w:cs="Arial"/>
          <w:bCs/>
          <w:sz w:val="22"/>
          <w:szCs w:val="22"/>
          <w:lang w:val="es-ES"/>
        </w:rPr>
        <w:t xml:space="preserve">”, en el marco de las atribuciones con respecto a la LOIPEVM y la Comisión AAMPETRA. La propuesta tiene el objetivo de explicar la importancia del reconocimiento de los derechos humanos con perspectiva de género; así como, generar reflexión sobre las estructuras de poder desiguales que se construyen con base en el binarismo del sistema de sexo/género y las desigualdades y violencia que eso conlleva en la vida de las personas y en el ejercicio de sus derechos, especialmente de las mujeres. </w:t>
      </w:r>
    </w:p>
    <w:p w14:paraId="3B69B1C7" w14:textId="77777777" w:rsidR="00E51563" w:rsidRPr="00775AE5" w:rsidRDefault="00E51563" w:rsidP="00390DF2">
      <w:pPr>
        <w:pStyle w:val="Header"/>
        <w:spacing w:line="276" w:lineRule="auto"/>
        <w:rPr>
          <w:rFonts w:ascii="Arial" w:hAnsi="Arial" w:cs="Arial"/>
          <w:bCs/>
          <w:sz w:val="22"/>
          <w:szCs w:val="22"/>
          <w:lang w:val="es-ES"/>
        </w:rPr>
      </w:pPr>
    </w:p>
    <w:p w14:paraId="60D6056B" w14:textId="77777777" w:rsidR="00E51563" w:rsidRPr="00775AE5" w:rsidRDefault="006C742E" w:rsidP="00390DF2">
      <w:pPr>
        <w:pStyle w:val="Header"/>
        <w:spacing w:line="276" w:lineRule="auto"/>
        <w:jc w:val="both"/>
        <w:rPr>
          <w:rFonts w:ascii="Arial" w:eastAsia="Calibri" w:hAnsi="Arial" w:cs="Arial"/>
          <w:sz w:val="22"/>
          <w:szCs w:val="22"/>
          <w:lang w:val="es-ES"/>
        </w:rPr>
      </w:pPr>
      <w:r w:rsidRPr="00775AE5">
        <w:rPr>
          <w:rFonts w:ascii="Arial" w:hAnsi="Arial" w:cs="Arial"/>
          <w:bCs/>
          <w:sz w:val="22"/>
          <w:szCs w:val="22"/>
          <w:lang w:val="es-ES"/>
        </w:rPr>
        <w:t xml:space="preserve">De otro lado, </w:t>
      </w:r>
      <w:r w:rsidR="00E51563" w:rsidRPr="00775AE5">
        <w:rPr>
          <w:rFonts w:ascii="Arial" w:hAnsi="Arial" w:cs="Arial"/>
          <w:bCs/>
          <w:sz w:val="22"/>
          <w:szCs w:val="22"/>
          <w:lang w:val="es-ES"/>
        </w:rPr>
        <w:t xml:space="preserve">la Ley Orgánica de Discapacidades otorgó a </w:t>
      </w:r>
      <w:r w:rsidRPr="00775AE5">
        <w:rPr>
          <w:rFonts w:ascii="Arial" w:hAnsi="Arial" w:cs="Arial"/>
          <w:bCs/>
          <w:sz w:val="22"/>
          <w:szCs w:val="22"/>
          <w:lang w:val="es-ES"/>
        </w:rPr>
        <w:t xml:space="preserve">la Defensoría del Pueblo </w:t>
      </w:r>
      <w:r w:rsidR="00E51563" w:rsidRPr="00775AE5">
        <w:rPr>
          <w:rFonts w:ascii="Arial" w:hAnsi="Arial" w:cs="Arial"/>
          <w:bCs/>
          <w:sz w:val="22"/>
          <w:szCs w:val="22"/>
          <w:lang w:val="es-ES"/>
        </w:rPr>
        <w:t xml:space="preserve">competencias de protección en favor de las personas con discapacidad, en este contexto, se trabajó con mujeres beneficiarias de las medidas de protección, donde se encontraron vulneraciones de derechos como: casos de violencia sexual antes de llegar a las casas de acogida, casos de esterilización de mujeres sin su consentimiento y violencia patrimonial hacia mujeres que no pueden administrar los recursos debido a su discapacidad. </w:t>
      </w:r>
      <w:r w:rsidR="00E51563" w:rsidRPr="00775AE5">
        <w:rPr>
          <w:rFonts w:ascii="Arial" w:eastAsia="Calibri" w:hAnsi="Arial" w:cs="Arial"/>
          <w:sz w:val="22"/>
          <w:szCs w:val="22"/>
          <w:lang w:val="es-ES"/>
        </w:rPr>
        <w:t>De igual forma, la falta de acceso a aborto no punible para mujeres con discapacidad presenta dificultades para acceso al servicio de salud, motivo por el cual, la Defensoría del Pueblo ha realizado “acciones oficiosas” para que las mujeres reciban atención de salud en estos casos.</w:t>
      </w:r>
    </w:p>
    <w:p w14:paraId="0D9AC9D1" w14:textId="77777777" w:rsidR="00E51563" w:rsidRPr="00775AE5" w:rsidRDefault="00E51563" w:rsidP="00390DF2">
      <w:pPr>
        <w:pStyle w:val="Header"/>
        <w:spacing w:line="276" w:lineRule="auto"/>
        <w:rPr>
          <w:rFonts w:ascii="Arial" w:hAnsi="Arial" w:cs="Arial"/>
          <w:bCs/>
          <w:sz w:val="22"/>
          <w:szCs w:val="22"/>
          <w:lang w:val="es-ES"/>
        </w:rPr>
      </w:pPr>
    </w:p>
    <w:p w14:paraId="063D18A4" w14:textId="77777777" w:rsidR="00E51563" w:rsidRPr="00775AE5" w:rsidRDefault="006C742E"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 xml:space="preserve">Igualmente, la Defensoría del Pueblo </w:t>
      </w:r>
      <w:r w:rsidR="00E51563" w:rsidRPr="00775AE5">
        <w:rPr>
          <w:rFonts w:ascii="Arial" w:hAnsi="Arial" w:cs="Arial"/>
          <w:bCs/>
          <w:sz w:val="22"/>
          <w:szCs w:val="22"/>
          <w:lang w:val="es-ES"/>
        </w:rPr>
        <w:t xml:space="preserve">ha generado alertas y exhortos al Gobierno nacional solicitando medidas para prevenir y proteger la violencia de género en diferentes contextos, como ha sido el caso de la pandemia y otros casos de violencia sexual que se han presentado desde la creación del Mecanismo. </w:t>
      </w:r>
    </w:p>
    <w:p w14:paraId="70E70A84" w14:textId="77777777" w:rsidR="003C2926" w:rsidRPr="00775AE5" w:rsidRDefault="003C2926" w:rsidP="00390DF2">
      <w:pPr>
        <w:pStyle w:val="Header"/>
        <w:spacing w:line="276" w:lineRule="auto"/>
        <w:rPr>
          <w:rFonts w:ascii="Arial" w:hAnsi="Arial" w:cs="Arial"/>
          <w:sz w:val="22"/>
          <w:szCs w:val="22"/>
          <w:lang w:val="es-ES" w:eastAsia="es-EC"/>
        </w:rPr>
      </w:pPr>
    </w:p>
    <w:p w14:paraId="6A8B59F8" w14:textId="77777777" w:rsidR="003C2926" w:rsidRPr="00775AE5" w:rsidRDefault="003C2926" w:rsidP="00390DF2">
      <w:pPr>
        <w:pStyle w:val="Header"/>
        <w:spacing w:line="276" w:lineRule="auto"/>
        <w:jc w:val="both"/>
        <w:rPr>
          <w:rFonts w:ascii="Arial" w:hAnsi="Arial" w:cs="Arial"/>
          <w:bCs/>
          <w:sz w:val="22"/>
          <w:szCs w:val="22"/>
          <w:lang w:val="es-ES"/>
        </w:rPr>
      </w:pPr>
      <w:r w:rsidRPr="00775AE5">
        <w:rPr>
          <w:rFonts w:ascii="Arial" w:hAnsi="Arial" w:cs="Arial"/>
          <w:color w:val="000000"/>
          <w:sz w:val="22"/>
          <w:szCs w:val="22"/>
          <w:lang w:val="es-ES"/>
        </w:rPr>
        <w:t xml:space="preserve">Otro de los problemas que se han encontrado en la aplicación de la Ley, es que, si bien en un inició el Estado otorgó el presupuesto para impulsar la LOIPEVCM, y a pesar que los artículos 1 y 5 de la misma dispone que se deben adoptar todas las medidas políticas, legislativas, judiciales, administrativas y de cualquier otra índole que sean necesarias para el cumplimento de la Ley, en el 2020, </w:t>
      </w:r>
      <w:r w:rsidRPr="00775AE5">
        <w:rPr>
          <w:rFonts w:ascii="Arial" w:hAnsi="Arial" w:cs="Arial"/>
          <w:bCs/>
          <w:sz w:val="22"/>
          <w:szCs w:val="22"/>
          <w:lang w:val="es-ES"/>
        </w:rPr>
        <w:t xml:space="preserve">el Estado Ecuatoriano ha reducido el presupuesto destinado a esta Ley en un 84%, para dicho año, se esperaba tener un presupuesto de USD 5´408.561 y se redujo a USD 876.862, lo cual dificulta gravemente la implementación de todas las acciones institucionales para cumplir con el objetivo de erradicar la violencia basada en género. </w:t>
      </w:r>
    </w:p>
    <w:p w14:paraId="7F076E35" w14:textId="77777777" w:rsidR="003C2926" w:rsidRPr="00775AE5" w:rsidRDefault="003C2926" w:rsidP="00390DF2">
      <w:pPr>
        <w:pStyle w:val="Header"/>
        <w:spacing w:line="276" w:lineRule="auto"/>
        <w:rPr>
          <w:rFonts w:ascii="Arial" w:hAnsi="Arial" w:cs="Arial"/>
          <w:bCs/>
          <w:sz w:val="22"/>
          <w:szCs w:val="22"/>
          <w:lang w:val="es-ES"/>
        </w:rPr>
      </w:pPr>
    </w:p>
    <w:p w14:paraId="5B1BF5C4" w14:textId="77777777" w:rsidR="003C2926" w:rsidRPr="00775AE5" w:rsidRDefault="003C2926"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 xml:space="preserve">La falta de presupuesto genera una serie de limitaciones para la correcta aplicación de la Ley, como es un problema que ya existía desde la creación de la misma, y es la falta de contratación de profesionales especializados en el tema, que limita la adecuada atención y plena realización de los 4 ejes de la Ley.  </w:t>
      </w:r>
      <w:r w:rsidR="00D11D3F" w:rsidRPr="00775AE5">
        <w:rPr>
          <w:rFonts w:ascii="Arial" w:hAnsi="Arial" w:cs="Arial"/>
          <w:bCs/>
          <w:sz w:val="22"/>
          <w:szCs w:val="22"/>
          <w:lang w:val="es-ES"/>
        </w:rPr>
        <w:t xml:space="preserve">Esta </w:t>
      </w:r>
      <w:r w:rsidRPr="00775AE5">
        <w:rPr>
          <w:rFonts w:ascii="Arial" w:hAnsi="Arial" w:cs="Arial"/>
          <w:bCs/>
          <w:sz w:val="22"/>
          <w:szCs w:val="22"/>
          <w:lang w:val="es-ES"/>
        </w:rPr>
        <w:t xml:space="preserve">falta de presupuesto también se refleja en que la mayoría de </w:t>
      </w:r>
      <w:r w:rsidR="00797357" w:rsidRPr="00775AE5">
        <w:rPr>
          <w:rFonts w:ascii="Arial" w:hAnsi="Arial" w:cs="Arial"/>
          <w:bCs/>
          <w:sz w:val="22"/>
          <w:szCs w:val="22"/>
          <w:lang w:val="es-ES"/>
        </w:rPr>
        <w:t>las instituciones</w:t>
      </w:r>
      <w:r w:rsidRPr="00775AE5">
        <w:rPr>
          <w:rFonts w:ascii="Arial" w:hAnsi="Arial" w:cs="Arial"/>
          <w:sz w:val="22"/>
          <w:szCs w:val="22"/>
          <w:lang w:val="es-ES"/>
        </w:rPr>
        <w:t xml:space="preserve"> del SNIPEVM no cuentan con presupuestos específicos destinados a la prevención y erradicación de la violencia de género, lo cual es fundamental para generar políticas de igualdad. </w:t>
      </w:r>
      <w:r w:rsidR="00D11D3F" w:rsidRPr="00775AE5">
        <w:rPr>
          <w:rFonts w:ascii="Arial" w:hAnsi="Arial" w:cs="Arial"/>
          <w:sz w:val="22"/>
          <w:szCs w:val="22"/>
          <w:lang w:val="es-ES"/>
        </w:rPr>
        <w:t xml:space="preserve">Así mismo se evidencia </w:t>
      </w:r>
      <w:r w:rsidRPr="00775AE5">
        <w:rPr>
          <w:rFonts w:ascii="Arial" w:hAnsi="Arial" w:cs="Arial"/>
          <w:sz w:val="22"/>
          <w:szCs w:val="22"/>
          <w:lang w:val="es-ES"/>
        </w:rPr>
        <w:t xml:space="preserve">la ausencia de enfoque basado en derechos humanos y de género en instituciones públicas, lo </w:t>
      </w:r>
      <w:r w:rsidR="00797357" w:rsidRPr="00775AE5">
        <w:rPr>
          <w:rFonts w:ascii="Arial" w:hAnsi="Arial" w:cs="Arial"/>
          <w:sz w:val="22"/>
          <w:szCs w:val="22"/>
          <w:lang w:val="es-ES"/>
        </w:rPr>
        <w:t>que,</w:t>
      </w:r>
      <w:r w:rsidRPr="00775AE5">
        <w:rPr>
          <w:rFonts w:ascii="Arial" w:hAnsi="Arial" w:cs="Arial"/>
          <w:sz w:val="22"/>
          <w:szCs w:val="22"/>
          <w:lang w:val="es-ES"/>
        </w:rPr>
        <w:t xml:space="preserve"> a su vez, genera que, dentro de las instituciones se reproduzcan patrones estructurales de violencia. Esto a su vez, demanda una necesidad de capacitación en temas de género, no solo a las personas que trabajan directamente con las víctimas, sino a todas las personas que trabajan en el Estado, especialmente a aquellas unidades de planificación y presupuesto, mismas que deben conocer sobre el Clasificador Orientador del Gasto en Políticas de Igualdad de Género, sobre el gasto corriente destinado a la promoción de la igualdad y a la prevención y erradicación de la violencia basada en género y de contar con</w:t>
      </w:r>
      <w:r w:rsidRPr="00775AE5">
        <w:rPr>
          <w:rFonts w:ascii="Arial" w:hAnsi="Arial" w:cs="Arial"/>
          <w:bCs/>
          <w:sz w:val="22"/>
          <w:szCs w:val="22"/>
          <w:lang w:val="es-ES"/>
        </w:rPr>
        <w:t xml:space="preserve"> indicadores que tienen que ser medidos con enfoque de género y de derechos humanos, de forma tal, que se pueda analizar, monitorear, hacer seguimiento y construir informes y políticas públicas que generen una lectura integral de las situaciones y contextos donde se genera violencia basada en género. </w:t>
      </w:r>
    </w:p>
    <w:p w14:paraId="5AB04CA0" w14:textId="77777777" w:rsidR="003C2926" w:rsidRPr="00775AE5" w:rsidRDefault="003C2926" w:rsidP="00390DF2">
      <w:pPr>
        <w:pStyle w:val="Header"/>
        <w:spacing w:line="276" w:lineRule="auto"/>
        <w:rPr>
          <w:rFonts w:ascii="Arial" w:hAnsi="Arial" w:cs="Arial"/>
          <w:bCs/>
          <w:sz w:val="22"/>
          <w:szCs w:val="22"/>
          <w:lang w:val="es-ES"/>
        </w:rPr>
      </w:pPr>
    </w:p>
    <w:p w14:paraId="38786999" w14:textId="77777777" w:rsidR="003C2926" w:rsidRPr="00775AE5" w:rsidRDefault="003C2926"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 xml:space="preserve">La limitación del presupuesto, por ejemplo, ha afectado a los sistemas de protección y apoyo de que disponen las víctimas, como es al funcionamiento de las Casas de Acogida, que ya de por sí no eran suficientes y no existían en los 221 cantones, debido a la falta de transferencias monetarias desde los Ministerios correspondientes hacia las instituciones que las dirigen, como por ejemplo el caso de la Casa de Acogida de </w:t>
      </w:r>
      <w:r w:rsidRPr="00775AE5">
        <w:rPr>
          <w:rFonts w:ascii="Arial" w:hAnsi="Arial" w:cs="Arial"/>
          <w:sz w:val="22"/>
          <w:szCs w:val="22"/>
          <w:lang w:val="es-ES"/>
        </w:rPr>
        <w:t>para mujeres víctimas de violencia del cantón Sucre, provincia de Manabí, misma que dejo de recibir durante 7 meses el valor adeudado para su optimo funcionamiento</w:t>
      </w:r>
      <w:r w:rsidRPr="00775AE5">
        <w:rPr>
          <w:rFonts w:ascii="Arial" w:hAnsi="Arial" w:cs="Arial"/>
          <w:bCs/>
          <w:sz w:val="22"/>
          <w:szCs w:val="22"/>
          <w:lang w:val="es-ES"/>
        </w:rPr>
        <w:t xml:space="preserve">.  </w:t>
      </w:r>
    </w:p>
    <w:p w14:paraId="7E77D364" w14:textId="77777777" w:rsidR="003C2926" w:rsidRPr="00775AE5" w:rsidRDefault="003C2926" w:rsidP="00390DF2">
      <w:pPr>
        <w:pStyle w:val="Header"/>
        <w:spacing w:line="276" w:lineRule="auto"/>
        <w:rPr>
          <w:rFonts w:ascii="Arial" w:hAnsi="Arial" w:cs="Arial"/>
          <w:bCs/>
          <w:sz w:val="22"/>
          <w:szCs w:val="22"/>
          <w:lang w:val="es-ES"/>
        </w:rPr>
      </w:pPr>
    </w:p>
    <w:p w14:paraId="55F5A81A" w14:textId="77777777" w:rsidR="003C2926" w:rsidRPr="00775AE5" w:rsidRDefault="003C2926" w:rsidP="00390DF2">
      <w:pPr>
        <w:pStyle w:val="Header"/>
        <w:spacing w:line="276" w:lineRule="auto"/>
        <w:jc w:val="both"/>
        <w:rPr>
          <w:rFonts w:ascii="Arial" w:hAnsi="Arial" w:cs="Arial"/>
          <w:sz w:val="22"/>
          <w:szCs w:val="22"/>
          <w:lang w:val="es-ES"/>
        </w:rPr>
      </w:pPr>
      <w:r w:rsidRPr="00775AE5">
        <w:rPr>
          <w:rFonts w:ascii="Arial" w:hAnsi="Arial" w:cs="Arial"/>
          <w:sz w:val="22"/>
          <w:szCs w:val="22"/>
          <w:lang w:val="es-ES"/>
        </w:rPr>
        <w:t xml:space="preserve">La LOIPEVCM, establece que el Estado es responsable de garantizar el derecho de las mujeres a una vida libre de violencia, con lo cual, a través de todos los niveles de gobierno, tiene las obligaciones ineludibles de promover, proteger, garantizar y respetar los derechos humanos de las mujeres. Por su parte, dicha Ley, dispone también que, la obligación de protección buscará garantizar la integridad y seguridad de las mujeres víctimas de violencia, para lo cual se dispondrá de la activación de servicios de protección como casas de acogimiento temporal. La falta de pago a servicios de acogimiento que brindan protección a mujeres víctimas de violencia no solo podría resultar en una vulneración a los derechos de las mujeres, sino que pondría en un grave riesgo a la vida de </w:t>
      </w:r>
      <w:r w:rsidR="00B42D8B" w:rsidRPr="00775AE5">
        <w:rPr>
          <w:rFonts w:ascii="Arial" w:hAnsi="Arial" w:cs="Arial"/>
          <w:sz w:val="22"/>
          <w:szCs w:val="22"/>
          <w:lang w:val="es-ES"/>
        </w:rPr>
        <w:t>estas</w:t>
      </w:r>
      <w:r w:rsidRPr="00775AE5">
        <w:rPr>
          <w:rFonts w:ascii="Arial" w:hAnsi="Arial" w:cs="Arial"/>
          <w:sz w:val="22"/>
          <w:szCs w:val="22"/>
          <w:lang w:val="es-ES"/>
        </w:rPr>
        <w:t xml:space="preserve">, cuya responsabilidad recaería sobre el Estado. </w:t>
      </w:r>
    </w:p>
    <w:p w14:paraId="4C3EC230" w14:textId="77777777" w:rsidR="003C2926" w:rsidRPr="00775AE5" w:rsidRDefault="003C2926" w:rsidP="00390DF2">
      <w:pPr>
        <w:pStyle w:val="Header"/>
        <w:spacing w:line="276" w:lineRule="auto"/>
        <w:rPr>
          <w:rFonts w:ascii="Arial" w:hAnsi="Arial" w:cs="Arial"/>
          <w:sz w:val="22"/>
          <w:szCs w:val="22"/>
          <w:lang w:val="es-ES"/>
        </w:rPr>
      </w:pPr>
    </w:p>
    <w:p w14:paraId="1EAC95FD" w14:textId="77777777" w:rsidR="003C2926" w:rsidRPr="00775AE5" w:rsidRDefault="003C2926" w:rsidP="00390DF2">
      <w:pPr>
        <w:pStyle w:val="Header"/>
        <w:spacing w:line="276" w:lineRule="auto"/>
        <w:jc w:val="both"/>
        <w:rPr>
          <w:rFonts w:ascii="Arial" w:hAnsi="Arial" w:cs="Arial"/>
          <w:bCs/>
          <w:sz w:val="22"/>
          <w:szCs w:val="22"/>
          <w:lang w:val="es-ES"/>
        </w:rPr>
      </w:pPr>
      <w:r w:rsidRPr="00775AE5">
        <w:rPr>
          <w:rFonts w:ascii="Arial" w:hAnsi="Arial" w:cs="Arial"/>
          <w:bCs/>
          <w:sz w:val="22"/>
          <w:szCs w:val="22"/>
          <w:lang w:val="es-ES"/>
        </w:rPr>
        <w:t>La merma en la asignación de recursos, situación q</w:t>
      </w:r>
      <w:r w:rsidR="006C742E" w:rsidRPr="00775AE5">
        <w:rPr>
          <w:rFonts w:ascii="Arial" w:hAnsi="Arial" w:cs="Arial"/>
          <w:bCs/>
          <w:sz w:val="22"/>
          <w:szCs w:val="22"/>
          <w:lang w:val="es-ES"/>
        </w:rPr>
        <w:t>ue ha sido denuncia por la Defensoría del Pueblo</w:t>
      </w:r>
      <w:r w:rsidRPr="00775AE5">
        <w:rPr>
          <w:rFonts w:ascii="Arial" w:hAnsi="Arial" w:cs="Arial"/>
          <w:bCs/>
          <w:sz w:val="22"/>
          <w:szCs w:val="22"/>
          <w:lang w:val="es-ES"/>
        </w:rPr>
        <w:t xml:space="preserve">, por el Consejo de Protección de Derechos de Quito, por medios de comunicación y por organizaciones de la sociedad civil, limita los servicios que prestan las Casas de Acogida, generando retroceso en los derechos humanos, especialmente de los grupos de personas que más necesitan. La recuperación de estos </w:t>
      </w:r>
      <w:r w:rsidR="00B42D8B" w:rsidRPr="00775AE5">
        <w:rPr>
          <w:rFonts w:ascii="Arial" w:hAnsi="Arial" w:cs="Arial"/>
          <w:bCs/>
          <w:sz w:val="22"/>
          <w:szCs w:val="22"/>
          <w:lang w:val="es-ES"/>
        </w:rPr>
        <w:t>espacios</w:t>
      </w:r>
      <w:r w:rsidRPr="00775AE5">
        <w:rPr>
          <w:rFonts w:ascii="Arial" w:hAnsi="Arial" w:cs="Arial"/>
          <w:bCs/>
          <w:sz w:val="22"/>
          <w:szCs w:val="22"/>
          <w:lang w:val="es-ES"/>
        </w:rPr>
        <w:t xml:space="preserve"> sea en un trabajo conjunto con instituciones privadas o públicas, es una deuda del Estado Ecuatoriano para la atención y el fortalecimiento de los sistemas de protección y porque dichos espacios han sido herramientas de respuesta eficaces y seguras para prevenir la violencia basada en género, especialmente los casos de femicidio. </w:t>
      </w:r>
    </w:p>
    <w:p w14:paraId="5E02C9A0" w14:textId="77777777" w:rsidR="003C2926" w:rsidRPr="00775AE5" w:rsidRDefault="003C2926" w:rsidP="00390DF2">
      <w:pPr>
        <w:pStyle w:val="Header"/>
        <w:spacing w:line="276" w:lineRule="auto"/>
        <w:rPr>
          <w:rFonts w:ascii="Arial" w:hAnsi="Arial" w:cs="Arial"/>
          <w:bCs/>
          <w:sz w:val="22"/>
          <w:szCs w:val="22"/>
          <w:lang w:val="es-ES"/>
        </w:rPr>
      </w:pPr>
    </w:p>
    <w:p w14:paraId="2BFDDA3D" w14:textId="77777777" w:rsidR="003C2926" w:rsidRPr="00775AE5" w:rsidRDefault="003C2926" w:rsidP="00390DF2">
      <w:pPr>
        <w:pStyle w:val="Header"/>
        <w:spacing w:line="276" w:lineRule="auto"/>
        <w:jc w:val="both"/>
        <w:rPr>
          <w:rFonts w:ascii="Arial" w:hAnsi="Arial" w:cs="Arial"/>
          <w:sz w:val="22"/>
          <w:szCs w:val="22"/>
          <w:lang w:val="es-ES"/>
        </w:rPr>
      </w:pPr>
      <w:r w:rsidRPr="00775AE5">
        <w:rPr>
          <w:rFonts w:ascii="Arial" w:hAnsi="Arial" w:cs="Arial"/>
          <w:sz w:val="22"/>
          <w:szCs w:val="22"/>
          <w:lang w:val="es-ES"/>
        </w:rPr>
        <w:t>Es importante recalcar que uno de los grandes aportes de la Ley para acompañar a las mujeres a restablecer su proyecto de vida ha sido el otorgamiento de Medidas Administrativas de Protección de Derechos (</w:t>
      </w:r>
      <w:proofErr w:type="spellStart"/>
      <w:r w:rsidRPr="00775AE5">
        <w:rPr>
          <w:rFonts w:ascii="Arial" w:hAnsi="Arial" w:cs="Arial"/>
          <w:sz w:val="22"/>
          <w:szCs w:val="22"/>
          <w:lang w:val="es-ES"/>
        </w:rPr>
        <w:t>MAPs</w:t>
      </w:r>
      <w:proofErr w:type="spellEnd"/>
      <w:r w:rsidRPr="00775AE5">
        <w:rPr>
          <w:rFonts w:ascii="Arial" w:hAnsi="Arial" w:cs="Arial"/>
          <w:sz w:val="22"/>
          <w:szCs w:val="22"/>
          <w:lang w:val="es-ES"/>
        </w:rPr>
        <w:t xml:space="preserve">), no obstante, existe una falencia en las mismas ya que no todos los </w:t>
      </w:r>
      <w:proofErr w:type="spellStart"/>
      <w:r w:rsidRPr="00775AE5">
        <w:rPr>
          <w:rFonts w:ascii="Arial" w:hAnsi="Arial" w:cs="Arial"/>
          <w:sz w:val="22"/>
          <w:szCs w:val="22"/>
          <w:lang w:val="es-ES"/>
        </w:rPr>
        <w:t>GADs</w:t>
      </w:r>
      <w:proofErr w:type="spellEnd"/>
      <w:r w:rsidRPr="00775AE5">
        <w:rPr>
          <w:rFonts w:ascii="Arial" w:hAnsi="Arial" w:cs="Arial"/>
          <w:sz w:val="22"/>
          <w:szCs w:val="22"/>
          <w:lang w:val="es-ES"/>
        </w:rPr>
        <w:t xml:space="preserve"> tienen Juntas Cantonales de Protección de Derechos (JCPD) y a su vez, no todas las JCPD emiten </w:t>
      </w:r>
      <w:proofErr w:type="spellStart"/>
      <w:r w:rsidRPr="00775AE5">
        <w:rPr>
          <w:rFonts w:ascii="Arial" w:hAnsi="Arial" w:cs="Arial"/>
          <w:sz w:val="22"/>
          <w:szCs w:val="22"/>
          <w:lang w:val="es-ES"/>
        </w:rPr>
        <w:t>MAPs</w:t>
      </w:r>
      <w:proofErr w:type="spellEnd"/>
      <w:r w:rsidRPr="00775AE5">
        <w:rPr>
          <w:rFonts w:ascii="Arial" w:hAnsi="Arial" w:cs="Arial"/>
          <w:sz w:val="22"/>
          <w:szCs w:val="22"/>
          <w:lang w:val="es-ES"/>
        </w:rPr>
        <w:t xml:space="preserve">. Por lo cual, </w:t>
      </w:r>
      <w:r w:rsidR="00B42D8B" w:rsidRPr="00775AE5">
        <w:rPr>
          <w:rFonts w:ascii="Arial" w:hAnsi="Arial" w:cs="Arial"/>
          <w:sz w:val="22"/>
          <w:szCs w:val="22"/>
          <w:lang w:val="es-ES"/>
        </w:rPr>
        <w:t>a pesar de que</w:t>
      </w:r>
      <w:r w:rsidRPr="00775AE5">
        <w:rPr>
          <w:rFonts w:ascii="Arial" w:hAnsi="Arial" w:cs="Arial"/>
          <w:sz w:val="22"/>
          <w:szCs w:val="22"/>
          <w:lang w:val="es-ES"/>
        </w:rPr>
        <w:t xml:space="preserve"> estas falencias las asumen las Tenencias Políticas o las Comisarías Nacionales de Policía, en los lugares donde no hay JCPD, no todos los cantones cuentan con </w:t>
      </w:r>
      <w:proofErr w:type="spellStart"/>
      <w:r w:rsidRPr="00775AE5">
        <w:rPr>
          <w:rFonts w:ascii="Arial" w:hAnsi="Arial" w:cs="Arial"/>
          <w:sz w:val="22"/>
          <w:szCs w:val="22"/>
          <w:lang w:val="es-ES"/>
        </w:rPr>
        <w:t>MAPs</w:t>
      </w:r>
      <w:proofErr w:type="spellEnd"/>
      <w:r w:rsidRPr="00775AE5">
        <w:rPr>
          <w:rFonts w:ascii="Arial" w:hAnsi="Arial" w:cs="Arial"/>
          <w:sz w:val="22"/>
          <w:szCs w:val="22"/>
          <w:lang w:val="es-ES"/>
        </w:rPr>
        <w:t>. Por ejemplo, solo en la emergencia sanitaria, la D</w:t>
      </w:r>
      <w:r w:rsidR="00E96C08" w:rsidRPr="00775AE5">
        <w:rPr>
          <w:rFonts w:ascii="Arial" w:hAnsi="Arial" w:cs="Arial"/>
          <w:sz w:val="22"/>
          <w:szCs w:val="22"/>
          <w:lang w:val="es-ES"/>
        </w:rPr>
        <w:t>efensoría del Pueblo</w:t>
      </w:r>
      <w:r w:rsidRPr="00775AE5">
        <w:rPr>
          <w:rFonts w:ascii="Arial" w:hAnsi="Arial" w:cs="Arial"/>
          <w:sz w:val="22"/>
          <w:szCs w:val="22"/>
          <w:lang w:val="es-ES"/>
        </w:rPr>
        <w:t xml:space="preserve"> realizo un levantamiento de información </w:t>
      </w:r>
      <w:r w:rsidR="00E96C08" w:rsidRPr="00775AE5">
        <w:rPr>
          <w:rFonts w:ascii="Arial" w:hAnsi="Arial" w:cs="Arial"/>
          <w:sz w:val="22"/>
          <w:szCs w:val="22"/>
          <w:lang w:val="es-ES"/>
        </w:rPr>
        <w:t>sobre cuantas</w:t>
      </w:r>
      <w:r w:rsidRPr="00775AE5">
        <w:rPr>
          <w:rFonts w:ascii="Arial" w:hAnsi="Arial" w:cs="Arial"/>
          <w:sz w:val="22"/>
          <w:szCs w:val="22"/>
          <w:lang w:val="es-ES"/>
        </w:rPr>
        <w:t xml:space="preserve"> Juntas</w:t>
      </w:r>
      <w:r w:rsidR="001F3D59" w:rsidRPr="00775AE5">
        <w:rPr>
          <w:rFonts w:ascii="Arial" w:hAnsi="Arial" w:cs="Arial"/>
          <w:sz w:val="22"/>
          <w:szCs w:val="22"/>
          <w:lang w:val="es-ES"/>
        </w:rPr>
        <w:t xml:space="preserve"> </w:t>
      </w:r>
      <w:r w:rsidRPr="00775AE5">
        <w:rPr>
          <w:rFonts w:ascii="Arial" w:hAnsi="Arial" w:cs="Arial"/>
          <w:sz w:val="22"/>
          <w:szCs w:val="22"/>
          <w:lang w:val="es-ES"/>
        </w:rPr>
        <w:t>Cantonales de Protección de Derechos, Tenencias Políticas y Comisarías</w:t>
      </w:r>
      <w:r w:rsidR="00E96C08" w:rsidRPr="00775AE5">
        <w:rPr>
          <w:rFonts w:ascii="Arial" w:hAnsi="Arial" w:cs="Arial"/>
          <w:sz w:val="22"/>
          <w:szCs w:val="22"/>
          <w:lang w:val="es-ES"/>
        </w:rPr>
        <w:t xml:space="preserve"> </w:t>
      </w:r>
      <w:r w:rsidRPr="00775AE5">
        <w:rPr>
          <w:rFonts w:ascii="Arial" w:hAnsi="Arial" w:cs="Arial"/>
          <w:sz w:val="22"/>
          <w:szCs w:val="22"/>
          <w:lang w:val="es-ES"/>
        </w:rPr>
        <w:t>se encontraban activas dictando medidas administrativas de protección (</w:t>
      </w:r>
      <w:proofErr w:type="spellStart"/>
      <w:r w:rsidRPr="00775AE5">
        <w:rPr>
          <w:rFonts w:ascii="Arial" w:hAnsi="Arial" w:cs="Arial"/>
          <w:sz w:val="22"/>
          <w:szCs w:val="22"/>
          <w:lang w:val="es-ES"/>
        </w:rPr>
        <w:t>MAPs</w:t>
      </w:r>
      <w:proofErr w:type="spellEnd"/>
      <w:r w:rsidRPr="00775AE5">
        <w:rPr>
          <w:rFonts w:ascii="Arial" w:hAnsi="Arial" w:cs="Arial"/>
          <w:sz w:val="22"/>
          <w:szCs w:val="22"/>
          <w:lang w:val="es-ES"/>
        </w:rPr>
        <w:t>)</w:t>
      </w:r>
      <w:r w:rsidR="00E96C08" w:rsidRPr="00775AE5">
        <w:rPr>
          <w:rFonts w:ascii="Arial" w:hAnsi="Arial" w:cs="Arial"/>
          <w:sz w:val="22"/>
          <w:szCs w:val="22"/>
          <w:lang w:val="es-ES"/>
        </w:rPr>
        <w:t>, y se conoció que estas Juntas estaban activas en</w:t>
      </w:r>
      <w:r w:rsidRPr="00775AE5">
        <w:rPr>
          <w:rFonts w:ascii="Arial" w:hAnsi="Arial" w:cs="Arial"/>
          <w:sz w:val="22"/>
          <w:szCs w:val="22"/>
          <w:lang w:val="es-ES"/>
        </w:rPr>
        <w:t xml:space="preserve"> 124 cantones de un total de 221 cantones a nivel nacional.</w:t>
      </w:r>
    </w:p>
    <w:p w14:paraId="44AA2B34" w14:textId="77777777" w:rsidR="003C2926" w:rsidRPr="00775AE5" w:rsidRDefault="003C2926" w:rsidP="00390DF2">
      <w:pPr>
        <w:pStyle w:val="Header"/>
        <w:spacing w:line="276" w:lineRule="auto"/>
        <w:rPr>
          <w:rFonts w:ascii="Arial" w:hAnsi="Arial" w:cs="Arial"/>
          <w:sz w:val="22"/>
          <w:szCs w:val="22"/>
          <w:lang w:val="es-ES"/>
        </w:rPr>
      </w:pPr>
    </w:p>
    <w:p w14:paraId="4F4849F3" w14:textId="77777777" w:rsidR="003C2926" w:rsidRPr="00775AE5" w:rsidRDefault="003C2926" w:rsidP="00390DF2">
      <w:pPr>
        <w:pStyle w:val="Header"/>
        <w:spacing w:line="276" w:lineRule="auto"/>
        <w:jc w:val="both"/>
        <w:rPr>
          <w:rFonts w:ascii="Arial" w:hAnsi="Arial" w:cs="Arial"/>
          <w:color w:val="000000"/>
          <w:sz w:val="22"/>
          <w:szCs w:val="22"/>
          <w:lang w:val="es-ES"/>
        </w:rPr>
      </w:pPr>
      <w:r w:rsidRPr="00775AE5">
        <w:rPr>
          <w:rFonts w:ascii="Arial" w:hAnsi="Arial" w:cs="Arial"/>
          <w:color w:val="000000"/>
          <w:sz w:val="22"/>
          <w:szCs w:val="22"/>
          <w:lang w:val="es-ES"/>
        </w:rPr>
        <w:t xml:space="preserve">Otro de los problemas observados para la implementación de la Ley, es que, </w:t>
      </w:r>
      <w:r w:rsidR="00B42D8B" w:rsidRPr="00775AE5">
        <w:rPr>
          <w:rFonts w:ascii="Arial" w:hAnsi="Arial" w:cs="Arial"/>
          <w:color w:val="000000"/>
          <w:sz w:val="22"/>
          <w:szCs w:val="22"/>
          <w:lang w:val="es-ES"/>
        </w:rPr>
        <w:t>a pesar de que</w:t>
      </w:r>
      <w:r w:rsidRPr="00775AE5">
        <w:rPr>
          <w:rFonts w:ascii="Arial" w:hAnsi="Arial" w:cs="Arial"/>
          <w:color w:val="000000"/>
          <w:sz w:val="22"/>
          <w:szCs w:val="22"/>
          <w:lang w:val="es-ES"/>
        </w:rPr>
        <w:t xml:space="preserve"> se han generado espacios de capacitación a operadores de justicia, y se han creado planes y programas para </w:t>
      </w:r>
      <w:r w:rsidR="00E96C08" w:rsidRPr="00775AE5">
        <w:rPr>
          <w:rFonts w:ascii="Arial" w:hAnsi="Arial" w:cs="Arial"/>
          <w:color w:val="000000"/>
          <w:sz w:val="22"/>
          <w:szCs w:val="22"/>
          <w:lang w:val="es-ES"/>
        </w:rPr>
        <w:t xml:space="preserve">enfrentar </w:t>
      </w:r>
      <w:r w:rsidRPr="00775AE5">
        <w:rPr>
          <w:rFonts w:ascii="Arial" w:hAnsi="Arial" w:cs="Arial"/>
          <w:color w:val="000000"/>
          <w:sz w:val="22"/>
          <w:szCs w:val="22"/>
          <w:lang w:val="es-ES"/>
        </w:rPr>
        <w:t xml:space="preserve">la violencia contra las mujeres, como es el caso del fortalecimiento de la Función Judicial, con apoyo de organismo internacionales, todavía existen brechas y </w:t>
      </w:r>
      <w:r w:rsidRPr="00775AE5">
        <w:rPr>
          <w:rFonts w:ascii="Arial" w:hAnsi="Arial" w:cs="Arial"/>
          <w:sz w:val="22"/>
          <w:szCs w:val="22"/>
          <w:lang w:val="es-ES"/>
        </w:rPr>
        <w:t xml:space="preserve">ausencias en las rutas de denuncia y el acceso a justicia, que generan un sistema y una </w:t>
      </w:r>
      <w:r w:rsidRPr="00775AE5">
        <w:rPr>
          <w:rFonts w:ascii="Arial" w:hAnsi="Arial" w:cs="Arial"/>
          <w:color w:val="000000"/>
          <w:sz w:val="22"/>
          <w:szCs w:val="22"/>
          <w:lang w:val="es-ES"/>
        </w:rPr>
        <w:t xml:space="preserve">justicia </w:t>
      </w:r>
      <w:proofErr w:type="spellStart"/>
      <w:r w:rsidRPr="00775AE5">
        <w:rPr>
          <w:rFonts w:ascii="Arial" w:hAnsi="Arial" w:cs="Arial"/>
          <w:color w:val="000000"/>
          <w:sz w:val="22"/>
          <w:szCs w:val="22"/>
          <w:lang w:val="es-ES"/>
        </w:rPr>
        <w:t>revictimizante</w:t>
      </w:r>
      <w:proofErr w:type="spellEnd"/>
      <w:r w:rsidRPr="00775AE5">
        <w:rPr>
          <w:rFonts w:ascii="Arial" w:hAnsi="Arial" w:cs="Arial"/>
          <w:color w:val="000000"/>
          <w:sz w:val="22"/>
          <w:szCs w:val="22"/>
          <w:lang w:val="es-ES"/>
        </w:rPr>
        <w:t xml:space="preserve">. Muchas mujeres no saben </w:t>
      </w:r>
      <w:proofErr w:type="spellStart"/>
      <w:r w:rsidRPr="00775AE5">
        <w:rPr>
          <w:rFonts w:ascii="Arial" w:hAnsi="Arial" w:cs="Arial"/>
          <w:color w:val="000000"/>
          <w:sz w:val="22"/>
          <w:szCs w:val="22"/>
          <w:lang w:val="es-ES"/>
        </w:rPr>
        <w:t>como</w:t>
      </w:r>
      <w:proofErr w:type="spellEnd"/>
      <w:r w:rsidRPr="00775AE5">
        <w:rPr>
          <w:rFonts w:ascii="Arial" w:hAnsi="Arial" w:cs="Arial"/>
          <w:color w:val="000000"/>
          <w:sz w:val="22"/>
          <w:szCs w:val="22"/>
          <w:lang w:val="es-ES"/>
        </w:rPr>
        <w:t xml:space="preserve"> acceder a los servicios y cuando lo hacen, no cuentan con personal especializado ni con espacios adecuados para hacer las de</w:t>
      </w:r>
      <w:r w:rsidR="00E96C08" w:rsidRPr="00775AE5">
        <w:rPr>
          <w:rFonts w:ascii="Arial" w:hAnsi="Arial" w:cs="Arial"/>
          <w:color w:val="000000"/>
          <w:sz w:val="22"/>
          <w:szCs w:val="22"/>
          <w:lang w:val="es-ES"/>
        </w:rPr>
        <w:t>nuncias, sobre todo de casos de</w:t>
      </w:r>
      <w:r w:rsidRPr="00775AE5">
        <w:rPr>
          <w:rFonts w:ascii="Arial" w:hAnsi="Arial" w:cs="Arial"/>
          <w:color w:val="000000"/>
          <w:sz w:val="22"/>
          <w:szCs w:val="22"/>
          <w:lang w:val="es-ES"/>
        </w:rPr>
        <w:t xml:space="preserve"> violencia sexual. </w:t>
      </w:r>
    </w:p>
    <w:p w14:paraId="2349C3E0" w14:textId="77777777" w:rsidR="003C2926" w:rsidRPr="00775AE5" w:rsidRDefault="003C2926" w:rsidP="00390DF2">
      <w:pPr>
        <w:pStyle w:val="Header"/>
        <w:spacing w:line="276" w:lineRule="auto"/>
        <w:rPr>
          <w:rFonts w:ascii="Arial" w:hAnsi="Arial" w:cs="Arial"/>
          <w:color w:val="000000"/>
          <w:sz w:val="22"/>
          <w:szCs w:val="22"/>
          <w:lang w:val="es-ES"/>
        </w:rPr>
      </w:pPr>
    </w:p>
    <w:p w14:paraId="5FEC1E9F" w14:textId="77777777" w:rsidR="003C2926" w:rsidRPr="00775AE5" w:rsidRDefault="006C742E" w:rsidP="00390DF2">
      <w:pPr>
        <w:pStyle w:val="Header"/>
        <w:spacing w:line="276" w:lineRule="auto"/>
        <w:jc w:val="both"/>
        <w:rPr>
          <w:rFonts w:ascii="Arial" w:hAnsi="Arial" w:cs="Arial"/>
          <w:sz w:val="22"/>
          <w:szCs w:val="22"/>
          <w:lang w:val="es-ES"/>
        </w:rPr>
      </w:pPr>
      <w:r w:rsidRPr="00775AE5">
        <w:rPr>
          <w:rFonts w:ascii="Arial" w:hAnsi="Arial" w:cs="Arial"/>
          <w:bCs/>
          <w:sz w:val="22"/>
          <w:szCs w:val="22"/>
          <w:lang w:val="es-ES"/>
        </w:rPr>
        <w:t>A esto se suma, que el 31 de octubre de 2019, el Ejecutivo solicitó al Ministerio del Trabajo la revisión estructural de la Secretaría de Derechos Humanos, sin aplicar el enfoque de género para la no afectación presupuestaria de la implementación de la Ley, lo que podría comprometer aún más, la ejecución de los procesos encaminados para su implementación.</w:t>
      </w:r>
      <w:r w:rsidRPr="00775AE5">
        <w:rPr>
          <w:rStyle w:val="FootnoteReference"/>
          <w:rFonts w:ascii="Arial" w:hAnsi="Arial" w:cs="Arial"/>
          <w:bCs/>
          <w:sz w:val="22"/>
          <w:szCs w:val="22"/>
          <w:lang w:val="es-ES"/>
        </w:rPr>
        <w:footnoteReference w:id="3"/>
      </w:r>
      <w:r w:rsidRPr="00775AE5">
        <w:rPr>
          <w:rFonts w:ascii="Arial" w:hAnsi="Arial" w:cs="Arial"/>
          <w:bCs/>
          <w:sz w:val="22"/>
          <w:szCs w:val="22"/>
          <w:lang w:val="es-ES"/>
        </w:rPr>
        <w:t xml:space="preserve"> </w:t>
      </w:r>
      <w:r w:rsidR="003C2926" w:rsidRPr="00775AE5">
        <w:rPr>
          <w:rFonts w:ascii="Arial" w:hAnsi="Arial" w:cs="Arial"/>
          <w:bCs/>
          <w:sz w:val="22"/>
          <w:szCs w:val="22"/>
          <w:lang w:val="es-ES"/>
        </w:rPr>
        <w:t xml:space="preserve">Esto genera </w:t>
      </w:r>
      <w:r w:rsidRPr="00775AE5">
        <w:rPr>
          <w:rFonts w:ascii="Arial" w:hAnsi="Arial" w:cs="Arial"/>
          <w:sz w:val="22"/>
          <w:szCs w:val="22"/>
          <w:lang w:val="es-ES"/>
        </w:rPr>
        <w:t xml:space="preserve">otro grave problema como es </w:t>
      </w:r>
      <w:r w:rsidR="003C2926" w:rsidRPr="00775AE5">
        <w:rPr>
          <w:rFonts w:ascii="Arial" w:hAnsi="Arial" w:cs="Arial"/>
          <w:sz w:val="22"/>
          <w:szCs w:val="22"/>
          <w:lang w:val="es-ES"/>
        </w:rPr>
        <w:t xml:space="preserve">el debilitamiento institucional del ente rector, mismo que cuando se creó la Ley estaba a cargo del Ministerio de Justicia, Derechos Humanos y Cultos, y que en noviembre de 2018 pasó a ser la actual Secretaría de Derechos Humanos, </w:t>
      </w:r>
      <w:r w:rsidR="00CA085F" w:rsidRPr="00775AE5">
        <w:rPr>
          <w:rFonts w:ascii="Arial" w:hAnsi="Arial" w:cs="Arial"/>
          <w:sz w:val="22"/>
          <w:szCs w:val="22"/>
          <w:lang w:val="es-ES"/>
        </w:rPr>
        <w:t xml:space="preserve">y como se mencionó anteriormente </w:t>
      </w:r>
      <w:r w:rsidR="003C2926" w:rsidRPr="00775AE5">
        <w:rPr>
          <w:rFonts w:ascii="Arial" w:hAnsi="Arial" w:cs="Arial"/>
          <w:sz w:val="22"/>
          <w:szCs w:val="22"/>
          <w:lang w:val="es-ES"/>
        </w:rPr>
        <w:t xml:space="preserve">ha recibido un recorte presupuestario que afecta a la aplicación de la Ley. </w:t>
      </w:r>
    </w:p>
    <w:p w14:paraId="005FA716" w14:textId="77777777" w:rsidR="003C2926" w:rsidRPr="00775AE5" w:rsidRDefault="003C2926" w:rsidP="00390DF2">
      <w:pPr>
        <w:pStyle w:val="Header"/>
        <w:spacing w:line="276" w:lineRule="auto"/>
        <w:rPr>
          <w:rFonts w:ascii="Arial" w:hAnsi="Arial" w:cs="Arial"/>
          <w:color w:val="FF0000"/>
          <w:sz w:val="22"/>
          <w:szCs w:val="22"/>
          <w:lang w:val="es-ES"/>
        </w:rPr>
      </w:pPr>
    </w:p>
    <w:p w14:paraId="7099AAFD" w14:textId="77777777" w:rsidR="003C2926" w:rsidRPr="00775AE5" w:rsidRDefault="00CA085F" w:rsidP="00390DF2">
      <w:pPr>
        <w:pStyle w:val="SingleTxtG"/>
        <w:spacing w:after="0" w:line="276" w:lineRule="auto"/>
        <w:ind w:left="0" w:right="0"/>
        <w:jc w:val="both"/>
        <w:rPr>
          <w:rFonts w:ascii="Arial" w:hAnsi="Arial" w:cs="Arial"/>
          <w:color w:val="000000"/>
          <w:sz w:val="22"/>
          <w:szCs w:val="22"/>
          <w:lang w:eastAsia="es-EC"/>
        </w:rPr>
      </w:pPr>
      <w:r w:rsidRPr="00775AE5">
        <w:rPr>
          <w:rFonts w:ascii="Arial" w:hAnsi="Arial" w:cs="Arial"/>
          <w:color w:val="000000"/>
          <w:sz w:val="22"/>
          <w:szCs w:val="22"/>
          <w:lang w:eastAsia="es-EC"/>
        </w:rPr>
        <w:t xml:space="preserve">Respecto al </w:t>
      </w:r>
      <w:r w:rsidR="003C2926" w:rsidRPr="00775AE5">
        <w:rPr>
          <w:rFonts w:ascii="Arial" w:hAnsi="Arial" w:cs="Arial"/>
          <w:color w:val="000000"/>
          <w:sz w:val="22"/>
          <w:szCs w:val="22"/>
          <w:lang w:eastAsia="es-EC"/>
        </w:rPr>
        <w:t xml:space="preserve">eje de reparación, </w:t>
      </w:r>
      <w:r w:rsidRPr="00775AE5">
        <w:rPr>
          <w:rFonts w:ascii="Arial" w:hAnsi="Arial" w:cs="Arial"/>
          <w:color w:val="000000"/>
          <w:sz w:val="22"/>
          <w:szCs w:val="22"/>
          <w:lang w:eastAsia="es-EC"/>
        </w:rPr>
        <w:t xml:space="preserve">a pesar de que existen </w:t>
      </w:r>
      <w:r w:rsidR="003C2926" w:rsidRPr="00775AE5">
        <w:rPr>
          <w:rFonts w:ascii="Arial" w:hAnsi="Arial" w:cs="Arial"/>
          <w:color w:val="000000"/>
          <w:sz w:val="22"/>
          <w:szCs w:val="22"/>
          <w:lang w:eastAsia="es-EC"/>
        </w:rPr>
        <w:t xml:space="preserve">medidas de </w:t>
      </w:r>
      <w:r w:rsidR="00553DB9" w:rsidRPr="00775AE5">
        <w:rPr>
          <w:rFonts w:ascii="Arial" w:hAnsi="Arial" w:cs="Arial"/>
          <w:color w:val="000000"/>
          <w:sz w:val="22"/>
          <w:szCs w:val="22"/>
          <w:lang w:eastAsia="es-EC"/>
        </w:rPr>
        <w:t>reparación igual de importantes</w:t>
      </w:r>
      <w:r w:rsidR="003C2926" w:rsidRPr="00775AE5">
        <w:rPr>
          <w:rFonts w:ascii="Arial" w:hAnsi="Arial" w:cs="Arial"/>
          <w:color w:val="000000"/>
          <w:sz w:val="22"/>
          <w:szCs w:val="22"/>
          <w:lang w:eastAsia="es-EC"/>
        </w:rPr>
        <w:t xml:space="preserve"> como son las garantías de no repetición</w:t>
      </w:r>
      <w:r w:rsidRPr="00775AE5">
        <w:rPr>
          <w:rFonts w:ascii="Arial" w:hAnsi="Arial" w:cs="Arial"/>
          <w:color w:val="000000"/>
          <w:sz w:val="22"/>
          <w:szCs w:val="22"/>
          <w:lang w:eastAsia="es-EC"/>
        </w:rPr>
        <w:t>, consideramos que este</w:t>
      </w:r>
      <w:r w:rsidR="003C2926" w:rsidRPr="00775AE5">
        <w:rPr>
          <w:rFonts w:ascii="Arial" w:hAnsi="Arial" w:cs="Arial"/>
          <w:color w:val="000000"/>
          <w:sz w:val="22"/>
          <w:szCs w:val="22"/>
          <w:lang w:eastAsia="es-EC"/>
        </w:rPr>
        <w:t xml:space="preserve"> eje debe ser fortalecido con capacitaciones sobre qué significa la reparación integral y cómo aplicarla con enfoque de género. </w:t>
      </w:r>
    </w:p>
    <w:p w14:paraId="5241AE5C" w14:textId="77777777" w:rsidR="003C2926" w:rsidRPr="00775AE5" w:rsidRDefault="003C2926" w:rsidP="00390DF2">
      <w:pPr>
        <w:pStyle w:val="SingleTxtG"/>
        <w:spacing w:after="0" w:line="276" w:lineRule="auto"/>
        <w:ind w:left="0" w:right="0"/>
        <w:rPr>
          <w:rFonts w:ascii="Arial" w:hAnsi="Arial" w:cs="Arial"/>
          <w:color w:val="000000"/>
          <w:sz w:val="22"/>
          <w:szCs w:val="22"/>
          <w:lang w:eastAsia="es-EC"/>
        </w:rPr>
      </w:pPr>
    </w:p>
    <w:p w14:paraId="3CCAF0CA" w14:textId="77777777" w:rsidR="003C2926" w:rsidRPr="00775AE5" w:rsidRDefault="00E96C08" w:rsidP="00E96C08">
      <w:pPr>
        <w:pStyle w:val="ListParagraph"/>
        <w:spacing w:line="276" w:lineRule="auto"/>
        <w:ind w:left="0"/>
        <w:jc w:val="both"/>
        <w:rPr>
          <w:rFonts w:ascii="Arial" w:hAnsi="Arial" w:cs="Arial"/>
          <w:iCs/>
          <w:color w:val="000000"/>
          <w:sz w:val="22"/>
          <w:szCs w:val="22"/>
          <w:lang w:val="es-ES"/>
        </w:rPr>
      </w:pPr>
      <w:r w:rsidRPr="00775AE5">
        <w:rPr>
          <w:rFonts w:ascii="Arial" w:hAnsi="Arial" w:cs="Arial"/>
          <w:iCs/>
          <w:color w:val="000000"/>
          <w:sz w:val="22"/>
          <w:szCs w:val="22"/>
          <w:lang w:val="es-ES"/>
        </w:rPr>
        <w:t>Finalmente, l</w:t>
      </w:r>
      <w:r w:rsidR="003C2926" w:rsidRPr="00775AE5">
        <w:rPr>
          <w:rFonts w:ascii="Arial" w:hAnsi="Arial" w:cs="Arial"/>
          <w:iCs/>
          <w:color w:val="000000"/>
          <w:sz w:val="22"/>
          <w:szCs w:val="22"/>
          <w:lang w:val="es-ES"/>
        </w:rPr>
        <w:t>as accio</w:t>
      </w:r>
      <w:r w:rsidR="001F3D59" w:rsidRPr="00775AE5">
        <w:rPr>
          <w:rFonts w:ascii="Arial" w:hAnsi="Arial" w:cs="Arial"/>
          <w:iCs/>
          <w:color w:val="000000"/>
          <w:sz w:val="22"/>
          <w:szCs w:val="22"/>
          <w:lang w:val="es-ES"/>
        </w:rPr>
        <w:t xml:space="preserve">nes indicadas hasta el momento </w:t>
      </w:r>
      <w:r w:rsidR="003C2926" w:rsidRPr="00775AE5">
        <w:rPr>
          <w:rFonts w:ascii="Arial" w:hAnsi="Arial" w:cs="Arial"/>
          <w:iCs/>
          <w:color w:val="000000"/>
          <w:sz w:val="22"/>
          <w:szCs w:val="22"/>
          <w:lang w:val="es-ES"/>
        </w:rPr>
        <w:t>para prevenir, atender y proteger a las</w:t>
      </w:r>
      <w:r w:rsidR="003C2926" w:rsidRPr="00775AE5">
        <w:rPr>
          <w:rFonts w:ascii="Arial" w:hAnsi="Arial" w:cs="Arial"/>
          <w:iCs/>
          <w:color w:val="000000"/>
          <w:sz w:val="22"/>
          <w:szCs w:val="22"/>
          <w:lang w:val="es-ES"/>
        </w:rPr>
        <w:br/>
        <w:t xml:space="preserve">víctimas de violencia, continúan siendo un desafío para llegar a todas las mujeres, niñas, adolescentes, en su diversidad. Como Institución Nacional de Derechos Humanos estamos </w:t>
      </w:r>
      <w:r w:rsidR="001F3D59" w:rsidRPr="00775AE5">
        <w:rPr>
          <w:rFonts w:ascii="Arial" w:hAnsi="Arial" w:cs="Arial"/>
          <w:iCs/>
          <w:color w:val="000000"/>
          <w:sz w:val="22"/>
          <w:szCs w:val="22"/>
          <w:lang w:val="es-ES"/>
        </w:rPr>
        <w:t>conscientes</w:t>
      </w:r>
      <w:r w:rsidR="003C2926" w:rsidRPr="00775AE5">
        <w:rPr>
          <w:rFonts w:ascii="Arial" w:hAnsi="Arial" w:cs="Arial"/>
          <w:iCs/>
          <w:color w:val="000000"/>
          <w:sz w:val="22"/>
          <w:szCs w:val="22"/>
          <w:lang w:val="es-ES"/>
        </w:rPr>
        <w:t xml:space="preserve"> que aún queda mucho trabajo por hacer, mismo que debe abarcar varios niveles con el propósito de responder a las necesidades de las mujeres, en el marco de la garantía del derecho a vivir una vida libre de violencia.</w:t>
      </w:r>
    </w:p>
    <w:p w14:paraId="50844867" w14:textId="77777777" w:rsidR="00B42D8B" w:rsidRPr="00775AE5" w:rsidRDefault="00B42D8B" w:rsidP="00E96C08">
      <w:pPr>
        <w:pStyle w:val="ListParagraph"/>
        <w:spacing w:line="276" w:lineRule="auto"/>
        <w:ind w:left="0"/>
        <w:jc w:val="both"/>
        <w:rPr>
          <w:rFonts w:ascii="Arial" w:hAnsi="Arial" w:cs="Arial"/>
          <w:iCs/>
          <w:color w:val="000000"/>
          <w:sz w:val="22"/>
          <w:szCs w:val="22"/>
          <w:lang w:val="es-ES"/>
        </w:rPr>
      </w:pPr>
    </w:p>
    <w:p w14:paraId="7DDA7B25" w14:textId="045C909E" w:rsidR="00B42D8B" w:rsidRDefault="00B42D8B" w:rsidP="00B42D8B">
      <w:pPr>
        <w:rPr>
          <w:rFonts w:ascii="Arial" w:hAnsi="Arial" w:cs="Arial"/>
          <w:sz w:val="22"/>
          <w:szCs w:val="22"/>
        </w:rPr>
      </w:pPr>
      <w:r w:rsidRPr="00775AE5">
        <w:rPr>
          <w:rFonts w:ascii="Arial" w:hAnsi="Arial" w:cs="Arial"/>
          <w:sz w:val="22"/>
          <w:szCs w:val="22"/>
        </w:rPr>
        <w:t>Otros elementos para considerar:</w:t>
      </w:r>
    </w:p>
    <w:p w14:paraId="10465730" w14:textId="77777777" w:rsidR="00C203B6" w:rsidRPr="00775AE5" w:rsidRDefault="00C203B6" w:rsidP="00B42D8B">
      <w:pPr>
        <w:rPr>
          <w:rFonts w:ascii="Arial" w:hAnsi="Arial" w:cs="Arial"/>
          <w:sz w:val="22"/>
          <w:szCs w:val="22"/>
        </w:rPr>
      </w:pPr>
    </w:p>
    <w:p w14:paraId="41B33194" w14:textId="77777777" w:rsidR="00B42D8B" w:rsidRPr="00775AE5" w:rsidRDefault="00B42D8B" w:rsidP="00B42D8B">
      <w:pPr>
        <w:rPr>
          <w:rFonts w:ascii="Arial" w:hAnsi="Arial" w:cs="Arial"/>
          <w:sz w:val="22"/>
          <w:szCs w:val="22"/>
        </w:rPr>
      </w:pPr>
      <w:r w:rsidRPr="00775AE5">
        <w:rPr>
          <w:rFonts w:ascii="Arial" w:hAnsi="Arial" w:cs="Arial"/>
          <w:sz w:val="22"/>
          <w:szCs w:val="22"/>
        </w:rPr>
        <w:t>•</w:t>
      </w:r>
      <w:r w:rsidRPr="00775AE5">
        <w:rPr>
          <w:rFonts w:ascii="Arial" w:hAnsi="Arial" w:cs="Arial"/>
          <w:sz w:val="22"/>
          <w:szCs w:val="22"/>
        </w:rPr>
        <w:tab/>
        <w:t xml:space="preserve">El Ente rector de Derechos Humanos del país no ha ejecutado una política pública propia para mujeres en condiciones de privación libertad </w:t>
      </w:r>
    </w:p>
    <w:p w14:paraId="1281CD6A" w14:textId="77777777" w:rsidR="00B42D8B" w:rsidRPr="00775AE5" w:rsidRDefault="00B42D8B" w:rsidP="00B42D8B">
      <w:pPr>
        <w:rPr>
          <w:rFonts w:ascii="Arial" w:hAnsi="Arial" w:cs="Arial"/>
          <w:sz w:val="22"/>
          <w:szCs w:val="22"/>
        </w:rPr>
      </w:pPr>
      <w:r w:rsidRPr="00775AE5">
        <w:rPr>
          <w:rFonts w:ascii="Arial" w:hAnsi="Arial" w:cs="Arial"/>
          <w:sz w:val="22"/>
          <w:szCs w:val="22"/>
        </w:rPr>
        <w:t>•</w:t>
      </w:r>
      <w:r w:rsidRPr="00775AE5">
        <w:rPr>
          <w:rFonts w:ascii="Arial" w:hAnsi="Arial" w:cs="Arial"/>
          <w:sz w:val="22"/>
          <w:szCs w:val="22"/>
        </w:rPr>
        <w:tab/>
        <w:t xml:space="preserve">Se han identificado un protocolo del Ministerio de la Mujer y Derechos Humanos que corresponde exclusivamente al dotar de contención a familiares de </w:t>
      </w:r>
      <w:proofErr w:type="spellStart"/>
      <w:r w:rsidRPr="00775AE5">
        <w:rPr>
          <w:rFonts w:ascii="Arial" w:hAnsi="Arial" w:cs="Arial"/>
          <w:sz w:val="22"/>
          <w:szCs w:val="22"/>
        </w:rPr>
        <w:t>ppls</w:t>
      </w:r>
      <w:proofErr w:type="spellEnd"/>
      <w:r w:rsidRPr="00775AE5">
        <w:rPr>
          <w:rFonts w:ascii="Arial" w:hAnsi="Arial" w:cs="Arial"/>
          <w:sz w:val="22"/>
          <w:szCs w:val="22"/>
        </w:rPr>
        <w:t xml:space="preserve"> en el contexto de crisis carcelarias (eventos de matanzas y violencia en centros de detención provisional)</w:t>
      </w:r>
    </w:p>
    <w:p w14:paraId="18B21C66" w14:textId="038BF908" w:rsidR="00B42D8B" w:rsidRPr="00775AE5" w:rsidRDefault="00B42D8B" w:rsidP="00B42D8B">
      <w:pPr>
        <w:rPr>
          <w:rFonts w:ascii="Arial" w:hAnsi="Arial" w:cs="Arial"/>
          <w:sz w:val="22"/>
          <w:szCs w:val="22"/>
        </w:rPr>
      </w:pPr>
      <w:r w:rsidRPr="00775AE5">
        <w:rPr>
          <w:rFonts w:ascii="Arial" w:hAnsi="Arial" w:cs="Arial"/>
          <w:sz w:val="22"/>
          <w:szCs w:val="22"/>
        </w:rPr>
        <w:t>•</w:t>
      </w:r>
      <w:r w:rsidRPr="00775AE5">
        <w:rPr>
          <w:rFonts w:ascii="Arial" w:hAnsi="Arial" w:cs="Arial"/>
          <w:sz w:val="22"/>
          <w:szCs w:val="22"/>
        </w:rPr>
        <w:tab/>
        <w:t xml:space="preserve">En el contexto actual con la declaratoria de conflicto armado interno y la aplicación de derecho humanitario no está siendo implementado por </w:t>
      </w:r>
      <w:r w:rsidR="00CA38EB" w:rsidRPr="00775AE5">
        <w:rPr>
          <w:rFonts w:ascii="Arial" w:hAnsi="Arial" w:cs="Arial"/>
          <w:sz w:val="22"/>
          <w:szCs w:val="22"/>
        </w:rPr>
        <w:t>el</w:t>
      </w:r>
      <w:r w:rsidRPr="00775AE5">
        <w:rPr>
          <w:rFonts w:ascii="Arial" w:hAnsi="Arial" w:cs="Arial"/>
          <w:sz w:val="22"/>
          <w:szCs w:val="22"/>
        </w:rPr>
        <w:t xml:space="preserve"> ente rector de Derechos Humanos del Ejecutivo, el Ministerio de la Mujer y Derechos Humanos no ha emitido criterios, directrices o políticas públicas en relación con la tutela del derecho de una vida libre de violencia a las mujeres que están en un espacio carcelario. </w:t>
      </w:r>
    </w:p>
    <w:p w14:paraId="03F83413" w14:textId="77777777" w:rsidR="00B42D8B" w:rsidRPr="00775AE5" w:rsidRDefault="00B42D8B" w:rsidP="00B42D8B">
      <w:pPr>
        <w:rPr>
          <w:rFonts w:ascii="Arial" w:hAnsi="Arial" w:cs="Arial"/>
          <w:sz w:val="22"/>
          <w:szCs w:val="22"/>
        </w:rPr>
      </w:pPr>
      <w:r w:rsidRPr="00775AE5">
        <w:rPr>
          <w:rFonts w:ascii="Arial" w:hAnsi="Arial" w:cs="Arial"/>
          <w:sz w:val="22"/>
          <w:szCs w:val="22"/>
        </w:rPr>
        <w:t>•</w:t>
      </w:r>
      <w:r w:rsidRPr="00775AE5">
        <w:rPr>
          <w:rFonts w:ascii="Arial" w:hAnsi="Arial" w:cs="Arial"/>
          <w:sz w:val="22"/>
          <w:szCs w:val="22"/>
        </w:rPr>
        <w:tab/>
        <w:t xml:space="preserve">Las mujeres en su diversidad aún sigue siendo un concepto que esta por instaurarse, el reconocimiento de mujeres trans puede resultar complicado sobre todo en aspectos carcelarios ya que pese a la autoidentificación de mujer trans son recluidos en espacios masculinos teniendo una gran probabilidad de sufrir violencia física, psicológica y sexual por parte de reclusos heterosexuales </w:t>
      </w:r>
    </w:p>
    <w:p w14:paraId="63F26729" w14:textId="77777777" w:rsidR="00B42D8B" w:rsidRPr="00775AE5" w:rsidRDefault="00B42D8B" w:rsidP="00B42D8B">
      <w:pPr>
        <w:rPr>
          <w:rFonts w:ascii="Arial" w:hAnsi="Arial" w:cs="Arial"/>
          <w:sz w:val="22"/>
          <w:szCs w:val="22"/>
        </w:rPr>
      </w:pPr>
      <w:r w:rsidRPr="00775AE5">
        <w:rPr>
          <w:rFonts w:ascii="Arial" w:hAnsi="Arial" w:cs="Arial"/>
          <w:sz w:val="22"/>
          <w:szCs w:val="22"/>
        </w:rPr>
        <w:t>•</w:t>
      </w:r>
      <w:r w:rsidRPr="00775AE5">
        <w:rPr>
          <w:rFonts w:ascii="Arial" w:hAnsi="Arial" w:cs="Arial"/>
          <w:sz w:val="22"/>
          <w:szCs w:val="22"/>
        </w:rPr>
        <w:tab/>
        <w:t>En el contexto carcelario y bajo la actual crisis del sistema de rehabilitación social las mujeres privadas de libertad entran en mayor vulnerabilidad pueden ser agredidas en diferentes formas sobre todo por los cuerpos de seguridad del estado.</w:t>
      </w:r>
    </w:p>
    <w:p w14:paraId="656C7AD1" w14:textId="77777777" w:rsidR="00B42D8B" w:rsidRPr="00775AE5" w:rsidRDefault="00B42D8B" w:rsidP="00B42D8B">
      <w:pPr>
        <w:rPr>
          <w:rFonts w:ascii="Arial" w:hAnsi="Arial" w:cs="Arial"/>
          <w:sz w:val="22"/>
          <w:szCs w:val="22"/>
        </w:rPr>
      </w:pPr>
      <w:r w:rsidRPr="00775AE5">
        <w:rPr>
          <w:rFonts w:ascii="Arial" w:hAnsi="Arial" w:cs="Arial"/>
          <w:sz w:val="22"/>
          <w:szCs w:val="22"/>
        </w:rPr>
        <w:t>La falta de alimentación en los centros carcelarios puede de igual manera desencadenar violencia hacia mujeres que están un contexto penitenciario, la INDH ha advertido al estado esta situación misma que puede poner en riesgo la seguridad de internas.</w:t>
      </w:r>
    </w:p>
    <w:p w14:paraId="0DB0857C" w14:textId="77777777" w:rsidR="00B42D8B" w:rsidRPr="00775AE5" w:rsidRDefault="00B42D8B" w:rsidP="00E96C08">
      <w:pPr>
        <w:pStyle w:val="ListParagraph"/>
        <w:spacing w:line="276" w:lineRule="auto"/>
        <w:ind w:left="0"/>
        <w:jc w:val="both"/>
        <w:rPr>
          <w:rFonts w:ascii="Arial" w:hAnsi="Arial" w:cs="Arial"/>
          <w:iCs/>
          <w:sz w:val="22"/>
          <w:szCs w:val="22"/>
          <w:lang w:val="es-ES"/>
        </w:rPr>
      </w:pPr>
    </w:p>
    <w:p w14:paraId="47FDAC8E" w14:textId="77777777" w:rsidR="00660DB9" w:rsidRPr="00775AE5" w:rsidRDefault="00660DB9" w:rsidP="00390DF2">
      <w:pPr>
        <w:pStyle w:val="Heading2"/>
        <w:spacing w:line="276" w:lineRule="auto"/>
        <w:rPr>
          <w:rFonts w:ascii="Arial" w:hAnsi="Arial"/>
          <w:sz w:val="22"/>
          <w:szCs w:val="22"/>
        </w:rPr>
      </w:pPr>
    </w:p>
    <w:p w14:paraId="69D19A80" w14:textId="4E58E005" w:rsidR="00D411C1" w:rsidRPr="00775AE5" w:rsidRDefault="00DF11B0" w:rsidP="00390DF2">
      <w:pPr>
        <w:pStyle w:val="Heading2"/>
        <w:spacing w:line="276" w:lineRule="auto"/>
        <w:rPr>
          <w:rFonts w:ascii="Arial" w:hAnsi="Arial"/>
          <w:sz w:val="22"/>
          <w:szCs w:val="22"/>
        </w:rPr>
      </w:pPr>
      <w:bookmarkStart w:id="9" w:name="_Toc168907335"/>
      <w:r w:rsidRPr="00775AE5">
        <w:rPr>
          <w:rFonts w:ascii="Arial" w:hAnsi="Arial"/>
          <w:sz w:val="22"/>
          <w:szCs w:val="22"/>
        </w:rPr>
        <w:t>4</w:t>
      </w:r>
      <w:r w:rsidR="00D45694" w:rsidRPr="00775AE5">
        <w:rPr>
          <w:rFonts w:ascii="Arial" w:hAnsi="Arial"/>
          <w:sz w:val="22"/>
          <w:szCs w:val="22"/>
        </w:rPr>
        <w:t xml:space="preserve">. </w:t>
      </w:r>
      <w:r w:rsidR="004E3C13" w:rsidRPr="00775AE5">
        <w:rPr>
          <w:rFonts w:ascii="Arial" w:hAnsi="Arial"/>
          <w:sz w:val="22"/>
          <w:szCs w:val="22"/>
        </w:rPr>
        <w:t xml:space="preserve">Artículo 2 </w:t>
      </w:r>
      <w:r w:rsidR="006A6BCD" w:rsidRPr="00775AE5">
        <w:rPr>
          <w:rFonts w:ascii="Arial" w:hAnsi="Arial"/>
          <w:sz w:val="22"/>
          <w:szCs w:val="22"/>
        </w:rPr>
        <w:t>(Párrafo 9 de la Lista de Cuestiones)</w:t>
      </w:r>
      <w:bookmarkEnd w:id="9"/>
    </w:p>
    <w:p w14:paraId="29211551" w14:textId="77777777" w:rsidR="00B57F97" w:rsidRPr="00775AE5" w:rsidRDefault="00B57F97" w:rsidP="00390DF2">
      <w:pPr>
        <w:spacing w:line="276" w:lineRule="auto"/>
        <w:rPr>
          <w:rFonts w:ascii="Arial" w:hAnsi="Arial" w:cs="Arial"/>
          <w:b/>
          <w:i/>
          <w:color w:val="FF0000"/>
          <w:sz w:val="22"/>
          <w:szCs w:val="22"/>
          <w:lang w:val="es-ES"/>
        </w:rPr>
      </w:pPr>
    </w:p>
    <w:p w14:paraId="753B7EB8" w14:textId="77777777" w:rsidR="004E2D03" w:rsidRPr="00775AE5" w:rsidRDefault="00DF11B0" w:rsidP="00640CCA">
      <w:pPr>
        <w:pStyle w:val="Heading3"/>
        <w:rPr>
          <w:rFonts w:ascii="Arial" w:hAnsi="Arial" w:cs="Arial"/>
          <w:sz w:val="22"/>
          <w:szCs w:val="22"/>
        </w:rPr>
      </w:pPr>
      <w:bookmarkStart w:id="10" w:name="_Toc168907336"/>
      <w:r w:rsidRPr="00775AE5">
        <w:rPr>
          <w:rFonts w:ascii="Arial" w:hAnsi="Arial" w:cs="Arial"/>
          <w:sz w:val="22"/>
          <w:szCs w:val="22"/>
        </w:rPr>
        <w:t>4</w:t>
      </w:r>
      <w:r w:rsidR="00D45694" w:rsidRPr="00775AE5">
        <w:rPr>
          <w:rFonts w:ascii="Arial" w:hAnsi="Arial" w:cs="Arial"/>
          <w:sz w:val="22"/>
          <w:szCs w:val="22"/>
        </w:rPr>
        <w:t xml:space="preserve">.1. </w:t>
      </w:r>
      <w:r w:rsidR="008565AE" w:rsidRPr="00775AE5">
        <w:rPr>
          <w:rFonts w:ascii="Arial" w:hAnsi="Arial" w:cs="Arial"/>
          <w:sz w:val="22"/>
          <w:szCs w:val="22"/>
        </w:rPr>
        <w:t xml:space="preserve">Movilidad humana, medidas adoptadas para prevenir </w:t>
      </w:r>
      <w:r w:rsidR="00B57F97" w:rsidRPr="00775AE5">
        <w:rPr>
          <w:rFonts w:ascii="Arial" w:hAnsi="Arial" w:cs="Arial"/>
          <w:sz w:val="22"/>
          <w:szCs w:val="22"/>
        </w:rPr>
        <w:t>o combatir la trata de personas</w:t>
      </w:r>
      <w:bookmarkEnd w:id="10"/>
    </w:p>
    <w:p w14:paraId="06793ED3" w14:textId="77777777" w:rsidR="00B57F97" w:rsidRPr="00775AE5" w:rsidRDefault="00B57F97" w:rsidP="00390DF2">
      <w:pPr>
        <w:spacing w:line="276" w:lineRule="auto"/>
        <w:rPr>
          <w:rFonts w:ascii="Arial" w:hAnsi="Arial" w:cs="Arial"/>
          <w:b/>
          <w:bCs/>
          <w:sz w:val="22"/>
          <w:szCs w:val="22"/>
          <w:lang w:val="es-ES"/>
        </w:rPr>
      </w:pPr>
    </w:p>
    <w:p w14:paraId="746BE05E"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El Ecuador tiene una compleja realidad en torno a la movilidad humana, pues podemos observar las distintas variables de la migración, en el país donde convergen procesos migratorios de origen, tránsito, destino y retorno. </w:t>
      </w:r>
    </w:p>
    <w:p w14:paraId="698B6D6F" w14:textId="77777777" w:rsidR="007134DB" w:rsidRPr="00775AE5" w:rsidRDefault="007134DB" w:rsidP="007134DB">
      <w:pPr>
        <w:spacing w:line="276" w:lineRule="auto"/>
        <w:jc w:val="both"/>
        <w:rPr>
          <w:rFonts w:ascii="Arial" w:hAnsi="Arial" w:cs="Arial"/>
          <w:sz w:val="22"/>
          <w:szCs w:val="22"/>
          <w:lang w:val="es-ES"/>
        </w:rPr>
      </w:pPr>
    </w:p>
    <w:p w14:paraId="24F21BC2"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En relación con los escenarios de la trata de personas se han identificado varios factores de riesgo entre ellos económicos, socioculturales y políticos. De acuerdo con los casos porcentuales registrados en el país el 83% corresponde a trata con fines de explotación sexual y el 11% a explotación laboral. A la vez las provincias con más casos son: Manabí, Guayas, Los Ríos y Pichincha donde se concentra el 50,6% de los casos. El 90% de víctimas son mujeres de las cuales el 44% corresponde a niñas y adolescentes. (PACTA, 2019) </w:t>
      </w:r>
    </w:p>
    <w:p w14:paraId="771FB28C" w14:textId="77777777" w:rsidR="007134DB" w:rsidRPr="00775AE5" w:rsidRDefault="007134DB" w:rsidP="007134DB">
      <w:pPr>
        <w:spacing w:line="276" w:lineRule="auto"/>
        <w:jc w:val="both"/>
        <w:rPr>
          <w:rFonts w:ascii="Arial" w:hAnsi="Arial" w:cs="Arial"/>
          <w:sz w:val="22"/>
          <w:szCs w:val="22"/>
          <w:lang w:val="es-ES"/>
        </w:rPr>
      </w:pPr>
    </w:p>
    <w:p w14:paraId="1611933B"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Según, la información señalada en el TIP Report 2020 las provincias con mayor prevalencia para la trata con fines de explotación sexual son: El Oro, Guayas, Manabí, Los Ríos, Loja, Carchi, Esmeraldas y Sucumbíos. Así mismo señala que se encuentran en mayor riesgo de trata con fines de explotación sexual y laboral las mujeres, NNA, refugiadas, migrantes y personas LGBTI, que provienen particularmente de Colombia y Venezuela. Pero también los NNA indígenas ecuatorianos son llevados a Chile, Colombia, Perú y otros lugares para ser explotados en la fuerza laboral. (Report, 2020) Las cifras reportadas para el año 2023, señalan que en la provincia de El Oro existieron 5 víctimas, Guayaquil 3 víctimas, Azuay 3 y Los Ríos 2 víctimas, es decir un total de 13 víctimas detectadas y activación del protocolo de protección, estas cifras continúan demostrando que la provincia fronteriza de El Oro posee características peculiares para que los delitos de trata se desarrollen, así mismo Guayaquil continúa siendo una ciudad importante en cuanto cifras de este delito. (Report, 2023)</w:t>
      </w:r>
    </w:p>
    <w:p w14:paraId="3B4A0757" w14:textId="77777777" w:rsidR="007134DB" w:rsidRPr="00775AE5" w:rsidRDefault="007134DB" w:rsidP="007134DB">
      <w:pPr>
        <w:spacing w:line="276" w:lineRule="auto"/>
        <w:jc w:val="both"/>
        <w:rPr>
          <w:rFonts w:ascii="Arial" w:hAnsi="Arial" w:cs="Arial"/>
          <w:sz w:val="22"/>
          <w:szCs w:val="22"/>
          <w:lang w:val="es-ES"/>
        </w:rPr>
      </w:pPr>
    </w:p>
    <w:p w14:paraId="22086455"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En los últimos años se ha ido adecuando la legislación interna a los compromisos adquiridos por el Estado en relación con los instrumentos internacionales de derechos humanos para la prevención y protección a las víctimas de la trata de personas, no siendo lo mismo para el tema de tráfico ilícito de migrantes en cuyo caso es reciente la normativa para la protección de sus víctimas y el PACTIM (Plan de Acción contra el Tráfico Ilícito de Migrantes, plan 2024-2030). Es importante que ambas problemáticas sean atendidas toda vez que, en la actual realidad de movilidad humana en el país, los riesgos a estos vejámenes cada vez son mayores.</w:t>
      </w:r>
    </w:p>
    <w:p w14:paraId="36FDCE8C" w14:textId="77777777" w:rsidR="007134DB" w:rsidRPr="00775AE5" w:rsidRDefault="007134DB" w:rsidP="007134DB">
      <w:pPr>
        <w:spacing w:line="276" w:lineRule="auto"/>
        <w:jc w:val="both"/>
        <w:rPr>
          <w:rFonts w:ascii="Arial" w:hAnsi="Arial" w:cs="Arial"/>
          <w:sz w:val="22"/>
          <w:szCs w:val="22"/>
          <w:lang w:val="es-ES"/>
        </w:rPr>
      </w:pPr>
    </w:p>
    <w:p w14:paraId="41E99724"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La Ley Orgánica de Movilidad Humana (2017) dedica todo un </w:t>
      </w:r>
      <w:r w:rsidR="003501C3" w:rsidRPr="00775AE5">
        <w:rPr>
          <w:rFonts w:ascii="Arial" w:hAnsi="Arial" w:cs="Arial"/>
          <w:sz w:val="22"/>
          <w:szCs w:val="22"/>
          <w:lang w:val="es-ES"/>
        </w:rPr>
        <w:t>capítulo sobre</w:t>
      </w:r>
      <w:r w:rsidRPr="00775AE5">
        <w:rPr>
          <w:rFonts w:ascii="Arial" w:hAnsi="Arial" w:cs="Arial"/>
          <w:sz w:val="22"/>
          <w:szCs w:val="22"/>
          <w:lang w:val="es-ES"/>
        </w:rPr>
        <w:t xml:space="preserve"> trata de personas y tráfico ilícito de migrantes por medio del cual se establece el marco de prevención y protección a las víctimas de dichos delitos. Así mismo en el Reglamento a la Ley Orgánica de Movilidad Humana (2017) se establecen las atribuciones del órgano rector para este tema y la creación del Comité Interinstitucional de Coordinación para la Prevención de Trata de Personas y Tráfico Ilícito de Migrantes, y Protección a sus víctimas, con lo cual a través de dicho órgano se articulan acciones para la implementación, ejecución, monitoreo, control, seguimiento y evaluación de la política pública.</w:t>
      </w:r>
    </w:p>
    <w:p w14:paraId="39582874" w14:textId="77777777" w:rsidR="007134DB" w:rsidRPr="00775AE5" w:rsidRDefault="007134DB" w:rsidP="007134DB">
      <w:pPr>
        <w:spacing w:line="276" w:lineRule="auto"/>
        <w:jc w:val="both"/>
        <w:rPr>
          <w:rFonts w:ascii="Arial" w:hAnsi="Arial" w:cs="Arial"/>
          <w:sz w:val="22"/>
          <w:szCs w:val="22"/>
          <w:lang w:val="es-ES"/>
        </w:rPr>
      </w:pPr>
    </w:p>
    <w:p w14:paraId="0614C4F5"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El 24 de noviembre de 2019 las instituciones que conforman el Comité Interinstitucional de Coordinación para la Prevención de Trata de Personas y Tráfico Ilícito de Migrantes, y Protección a sus víctimas, suscribieron el Acuerdo Interinstitucional No. 0003, mediante el cual se aprobaron dos Protocolos: 1) Protocolo de Actuación Interinstitucional para la Atención y Protección Integral a Víctimas de Trata de Personas y 2) Protocolo de Actuación Interinstitucional en casos de Tráfico Ilícito de Migrantes, con lo cual las instituciones cuentan con rutas para la actuación y protección integral a las víctimas.  </w:t>
      </w:r>
    </w:p>
    <w:p w14:paraId="65D4A42C" w14:textId="77777777" w:rsidR="007134DB" w:rsidRPr="00775AE5" w:rsidRDefault="007134DB" w:rsidP="007134DB">
      <w:pPr>
        <w:spacing w:line="276" w:lineRule="auto"/>
        <w:jc w:val="both"/>
        <w:rPr>
          <w:rFonts w:ascii="Arial" w:hAnsi="Arial" w:cs="Arial"/>
          <w:sz w:val="22"/>
          <w:szCs w:val="22"/>
          <w:lang w:val="es-ES"/>
        </w:rPr>
      </w:pPr>
    </w:p>
    <w:p w14:paraId="29AB1C87"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Y mediante Registro Oficial No. 349 de 14 de febrero de 2020 entró en vigor el Acuerdo Ministerial No. 0194, que contiene el Plan de Acción contra la Trata de Personas (PACTA) 2019-2030 que reemplaza el anterior Plan de 2006. Dicho instrumento de política pública contempla un modelo de gestión para operativizar las acciones en los siguientes ejes estratégicos: prevención, investigación – judicialización, protección a víctimas y coordinación interinstitucional sectorial e intersectorial. A la vez en dicho Acuerdo Ministerial se encarga al Comité Interinstitucional de Coordinación para la Prevención de Trata de Personas y Tráfico Ilícito de Migrantes y Protección a sus Víctimas, la ejecución, monitoreo, control, seguimiento y evaluación de la política pública para la prevención, investigación, judicialización de la trata de personas y la protección a sus víctimas. Así mismo dispone al Viceministerio de Seguridad que trimestralmente informe al Ministerio de Gobierno el avance de la ejecución del Plan. Además, se cuenta con el Sistema de Protección a Víctimas y Testigos (SPAVT) de la Fiscalía General del Estado.</w:t>
      </w:r>
    </w:p>
    <w:p w14:paraId="24723A24" w14:textId="77777777" w:rsidR="007134DB" w:rsidRPr="00775AE5" w:rsidRDefault="007134DB" w:rsidP="007134DB">
      <w:pPr>
        <w:spacing w:line="276" w:lineRule="auto"/>
        <w:jc w:val="both"/>
        <w:rPr>
          <w:rFonts w:ascii="Arial" w:hAnsi="Arial" w:cs="Arial"/>
          <w:sz w:val="22"/>
          <w:szCs w:val="22"/>
          <w:lang w:val="es-ES"/>
        </w:rPr>
      </w:pPr>
    </w:p>
    <w:p w14:paraId="4D2D3B6A"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En el 2019 el Ministerio del Interior conjuntamente con el Comité Interinstitucional de Coordinación para la Prevención de Trata de Personas y Tráfico Ilícito de Migrantes, iniciaron el trabajo exhaustivo de recopilación y análisis del Tráfico Ilícito de Migrantes, con la finalidad de generar estrategias específicas sobre este delito, al presente año 2024 se cuenta ya con el Plan de Acción Contra el Tráfico Ilícito de Migrantes, plan que tiene vigencia hasta el año 2030 y de alguna forma focaliza de mejor manera esta problemática ofreciendo un mejor entendimiento y descargando las confusiones entre la trata de personas y el tráfico ilícito de migrantes.</w:t>
      </w:r>
    </w:p>
    <w:p w14:paraId="5B4D1E28" w14:textId="77777777" w:rsidR="007134DB" w:rsidRPr="00775AE5" w:rsidRDefault="007134DB" w:rsidP="007134DB">
      <w:pPr>
        <w:spacing w:line="276" w:lineRule="auto"/>
        <w:jc w:val="both"/>
        <w:rPr>
          <w:rFonts w:ascii="Arial" w:hAnsi="Arial" w:cs="Arial"/>
          <w:sz w:val="22"/>
          <w:szCs w:val="22"/>
          <w:lang w:val="es-ES"/>
        </w:rPr>
      </w:pPr>
    </w:p>
    <w:p w14:paraId="388ADDC4"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Sobre el marco de las estrategias para combatir la trata de personas en el país, cabe destacar el papel de los gobiernos autónomos, especialmente en las zonas de mayor prevalencia de casos. Los Municipios de Lago Agrio, Guamote, Santo Domingo, Otavalo y Cotacachi han aprobado Ordenanzas para la prevención, erradicación de la trata de personas y la protección integral a sus víctimas durante los años 2014-2016, con lo cual bajo el nuevo PACTA en el Eje de fortalecimiento institucional de coordinación interinstitucional y gobernanza es importante que se implemente algún mecanismo por el cual se pueda articular de mejor manera las acciones emprendidas por los </w:t>
      </w:r>
      <w:proofErr w:type="spellStart"/>
      <w:r w:rsidRPr="00775AE5">
        <w:rPr>
          <w:rFonts w:ascii="Arial" w:hAnsi="Arial" w:cs="Arial"/>
          <w:sz w:val="22"/>
          <w:szCs w:val="22"/>
          <w:lang w:val="es-ES"/>
        </w:rPr>
        <w:t>GADs</w:t>
      </w:r>
      <w:proofErr w:type="spellEnd"/>
      <w:r w:rsidRPr="00775AE5">
        <w:rPr>
          <w:rFonts w:ascii="Arial" w:hAnsi="Arial" w:cs="Arial"/>
          <w:sz w:val="22"/>
          <w:szCs w:val="22"/>
          <w:lang w:val="es-ES"/>
        </w:rPr>
        <w:t xml:space="preserve"> (Gobiernos Autónomos Descentralizados) y el Comité Interinstitucional.   </w:t>
      </w:r>
    </w:p>
    <w:p w14:paraId="426A7DFF" w14:textId="77777777" w:rsidR="007134DB" w:rsidRPr="00775AE5" w:rsidRDefault="007134DB" w:rsidP="007134DB">
      <w:pPr>
        <w:spacing w:line="276" w:lineRule="auto"/>
        <w:jc w:val="both"/>
        <w:rPr>
          <w:rFonts w:ascii="Arial" w:hAnsi="Arial" w:cs="Arial"/>
          <w:sz w:val="22"/>
          <w:szCs w:val="22"/>
          <w:lang w:val="es-ES"/>
        </w:rPr>
      </w:pPr>
    </w:p>
    <w:p w14:paraId="0A7078A8"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Alrededor de dos años tomó el análisis y trabajo técnico legislativo entre el CI (Comité Interinstitucional de Coordinación para la Prevención de la Trata de Personas y Tráfico Ilícito de Migrantes, y Protección a sus Víctimas) y organizaciones de Sociedad Civil para la elaboración de la Ley contra la Trata y el Tráfico Ilícito de Migrantes. Los aportes realizados por la Defensoría del Pueblo fueron acogidos de manera significativa, no obstante. La INDH observó de manera importante la necesidad de que la Trata y el TIM sean desarrollados en dos cuerpos normativos separados para evitar confusiones y que las víctimas sean protegidas de manera especializada, de todas maneras, la Ley Orgánica contra la Trata de Personas y el Tráfico Ilícito de Migrantes tiene una relevancia muy importante en materia de prevención, combate y protección de estos delitos, su registro oficial se realizó el 23 de febrero de 2023.</w:t>
      </w:r>
    </w:p>
    <w:p w14:paraId="17D1706B" w14:textId="77777777" w:rsidR="007134DB" w:rsidRPr="00775AE5" w:rsidRDefault="007134DB" w:rsidP="007134DB">
      <w:pPr>
        <w:spacing w:line="276" w:lineRule="auto"/>
        <w:jc w:val="both"/>
        <w:rPr>
          <w:rFonts w:ascii="Arial" w:hAnsi="Arial" w:cs="Arial"/>
          <w:sz w:val="22"/>
          <w:szCs w:val="22"/>
          <w:lang w:val="es-ES"/>
        </w:rPr>
      </w:pPr>
    </w:p>
    <w:p w14:paraId="58D272DD"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La Ley Orgánica Contra la Trata y Tráfico Ilícito de Migrantes (LOCTPTIM), tiene como objeto prevenir y combatir los hechos  que constituyen trata de personas y tráfico ilícito de migrantes, principalmente se centra en la necesidad de establecer medidas de protección, atención y asistencia a las víctimas  y posibles víctimas de la trata de personas y tráfico ilícito de migrantes, de la misma manera busca fortalecer la acción del Estado en la investigación y judicialización de los delitos de trata de personas y tráfico ilícito de migrantes y delitos conexos. Entre los principios más fundamentales, se encuentran el respeto a los derechos humanos, el acceso a la información, consentimiento informado, protección integral y asistencia, gratuidad de servicios, integración, protección de las personas ecuatorianas en el exterior, principio </w:t>
      </w:r>
      <w:proofErr w:type="spellStart"/>
      <w:r w:rsidRPr="00775AE5">
        <w:rPr>
          <w:rFonts w:ascii="Arial" w:hAnsi="Arial" w:cs="Arial"/>
          <w:sz w:val="22"/>
          <w:szCs w:val="22"/>
          <w:lang w:val="es-ES"/>
        </w:rPr>
        <w:t>pro-persona</w:t>
      </w:r>
      <w:proofErr w:type="spellEnd"/>
      <w:r w:rsidRPr="00775AE5">
        <w:rPr>
          <w:rFonts w:ascii="Arial" w:hAnsi="Arial" w:cs="Arial"/>
          <w:sz w:val="22"/>
          <w:szCs w:val="22"/>
          <w:lang w:val="es-ES"/>
        </w:rPr>
        <w:t>, no criminalización y no criminalización y no detención a las víctimas, presunción de minoría de edad, proyecto de vida, entre otros.</w:t>
      </w:r>
    </w:p>
    <w:p w14:paraId="1C8D78C1" w14:textId="77777777" w:rsidR="007134DB" w:rsidRPr="00775AE5" w:rsidRDefault="007134DB" w:rsidP="007134DB">
      <w:pPr>
        <w:spacing w:line="276" w:lineRule="auto"/>
        <w:jc w:val="both"/>
        <w:rPr>
          <w:rFonts w:ascii="Arial" w:hAnsi="Arial" w:cs="Arial"/>
          <w:sz w:val="22"/>
          <w:szCs w:val="22"/>
          <w:lang w:val="es-ES"/>
        </w:rPr>
      </w:pPr>
    </w:p>
    <w:p w14:paraId="7A5E503D"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El Reglamento a la Ley LOCTPTIM dispuesta, mantiene como eje central la prevención, la protección y el combate a estos flagelos, el reglamento especialmente aterriza sobre la necesidad de que los Gobiernos Autónomos Descentralizados, que forman parte actualmente del CIT, generen de manera local políticas públicas de prevención y de protección, así las zonas descentralizadas del Estado quedarían cubiertas por mecanismos de atención a las víctimas y sobrevivientes, así mismo pone énfasis en las obligaciones de cada una de las instituciones miembros del Comité.</w:t>
      </w:r>
    </w:p>
    <w:p w14:paraId="0F3922FB" w14:textId="77777777" w:rsidR="007134DB" w:rsidRPr="00775AE5" w:rsidRDefault="007134DB" w:rsidP="007134DB">
      <w:pPr>
        <w:spacing w:line="276" w:lineRule="auto"/>
        <w:jc w:val="both"/>
        <w:rPr>
          <w:rFonts w:ascii="Arial" w:hAnsi="Arial" w:cs="Arial"/>
          <w:sz w:val="22"/>
          <w:szCs w:val="22"/>
          <w:lang w:val="es-ES"/>
        </w:rPr>
      </w:pPr>
    </w:p>
    <w:p w14:paraId="1DFFC38A"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La Defensoría del Pueblo, en su rol como observador de derechos humanos en el Comité, cumple su función de tutela y vigila que los derechos humanos de las personas víctimas y sobrevivientes sean respetados, garantizados, restituidos y reparados, no obstante, en términos de las competencias constitucionales de la Institución de Derechos Humanos, la promoción y prevención son también parte de los roles establecidos, así como todos los mecanismos de protección de derechos como las garantías jurisdiccionales, las gestiones oficiosas, acciones urgentes, investigaciones defensoriales, exhortos, pronunciamientos, medidas de cumplimiento obligatorio.</w:t>
      </w:r>
    </w:p>
    <w:p w14:paraId="77FD3C21" w14:textId="77777777" w:rsidR="007134DB" w:rsidRPr="00775AE5" w:rsidRDefault="007134DB" w:rsidP="007134DB">
      <w:pPr>
        <w:spacing w:line="276" w:lineRule="auto"/>
        <w:jc w:val="both"/>
        <w:rPr>
          <w:rFonts w:ascii="Arial" w:hAnsi="Arial" w:cs="Arial"/>
          <w:sz w:val="22"/>
          <w:szCs w:val="22"/>
          <w:lang w:val="es-ES"/>
        </w:rPr>
      </w:pPr>
    </w:p>
    <w:p w14:paraId="48F8A444" w14:textId="77777777" w:rsidR="007134DB" w:rsidRPr="00775AE5" w:rsidRDefault="007134DB" w:rsidP="007134DB">
      <w:pPr>
        <w:spacing w:line="276" w:lineRule="auto"/>
        <w:jc w:val="both"/>
        <w:rPr>
          <w:rFonts w:ascii="Arial" w:hAnsi="Arial" w:cs="Arial"/>
          <w:b/>
          <w:sz w:val="22"/>
          <w:szCs w:val="22"/>
          <w:lang w:val="es-ES"/>
        </w:rPr>
      </w:pPr>
      <w:r w:rsidRPr="00775AE5">
        <w:rPr>
          <w:rFonts w:ascii="Arial" w:hAnsi="Arial" w:cs="Arial"/>
          <w:b/>
          <w:sz w:val="22"/>
          <w:szCs w:val="22"/>
          <w:lang w:val="es-ES"/>
        </w:rPr>
        <w:t xml:space="preserve">4.2. Medidas adoptadas para que las víctimas de la trata tengan acceso a recursos efectivos y a una reparación; </w:t>
      </w:r>
    </w:p>
    <w:p w14:paraId="05C29C4C"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 </w:t>
      </w:r>
    </w:p>
    <w:p w14:paraId="15F2D00D"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En relación con las medidas adoptadas para que las víctimas tengan acceso a recursos efectivos y una reparación, consideramos que en tanto se vaya aplicando el PACTA y los nuevos Protocolos para la atención y protección a las víctimas de trata de personas y tráfico ilícito de migrantes, se podrá hacer una mejor valoración sobre la ejecución de este. Sin embargo, preocupa que a pesar de que se prevé en el Art. 104 del Reglamento a la Ley Orgánica de Movilidad Humana que, a solicitud del Ministerio de Gobierno, el Viceministerio de Relaciones Exteriores y Movilidad Humana concederá a las </w:t>
      </w:r>
      <w:proofErr w:type="spellStart"/>
      <w:r w:rsidRPr="00775AE5">
        <w:rPr>
          <w:rFonts w:ascii="Arial" w:hAnsi="Arial" w:cs="Arial"/>
          <w:sz w:val="22"/>
          <w:szCs w:val="22"/>
          <w:lang w:val="es-ES"/>
        </w:rPr>
        <w:t>victimas</w:t>
      </w:r>
      <w:proofErr w:type="spellEnd"/>
      <w:r w:rsidRPr="00775AE5">
        <w:rPr>
          <w:rFonts w:ascii="Arial" w:hAnsi="Arial" w:cs="Arial"/>
          <w:sz w:val="22"/>
          <w:szCs w:val="22"/>
          <w:lang w:val="es-ES"/>
        </w:rPr>
        <w:t xml:space="preserve"> extranjeras de trata de personas y tráfico ilícito de migrantes una visa de residencia temporal de excepción, hasta la presente fecha el Viceministerio de Movilidad Humana no cuenta con un instructivo o mecanismo para la emisión de dicha visa.</w:t>
      </w:r>
    </w:p>
    <w:p w14:paraId="1F243E4B" w14:textId="77777777" w:rsidR="007134DB" w:rsidRPr="00775AE5" w:rsidRDefault="007134DB" w:rsidP="007134DB">
      <w:pPr>
        <w:spacing w:line="276" w:lineRule="auto"/>
        <w:jc w:val="both"/>
        <w:rPr>
          <w:rFonts w:ascii="Arial" w:hAnsi="Arial" w:cs="Arial"/>
          <w:sz w:val="22"/>
          <w:szCs w:val="22"/>
          <w:lang w:val="es-ES"/>
        </w:rPr>
      </w:pPr>
    </w:p>
    <w:p w14:paraId="4C76863B"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De acuerdo a información remitida por la Dirección de Visados y Naturalización del Ministerio de Relaciones Exteriores y Movilidad Humana, existe una propuesta que está siendo analizada por el Departamento Jurídico del Ministerio y señala que “dado que el texto del protocolo aún se encuentra en construcción, por el momento la visa de excepción para víctimas de tráfico y trata aún no ha sido emitida a favor de ningún solicitante” Tomando en cuenta que desde que se emitió el Reglamento a la Ley Orgánica de Movilidad Humana ha transcurrido bastante tiempo, es necesario que el Comité tenga presente este aspecto en razón a que la regularidad migratoria es parte de la debida protección y garantiza el ejercicio de otros derechos. </w:t>
      </w:r>
    </w:p>
    <w:p w14:paraId="7A086E1B" w14:textId="77777777" w:rsidR="007134DB" w:rsidRPr="00775AE5" w:rsidRDefault="007134DB" w:rsidP="003A110C">
      <w:pPr>
        <w:spacing w:line="276" w:lineRule="auto"/>
        <w:ind w:left="720" w:hanging="720"/>
        <w:jc w:val="both"/>
        <w:rPr>
          <w:rFonts w:ascii="Arial" w:hAnsi="Arial" w:cs="Arial"/>
          <w:sz w:val="22"/>
          <w:szCs w:val="22"/>
          <w:lang w:val="es-ES"/>
        </w:rPr>
      </w:pPr>
    </w:p>
    <w:p w14:paraId="3074F87F"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Es importante tener en cuenta que en Ecuador se han evidenciado </w:t>
      </w:r>
      <w:proofErr w:type="spellStart"/>
      <w:r w:rsidRPr="00775AE5">
        <w:rPr>
          <w:rFonts w:ascii="Arial" w:hAnsi="Arial" w:cs="Arial"/>
          <w:sz w:val="22"/>
          <w:szCs w:val="22"/>
          <w:lang w:val="es-ES"/>
        </w:rPr>
        <w:t>victimas</w:t>
      </w:r>
      <w:proofErr w:type="spellEnd"/>
      <w:r w:rsidRPr="00775AE5">
        <w:rPr>
          <w:rFonts w:ascii="Arial" w:hAnsi="Arial" w:cs="Arial"/>
          <w:sz w:val="22"/>
          <w:szCs w:val="22"/>
          <w:lang w:val="es-ES"/>
        </w:rPr>
        <w:t xml:space="preserve"> de trata internacional provenientes principalmente de Colombia, Venezuela, Cuba y Perú en alrededor del 27% de acuerdo con la información proporcionada por el Ministerio de Gobierno. (PACTA, 2019) Pero también el TIP Report ha señalado que los traficantes explotan a las mujeres y niñas peruanas, colombianas, venezolanas y en menor grado centro americanas en trata con fines de explotación sexual, laboral, de servicio doméstico y mendicidad. (Report, 2020) Por lo que al existir </w:t>
      </w:r>
      <w:proofErr w:type="spellStart"/>
      <w:r w:rsidRPr="00775AE5">
        <w:rPr>
          <w:rFonts w:ascii="Arial" w:hAnsi="Arial" w:cs="Arial"/>
          <w:sz w:val="22"/>
          <w:szCs w:val="22"/>
          <w:lang w:val="es-ES"/>
        </w:rPr>
        <w:t>victimas</w:t>
      </w:r>
      <w:proofErr w:type="spellEnd"/>
      <w:r w:rsidRPr="00775AE5">
        <w:rPr>
          <w:rFonts w:ascii="Arial" w:hAnsi="Arial" w:cs="Arial"/>
          <w:sz w:val="22"/>
          <w:szCs w:val="22"/>
          <w:lang w:val="es-ES"/>
        </w:rPr>
        <w:t xml:space="preserve"> de otras nacionalidades que posiblemente no deseen retornar a su país de origen o residencia, pero que tampoco se ajusten a las condiciones del reconocimiento de refugio, el Estado debe garantizar la protección integral mientras permanecen en Ecuador, que implica la regularidad migratoria.   </w:t>
      </w:r>
    </w:p>
    <w:p w14:paraId="126DEF30" w14:textId="77777777" w:rsidR="007134DB" w:rsidRPr="00775AE5" w:rsidRDefault="007134DB" w:rsidP="007134DB">
      <w:pPr>
        <w:spacing w:line="276" w:lineRule="auto"/>
        <w:jc w:val="both"/>
        <w:rPr>
          <w:rFonts w:ascii="Arial" w:hAnsi="Arial" w:cs="Arial"/>
          <w:sz w:val="22"/>
          <w:szCs w:val="22"/>
          <w:lang w:val="es-ES"/>
        </w:rPr>
      </w:pPr>
    </w:p>
    <w:p w14:paraId="1E7DD01E"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La herramienta de registro de casos de trata de personas y tráfico ilícito de migrantes REGISTRATT en la actualidad, tiene como objetivo recopilar, sistematizar, organizar y gestionar la información relacionada con los casos de trata de personas y tráfico ilícito de migrantes, además es un insumo en la formulación de políticas públicas, planes de acción y estrategias con enfoques de derechos humanos, es de utilidad además para el seguimiento de los procesos judiciales, la restitución y la reparación de los derechos vulnerados a las víctimas (Reglamento LOCTPTIM, 2024). En el actual reglamento a la Ley, se establece que el acceso a la información del Sistema, estará permitida únicamente para las instituciones competentes, además determina que el ente rector en materia de seguridad ciudadana y orden público, entregará credenciales de acceso a los servidores públicos de las instituciones que presten servicios de protección y servicios públicos a las víctimas, para el efecto se establecerán acuerdos de confidencialidad con las personas que obtengan las credenciales.</w:t>
      </w:r>
    </w:p>
    <w:p w14:paraId="5BA5D3E8" w14:textId="77777777" w:rsidR="007134DB" w:rsidRPr="00775AE5" w:rsidRDefault="007134DB" w:rsidP="007134DB">
      <w:pPr>
        <w:spacing w:line="276" w:lineRule="auto"/>
        <w:jc w:val="both"/>
        <w:rPr>
          <w:rFonts w:ascii="Arial" w:hAnsi="Arial" w:cs="Arial"/>
          <w:sz w:val="22"/>
          <w:szCs w:val="22"/>
          <w:lang w:val="es-ES"/>
        </w:rPr>
      </w:pPr>
    </w:p>
    <w:p w14:paraId="03BF504A" w14:textId="77777777" w:rsidR="004E2D03"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Con respecto a la herramienta, es necesario mencionar que en la actualidad se encuentra en proceso de actualización y aplicación, por lo que será necesario generar los procesos tecnológicos y de dinamización de la información con la finalidad de cumplir esta disposición de la Ley, considerar a las instituciones como parte de este proceso de registro y seguimiento resulta importante en tanto en cuento podría reducir los procesos burocráticos institucionales en materia de protección de derechos, no obstante, esta estrategia aún se encuentra en proceso.</w:t>
      </w:r>
    </w:p>
    <w:p w14:paraId="5D77D4AA" w14:textId="77777777" w:rsidR="007134DB" w:rsidRPr="00775AE5" w:rsidRDefault="007134DB" w:rsidP="007134DB">
      <w:pPr>
        <w:spacing w:line="276" w:lineRule="auto"/>
        <w:rPr>
          <w:rFonts w:ascii="Arial" w:hAnsi="Arial" w:cs="Arial"/>
          <w:sz w:val="22"/>
          <w:szCs w:val="22"/>
          <w:lang w:val="es-ES"/>
        </w:rPr>
      </w:pPr>
    </w:p>
    <w:p w14:paraId="592656EC" w14:textId="3DB6ABE3" w:rsidR="003F2CAE" w:rsidRPr="00775AE5" w:rsidRDefault="00BB3180" w:rsidP="0000126E">
      <w:pPr>
        <w:spacing w:line="276" w:lineRule="auto"/>
        <w:ind w:firstLine="426"/>
        <w:jc w:val="both"/>
        <w:rPr>
          <w:rFonts w:ascii="Arial" w:hAnsi="Arial" w:cs="Arial"/>
          <w:b/>
          <w:sz w:val="22"/>
          <w:szCs w:val="22"/>
          <w:lang w:val="es-ES"/>
        </w:rPr>
      </w:pPr>
      <w:r w:rsidRPr="00775AE5">
        <w:rPr>
          <w:rFonts w:ascii="Arial" w:hAnsi="Arial" w:cs="Arial"/>
          <w:b/>
          <w:sz w:val="22"/>
          <w:szCs w:val="22"/>
          <w:lang w:val="es-ES"/>
        </w:rPr>
        <w:t>5. Artículo 3</w:t>
      </w:r>
      <w:r w:rsidR="008A300F" w:rsidRPr="00775AE5">
        <w:rPr>
          <w:rFonts w:ascii="Arial" w:hAnsi="Arial" w:cs="Arial"/>
          <w:b/>
          <w:sz w:val="22"/>
          <w:szCs w:val="22"/>
          <w:lang w:val="es-ES"/>
        </w:rPr>
        <w:t xml:space="preserve"> </w:t>
      </w:r>
      <w:r w:rsidR="006A6BCD" w:rsidRPr="00775AE5">
        <w:rPr>
          <w:rFonts w:ascii="Arial" w:hAnsi="Arial" w:cs="Arial"/>
          <w:b/>
          <w:sz w:val="22"/>
          <w:szCs w:val="22"/>
          <w:lang w:val="es-ES"/>
        </w:rPr>
        <w:t>(Párrafos 11,12, 13 de la Lista de Cue</w:t>
      </w:r>
      <w:r w:rsidR="00EF350C" w:rsidRPr="00775AE5">
        <w:rPr>
          <w:rFonts w:ascii="Arial" w:hAnsi="Arial" w:cs="Arial"/>
          <w:b/>
          <w:sz w:val="22"/>
          <w:szCs w:val="22"/>
          <w:lang w:val="es-ES"/>
        </w:rPr>
        <w:t>s</w:t>
      </w:r>
      <w:r w:rsidR="006A6BCD" w:rsidRPr="00775AE5">
        <w:rPr>
          <w:rFonts w:ascii="Arial" w:hAnsi="Arial" w:cs="Arial"/>
          <w:b/>
          <w:sz w:val="22"/>
          <w:szCs w:val="22"/>
          <w:lang w:val="es-ES"/>
        </w:rPr>
        <w:t>tiones)</w:t>
      </w:r>
    </w:p>
    <w:p w14:paraId="2EE17B6B" w14:textId="77777777" w:rsidR="003F2CAE" w:rsidRPr="00775AE5" w:rsidRDefault="003F2CAE" w:rsidP="00390DF2">
      <w:pPr>
        <w:spacing w:line="276" w:lineRule="auto"/>
        <w:rPr>
          <w:rFonts w:ascii="Arial" w:hAnsi="Arial" w:cs="Arial"/>
          <w:b/>
          <w:i/>
          <w:sz w:val="22"/>
          <w:szCs w:val="22"/>
          <w:lang w:val="es-ES"/>
        </w:rPr>
      </w:pPr>
    </w:p>
    <w:p w14:paraId="1B488FFD" w14:textId="77777777" w:rsidR="007134DB" w:rsidRPr="00775AE5" w:rsidRDefault="007134DB" w:rsidP="0000126E">
      <w:pPr>
        <w:spacing w:line="276" w:lineRule="auto"/>
        <w:ind w:firstLine="709"/>
        <w:jc w:val="both"/>
        <w:rPr>
          <w:rFonts w:ascii="Arial" w:hAnsi="Arial" w:cs="Arial"/>
          <w:b/>
          <w:sz w:val="22"/>
          <w:szCs w:val="22"/>
          <w:lang w:val="es-ES"/>
        </w:rPr>
      </w:pPr>
      <w:r w:rsidRPr="00775AE5">
        <w:rPr>
          <w:rFonts w:ascii="Arial" w:hAnsi="Arial" w:cs="Arial"/>
          <w:b/>
          <w:sz w:val="22"/>
          <w:szCs w:val="22"/>
          <w:lang w:val="es-ES"/>
        </w:rPr>
        <w:t>5.1 Refugio y población venezolana (Párrafo 11 de la Lista de Cuestiones)</w:t>
      </w:r>
    </w:p>
    <w:p w14:paraId="49C8A7C3" w14:textId="77777777" w:rsidR="007134DB" w:rsidRPr="00775AE5" w:rsidRDefault="007134DB" w:rsidP="007134DB">
      <w:pPr>
        <w:spacing w:line="276" w:lineRule="auto"/>
        <w:ind w:firstLine="708"/>
        <w:jc w:val="both"/>
        <w:rPr>
          <w:rFonts w:ascii="Arial" w:hAnsi="Arial" w:cs="Arial"/>
          <w:b/>
          <w:sz w:val="22"/>
          <w:szCs w:val="22"/>
          <w:lang w:val="es-ES"/>
        </w:rPr>
      </w:pPr>
    </w:p>
    <w:p w14:paraId="31D8CF4A" w14:textId="4A9B4B8B" w:rsidR="007134DB"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La crisis humanitaria venezolana ha provocado en la región uno de los mayores desplazamientos humanos en la región americana. </w:t>
      </w:r>
      <w:r w:rsidR="0000126E" w:rsidRPr="00775AE5">
        <w:rPr>
          <w:rFonts w:ascii="Arial" w:hAnsi="Arial" w:cs="Arial"/>
          <w:sz w:val="22"/>
          <w:szCs w:val="22"/>
          <w:lang w:val="es-ES"/>
        </w:rPr>
        <w:t>De acuerdo con</w:t>
      </w:r>
      <w:r w:rsidRPr="00775AE5">
        <w:rPr>
          <w:rFonts w:ascii="Arial" w:hAnsi="Arial" w:cs="Arial"/>
          <w:sz w:val="22"/>
          <w:szCs w:val="22"/>
          <w:lang w:val="es-ES"/>
        </w:rPr>
        <w:t xml:space="preserve"> la información estadística del Ministerio de Gobierno de Ecuador, del 01 de enero al 14 de agosto de 2018 aproximadamente 61.234 personas de nacionalidad venezolana habrían ingresado al Ecuador, portando los siguientes documentos: acta de nacimiento 5.224; cedula de identidad nacional 142.008; y pasaporte 465.402. (Medida Cautelar, 2018). Habiéndose registrado desde mayo de 2018 un incremento en el saldo migratorio, pasando de 7.445 personas que permanecieron en territorio ecuatoriano a 14.917 en el mes de abril, con registros diarios de ingreso por los controles migratorios de 2.500 a 3.000 personas venezolanas. (DPE, 2018). También se identificaron niños, niñas y adolescentes (NNA) que habrían ingresado portando en algunos casos solo su partida de nacimiento, debido a que en Venezuela para los menores de 9 </w:t>
      </w:r>
      <w:r w:rsidR="00B93283" w:rsidRPr="00775AE5">
        <w:rPr>
          <w:rFonts w:ascii="Arial" w:hAnsi="Arial" w:cs="Arial"/>
          <w:sz w:val="22"/>
          <w:szCs w:val="22"/>
          <w:lang w:val="es-ES"/>
        </w:rPr>
        <w:t>años</w:t>
      </w:r>
      <w:r w:rsidRPr="00775AE5">
        <w:rPr>
          <w:rFonts w:ascii="Arial" w:hAnsi="Arial" w:cs="Arial"/>
          <w:sz w:val="22"/>
          <w:szCs w:val="22"/>
          <w:lang w:val="es-ES"/>
        </w:rPr>
        <w:t xml:space="preserve"> ese sería su único documento de identificación</w:t>
      </w:r>
      <w:r w:rsidR="0000126E">
        <w:rPr>
          <w:rFonts w:ascii="Arial" w:hAnsi="Arial" w:cs="Arial"/>
          <w:sz w:val="22"/>
          <w:szCs w:val="22"/>
          <w:lang w:val="es-ES"/>
        </w:rPr>
        <w:t>.</w:t>
      </w:r>
    </w:p>
    <w:p w14:paraId="326A1035" w14:textId="77777777" w:rsidR="0000126E" w:rsidRPr="00775AE5" w:rsidRDefault="0000126E" w:rsidP="007134DB">
      <w:pPr>
        <w:spacing w:line="276" w:lineRule="auto"/>
        <w:jc w:val="both"/>
        <w:rPr>
          <w:rFonts w:ascii="Arial" w:hAnsi="Arial" w:cs="Arial"/>
          <w:sz w:val="22"/>
          <w:szCs w:val="22"/>
          <w:lang w:val="es-ES"/>
        </w:rPr>
      </w:pPr>
    </w:p>
    <w:p w14:paraId="65950F7D"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Conforme la información de UNICEF del 01 de enero al 14 de agosto de 2018 habría cruzado la frontera ecuatoriana aproximadamente 5.648 NNA, en su mayoría de nacionalidad venezolana, quienes mayoritariamente no habrían sido registrados en las unidades de control migratorio ubicadas en el Puente Internacional de Rumichaca (Carchi) y San Miguel (Sucumbíos), por lo que su situación migratoria sería irregular (Medida Cautelar, 2018).</w:t>
      </w:r>
    </w:p>
    <w:p w14:paraId="228024CD" w14:textId="77777777" w:rsidR="007134DB" w:rsidRPr="00775AE5" w:rsidRDefault="007134DB" w:rsidP="007134DB">
      <w:pPr>
        <w:spacing w:line="276" w:lineRule="auto"/>
        <w:ind w:firstLine="708"/>
        <w:jc w:val="both"/>
        <w:rPr>
          <w:rFonts w:ascii="Arial" w:hAnsi="Arial" w:cs="Arial"/>
          <w:sz w:val="22"/>
          <w:szCs w:val="22"/>
          <w:lang w:val="es-ES"/>
        </w:rPr>
      </w:pPr>
    </w:p>
    <w:p w14:paraId="29107FA7"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Para el año 2020 el INEC (Instituto Nacional de Estadísticas y Censos) informó que habrían 415835 personas venezolanas en el Ecuador, mientras que el ACNUR (Agencia de la ONU para refugiados) señaló que desde el año 2019, el número de personas con necesidad de protección internacional en el país aumentó en un 285%, así al 30 de marzo del 2023, el Ecuador otorgó refugio a 74.872 personas, siendo además el Ecuador el tercer país a nivel mundial que acogió personas migrantes de Venezuela, el GTRM (Grupo de Trabajo para Refugiados y Migrantes) determinó que en el país alrededor de 500 mil personas venezolanas fueron acogidas.</w:t>
      </w:r>
    </w:p>
    <w:p w14:paraId="78FDDF77" w14:textId="77777777" w:rsidR="007134DB" w:rsidRPr="00775AE5" w:rsidRDefault="007134DB" w:rsidP="007134DB">
      <w:pPr>
        <w:spacing w:line="276" w:lineRule="auto"/>
        <w:ind w:firstLine="708"/>
        <w:jc w:val="both"/>
        <w:rPr>
          <w:rFonts w:ascii="Arial" w:hAnsi="Arial" w:cs="Arial"/>
          <w:sz w:val="22"/>
          <w:szCs w:val="22"/>
          <w:lang w:val="es-ES"/>
        </w:rPr>
      </w:pPr>
      <w:r w:rsidRPr="00775AE5">
        <w:rPr>
          <w:rFonts w:ascii="Arial" w:hAnsi="Arial" w:cs="Arial"/>
          <w:sz w:val="22"/>
          <w:szCs w:val="22"/>
          <w:lang w:val="es-ES"/>
        </w:rPr>
        <w:t xml:space="preserve"> </w:t>
      </w:r>
    </w:p>
    <w:p w14:paraId="3E72C21B"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En este contexto, la Defensoría del Pueblo ha realizado algunas gestiones para alertar y proteger los derechos de las personas venezolanas en contexto de movilidad humana, especialmente aquellas que se encuentran en mayor condición de vulnerabilidad por efecto de la crisis en su lugar de origen que ha provocado dicho desplazamiento. A continuación, apuntamos algunas de las garantías que se activaron por parte de Defensoría del Pueblo:</w:t>
      </w:r>
    </w:p>
    <w:p w14:paraId="538D529C" w14:textId="77777777" w:rsidR="007134DB" w:rsidRPr="00775AE5" w:rsidRDefault="007134DB" w:rsidP="007134DB">
      <w:pPr>
        <w:spacing w:line="276" w:lineRule="auto"/>
        <w:ind w:firstLine="708"/>
        <w:jc w:val="both"/>
        <w:rPr>
          <w:rFonts w:ascii="Arial" w:hAnsi="Arial" w:cs="Arial"/>
          <w:sz w:val="22"/>
          <w:szCs w:val="22"/>
          <w:lang w:val="es-ES"/>
        </w:rPr>
      </w:pPr>
    </w:p>
    <w:p w14:paraId="6FA70B7A" w14:textId="77777777" w:rsidR="007134DB" w:rsidRPr="00775AE5" w:rsidRDefault="007134DB" w:rsidP="00B17DD2">
      <w:pPr>
        <w:numPr>
          <w:ilvl w:val="0"/>
          <w:numId w:val="37"/>
        </w:numPr>
        <w:spacing w:line="276" w:lineRule="auto"/>
        <w:jc w:val="both"/>
        <w:rPr>
          <w:rFonts w:ascii="Arial" w:hAnsi="Arial" w:cs="Arial"/>
          <w:sz w:val="22"/>
          <w:szCs w:val="22"/>
          <w:lang w:val="es-ES"/>
        </w:rPr>
      </w:pPr>
      <w:r w:rsidRPr="00775AE5">
        <w:rPr>
          <w:rFonts w:ascii="Arial" w:hAnsi="Arial" w:cs="Arial"/>
          <w:b/>
          <w:sz w:val="22"/>
          <w:szCs w:val="22"/>
          <w:lang w:val="es-ES"/>
        </w:rPr>
        <w:t>Acción de Medida Cautelar:</w:t>
      </w:r>
      <w:r w:rsidRPr="00775AE5">
        <w:rPr>
          <w:rFonts w:ascii="Arial" w:hAnsi="Arial" w:cs="Arial"/>
          <w:sz w:val="22"/>
          <w:szCs w:val="22"/>
          <w:lang w:val="es-ES"/>
        </w:rPr>
        <w:t xml:space="preserve"> En el marco del anuncio realizado el 16 de agosto de 2018 por el Ministerio del Interior (actualmente Ministerio de Gobierno), mediante el cual señaló que sería obligatorio presentar el pasaporte con vigencia mínima de seis meses para ingresar a Ecuador. La Defensoría del Pueblo del Ecuador, la Defensoría Pública junto a organizaciones de la sociedad civil entre ellas el Centro de Derechos Humanos de la Universidad Católica y la Misión </w:t>
      </w:r>
      <w:proofErr w:type="spellStart"/>
      <w:r w:rsidRPr="00775AE5">
        <w:rPr>
          <w:rFonts w:ascii="Arial" w:hAnsi="Arial" w:cs="Arial"/>
          <w:sz w:val="22"/>
          <w:szCs w:val="22"/>
          <w:lang w:val="es-ES"/>
        </w:rPr>
        <w:t>Scalabriniana</w:t>
      </w:r>
      <w:proofErr w:type="spellEnd"/>
      <w:r w:rsidRPr="00775AE5">
        <w:rPr>
          <w:rFonts w:ascii="Arial" w:hAnsi="Arial" w:cs="Arial"/>
          <w:sz w:val="22"/>
          <w:szCs w:val="22"/>
          <w:lang w:val="es-ES"/>
        </w:rPr>
        <w:t xml:space="preserve">, el 17 de agosto de 2018, interpusieron una acción de  medida cautelar para prevenir la violación a: los derechos a migrar y a la libre circulación (Arts. 40 y 66.14), a solicitar refugio (Art. 41), a la unidad familiar y el interés superior de niños, niñas y adolescentes y sus familias (Arts. 44 y 45), la no discriminación (Art. 11.2), la no regresividad en el ejercicio de derechos y la proporcionalidad (Art. 11.3 y 424), (Medida Cautelar, 2018) todos estos derechos reconocidos en la Constitución de la República del Ecuador, en la Ley Orgánica de Movilidad Humana, el Código de la Niñez y Adolescencia e instrumentos internacionales de derechos humanos ratificados por el Ecuador. </w:t>
      </w:r>
    </w:p>
    <w:p w14:paraId="76703B3B" w14:textId="77777777" w:rsidR="007134DB" w:rsidRPr="00775AE5" w:rsidRDefault="007134DB" w:rsidP="007134DB">
      <w:pPr>
        <w:spacing w:line="276" w:lineRule="auto"/>
        <w:ind w:firstLine="708"/>
        <w:jc w:val="both"/>
        <w:rPr>
          <w:rFonts w:ascii="Arial" w:hAnsi="Arial" w:cs="Arial"/>
          <w:sz w:val="22"/>
          <w:szCs w:val="22"/>
          <w:lang w:val="es-ES"/>
        </w:rPr>
      </w:pPr>
    </w:p>
    <w:p w14:paraId="4A9D46A3" w14:textId="65E511D3"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La demanda de Acción de Medida </w:t>
      </w:r>
      <w:r w:rsidR="00CA38EB" w:rsidRPr="00775AE5">
        <w:rPr>
          <w:rFonts w:ascii="Arial" w:hAnsi="Arial" w:cs="Arial"/>
          <w:sz w:val="22"/>
          <w:szCs w:val="22"/>
          <w:lang w:val="es-ES"/>
        </w:rPr>
        <w:t>Cautelar</w:t>
      </w:r>
      <w:r w:rsidRPr="00775AE5">
        <w:rPr>
          <w:rFonts w:ascii="Arial" w:hAnsi="Arial" w:cs="Arial"/>
          <w:sz w:val="22"/>
          <w:szCs w:val="22"/>
          <w:lang w:val="es-ES"/>
        </w:rPr>
        <w:t xml:space="preserve"> concluyó mediante Providencia de fecha 21 de noviembre de 2018, que en cuya parte principal señaló:</w:t>
      </w:r>
    </w:p>
    <w:p w14:paraId="0EABACF7" w14:textId="77777777" w:rsidR="007134DB" w:rsidRPr="00775AE5" w:rsidRDefault="007134DB" w:rsidP="007134DB">
      <w:pPr>
        <w:spacing w:line="276" w:lineRule="auto"/>
        <w:ind w:firstLine="708"/>
        <w:jc w:val="both"/>
        <w:rPr>
          <w:rFonts w:ascii="Arial" w:hAnsi="Arial" w:cs="Arial"/>
          <w:sz w:val="22"/>
          <w:szCs w:val="22"/>
          <w:lang w:val="es-ES"/>
        </w:rPr>
      </w:pPr>
    </w:p>
    <w:p w14:paraId="6B1739B9" w14:textId="77777777" w:rsidR="007134DB" w:rsidRPr="00775AE5" w:rsidRDefault="007134DB" w:rsidP="00A5012F">
      <w:pPr>
        <w:spacing w:line="276" w:lineRule="auto"/>
        <w:ind w:left="720"/>
        <w:jc w:val="both"/>
        <w:rPr>
          <w:rFonts w:ascii="Arial" w:hAnsi="Arial" w:cs="Arial"/>
          <w:sz w:val="22"/>
          <w:szCs w:val="22"/>
          <w:lang w:val="es-ES"/>
        </w:rPr>
      </w:pPr>
      <w:r w:rsidRPr="00775AE5">
        <w:rPr>
          <w:rFonts w:ascii="Arial" w:hAnsi="Arial" w:cs="Arial"/>
          <w:sz w:val="22"/>
          <w:szCs w:val="22"/>
          <w:lang w:val="es-ES"/>
        </w:rPr>
        <w:t>RESUELVE: Revocar las medidas cautelares otorgadas según la Resolución Oral del 24 de agosto de 2018; y, Resolución notificada por escrito el 28 de agosto de 2018, a las 16h19, en virtud de su cumplimiento total por parte del Ministerio del Interior y el Ministerio de Relaciones Exteriores y Movilidad Humana en el cumplimiento de la resolución en el ámbito de sus competencias establecidas en la ley, por cuanto ha cesado la amenaza de vulneración del derecho por la solicitud del documento de viaje de pasaporte a los ciudadanos venezolanos al ingreso al Ecuador, estando obligadas dichas instituciones al cumplimiento estricto de la ley en esa materia. Una vez ejecutoriado el presente Auto, remítase copia certificada a la Corte Constitucional conforme lo dispone el Art. 38 de la Ley Orgánica de Garantías Jurisdiccionales y Control Constitucional y archívese la causa.</w:t>
      </w:r>
    </w:p>
    <w:p w14:paraId="750E5EAC" w14:textId="77777777" w:rsidR="007134DB" w:rsidRPr="00775AE5" w:rsidRDefault="007134DB" w:rsidP="007134DB">
      <w:pPr>
        <w:spacing w:line="276" w:lineRule="auto"/>
        <w:ind w:firstLine="708"/>
        <w:jc w:val="both"/>
        <w:rPr>
          <w:rFonts w:ascii="Arial" w:hAnsi="Arial" w:cs="Arial"/>
          <w:sz w:val="22"/>
          <w:szCs w:val="22"/>
          <w:lang w:val="es-ES"/>
        </w:rPr>
      </w:pPr>
    </w:p>
    <w:p w14:paraId="4352DF0D"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Es importante anotar que los requisitos adicionales que se estaban pidiendo a la población venezolana no están contemplados en la Ley Orgánica de Movilidad Humana y por ello las medidas adoptadas por el gobierno resultaban restrictivos en el ejercicio del derecho a migrar de las personas venezolanas, toda vez que la citada Ley en el artículo 84 prevé como requisito de ingreso para las personas nacionales de los países sudamericanos el siguiente: </w:t>
      </w:r>
    </w:p>
    <w:p w14:paraId="5D43C538" w14:textId="77777777" w:rsidR="007134DB" w:rsidRPr="00775AE5" w:rsidRDefault="007134DB" w:rsidP="007134DB">
      <w:pPr>
        <w:spacing w:line="276" w:lineRule="auto"/>
        <w:ind w:firstLine="708"/>
        <w:jc w:val="both"/>
        <w:rPr>
          <w:rFonts w:ascii="Arial" w:hAnsi="Arial" w:cs="Arial"/>
          <w:sz w:val="22"/>
          <w:szCs w:val="22"/>
          <w:lang w:val="es-ES"/>
        </w:rPr>
      </w:pPr>
    </w:p>
    <w:p w14:paraId="0BF1EAD6" w14:textId="77777777" w:rsidR="007134DB" w:rsidRPr="00775AE5" w:rsidRDefault="007134DB" w:rsidP="00A5012F">
      <w:pPr>
        <w:spacing w:line="276" w:lineRule="auto"/>
        <w:ind w:left="720"/>
        <w:jc w:val="both"/>
        <w:rPr>
          <w:rFonts w:ascii="Arial" w:hAnsi="Arial" w:cs="Arial"/>
          <w:sz w:val="22"/>
          <w:szCs w:val="22"/>
          <w:lang w:val="es-ES"/>
        </w:rPr>
      </w:pPr>
      <w:r w:rsidRPr="00775AE5">
        <w:rPr>
          <w:rFonts w:ascii="Arial" w:hAnsi="Arial" w:cs="Arial"/>
          <w:sz w:val="22"/>
          <w:szCs w:val="22"/>
          <w:lang w:val="es-ES"/>
        </w:rPr>
        <w:t>Los ciudadanos suramericanos pueden ingresar, circular y salir del territorio ecuatoriano presentando solamente su documento de identificación nacional, por puntos de control migratorio oficiales. Los documentos de identificación emitidos por sus respectivos países constituyen documentos de viaje.</w:t>
      </w:r>
    </w:p>
    <w:p w14:paraId="5ACAC006" w14:textId="77777777" w:rsidR="007134DB" w:rsidRPr="00775AE5" w:rsidRDefault="007134DB" w:rsidP="00A5012F">
      <w:pPr>
        <w:spacing w:line="276" w:lineRule="auto"/>
        <w:ind w:left="720"/>
        <w:jc w:val="both"/>
        <w:rPr>
          <w:rFonts w:ascii="Arial" w:hAnsi="Arial" w:cs="Arial"/>
          <w:sz w:val="22"/>
          <w:szCs w:val="22"/>
          <w:lang w:val="es-ES"/>
        </w:rPr>
      </w:pPr>
    </w:p>
    <w:p w14:paraId="2F358D6F" w14:textId="77777777" w:rsidR="007134DB" w:rsidRPr="00775AE5" w:rsidRDefault="007134DB" w:rsidP="00A5012F">
      <w:pPr>
        <w:spacing w:line="276" w:lineRule="auto"/>
        <w:ind w:left="720"/>
        <w:jc w:val="both"/>
        <w:rPr>
          <w:rFonts w:ascii="Arial" w:hAnsi="Arial" w:cs="Arial"/>
          <w:sz w:val="22"/>
          <w:szCs w:val="22"/>
          <w:lang w:val="es-ES"/>
        </w:rPr>
      </w:pPr>
      <w:r w:rsidRPr="00775AE5">
        <w:rPr>
          <w:rFonts w:ascii="Arial" w:hAnsi="Arial" w:cs="Arial"/>
          <w:sz w:val="22"/>
          <w:szCs w:val="22"/>
          <w:lang w:val="es-ES"/>
        </w:rPr>
        <w:t xml:space="preserve">El Estado ecuatoriano establecerá canales de control migratorio preferenciales para ciudadanos suramericanos en aeropuertos, pasos fronterizos y puertos marítimos.  </w:t>
      </w:r>
    </w:p>
    <w:p w14:paraId="347F9A57" w14:textId="77777777" w:rsidR="007134DB" w:rsidRPr="00775AE5" w:rsidRDefault="007134DB" w:rsidP="007134DB">
      <w:pPr>
        <w:spacing w:line="276" w:lineRule="auto"/>
        <w:ind w:firstLine="708"/>
        <w:jc w:val="both"/>
        <w:rPr>
          <w:rFonts w:ascii="Arial" w:hAnsi="Arial" w:cs="Arial"/>
          <w:sz w:val="22"/>
          <w:szCs w:val="22"/>
          <w:lang w:val="es-ES"/>
        </w:rPr>
      </w:pPr>
    </w:p>
    <w:p w14:paraId="1E50CC3B"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A la vez la exigencia del pasaporte para ingreso al territorio nacional no solo contradice lo establecido en la Constitución de la República del Ecuador (CRE) y la Ley Orgánica de Movilidad Humana (LOMH), sino también amenaza el derecho a solicitar refugio a las personas que requieren de protección internacional. Es decir, dicho requisito condiciona el acceso al sistema puesto que conociendo el contexto político, social y económico de la nación venezolana y las razones por las cuales la población se encuentra migrando de forma masiva, un requisito como el exigido limita las posibilidades de ingreso de las personas en busca de protección internacional.</w:t>
      </w:r>
    </w:p>
    <w:p w14:paraId="1CB7B7FF" w14:textId="77777777" w:rsidR="007134DB" w:rsidRPr="00775AE5" w:rsidRDefault="007134DB" w:rsidP="007134DB">
      <w:pPr>
        <w:spacing w:line="276" w:lineRule="auto"/>
        <w:ind w:firstLine="708"/>
        <w:jc w:val="both"/>
        <w:rPr>
          <w:rFonts w:ascii="Arial" w:hAnsi="Arial" w:cs="Arial"/>
          <w:sz w:val="22"/>
          <w:szCs w:val="22"/>
          <w:lang w:val="es-ES"/>
        </w:rPr>
      </w:pPr>
    </w:p>
    <w:p w14:paraId="4F1A6CD4"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Tomando en cuenta las circunstancias y la crisis institucional por la que atravesaba la nación venezolana, exigir un pasaporte válido y vigente para el ingreso al territorio ecuatoriano a niños, niñas, adolescentes y a sus padres en calidad de turistas, transeúntes o con ánimo de permanencia limita los derechos a la libre movilidad y a la protección integral, especialmente cuando se trata de niños, niñas o adolescentes no acompañados. Si se toma en cuenta los estándares señalados por la Corte Interamericana de Derechos Humanos en la Opinión Consultiva No. 14, o los estándares señalados por los Comités de Naciones Unidas en la Observación General No.14 del Comité de los Derechos del Niño (CRC), así como en las Observaciones Generales Conjuntas No. 3 del Comité de Protección de los Derechos de Todos los Trabajadores Migratorios y de sus Familias (CMW) y No. 22 del Comité de los Derechos del Niño (CRC) sobre los principios generales relativos a los derechos humanos de los niños en el contexto de la migración internacional y la Observación General Conjunta No. 4 CMW y No.23 CRC sobre las obligaciones de los Estados relativas a los derechos humanos de los niños en el contexto de la migración internacional, los países de origen, tránsito, destino y retorno deben ofrecer las debidas garantías de protección y ejercicio de derechos a este grupo por su condición de doble vulnerabilidad.</w:t>
      </w:r>
    </w:p>
    <w:p w14:paraId="43CDEDE3" w14:textId="77777777" w:rsidR="007134DB" w:rsidRPr="00775AE5" w:rsidRDefault="007134DB" w:rsidP="007134DB">
      <w:pPr>
        <w:spacing w:line="276" w:lineRule="auto"/>
        <w:ind w:firstLine="708"/>
        <w:jc w:val="both"/>
        <w:rPr>
          <w:rFonts w:ascii="Arial" w:hAnsi="Arial" w:cs="Arial"/>
          <w:sz w:val="22"/>
          <w:szCs w:val="22"/>
          <w:lang w:val="es-ES"/>
        </w:rPr>
      </w:pPr>
    </w:p>
    <w:p w14:paraId="4E2BF462"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El Estado tiene un rol fundamental a través de sus autoridades administrativas, judiciales y legislativas de brindar una adecuada y efectiva protección,  por tanto las medidas o decisiones que adopten deberán hacerlas teniendo en cuenta el principio del interés superior del niño, así como las condiciones que rodean a los NNA migrantes puesto que se encuentran en mayor riesgo y exposición a las redes de delincuencia, redes de trata y tráfico de personas, faltas de garantía al debido proceso, obstáculos en el acceso a la información,  entre otras.  </w:t>
      </w:r>
    </w:p>
    <w:p w14:paraId="074B220E" w14:textId="77777777" w:rsidR="007134DB" w:rsidRPr="00775AE5" w:rsidRDefault="007134DB" w:rsidP="007134DB">
      <w:pPr>
        <w:spacing w:line="276" w:lineRule="auto"/>
        <w:ind w:firstLine="708"/>
        <w:jc w:val="both"/>
        <w:rPr>
          <w:rFonts w:ascii="Arial" w:hAnsi="Arial" w:cs="Arial"/>
          <w:sz w:val="22"/>
          <w:szCs w:val="22"/>
          <w:lang w:val="es-ES"/>
        </w:rPr>
      </w:pPr>
    </w:p>
    <w:p w14:paraId="68662D61" w14:textId="77777777" w:rsidR="007134DB" w:rsidRPr="00775AE5" w:rsidRDefault="007134DB" w:rsidP="00B17DD2">
      <w:pPr>
        <w:numPr>
          <w:ilvl w:val="0"/>
          <w:numId w:val="37"/>
        </w:numPr>
        <w:spacing w:line="276" w:lineRule="auto"/>
        <w:jc w:val="both"/>
        <w:rPr>
          <w:rFonts w:ascii="Arial" w:hAnsi="Arial" w:cs="Arial"/>
          <w:sz w:val="22"/>
          <w:szCs w:val="22"/>
          <w:lang w:val="es-ES"/>
        </w:rPr>
      </w:pPr>
      <w:r w:rsidRPr="00775AE5">
        <w:rPr>
          <w:rFonts w:ascii="Arial" w:hAnsi="Arial" w:cs="Arial"/>
          <w:b/>
          <w:sz w:val="22"/>
          <w:szCs w:val="22"/>
          <w:lang w:val="es-ES"/>
        </w:rPr>
        <w:t>Acción de inconstitucionalidad:</w:t>
      </w:r>
      <w:r w:rsidRPr="00775AE5">
        <w:rPr>
          <w:rFonts w:ascii="Arial" w:hAnsi="Arial" w:cs="Arial"/>
          <w:sz w:val="22"/>
          <w:szCs w:val="22"/>
          <w:lang w:val="es-ES"/>
        </w:rPr>
        <w:t xml:space="preserve"> En virtud de los requisitos que el Estado ecuatoriano adoptó para limitar la migración de la población venezolana, la DPE interpuso ante la Corte Constitucional una demanda Acción Pública de Inconstitucionalidad y medida cautelar, por lo que el 27 de marzo de 2019 la Corte emitió el auto de admisibilidad, avocando conocimiento bajo la causa No. 0014-19-IN. </w:t>
      </w:r>
    </w:p>
    <w:p w14:paraId="32E7C838" w14:textId="77777777" w:rsidR="007134DB" w:rsidRPr="00775AE5" w:rsidRDefault="007134DB" w:rsidP="007134DB">
      <w:pPr>
        <w:spacing w:line="276" w:lineRule="auto"/>
        <w:ind w:firstLine="708"/>
        <w:jc w:val="both"/>
        <w:rPr>
          <w:rFonts w:ascii="Arial" w:hAnsi="Arial" w:cs="Arial"/>
          <w:sz w:val="22"/>
          <w:szCs w:val="22"/>
          <w:lang w:val="es-ES"/>
        </w:rPr>
      </w:pPr>
    </w:p>
    <w:p w14:paraId="00F8C7FE" w14:textId="1BA1931D"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La demanda presentada fue motivada por los siguientes acuerdos ministeriales: i) Acuerdo </w:t>
      </w:r>
      <w:proofErr w:type="spellStart"/>
      <w:r w:rsidRPr="00775AE5">
        <w:rPr>
          <w:rFonts w:ascii="Arial" w:hAnsi="Arial" w:cs="Arial"/>
          <w:sz w:val="22"/>
          <w:szCs w:val="22"/>
          <w:lang w:val="es-ES"/>
        </w:rPr>
        <w:t>Nº</w:t>
      </w:r>
      <w:proofErr w:type="spellEnd"/>
      <w:r w:rsidRPr="00775AE5">
        <w:rPr>
          <w:rFonts w:ascii="Arial" w:hAnsi="Arial" w:cs="Arial"/>
          <w:sz w:val="22"/>
          <w:szCs w:val="22"/>
          <w:lang w:val="es-ES"/>
        </w:rPr>
        <w:t xml:space="preserve"> 000242 de 16 de agosto de 2018 por el cual el gobierno estableció que las personas presenten para el ingreso su pasaporte con vigencia mínima de seis meses previo la caducidad del documento. </w:t>
      </w:r>
      <w:proofErr w:type="spellStart"/>
      <w:r w:rsidRPr="00775AE5">
        <w:rPr>
          <w:rFonts w:ascii="Arial" w:hAnsi="Arial" w:cs="Arial"/>
          <w:sz w:val="22"/>
          <w:szCs w:val="22"/>
          <w:lang w:val="es-ES"/>
        </w:rPr>
        <w:t>ii</w:t>
      </w:r>
      <w:proofErr w:type="spellEnd"/>
      <w:r w:rsidRPr="00775AE5">
        <w:rPr>
          <w:rFonts w:ascii="Arial" w:hAnsi="Arial" w:cs="Arial"/>
          <w:sz w:val="22"/>
          <w:szCs w:val="22"/>
          <w:lang w:val="es-ES"/>
        </w:rPr>
        <w:t xml:space="preserve">) </w:t>
      </w:r>
      <w:r w:rsidR="00E353C5" w:rsidRPr="00775AE5">
        <w:rPr>
          <w:rFonts w:ascii="Arial" w:hAnsi="Arial" w:cs="Arial"/>
          <w:sz w:val="22"/>
          <w:szCs w:val="22"/>
          <w:lang w:val="es-ES"/>
        </w:rPr>
        <w:t>El Acuerdo</w:t>
      </w:r>
      <w:r w:rsidRPr="00775AE5">
        <w:rPr>
          <w:rFonts w:ascii="Arial" w:hAnsi="Arial" w:cs="Arial"/>
          <w:sz w:val="22"/>
          <w:szCs w:val="22"/>
          <w:lang w:val="es-ES"/>
        </w:rPr>
        <w:t xml:space="preserve"> </w:t>
      </w:r>
      <w:r w:rsidR="00CA38EB" w:rsidRPr="00775AE5">
        <w:rPr>
          <w:rFonts w:ascii="Arial" w:hAnsi="Arial" w:cs="Arial"/>
          <w:sz w:val="22"/>
          <w:szCs w:val="22"/>
          <w:lang w:val="es-ES"/>
        </w:rPr>
        <w:t>N.º</w:t>
      </w:r>
      <w:r w:rsidRPr="00775AE5">
        <w:rPr>
          <w:rFonts w:ascii="Arial" w:hAnsi="Arial" w:cs="Arial"/>
          <w:sz w:val="22"/>
          <w:szCs w:val="22"/>
          <w:lang w:val="es-ES"/>
        </w:rPr>
        <w:t xml:space="preserve"> 000244 de 22 de agosto de 2018 que establecía como requisito para el ingreso al país de ciudadanos venezolanos la presentación </w:t>
      </w:r>
      <w:r w:rsidR="00CA38EB" w:rsidRPr="00775AE5">
        <w:rPr>
          <w:rFonts w:ascii="Arial" w:hAnsi="Arial" w:cs="Arial"/>
          <w:sz w:val="22"/>
          <w:szCs w:val="22"/>
          <w:lang w:val="es-ES"/>
        </w:rPr>
        <w:t>de certificados</w:t>
      </w:r>
      <w:r w:rsidRPr="00775AE5">
        <w:rPr>
          <w:rFonts w:ascii="Arial" w:hAnsi="Arial" w:cs="Arial"/>
          <w:sz w:val="22"/>
          <w:szCs w:val="22"/>
          <w:lang w:val="es-ES"/>
        </w:rPr>
        <w:t xml:space="preserve"> de validez de la cedula de identidad a todas aquellas personas que no ingresen con su pasaporte vigente sino la cédula de identidad. Dicho documento debía ser verificado y validados en los puntos autorizados bajo las siguientes condiciones: a) Presentación de un certificado de validez de la cedula de identidad, emitido por un organismo regional o internacional reconocido por el Gobierno del Ecuador; b) Presentación de un certificado de validez de la cedula de identidad emitido por las entidades autorizadas al efecto por el Gobierno de la República Bolivariana de Venezuela, debidamente apostillada.  </w:t>
      </w:r>
    </w:p>
    <w:p w14:paraId="631CFEDD" w14:textId="77777777" w:rsidR="007134DB" w:rsidRPr="00775AE5" w:rsidRDefault="007134DB" w:rsidP="007134DB">
      <w:pPr>
        <w:spacing w:line="276" w:lineRule="auto"/>
        <w:ind w:firstLine="708"/>
        <w:jc w:val="both"/>
        <w:rPr>
          <w:rFonts w:ascii="Arial" w:hAnsi="Arial" w:cs="Arial"/>
          <w:sz w:val="22"/>
          <w:szCs w:val="22"/>
          <w:lang w:val="es-ES"/>
        </w:rPr>
      </w:pPr>
    </w:p>
    <w:p w14:paraId="6A6A48D6"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Acuerdo Interministerial No. 0000001 de 21 de enero de 2019 y el Acuerdo Interministerial No. 0000002 de 1 de febrero de 2019, por los cuales se imponían otros requisitos a ciudadanos de nacionalidad venezolana como la presentación del certificado de antecedentes penales debidamente apostillados o legalizados del país de origen o de residencia de los últimos cinco años. </w:t>
      </w:r>
    </w:p>
    <w:p w14:paraId="0A793C45" w14:textId="77777777" w:rsidR="007134DB" w:rsidRPr="00775AE5" w:rsidRDefault="007134DB" w:rsidP="007134DB">
      <w:pPr>
        <w:spacing w:line="276" w:lineRule="auto"/>
        <w:ind w:firstLine="708"/>
        <w:jc w:val="both"/>
        <w:rPr>
          <w:rFonts w:ascii="Arial" w:hAnsi="Arial" w:cs="Arial"/>
          <w:sz w:val="22"/>
          <w:szCs w:val="22"/>
          <w:lang w:val="es-ES"/>
        </w:rPr>
      </w:pPr>
    </w:p>
    <w:p w14:paraId="6809E693"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La demanda de inconstitucionalidad consideró que los citados acuerdos ministeriales e interministeriales vulneran al derecho a la igualdad y no discriminación establecida en el artículo 11.2 de la Constitución de la República del Ecuador, por establecer exclusivamente a las personas de nacionalidad venezolana requisitos especiales para su ingreso a territorio nacional en base a categorías sospechosas de discriminación como el lugar de nacimiento, pasado judicial y condición migratoria contradiciendo lo establecido en el citado artículo, por lo cual impediría el ejercicio del derecho a migrar reconocido en el artículo 40, y la libre circulación establecido en el artículo 66.14 de la CRE.</w:t>
      </w:r>
    </w:p>
    <w:p w14:paraId="5EDF887E" w14:textId="77777777" w:rsidR="007134DB" w:rsidRPr="00775AE5" w:rsidRDefault="007134DB" w:rsidP="007134DB">
      <w:pPr>
        <w:spacing w:line="276" w:lineRule="auto"/>
        <w:ind w:firstLine="708"/>
        <w:jc w:val="both"/>
        <w:rPr>
          <w:rFonts w:ascii="Arial" w:hAnsi="Arial" w:cs="Arial"/>
          <w:sz w:val="22"/>
          <w:szCs w:val="22"/>
          <w:lang w:val="es-ES"/>
        </w:rPr>
      </w:pPr>
    </w:p>
    <w:p w14:paraId="4084239D"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Cabe señalar, que si bien los Estados tienen la potestad soberana de establecer sus políticas migratorias entre las que se incluye la definición de requisitos de ingreso o permanencia, estas deben enmarcarse en el respeto de los estándares internacionales, las leyes internas y dicha aplicación no debe significar un trato discriminatorio. En tal sentido las medidas adoptadas por el gobierno ecuatoriano han resultado discriminatorias hacia las personas de nacionalidad venezolana. </w:t>
      </w:r>
    </w:p>
    <w:p w14:paraId="28570FB5" w14:textId="77777777" w:rsidR="007134DB" w:rsidRPr="00775AE5" w:rsidRDefault="007134DB" w:rsidP="007134DB">
      <w:pPr>
        <w:spacing w:line="276" w:lineRule="auto"/>
        <w:ind w:firstLine="708"/>
        <w:jc w:val="both"/>
        <w:rPr>
          <w:rFonts w:ascii="Arial" w:hAnsi="Arial" w:cs="Arial"/>
          <w:sz w:val="22"/>
          <w:szCs w:val="22"/>
          <w:lang w:val="es-ES"/>
        </w:rPr>
      </w:pPr>
    </w:p>
    <w:p w14:paraId="2F026C25"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El artículo 424 de la CRE establece algunas condiciones específicas que los órganos de potestad normativa deben tener en cuenta, a fin de que las normas de rango inferior guarden armonía con lo establecido en la CRE como norma suprema. Bajo la premisa revisada los actos del poder público deben guardar armonía con la Constitución de la </w:t>
      </w:r>
      <w:proofErr w:type="spellStart"/>
      <w:r w:rsidRPr="00775AE5">
        <w:rPr>
          <w:rFonts w:ascii="Arial" w:hAnsi="Arial" w:cs="Arial"/>
          <w:sz w:val="22"/>
          <w:szCs w:val="22"/>
          <w:lang w:val="es-ES"/>
        </w:rPr>
        <w:t>Republica</w:t>
      </w:r>
      <w:proofErr w:type="spellEnd"/>
      <w:r w:rsidRPr="00775AE5">
        <w:rPr>
          <w:rFonts w:ascii="Arial" w:hAnsi="Arial" w:cs="Arial"/>
          <w:sz w:val="22"/>
          <w:szCs w:val="22"/>
          <w:lang w:val="es-ES"/>
        </w:rPr>
        <w:t xml:space="preserve">, las leyes de la materia y los instrumentos internacionales sobre derechos humanos, con lo que la tomar las medidas restrictivas se ha afectado la seguridad jurídica y ha ocasionado regresividad en el ejercicio efectivo de los derechos de las personas en movilidad humana, especialmente de la población venezolana. </w:t>
      </w:r>
    </w:p>
    <w:p w14:paraId="0AFB95AC" w14:textId="77777777" w:rsidR="007134DB" w:rsidRPr="00775AE5" w:rsidRDefault="007134DB" w:rsidP="007134DB">
      <w:pPr>
        <w:spacing w:line="276" w:lineRule="auto"/>
        <w:ind w:firstLine="708"/>
        <w:jc w:val="both"/>
        <w:rPr>
          <w:rFonts w:ascii="Arial" w:hAnsi="Arial" w:cs="Arial"/>
          <w:sz w:val="22"/>
          <w:szCs w:val="22"/>
          <w:lang w:val="es-ES"/>
        </w:rPr>
      </w:pPr>
    </w:p>
    <w:p w14:paraId="70A98CDF" w14:textId="77777777" w:rsidR="00A5012F" w:rsidRPr="00775AE5" w:rsidRDefault="00A5012F" w:rsidP="00A5012F">
      <w:pPr>
        <w:spacing w:line="276" w:lineRule="auto"/>
        <w:jc w:val="both"/>
        <w:rPr>
          <w:rFonts w:ascii="Arial" w:hAnsi="Arial" w:cs="Arial"/>
          <w:sz w:val="22"/>
          <w:szCs w:val="22"/>
          <w:lang w:val="es-ES"/>
        </w:rPr>
      </w:pPr>
      <w:r w:rsidRPr="00775AE5">
        <w:rPr>
          <w:rFonts w:ascii="Arial" w:hAnsi="Arial" w:cs="Arial"/>
          <w:sz w:val="22"/>
          <w:szCs w:val="22"/>
          <w:lang w:val="es-ES"/>
        </w:rPr>
        <w:t>En este marco,  la Corte Constitucional aceptó la acción pública de inconstitucionalidad 14-19-IN y declara la inconstitucionalidad de las disposiciones contenidas en el artículo 1 del acuerdo ministerial 244 expedido el 22 de agosto de 2018 por el MREMH, en los artículos 1 y 3 del acuerdo interministerial 1 emitido el 21 de enero de 2019 por el MREMH y el Ministerio del Interior y el artículo único del acuerdo interministerial 2 expedido el 1 de febrero de 2019 por el MREMH y el Ministerio del Interior y del artículo único del acuerdo ministerial 242 dictado el 16 de agosto de 2022 por el MREMH por ser contrario al derecho a migrar.</w:t>
      </w:r>
    </w:p>
    <w:p w14:paraId="338E395A" w14:textId="77777777" w:rsidR="00A5012F" w:rsidRPr="00775AE5" w:rsidRDefault="00A5012F" w:rsidP="00A5012F">
      <w:pPr>
        <w:spacing w:line="276" w:lineRule="auto"/>
        <w:ind w:firstLine="708"/>
        <w:jc w:val="both"/>
        <w:rPr>
          <w:rFonts w:ascii="Arial" w:hAnsi="Arial" w:cs="Arial"/>
          <w:sz w:val="22"/>
          <w:szCs w:val="22"/>
          <w:lang w:val="es-ES"/>
        </w:rPr>
      </w:pPr>
    </w:p>
    <w:p w14:paraId="723B12BA" w14:textId="77777777" w:rsidR="007134DB" w:rsidRPr="00775AE5" w:rsidRDefault="00A5012F" w:rsidP="00A5012F">
      <w:pPr>
        <w:spacing w:line="276" w:lineRule="auto"/>
        <w:jc w:val="both"/>
        <w:rPr>
          <w:rFonts w:ascii="Arial" w:hAnsi="Arial" w:cs="Arial"/>
          <w:sz w:val="22"/>
          <w:szCs w:val="22"/>
          <w:lang w:val="es-ES"/>
        </w:rPr>
      </w:pPr>
      <w:r w:rsidRPr="00775AE5">
        <w:rPr>
          <w:rFonts w:ascii="Arial" w:hAnsi="Arial" w:cs="Arial"/>
          <w:sz w:val="22"/>
          <w:szCs w:val="22"/>
          <w:lang w:val="es-ES"/>
        </w:rPr>
        <w:t>La Corte Constitucional reconoce la potestad del Estado para establecer regulaciones a la migración y de las autoridades estatales de promover mecanismos que posibiliten el ejercicio del derecho de movilidad humana y libertad de tránsito de las personas con base en políticas migratorias inclusivas y respetuosas de los derechos humanos. Las restricciones deben ser necesarias y reconocidas expresamente en la Ley Orgánica de Movilidad Humana, por lo que, la medida adoptada no es proporcional y se declara la inconstitucionalidad en base a que no genera mecanismos onerosos para la población migrante que sobre todo se encuentra en situación de vulnerabilidad y requieren de protección reforzada como es el caso de niños/niñas, adolescentes, mujeres embarazadas.</w:t>
      </w:r>
    </w:p>
    <w:p w14:paraId="5F4A4C06" w14:textId="77777777" w:rsidR="00A5012F" w:rsidRPr="00775AE5" w:rsidRDefault="00A5012F" w:rsidP="00A5012F">
      <w:pPr>
        <w:spacing w:line="276" w:lineRule="auto"/>
        <w:jc w:val="both"/>
        <w:rPr>
          <w:rFonts w:ascii="Arial" w:hAnsi="Arial" w:cs="Arial"/>
          <w:sz w:val="22"/>
          <w:szCs w:val="22"/>
          <w:lang w:val="es-ES"/>
        </w:rPr>
      </w:pPr>
    </w:p>
    <w:p w14:paraId="40537618" w14:textId="77777777" w:rsidR="007134DB" w:rsidRPr="00775AE5" w:rsidRDefault="007134DB" w:rsidP="00B17DD2">
      <w:pPr>
        <w:numPr>
          <w:ilvl w:val="0"/>
          <w:numId w:val="37"/>
        </w:numPr>
        <w:spacing w:line="276" w:lineRule="auto"/>
        <w:jc w:val="both"/>
        <w:rPr>
          <w:rFonts w:ascii="Arial" w:hAnsi="Arial" w:cs="Arial"/>
          <w:sz w:val="22"/>
          <w:szCs w:val="22"/>
          <w:lang w:val="es-ES"/>
        </w:rPr>
      </w:pPr>
      <w:r w:rsidRPr="00775AE5">
        <w:rPr>
          <w:rFonts w:ascii="Arial" w:hAnsi="Arial" w:cs="Arial"/>
          <w:b/>
          <w:sz w:val="22"/>
          <w:szCs w:val="22"/>
          <w:lang w:val="es-ES"/>
        </w:rPr>
        <w:t>Acción de protección:</w:t>
      </w:r>
      <w:r w:rsidRPr="00775AE5">
        <w:rPr>
          <w:rFonts w:ascii="Arial" w:hAnsi="Arial" w:cs="Arial"/>
          <w:sz w:val="22"/>
          <w:szCs w:val="22"/>
          <w:lang w:val="es-ES"/>
        </w:rPr>
        <w:t xml:space="preserve"> La Defensoría del Pueblo interpuso una garantía jurisdiccional en el marco de dos expulsiones colectivas realizadas: la primera el 26 de febrero de 2019 y la segunda el 13 de marzo de 2019.</w:t>
      </w:r>
    </w:p>
    <w:p w14:paraId="5CE6507B" w14:textId="77777777" w:rsidR="007134DB" w:rsidRPr="00775AE5" w:rsidRDefault="007134DB" w:rsidP="007134DB">
      <w:pPr>
        <w:spacing w:line="276" w:lineRule="auto"/>
        <w:ind w:firstLine="708"/>
        <w:jc w:val="both"/>
        <w:rPr>
          <w:rFonts w:ascii="Arial" w:hAnsi="Arial" w:cs="Arial"/>
          <w:sz w:val="22"/>
          <w:szCs w:val="22"/>
          <w:lang w:val="es-ES"/>
        </w:rPr>
      </w:pPr>
    </w:p>
    <w:p w14:paraId="0AAA6FC1" w14:textId="77777777" w:rsidR="007134DB" w:rsidRPr="00775AE5" w:rsidRDefault="007134DB" w:rsidP="00B17DD2">
      <w:pPr>
        <w:numPr>
          <w:ilvl w:val="0"/>
          <w:numId w:val="38"/>
        </w:numPr>
        <w:spacing w:line="276" w:lineRule="auto"/>
        <w:jc w:val="both"/>
        <w:rPr>
          <w:rFonts w:ascii="Arial" w:hAnsi="Arial" w:cs="Arial"/>
          <w:sz w:val="22"/>
          <w:szCs w:val="22"/>
          <w:lang w:val="es-ES"/>
        </w:rPr>
      </w:pPr>
      <w:r w:rsidRPr="00775AE5">
        <w:rPr>
          <w:rFonts w:ascii="Arial" w:hAnsi="Arial" w:cs="Arial"/>
          <w:sz w:val="22"/>
          <w:szCs w:val="22"/>
          <w:lang w:val="es-ES"/>
        </w:rPr>
        <w:t>El primer caso (26/02/2019) se suscitó cuando un grupo de 22 personas de nacionalidad venezolana conformado por: 19 de hombres, 3 mujeres en el rango de 17 a 37 años, 2 niños de brazo fueron objeto de la acción policial tras haber ingresado aproximadamente 500 metros a territorio ecuatoriano por un paso no regulado cerca del puente Internacional de Rumichaca. Las personas fueron interceptadas por un grupo de operaciones especiales de la Policía Nacional, acompañado de personal motorizado y patrullas, indicando a la gente que debían abandonar el Ecuador y escoltándolos todo el trayecto hasta el puente internacional obligándolos a salir del Ecuador y retornar hacia Colombia.</w:t>
      </w:r>
    </w:p>
    <w:p w14:paraId="478DF643" w14:textId="77777777" w:rsidR="007134DB" w:rsidRPr="00775AE5" w:rsidRDefault="007134DB" w:rsidP="007134DB">
      <w:pPr>
        <w:spacing w:line="276" w:lineRule="auto"/>
        <w:ind w:firstLine="708"/>
        <w:jc w:val="both"/>
        <w:rPr>
          <w:rFonts w:ascii="Arial" w:hAnsi="Arial" w:cs="Arial"/>
          <w:sz w:val="22"/>
          <w:szCs w:val="22"/>
          <w:lang w:val="es-ES"/>
        </w:rPr>
      </w:pPr>
    </w:p>
    <w:p w14:paraId="2C2D3631"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En una entrevista realizada por el personal de la DPE a las personas expulsadas manifestaron que su destino era llegar a Perú sin la intención de permanecer en Ecuador y dijeron haber optado por ingresar a Ecuador de manera irregular porque fueron inadmitidos en el filtro migratorio debido a que no contaban con el certificado de antecedentes penales. Además, las personas señalaron que resultaba imposible acceder a los antecedentes penales apostillados en Venezuela, dado que la página web a través de la cual obtienen la cita para el trámite se encuentra inhabilitada. Así mismo indicaron que el personal del CICPC (Cuerpo de Investigaciones Científicas, Penales y Criminalísticas) les habrían amenazado indicando que “no insistan para la obtención del documento o serian privados de la libertad”. (Acción de Protección No. 04243-2019-00001, 2019)</w:t>
      </w:r>
    </w:p>
    <w:p w14:paraId="5D84C513" w14:textId="77777777" w:rsidR="007134DB" w:rsidRPr="00775AE5" w:rsidRDefault="007134DB" w:rsidP="007134DB">
      <w:pPr>
        <w:spacing w:line="276" w:lineRule="auto"/>
        <w:ind w:firstLine="708"/>
        <w:jc w:val="both"/>
        <w:rPr>
          <w:rFonts w:ascii="Arial" w:hAnsi="Arial" w:cs="Arial"/>
          <w:sz w:val="22"/>
          <w:szCs w:val="22"/>
          <w:lang w:val="es-ES"/>
        </w:rPr>
      </w:pPr>
      <w:r w:rsidRPr="00775AE5">
        <w:rPr>
          <w:rFonts w:ascii="Arial" w:hAnsi="Arial" w:cs="Arial"/>
          <w:sz w:val="22"/>
          <w:szCs w:val="22"/>
          <w:lang w:val="es-ES"/>
        </w:rPr>
        <w:tab/>
      </w:r>
    </w:p>
    <w:p w14:paraId="49894A7C" w14:textId="77777777" w:rsidR="007134DB" w:rsidRPr="00775AE5" w:rsidRDefault="007134DB" w:rsidP="007134DB">
      <w:pPr>
        <w:spacing w:line="276" w:lineRule="auto"/>
        <w:jc w:val="both"/>
        <w:rPr>
          <w:rFonts w:ascii="Arial" w:hAnsi="Arial" w:cs="Arial"/>
          <w:sz w:val="22"/>
          <w:szCs w:val="22"/>
          <w:lang w:val="es-ES"/>
        </w:rPr>
      </w:pPr>
      <w:r w:rsidRPr="00775AE5">
        <w:rPr>
          <w:rFonts w:ascii="Arial" w:hAnsi="Arial" w:cs="Arial"/>
          <w:sz w:val="22"/>
          <w:szCs w:val="22"/>
          <w:lang w:val="es-ES"/>
        </w:rPr>
        <w:t xml:space="preserve">Cabe señalar que se conoce que para obtener un pasaporte las personas deben pagar entre $200 a $1200, valor que resulta inalcanzable por su situación económica. Tras este hecho la Delegación de la Defensoría del Pueblo de Carchi, interpuso una acción de protección por haber vulnerado la prohibición de expulsión colectiva (Art. 66.14) de la CRE, la garantía de respecto al derecho al debido proceso (Art. 76), el derecho a solicitar refugio y el principio de no devolución (Art. 41), el derecho a migrar y a la no criminalización (Art. 40). (Acción de </w:t>
      </w:r>
      <w:r w:rsidR="00F150FF" w:rsidRPr="00775AE5">
        <w:rPr>
          <w:rFonts w:ascii="Arial" w:hAnsi="Arial" w:cs="Arial"/>
          <w:sz w:val="22"/>
          <w:szCs w:val="22"/>
          <w:lang w:val="es-ES"/>
        </w:rPr>
        <w:t>Protección,</w:t>
      </w:r>
      <w:r w:rsidRPr="00775AE5">
        <w:rPr>
          <w:rFonts w:ascii="Arial" w:hAnsi="Arial" w:cs="Arial"/>
          <w:sz w:val="22"/>
          <w:szCs w:val="22"/>
          <w:lang w:val="es-ES"/>
        </w:rPr>
        <w:t xml:space="preserve"> 2019) </w:t>
      </w:r>
    </w:p>
    <w:p w14:paraId="32FB560F" w14:textId="77777777" w:rsidR="007134DB" w:rsidRPr="00775AE5" w:rsidRDefault="007134DB" w:rsidP="007134DB">
      <w:pPr>
        <w:spacing w:line="276" w:lineRule="auto"/>
        <w:ind w:firstLine="708"/>
        <w:jc w:val="both"/>
        <w:rPr>
          <w:rFonts w:ascii="Arial" w:hAnsi="Arial" w:cs="Arial"/>
          <w:sz w:val="22"/>
          <w:szCs w:val="22"/>
          <w:lang w:val="es-ES"/>
        </w:rPr>
      </w:pPr>
    </w:p>
    <w:p w14:paraId="6F213D36" w14:textId="77777777" w:rsidR="007134DB" w:rsidRPr="00775AE5" w:rsidRDefault="007134DB" w:rsidP="00B17DD2">
      <w:pPr>
        <w:numPr>
          <w:ilvl w:val="0"/>
          <w:numId w:val="38"/>
        </w:numPr>
        <w:spacing w:line="276" w:lineRule="auto"/>
        <w:jc w:val="both"/>
        <w:rPr>
          <w:rFonts w:ascii="Arial" w:hAnsi="Arial" w:cs="Arial"/>
          <w:sz w:val="22"/>
          <w:szCs w:val="22"/>
          <w:lang w:val="es-ES"/>
        </w:rPr>
      </w:pPr>
      <w:r w:rsidRPr="00775AE5">
        <w:rPr>
          <w:rFonts w:ascii="Arial" w:hAnsi="Arial" w:cs="Arial"/>
          <w:sz w:val="22"/>
          <w:szCs w:val="22"/>
          <w:lang w:val="es-ES"/>
        </w:rPr>
        <w:t xml:space="preserve">El segundo caso se dio el 13 de marzo de 2019, cuando un grupo de 7 personas venezolanas ingresaron a Ecuador por un paso no regulado cercano a la parroquia Urbina del Cantón Tulcán en la Provincia de Carchi, al norte del país. Mientras las personas caminaban por la vía Panamericana dentro del territorio ecuatoriano, fueron abordadas por agentes de la Policía Nacional que patrullaban el lugar, quienes solicitaron a este grupo de personas que debían salir del país, escoltándoles hasta la frontera y obligándolos a abandonar el territorio ecuatoriano. (Acción de Protección y Medida Cautelar, 2019) </w:t>
      </w:r>
    </w:p>
    <w:p w14:paraId="6936308F" w14:textId="77777777" w:rsidR="007134DB" w:rsidRPr="00775AE5" w:rsidRDefault="007134DB" w:rsidP="007134DB">
      <w:pPr>
        <w:spacing w:line="276" w:lineRule="auto"/>
        <w:ind w:firstLine="708"/>
        <w:jc w:val="both"/>
        <w:rPr>
          <w:rFonts w:ascii="Arial" w:hAnsi="Arial" w:cs="Arial"/>
          <w:sz w:val="22"/>
          <w:szCs w:val="22"/>
          <w:lang w:val="es-ES"/>
        </w:rPr>
      </w:pPr>
    </w:p>
    <w:p w14:paraId="5EF1C62C" w14:textId="77777777" w:rsidR="007134DB" w:rsidRPr="00775AE5" w:rsidRDefault="007134DB" w:rsidP="00B12EF3">
      <w:pPr>
        <w:spacing w:line="276" w:lineRule="auto"/>
        <w:jc w:val="both"/>
        <w:rPr>
          <w:rFonts w:ascii="Arial" w:hAnsi="Arial" w:cs="Arial"/>
          <w:sz w:val="22"/>
          <w:szCs w:val="22"/>
          <w:lang w:val="es-ES"/>
        </w:rPr>
      </w:pPr>
      <w:r w:rsidRPr="00775AE5">
        <w:rPr>
          <w:rFonts w:ascii="Arial" w:hAnsi="Arial" w:cs="Arial"/>
          <w:sz w:val="22"/>
          <w:szCs w:val="22"/>
          <w:lang w:val="es-ES"/>
        </w:rPr>
        <w:t xml:space="preserve">Este hecho ocasionó la interposición de una nueva demanda de acción de protección y medida cautelar, que recayó en la Unidad Judicial Civil con Sede en el Cantón Tulcán de la Provincia de Cachi, expediente No.04333-2019-00190, por haber vulnerado los derechos la prohibición de expulsión colectiva (Art. 66.14) de la CRE, la garantía de respecto al derecho al debido proceso (Art. 76), el derecho a solicitar refugio y el principio de no devolución (Art. 41), el derecho a migrar y a la no criminalización (Art. 40). </w:t>
      </w:r>
    </w:p>
    <w:p w14:paraId="7C4C7939" w14:textId="77777777" w:rsidR="007134DB" w:rsidRPr="00775AE5" w:rsidRDefault="007134DB" w:rsidP="007134DB">
      <w:pPr>
        <w:spacing w:line="276" w:lineRule="auto"/>
        <w:ind w:firstLine="708"/>
        <w:jc w:val="both"/>
        <w:rPr>
          <w:rFonts w:ascii="Arial" w:hAnsi="Arial" w:cs="Arial"/>
          <w:sz w:val="22"/>
          <w:szCs w:val="22"/>
          <w:lang w:val="es-ES"/>
        </w:rPr>
      </w:pPr>
    </w:p>
    <w:p w14:paraId="1CD3677C" w14:textId="77777777" w:rsidR="007134DB" w:rsidRPr="00775AE5" w:rsidRDefault="007134DB" w:rsidP="00B17DD2">
      <w:pPr>
        <w:numPr>
          <w:ilvl w:val="0"/>
          <w:numId w:val="37"/>
        </w:numPr>
        <w:spacing w:line="276" w:lineRule="auto"/>
        <w:jc w:val="both"/>
        <w:rPr>
          <w:rFonts w:ascii="Arial" w:hAnsi="Arial" w:cs="Arial"/>
          <w:sz w:val="22"/>
          <w:szCs w:val="22"/>
          <w:lang w:val="es-ES"/>
        </w:rPr>
      </w:pPr>
      <w:r w:rsidRPr="00775AE5">
        <w:rPr>
          <w:rFonts w:ascii="Arial" w:hAnsi="Arial" w:cs="Arial"/>
          <w:b/>
          <w:sz w:val="22"/>
          <w:szCs w:val="22"/>
          <w:lang w:val="es-ES"/>
        </w:rPr>
        <w:t>Amicus Curiae a Acción Extraordinaria de Protección 2496-21-EP:</w:t>
      </w:r>
      <w:r w:rsidRPr="00775AE5">
        <w:rPr>
          <w:rFonts w:ascii="Arial" w:hAnsi="Arial" w:cs="Arial"/>
          <w:sz w:val="22"/>
          <w:szCs w:val="22"/>
          <w:lang w:val="es-ES"/>
        </w:rPr>
        <w:t xml:space="preserve"> El 25 de junio de 2021, el defensor público Wilson Manuel Ruiz Quevedo, en representación de JASR, adolescente no acompañado y solicitante de refugio, presentó una acción de hábeas corpus en contra de Freddy Aquilino Álava </w:t>
      </w:r>
      <w:proofErr w:type="spellStart"/>
      <w:r w:rsidRPr="00775AE5">
        <w:rPr>
          <w:rFonts w:ascii="Arial" w:hAnsi="Arial" w:cs="Arial"/>
          <w:sz w:val="22"/>
          <w:szCs w:val="22"/>
          <w:lang w:val="es-ES"/>
        </w:rPr>
        <w:t>Muentes</w:t>
      </w:r>
      <w:proofErr w:type="spellEnd"/>
      <w:r w:rsidRPr="00775AE5">
        <w:rPr>
          <w:rFonts w:ascii="Arial" w:hAnsi="Arial" w:cs="Arial"/>
          <w:sz w:val="22"/>
          <w:szCs w:val="22"/>
          <w:lang w:val="es-ES"/>
        </w:rPr>
        <w:t>, juez de la Unidad Judicial de la Familia, Niñez y Adolescencia de Lago Agrio (“juez de la Unidad Judicial”). En la acción de hábeas corpus, el accionante indicó que el juez accionado vulneró el principio de no devolución, al haber dispuesto en la providencia de 24 de junio de 2021 la repatriación urgente de JASR mediante vuelo programado para el 30 de junio de 2021 hacia Venezuela. Al momento en el que se ordenó la repatriación, JASR tenía 16 años, era solicitante de refugio, y según lo alegado por el accionante, tenía trastorno psicótico agudo, por lo cual, estuvo internado en un hospital.</w:t>
      </w:r>
    </w:p>
    <w:p w14:paraId="7535C98C" w14:textId="77777777" w:rsidR="007134DB" w:rsidRPr="00775AE5" w:rsidRDefault="007134DB" w:rsidP="007134DB">
      <w:pPr>
        <w:spacing w:line="276" w:lineRule="auto"/>
        <w:ind w:firstLine="708"/>
        <w:jc w:val="both"/>
        <w:rPr>
          <w:rFonts w:ascii="Arial" w:hAnsi="Arial" w:cs="Arial"/>
          <w:sz w:val="22"/>
          <w:szCs w:val="22"/>
          <w:lang w:val="es-ES"/>
        </w:rPr>
      </w:pPr>
    </w:p>
    <w:p w14:paraId="2B820755" w14:textId="77777777" w:rsidR="007134DB" w:rsidRPr="00775AE5" w:rsidRDefault="007134DB" w:rsidP="00B12EF3">
      <w:pPr>
        <w:spacing w:line="276" w:lineRule="auto"/>
        <w:jc w:val="both"/>
        <w:rPr>
          <w:rFonts w:ascii="Arial" w:hAnsi="Arial" w:cs="Arial"/>
          <w:sz w:val="22"/>
          <w:szCs w:val="22"/>
          <w:lang w:val="es-ES"/>
        </w:rPr>
      </w:pPr>
      <w:r w:rsidRPr="00775AE5">
        <w:rPr>
          <w:rFonts w:ascii="Arial" w:hAnsi="Arial" w:cs="Arial"/>
          <w:sz w:val="22"/>
          <w:szCs w:val="22"/>
          <w:lang w:val="es-ES"/>
        </w:rPr>
        <w:t xml:space="preserve">La Corte Constitucional revisó la sentencia de segunda instancia dentro del proceso de habeas corpus y declara vulnerado el derecho al refugio y el principio de no devolución, a la tutela judicial efectiva y el derecho a la autonomía y a ser escuchados a niños/as, adolescentes, dicha repatriación definitivamente expuso la vida del adolescente, así como se le negó y omitió los cuidados reforzados debidos en el país. </w:t>
      </w:r>
    </w:p>
    <w:p w14:paraId="36600AF1" w14:textId="77777777" w:rsidR="007134DB" w:rsidRPr="00775AE5" w:rsidRDefault="007134DB" w:rsidP="007134DB">
      <w:pPr>
        <w:spacing w:line="276" w:lineRule="auto"/>
        <w:ind w:firstLine="708"/>
        <w:jc w:val="both"/>
        <w:rPr>
          <w:rFonts w:ascii="Arial" w:hAnsi="Arial" w:cs="Arial"/>
          <w:sz w:val="22"/>
          <w:szCs w:val="22"/>
          <w:lang w:val="es-ES"/>
        </w:rPr>
      </w:pPr>
    </w:p>
    <w:p w14:paraId="1D9088D5" w14:textId="77777777" w:rsidR="007134DB" w:rsidRPr="00775AE5" w:rsidRDefault="007134DB" w:rsidP="00B12EF3">
      <w:pPr>
        <w:spacing w:line="276" w:lineRule="auto"/>
        <w:jc w:val="both"/>
        <w:rPr>
          <w:rFonts w:ascii="Arial" w:hAnsi="Arial" w:cs="Arial"/>
          <w:sz w:val="22"/>
          <w:szCs w:val="22"/>
          <w:lang w:val="es-ES"/>
        </w:rPr>
      </w:pPr>
      <w:r w:rsidRPr="00775AE5">
        <w:rPr>
          <w:rFonts w:ascii="Arial" w:hAnsi="Arial" w:cs="Arial"/>
          <w:sz w:val="22"/>
          <w:szCs w:val="22"/>
          <w:lang w:val="es-ES"/>
        </w:rPr>
        <w:t xml:space="preserve">De tal forma la Corte Constitucional, aceptó la acción extraordinaria de protección y declara que los derechos del adolescente de nacionalidad venezolana fueron vulnerados, especialmente el derecho a la no devolución, el derecho al refugio, a la tutela efectiva, deja sin efecto la sentencia de los jueces de la Sala Multicompetente de la Corte Provincial de Justicia de Sucumbíos y aceptó la acción de habeas corpus presentada por el defensor público. </w:t>
      </w:r>
    </w:p>
    <w:p w14:paraId="4CDE1F95" w14:textId="77777777" w:rsidR="007134DB" w:rsidRPr="00775AE5" w:rsidRDefault="007134DB" w:rsidP="007134DB">
      <w:pPr>
        <w:spacing w:line="276" w:lineRule="auto"/>
        <w:ind w:firstLine="708"/>
        <w:jc w:val="both"/>
        <w:rPr>
          <w:rFonts w:ascii="Arial" w:hAnsi="Arial" w:cs="Arial"/>
          <w:sz w:val="22"/>
          <w:szCs w:val="22"/>
          <w:lang w:val="es-ES"/>
        </w:rPr>
      </w:pPr>
    </w:p>
    <w:p w14:paraId="006E668F" w14:textId="77777777" w:rsidR="007134DB" w:rsidRPr="00775AE5" w:rsidRDefault="007134DB" w:rsidP="00B12EF3">
      <w:pPr>
        <w:spacing w:line="276" w:lineRule="auto"/>
        <w:jc w:val="both"/>
        <w:rPr>
          <w:rFonts w:ascii="Arial" w:hAnsi="Arial" w:cs="Arial"/>
          <w:sz w:val="22"/>
          <w:szCs w:val="22"/>
          <w:lang w:val="es-ES"/>
        </w:rPr>
      </w:pPr>
      <w:r w:rsidRPr="00775AE5">
        <w:rPr>
          <w:rFonts w:ascii="Arial" w:hAnsi="Arial" w:cs="Arial"/>
          <w:sz w:val="22"/>
          <w:szCs w:val="22"/>
          <w:lang w:val="es-ES"/>
        </w:rPr>
        <w:t xml:space="preserve">Por parte del Defensoría del Pueblo, se presentó un Amicus Curiae, el cual en su parte modular enfatizó la necesidad imperiosa de adolescentes migrantes en el Ecuador con necesidad de protección, gran parte de los y las adolescentes migran de manera forzosa escapando de la violencia y de otros tipos de discriminación, por lo tanto la decisión del Juez vulneró los derechos del adolescente y no garantizaron la tutela efectiva, considerándolo incluso incapaz de comunicar sus necesidades y reconocer sus derechos humanos, el texto emitido por la INDH fue plasmado en la sentencia de la Corte y fue tomado en cuenta en las disposiciones establecidas. </w:t>
      </w:r>
    </w:p>
    <w:p w14:paraId="26611DBE" w14:textId="77777777" w:rsidR="007134DB" w:rsidRPr="00775AE5" w:rsidRDefault="007134DB" w:rsidP="007134DB">
      <w:pPr>
        <w:spacing w:line="276" w:lineRule="auto"/>
        <w:ind w:firstLine="708"/>
        <w:jc w:val="both"/>
        <w:rPr>
          <w:rFonts w:ascii="Arial" w:hAnsi="Arial" w:cs="Arial"/>
          <w:sz w:val="22"/>
          <w:szCs w:val="22"/>
          <w:lang w:val="es-ES"/>
        </w:rPr>
      </w:pPr>
    </w:p>
    <w:p w14:paraId="76BED8CA" w14:textId="77777777" w:rsidR="007134DB" w:rsidRPr="00775AE5" w:rsidRDefault="007134DB" w:rsidP="00B12EF3">
      <w:pPr>
        <w:spacing w:line="276" w:lineRule="auto"/>
        <w:jc w:val="both"/>
        <w:rPr>
          <w:rFonts w:ascii="Arial" w:hAnsi="Arial" w:cs="Arial"/>
          <w:sz w:val="22"/>
          <w:szCs w:val="22"/>
          <w:lang w:val="es-ES"/>
        </w:rPr>
      </w:pPr>
      <w:r w:rsidRPr="00775AE5">
        <w:rPr>
          <w:rFonts w:ascii="Arial" w:hAnsi="Arial" w:cs="Arial"/>
          <w:sz w:val="22"/>
          <w:szCs w:val="22"/>
          <w:lang w:val="es-ES"/>
        </w:rPr>
        <w:t xml:space="preserve">Entre las disposiciones, la Corte llama la atención de manera enfática al Ministerio de Relaciones Exteriores y Movilidad Humana por la falta de coordinación interna, puesto que son el ente rector que procesaba la solicitud de refugio del adolescente y aun así solicitaron que el juez se pronuncie a favor de la repatriación del adolescente, ordenó al MRE una investigación y sanción a los funcionarios responsables de esta vulneración. </w:t>
      </w:r>
    </w:p>
    <w:p w14:paraId="128FAFC4" w14:textId="77777777" w:rsidR="007134DB" w:rsidRPr="00775AE5" w:rsidRDefault="007134DB" w:rsidP="007134DB">
      <w:pPr>
        <w:spacing w:line="276" w:lineRule="auto"/>
        <w:ind w:firstLine="708"/>
        <w:jc w:val="both"/>
        <w:rPr>
          <w:rFonts w:ascii="Arial" w:hAnsi="Arial" w:cs="Arial"/>
          <w:sz w:val="22"/>
          <w:szCs w:val="22"/>
          <w:lang w:val="es-ES"/>
        </w:rPr>
      </w:pPr>
    </w:p>
    <w:p w14:paraId="2D569D23" w14:textId="77777777" w:rsidR="007134DB" w:rsidRPr="00775AE5" w:rsidRDefault="007134DB" w:rsidP="00B17DD2">
      <w:pPr>
        <w:numPr>
          <w:ilvl w:val="0"/>
          <w:numId w:val="37"/>
        </w:numPr>
        <w:spacing w:line="276" w:lineRule="auto"/>
        <w:jc w:val="both"/>
        <w:rPr>
          <w:rFonts w:ascii="Arial" w:hAnsi="Arial" w:cs="Arial"/>
          <w:sz w:val="22"/>
          <w:szCs w:val="22"/>
          <w:lang w:val="es-ES"/>
        </w:rPr>
      </w:pPr>
      <w:r w:rsidRPr="00775AE5">
        <w:rPr>
          <w:rFonts w:ascii="Arial" w:hAnsi="Arial" w:cs="Arial"/>
          <w:b/>
          <w:sz w:val="22"/>
          <w:szCs w:val="22"/>
          <w:lang w:val="es-ES"/>
        </w:rPr>
        <w:t>Acción de Protección y Acción Extraordinaria de Protección 212-20-EP/24:</w:t>
      </w:r>
      <w:r w:rsidRPr="00775AE5">
        <w:rPr>
          <w:rFonts w:ascii="Arial" w:hAnsi="Arial" w:cs="Arial"/>
          <w:sz w:val="22"/>
          <w:szCs w:val="22"/>
          <w:lang w:val="es-ES"/>
        </w:rPr>
        <w:t xml:space="preserve"> La Corte Constitucional aceptó la acción extraordinaria de protección presentada en contra de una sentencia de segunda instancia que puso fin a un proceso de acción de protección. La Corte determina que las autoridades judiciales vulneraron el derecho al debido proceso en la garantía de motivación de la parte accionante debido a que no se pronunciaron sobre las vulneraciones de derechos alegadas. El 15 de octubre de 2019 la Defensoría del Pueblo y Defensoría Pública, presentaron una Acción de Protección a favor de 4 adolescentes de nacionalidad venezolana, en </w:t>
      </w:r>
      <w:proofErr w:type="spellStart"/>
      <w:r w:rsidRPr="00775AE5">
        <w:rPr>
          <w:rFonts w:ascii="Arial" w:hAnsi="Arial" w:cs="Arial"/>
          <w:sz w:val="22"/>
          <w:szCs w:val="22"/>
          <w:lang w:val="es-ES"/>
        </w:rPr>
        <w:t>pos</w:t>
      </w:r>
      <w:proofErr w:type="spellEnd"/>
      <w:r w:rsidRPr="00775AE5">
        <w:rPr>
          <w:rFonts w:ascii="Arial" w:hAnsi="Arial" w:cs="Arial"/>
          <w:sz w:val="22"/>
          <w:szCs w:val="22"/>
          <w:lang w:val="es-ES"/>
        </w:rPr>
        <w:t xml:space="preserve"> de que se restituya sus derechos vulnerados: libre movilidad, a la protección internacional, a la reunificación familiar y a la tutela efectiva. El 6 de enero de 2020, la Defensoría del Pueblo, en representación de los adolescentes, presentó una acción extraordinaria de protección en contra de la sentencia de 3 de diciembre de 2019, que dictaminó que los adolescentes debían cumplir los requisitos debidos para ingresar y salir del país.</w:t>
      </w:r>
    </w:p>
    <w:p w14:paraId="6ED724A0" w14:textId="77777777" w:rsidR="007134DB" w:rsidRPr="00775AE5" w:rsidRDefault="007134DB" w:rsidP="007134DB">
      <w:pPr>
        <w:spacing w:line="276" w:lineRule="auto"/>
        <w:ind w:firstLine="708"/>
        <w:jc w:val="both"/>
        <w:rPr>
          <w:rFonts w:ascii="Arial" w:hAnsi="Arial" w:cs="Arial"/>
          <w:sz w:val="22"/>
          <w:szCs w:val="22"/>
          <w:lang w:val="es-ES"/>
        </w:rPr>
      </w:pPr>
    </w:p>
    <w:p w14:paraId="4EA4F0F4" w14:textId="77777777" w:rsidR="007134DB" w:rsidRPr="00775AE5" w:rsidRDefault="007134DB" w:rsidP="00B12EF3">
      <w:pPr>
        <w:spacing w:line="276" w:lineRule="auto"/>
        <w:jc w:val="both"/>
        <w:rPr>
          <w:rFonts w:ascii="Arial" w:hAnsi="Arial" w:cs="Arial"/>
          <w:sz w:val="22"/>
          <w:szCs w:val="22"/>
          <w:lang w:val="es-ES"/>
        </w:rPr>
      </w:pPr>
      <w:r w:rsidRPr="00775AE5">
        <w:rPr>
          <w:rFonts w:ascii="Arial" w:hAnsi="Arial" w:cs="Arial"/>
          <w:sz w:val="22"/>
          <w:szCs w:val="22"/>
          <w:lang w:val="es-ES"/>
        </w:rPr>
        <w:t xml:space="preserve">La Acción Extraordinaria de Protección, en su parte modular, denunció la falta de criterio y análisis individualizado para cada adolescente, el no posibilitar mecanismos alternativos para que los adolescentes continúen su tránsito y puedan reunificarse con sus familiares, a que no sean escuchadas sus peticiones, a la tutela judicial efectiva dejándoles en indefensión, desconociendo la atención prioritaria </w:t>
      </w:r>
      <w:r w:rsidRPr="00775AE5">
        <w:rPr>
          <w:rFonts w:ascii="Arial" w:hAnsi="Arial" w:cs="Arial"/>
          <w:sz w:val="22"/>
          <w:szCs w:val="22"/>
          <w:lang w:val="es-ES"/>
        </w:rPr>
        <w:tab/>
        <w:t>que requerían y la protección reforzada a ser adolescentes y en situación de movilidad humana, el interés superior del niño, a prevenir situaciones de violencia y dejarlos en riesgo.</w:t>
      </w:r>
    </w:p>
    <w:p w14:paraId="28BCB0F6" w14:textId="77777777" w:rsidR="007134DB" w:rsidRPr="00775AE5" w:rsidRDefault="007134DB" w:rsidP="007134DB">
      <w:pPr>
        <w:spacing w:line="276" w:lineRule="auto"/>
        <w:ind w:firstLine="708"/>
        <w:jc w:val="both"/>
        <w:rPr>
          <w:rFonts w:ascii="Arial" w:hAnsi="Arial" w:cs="Arial"/>
          <w:sz w:val="22"/>
          <w:szCs w:val="22"/>
          <w:lang w:val="es-ES"/>
        </w:rPr>
      </w:pPr>
    </w:p>
    <w:p w14:paraId="69DD8B8E" w14:textId="77777777" w:rsidR="007134DB" w:rsidRPr="00775AE5" w:rsidRDefault="007134DB" w:rsidP="00B12EF3">
      <w:pPr>
        <w:spacing w:line="276" w:lineRule="auto"/>
        <w:jc w:val="both"/>
        <w:rPr>
          <w:rFonts w:ascii="Arial" w:hAnsi="Arial" w:cs="Arial"/>
          <w:sz w:val="22"/>
          <w:szCs w:val="22"/>
          <w:lang w:val="es-ES"/>
        </w:rPr>
      </w:pPr>
      <w:r w:rsidRPr="00775AE5">
        <w:rPr>
          <w:rFonts w:ascii="Arial" w:hAnsi="Arial" w:cs="Arial"/>
          <w:sz w:val="22"/>
          <w:szCs w:val="22"/>
          <w:lang w:val="es-ES"/>
        </w:rPr>
        <w:t xml:space="preserve">En este marco, la Corte Constitucional concluye en sentencia del 25 de abril de 2024 que el Ministerio del Gobierno vulneró el derecho a migrar, a la reunificación familiar y a la atención prioritaria, el interés superior del niño y a la protección reforzada al ser adolescentes no acompañados, requirió a los adolescentes documentación poco onerosa a sus derechos impidiendo que se puedan encontrarse con sus familiares en Perú y puedan recibir la protección de sus cuidadores. </w:t>
      </w:r>
    </w:p>
    <w:p w14:paraId="733FBDA5" w14:textId="77777777" w:rsidR="007134DB" w:rsidRPr="00775AE5" w:rsidRDefault="007134DB" w:rsidP="007134DB">
      <w:pPr>
        <w:spacing w:line="276" w:lineRule="auto"/>
        <w:ind w:firstLine="708"/>
        <w:jc w:val="both"/>
        <w:rPr>
          <w:rFonts w:ascii="Arial" w:hAnsi="Arial" w:cs="Arial"/>
          <w:sz w:val="22"/>
          <w:szCs w:val="22"/>
          <w:lang w:val="es-ES"/>
        </w:rPr>
      </w:pPr>
    </w:p>
    <w:p w14:paraId="6F5B54D4" w14:textId="249FFB44" w:rsidR="007134DB" w:rsidRPr="00775AE5" w:rsidRDefault="007134DB" w:rsidP="00B12EF3">
      <w:pPr>
        <w:spacing w:line="276" w:lineRule="auto"/>
        <w:jc w:val="both"/>
        <w:rPr>
          <w:rFonts w:ascii="Arial" w:hAnsi="Arial" w:cs="Arial"/>
          <w:sz w:val="22"/>
          <w:szCs w:val="22"/>
          <w:lang w:val="es-ES"/>
        </w:rPr>
      </w:pPr>
      <w:r w:rsidRPr="00775AE5">
        <w:rPr>
          <w:rFonts w:ascii="Arial" w:hAnsi="Arial" w:cs="Arial"/>
          <w:sz w:val="22"/>
          <w:szCs w:val="22"/>
          <w:lang w:val="es-ES"/>
        </w:rPr>
        <w:t xml:space="preserve">Entre las reparaciones establecidas, se señala que en relación a la vulneración al debido proceso en la garantía de derechos de los adolescentes, pues la sentencia de segunda instancia no pronunció en ninguno de sus párrafos a los sujetos de derechos y los hechos vulneradores, por lo que la Corte deja sin efecto dicha sentencia, ante la vulneración del derecho a la reunificación familiar y al custodio de sus cuidadores, y ratificando la sentencia en primera instancia, solicita al Consejo de la Judicatura un informe sobre la investigación ordenada por el juez de primera instancia en vista de que no se receptó la demanda presentada por </w:t>
      </w:r>
      <w:r w:rsidR="00CA38EB" w:rsidRPr="00775AE5">
        <w:rPr>
          <w:rFonts w:ascii="Arial" w:hAnsi="Arial" w:cs="Arial"/>
          <w:sz w:val="22"/>
          <w:szCs w:val="22"/>
          <w:lang w:val="es-ES"/>
        </w:rPr>
        <w:t>el</w:t>
      </w:r>
      <w:r w:rsidRPr="00775AE5">
        <w:rPr>
          <w:rFonts w:ascii="Arial" w:hAnsi="Arial" w:cs="Arial"/>
          <w:sz w:val="22"/>
          <w:szCs w:val="22"/>
          <w:lang w:val="es-ES"/>
        </w:rPr>
        <w:t xml:space="preserve"> Juez por parte de la Junta Cantonal de Protección, dispone al Ministerio del Gobierno y al Ministerio del Interior una investigación para identificar, y de ser el caso, tomar las medidas en contra de los funcionarios responsables por las vulneraciones de los derechos de los adolescentes. </w:t>
      </w:r>
    </w:p>
    <w:p w14:paraId="1DD24CD1" w14:textId="77777777" w:rsidR="007134DB" w:rsidRPr="00775AE5" w:rsidRDefault="007134DB" w:rsidP="007134DB">
      <w:pPr>
        <w:spacing w:line="276" w:lineRule="auto"/>
        <w:ind w:firstLine="708"/>
        <w:jc w:val="both"/>
        <w:rPr>
          <w:rFonts w:ascii="Arial" w:hAnsi="Arial" w:cs="Arial"/>
          <w:sz w:val="22"/>
          <w:szCs w:val="22"/>
          <w:lang w:val="es-ES"/>
        </w:rPr>
      </w:pPr>
    </w:p>
    <w:p w14:paraId="27D9B4E2" w14:textId="77777777" w:rsidR="007134DB" w:rsidRPr="00775AE5" w:rsidRDefault="007134DB" w:rsidP="00B12EF3">
      <w:pPr>
        <w:spacing w:line="276" w:lineRule="auto"/>
        <w:jc w:val="both"/>
        <w:rPr>
          <w:rFonts w:ascii="Arial" w:hAnsi="Arial" w:cs="Arial"/>
          <w:sz w:val="22"/>
          <w:szCs w:val="22"/>
          <w:lang w:val="es-ES"/>
        </w:rPr>
      </w:pPr>
      <w:r w:rsidRPr="00775AE5">
        <w:rPr>
          <w:rFonts w:ascii="Arial" w:hAnsi="Arial" w:cs="Arial"/>
          <w:sz w:val="22"/>
          <w:szCs w:val="22"/>
          <w:lang w:val="es-ES"/>
        </w:rPr>
        <w:t>Con el fin de prevenir que estas vulneraciones se repitan, se dispone la difusión de la sentencia por todos los medios institucionales sobre todo a los jueces y juezas del país, de la misma manera y para que los adolescentes y niñez migrante se encuentre informados sobre sus derechos, dispone al Ministerio de Inclusión Económica y Social y Ministerio del Interior socialicen el Protocolo de Atención Integral para niños, niños y adolescentes no acompañados, solicita a la Defensoría del Pueblo y Defensoría Pública socializar y publicar la sentencia de manera continua.</w:t>
      </w:r>
    </w:p>
    <w:p w14:paraId="65FD1C77" w14:textId="77777777" w:rsidR="007134DB" w:rsidRPr="00775AE5" w:rsidRDefault="007134DB" w:rsidP="007134DB">
      <w:pPr>
        <w:spacing w:line="276" w:lineRule="auto"/>
        <w:ind w:firstLine="708"/>
        <w:jc w:val="both"/>
        <w:rPr>
          <w:rFonts w:ascii="Arial" w:hAnsi="Arial" w:cs="Arial"/>
          <w:sz w:val="22"/>
          <w:szCs w:val="22"/>
          <w:lang w:val="es-ES"/>
        </w:rPr>
      </w:pPr>
    </w:p>
    <w:p w14:paraId="3A39DD51" w14:textId="719351A3" w:rsidR="007134DB" w:rsidRPr="00775AE5" w:rsidRDefault="007134DB" w:rsidP="00B12EF3">
      <w:pPr>
        <w:spacing w:line="276" w:lineRule="auto"/>
        <w:jc w:val="both"/>
        <w:rPr>
          <w:rFonts w:ascii="Arial" w:hAnsi="Arial" w:cs="Arial"/>
          <w:sz w:val="22"/>
          <w:szCs w:val="22"/>
          <w:lang w:val="es-ES"/>
        </w:rPr>
      </w:pPr>
      <w:r w:rsidRPr="00775AE5">
        <w:rPr>
          <w:rFonts w:ascii="Arial" w:hAnsi="Arial" w:cs="Arial"/>
          <w:sz w:val="22"/>
          <w:szCs w:val="22"/>
          <w:lang w:val="es-ES"/>
        </w:rPr>
        <w:t xml:space="preserve">Es menester señalar </w:t>
      </w:r>
      <w:r w:rsidR="003E0070" w:rsidRPr="00775AE5">
        <w:rPr>
          <w:rFonts w:ascii="Arial" w:hAnsi="Arial" w:cs="Arial"/>
          <w:sz w:val="22"/>
          <w:szCs w:val="22"/>
          <w:lang w:val="es-ES"/>
        </w:rPr>
        <w:t>que,</w:t>
      </w:r>
      <w:r w:rsidRPr="00775AE5">
        <w:rPr>
          <w:rFonts w:ascii="Arial" w:hAnsi="Arial" w:cs="Arial"/>
          <w:sz w:val="22"/>
          <w:szCs w:val="22"/>
          <w:lang w:val="es-ES"/>
        </w:rPr>
        <w:t xml:space="preserve"> como parte de la reparación, la Corte Constitucional en su sentencia, muestra de manera gráfica a través de fotografías los agradecimientos escritos y las fotos tomadas a las cartas de los adolescentes, en las cuales expresan su agradecimiento a las instituciones que cooperaron en su reunificación familiar, poniendo en práctica de maneta tácita el derecho a los adolescentes a ser escuchados y tomados en cuenta en las decisiones con respecto su proyecto de vida.</w:t>
      </w:r>
    </w:p>
    <w:p w14:paraId="58EC4F54" w14:textId="77777777" w:rsidR="007134DB" w:rsidRPr="00775AE5" w:rsidRDefault="007134DB" w:rsidP="007134DB">
      <w:pPr>
        <w:spacing w:line="276" w:lineRule="auto"/>
        <w:ind w:firstLine="708"/>
        <w:jc w:val="both"/>
        <w:rPr>
          <w:rFonts w:ascii="Arial" w:hAnsi="Arial" w:cs="Arial"/>
          <w:sz w:val="22"/>
          <w:szCs w:val="22"/>
          <w:lang w:val="es-ES"/>
        </w:rPr>
      </w:pPr>
    </w:p>
    <w:p w14:paraId="7CAC40B9" w14:textId="77777777" w:rsidR="007134DB" w:rsidRPr="00775AE5" w:rsidRDefault="007134DB" w:rsidP="00B12EF3">
      <w:pPr>
        <w:spacing w:line="276" w:lineRule="auto"/>
        <w:jc w:val="both"/>
        <w:rPr>
          <w:rFonts w:ascii="Arial" w:hAnsi="Arial" w:cs="Arial"/>
          <w:b/>
          <w:sz w:val="22"/>
          <w:szCs w:val="22"/>
          <w:lang w:val="es-ES"/>
        </w:rPr>
      </w:pPr>
      <w:r w:rsidRPr="00775AE5">
        <w:rPr>
          <w:rFonts w:ascii="Arial" w:hAnsi="Arial" w:cs="Arial"/>
          <w:b/>
          <w:sz w:val="22"/>
          <w:szCs w:val="22"/>
          <w:lang w:val="es-ES"/>
        </w:rPr>
        <w:t>5.2 Prohibición de la expulsión, devolución o extradición de una persona a un Estado en el que pueda ser torturada (Párrafo 13 de la Lista de Cuestiones)</w:t>
      </w:r>
    </w:p>
    <w:p w14:paraId="773BF908" w14:textId="77777777" w:rsidR="007134DB" w:rsidRPr="00775AE5" w:rsidRDefault="007134DB" w:rsidP="007134DB">
      <w:pPr>
        <w:spacing w:line="276" w:lineRule="auto"/>
        <w:ind w:firstLine="708"/>
        <w:jc w:val="both"/>
        <w:rPr>
          <w:rFonts w:ascii="Arial" w:hAnsi="Arial" w:cs="Arial"/>
          <w:sz w:val="22"/>
          <w:szCs w:val="22"/>
          <w:lang w:val="es-ES"/>
        </w:rPr>
      </w:pPr>
    </w:p>
    <w:p w14:paraId="52CDA39D" w14:textId="77777777" w:rsidR="007134DB" w:rsidRPr="00775AE5" w:rsidRDefault="007134DB" w:rsidP="009B69AD">
      <w:pPr>
        <w:spacing w:line="276" w:lineRule="auto"/>
        <w:jc w:val="both"/>
        <w:rPr>
          <w:rFonts w:ascii="Arial" w:hAnsi="Arial" w:cs="Arial"/>
          <w:sz w:val="22"/>
          <w:szCs w:val="22"/>
          <w:lang w:val="es-ES"/>
        </w:rPr>
      </w:pPr>
      <w:r w:rsidRPr="00775AE5">
        <w:rPr>
          <w:rFonts w:ascii="Arial" w:hAnsi="Arial" w:cs="Arial"/>
          <w:sz w:val="22"/>
          <w:szCs w:val="22"/>
          <w:lang w:val="es-ES"/>
        </w:rPr>
        <w:t xml:space="preserve">La LOMH en la Disposición Transitoria Séptima establece: “Las solicitudes de refugio realizadas previo a la expedición del Decreto Ejecutivo No. 1182, expedido el 30 de mayo de 2012, podrán ser resueltas por la autoridad de movilidad humana bajo la aplicación de la normativa prevista en esta Ley”, con lo cual el Decreto 1182 habría quedado derogado. </w:t>
      </w:r>
    </w:p>
    <w:p w14:paraId="360A93AE" w14:textId="77777777" w:rsidR="007134DB" w:rsidRPr="00775AE5" w:rsidRDefault="007134DB" w:rsidP="007134DB">
      <w:pPr>
        <w:spacing w:line="276" w:lineRule="auto"/>
        <w:ind w:firstLine="708"/>
        <w:jc w:val="both"/>
        <w:rPr>
          <w:rFonts w:ascii="Arial" w:hAnsi="Arial" w:cs="Arial"/>
          <w:sz w:val="22"/>
          <w:szCs w:val="22"/>
          <w:lang w:val="es-ES"/>
        </w:rPr>
      </w:pPr>
    </w:p>
    <w:p w14:paraId="4ED0454A" w14:textId="77777777" w:rsidR="007134DB" w:rsidRPr="00775AE5" w:rsidRDefault="007134DB" w:rsidP="009B69AD">
      <w:pPr>
        <w:spacing w:line="276" w:lineRule="auto"/>
        <w:jc w:val="both"/>
        <w:rPr>
          <w:rFonts w:ascii="Arial" w:hAnsi="Arial" w:cs="Arial"/>
          <w:sz w:val="22"/>
          <w:szCs w:val="22"/>
          <w:lang w:val="es-ES"/>
        </w:rPr>
      </w:pPr>
      <w:r w:rsidRPr="00775AE5">
        <w:rPr>
          <w:rFonts w:ascii="Arial" w:hAnsi="Arial" w:cs="Arial"/>
          <w:sz w:val="22"/>
          <w:szCs w:val="22"/>
          <w:lang w:val="es-ES"/>
        </w:rPr>
        <w:t xml:space="preserve">No obstante, la derogatoria el literal c) del numeral segundo del artículo 106 de la mencionada Ley, sobre las causales de exclusión de la condición de refugio establece: </w:t>
      </w:r>
    </w:p>
    <w:p w14:paraId="26FF01E0" w14:textId="77777777" w:rsidR="007134DB" w:rsidRPr="00775AE5" w:rsidRDefault="007134DB" w:rsidP="007134DB">
      <w:pPr>
        <w:spacing w:line="276" w:lineRule="auto"/>
        <w:ind w:firstLine="708"/>
        <w:jc w:val="both"/>
        <w:rPr>
          <w:rFonts w:ascii="Arial" w:hAnsi="Arial" w:cs="Arial"/>
          <w:sz w:val="22"/>
          <w:szCs w:val="22"/>
          <w:lang w:val="es-ES"/>
        </w:rPr>
      </w:pPr>
    </w:p>
    <w:p w14:paraId="1FF7A79F" w14:textId="77777777" w:rsidR="007134DB" w:rsidRPr="00775AE5" w:rsidRDefault="007134DB" w:rsidP="00A5012F">
      <w:pPr>
        <w:spacing w:line="276" w:lineRule="auto"/>
        <w:ind w:left="720"/>
        <w:jc w:val="both"/>
        <w:rPr>
          <w:rFonts w:ascii="Arial" w:hAnsi="Arial" w:cs="Arial"/>
          <w:sz w:val="22"/>
          <w:szCs w:val="22"/>
          <w:lang w:val="es-ES"/>
        </w:rPr>
      </w:pPr>
      <w:r w:rsidRPr="00775AE5">
        <w:rPr>
          <w:rFonts w:ascii="Arial" w:hAnsi="Arial" w:cs="Arial"/>
          <w:sz w:val="22"/>
          <w:szCs w:val="22"/>
          <w:lang w:val="es-ES"/>
        </w:rPr>
        <w:t xml:space="preserve">Será excluida de la protección de refugio aquella persona respecto de la cual existan motivos fundados para considerar que la persona: </w:t>
      </w:r>
    </w:p>
    <w:p w14:paraId="7AE64FE8" w14:textId="77777777" w:rsidR="007134DB" w:rsidRPr="00775AE5" w:rsidRDefault="007134DB" w:rsidP="007134DB">
      <w:pPr>
        <w:spacing w:line="276" w:lineRule="auto"/>
        <w:ind w:firstLine="708"/>
        <w:jc w:val="both"/>
        <w:rPr>
          <w:rFonts w:ascii="Arial" w:hAnsi="Arial" w:cs="Arial"/>
          <w:sz w:val="22"/>
          <w:szCs w:val="22"/>
          <w:lang w:val="es-ES"/>
        </w:rPr>
      </w:pPr>
    </w:p>
    <w:p w14:paraId="70946C9E" w14:textId="77777777" w:rsidR="007134DB" w:rsidRPr="00775AE5" w:rsidRDefault="007134DB" w:rsidP="00B17DD2">
      <w:pPr>
        <w:numPr>
          <w:ilvl w:val="0"/>
          <w:numId w:val="38"/>
        </w:numPr>
        <w:spacing w:line="276" w:lineRule="auto"/>
        <w:jc w:val="both"/>
        <w:rPr>
          <w:rFonts w:ascii="Arial" w:hAnsi="Arial" w:cs="Arial"/>
          <w:sz w:val="22"/>
          <w:szCs w:val="22"/>
          <w:lang w:val="es-ES"/>
        </w:rPr>
      </w:pPr>
      <w:r w:rsidRPr="00775AE5">
        <w:rPr>
          <w:rFonts w:ascii="Arial" w:hAnsi="Arial" w:cs="Arial"/>
          <w:sz w:val="22"/>
          <w:szCs w:val="22"/>
          <w:lang w:val="es-ES"/>
        </w:rPr>
        <w:t xml:space="preserve">Ha cometido un grave delito común fuera del Estado ecuatoriano, antes de ser admitida como persona refugiada. Para efectos de este numeral, se entenderá como grave delito cuando el ordenamiento jurídico ecuatoriano prevea una sanción superior a cinco años de privación de la libertad.  </w:t>
      </w:r>
    </w:p>
    <w:p w14:paraId="0917D4A0" w14:textId="77777777" w:rsidR="007134DB" w:rsidRPr="00775AE5" w:rsidRDefault="007134DB" w:rsidP="007134DB">
      <w:pPr>
        <w:spacing w:line="276" w:lineRule="auto"/>
        <w:ind w:firstLine="708"/>
        <w:jc w:val="both"/>
        <w:rPr>
          <w:rFonts w:ascii="Arial" w:hAnsi="Arial" w:cs="Arial"/>
          <w:sz w:val="22"/>
          <w:szCs w:val="22"/>
          <w:lang w:val="es-ES"/>
        </w:rPr>
      </w:pPr>
      <w:r w:rsidRPr="00775AE5">
        <w:rPr>
          <w:rFonts w:ascii="Arial" w:hAnsi="Arial" w:cs="Arial"/>
          <w:sz w:val="22"/>
          <w:szCs w:val="22"/>
          <w:lang w:val="es-ES"/>
        </w:rPr>
        <w:t xml:space="preserve">  </w:t>
      </w:r>
    </w:p>
    <w:p w14:paraId="7244AEE7" w14:textId="77777777" w:rsidR="007134DB" w:rsidRPr="00775AE5" w:rsidRDefault="007134DB" w:rsidP="009B69AD">
      <w:pPr>
        <w:spacing w:line="276" w:lineRule="auto"/>
        <w:jc w:val="both"/>
        <w:rPr>
          <w:rFonts w:ascii="Arial" w:hAnsi="Arial" w:cs="Arial"/>
          <w:sz w:val="22"/>
          <w:szCs w:val="22"/>
          <w:lang w:val="es-ES"/>
        </w:rPr>
      </w:pPr>
      <w:r w:rsidRPr="00775AE5">
        <w:rPr>
          <w:rFonts w:ascii="Arial" w:hAnsi="Arial" w:cs="Arial"/>
          <w:sz w:val="22"/>
          <w:szCs w:val="22"/>
          <w:lang w:val="es-ES"/>
        </w:rPr>
        <w:t>Tomando en cuenta lo que establece el artículo 32 de la Convención sobre Refugio de 1951, en la que señala las razones por las cuales una persona pueda ser excluida, al incorporarse la causal segunda en el artículo 106 de la LOMH, puede limitar gravemente el principio de no devolución y colocar en situación de riesgo a la persona que requiere de protección internacional, por lo que se recomienda la revisión de los citados artículos a fin de que se garantice de manera adecuada el principio de no devolución que constituye un elemento fundamental en el derecho internacional.</w:t>
      </w:r>
    </w:p>
    <w:p w14:paraId="4FF6B746" w14:textId="77777777" w:rsidR="007134DB" w:rsidRPr="00775AE5" w:rsidRDefault="007134DB" w:rsidP="007134DB">
      <w:pPr>
        <w:spacing w:line="276" w:lineRule="auto"/>
        <w:ind w:firstLine="708"/>
        <w:jc w:val="both"/>
        <w:rPr>
          <w:rFonts w:ascii="Arial" w:hAnsi="Arial" w:cs="Arial"/>
          <w:sz w:val="22"/>
          <w:szCs w:val="22"/>
          <w:lang w:val="es-ES"/>
        </w:rPr>
      </w:pPr>
    </w:p>
    <w:p w14:paraId="46E1CCE0" w14:textId="77777777" w:rsidR="007134DB" w:rsidRPr="00775AE5" w:rsidRDefault="007134DB" w:rsidP="009B69AD">
      <w:pPr>
        <w:spacing w:line="276" w:lineRule="auto"/>
        <w:jc w:val="both"/>
        <w:rPr>
          <w:rFonts w:ascii="Arial" w:hAnsi="Arial" w:cs="Arial"/>
          <w:sz w:val="22"/>
          <w:szCs w:val="22"/>
          <w:lang w:val="es-ES"/>
        </w:rPr>
      </w:pPr>
      <w:r w:rsidRPr="00775AE5">
        <w:rPr>
          <w:rFonts w:ascii="Arial" w:hAnsi="Arial" w:cs="Arial"/>
          <w:sz w:val="22"/>
          <w:szCs w:val="22"/>
          <w:lang w:val="es-ES"/>
        </w:rPr>
        <w:t>Con respecto a casos identificados, desde la INDH durante estos años existieron casos relevantes como la situación de un adolescente que fue repatriado o devuelto a Venezuela, a partir de lo cual la Corte Constitucional se pronunció en la Sentencia 2496-21-EP-23 sobre la prohibición constitucional de las devoluciones, más aún cuando se trata de un grupo poblacional que requiere de atención prioritaria y que son perfiles de probable protección internacional o refugio, sobre este caso la DPE actuó como parte procesal en la acción de protección y acción extraordinaria de protección.</w:t>
      </w:r>
    </w:p>
    <w:p w14:paraId="5F7D7C0C" w14:textId="77777777" w:rsidR="007134DB" w:rsidRPr="00775AE5" w:rsidRDefault="007134DB" w:rsidP="007134DB">
      <w:pPr>
        <w:spacing w:line="276" w:lineRule="auto"/>
        <w:ind w:firstLine="708"/>
        <w:jc w:val="both"/>
        <w:rPr>
          <w:rFonts w:ascii="Arial" w:hAnsi="Arial" w:cs="Arial"/>
          <w:sz w:val="22"/>
          <w:szCs w:val="22"/>
          <w:lang w:val="es-ES"/>
        </w:rPr>
      </w:pPr>
    </w:p>
    <w:p w14:paraId="6C0CCDEB" w14:textId="77777777" w:rsidR="007134DB" w:rsidRPr="00775AE5" w:rsidRDefault="007134DB" w:rsidP="009B69AD">
      <w:pPr>
        <w:spacing w:line="276" w:lineRule="auto"/>
        <w:jc w:val="both"/>
        <w:rPr>
          <w:rFonts w:ascii="Arial" w:hAnsi="Arial" w:cs="Arial"/>
          <w:sz w:val="22"/>
          <w:szCs w:val="22"/>
          <w:lang w:val="es-ES"/>
        </w:rPr>
      </w:pPr>
      <w:r w:rsidRPr="00775AE5">
        <w:rPr>
          <w:rFonts w:ascii="Arial" w:hAnsi="Arial" w:cs="Arial"/>
          <w:sz w:val="22"/>
          <w:szCs w:val="22"/>
          <w:lang w:val="es-ES"/>
        </w:rPr>
        <w:t>Durante los últimos años 2021-2023 existieron diversas alertas de probables devoluciones y expulsiones de personas migrantes, sobre todo se recibieron alertas en zonas de frontera, familias y personas solas de nacionalidad venezolana a quiénes se les convencía de salidas voluntarias pero que se trataba realmente de devoluciones, gracias a la intervención de las organizaciones de sociedad civil, cooperación internacional y la actuación</w:t>
      </w:r>
      <w:r w:rsidR="009B69AD" w:rsidRPr="00775AE5">
        <w:rPr>
          <w:rFonts w:ascii="Arial" w:hAnsi="Arial" w:cs="Arial"/>
          <w:sz w:val="22"/>
          <w:szCs w:val="22"/>
          <w:lang w:val="es-ES"/>
        </w:rPr>
        <w:t xml:space="preserve"> de las delegaciones de</w:t>
      </w:r>
      <w:r w:rsidRPr="00775AE5">
        <w:rPr>
          <w:rFonts w:ascii="Arial" w:hAnsi="Arial" w:cs="Arial"/>
          <w:sz w:val="22"/>
          <w:szCs w:val="22"/>
          <w:lang w:val="es-ES"/>
        </w:rPr>
        <w:t xml:space="preserve">l Carchi, El Oro y Sucumbíos no se ejecutaron dichas expulsiones. </w:t>
      </w:r>
    </w:p>
    <w:p w14:paraId="4244B059" w14:textId="77777777" w:rsidR="007134DB" w:rsidRPr="00775AE5" w:rsidRDefault="007134DB" w:rsidP="007134DB">
      <w:pPr>
        <w:spacing w:line="276" w:lineRule="auto"/>
        <w:ind w:firstLine="708"/>
        <w:jc w:val="both"/>
        <w:rPr>
          <w:rFonts w:ascii="Arial" w:hAnsi="Arial" w:cs="Arial"/>
          <w:sz w:val="22"/>
          <w:szCs w:val="22"/>
          <w:lang w:val="es-ES"/>
        </w:rPr>
      </w:pPr>
    </w:p>
    <w:p w14:paraId="602E2976" w14:textId="77777777" w:rsidR="007134DB" w:rsidRPr="00775AE5" w:rsidRDefault="007134DB" w:rsidP="009B69AD">
      <w:pPr>
        <w:spacing w:line="276" w:lineRule="auto"/>
        <w:jc w:val="both"/>
        <w:rPr>
          <w:rFonts w:ascii="Arial" w:hAnsi="Arial" w:cs="Arial"/>
          <w:sz w:val="22"/>
          <w:szCs w:val="22"/>
          <w:lang w:val="es-ES"/>
        </w:rPr>
      </w:pPr>
      <w:r w:rsidRPr="00775AE5">
        <w:rPr>
          <w:rFonts w:ascii="Arial" w:hAnsi="Arial" w:cs="Arial"/>
          <w:sz w:val="22"/>
          <w:szCs w:val="22"/>
          <w:lang w:val="es-ES"/>
        </w:rPr>
        <w:t xml:space="preserve">Es necesario además señalar que el Ecuador, a pesar de poseer una Constitución garantista de derechos en materia de movilidad humana y que previene las expulsiones, devoluciones y garantiza procesos singularizados para las personas en situación de movilidad humana, existen situaciones alarmantes de inadmisiones de personas migrantes que desean ingresar por aeropuertos internacionales. El Art. 137., sobre causales de inadmisión </w:t>
      </w:r>
      <w:r w:rsidR="009B69AD" w:rsidRPr="00775AE5">
        <w:rPr>
          <w:rFonts w:ascii="Arial" w:hAnsi="Arial" w:cs="Arial"/>
          <w:sz w:val="22"/>
          <w:szCs w:val="22"/>
          <w:lang w:val="es-ES"/>
        </w:rPr>
        <w:t>contempla entre sus numerales “</w:t>
      </w:r>
      <w:r w:rsidRPr="00775AE5">
        <w:rPr>
          <w:rFonts w:ascii="Arial" w:hAnsi="Arial" w:cs="Arial"/>
          <w:sz w:val="22"/>
          <w:szCs w:val="22"/>
          <w:lang w:val="es-ES"/>
        </w:rPr>
        <w:t>[…] sea considerada una amenaza o riesgo para la seguridad pública y estructura del</w:t>
      </w:r>
      <w:r w:rsidR="009B69AD" w:rsidRPr="00775AE5">
        <w:rPr>
          <w:rFonts w:ascii="Arial" w:hAnsi="Arial" w:cs="Arial"/>
          <w:sz w:val="22"/>
          <w:szCs w:val="22"/>
          <w:lang w:val="es-ES"/>
        </w:rPr>
        <w:t xml:space="preserve"> </w:t>
      </w:r>
      <w:r w:rsidRPr="00775AE5">
        <w:rPr>
          <w:rFonts w:ascii="Arial" w:hAnsi="Arial" w:cs="Arial"/>
          <w:sz w:val="22"/>
          <w:szCs w:val="22"/>
          <w:lang w:val="es-ES"/>
        </w:rPr>
        <w:t xml:space="preserve">Estado, según la información que dispongan las autoridades competentes”, cuya argumentación se está generalizando en diversos casos, alertando de posibles situaciones de vulneración al derecho a la protección internacional, a esta INDH le preocupa sobre manera los numerosos casos de inadmisiones con este argumento jurídico. </w:t>
      </w:r>
    </w:p>
    <w:p w14:paraId="65F9799E" w14:textId="77777777" w:rsidR="007134DB" w:rsidRPr="00775AE5" w:rsidRDefault="007134DB" w:rsidP="007134DB">
      <w:pPr>
        <w:spacing w:line="276" w:lineRule="auto"/>
        <w:ind w:firstLine="708"/>
        <w:jc w:val="both"/>
        <w:rPr>
          <w:rFonts w:ascii="Arial" w:hAnsi="Arial" w:cs="Arial"/>
          <w:sz w:val="22"/>
          <w:szCs w:val="22"/>
          <w:lang w:val="es-ES"/>
        </w:rPr>
      </w:pPr>
    </w:p>
    <w:p w14:paraId="2EBB95DD" w14:textId="77777777" w:rsidR="009B69AD" w:rsidRDefault="007134DB" w:rsidP="009B69AD">
      <w:pPr>
        <w:spacing w:line="276" w:lineRule="auto"/>
        <w:jc w:val="both"/>
        <w:rPr>
          <w:rFonts w:ascii="Arial" w:hAnsi="Arial" w:cs="Arial"/>
          <w:sz w:val="22"/>
          <w:szCs w:val="22"/>
          <w:lang w:val="es-ES"/>
        </w:rPr>
      </w:pPr>
      <w:r w:rsidRPr="00775AE5">
        <w:rPr>
          <w:rFonts w:ascii="Arial" w:hAnsi="Arial" w:cs="Arial"/>
          <w:sz w:val="22"/>
          <w:szCs w:val="22"/>
          <w:lang w:val="es-ES"/>
        </w:rPr>
        <w:t>Sobre estas alertas, la Defensoría del Pueblo conjuntamente con otras instituciones como la Defensoría del Pueblo, ACNUR, realiza monitoreos constantes en aeropuertos sobre situaciones que llamen la atención, sobre todo identificando si las inadmisiones se realizan a personas que requieran de protección internacional, sean víctimas de trata de personas o tráfico ilícito de migrantes, asegurando el debido proceso, la defensa y que la solicitud de refugio se realice sin contratiempos o nudos críticos. Así mismo, gracias a la Reforma a la LOMH en el año 2021, en la cual la Defensoría del Pueblo participó activamente, se establecen parámetros definitorios de protección a las personas inadmitidas que se encuentren en zonas denominadas estériles de los aeropuertos, entre lo más importante el derecho a un lugar digno, a no permanecer más de 24 horas en zonas de inadmisión, a la defensa pública, a la comunicación, a un traductor o interprete, entre otras cuestiones, las cuales tienen como objetivo que las inadmisiones se realicen bajo los principios de los derechos humanos (Art. 136.A.Garantías mínimas dentro del proceso de inadmisión) y el respeto integral a la protección internacional, garantizando la comunicación y la defensa pública de personas extranjeras que por ejemplo el español no es su lenguaje materno.</w:t>
      </w:r>
    </w:p>
    <w:p w14:paraId="4DAB17E5" w14:textId="77777777" w:rsidR="00DE4A3F" w:rsidRPr="00775AE5" w:rsidRDefault="00DE4A3F" w:rsidP="009B69AD">
      <w:pPr>
        <w:spacing w:line="276" w:lineRule="auto"/>
        <w:jc w:val="both"/>
        <w:rPr>
          <w:rFonts w:ascii="Arial" w:hAnsi="Arial" w:cs="Arial"/>
          <w:sz w:val="22"/>
          <w:szCs w:val="22"/>
          <w:lang w:val="es-ES"/>
        </w:rPr>
      </w:pPr>
    </w:p>
    <w:p w14:paraId="6D71159A" w14:textId="77777777" w:rsidR="009B69AD" w:rsidRPr="00775AE5" w:rsidRDefault="009B69AD" w:rsidP="009B69AD">
      <w:pPr>
        <w:spacing w:line="276" w:lineRule="auto"/>
        <w:jc w:val="both"/>
        <w:rPr>
          <w:rFonts w:ascii="Arial" w:hAnsi="Arial" w:cs="Arial"/>
          <w:sz w:val="22"/>
          <w:szCs w:val="22"/>
          <w:lang w:val="es-ES"/>
        </w:rPr>
      </w:pPr>
    </w:p>
    <w:p w14:paraId="26569861" w14:textId="0B24AF99" w:rsidR="00B57F97" w:rsidRPr="00775AE5" w:rsidRDefault="00BB3180" w:rsidP="000E1571">
      <w:pPr>
        <w:spacing w:line="276" w:lineRule="auto"/>
        <w:ind w:firstLine="426"/>
        <w:jc w:val="both"/>
        <w:rPr>
          <w:rFonts w:ascii="Arial" w:hAnsi="Arial" w:cs="Arial"/>
          <w:sz w:val="22"/>
          <w:szCs w:val="22"/>
          <w:lang w:val="es-ES"/>
        </w:rPr>
      </w:pPr>
      <w:r w:rsidRPr="00775AE5">
        <w:rPr>
          <w:rFonts w:ascii="Arial" w:hAnsi="Arial" w:cs="Arial"/>
          <w:b/>
          <w:sz w:val="22"/>
          <w:szCs w:val="22"/>
          <w:lang w:val="es-ES"/>
        </w:rPr>
        <w:t>6</w:t>
      </w:r>
      <w:r w:rsidR="00D45694" w:rsidRPr="00775AE5">
        <w:rPr>
          <w:rFonts w:ascii="Arial" w:hAnsi="Arial" w:cs="Arial"/>
          <w:b/>
          <w:sz w:val="22"/>
          <w:szCs w:val="22"/>
        </w:rPr>
        <w:t xml:space="preserve">. </w:t>
      </w:r>
      <w:r w:rsidR="00D411C1" w:rsidRPr="00775AE5">
        <w:rPr>
          <w:rFonts w:ascii="Arial" w:hAnsi="Arial" w:cs="Arial"/>
          <w:b/>
          <w:sz w:val="22"/>
          <w:szCs w:val="22"/>
        </w:rPr>
        <w:t>Art</w:t>
      </w:r>
      <w:r w:rsidRPr="00775AE5">
        <w:rPr>
          <w:rFonts w:ascii="Arial" w:hAnsi="Arial" w:cs="Arial"/>
          <w:b/>
          <w:sz w:val="22"/>
          <w:szCs w:val="22"/>
        </w:rPr>
        <w:t xml:space="preserve">ículos </w:t>
      </w:r>
      <w:r w:rsidR="00D411C1" w:rsidRPr="00775AE5">
        <w:rPr>
          <w:rFonts w:ascii="Arial" w:hAnsi="Arial" w:cs="Arial"/>
          <w:b/>
          <w:sz w:val="22"/>
          <w:szCs w:val="22"/>
        </w:rPr>
        <w:t xml:space="preserve">12 y </w:t>
      </w:r>
      <w:r w:rsidRPr="00775AE5">
        <w:rPr>
          <w:rFonts w:ascii="Arial" w:hAnsi="Arial" w:cs="Arial"/>
          <w:b/>
          <w:sz w:val="22"/>
          <w:szCs w:val="22"/>
        </w:rPr>
        <w:t>13 (Párrafo</w:t>
      </w:r>
      <w:r w:rsidR="00D411C1" w:rsidRPr="00775AE5">
        <w:rPr>
          <w:rFonts w:ascii="Arial" w:hAnsi="Arial" w:cs="Arial"/>
          <w:b/>
          <w:sz w:val="22"/>
          <w:szCs w:val="22"/>
        </w:rPr>
        <w:t xml:space="preserve"> 30</w:t>
      </w:r>
      <w:r w:rsidR="00176F0C" w:rsidRPr="00775AE5">
        <w:rPr>
          <w:rFonts w:ascii="Arial" w:hAnsi="Arial" w:cs="Arial"/>
          <w:b/>
          <w:sz w:val="22"/>
          <w:szCs w:val="22"/>
        </w:rPr>
        <w:t xml:space="preserve"> de la Lista de Cuestiones</w:t>
      </w:r>
      <w:r w:rsidR="008E586F" w:rsidRPr="00775AE5">
        <w:rPr>
          <w:rFonts w:ascii="Arial" w:hAnsi="Arial" w:cs="Arial"/>
          <w:b/>
          <w:sz w:val="22"/>
          <w:szCs w:val="22"/>
        </w:rPr>
        <w:t>)</w:t>
      </w:r>
      <w:r w:rsidR="00F05535" w:rsidRPr="00775AE5">
        <w:rPr>
          <w:rFonts w:ascii="Arial" w:hAnsi="Arial" w:cs="Arial"/>
          <w:b/>
          <w:sz w:val="22"/>
          <w:szCs w:val="22"/>
        </w:rPr>
        <w:t xml:space="preserve"> </w:t>
      </w:r>
    </w:p>
    <w:p w14:paraId="63207636" w14:textId="77777777" w:rsidR="008E586F" w:rsidRPr="00775AE5" w:rsidRDefault="008E586F" w:rsidP="008E586F">
      <w:pPr>
        <w:pStyle w:val="Standard"/>
        <w:spacing w:line="276" w:lineRule="auto"/>
        <w:jc w:val="both"/>
        <w:rPr>
          <w:rFonts w:ascii="Arial" w:hAnsi="Arial"/>
          <w:b/>
          <w:sz w:val="22"/>
          <w:szCs w:val="22"/>
        </w:rPr>
      </w:pPr>
    </w:p>
    <w:p w14:paraId="6F63DF90" w14:textId="77777777" w:rsidR="00BA3792" w:rsidRPr="00775AE5" w:rsidRDefault="00BA3792" w:rsidP="000E1571">
      <w:pPr>
        <w:spacing w:line="276" w:lineRule="auto"/>
        <w:ind w:firstLine="709"/>
        <w:rPr>
          <w:rFonts w:ascii="Arial" w:hAnsi="Arial" w:cs="Arial"/>
          <w:b/>
          <w:sz w:val="22"/>
          <w:szCs w:val="22"/>
          <w:lang w:val="es-ES"/>
        </w:rPr>
      </w:pPr>
      <w:r w:rsidRPr="00775AE5">
        <w:rPr>
          <w:rFonts w:ascii="Arial" w:hAnsi="Arial" w:cs="Arial"/>
          <w:b/>
          <w:sz w:val="22"/>
          <w:szCs w:val="22"/>
          <w:lang w:val="es-ES"/>
        </w:rPr>
        <w:t>6.1. Violaciones de derechos humanos ocurridas entre 1984 y 2008</w:t>
      </w:r>
    </w:p>
    <w:p w14:paraId="6584915E" w14:textId="77777777" w:rsidR="00BA3792" w:rsidRPr="00775AE5" w:rsidRDefault="00BA3792" w:rsidP="00BA3792">
      <w:pPr>
        <w:spacing w:line="276" w:lineRule="auto"/>
        <w:rPr>
          <w:rFonts w:ascii="Arial" w:hAnsi="Arial" w:cs="Arial"/>
          <w:b/>
          <w:sz w:val="22"/>
          <w:szCs w:val="22"/>
          <w:lang w:val="es-ES"/>
        </w:rPr>
      </w:pPr>
    </w:p>
    <w:p w14:paraId="29C9BF4E" w14:textId="77777777" w:rsidR="00BA3792" w:rsidRPr="00775AE5" w:rsidRDefault="00BA3792" w:rsidP="00BA3792">
      <w:pPr>
        <w:spacing w:line="276" w:lineRule="auto"/>
        <w:contextualSpacing/>
        <w:jc w:val="both"/>
        <w:rPr>
          <w:rFonts w:ascii="Arial" w:hAnsi="Arial" w:cs="Arial"/>
          <w:sz w:val="22"/>
          <w:szCs w:val="22"/>
          <w:lang w:val="es-ES"/>
        </w:rPr>
      </w:pPr>
      <w:r w:rsidRPr="00775AE5">
        <w:rPr>
          <w:rFonts w:ascii="Arial" w:hAnsi="Arial" w:cs="Arial"/>
          <w:sz w:val="22"/>
          <w:szCs w:val="22"/>
          <w:lang w:val="es-ES"/>
        </w:rPr>
        <w:t>El Decreto Ejecutivo número 305, publicado en el Registro Oficial 87, de 18 de mayo de 2007, creó la Comisión de la Verdad (en adelante, “Comisión”), cuyo artículo 1 señala: “Créase la Comisión de la Verdad, encargada de investigar y esclarecer e impedir la impunidad respecto de los hechos violentos y violatorios de los derechos humanos, ocurridos entre 1984 y 1988 y otros períodos.”</w:t>
      </w:r>
    </w:p>
    <w:p w14:paraId="3BBCEC5A" w14:textId="77777777" w:rsidR="00BA3792" w:rsidRPr="00775AE5" w:rsidRDefault="00BA3792" w:rsidP="00BA3792">
      <w:pPr>
        <w:spacing w:line="276" w:lineRule="auto"/>
        <w:contextualSpacing/>
        <w:rPr>
          <w:rFonts w:ascii="Arial" w:hAnsi="Arial" w:cs="Arial"/>
          <w:sz w:val="22"/>
          <w:szCs w:val="22"/>
          <w:lang w:val="es-ES"/>
        </w:rPr>
      </w:pPr>
    </w:p>
    <w:p w14:paraId="59C40A71" w14:textId="77777777" w:rsidR="00BA3792" w:rsidRPr="00775AE5" w:rsidRDefault="00BA3792" w:rsidP="00BA3792">
      <w:pPr>
        <w:spacing w:line="276" w:lineRule="auto"/>
        <w:contextualSpacing/>
        <w:jc w:val="both"/>
        <w:rPr>
          <w:rFonts w:ascii="Arial" w:hAnsi="Arial" w:cs="Arial"/>
          <w:iCs/>
          <w:color w:val="00000A"/>
          <w:sz w:val="22"/>
          <w:szCs w:val="22"/>
          <w:lang w:val="es-ES"/>
        </w:rPr>
      </w:pPr>
      <w:r w:rsidRPr="00775AE5">
        <w:rPr>
          <w:rFonts w:ascii="Arial" w:hAnsi="Arial" w:cs="Arial"/>
          <w:sz w:val="22"/>
          <w:szCs w:val="22"/>
          <w:lang w:val="es-ES"/>
        </w:rPr>
        <w:t xml:space="preserve">El Decreto Ejecutivo en mención señaló, en el inciso primero de su artículo 6, que: “La comisión entregará un informe final para que sea de conocimiento público con los resultados de sus investigaciones.” El informe denominado “Sin Verdad no hay Justicia” fue entregado el 07 de junio de 2010, al entonces Presidente de la República en representación de la ciudadanía en general; y, </w:t>
      </w:r>
      <w:r w:rsidRPr="00775AE5">
        <w:rPr>
          <w:rFonts w:ascii="Arial" w:hAnsi="Arial" w:cs="Arial"/>
          <w:iCs/>
          <w:color w:val="00000A"/>
          <w:sz w:val="22"/>
          <w:szCs w:val="22"/>
          <w:lang w:val="es-ES"/>
        </w:rPr>
        <w:t>se compone de cinco tomos con veintiséis secciones, en los que se describe y analiza las graves violaciones de derechos humanos y los crímenes de lesa humanidad documentados por la Comisión, el contexto sociopolítico en el que ocurrieron, las consecuencias, el impacto psicosocial sufrido por las víctimas, las estructuras institucionales involucradas, los presuntos responsables; además estableció recomendaciones para implementar la reparación integral.</w:t>
      </w:r>
      <w:r w:rsidRPr="00775AE5">
        <w:rPr>
          <w:rStyle w:val="FootnoteReference"/>
          <w:rFonts w:ascii="Arial" w:hAnsi="Arial" w:cs="Arial"/>
          <w:iCs/>
          <w:color w:val="00000A"/>
          <w:sz w:val="22"/>
          <w:szCs w:val="22"/>
          <w:lang w:val="es-ES"/>
        </w:rPr>
        <w:footnoteReference w:id="4"/>
      </w:r>
    </w:p>
    <w:p w14:paraId="50D17168" w14:textId="77777777" w:rsidR="00BA3792" w:rsidRPr="00775AE5" w:rsidRDefault="00BA3792" w:rsidP="00BA3792">
      <w:pPr>
        <w:spacing w:line="276" w:lineRule="auto"/>
        <w:contextualSpacing/>
        <w:rPr>
          <w:rFonts w:ascii="Arial" w:hAnsi="Arial" w:cs="Arial"/>
          <w:iCs/>
          <w:color w:val="00000A"/>
          <w:sz w:val="22"/>
          <w:szCs w:val="22"/>
          <w:lang w:val="es-ES"/>
        </w:rPr>
      </w:pPr>
    </w:p>
    <w:p w14:paraId="0DF89341" w14:textId="77777777" w:rsidR="00BA3792" w:rsidRPr="00775AE5" w:rsidRDefault="00BA3792" w:rsidP="00BA3792">
      <w:pPr>
        <w:spacing w:line="276" w:lineRule="auto"/>
        <w:contextualSpacing/>
        <w:jc w:val="both"/>
        <w:rPr>
          <w:rFonts w:ascii="Arial" w:hAnsi="Arial" w:cs="Arial"/>
          <w:b/>
          <w:bCs/>
          <w:sz w:val="22"/>
          <w:szCs w:val="22"/>
          <w:lang w:val="es-ES"/>
        </w:rPr>
      </w:pPr>
      <w:r w:rsidRPr="00775AE5">
        <w:rPr>
          <w:rFonts w:ascii="Arial" w:hAnsi="Arial" w:cs="Arial"/>
          <w:sz w:val="22"/>
          <w:szCs w:val="22"/>
          <w:lang w:val="es-ES"/>
        </w:rPr>
        <w:t>El Informe estableció que en el Ecuador se registraron privaciones ilegales de la libertad, torturas, ejecuciones extrajudiciales, desapariciones forzadas, atentados contra el derecho a la vida y violencia sexual en el período comprendido entre 1984 y 2008. La Comisión determinó 459 víctimas de graves violaciones a los derechos humanos y crímenes de lesa humanidad, en 119 casos. En los siguientes gráficos se destaca, en cifras, el tipo de violaciones de derechos humanos y el número de personas afectadas:</w:t>
      </w:r>
    </w:p>
    <w:p w14:paraId="1435CA61" w14:textId="77777777" w:rsidR="00BA3792" w:rsidRDefault="00BA3792" w:rsidP="00BA3792">
      <w:pPr>
        <w:spacing w:line="276" w:lineRule="auto"/>
        <w:rPr>
          <w:rFonts w:ascii="Arial" w:hAnsi="Arial" w:cs="Arial"/>
          <w:b/>
          <w:sz w:val="22"/>
          <w:szCs w:val="22"/>
          <w:lang w:val="es-ES"/>
        </w:rPr>
      </w:pPr>
    </w:p>
    <w:p w14:paraId="37C099AA" w14:textId="77777777" w:rsidR="00DE4A3F" w:rsidRDefault="00DE4A3F" w:rsidP="00BA3792">
      <w:pPr>
        <w:spacing w:line="276" w:lineRule="auto"/>
        <w:rPr>
          <w:rFonts w:ascii="Arial" w:hAnsi="Arial" w:cs="Arial"/>
          <w:b/>
          <w:sz w:val="22"/>
          <w:szCs w:val="22"/>
          <w:lang w:val="es-ES"/>
        </w:rPr>
      </w:pPr>
    </w:p>
    <w:p w14:paraId="72D3D0B1" w14:textId="77777777" w:rsidR="00DE4A3F" w:rsidRDefault="00DE4A3F" w:rsidP="00BA3792">
      <w:pPr>
        <w:spacing w:line="276" w:lineRule="auto"/>
        <w:rPr>
          <w:rFonts w:ascii="Arial" w:hAnsi="Arial" w:cs="Arial"/>
          <w:b/>
          <w:sz w:val="22"/>
          <w:szCs w:val="22"/>
          <w:lang w:val="es-ES"/>
        </w:rPr>
      </w:pPr>
    </w:p>
    <w:p w14:paraId="42FA1082" w14:textId="77777777" w:rsidR="00DE4A3F" w:rsidRDefault="00DE4A3F" w:rsidP="00BA3792">
      <w:pPr>
        <w:spacing w:line="276" w:lineRule="auto"/>
        <w:rPr>
          <w:rFonts w:ascii="Arial" w:hAnsi="Arial" w:cs="Arial"/>
          <w:b/>
          <w:sz w:val="22"/>
          <w:szCs w:val="22"/>
          <w:lang w:val="es-ES"/>
        </w:rPr>
      </w:pPr>
    </w:p>
    <w:p w14:paraId="0E582EF6" w14:textId="77777777" w:rsidR="00DE4A3F" w:rsidRDefault="00DE4A3F" w:rsidP="00BA3792">
      <w:pPr>
        <w:spacing w:line="276" w:lineRule="auto"/>
        <w:rPr>
          <w:rFonts w:ascii="Arial" w:hAnsi="Arial" w:cs="Arial"/>
          <w:b/>
          <w:sz w:val="22"/>
          <w:szCs w:val="22"/>
          <w:lang w:val="es-ES"/>
        </w:rPr>
      </w:pPr>
    </w:p>
    <w:p w14:paraId="680E3DC6" w14:textId="77777777" w:rsidR="00DE4A3F" w:rsidRDefault="00DE4A3F" w:rsidP="00BA3792">
      <w:pPr>
        <w:spacing w:line="276" w:lineRule="auto"/>
        <w:rPr>
          <w:rFonts w:ascii="Arial" w:hAnsi="Arial" w:cs="Arial"/>
          <w:b/>
          <w:sz w:val="22"/>
          <w:szCs w:val="22"/>
          <w:lang w:val="es-ES"/>
        </w:rPr>
      </w:pPr>
    </w:p>
    <w:p w14:paraId="0564CDCB" w14:textId="77777777" w:rsidR="00DE4A3F" w:rsidRDefault="00DE4A3F" w:rsidP="00BA3792">
      <w:pPr>
        <w:spacing w:line="276" w:lineRule="auto"/>
        <w:rPr>
          <w:rFonts w:ascii="Arial" w:hAnsi="Arial" w:cs="Arial"/>
          <w:b/>
          <w:sz w:val="22"/>
          <w:szCs w:val="22"/>
          <w:lang w:val="es-ES"/>
        </w:rPr>
      </w:pPr>
    </w:p>
    <w:p w14:paraId="073797B3" w14:textId="77777777" w:rsidR="00DE4A3F" w:rsidRDefault="00DE4A3F" w:rsidP="00BA3792">
      <w:pPr>
        <w:spacing w:line="276" w:lineRule="auto"/>
        <w:rPr>
          <w:rFonts w:ascii="Arial" w:hAnsi="Arial" w:cs="Arial"/>
          <w:b/>
          <w:sz w:val="22"/>
          <w:szCs w:val="22"/>
          <w:lang w:val="es-ES"/>
        </w:rPr>
      </w:pPr>
    </w:p>
    <w:p w14:paraId="7AC37548" w14:textId="77777777" w:rsidR="00DE4A3F" w:rsidRDefault="00DE4A3F" w:rsidP="00BA3792">
      <w:pPr>
        <w:spacing w:line="276" w:lineRule="auto"/>
        <w:rPr>
          <w:rFonts w:ascii="Arial" w:hAnsi="Arial" w:cs="Arial"/>
          <w:b/>
          <w:sz w:val="22"/>
          <w:szCs w:val="22"/>
          <w:lang w:val="es-ES"/>
        </w:rPr>
      </w:pPr>
    </w:p>
    <w:p w14:paraId="37774165" w14:textId="77777777" w:rsidR="00DE4A3F" w:rsidRDefault="00DE4A3F" w:rsidP="00BA3792">
      <w:pPr>
        <w:spacing w:line="276" w:lineRule="auto"/>
        <w:rPr>
          <w:rFonts w:ascii="Arial" w:hAnsi="Arial" w:cs="Arial"/>
          <w:b/>
          <w:sz w:val="22"/>
          <w:szCs w:val="22"/>
          <w:lang w:val="es-ES"/>
        </w:rPr>
      </w:pPr>
    </w:p>
    <w:p w14:paraId="75148B4B" w14:textId="77777777" w:rsidR="00DE4A3F" w:rsidRDefault="00DE4A3F" w:rsidP="00BA3792">
      <w:pPr>
        <w:spacing w:line="276" w:lineRule="auto"/>
        <w:rPr>
          <w:rFonts w:ascii="Arial" w:hAnsi="Arial" w:cs="Arial"/>
          <w:b/>
          <w:sz w:val="22"/>
          <w:szCs w:val="22"/>
          <w:lang w:val="es-ES"/>
        </w:rPr>
      </w:pPr>
    </w:p>
    <w:p w14:paraId="3030A0A7" w14:textId="77777777" w:rsidR="00DE4A3F" w:rsidRDefault="00DE4A3F" w:rsidP="00BA3792">
      <w:pPr>
        <w:spacing w:line="276" w:lineRule="auto"/>
        <w:rPr>
          <w:rFonts w:ascii="Arial" w:hAnsi="Arial" w:cs="Arial"/>
          <w:b/>
          <w:sz w:val="22"/>
          <w:szCs w:val="22"/>
          <w:lang w:val="es-ES"/>
        </w:rPr>
      </w:pPr>
    </w:p>
    <w:p w14:paraId="6EA1B3B1" w14:textId="77777777" w:rsidR="00BA3792" w:rsidRPr="00775AE5" w:rsidRDefault="00BA3792" w:rsidP="000E1571">
      <w:pPr>
        <w:spacing w:line="276" w:lineRule="auto"/>
        <w:jc w:val="center"/>
        <w:rPr>
          <w:rFonts w:ascii="Arial" w:hAnsi="Arial" w:cs="Arial"/>
          <w:b/>
          <w:sz w:val="22"/>
          <w:szCs w:val="22"/>
          <w:lang w:val="es-ES"/>
        </w:rPr>
      </w:pPr>
      <w:r w:rsidRPr="00775AE5">
        <w:rPr>
          <w:rFonts w:ascii="Arial" w:hAnsi="Arial" w:cs="Arial"/>
          <w:b/>
          <w:sz w:val="22"/>
          <w:szCs w:val="22"/>
          <w:lang w:val="es-ES"/>
        </w:rPr>
        <w:t>Tabla 3</w:t>
      </w:r>
    </w:p>
    <w:p w14:paraId="4C777FF1" w14:textId="4A23A251" w:rsidR="00BA3792" w:rsidRPr="000E1571" w:rsidRDefault="00BA3792" w:rsidP="000E1571">
      <w:pPr>
        <w:spacing w:line="276" w:lineRule="auto"/>
        <w:contextualSpacing/>
        <w:jc w:val="center"/>
        <w:rPr>
          <w:rFonts w:ascii="Arial" w:hAnsi="Arial" w:cs="Arial"/>
          <w:sz w:val="22"/>
          <w:szCs w:val="22"/>
          <w:lang w:val="es-ES"/>
        </w:rPr>
      </w:pPr>
      <w:r w:rsidRPr="000E1571">
        <w:rPr>
          <w:rFonts w:ascii="Arial" w:hAnsi="Arial" w:cs="Arial"/>
          <w:sz w:val="22"/>
          <w:szCs w:val="22"/>
          <w:lang w:val="es-ES"/>
        </w:rPr>
        <w:t>Tipos de violaciones de derechos humanos, número de hechos por año</w:t>
      </w:r>
    </w:p>
    <w:p w14:paraId="1F741718" w14:textId="7871522E" w:rsidR="00BA3792" w:rsidRPr="00775AE5" w:rsidRDefault="00945DDE" w:rsidP="00BA3792">
      <w:pPr>
        <w:spacing w:line="276" w:lineRule="auto"/>
        <w:contextualSpacing/>
        <w:jc w:val="center"/>
        <w:rPr>
          <w:rFonts w:ascii="Arial" w:hAnsi="Arial" w:cs="Arial"/>
          <w:sz w:val="22"/>
          <w:szCs w:val="22"/>
          <w:lang w:val="es-ES"/>
        </w:rPr>
      </w:pPr>
      <w:r w:rsidRPr="00775AE5">
        <w:rPr>
          <w:rFonts w:ascii="Arial" w:hAnsi="Arial" w:cs="Arial"/>
          <w:noProof/>
          <w:sz w:val="22"/>
          <w:szCs w:val="22"/>
          <w:bdr w:val="single" w:sz="8" w:space="0" w:color="8EAADB"/>
          <w:lang w:val="es-ES" w:eastAsia="es-ES"/>
        </w:rPr>
        <w:drawing>
          <wp:inline distT="0" distB="0" distL="0" distR="0" wp14:anchorId="3039613D" wp14:editId="3A7A1480">
            <wp:extent cx="5943600" cy="2638425"/>
            <wp:effectExtent l="19050" t="19050" r="0" b="9525"/>
            <wp:docPr id="6" name="Imagen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
                    <pic:cNvPicPr>
                      <a:picLocks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638425"/>
                    </a:xfrm>
                    <a:prstGeom prst="rect">
                      <a:avLst/>
                    </a:prstGeom>
                    <a:noFill/>
                    <a:ln w="12700" cmpd="sng">
                      <a:solidFill>
                        <a:srgbClr val="95B3D7"/>
                      </a:solidFill>
                      <a:miter lim="800000"/>
                      <a:headEnd/>
                      <a:tailEnd/>
                    </a:ln>
                    <a:effectLst/>
                  </pic:spPr>
                </pic:pic>
              </a:graphicData>
            </a:graphic>
          </wp:inline>
        </w:drawing>
      </w:r>
    </w:p>
    <w:p w14:paraId="43A6C5B1" w14:textId="5416CD60" w:rsidR="00BA3792" w:rsidRPr="00775AE5" w:rsidRDefault="00BA3792" w:rsidP="000E1571">
      <w:pPr>
        <w:spacing w:line="276" w:lineRule="auto"/>
        <w:contextualSpacing/>
        <w:jc w:val="center"/>
        <w:rPr>
          <w:rFonts w:ascii="Arial" w:hAnsi="Arial" w:cs="Arial"/>
          <w:i/>
          <w:iCs/>
          <w:sz w:val="22"/>
          <w:szCs w:val="22"/>
          <w:lang w:val="es-ES"/>
        </w:rPr>
      </w:pPr>
      <w:r w:rsidRPr="00775AE5">
        <w:rPr>
          <w:rFonts w:ascii="Arial" w:hAnsi="Arial" w:cs="Arial"/>
          <w:i/>
          <w:iCs/>
          <w:sz w:val="22"/>
          <w:szCs w:val="22"/>
          <w:lang w:val="es-ES"/>
        </w:rPr>
        <w:t>Nota</w:t>
      </w:r>
      <w:r w:rsidRPr="00775AE5">
        <w:rPr>
          <w:rFonts w:ascii="Arial" w:hAnsi="Arial" w:cs="Arial"/>
          <w:sz w:val="22"/>
          <w:szCs w:val="22"/>
          <w:lang w:val="es-ES"/>
        </w:rPr>
        <w:t xml:space="preserve"> Tomada del </w:t>
      </w:r>
      <w:r w:rsidRPr="00775AE5">
        <w:rPr>
          <w:rFonts w:ascii="Arial" w:hAnsi="Arial" w:cs="Arial"/>
          <w:i/>
          <w:iCs/>
          <w:sz w:val="22"/>
          <w:szCs w:val="22"/>
          <w:lang w:val="es-ES"/>
        </w:rPr>
        <w:t>Informe Comisión de la Verdad</w:t>
      </w:r>
      <w:r w:rsidRPr="00775AE5">
        <w:rPr>
          <w:rFonts w:ascii="Arial" w:hAnsi="Arial" w:cs="Arial"/>
          <w:sz w:val="22"/>
          <w:szCs w:val="22"/>
          <w:lang w:val="es-ES"/>
        </w:rPr>
        <w:t xml:space="preserve">, </w:t>
      </w:r>
      <w:r w:rsidRPr="00775AE5">
        <w:rPr>
          <w:rFonts w:ascii="Arial" w:hAnsi="Arial" w:cs="Arial"/>
          <w:i/>
          <w:iCs/>
          <w:sz w:val="22"/>
          <w:szCs w:val="22"/>
          <w:lang w:val="es-ES"/>
        </w:rPr>
        <w:t>Informe Final “Sin Verdad No Hay Justicia”, Resumen Ejecutivo</w:t>
      </w:r>
    </w:p>
    <w:p w14:paraId="6FFAE633" w14:textId="77777777" w:rsidR="00BA3792" w:rsidRPr="00775AE5" w:rsidRDefault="00BA3792" w:rsidP="00BA3792">
      <w:pPr>
        <w:spacing w:line="276" w:lineRule="auto"/>
        <w:contextualSpacing/>
        <w:jc w:val="both"/>
        <w:rPr>
          <w:rFonts w:ascii="Arial" w:hAnsi="Arial" w:cs="Arial"/>
          <w:sz w:val="22"/>
          <w:szCs w:val="22"/>
          <w:lang w:val="es-ES"/>
        </w:rPr>
      </w:pPr>
    </w:p>
    <w:p w14:paraId="075E16A3" w14:textId="4C1E2BB2" w:rsidR="00BA3792" w:rsidRPr="00775AE5" w:rsidRDefault="00BA3792" w:rsidP="00BA3792">
      <w:pPr>
        <w:spacing w:line="276" w:lineRule="auto"/>
        <w:contextualSpacing/>
        <w:jc w:val="both"/>
        <w:rPr>
          <w:rFonts w:ascii="Arial" w:hAnsi="Arial" w:cs="Arial"/>
          <w:sz w:val="22"/>
          <w:szCs w:val="22"/>
          <w:lang w:val="es-ES"/>
        </w:rPr>
      </w:pPr>
      <w:r w:rsidRPr="00775AE5">
        <w:rPr>
          <w:rFonts w:ascii="Arial" w:hAnsi="Arial" w:cs="Arial"/>
          <w:sz w:val="22"/>
          <w:szCs w:val="22"/>
          <w:lang w:val="es-ES"/>
        </w:rPr>
        <w:t xml:space="preserve">Posteriormente, el 13 de diciembre de 2013, </w:t>
      </w:r>
      <w:r w:rsidR="000E1571" w:rsidRPr="00775AE5">
        <w:rPr>
          <w:rFonts w:ascii="Arial" w:hAnsi="Arial" w:cs="Arial"/>
          <w:sz w:val="22"/>
          <w:szCs w:val="22"/>
          <w:lang w:val="es-ES"/>
        </w:rPr>
        <w:t>entró en vigor</w:t>
      </w:r>
      <w:r w:rsidRPr="00775AE5">
        <w:rPr>
          <w:rFonts w:ascii="Arial" w:hAnsi="Arial" w:cs="Arial"/>
          <w:sz w:val="22"/>
          <w:szCs w:val="22"/>
          <w:lang w:val="es-ES"/>
        </w:rPr>
        <w:t xml:space="preserve"> la “Ley para la Reparación de las Víctimas y la Judicialización de Graves Violaciones de Derechos Humanos y Delitos de Lesa Humanidad” ocurridos en el Ecuador entre el 4 de octubre de 1983 y el 31 de diciembre de 2008.</w:t>
      </w:r>
    </w:p>
    <w:p w14:paraId="3F97121A" w14:textId="77777777" w:rsidR="00BA3792" w:rsidRPr="00775AE5" w:rsidRDefault="00BA3792" w:rsidP="00390DF2">
      <w:pPr>
        <w:spacing w:line="276" w:lineRule="auto"/>
        <w:rPr>
          <w:rFonts w:ascii="Arial" w:hAnsi="Arial" w:cs="Arial"/>
          <w:b/>
          <w:sz w:val="22"/>
          <w:szCs w:val="22"/>
          <w:lang w:val="es-ES"/>
        </w:rPr>
      </w:pPr>
    </w:p>
    <w:p w14:paraId="219E53B4" w14:textId="77777777" w:rsidR="00BA3792" w:rsidRPr="00775AE5" w:rsidRDefault="00BA3792" w:rsidP="00390DF2">
      <w:pPr>
        <w:spacing w:line="276" w:lineRule="auto"/>
        <w:rPr>
          <w:rFonts w:ascii="Arial" w:hAnsi="Arial" w:cs="Arial"/>
          <w:b/>
          <w:sz w:val="22"/>
          <w:szCs w:val="22"/>
          <w:lang w:val="es-ES"/>
        </w:rPr>
      </w:pPr>
    </w:p>
    <w:p w14:paraId="51FDD537" w14:textId="19712AC5" w:rsidR="00D411C1" w:rsidRPr="00775AE5" w:rsidRDefault="00BB3180" w:rsidP="00390DF2">
      <w:pPr>
        <w:pStyle w:val="Heading2"/>
        <w:spacing w:line="276" w:lineRule="auto"/>
        <w:rPr>
          <w:rFonts w:ascii="Arial" w:hAnsi="Arial"/>
          <w:sz w:val="22"/>
          <w:szCs w:val="22"/>
        </w:rPr>
      </w:pPr>
      <w:bookmarkStart w:id="11" w:name="_Toc168907337"/>
      <w:r w:rsidRPr="00775AE5">
        <w:rPr>
          <w:rFonts w:ascii="Arial" w:hAnsi="Arial"/>
          <w:sz w:val="22"/>
          <w:szCs w:val="22"/>
        </w:rPr>
        <w:t>7</w:t>
      </w:r>
      <w:r w:rsidR="00610BDA" w:rsidRPr="00775AE5">
        <w:rPr>
          <w:rFonts w:ascii="Arial" w:hAnsi="Arial"/>
          <w:sz w:val="22"/>
          <w:szCs w:val="22"/>
        </w:rPr>
        <w:t xml:space="preserve">. </w:t>
      </w:r>
      <w:r w:rsidR="00D411C1" w:rsidRPr="00775AE5">
        <w:rPr>
          <w:rFonts w:ascii="Arial" w:hAnsi="Arial"/>
          <w:sz w:val="22"/>
          <w:szCs w:val="22"/>
        </w:rPr>
        <w:t>Artículo 14</w:t>
      </w:r>
      <w:r w:rsidRPr="00775AE5">
        <w:rPr>
          <w:rFonts w:ascii="Arial" w:hAnsi="Arial"/>
          <w:sz w:val="22"/>
          <w:szCs w:val="22"/>
        </w:rPr>
        <w:t xml:space="preserve"> (</w:t>
      </w:r>
      <w:r w:rsidR="00D411C1" w:rsidRPr="00775AE5">
        <w:rPr>
          <w:rFonts w:ascii="Arial" w:hAnsi="Arial"/>
          <w:sz w:val="22"/>
          <w:szCs w:val="22"/>
        </w:rPr>
        <w:t>Párr</w:t>
      </w:r>
      <w:r w:rsidRPr="00775AE5">
        <w:rPr>
          <w:rFonts w:ascii="Arial" w:hAnsi="Arial"/>
          <w:sz w:val="22"/>
          <w:szCs w:val="22"/>
        </w:rPr>
        <w:t>afos</w:t>
      </w:r>
      <w:r w:rsidR="00D411C1" w:rsidRPr="00775AE5">
        <w:rPr>
          <w:rFonts w:ascii="Arial" w:hAnsi="Arial"/>
          <w:sz w:val="22"/>
          <w:szCs w:val="22"/>
        </w:rPr>
        <w:t xml:space="preserve"> 32, 33</w:t>
      </w:r>
      <w:r w:rsidR="00176F0C" w:rsidRPr="00775AE5">
        <w:rPr>
          <w:rFonts w:ascii="Arial" w:hAnsi="Arial"/>
          <w:sz w:val="22"/>
          <w:szCs w:val="22"/>
        </w:rPr>
        <w:t xml:space="preserve"> de la Lista de Cuestiones</w:t>
      </w:r>
      <w:r w:rsidRPr="00775AE5">
        <w:rPr>
          <w:rFonts w:ascii="Arial" w:hAnsi="Arial"/>
          <w:sz w:val="22"/>
          <w:szCs w:val="22"/>
        </w:rPr>
        <w:t>)</w:t>
      </w:r>
      <w:bookmarkEnd w:id="11"/>
      <w:r w:rsidR="00176F0C" w:rsidRPr="00775AE5">
        <w:rPr>
          <w:rFonts w:ascii="Arial" w:hAnsi="Arial"/>
          <w:sz w:val="22"/>
          <w:szCs w:val="22"/>
        </w:rPr>
        <w:t xml:space="preserve"> </w:t>
      </w:r>
    </w:p>
    <w:p w14:paraId="11E97AFF" w14:textId="77777777" w:rsidR="00176F0C" w:rsidRPr="00775AE5" w:rsidRDefault="00176F0C" w:rsidP="00640CCA">
      <w:pPr>
        <w:pStyle w:val="Heading3"/>
        <w:rPr>
          <w:rFonts w:ascii="Arial" w:hAnsi="Arial" w:cs="Arial"/>
          <w:sz w:val="22"/>
          <w:szCs w:val="22"/>
        </w:rPr>
      </w:pPr>
    </w:p>
    <w:p w14:paraId="45203E36" w14:textId="77777777" w:rsidR="00DC6B86" w:rsidRPr="00775AE5" w:rsidRDefault="00BB3180" w:rsidP="00640CCA">
      <w:pPr>
        <w:pStyle w:val="Heading3"/>
        <w:rPr>
          <w:rFonts w:ascii="Arial" w:hAnsi="Arial" w:cs="Arial"/>
          <w:sz w:val="22"/>
          <w:szCs w:val="22"/>
        </w:rPr>
      </w:pPr>
      <w:bookmarkStart w:id="12" w:name="_Toc168907338"/>
      <w:r w:rsidRPr="00775AE5">
        <w:rPr>
          <w:rFonts w:ascii="Arial" w:hAnsi="Arial" w:cs="Arial"/>
          <w:sz w:val="22"/>
          <w:szCs w:val="22"/>
        </w:rPr>
        <w:t>7</w:t>
      </w:r>
      <w:r w:rsidR="00610BDA" w:rsidRPr="00775AE5">
        <w:rPr>
          <w:rFonts w:ascii="Arial" w:hAnsi="Arial" w:cs="Arial"/>
          <w:sz w:val="22"/>
          <w:szCs w:val="22"/>
        </w:rPr>
        <w:t xml:space="preserve">.1. </w:t>
      </w:r>
      <w:r w:rsidR="00B57F97" w:rsidRPr="00775AE5">
        <w:rPr>
          <w:rFonts w:ascii="Arial" w:hAnsi="Arial" w:cs="Arial"/>
          <w:sz w:val="22"/>
          <w:szCs w:val="22"/>
        </w:rPr>
        <w:t>Medidas de reparación a las víctimas de tortura o sus familiares documentadas por la Comisión de la Verdad</w:t>
      </w:r>
      <w:bookmarkEnd w:id="12"/>
      <w:r w:rsidR="00790458" w:rsidRPr="00775AE5">
        <w:rPr>
          <w:rFonts w:ascii="Arial" w:hAnsi="Arial" w:cs="Arial"/>
          <w:sz w:val="22"/>
          <w:szCs w:val="22"/>
        </w:rPr>
        <w:t xml:space="preserve"> </w:t>
      </w:r>
    </w:p>
    <w:p w14:paraId="00FF7297" w14:textId="77777777" w:rsidR="00B57F97" w:rsidRPr="00775AE5" w:rsidRDefault="00B57F97" w:rsidP="00390DF2">
      <w:pPr>
        <w:spacing w:line="276" w:lineRule="auto"/>
        <w:jc w:val="both"/>
        <w:rPr>
          <w:rFonts w:ascii="Arial" w:hAnsi="Arial" w:cs="Arial"/>
          <w:b/>
          <w:bCs/>
          <w:sz w:val="22"/>
          <w:szCs w:val="22"/>
          <w:lang w:val="es-ES"/>
        </w:rPr>
      </w:pPr>
    </w:p>
    <w:p w14:paraId="62DBBD95" w14:textId="77777777" w:rsidR="00A72E6A" w:rsidRPr="00775AE5" w:rsidRDefault="00A72E6A" w:rsidP="00390DF2">
      <w:pPr>
        <w:spacing w:line="276" w:lineRule="auto"/>
        <w:jc w:val="both"/>
        <w:rPr>
          <w:rFonts w:ascii="Arial" w:hAnsi="Arial" w:cs="Arial"/>
          <w:sz w:val="22"/>
          <w:szCs w:val="22"/>
          <w:lang w:val="es-ES"/>
        </w:rPr>
      </w:pPr>
      <w:r w:rsidRPr="00775AE5">
        <w:rPr>
          <w:rFonts w:ascii="Arial" w:hAnsi="Arial" w:cs="Arial"/>
          <w:sz w:val="22"/>
          <w:szCs w:val="22"/>
          <w:lang w:val="es-ES"/>
        </w:rPr>
        <w:t xml:space="preserve">La Ley para la Reparación de las Víctimas y la Judicialización de Graves Violaciones de Derechos Humanos y Delitos de Lesa Humanidad Ocurridos en el Ecuador entre el 4 de octubre de 1983 y el 31 de diciembre de 2008 (en adelante Ley de Reparación a Víctimas),  con el fin de </w:t>
      </w:r>
      <w:r w:rsidR="00F367C6" w:rsidRPr="00775AE5">
        <w:rPr>
          <w:rFonts w:ascii="Arial" w:hAnsi="Arial" w:cs="Arial"/>
          <w:sz w:val="22"/>
          <w:szCs w:val="22"/>
          <w:lang w:val="es-ES"/>
        </w:rPr>
        <w:t>coordinar y gestionar dichas medidas</w:t>
      </w:r>
      <w:r w:rsidR="00F367C6" w:rsidRPr="00775AE5">
        <w:rPr>
          <w:rFonts w:ascii="Arial" w:hAnsi="Arial" w:cs="Arial"/>
          <w:sz w:val="22"/>
          <w:szCs w:val="22"/>
          <w:vertAlign w:val="superscript"/>
          <w:lang w:val="es-ES"/>
        </w:rPr>
        <w:footnoteReference w:id="5"/>
      </w:r>
      <w:r w:rsidR="00F367C6" w:rsidRPr="00775AE5">
        <w:rPr>
          <w:rFonts w:ascii="Arial" w:hAnsi="Arial" w:cs="Arial"/>
          <w:sz w:val="22"/>
          <w:szCs w:val="22"/>
          <w:lang w:val="es-ES"/>
        </w:rPr>
        <w:t>, faculta a la Defensoría del Pueblo a crear, dentro de su estructura institucional, una dirección de reparación y prosecución de acciones judiciales o cualquier otra instancia administrativa que considere conveniente para este fin; en consecuencia, mediante Resolución Defensorial 101 – DPE – 2014, de 02 de julio de 2014, se crea la Dirección Nacional de Reparación a Víctimas y Protección Contra la Impunidad (actual Dirección Nacional del Mecanismo de Protección de Personas Desaparecidas y Reparación a Víctimas Documentadas por la Comisión de la Verdad), la misma que se encarga de coordinar, con las instituciones y autoridades del Estado, la reparación de las víctimas que fueron documentadas en el informe final de la Comisión de la Verdad</w:t>
      </w:r>
      <w:r w:rsidR="00F367C6" w:rsidRPr="00775AE5">
        <w:rPr>
          <w:rFonts w:ascii="Arial" w:hAnsi="Arial" w:cs="Arial"/>
          <w:sz w:val="22"/>
          <w:szCs w:val="22"/>
          <w:vertAlign w:val="superscript"/>
          <w:lang w:val="es-ES"/>
        </w:rPr>
        <w:footnoteReference w:id="6"/>
      </w:r>
      <w:r w:rsidR="00F367C6" w:rsidRPr="00775AE5">
        <w:rPr>
          <w:rFonts w:ascii="Arial" w:hAnsi="Arial" w:cs="Arial"/>
          <w:sz w:val="22"/>
          <w:szCs w:val="22"/>
          <w:lang w:val="es-ES"/>
        </w:rPr>
        <w:t>.</w:t>
      </w:r>
    </w:p>
    <w:p w14:paraId="2304D5D9" w14:textId="77777777" w:rsidR="00A72E6A" w:rsidRPr="00775AE5" w:rsidRDefault="00A72E6A" w:rsidP="00390DF2">
      <w:pPr>
        <w:spacing w:line="276" w:lineRule="auto"/>
        <w:jc w:val="both"/>
        <w:rPr>
          <w:rFonts w:ascii="Arial" w:hAnsi="Arial" w:cs="Arial"/>
          <w:sz w:val="22"/>
          <w:szCs w:val="22"/>
          <w:lang w:val="es-ES"/>
        </w:rPr>
      </w:pPr>
    </w:p>
    <w:p w14:paraId="0B8CA72C" w14:textId="77777777" w:rsidR="00F367C6" w:rsidRPr="00775AE5" w:rsidRDefault="00F367C6" w:rsidP="00F367C6">
      <w:pPr>
        <w:spacing w:line="276" w:lineRule="auto"/>
        <w:jc w:val="both"/>
        <w:rPr>
          <w:rFonts w:ascii="Arial" w:hAnsi="Arial" w:cs="Arial"/>
          <w:sz w:val="22"/>
          <w:szCs w:val="22"/>
          <w:lang w:val="es-ES"/>
        </w:rPr>
      </w:pPr>
      <w:r w:rsidRPr="00775AE5">
        <w:rPr>
          <w:rFonts w:ascii="Arial" w:hAnsi="Arial" w:cs="Arial"/>
          <w:sz w:val="22"/>
          <w:szCs w:val="22"/>
          <w:lang w:val="es-ES"/>
        </w:rPr>
        <w:t>En Ecuador la Ley de Reparación a Víctimas divide la reparación integral, dejando la aplicación del mecanismo de indemnización (material, económico, pecuniario) al Ministerio de Justicia, Derechos Humanos y Cultos, actual Ministerio de la Mujer y Derechos Humanos, y la coordinación de los mecanismos de rehabilitación, restitución, garantía de no repetición y satisfacción (inmaterial, simbólico, restaurativo) a la Defensoría del Pueblo.</w:t>
      </w:r>
    </w:p>
    <w:p w14:paraId="2DF60572" w14:textId="77777777" w:rsidR="00A72E6A" w:rsidRPr="00775AE5" w:rsidRDefault="00A72E6A" w:rsidP="00390DF2">
      <w:pPr>
        <w:spacing w:line="276" w:lineRule="auto"/>
        <w:jc w:val="both"/>
        <w:rPr>
          <w:rFonts w:ascii="Arial" w:hAnsi="Arial" w:cs="Arial"/>
          <w:sz w:val="22"/>
          <w:szCs w:val="22"/>
          <w:lang w:val="es-ES"/>
        </w:rPr>
      </w:pPr>
    </w:p>
    <w:p w14:paraId="523BC4AC" w14:textId="77777777" w:rsidR="00A72E6A" w:rsidRPr="00775AE5" w:rsidRDefault="00A72E6A" w:rsidP="00390DF2">
      <w:pPr>
        <w:spacing w:line="276" w:lineRule="auto"/>
        <w:jc w:val="both"/>
        <w:rPr>
          <w:rFonts w:ascii="Arial" w:hAnsi="Arial" w:cs="Arial"/>
          <w:sz w:val="22"/>
          <w:szCs w:val="22"/>
          <w:lang w:val="es-ES"/>
        </w:rPr>
      </w:pPr>
      <w:r w:rsidRPr="00775AE5">
        <w:rPr>
          <w:rFonts w:ascii="Arial" w:hAnsi="Arial" w:cs="Arial"/>
          <w:sz w:val="22"/>
          <w:szCs w:val="22"/>
          <w:lang w:val="es-ES"/>
        </w:rPr>
        <w:t>Posteriormente, mediante Resolución D</w:t>
      </w:r>
      <w:r w:rsidR="00C91DF9" w:rsidRPr="00775AE5">
        <w:rPr>
          <w:rFonts w:ascii="Arial" w:hAnsi="Arial" w:cs="Arial"/>
          <w:sz w:val="22"/>
          <w:szCs w:val="22"/>
          <w:lang w:val="es-ES"/>
        </w:rPr>
        <w:t xml:space="preserve">efensorial </w:t>
      </w:r>
      <w:r w:rsidRPr="00775AE5">
        <w:rPr>
          <w:rFonts w:ascii="Arial" w:hAnsi="Arial" w:cs="Arial"/>
          <w:sz w:val="22"/>
          <w:szCs w:val="22"/>
          <w:lang w:val="es-ES"/>
        </w:rPr>
        <w:t xml:space="preserve">198 – DPE – CGAJ –2014, de 13 de noviembre de 2014, </w:t>
      </w:r>
      <w:r w:rsidR="00C91DF9" w:rsidRPr="00775AE5">
        <w:rPr>
          <w:rFonts w:ascii="Arial" w:hAnsi="Arial" w:cs="Arial"/>
          <w:sz w:val="22"/>
          <w:szCs w:val="22"/>
          <w:lang w:val="es-ES"/>
        </w:rPr>
        <w:t xml:space="preserve">se </w:t>
      </w:r>
      <w:r w:rsidRPr="00775AE5">
        <w:rPr>
          <w:rFonts w:ascii="Arial" w:hAnsi="Arial" w:cs="Arial"/>
          <w:sz w:val="22"/>
          <w:szCs w:val="22"/>
          <w:lang w:val="es-ES"/>
        </w:rPr>
        <w:t>expide las “Directrices para Regular el Procedimiento para el Programa de Reparación por vía Administrativa para las Víctimas de Violaciones de los Derechos Humanos Documentadas por la Comisión de la Verdad”</w:t>
      </w:r>
      <w:r w:rsidRPr="00775AE5">
        <w:rPr>
          <w:rFonts w:ascii="Arial" w:hAnsi="Arial" w:cs="Arial"/>
          <w:b/>
          <w:sz w:val="22"/>
          <w:szCs w:val="22"/>
          <w:lang w:val="es-ES"/>
        </w:rPr>
        <w:t xml:space="preserve"> </w:t>
      </w:r>
      <w:r w:rsidRPr="00775AE5">
        <w:rPr>
          <w:rFonts w:ascii="Arial" w:hAnsi="Arial" w:cs="Arial"/>
          <w:sz w:val="22"/>
          <w:szCs w:val="22"/>
          <w:lang w:val="es-ES"/>
        </w:rPr>
        <w:t>(en adelante Directrices). De esta forma, la Defensoría del Pueblo realizó, tal como lo menciona el artículo 12 de las Directrices, la difusión del Programa de Reparación, dando inicio al proceso que se mantiene abierto, con un trabajo continuo y directo con las víctimas hasta la presente fecha.</w:t>
      </w:r>
    </w:p>
    <w:p w14:paraId="59F4E7A7" w14:textId="77777777" w:rsidR="00A72E6A" w:rsidRPr="00775AE5" w:rsidRDefault="00A72E6A" w:rsidP="00390DF2">
      <w:pPr>
        <w:spacing w:line="276" w:lineRule="auto"/>
        <w:jc w:val="both"/>
        <w:rPr>
          <w:rFonts w:ascii="Arial" w:hAnsi="Arial" w:cs="Arial"/>
          <w:sz w:val="22"/>
          <w:szCs w:val="22"/>
          <w:lang w:val="es-ES"/>
        </w:rPr>
      </w:pPr>
    </w:p>
    <w:p w14:paraId="2367E476" w14:textId="27CC8A67" w:rsidR="00A72E6A" w:rsidRPr="00775AE5" w:rsidRDefault="00AC3F0B" w:rsidP="00390DF2">
      <w:pPr>
        <w:spacing w:line="276" w:lineRule="auto"/>
        <w:jc w:val="both"/>
        <w:rPr>
          <w:rFonts w:ascii="Arial" w:hAnsi="Arial" w:cs="Arial"/>
          <w:sz w:val="22"/>
          <w:szCs w:val="22"/>
          <w:lang w:val="es-ES"/>
        </w:rPr>
      </w:pPr>
      <w:r w:rsidRPr="00775AE5">
        <w:rPr>
          <w:rFonts w:ascii="Arial" w:hAnsi="Arial" w:cs="Arial"/>
          <w:sz w:val="22"/>
          <w:szCs w:val="22"/>
          <w:lang w:val="es-ES"/>
        </w:rPr>
        <w:t>De acuerdo con</w:t>
      </w:r>
      <w:r w:rsidR="00104E14" w:rsidRPr="00775AE5">
        <w:rPr>
          <w:rFonts w:ascii="Arial" w:hAnsi="Arial" w:cs="Arial"/>
          <w:sz w:val="22"/>
          <w:szCs w:val="22"/>
          <w:lang w:val="es-ES"/>
        </w:rPr>
        <w:t xml:space="preserve"> la </w:t>
      </w:r>
      <w:r w:rsidR="00A72E6A" w:rsidRPr="00775AE5">
        <w:rPr>
          <w:rFonts w:ascii="Arial" w:hAnsi="Arial" w:cs="Arial"/>
          <w:sz w:val="22"/>
          <w:szCs w:val="22"/>
          <w:lang w:val="es-ES"/>
        </w:rPr>
        <w:t>Ley de Reparación a Víctimas</w:t>
      </w:r>
      <w:r w:rsidR="00104E14" w:rsidRPr="00775AE5">
        <w:rPr>
          <w:rFonts w:ascii="Arial" w:hAnsi="Arial" w:cs="Arial"/>
          <w:sz w:val="22"/>
          <w:szCs w:val="22"/>
          <w:lang w:val="es-ES"/>
        </w:rPr>
        <w:t>,</w:t>
      </w:r>
      <w:r w:rsidR="00A72E6A" w:rsidRPr="00775AE5">
        <w:rPr>
          <w:rFonts w:ascii="Arial" w:hAnsi="Arial" w:cs="Arial"/>
          <w:sz w:val="22"/>
          <w:szCs w:val="22"/>
          <w:lang w:val="es-ES"/>
        </w:rPr>
        <w:t xml:space="preserve"> </w:t>
      </w:r>
      <w:r w:rsidR="00104E14" w:rsidRPr="00775AE5">
        <w:rPr>
          <w:rFonts w:ascii="Arial" w:hAnsi="Arial" w:cs="Arial"/>
          <w:sz w:val="22"/>
          <w:szCs w:val="22"/>
          <w:lang w:val="es-ES"/>
        </w:rPr>
        <w:t xml:space="preserve">las personas </w:t>
      </w:r>
      <w:r w:rsidR="00A72E6A" w:rsidRPr="00775AE5">
        <w:rPr>
          <w:rFonts w:ascii="Arial" w:hAnsi="Arial" w:cs="Arial"/>
          <w:sz w:val="22"/>
          <w:szCs w:val="22"/>
          <w:lang w:val="es-ES"/>
        </w:rPr>
        <w:t xml:space="preserve">beneficiarias de las medidas individuales del programa de reparación por vía </w:t>
      </w:r>
      <w:r w:rsidR="0082378F" w:rsidRPr="00775AE5">
        <w:rPr>
          <w:rFonts w:ascii="Arial" w:hAnsi="Arial" w:cs="Arial"/>
          <w:sz w:val="22"/>
          <w:szCs w:val="22"/>
          <w:lang w:val="es-ES"/>
        </w:rPr>
        <w:t>administrativa</w:t>
      </w:r>
      <w:r w:rsidR="00A72E6A" w:rsidRPr="00775AE5">
        <w:rPr>
          <w:rFonts w:ascii="Arial" w:hAnsi="Arial" w:cs="Arial"/>
          <w:sz w:val="22"/>
          <w:szCs w:val="22"/>
          <w:lang w:val="es-ES"/>
        </w:rPr>
        <w:t xml:space="preserve"> </w:t>
      </w:r>
      <w:r w:rsidR="00104E14" w:rsidRPr="00775AE5">
        <w:rPr>
          <w:rFonts w:ascii="Arial" w:hAnsi="Arial" w:cs="Arial"/>
          <w:sz w:val="22"/>
          <w:szCs w:val="22"/>
          <w:lang w:val="es-ES"/>
        </w:rPr>
        <w:t xml:space="preserve">son </w:t>
      </w:r>
      <w:r w:rsidR="00A72E6A" w:rsidRPr="00775AE5">
        <w:rPr>
          <w:rFonts w:ascii="Arial" w:hAnsi="Arial" w:cs="Arial"/>
          <w:sz w:val="22"/>
          <w:szCs w:val="22"/>
          <w:lang w:val="es-ES"/>
        </w:rPr>
        <w:t>las víctimas directas de las violaciones de derechos humanos documentadas por la Comisión de la Verdad y también sus cónyuges o parejas por unión de hecho y familiares hasta e</w:t>
      </w:r>
      <w:r w:rsidR="00C91DF9" w:rsidRPr="00775AE5">
        <w:rPr>
          <w:rFonts w:ascii="Arial" w:hAnsi="Arial" w:cs="Arial"/>
          <w:sz w:val="22"/>
          <w:szCs w:val="22"/>
          <w:lang w:val="es-ES"/>
        </w:rPr>
        <w:t>l segundo grado de consanguineidad.</w:t>
      </w:r>
    </w:p>
    <w:p w14:paraId="63B440D5" w14:textId="77777777" w:rsidR="007B7967" w:rsidRPr="00775AE5" w:rsidRDefault="007B7967" w:rsidP="00390DF2">
      <w:pPr>
        <w:spacing w:line="276" w:lineRule="auto"/>
        <w:jc w:val="both"/>
        <w:rPr>
          <w:rFonts w:ascii="Arial" w:hAnsi="Arial" w:cs="Arial"/>
          <w:sz w:val="22"/>
          <w:szCs w:val="22"/>
          <w:lang w:val="es-ES"/>
        </w:rPr>
      </w:pPr>
    </w:p>
    <w:p w14:paraId="15280D8A" w14:textId="77777777" w:rsidR="00F367C6" w:rsidRPr="00775AE5" w:rsidRDefault="00F367C6" w:rsidP="00F367C6">
      <w:pPr>
        <w:spacing w:line="276" w:lineRule="auto"/>
        <w:jc w:val="both"/>
        <w:rPr>
          <w:rFonts w:ascii="Arial" w:hAnsi="Arial" w:cs="Arial"/>
          <w:sz w:val="22"/>
          <w:szCs w:val="22"/>
          <w:lang w:val="es-ES"/>
        </w:rPr>
      </w:pPr>
      <w:r w:rsidRPr="00775AE5">
        <w:rPr>
          <w:rFonts w:ascii="Arial" w:hAnsi="Arial" w:cs="Arial"/>
          <w:sz w:val="22"/>
          <w:szCs w:val="22"/>
          <w:lang w:val="es-ES"/>
        </w:rPr>
        <w:t>El acceso al Programa de Reparación a Víctimas por vía administrativa tiene el carácter de voluntario y gratuito</w:t>
      </w:r>
      <w:r w:rsidRPr="00775AE5">
        <w:rPr>
          <w:rFonts w:ascii="Arial" w:hAnsi="Arial" w:cs="Arial"/>
          <w:sz w:val="22"/>
          <w:szCs w:val="22"/>
          <w:vertAlign w:val="superscript"/>
          <w:lang w:val="es-ES"/>
        </w:rPr>
        <w:footnoteReference w:id="7"/>
      </w:r>
      <w:r w:rsidRPr="00775AE5">
        <w:rPr>
          <w:rFonts w:ascii="Arial" w:hAnsi="Arial" w:cs="Arial"/>
          <w:sz w:val="22"/>
          <w:szCs w:val="22"/>
          <w:lang w:val="es-ES"/>
        </w:rPr>
        <w:t>. El programa en el período 2014- 2024, cuenta con un total de 1150 personas víctimas, de las cuales 291 son directas y 859 indirectas.</w:t>
      </w:r>
    </w:p>
    <w:p w14:paraId="3C9C18A9" w14:textId="77777777" w:rsidR="007B7967" w:rsidRPr="00775AE5" w:rsidRDefault="007B7967" w:rsidP="00390DF2">
      <w:pPr>
        <w:spacing w:line="276" w:lineRule="auto"/>
        <w:jc w:val="both"/>
        <w:rPr>
          <w:rFonts w:ascii="Arial" w:hAnsi="Arial" w:cs="Arial"/>
          <w:sz w:val="22"/>
          <w:szCs w:val="22"/>
          <w:lang w:val="es-ES"/>
        </w:rPr>
      </w:pPr>
    </w:p>
    <w:p w14:paraId="4B6AE7B5" w14:textId="77777777" w:rsidR="00F367C6" w:rsidRPr="00775AE5" w:rsidRDefault="00F367C6" w:rsidP="00F367C6">
      <w:pPr>
        <w:spacing w:line="276" w:lineRule="auto"/>
        <w:jc w:val="both"/>
        <w:rPr>
          <w:rFonts w:ascii="Arial" w:hAnsi="Arial" w:cs="Arial"/>
          <w:sz w:val="22"/>
          <w:szCs w:val="22"/>
          <w:lang w:val="es-ES"/>
        </w:rPr>
      </w:pPr>
      <w:r w:rsidRPr="00775AE5">
        <w:rPr>
          <w:rFonts w:ascii="Arial" w:hAnsi="Arial" w:cs="Arial"/>
          <w:sz w:val="22"/>
          <w:szCs w:val="22"/>
          <w:lang w:val="es-ES"/>
        </w:rPr>
        <w:t>Y se han suscrito un total de 326 Acuerdos de Reparación Inmaterial, los mismos que han sido remitidos en su totalidad para el proceso de indemnización a cargo del Ex Ministerio de Justicia, Derechos Humanos y Cultos (actual Ministerio de la Mujer y Derechos Humanos), tal como lo determinan las Directrices y el Reglamento del Procedimiento para la Suscripción de Acuerdos Indemnizatorios con Víctimas Documentadas en el Informe de la Comisión de la Verdad.</w:t>
      </w:r>
    </w:p>
    <w:p w14:paraId="5F47DC33" w14:textId="77777777" w:rsidR="007B7967" w:rsidRPr="00775AE5" w:rsidRDefault="007B7967" w:rsidP="00390DF2">
      <w:pPr>
        <w:spacing w:line="276" w:lineRule="auto"/>
        <w:jc w:val="both"/>
        <w:rPr>
          <w:rFonts w:ascii="Arial" w:hAnsi="Arial" w:cs="Arial"/>
          <w:sz w:val="22"/>
          <w:szCs w:val="22"/>
          <w:lang w:val="es-ES"/>
        </w:rPr>
      </w:pPr>
    </w:p>
    <w:p w14:paraId="62D77B60" w14:textId="77777777" w:rsidR="00A72E6A" w:rsidRPr="00775AE5" w:rsidRDefault="00A72E6A" w:rsidP="00390DF2">
      <w:pPr>
        <w:spacing w:line="276" w:lineRule="auto"/>
        <w:jc w:val="both"/>
        <w:rPr>
          <w:rFonts w:ascii="Arial" w:hAnsi="Arial" w:cs="Arial"/>
          <w:sz w:val="22"/>
          <w:szCs w:val="22"/>
          <w:lang w:val="es-ES"/>
        </w:rPr>
      </w:pPr>
      <w:r w:rsidRPr="00775AE5">
        <w:rPr>
          <w:rFonts w:ascii="Arial" w:hAnsi="Arial" w:cs="Arial"/>
          <w:sz w:val="22"/>
          <w:szCs w:val="22"/>
          <w:lang w:val="es-ES"/>
        </w:rPr>
        <w:t>La Defensoría del Pueblo, conforme lo establece la Ley de Reparación a Víctimas, coordina y gestiona, con las instituciones y autoridades públicas competentes y la Procuraduría General del Estado, de forma permanente y continua el cumplimiento de los objetivos y las líneas de trabajo determinados en la norma</w:t>
      </w:r>
      <w:r w:rsidRPr="00775AE5">
        <w:rPr>
          <w:rFonts w:ascii="Arial" w:hAnsi="Arial" w:cs="Arial"/>
          <w:sz w:val="22"/>
          <w:szCs w:val="22"/>
          <w:vertAlign w:val="superscript"/>
          <w:lang w:val="es-ES"/>
        </w:rPr>
        <w:footnoteReference w:id="8"/>
      </w:r>
      <w:r w:rsidRPr="00775AE5">
        <w:rPr>
          <w:rFonts w:ascii="Arial" w:hAnsi="Arial" w:cs="Arial"/>
          <w:sz w:val="22"/>
          <w:szCs w:val="22"/>
          <w:lang w:val="es-ES"/>
        </w:rPr>
        <w:t xml:space="preserve">. Hasta el momento se ha trabajado conjuntamente con alrededor de </w:t>
      </w:r>
      <w:r w:rsidRPr="00775AE5">
        <w:rPr>
          <w:rFonts w:ascii="Arial" w:hAnsi="Arial" w:cs="Arial"/>
          <w:sz w:val="22"/>
          <w:szCs w:val="22"/>
          <w:highlight w:val="white"/>
          <w:lang w:val="es-ES"/>
        </w:rPr>
        <w:t>26</w:t>
      </w:r>
      <w:r w:rsidRPr="00775AE5">
        <w:rPr>
          <w:rFonts w:ascii="Arial" w:hAnsi="Arial" w:cs="Arial"/>
          <w:sz w:val="22"/>
          <w:szCs w:val="22"/>
          <w:lang w:val="es-ES"/>
        </w:rPr>
        <w:t xml:space="preserve"> instituciones obteniendo avances en el proceso reparatorio inmaterial. </w:t>
      </w:r>
    </w:p>
    <w:p w14:paraId="7FA4EC76" w14:textId="77777777" w:rsidR="007B7967" w:rsidRPr="00775AE5" w:rsidRDefault="007B7967" w:rsidP="00390DF2">
      <w:pPr>
        <w:spacing w:line="276" w:lineRule="auto"/>
        <w:jc w:val="both"/>
        <w:rPr>
          <w:rFonts w:ascii="Arial" w:hAnsi="Arial" w:cs="Arial"/>
          <w:sz w:val="22"/>
          <w:szCs w:val="22"/>
          <w:lang w:val="es-ES"/>
        </w:rPr>
      </w:pPr>
    </w:p>
    <w:p w14:paraId="75105BDB" w14:textId="77777777" w:rsidR="00A72E6A" w:rsidRPr="00775AE5" w:rsidRDefault="00A72E6A" w:rsidP="00390DF2">
      <w:pPr>
        <w:spacing w:line="276" w:lineRule="auto"/>
        <w:jc w:val="both"/>
        <w:rPr>
          <w:rFonts w:ascii="Arial" w:hAnsi="Arial" w:cs="Arial"/>
          <w:sz w:val="22"/>
          <w:szCs w:val="22"/>
          <w:lang w:val="es-ES"/>
        </w:rPr>
      </w:pPr>
      <w:r w:rsidRPr="00775AE5">
        <w:rPr>
          <w:rFonts w:ascii="Arial" w:hAnsi="Arial" w:cs="Arial"/>
          <w:sz w:val="22"/>
          <w:szCs w:val="22"/>
          <w:lang w:val="es-ES"/>
        </w:rPr>
        <w:t xml:space="preserve">Es necesario indicar que, </w:t>
      </w:r>
      <w:r w:rsidR="00854E16" w:rsidRPr="00775AE5">
        <w:rPr>
          <w:rFonts w:ascii="Arial" w:hAnsi="Arial" w:cs="Arial"/>
          <w:sz w:val="22"/>
          <w:szCs w:val="22"/>
          <w:lang w:val="es-ES"/>
        </w:rPr>
        <w:t>a pesar de que</w:t>
      </w:r>
      <w:r w:rsidRPr="00775AE5">
        <w:rPr>
          <w:rFonts w:ascii="Arial" w:hAnsi="Arial" w:cs="Arial"/>
          <w:sz w:val="22"/>
          <w:szCs w:val="22"/>
          <w:lang w:val="es-ES"/>
        </w:rPr>
        <w:t xml:space="preserve"> las recomendaciones del informe de la Comisión de la Verdad no son vinculantes, las acciones descritas a continuación se enmarcan en dichas recomendaciones. </w:t>
      </w:r>
    </w:p>
    <w:p w14:paraId="0FA0DD78" w14:textId="77777777" w:rsidR="007B7967" w:rsidRPr="00775AE5" w:rsidRDefault="007B7967" w:rsidP="00390DF2">
      <w:pPr>
        <w:spacing w:line="276" w:lineRule="auto"/>
        <w:jc w:val="both"/>
        <w:rPr>
          <w:rFonts w:ascii="Arial" w:hAnsi="Arial" w:cs="Arial"/>
          <w:sz w:val="22"/>
          <w:szCs w:val="22"/>
          <w:lang w:val="es-ES"/>
        </w:rPr>
      </w:pPr>
    </w:p>
    <w:p w14:paraId="295CF047" w14:textId="77777777" w:rsidR="00A72E6A" w:rsidRPr="00775AE5" w:rsidRDefault="00BB3180" w:rsidP="00790458">
      <w:pPr>
        <w:pStyle w:val="Heading4"/>
        <w:spacing w:before="0" w:after="0" w:line="276" w:lineRule="auto"/>
        <w:jc w:val="both"/>
        <w:rPr>
          <w:rFonts w:ascii="Arial" w:hAnsi="Arial" w:cs="Arial"/>
          <w:i w:val="0"/>
          <w:sz w:val="22"/>
          <w:szCs w:val="22"/>
          <w:lang w:val="es-ES"/>
        </w:rPr>
      </w:pPr>
      <w:r w:rsidRPr="00775AE5">
        <w:rPr>
          <w:rFonts w:ascii="Arial" w:hAnsi="Arial" w:cs="Arial"/>
          <w:i w:val="0"/>
          <w:sz w:val="22"/>
          <w:szCs w:val="22"/>
          <w:lang w:val="es-ES"/>
        </w:rPr>
        <w:t>7</w:t>
      </w:r>
      <w:r w:rsidR="00610BDA" w:rsidRPr="00775AE5">
        <w:rPr>
          <w:rFonts w:ascii="Arial" w:hAnsi="Arial" w:cs="Arial"/>
          <w:i w:val="0"/>
          <w:sz w:val="22"/>
          <w:szCs w:val="22"/>
          <w:lang w:val="es-ES"/>
        </w:rPr>
        <w:t xml:space="preserve">.1.1. </w:t>
      </w:r>
      <w:r w:rsidR="00A72E6A" w:rsidRPr="00775AE5">
        <w:rPr>
          <w:rFonts w:ascii="Arial" w:hAnsi="Arial" w:cs="Arial"/>
          <w:i w:val="0"/>
          <w:sz w:val="22"/>
          <w:szCs w:val="22"/>
          <w:lang w:val="es-ES"/>
        </w:rPr>
        <w:t>Línea de rehabilitación física y atención psicosocial coordinación y gestión con el Ministerio de Salud Pública</w:t>
      </w:r>
    </w:p>
    <w:p w14:paraId="6D7AA9A9" w14:textId="77777777" w:rsidR="00790458" w:rsidRPr="00775AE5" w:rsidRDefault="00790458" w:rsidP="00790458">
      <w:pPr>
        <w:rPr>
          <w:rFonts w:ascii="Arial" w:hAnsi="Arial" w:cs="Arial"/>
          <w:sz w:val="22"/>
          <w:szCs w:val="22"/>
          <w:lang w:val="es-ES"/>
        </w:rPr>
      </w:pPr>
    </w:p>
    <w:p w14:paraId="15CB9861" w14:textId="77777777" w:rsidR="00790458" w:rsidRPr="00775AE5" w:rsidRDefault="00790458" w:rsidP="00790458">
      <w:pPr>
        <w:rPr>
          <w:rFonts w:ascii="Arial" w:hAnsi="Arial" w:cs="Arial"/>
          <w:sz w:val="22"/>
          <w:szCs w:val="22"/>
          <w:lang w:val="es-ES"/>
        </w:rPr>
      </w:pPr>
      <w:r w:rsidRPr="00775AE5">
        <w:rPr>
          <w:rFonts w:ascii="Arial" w:hAnsi="Arial" w:cs="Arial"/>
          <w:sz w:val="22"/>
          <w:szCs w:val="22"/>
          <w:lang w:val="es-ES"/>
        </w:rPr>
        <w:t>Respecto a este tema se han realizado las siguientes actividades:</w:t>
      </w:r>
    </w:p>
    <w:p w14:paraId="3EA18EF0" w14:textId="77777777" w:rsidR="00790458" w:rsidRPr="00775AE5" w:rsidRDefault="00790458" w:rsidP="00790458">
      <w:pPr>
        <w:rPr>
          <w:rFonts w:ascii="Arial" w:hAnsi="Arial" w:cs="Arial"/>
          <w:sz w:val="22"/>
          <w:szCs w:val="22"/>
          <w:lang w:val="es-ES"/>
        </w:rPr>
      </w:pPr>
    </w:p>
    <w:p w14:paraId="56F574E3" w14:textId="77777777" w:rsidR="00A72E6A" w:rsidRPr="00775AE5" w:rsidRDefault="00790458" w:rsidP="00A307D8">
      <w:pPr>
        <w:numPr>
          <w:ilvl w:val="0"/>
          <w:numId w:val="2"/>
        </w:numPr>
        <w:spacing w:line="276" w:lineRule="auto"/>
        <w:jc w:val="both"/>
        <w:rPr>
          <w:rFonts w:ascii="Arial" w:hAnsi="Arial" w:cs="Arial"/>
          <w:sz w:val="22"/>
          <w:szCs w:val="22"/>
          <w:lang w:val="es-ES"/>
        </w:rPr>
      </w:pPr>
      <w:r w:rsidRPr="00775AE5">
        <w:rPr>
          <w:rFonts w:ascii="Arial" w:hAnsi="Arial" w:cs="Arial"/>
          <w:sz w:val="22"/>
          <w:szCs w:val="22"/>
          <w:lang w:val="es-ES"/>
        </w:rPr>
        <w:t>G</w:t>
      </w:r>
      <w:r w:rsidR="00A72E6A" w:rsidRPr="00775AE5">
        <w:rPr>
          <w:rFonts w:ascii="Arial" w:hAnsi="Arial" w:cs="Arial"/>
          <w:sz w:val="22"/>
          <w:szCs w:val="22"/>
          <w:lang w:val="es-ES"/>
        </w:rPr>
        <w:t>eorreferenciación de las víctimas, tanto directas como indirectas, a fin de brindar una atención oportuna más cerca de su lugar de residencia.</w:t>
      </w:r>
    </w:p>
    <w:p w14:paraId="2192114B" w14:textId="77777777" w:rsidR="00A72E6A" w:rsidRPr="00775AE5" w:rsidRDefault="00790458" w:rsidP="00A307D8">
      <w:pPr>
        <w:numPr>
          <w:ilvl w:val="0"/>
          <w:numId w:val="2"/>
        </w:numPr>
        <w:spacing w:line="276" w:lineRule="auto"/>
        <w:jc w:val="both"/>
        <w:rPr>
          <w:rFonts w:ascii="Arial" w:hAnsi="Arial" w:cs="Arial"/>
          <w:sz w:val="22"/>
          <w:szCs w:val="22"/>
          <w:lang w:val="es-ES"/>
        </w:rPr>
      </w:pPr>
      <w:r w:rsidRPr="00775AE5">
        <w:rPr>
          <w:rFonts w:ascii="Arial" w:hAnsi="Arial" w:cs="Arial"/>
          <w:sz w:val="22"/>
          <w:szCs w:val="22"/>
          <w:lang w:val="es-ES"/>
        </w:rPr>
        <w:t>S</w:t>
      </w:r>
      <w:r w:rsidR="00A72E6A" w:rsidRPr="00775AE5">
        <w:rPr>
          <w:rFonts w:ascii="Arial" w:hAnsi="Arial" w:cs="Arial"/>
          <w:sz w:val="22"/>
          <w:szCs w:val="22"/>
          <w:lang w:val="es-ES"/>
        </w:rPr>
        <w:t>eguimiento de atención médica de manera individual, con reportes periódicos remitidos por el Ministerio a la Defensoría del Pueblo.</w:t>
      </w:r>
    </w:p>
    <w:p w14:paraId="7BAE2224" w14:textId="5ED6074C" w:rsidR="00A72E6A" w:rsidRPr="00775AE5" w:rsidRDefault="00790458" w:rsidP="00A307D8">
      <w:pPr>
        <w:numPr>
          <w:ilvl w:val="0"/>
          <w:numId w:val="2"/>
        </w:numPr>
        <w:spacing w:line="276" w:lineRule="auto"/>
        <w:jc w:val="both"/>
        <w:rPr>
          <w:rFonts w:ascii="Arial" w:hAnsi="Arial" w:cs="Arial"/>
          <w:sz w:val="22"/>
          <w:szCs w:val="22"/>
          <w:lang w:val="es-ES"/>
        </w:rPr>
      </w:pPr>
      <w:r w:rsidRPr="00775AE5">
        <w:rPr>
          <w:rFonts w:ascii="Arial" w:hAnsi="Arial" w:cs="Arial"/>
          <w:sz w:val="22"/>
          <w:szCs w:val="22"/>
          <w:lang w:val="es-ES"/>
        </w:rPr>
        <w:t>G</w:t>
      </w:r>
      <w:r w:rsidR="00A72E6A" w:rsidRPr="00775AE5">
        <w:rPr>
          <w:rFonts w:ascii="Arial" w:hAnsi="Arial" w:cs="Arial"/>
          <w:sz w:val="22"/>
          <w:szCs w:val="22"/>
          <w:lang w:val="es-ES"/>
        </w:rPr>
        <w:t>enera</w:t>
      </w:r>
      <w:r w:rsidR="005A334B" w:rsidRPr="00775AE5">
        <w:rPr>
          <w:rFonts w:ascii="Arial" w:hAnsi="Arial" w:cs="Arial"/>
          <w:sz w:val="22"/>
          <w:szCs w:val="22"/>
          <w:lang w:val="es-ES"/>
        </w:rPr>
        <w:t>ción de</w:t>
      </w:r>
      <w:r w:rsidR="00A72E6A" w:rsidRPr="00775AE5">
        <w:rPr>
          <w:rFonts w:ascii="Arial" w:hAnsi="Arial" w:cs="Arial"/>
          <w:sz w:val="22"/>
          <w:szCs w:val="22"/>
          <w:lang w:val="es-ES"/>
        </w:rPr>
        <w:t xml:space="preserve"> citas prioritarias para atención dentro del Sistema Nacional de Salud.</w:t>
      </w:r>
      <w:r w:rsidR="005A334B" w:rsidRPr="00775AE5">
        <w:rPr>
          <w:rFonts w:ascii="Arial" w:hAnsi="Arial" w:cs="Arial"/>
          <w:sz w:val="22"/>
          <w:szCs w:val="22"/>
          <w:lang w:val="es-ES"/>
        </w:rPr>
        <w:t xml:space="preserve"> Cabe señalar </w:t>
      </w:r>
      <w:r w:rsidR="003E0070" w:rsidRPr="00775AE5">
        <w:rPr>
          <w:rFonts w:ascii="Arial" w:hAnsi="Arial" w:cs="Arial"/>
          <w:sz w:val="22"/>
          <w:szCs w:val="22"/>
          <w:lang w:val="es-ES"/>
        </w:rPr>
        <w:t>que,</w:t>
      </w:r>
      <w:r w:rsidR="005A334B" w:rsidRPr="00775AE5">
        <w:rPr>
          <w:rFonts w:ascii="Arial" w:hAnsi="Arial" w:cs="Arial"/>
          <w:sz w:val="22"/>
          <w:szCs w:val="22"/>
          <w:lang w:val="es-ES"/>
        </w:rPr>
        <w:t xml:space="preserve"> en</w:t>
      </w:r>
      <w:r w:rsidR="00A72E6A" w:rsidRPr="00775AE5">
        <w:rPr>
          <w:rFonts w:ascii="Arial" w:hAnsi="Arial" w:cs="Arial"/>
          <w:sz w:val="22"/>
          <w:szCs w:val="22"/>
          <w:lang w:val="es-ES"/>
        </w:rPr>
        <w:t xml:space="preserve"> casos de personas con discapacidad o </w:t>
      </w:r>
      <w:r w:rsidR="005A334B" w:rsidRPr="00775AE5">
        <w:rPr>
          <w:rFonts w:ascii="Arial" w:hAnsi="Arial" w:cs="Arial"/>
          <w:sz w:val="22"/>
          <w:szCs w:val="22"/>
          <w:lang w:val="es-ES"/>
        </w:rPr>
        <w:t xml:space="preserve">personas </w:t>
      </w:r>
      <w:r w:rsidR="00A72E6A" w:rsidRPr="00775AE5">
        <w:rPr>
          <w:rFonts w:ascii="Arial" w:hAnsi="Arial" w:cs="Arial"/>
          <w:sz w:val="22"/>
          <w:szCs w:val="22"/>
          <w:lang w:val="es-ES"/>
        </w:rPr>
        <w:t>adult</w:t>
      </w:r>
      <w:r w:rsidR="005A334B" w:rsidRPr="00775AE5">
        <w:rPr>
          <w:rFonts w:ascii="Arial" w:hAnsi="Arial" w:cs="Arial"/>
          <w:sz w:val="22"/>
          <w:szCs w:val="22"/>
          <w:lang w:val="es-ES"/>
        </w:rPr>
        <w:t>a</w:t>
      </w:r>
      <w:r w:rsidR="00A72E6A" w:rsidRPr="00775AE5">
        <w:rPr>
          <w:rFonts w:ascii="Arial" w:hAnsi="Arial" w:cs="Arial"/>
          <w:sz w:val="22"/>
          <w:szCs w:val="22"/>
          <w:lang w:val="es-ES"/>
        </w:rPr>
        <w:t>s mayores, el Ministerio brinda atención domiciliaria especializada.</w:t>
      </w:r>
    </w:p>
    <w:p w14:paraId="6260AC3F" w14:textId="77777777" w:rsidR="00A72E6A" w:rsidRPr="00775AE5" w:rsidRDefault="005A334B" w:rsidP="00A307D8">
      <w:pPr>
        <w:numPr>
          <w:ilvl w:val="0"/>
          <w:numId w:val="2"/>
        </w:numPr>
        <w:spacing w:line="276" w:lineRule="auto"/>
        <w:jc w:val="both"/>
        <w:rPr>
          <w:rFonts w:ascii="Arial" w:hAnsi="Arial" w:cs="Arial"/>
          <w:sz w:val="22"/>
          <w:szCs w:val="22"/>
          <w:lang w:val="es-ES"/>
        </w:rPr>
      </w:pPr>
      <w:r w:rsidRPr="00775AE5">
        <w:rPr>
          <w:rFonts w:ascii="Arial" w:hAnsi="Arial" w:cs="Arial"/>
          <w:sz w:val="22"/>
          <w:szCs w:val="22"/>
          <w:lang w:val="es-ES"/>
        </w:rPr>
        <w:t xml:space="preserve">Acciones </w:t>
      </w:r>
      <w:r w:rsidR="00A72E6A" w:rsidRPr="00775AE5">
        <w:rPr>
          <w:rFonts w:ascii="Arial" w:hAnsi="Arial" w:cs="Arial"/>
          <w:sz w:val="22"/>
          <w:szCs w:val="22"/>
          <w:lang w:val="es-ES"/>
        </w:rPr>
        <w:t>para lograr atención a víctimas, tanto directas como indirectas.</w:t>
      </w:r>
    </w:p>
    <w:p w14:paraId="31BCDFC1" w14:textId="77777777" w:rsidR="00A72E6A" w:rsidRPr="00775AE5" w:rsidRDefault="005A334B" w:rsidP="00A307D8">
      <w:pPr>
        <w:numPr>
          <w:ilvl w:val="0"/>
          <w:numId w:val="2"/>
        </w:numPr>
        <w:spacing w:line="276" w:lineRule="auto"/>
        <w:jc w:val="both"/>
        <w:rPr>
          <w:rFonts w:ascii="Arial" w:hAnsi="Arial" w:cs="Arial"/>
          <w:sz w:val="22"/>
          <w:szCs w:val="22"/>
          <w:lang w:val="es-ES"/>
        </w:rPr>
      </w:pPr>
      <w:r w:rsidRPr="00775AE5">
        <w:rPr>
          <w:rFonts w:ascii="Arial" w:hAnsi="Arial" w:cs="Arial"/>
          <w:sz w:val="22"/>
          <w:szCs w:val="22"/>
          <w:lang w:val="es-ES"/>
        </w:rPr>
        <w:t>C</w:t>
      </w:r>
      <w:r w:rsidR="00A72E6A" w:rsidRPr="00775AE5">
        <w:rPr>
          <w:rFonts w:ascii="Arial" w:hAnsi="Arial" w:cs="Arial"/>
          <w:sz w:val="22"/>
          <w:szCs w:val="22"/>
          <w:lang w:val="es-ES"/>
        </w:rPr>
        <w:t>apacitaciones a los profesionales de salud, tanto virtuales como presenciales, en lineamientos de atención especial a víctimas, a fin de que el personal de salud entienda la vulneración que sufrieron las personas documentadas por el Informe de la Comisión de la Verdad y sus familias.</w:t>
      </w:r>
    </w:p>
    <w:p w14:paraId="35E0B40C" w14:textId="77777777" w:rsidR="00A72E6A" w:rsidRPr="00775AE5" w:rsidRDefault="005A334B" w:rsidP="00A307D8">
      <w:pPr>
        <w:numPr>
          <w:ilvl w:val="0"/>
          <w:numId w:val="2"/>
        </w:numPr>
        <w:spacing w:line="276" w:lineRule="auto"/>
        <w:jc w:val="both"/>
        <w:rPr>
          <w:rFonts w:ascii="Arial" w:hAnsi="Arial" w:cs="Arial"/>
          <w:sz w:val="22"/>
          <w:szCs w:val="22"/>
          <w:lang w:val="es-ES"/>
        </w:rPr>
      </w:pPr>
      <w:r w:rsidRPr="00775AE5">
        <w:rPr>
          <w:rFonts w:ascii="Arial" w:hAnsi="Arial" w:cs="Arial"/>
          <w:sz w:val="22"/>
          <w:szCs w:val="22"/>
          <w:lang w:val="es-ES"/>
        </w:rPr>
        <w:t>C</w:t>
      </w:r>
      <w:r w:rsidR="00A72E6A" w:rsidRPr="00775AE5">
        <w:rPr>
          <w:rFonts w:ascii="Arial" w:hAnsi="Arial" w:cs="Arial"/>
          <w:sz w:val="22"/>
          <w:szCs w:val="22"/>
          <w:lang w:val="es-ES"/>
        </w:rPr>
        <w:t>harlas informativas sobre el Sistema Nacional de Salud y el Modelo Integral en Salud con las víctimas del programa para que conozcan los niveles de atención y forma de acceso a salud.</w:t>
      </w:r>
    </w:p>
    <w:p w14:paraId="08680E66" w14:textId="77777777" w:rsidR="00A72E6A" w:rsidRPr="00775AE5" w:rsidRDefault="005A334B" w:rsidP="00A307D8">
      <w:pPr>
        <w:numPr>
          <w:ilvl w:val="0"/>
          <w:numId w:val="2"/>
        </w:numPr>
        <w:spacing w:line="276" w:lineRule="auto"/>
        <w:jc w:val="both"/>
        <w:rPr>
          <w:rFonts w:ascii="Arial" w:hAnsi="Arial" w:cs="Arial"/>
          <w:sz w:val="22"/>
          <w:szCs w:val="22"/>
          <w:highlight w:val="white"/>
          <w:lang w:val="es-ES"/>
        </w:rPr>
      </w:pPr>
      <w:r w:rsidRPr="00775AE5">
        <w:rPr>
          <w:rFonts w:ascii="Arial" w:hAnsi="Arial" w:cs="Arial"/>
          <w:sz w:val="22"/>
          <w:szCs w:val="22"/>
          <w:highlight w:val="white"/>
          <w:lang w:val="es-ES"/>
        </w:rPr>
        <w:t>C</w:t>
      </w:r>
      <w:r w:rsidR="00A72E6A" w:rsidRPr="00775AE5">
        <w:rPr>
          <w:rFonts w:ascii="Arial" w:hAnsi="Arial" w:cs="Arial"/>
          <w:sz w:val="22"/>
          <w:szCs w:val="22"/>
          <w:highlight w:val="white"/>
          <w:lang w:val="es-ES"/>
        </w:rPr>
        <w:t>apacit</w:t>
      </w:r>
      <w:r w:rsidRPr="00775AE5">
        <w:rPr>
          <w:rFonts w:ascii="Arial" w:hAnsi="Arial" w:cs="Arial"/>
          <w:sz w:val="22"/>
          <w:szCs w:val="22"/>
          <w:highlight w:val="white"/>
          <w:lang w:val="es-ES"/>
        </w:rPr>
        <w:t>aci</w:t>
      </w:r>
      <w:r w:rsidR="00A72E6A" w:rsidRPr="00775AE5">
        <w:rPr>
          <w:rFonts w:ascii="Arial" w:hAnsi="Arial" w:cs="Arial"/>
          <w:sz w:val="22"/>
          <w:szCs w:val="22"/>
          <w:highlight w:val="white"/>
          <w:lang w:val="es-ES"/>
        </w:rPr>
        <w:t>ó</w:t>
      </w:r>
      <w:r w:rsidRPr="00775AE5">
        <w:rPr>
          <w:rFonts w:ascii="Arial" w:hAnsi="Arial" w:cs="Arial"/>
          <w:sz w:val="22"/>
          <w:szCs w:val="22"/>
          <w:highlight w:val="white"/>
          <w:lang w:val="es-ES"/>
        </w:rPr>
        <w:t>n</w:t>
      </w:r>
      <w:r w:rsidR="00A72E6A" w:rsidRPr="00775AE5">
        <w:rPr>
          <w:rFonts w:ascii="Arial" w:hAnsi="Arial" w:cs="Arial"/>
          <w:sz w:val="22"/>
          <w:szCs w:val="22"/>
          <w:highlight w:val="white"/>
          <w:lang w:val="es-ES"/>
        </w:rPr>
        <w:t xml:space="preserve"> a funcionarios/as de la Corporación Nacional de Telecomunicaciones, CNT, sobre lineamientos de atención a víctimas dentro de la opción 2 del sistema 171, mecanismo en el que realizan la atención psicólogos/as.</w:t>
      </w:r>
    </w:p>
    <w:p w14:paraId="1AFD10F6" w14:textId="77777777" w:rsidR="005A334B" w:rsidRPr="00775AE5" w:rsidRDefault="005A334B" w:rsidP="005A334B">
      <w:pPr>
        <w:spacing w:line="276" w:lineRule="auto"/>
        <w:ind w:left="360"/>
        <w:jc w:val="both"/>
        <w:rPr>
          <w:rFonts w:ascii="Arial" w:hAnsi="Arial" w:cs="Arial"/>
          <w:sz w:val="22"/>
          <w:szCs w:val="22"/>
          <w:lang w:val="es-ES"/>
        </w:rPr>
      </w:pPr>
    </w:p>
    <w:p w14:paraId="79805FCA" w14:textId="77777777" w:rsidR="00A72E6A" w:rsidRDefault="005A334B" w:rsidP="005A334B">
      <w:pPr>
        <w:spacing w:line="276" w:lineRule="auto"/>
        <w:ind w:left="360"/>
        <w:jc w:val="both"/>
        <w:rPr>
          <w:rFonts w:ascii="Arial" w:hAnsi="Arial" w:cs="Arial"/>
          <w:sz w:val="22"/>
          <w:szCs w:val="22"/>
          <w:lang w:val="es-ES"/>
        </w:rPr>
      </w:pPr>
      <w:r w:rsidRPr="00775AE5">
        <w:rPr>
          <w:rFonts w:ascii="Arial" w:hAnsi="Arial" w:cs="Arial"/>
          <w:sz w:val="22"/>
          <w:szCs w:val="22"/>
          <w:lang w:val="es-ES"/>
        </w:rPr>
        <w:t>Es importante mencionar que e</w:t>
      </w:r>
      <w:r w:rsidR="00A72E6A" w:rsidRPr="00775AE5">
        <w:rPr>
          <w:rFonts w:ascii="Arial" w:hAnsi="Arial" w:cs="Arial"/>
          <w:sz w:val="22"/>
          <w:szCs w:val="22"/>
          <w:lang w:val="es-ES"/>
        </w:rPr>
        <w:t>l Ministerio de Salud Pública, desarrolla su protocolo de atención a víctimas, con apoyo de las herramientas creadas en las capacitaciones, el mismo que permitirá que, en cada uno de los centros médicos, se brinde la atención médica y psicológica acorde a la condición de cada una de las víctimas.</w:t>
      </w:r>
    </w:p>
    <w:p w14:paraId="4CE7D1F3" w14:textId="77777777" w:rsidR="00A72E6A" w:rsidRPr="00775AE5" w:rsidRDefault="00A72E6A" w:rsidP="00390DF2">
      <w:pPr>
        <w:spacing w:line="276" w:lineRule="auto"/>
        <w:ind w:left="720"/>
        <w:jc w:val="both"/>
        <w:rPr>
          <w:rFonts w:ascii="Arial" w:hAnsi="Arial" w:cs="Arial"/>
          <w:b/>
          <w:sz w:val="22"/>
          <w:szCs w:val="22"/>
          <w:lang w:val="es-ES"/>
        </w:rPr>
      </w:pPr>
    </w:p>
    <w:p w14:paraId="746E43FF" w14:textId="77777777" w:rsidR="00A72E6A" w:rsidRPr="00775AE5" w:rsidRDefault="00A72E6A" w:rsidP="00390DF2">
      <w:pPr>
        <w:spacing w:line="276" w:lineRule="auto"/>
        <w:jc w:val="both"/>
        <w:rPr>
          <w:rFonts w:ascii="Arial" w:hAnsi="Arial" w:cs="Arial"/>
          <w:b/>
          <w:sz w:val="22"/>
          <w:szCs w:val="22"/>
          <w:highlight w:val="white"/>
          <w:lang w:val="es-ES"/>
        </w:rPr>
      </w:pPr>
      <w:r w:rsidRPr="00775AE5">
        <w:rPr>
          <w:rFonts w:ascii="Arial" w:hAnsi="Arial" w:cs="Arial"/>
          <w:b/>
          <w:sz w:val="22"/>
          <w:szCs w:val="22"/>
          <w:highlight w:val="white"/>
          <w:lang w:val="es-ES"/>
        </w:rPr>
        <w:t>Atención psicológica por parte de la Defensoría del Pueblo</w:t>
      </w:r>
    </w:p>
    <w:p w14:paraId="45337CFB" w14:textId="77777777" w:rsidR="005A334B" w:rsidRPr="00775AE5" w:rsidRDefault="005A334B" w:rsidP="00390DF2">
      <w:pPr>
        <w:spacing w:line="276" w:lineRule="auto"/>
        <w:jc w:val="both"/>
        <w:rPr>
          <w:rFonts w:ascii="Arial" w:hAnsi="Arial" w:cs="Arial"/>
          <w:b/>
          <w:sz w:val="22"/>
          <w:szCs w:val="22"/>
          <w:highlight w:val="white"/>
          <w:lang w:val="es-ES"/>
        </w:rPr>
      </w:pPr>
    </w:p>
    <w:p w14:paraId="634E8006" w14:textId="77777777" w:rsidR="00F367C6" w:rsidRPr="00775AE5" w:rsidRDefault="00F367C6" w:rsidP="00F367C6">
      <w:pPr>
        <w:spacing w:line="276" w:lineRule="auto"/>
        <w:jc w:val="both"/>
        <w:rPr>
          <w:rFonts w:ascii="Arial" w:hAnsi="Arial" w:cs="Arial"/>
          <w:sz w:val="22"/>
          <w:szCs w:val="22"/>
          <w:lang w:val="es-ES"/>
        </w:rPr>
      </w:pPr>
      <w:r w:rsidRPr="00775AE5">
        <w:rPr>
          <w:rFonts w:ascii="Arial" w:hAnsi="Arial" w:cs="Arial"/>
          <w:sz w:val="22"/>
          <w:szCs w:val="22"/>
          <w:lang w:val="es-ES"/>
        </w:rPr>
        <w:t>La Dirección Nacional de Reparación a Víctimas y Protección contra la Impunidad (actual Dirección Nacional del Mecanismo de Protección de Personas Desaparecidas y Reparación a Víctimas Documentadas por la Comisión de la Verdad), ha realizado las siguientes acciones:</w:t>
      </w:r>
    </w:p>
    <w:p w14:paraId="55925406" w14:textId="77777777" w:rsidR="00C91DF9" w:rsidRPr="00775AE5" w:rsidRDefault="00C91DF9" w:rsidP="005A334B">
      <w:pPr>
        <w:spacing w:line="276" w:lineRule="auto"/>
        <w:jc w:val="both"/>
        <w:rPr>
          <w:rFonts w:ascii="Arial" w:hAnsi="Arial" w:cs="Arial"/>
          <w:sz w:val="22"/>
          <w:szCs w:val="22"/>
          <w:lang w:val="es-ES"/>
        </w:rPr>
      </w:pPr>
    </w:p>
    <w:p w14:paraId="69AE4EF5" w14:textId="77777777" w:rsidR="00A72E6A" w:rsidRPr="00775AE5" w:rsidRDefault="00C91DF9" w:rsidP="00B17DD2">
      <w:pPr>
        <w:numPr>
          <w:ilvl w:val="0"/>
          <w:numId w:val="18"/>
        </w:numPr>
        <w:spacing w:line="276" w:lineRule="auto"/>
        <w:jc w:val="both"/>
        <w:rPr>
          <w:rFonts w:ascii="Arial" w:hAnsi="Arial" w:cs="Arial"/>
          <w:sz w:val="22"/>
          <w:szCs w:val="22"/>
          <w:lang w:val="es-ES"/>
        </w:rPr>
      </w:pPr>
      <w:r w:rsidRPr="00775AE5">
        <w:rPr>
          <w:rFonts w:ascii="Arial" w:hAnsi="Arial" w:cs="Arial"/>
          <w:sz w:val="22"/>
          <w:szCs w:val="22"/>
          <w:lang w:val="es-ES"/>
        </w:rPr>
        <w:t>A</w:t>
      </w:r>
      <w:r w:rsidR="00A72E6A" w:rsidRPr="00775AE5">
        <w:rPr>
          <w:rFonts w:ascii="Arial" w:hAnsi="Arial" w:cs="Arial"/>
          <w:sz w:val="22"/>
          <w:szCs w:val="22"/>
          <w:lang w:val="es-ES"/>
        </w:rPr>
        <w:t>ten</w:t>
      </w:r>
      <w:r w:rsidR="005A334B" w:rsidRPr="00775AE5">
        <w:rPr>
          <w:rFonts w:ascii="Arial" w:hAnsi="Arial" w:cs="Arial"/>
          <w:sz w:val="22"/>
          <w:szCs w:val="22"/>
          <w:lang w:val="es-ES"/>
        </w:rPr>
        <w:t xml:space="preserve">ción </w:t>
      </w:r>
      <w:r w:rsidR="00A72E6A" w:rsidRPr="00775AE5">
        <w:rPr>
          <w:rFonts w:ascii="Arial" w:hAnsi="Arial" w:cs="Arial"/>
          <w:sz w:val="22"/>
          <w:szCs w:val="22"/>
          <w:lang w:val="es-ES"/>
        </w:rPr>
        <w:t>psicológica a víctimas, directas e indirectas, en las provincias de Azuay, Guayas, Pichincha, El Oro, Esmeraldas, Sucumbíos y Loja.</w:t>
      </w:r>
    </w:p>
    <w:p w14:paraId="5F17F29B" w14:textId="77777777" w:rsidR="00A72E6A" w:rsidRPr="00775AE5" w:rsidRDefault="005A334B" w:rsidP="00A307D8">
      <w:pPr>
        <w:numPr>
          <w:ilvl w:val="0"/>
          <w:numId w:val="3"/>
        </w:numPr>
        <w:spacing w:line="276" w:lineRule="auto"/>
        <w:jc w:val="both"/>
        <w:rPr>
          <w:rFonts w:ascii="Arial" w:hAnsi="Arial" w:cs="Arial"/>
          <w:sz w:val="22"/>
          <w:szCs w:val="22"/>
          <w:highlight w:val="white"/>
          <w:lang w:val="es-ES"/>
        </w:rPr>
      </w:pPr>
      <w:r w:rsidRPr="00775AE5">
        <w:rPr>
          <w:rFonts w:ascii="Arial" w:hAnsi="Arial" w:cs="Arial"/>
          <w:sz w:val="22"/>
          <w:szCs w:val="22"/>
          <w:highlight w:val="white"/>
          <w:lang w:val="es-ES"/>
        </w:rPr>
        <w:t>E</w:t>
      </w:r>
      <w:r w:rsidR="00A72E6A" w:rsidRPr="00775AE5">
        <w:rPr>
          <w:rFonts w:ascii="Arial" w:hAnsi="Arial" w:cs="Arial"/>
          <w:sz w:val="22"/>
          <w:szCs w:val="22"/>
          <w:highlight w:val="white"/>
          <w:lang w:val="es-ES"/>
        </w:rPr>
        <w:t>valuaciones psicológicas del estado psicoemocional de las víctimas basado en pruebas técnicas, observación clínica y entrevista semi - estructurada, con el objeto de entender cómo ha afectado a las víctimas la violación de sus derechos y, de esta forma, determinar el tipo de atención oportuna que necesita.</w:t>
      </w:r>
    </w:p>
    <w:p w14:paraId="34C309D6" w14:textId="77777777" w:rsidR="00A72E6A" w:rsidRPr="00775AE5" w:rsidRDefault="00A72E6A" w:rsidP="00A307D8">
      <w:pPr>
        <w:numPr>
          <w:ilvl w:val="0"/>
          <w:numId w:val="3"/>
        </w:numPr>
        <w:spacing w:line="276" w:lineRule="auto"/>
        <w:jc w:val="both"/>
        <w:rPr>
          <w:rFonts w:ascii="Arial" w:hAnsi="Arial" w:cs="Arial"/>
          <w:sz w:val="22"/>
          <w:szCs w:val="22"/>
          <w:highlight w:val="white"/>
          <w:lang w:val="es-ES"/>
        </w:rPr>
      </w:pPr>
      <w:r w:rsidRPr="00775AE5">
        <w:rPr>
          <w:rFonts w:ascii="Arial" w:hAnsi="Arial" w:cs="Arial"/>
          <w:sz w:val="22"/>
          <w:szCs w:val="22"/>
          <w:highlight w:val="white"/>
          <w:lang w:val="es-ES"/>
        </w:rPr>
        <w:t xml:space="preserve">Informes psicológicos sobre el resultado de la evaluación realizada. </w:t>
      </w:r>
    </w:p>
    <w:p w14:paraId="395D354D" w14:textId="77777777" w:rsidR="00A72E6A" w:rsidRPr="00775AE5" w:rsidRDefault="00C91DF9" w:rsidP="00A307D8">
      <w:pPr>
        <w:numPr>
          <w:ilvl w:val="0"/>
          <w:numId w:val="3"/>
        </w:numPr>
        <w:spacing w:line="276" w:lineRule="auto"/>
        <w:jc w:val="both"/>
        <w:rPr>
          <w:rFonts w:ascii="Arial" w:hAnsi="Arial" w:cs="Arial"/>
          <w:sz w:val="22"/>
          <w:szCs w:val="22"/>
          <w:highlight w:val="white"/>
          <w:lang w:val="es-ES"/>
        </w:rPr>
      </w:pPr>
      <w:r w:rsidRPr="00775AE5">
        <w:rPr>
          <w:rFonts w:ascii="Arial" w:hAnsi="Arial" w:cs="Arial"/>
          <w:sz w:val="22"/>
          <w:szCs w:val="22"/>
          <w:highlight w:val="white"/>
          <w:lang w:val="es-ES"/>
        </w:rPr>
        <w:t>Ap</w:t>
      </w:r>
      <w:r w:rsidR="00A72E6A" w:rsidRPr="00775AE5">
        <w:rPr>
          <w:rFonts w:ascii="Arial" w:hAnsi="Arial" w:cs="Arial"/>
          <w:sz w:val="22"/>
          <w:szCs w:val="22"/>
          <w:highlight w:val="white"/>
          <w:lang w:val="es-ES"/>
        </w:rPr>
        <w:t>oyo psicológico a las víctimas, directas e indirectas, en la elaboración de las experiencias emocionales que han vivido en el proceso de reparación, con la finalidad de que puedan dar nuevos significados a las experiencias vividas por la violación de sus derechos, reconozcan los sentimientos experimentados y, desde sus propias habilidades, puedan procesar y elaborar lo que significó la violación de sus derechos y lo que conlleva el proceso de reparación.</w:t>
      </w:r>
    </w:p>
    <w:p w14:paraId="47D2ADA7" w14:textId="22632B02" w:rsidR="00A72E6A" w:rsidRPr="00775AE5" w:rsidRDefault="005A334B" w:rsidP="00A307D8">
      <w:pPr>
        <w:numPr>
          <w:ilvl w:val="0"/>
          <w:numId w:val="3"/>
        </w:numPr>
        <w:spacing w:line="276" w:lineRule="auto"/>
        <w:jc w:val="both"/>
        <w:rPr>
          <w:rFonts w:ascii="Arial" w:hAnsi="Arial" w:cs="Arial"/>
          <w:sz w:val="22"/>
          <w:szCs w:val="22"/>
          <w:highlight w:val="white"/>
          <w:lang w:val="es-ES"/>
        </w:rPr>
      </w:pPr>
      <w:r w:rsidRPr="00775AE5">
        <w:rPr>
          <w:rFonts w:ascii="Arial" w:hAnsi="Arial" w:cs="Arial"/>
          <w:sz w:val="22"/>
          <w:szCs w:val="22"/>
          <w:highlight w:val="white"/>
          <w:lang w:val="es-ES"/>
        </w:rPr>
        <w:t>T</w:t>
      </w:r>
      <w:r w:rsidR="00A72E6A" w:rsidRPr="00775AE5">
        <w:rPr>
          <w:rFonts w:ascii="Arial" w:hAnsi="Arial" w:cs="Arial"/>
          <w:sz w:val="22"/>
          <w:szCs w:val="22"/>
          <w:highlight w:val="white"/>
          <w:lang w:val="es-ES"/>
        </w:rPr>
        <w:t xml:space="preserve">alleres a víctimas y sus familiares con el objetivo de reducir el estrés y síntomas psicoemocionales que el proceso y las secuelas de los hechos pueden haber generado en las víctimas. </w:t>
      </w:r>
      <w:r w:rsidR="00D240C9" w:rsidRPr="00775AE5">
        <w:rPr>
          <w:rFonts w:ascii="Arial" w:hAnsi="Arial" w:cs="Arial"/>
          <w:sz w:val="22"/>
          <w:szCs w:val="22"/>
          <w:highlight w:val="white"/>
          <w:lang w:val="es-ES"/>
        </w:rPr>
        <w:t>Estos talleres se lo</w:t>
      </w:r>
      <w:r w:rsidR="00D240C9">
        <w:rPr>
          <w:rFonts w:ascii="Arial" w:hAnsi="Arial" w:cs="Arial"/>
          <w:sz w:val="22"/>
          <w:szCs w:val="22"/>
          <w:highlight w:val="white"/>
          <w:lang w:val="es-ES"/>
        </w:rPr>
        <w:t>s</w:t>
      </w:r>
      <w:r w:rsidR="00D240C9" w:rsidRPr="00775AE5">
        <w:rPr>
          <w:rFonts w:ascii="Arial" w:hAnsi="Arial" w:cs="Arial"/>
          <w:sz w:val="22"/>
          <w:szCs w:val="22"/>
          <w:highlight w:val="white"/>
          <w:lang w:val="es-ES"/>
        </w:rPr>
        <w:t xml:space="preserve"> han</w:t>
      </w:r>
      <w:r w:rsidR="00A72E6A" w:rsidRPr="00775AE5">
        <w:rPr>
          <w:rFonts w:ascii="Arial" w:hAnsi="Arial" w:cs="Arial"/>
          <w:sz w:val="22"/>
          <w:szCs w:val="22"/>
          <w:highlight w:val="white"/>
          <w:lang w:val="es-ES"/>
        </w:rPr>
        <w:t xml:space="preserve"> realizado con colectivos de víctimas por casos, y los temas trabajados han variado dependiendo de lo solicitado por las personas y lo observado en las entrevistas psicosociales, el trabajo cotidiano y las atenciones puntuales. </w:t>
      </w:r>
    </w:p>
    <w:p w14:paraId="785CC1F9" w14:textId="77777777" w:rsidR="00A72E6A" w:rsidRPr="00775AE5" w:rsidRDefault="005A334B" w:rsidP="00A307D8">
      <w:pPr>
        <w:numPr>
          <w:ilvl w:val="0"/>
          <w:numId w:val="3"/>
        </w:numPr>
        <w:spacing w:line="276" w:lineRule="auto"/>
        <w:jc w:val="both"/>
        <w:rPr>
          <w:rFonts w:ascii="Arial" w:hAnsi="Arial" w:cs="Arial"/>
          <w:sz w:val="22"/>
          <w:szCs w:val="22"/>
          <w:lang w:val="es-ES"/>
        </w:rPr>
      </w:pPr>
      <w:r w:rsidRPr="00775AE5">
        <w:rPr>
          <w:rFonts w:ascii="Arial" w:hAnsi="Arial" w:cs="Arial"/>
          <w:sz w:val="22"/>
          <w:szCs w:val="22"/>
          <w:lang w:val="es-ES"/>
        </w:rPr>
        <w:t>A</w:t>
      </w:r>
      <w:r w:rsidR="00A72E6A" w:rsidRPr="00775AE5">
        <w:rPr>
          <w:rFonts w:ascii="Arial" w:hAnsi="Arial" w:cs="Arial"/>
          <w:sz w:val="22"/>
          <w:szCs w:val="22"/>
          <w:lang w:val="es-ES"/>
        </w:rPr>
        <w:t>compañamientos terapéuticos y contención a víctimas y familiares, en referencia a audiencias judiciales, procesos médicos y, en general, diversas acciones relacionadas con el apoyo emocional de las víctimas directas e indirectas.</w:t>
      </w:r>
    </w:p>
    <w:p w14:paraId="198A534A" w14:textId="77777777" w:rsidR="00A72E6A" w:rsidRPr="00775AE5" w:rsidRDefault="00A72E6A" w:rsidP="00390DF2">
      <w:pPr>
        <w:spacing w:line="276" w:lineRule="auto"/>
        <w:jc w:val="both"/>
        <w:rPr>
          <w:rFonts w:ascii="Arial" w:hAnsi="Arial" w:cs="Arial"/>
          <w:b/>
          <w:sz w:val="22"/>
          <w:szCs w:val="22"/>
          <w:highlight w:val="white"/>
          <w:lang w:val="es-ES"/>
        </w:rPr>
      </w:pPr>
    </w:p>
    <w:p w14:paraId="6AA9EBA9" w14:textId="77777777" w:rsidR="00A72E6A" w:rsidRPr="00775AE5" w:rsidRDefault="00BB3180" w:rsidP="005A334B">
      <w:pPr>
        <w:pStyle w:val="Heading4"/>
        <w:spacing w:before="0" w:after="0" w:line="276" w:lineRule="auto"/>
        <w:jc w:val="both"/>
        <w:rPr>
          <w:rFonts w:ascii="Arial" w:hAnsi="Arial" w:cs="Arial"/>
          <w:i w:val="0"/>
          <w:sz w:val="22"/>
          <w:szCs w:val="22"/>
          <w:lang w:val="es-ES"/>
        </w:rPr>
      </w:pPr>
      <w:r w:rsidRPr="00775AE5">
        <w:rPr>
          <w:rFonts w:ascii="Arial" w:hAnsi="Arial" w:cs="Arial"/>
          <w:i w:val="0"/>
          <w:sz w:val="22"/>
          <w:szCs w:val="22"/>
          <w:lang w:val="es-ES"/>
        </w:rPr>
        <w:t>7</w:t>
      </w:r>
      <w:r w:rsidR="00346990" w:rsidRPr="00775AE5">
        <w:rPr>
          <w:rFonts w:ascii="Arial" w:hAnsi="Arial" w:cs="Arial"/>
          <w:i w:val="0"/>
          <w:sz w:val="22"/>
          <w:szCs w:val="22"/>
          <w:lang w:val="es-ES"/>
        </w:rPr>
        <w:t xml:space="preserve">.1.2. </w:t>
      </w:r>
      <w:r w:rsidR="00A72E6A" w:rsidRPr="00775AE5">
        <w:rPr>
          <w:rFonts w:ascii="Arial" w:hAnsi="Arial" w:cs="Arial"/>
          <w:i w:val="0"/>
          <w:sz w:val="22"/>
          <w:szCs w:val="22"/>
          <w:lang w:val="es-ES"/>
        </w:rPr>
        <w:t>Línea de asesoramiento, representación y patrocinio legal para la judicialización de casos</w:t>
      </w:r>
    </w:p>
    <w:p w14:paraId="13C2B1ED" w14:textId="77777777" w:rsidR="005A334B" w:rsidRPr="00775AE5" w:rsidRDefault="005A334B" w:rsidP="00390DF2">
      <w:pPr>
        <w:spacing w:line="276" w:lineRule="auto"/>
        <w:jc w:val="both"/>
        <w:rPr>
          <w:rFonts w:ascii="Arial" w:hAnsi="Arial" w:cs="Arial"/>
          <w:sz w:val="22"/>
          <w:szCs w:val="22"/>
          <w:lang w:val="es-ES"/>
        </w:rPr>
      </w:pPr>
    </w:p>
    <w:p w14:paraId="2F308A6B" w14:textId="77777777" w:rsidR="00A72E6A" w:rsidRPr="00775AE5" w:rsidRDefault="00A72E6A" w:rsidP="00390DF2">
      <w:pPr>
        <w:spacing w:line="276" w:lineRule="auto"/>
        <w:jc w:val="both"/>
        <w:rPr>
          <w:rFonts w:ascii="Arial" w:hAnsi="Arial" w:cs="Arial"/>
          <w:sz w:val="22"/>
          <w:szCs w:val="22"/>
          <w:lang w:val="es-ES"/>
        </w:rPr>
      </w:pPr>
      <w:r w:rsidRPr="00775AE5">
        <w:rPr>
          <w:rFonts w:ascii="Arial" w:hAnsi="Arial" w:cs="Arial"/>
          <w:sz w:val="22"/>
          <w:szCs w:val="22"/>
          <w:lang w:val="es-ES"/>
        </w:rPr>
        <w:t>En el marco de sus competencias constitucionales y legales, la Defensoría del Pueblo realiza, de así solicitarlo en forma personal, el seguimiento al cumplimiento debido proceso en cada caso por intermedio de nuestras Delegaciones Provinciales.</w:t>
      </w:r>
      <w:r w:rsidR="005A334B" w:rsidRPr="00775AE5">
        <w:rPr>
          <w:rFonts w:ascii="Arial" w:hAnsi="Arial" w:cs="Arial"/>
          <w:sz w:val="22"/>
          <w:szCs w:val="22"/>
          <w:lang w:val="es-ES"/>
        </w:rPr>
        <w:t xml:space="preserve"> De igual forma, </w:t>
      </w:r>
      <w:r w:rsidRPr="00775AE5">
        <w:rPr>
          <w:rFonts w:ascii="Arial" w:hAnsi="Arial" w:cs="Arial"/>
          <w:sz w:val="22"/>
          <w:szCs w:val="22"/>
          <w:lang w:val="es-ES"/>
        </w:rPr>
        <w:t>da asesoría en temas jurídicos consultados por las personas víctimas documentadas por la Comisión de la Verdad.</w:t>
      </w:r>
    </w:p>
    <w:p w14:paraId="743B02FC" w14:textId="77777777" w:rsidR="00346990" w:rsidRPr="00775AE5" w:rsidRDefault="00346990" w:rsidP="00390DF2">
      <w:pPr>
        <w:spacing w:line="276" w:lineRule="auto"/>
        <w:jc w:val="both"/>
        <w:rPr>
          <w:rFonts w:ascii="Arial" w:hAnsi="Arial" w:cs="Arial"/>
          <w:sz w:val="22"/>
          <w:szCs w:val="22"/>
          <w:lang w:val="es-ES"/>
        </w:rPr>
      </w:pPr>
    </w:p>
    <w:p w14:paraId="16EE6EC4" w14:textId="77777777" w:rsidR="00A72E6A" w:rsidRPr="00775AE5" w:rsidRDefault="00BB3180" w:rsidP="00390DF2">
      <w:pPr>
        <w:pStyle w:val="Heading4"/>
        <w:spacing w:before="0" w:after="0" w:line="276" w:lineRule="auto"/>
        <w:rPr>
          <w:rFonts w:ascii="Arial" w:hAnsi="Arial" w:cs="Arial"/>
          <w:i w:val="0"/>
          <w:sz w:val="22"/>
          <w:szCs w:val="22"/>
          <w:lang w:val="es-ES"/>
        </w:rPr>
      </w:pPr>
      <w:r w:rsidRPr="00775AE5">
        <w:rPr>
          <w:rFonts w:ascii="Arial" w:hAnsi="Arial" w:cs="Arial"/>
          <w:i w:val="0"/>
          <w:sz w:val="22"/>
          <w:szCs w:val="22"/>
          <w:lang w:val="es-ES"/>
        </w:rPr>
        <w:t>7</w:t>
      </w:r>
      <w:r w:rsidR="00346990" w:rsidRPr="00775AE5">
        <w:rPr>
          <w:rFonts w:ascii="Arial" w:hAnsi="Arial" w:cs="Arial"/>
          <w:i w:val="0"/>
          <w:sz w:val="22"/>
          <w:szCs w:val="22"/>
          <w:lang w:val="es-ES"/>
        </w:rPr>
        <w:t xml:space="preserve">.1.3. </w:t>
      </w:r>
      <w:r w:rsidR="00A72E6A" w:rsidRPr="00775AE5">
        <w:rPr>
          <w:rFonts w:ascii="Arial" w:hAnsi="Arial" w:cs="Arial"/>
          <w:i w:val="0"/>
          <w:sz w:val="22"/>
          <w:szCs w:val="22"/>
          <w:lang w:val="es-ES"/>
        </w:rPr>
        <w:t>Línea de educación en derechos humanos y difusión del informe final de la Comisión de la Verdad</w:t>
      </w:r>
    </w:p>
    <w:p w14:paraId="541C1A5C" w14:textId="77777777" w:rsidR="005A334B" w:rsidRPr="00775AE5" w:rsidRDefault="005A334B" w:rsidP="005A334B">
      <w:pPr>
        <w:rPr>
          <w:rFonts w:ascii="Arial" w:hAnsi="Arial" w:cs="Arial"/>
          <w:sz w:val="22"/>
          <w:szCs w:val="22"/>
          <w:lang w:val="es-ES"/>
        </w:rPr>
      </w:pPr>
    </w:p>
    <w:p w14:paraId="552C2E5C" w14:textId="77777777" w:rsidR="00F367C6" w:rsidRPr="00775AE5" w:rsidRDefault="00F367C6" w:rsidP="00F367C6">
      <w:pPr>
        <w:spacing w:line="276" w:lineRule="auto"/>
        <w:jc w:val="both"/>
        <w:rPr>
          <w:rFonts w:ascii="Arial" w:hAnsi="Arial" w:cs="Arial"/>
          <w:sz w:val="22"/>
          <w:szCs w:val="22"/>
          <w:lang w:val="es-ES"/>
        </w:rPr>
      </w:pPr>
      <w:r w:rsidRPr="00775AE5">
        <w:rPr>
          <w:rFonts w:ascii="Arial" w:hAnsi="Arial" w:cs="Arial"/>
          <w:sz w:val="22"/>
          <w:szCs w:val="22"/>
          <w:lang w:val="es-ES"/>
        </w:rPr>
        <w:t xml:space="preserve">En esta materia se ha coordinado y se ha gestión con el Ministerio de Educación para la difusión del Informe de la Comisión de la Verdad en las Unidades Educativas del país, por otra </w:t>
      </w:r>
      <w:r w:rsidR="002F18FD" w:rsidRPr="00775AE5">
        <w:rPr>
          <w:rFonts w:ascii="Arial" w:hAnsi="Arial" w:cs="Arial"/>
          <w:sz w:val="22"/>
          <w:szCs w:val="22"/>
          <w:lang w:val="es-ES"/>
        </w:rPr>
        <w:t>parte,</w:t>
      </w:r>
      <w:r w:rsidRPr="00775AE5">
        <w:rPr>
          <w:rFonts w:ascii="Arial" w:hAnsi="Arial" w:cs="Arial"/>
          <w:sz w:val="22"/>
          <w:szCs w:val="22"/>
          <w:lang w:val="es-ES"/>
        </w:rPr>
        <w:t xml:space="preserve"> se ha desarrollado cinco foros en coordinación con la Universidad Nacional de Loja, Universidad de las Américas, diversas instituciones públicas, entre ellas la Policía Nacional y el </w:t>
      </w:r>
      <w:r w:rsidR="002F18FD" w:rsidRPr="00775AE5">
        <w:rPr>
          <w:rFonts w:ascii="Arial" w:hAnsi="Arial" w:cs="Arial"/>
          <w:sz w:val="22"/>
          <w:szCs w:val="22"/>
          <w:lang w:val="es-ES"/>
        </w:rPr>
        <w:t>Ejército</w:t>
      </w:r>
      <w:r w:rsidRPr="00775AE5">
        <w:rPr>
          <w:rFonts w:ascii="Arial" w:hAnsi="Arial" w:cs="Arial"/>
          <w:sz w:val="22"/>
          <w:szCs w:val="22"/>
          <w:lang w:val="es-ES"/>
        </w:rPr>
        <w:t xml:space="preserve"> Ecuatoriano, bajo la denominación Archivos de la Comisión de la Verdad.</w:t>
      </w:r>
    </w:p>
    <w:p w14:paraId="1AFB71B1" w14:textId="77777777" w:rsidR="00F367C6" w:rsidRPr="00775AE5" w:rsidRDefault="00F367C6" w:rsidP="00F367C6">
      <w:pPr>
        <w:spacing w:line="276" w:lineRule="auto"/>
        <w:jc w:val="both"/>
        <w:rPr>
          <w:rFonts w:ascii="Arial" w:hAnsi="Arial" w:cs="Arial"/>
          <w:sz w:val="22"/>
          <w:szCs w:val="22"/>
          <w:lang w:val="es-ES"/>
        </w:rPr>
      </w:pPr>
    </w:p>
    <w:p w14:paraId="3B4546DA" w14:textId="77777777" w:rsidR="00F367C6" w:rsidRPr="00775AE5" w:rsidRDefault="00F367C6" w:rsidP="00F367C6">
      <w:pPr>
        <w:spacing w:line="276" w:lineRule="auto"/>
        <w:jc w:val="both"/>
        <w:rPr>
          <w:rFonts w:ascii="Arial" w:hAnsi="Arial" w:cs="Arial"/>
          <w:sz w:val="22"/>
          <w:szCs w:val="22"/>
          <w:lang w:val="es-ES"/>
        </w:rPr>
      </w:pPr>
      <w:r w:rsidRPr="00775AE5">
        <w:rPr>
          <w:rFonts w:ascii="Arial" w:hAnsi="Arial" w:cs="Arial"/>
          <w:sz w:val="22"/>
          <w:szCs w:val="22"/>
          <w:lang w:val="es-ES"/>
        </w:rPr>
        <w:t xml:space="preserve">Además, la Defensoría del Pueblo en el periodo 2014 a 2024 ejecuto talleres informativos a víctimas, directas e indirectas, sobre derechos inherentes a temas reparatorios en las ciudades de Quito, Guayaquil, Loja, Cuenca, Machala y Nueva Loja. También, se realizó talleres de </w:t>
      </w:r>
      <w:r w:rsidRPr="00775AE5">
        <w:rPr>
          <w:rFonts w:ascii="Arial" w:hAnsi="Arial" w:cs="Arial"/>
          <w:sz w:val="22"/>
          <w:szCs w:val="22"/>
          <w:highlight w:val="white"/>
          <w:lang w:val="es-ES"/>
        </w:rPr>
        <w:t xml:space="preserve">socialización y difusión del Informe de la Comisión de la Verdad con el apoyo de víctimas a instituciones del Estado como el Ministerio de Salud Pública, Ministerio de Trabajo, Instituto de Economía Popular y Solidaria, Ministerio de Cultura, Ministerio de Inclusión Económica y Social, </w:t>
      </w:r>
      <w:r w:rsidRPr="00775AE5">
        <w:rPr>
          <w:rFonts w:ascii="Arial" w:hAnsi="Arial" w:cs="Arial"/>
          <w:sz w:val="22"/>
          <w:szCs w:val="22"/>
          <w:lang w:val="es-ES"/>
        </w:rPr>
        <w:t>Servicio Nacional de Contratación Pública, Ecu-911, entre otras.</w:t>
      </w:r>
    </w:p>
    <w:p w14:paraId="6BBBF1D5" w14:textId="77777777" w:rsidR="00F367C6" w:rsidRPr="00775AE5" w:rsidRDefault="00F367C6" w:rsidP="00F367C6">
      <w:pPr>
        <w:spacing w:line="276" w:lineRule="auto"/>
        <w:jc w:val="both"/>
        <w:rPr>
          <w:rFonts w:ascii="Arial" w:hAnsi="Arial" w:cs="Arial"/>
          <w:sz w:val="22"/>
          <w:szCs w:val="22"/>
          <w:lang w:val="es-ES"/>
        </w:rPr>
      </w:pPr>
    </w:p>
    <w:p w14:paraId="24397403" w14:textId="77777777" w:rsidR="00F367C6" w:rsidRPr="00775AE5" w:rsidRDefault="00F367C6" w:rsidP="00F367C6">
      <w:pPr>
        <w:spacing w:line="276" w:lineRule="auto"/>
        <w:jc w:val="both"/>
        <w:rPr>
          <w:rFonts w:ascii="Arial" w:hAnsi="Arial" w:cs="Arial"/>
          <w:sz w:val="22"/>
          <w:szCs w:val="22"/>
          <w:lang w:val="es-ES"/>
        </w:rPr>
      </w:pPr>
      <w:r w:rsidRPr="00775AE5">
        <w:rPr>
          <w:rFonts w:ascii="Arial" w:hAnsi="Arial" w:cs="Arial"/>
          <w:sz w:val="22"/>
          <w:szCs w:val="22"/>
          <w:lang w:val="es-ES"/>
        </w:rPr>
        <w:t>En 2015 realizó el Encuentro internacional denominado “La justicia transicional en la construcción de los procesos de reparación a víctimas, experiencia internacional”</w:t>
      </w:r>
      <w:r w:rsidRPr="00775AE5">
        <w:rPr>
          <w:rFonts w:ascii="Arial" w:hAnsi="Arial" w:cs="Arial"/>
          <w:b/>
          <w:sz w:val="22"/>
          <w:szCs w:val="22"/>
          <w:lang w:val="es-ES"/>
        </w:rPr>
        <w:t xml:space="preserve">, </w:t>
      </w:r>
      <w:r w:rsidRPr="00775AE5">
        <w:rPr>
          <w:rFonts w:ascii="Arial" w:hAnsi="Arial" w:cs="Arial"/>
          <w:sz w:val="22"/>
          <w:szCs w:val="22"/>
          <w:lang w:val="es-ES"/>
        </w:rPr>
        <w:t>que contó con la participación de víctimas a nivel nacional y expertos de Paraguay y Argentina.</w:t>
      </w:r>
    </w:p>
    <w:p w14:paraId="4B2465D7" w14:textId="77777777" w:rsidR="00F367C6" w:rsidRPr="00775AE5" w:rsidRDefault="00F367C6" w:rsidP="00F367C6">
      <w:pPr>
        <w:spacing w:line="276" w:lineRule="auto"/>
        <w:jc w:val="both"/>
        <w:rPr>
          <w:rFonts w:ascii="Arial" w:hAnsi="Arial" w:cs="Arial"/>
          <w:sz w:val="22"/>
          <w:szCs w:val="22"/>
          <w:lang w:val="es-ES"/>
        </w:rPr>
      </w:pPr>
    </w:p>
    <w:p w14:paraId="4E63BF46" w14:textId="77777777" w:rsidR="00F367C6" w:rsidRPr="00775AE5" w:rsidRDefault="00F367C6" w:rsidP="00F367C6">
      <w:pPr>
        <w:spacing w:line="276" w:lineRule="auto"/>
        <w:jc w:val="both"/>
        <w:rPr>
          <w:rFonts w:ascii="Arial" w:hAnsi="Arial" w:cs="Arial"/>
          <w:sz w:val="22"/>
          <w:szCs w:val="22"/>
          <w:lang w:val="es-ES"/>
        </w:rPr>
      </w:pPr>
      <w:r w:rsidRPr="00775AE5">
        <w:rPr>
          <w:rFonts w:ascii="Arial" w:hAnsi="Arial" w:cs="Arial"/>
          <w:sz w:val="22"/>
          <w:szCs w:val="22"/>
          <w:lang w:val="es-ES"/>
        </w:rPr>
        <w:t>En 2018, se realizó la “Jornada Perspectivas y Desafíos del Programa de Reparación Inmaterial”, en la cual participaron varias instituciones del Estado encargadas de la reparación integral, así como también, diferentes víctimas directas e indirectas.</w:t>
      </w:r>
    </w:p>
    <w:p w14:paraId="63ADB5EC" w14:textId="77777777" w:rsidR="00F367C6" w:rsidRPr="00775AE5" w:rsidRDefault="00F367C6" w:rsidP="00F367C6">
      <w:pPr>
        <w:spacing w:line="276" w:lineRule="auto"/>
        <w:jc w:val="both"/>
        <w:rPr>
          <w:rFonts w:ascii="Arial" w:hAnsi="Arial" w:cs="Arial"/>
          <w:sz w:val="22"/>
          <w:szCs w:val="22"/>
          <w:lang w:val="es-ES"/>
        </w:rPr>
      </w:pPr>
    </w:p>
    <w:p w14:paraId="1A29023E" w14:textId="77777777" w:rsidR="00F367C6" w:rsidRPr="00775AE5" w:rsidRDefault="00F367C6" w:rsidP="00F367C6">
      <w:pPr>
        <w:spacing w:line="276" w:lineRule="auto"/>
        <w:jc w:val="both"/>
        <w:rPr>
          <w:rFonts w:ascii="Arial" w:hAnsi="Arial" w:cs="Arial"/>
          <w:sz w:val="22"/>
          <w:szCs w:val="22"/>
          <w:lang w:val="es-ES"/>
        </w:rPr>
      </w:pPr>
      <w:r w:rsidRPr="00775AE5">
        <w:rPr>
          <w:rFonts w:ascii="Arial" w:hAnsi="Arial" w:cs="Arial"/>
          <w:sz w:val="22"/>
          <w:szCs w:val="22"/>
          <w:lang w:val="es-ES"/>
        </w:rPr>
        <w:t>Así mismo, en 2018, la Defensoría del Pueblo participó, con un stand, de la XI Feria del Libro y la Lectura Quito 2018 llevada a cabo en el Centro de Convenciones de Quito, con lo que se buscó establecer un diálogo entre el arte, memoria colectiva y violaciones a los derechos humanos; y construir un testimonio alternativo para la resignificación del pasado que ponga en debate la verdad oficial. Enlazado así, las medidas de satisfacción solicitadas por las víctimas como parte de su proceso de reparación inmaterial.</w:t>
      </w:r>
    </w:p>
    <w:p w14:paraId="3247C064" w14:textId="77777777" w:rsidR="00F367C6" w:rsidRPr="00775AE5" w:rsidRDefault="00F367C6" w:rsidP="00F367C6">
      <w:pPr>
        <w:spacing w:line="276" w:lineRule="auto"/>
        <w:jc w:val="both"/>
        <w:rPr>
          <w:rFonts w:ascii="Arial" w:hAnsi="Arial" w:cs="Arial"/>
          <w:sz w:val="22"/>
          <w:szCs w:val="22"/>
          <w:lang w:val="es-ES"/>
        </w:rPr>
      </w:pPr>
    </w:p>
    <w:p w14:paraId="05AC9B31" w14:textId="77777777" w:rsidR="00F367C6" w:rsidRPr="00775AE5" w:rsidRDefault="00F367C6" w:rsidP="00F367C6">
      <w:pPr>
        <w:spacing w:line="276" w:lineRule="auto"/>
        <w:jc w:val="both"/>
        <w:rPr>
          <w:rFonts w:ascii="Arial" w:hAnsi="Arial" w:cs="Arial"/>
          <w:sz w:val="22"/>
          <w:szCs w:val="22"/>
          <w:lang w:val="es-ES"/>
        </w:rPr>
      </w:pPr>
      <w:r w:rsidRPr="00775AE5">
        <w:rPr>
          <w:rFonts w:ascii="Arial" w:hAnsi="Arial" w:cs="Arial"/>
          <w:sz w:val="22"/>
          <w:szCs w:val="22"/>
          <w:lang w:val="es-ES"/>
        </w:rPr>
        <w:t>El mismo año, se realizó el evento denominado “La Tortura y la Desaparición Forzada, una Mirada desde la Prevención y la Reparación”, con la finalidad de generar un espacio de diálogo y análisis respecto a las políticas públicas implementadas para la prevención y la reparación de la tortura y otros malos tratos, así como la desaparición forzada desde la visión del Estado, la academia, y la sociedad civil.</w:t>
      </w:r>
    </w:p>
    <w:p w14:paraId="49CA58A1" w14:textId="77777777" w:rsidR="00F367C6" w:rsidRPr="00775AE5" w:rsidRDefault="00F367C6" w:rsidP="00F367C6">
      <w:pPr>
        <w:spacing w:line="276" w:lineRule="auto"/>
        <w:jc w:val="both"/>
        <w:rPr>
          <w:rFonts w:ascii="Arial" w:hAnsi="Arial" w:cs="Arial"/>
          <w:sz w:val="22"/>
          <w:szCs w:val="22"/>
          <w:lang w:val="es-ES"/>
        </w:rPr>
      </w:pPr>
    </w:p>
    <w:p w14:paraId="72B6EA4F" w14:textId="77777777" w:rsidR="00F367C6" w:rsidRPr="00775AE5" w:rsidRDefault="00F367C6" w:rsidP="00F367C6">
      <w:pPr>
        <w:spacing w:line="276" w:lineRule="auto"/>
        <w:jc w:val="both"/>
        <w:rPr>
          <w:rFonts w:ascii="Arial" w:hAnsi="Arial" w:cs="Arial"/>
          <w:sz w:val="22"/>
          <w:szCs w:val="22"/>
          <w:highlight w:val="white"/>
          <w:lang w:val="es-ES"/>
        </w:rPr>
      </w:pPr>
      <w:r w:rsidRPr="00775AE5">
        <w:rPr>
          <w:rFonts w:ascii="Arial" w:hAnsi="Arial" w:cs="Arial"/>
          <w:sz w:val="22"/>
          <w:szCs w:val="22"/>
          <w:highlight w:val="white"/>
          <w:lang w:val="es-ES"/>
        </w:rPr>
        <w:t>También, desarrollo una serie de acciones con el objetivo de establecer un generar un espacio de diálogo y análisis respecto a las políticas públicas implementadas para la prevención y la reparación de la tortura y otros malos tratos, así como la desaparición forzada desde la visión del Estado, la academia, y la sociedad civil.</w:t>
      </w:r>
    </w:p>
    <w:p w14:paraId="6E47C006" w14:textId="77777777" w:rsidR="00A72E6A" w:rsidRPr="00775AE5" w:rsidRDefault="00A72E6A" w:rsidP="00390DF2">
      <w:pPr>
        <w:spacing w:line="276" w:lineRule="auto"/>
        <w:jc w:val="both"/>
        <w:rPr>
          <w:rFonts w:ascii="Arial" w:hAnsi="Arial" w:cs="Arial"/>
          <w:b/>
          <w:color w:val="1D2129"/>
          <w:sz w:val="22"/>
          <w:szCs w:val="22"/>
          <w:highlight w:val="white"/>
          <w:lang w:val="es-ES"/>
        </w:rPr>
      </w:pPr>
    </w:p>
    <w:p w14:paraId="519E929A" w14:textId="77777777" w:rsidR="00A72E6A" w:rsidRPr="00775AE5" w:rsidRDefault="00BB3180" w:rsidP="00390DF2">
      <w:pPr>
        <w:pStyle w:val="Heading4"/>
        <w:spacing w:before="0" w:after="0" w:line="276" w:lineRule="auto"/>
        <w:rPr>
          <w:rFonts w:ascii="Arial" w:hAnsi="Arial" w:cs="Arial"/>
          <w:sz w:val="22"/>
          <w:szCs w:val="22"/>
          <w:lang w:val="es-ES"/>
        </w:rPr>
      </w:pPr>
      <w:r w:rsidRPr="00775AE5">
        <w:rPr>
          <w:rFonts w:ascii="Arial" w:hAnsi="Arial" w:cs="Arial"/>
          <w:i w:val="0"/>
          <w:sz w:val="22"/>
          <w:szCs w:val="22"/>
          <w:lang w:val="es-ES"/>
        </w:rPr>
        <w:t>7</w:t>
      </w:r>
      <w:r w:rsidR="00346990" w:rsidRPr="00775AE5">
        <w:rPr>
          <w:rFonts w:ascii="Arial" w:hAnsi="Arial" w:cs="Arial"/>
          <w:i w:val="0"/>
          <w:sz w:val="22"/>
          <w:szCs w:val="22"/>
          <w:lang w:val="es-ES"/>
        </w:rPr>
        <w:t xml:space="preserve">.1.4. </w:t>
      </w:r>
      <w:r w:rsidR="00A72E6A" w:rsidRPr="00775AE5">
        <w:rPr>
          <w:rFonts w:ascii="Arial" w:hAnsi="Arial" w:cs="Arial"/>
          <w:i w:val="0"/>
          <w:sz w:val="22"/>
          <w:szCs w:val="22"/>
          <w:lang w:val="es-ES"/>
        </w:rPr>
        <w:t>Línea de implementación de medidas simbólicas y medidas de</w:t>
      </w:r>
      <w:r w:rsidR="00A72E6A" w:rsidRPr="00775AE5">
        <w:rPr>
          <w:rFonts w:ascii="Arial" w:hAnsi="Arial" w:cs="Arial"/>
          <w:sz w:val="22"/>
          <w:szCs w:val="22"/>
          <w:lang w:val="es-ES"/>
        </w:rPr>
        <w:t xml:space="preserve"> satisfacción</w:t>
      </w:r>
    </w:p>
    <w:p w14:paraId="4B6AF17D" w14:textId="77777777" w:rsidR="005A334B" w:rsidRPr="00775AE5" w:rsidRDefault="005A334B" w:rsidP="00390DF2">
      <w:pPr>
        <w:spacing w:line="276" w:lineRule="auto"/>
        <w:jc w:val="both"/>
        <w:rPr>
          <w:rFonts w:ascii="Arial" w:hAnsi="Arial" w:cs="Arial"/>
          <w:sz w:val="22"/>
          <w:szCs w:val="22"/>
          <w:lang w:val="es-ES"/>
        </w:rPr>
      </w:pPr>
    </w:p>
    <w:p w14:paraId="60BF368E" w14:textId="5C9F46FE" w:rsidR="00A72E6A" w:rsidRPr="00775AE5" w:rsidRDefault="005A334B" w:rsidP="00390DF2">
      <w:pPr>
        <w:spacing w:line="276" w:lineRule="auto"/>
        <w:jc w:val="both"/>
        <w:rPr>
          <w:rFonts w:ascii="Arial" w:hAnsi="Arial" w:cs="Arial"/>
          <w:sz w:val="22"/>
          <w:szCs w:val="22"/>
          <w:lang w:val="es-ES"/>
        </w:rPr>
      </w:pPr>
      <w:r w:rsidRPr="00775AE5">
        <w:rPr>
          <w:rFonts w:ascii="Arial" w:hAnsi="Arial" w:cs="Arial"/>
          <w:sz w:val="22"/>
          <w:szCs w:val="22"/>
          <w:lang w:val="es-ES"/>
        </w:rPr>
        <w:t>El diciembre de</w:t>
      </w:r>
      <w:r w:rsidR="00A72E6A" w:rsidRPr="00775AE5">
        <w:rPr>
          <w:rFonts w:ascii="Arial" w:hAnsi="Arial" w:cs="Arial"/>
          <w:sz w:val="22"/>
          <w:szCs w:val="22"/>
          <w:lang w:val="es-ES"/>
        </w:rPr>
        <w:t xml:space="preserve"> 2017 </w:t>
      </w:r>
      <w:r w:rsidR="00A72E6A" w:rsidRPr="00775AE5">
        <w:rPr>
          <w:rFonts w:ascii="Arial" w:hAnsi="Arial" w:cs="Arial"/>
          <w:sz w:val="22"/>
          <w:szCs w:val="22"/>
          <w:highlight w:val="white"/>
          <w:lang w:val="es-ES"/>
        </w:rPr>
        <w:t xml:space="preserve">se </w:t>
      </w:r>
      <w:r w:rsidR="00E46FC9" w:rsidRPr="00775AE5">
        <w:rPr>
          <w:rFonts w:ascii="Arial" w:hAnsi="Arial" w:cs="Arial"/>
          <w:sz w:val="22"/>
          <w:szCs w:val="22"/>
          <w:highlight w:val="white"/>
          <w:lang w:val="es-ES"/>
        </w:rPr>
        <w:t>gestionó</w:t>
      </w:r>
      <w:r w:rsidR="00A72E6A" w:rsidRPr="00775AE5">
        <w:rPr>
          <w:rFonts w:ascii="Arial" w:hAnsi="Arial" w:cs="Arial"/>
          <w:sz w:val="22"/>
          <w:szCs w:val="22"/>
          <w:highlight w:val="white"/>
          <w:lang w:val="es-ES"/>
        </w:rPr>
        <w:t xml:space="preserve"> con el Ministerio de Defensa Nacional</w:t>
      </w:r>
      <w:r w:rsidR="00A72E6A" w:rsidRPr="00775AE5">
        <w:rPr>
          <w:rFonts w:ascii="Arial" w:hAnsi="Arial" w:cs="Arial"/>
          <w:b/>
          <w:sz w:val="22"/>
          <w:szCs w:val="22"/>
          <w:lang w:val="es-ES"/>
        </w:rPr>
        <w:t xml:space="preserve"> </w:t>
      </w:r>
      <w:r w:rsidR="00A72E6A" w:rsidRPr="00775AE5">
        <w:rPr>
          <w:rFonts w:ascii="Arial" w:hAnsi="Arial" w:cs="Arial"/>
          <w:sz w:val="22"/>
          <w:szCs w:val="22"/>
          <w:lang w:val="es-ES"/>
        </w:rPr>
        <w:t>la ceremonia de disculpas públicas por parte del Estado a través del Ministerio de Defensa, a las víctimas del caso Taura, acto realizado en la Escuela de Infantería Aérea en la ciudad de Guayaquil.</w:t>
      </w:r>
    </w:p>
    <w:p w14:paraId="229CBFE0" w14:textId="77777777" w:rsidR="007B7967" w:rsidRPr="00775AE5" w:rsidRDefault="007B7967" w:rsidP="00390DF2">
      <w:pPr>
        <w:spacing w:line="276" w:lineRule="auto"/>
        <w:jc w:val="both"/>
        <w:rPr>
          <w:rFonts w:ascii="Arial" w:hAnsi="Arial" w:cs="Arial"/>
          <w:b/>
          <w:sz w:val="22"/>
          <w:szCs w:val="22"/>
          <w:highlight w:val="white"/>
          <w:lang w:val="es-ES"/>
        </w:rPr>
      </w:pPr>
    </w:p>
    <w:p w14:paraId="7279C97E" w14:textId="77777777" w:rsidR="00A72E6A" w:rsidRPr="00775AE5" w:rsidRDefault="0071237C" w:rsidP="00390DF2">
      <w:pPr>
        <w:spacing w:line="276" w:lineRule="auto"/>
        <w:jc w:val="both"/>
        <w:rPr>
          <w:rFonts w:ascii="Arial" w:hAnsi="Arial" w:cs="Arial"/>
          <w:sz w:val="22"/>
          <w:szCs w:val="22"/>
          <w:lang w:val="es-ES"/>
        </w:rPr>
      </w:pPr>
      <w:r w:rsidRPr="00775AE5">
        <w:rPr>
          <w:rFonts w:ascii="Arial" w:hAnsi="Arial" w:cs="Arial"/>
          <w:sz w:val="22"/>
          <w:szCs w:val="22"/>
          <w:highlight w:val="white"/>
          <w:lang w:val="es-ES"/>
        </w:rPr>
        <w:t>De igual forma, e</w:t>
      </w:r>
      <w:r w:rsidR="00A72E6A" w:rsidRPr="00775AE5">
        <w:rPr>
          <w:rFonts w:ascii="Arial" w:hAnsi="Arial" w:cs="Arial"/>
          <w:sz w:val="22"/>
          <w:szCs w:val="22"/>
          <w:highlight w:val="white"/>
          <w:lang w:val="es-ES"/>
        </w:rPr>
        <w:t>n coordinación con el Ministerio de Cultura y Patrimonio y, los Gobiernos</w:t>
      </w:r>
      <w:r w:rsidR="005A334B" w:rsidRPr="00775AE5">
        <w:rPr>
          <w:rFonts w:ascii="Arial" w:hAnsi="Arial" w:cs="Arial"/>
          <w:sz w:val="22"/>
          <w:szCs w:val="22"/>
          <w:highlight w:val="white"/>
          <w:lang w:val="es-ES"/>
        </w:rPr>
        <w:t xml:space="preserve"> </w:t>
      </w:r>
      <w:r w:rsidR="00A72E6A" w:rsidRPr="00775AE5">
        <w:rPr>
          <w:rFonts w:ascii="Arial" w:hAnsi="Arial" w:cs="Arial"/>
          <w:sz w:val="22"/>
          <w:szCs w:val="22"/>
          <w:highlight w:val="white"/>
          <w:lang w:val="es-ES"/>
        </w:rPr>
        <w:t xml:space="preserve">Autónomos </w:t>
      </w:r>
      <w:r w:rsidR="005A334B" w:rsidRPr="00775AE5">
        <w:rPr>
          <w:rFonts w:ascii="Arial" w:hAnsi="Arial" w:cs="Arial"/>
          <w:sz w:val="22"/>
          <w:szCs w:val="22"/>
          <w:highlight w:val="white"/>
          <w:lang w:val="es-ES"/>
        </w:rPr>
        <w:t>D</w:t>
      </w:r>
      <w:r w:rsidR="00A72E6A" w:rsidRPr="00775AE5">
        <w:rPr>
          <w:rFonts w:ascii="Arial" w:hAnsi="Arial" w:cs="Arial"/>
          <w:sz w:val="22"/>
          <w:szCs w:val="22"/>
          <w:highlight w:val="white"/>
          <w:lang w:val="es-ES"/>
        </w:rPr>
        <w:t>escentralizados</w:t>
      </w:r>
      <w:r w:rsidRPr="00775AE5">
        <w:rPr>
          <w:rFonts w:ascii="Arial" w:hAnsi="Arial" w:cs="Arial"/>
          <w:sz w:val="22"/>
          <w:szCs w:val="22"/>
          <w:highlight w:val="white"/>
          <w:lang w:val="es-ES"/>
        </w:rPr>
        <w:t>, en 2016</w:t>
      </w:r>
      <w:r w:rsidR="00A72E6A" w:rsidRPr="00775AE5">
        <w:rPr>
          <w:rFonts w:ascii="Arial" w:hAnsi="Arial" w:cs="Arial"/>
          <w:sz w:val="22"/>
          <w:szCs w:val="22"/>
          <w:highlight w:val="white"/>
          <w:lang w:val="es-ES"/>
        </w:rPr>
        <w:t xml:space="preserve"> se</w:t>
      </w:r>
      <w:r w:rsidRPr="00775AE5">
        <w:rPr>
          <w:rFonts w:ascii="Arial" w:hAnsi="Arial" w:cs="Arial"/>
          <w:sz w:val="22"/>
          <w:szCs w:val="22"/>
          <w:highlight w:val="white"/>
          <w:lang w:val="es-ES"/>
        </w:rPr>
        <w:t xml:space="preserve"> realizó el </w:t>
      </w:r>
      <w:r w:rsidR="00A72E6A" w:rsidRPr="00775AE5">
        <w:rPr>
          <w:rFonts w:ascii="Arial" w:hAnsi="Arial" w:cs="Arial"/>
          <w:sz w:val="22"/>
          <w:szCs w:val="22"/>
          <w:highlight w:val="white"/>
          <w:lang w:val="es-ES"/>
        </w:rPr>
        <w:t>Taller internacional “La importancia de la creación de espacios de memoria dentro del proceso de reparación inmaterial</w:t>
      </w:r>
      <w:r w:rsidRPr="00775AE5">
        <w:rPr>
          <w:rFonts w:ascii="Arial" w:hAnsi="Arial" w:cs="Arial"/>
          <w:sz w:val="22"/>
          <w:szCs w:val="22"/>
          <w:highlight w:val="white"/>
          <w:lang w:val="es-ES"/>
        </w:rPr>
        <w:t>,</w:t>
      </w:r>
      <w:r w:rsidR="00A72E6A" w:rsidRPr="00775AE5">
        <w:rPr>
          <w:rFonts w:ascii="Arial" w:hAnsi="Arial" w:cs="Arial"/>
          <w:sz w:val="22"/>
          <w:szCs w:val="22"/>
          <w:highlight w:val="white"/>
          <w:lang w:val="es-ES"/>
        </w:rPr>
        <w:t>” mismo que contó con la participación de víctimas directas e indirectas, instituciones del Estado y el apoyo del Instituto Auschwitz para la Prevención del Genocidio y la Red Latinoamericana de Prevención del Genocidio.</w:t>
      </w:r>
    </w:p>
    <w:p w14:paraId="4533CDCD" w14:textId="77777777" w:rsidR="007B7967" w:rsidRPr="00775AE5" w:rsidRDefault="007B7967" w:rsidP="00390DF2">
      <w:pPr>
        <w:spacing w:line="276" w:lineRule="auto"/>
        <w:jc w:val="both"/>
        <w:rPr>
          <w:rFonts w:ascii="Arial" w:hAnsi="Arial" w:cs="Arial"/>
          <w:sz w:val="22"/>
          <w:szCs w:val="22"/>
          <w:lang w:val="es-ES"/>
        </w:rPr>
      </w:pPr>
    </w:p>
    <w:p w14:paraId="6F6B0205" w14:textId="77777777" w:rsidR="00A72E6A" w:rsidRPr="00775AE5" w:rsidRDefault="00A72E6A" w:rsidP="00390DF2">
      <w:pPr>
        <w:spacing w:line="276" w:lineRule="auto"/>
        <w:jc w:val="both"/>
        <w:rPr>
          <w:rFonts w:ascii="Arial" w:hAnsi="Arial" w:cs="Arial"/>
          <w:sz w:val="22"/>
          <w:szCs w:val="22"/>
          <w:lang w:val="es-ES"/>
        </w:rPr>
      </w:pPr>
      <w:r w:rsidRPr="00775AE5">
        <w:rPr>
          <w:rFonts w:ascii="Arial" w:hAnsi="Arial" w:cs="Arial"/>
          <w:sz w:val="22"/>
          <w:szCs w:val="22"/>
          <w:lang w:val="es-ES"/>
        </w:rPr>
        <w:t xml:space="preserve">Por otra </w:t>
      </w:r>
      <w:r w:rsidR="003561B0" w:rsidRPr="00775AE5">
        <w:rPr>
          <w:rFonts w:ascii="Arial" w:hAnsi="Arial" w:cs="Arial"/>
          <w:sz w:val="22"/>
          <w:szCs w:val="22"/>
          <w:lang w:val="es-ES"/>
        </w:rPr>
        <w:t>parte,</w:t>
      </w:r>
      <w:r w:rsidRPr="00775AE5">
        <w:rPr>
          <w:rFonts w:ascii="Arial" w:hAnsi="Arial" w:cs="Arial"/>
          <w:sz w:val="22"/>
          <w:szCs w:val="22"/>
          <w:lang w:val="es-ES"/>
        </w:rPr>
        <w:t xml:space="preserve"> en cuanto a la implementación de espacios de memoria, se desarrollaron actividades en las siguientes provincias: </w:t>
      </w:r>
    </w:p>
    <w:p w14:paraId="77395DC5" w14:textId="77777777" w:rsidR="0071237C" w:rsidRPr="00775AE5" w:rsidRDefault="0071237C" w:rsidP="00390DF2">
      <w:pPr>
        <w:spacing w:line="276" w:lineRule="auto"/>
        <w:jc w:val="both"/>
        <w:rPr>
          <w:rFonts w:ascii="Arial" w:hAnsi="Arial" w:cs="Arial"/>
          <w:color w:val="FF0000"/>
          <w:sz w:val="22"/>
          <w:szCs w:val="22"/>
          <w:lang w:val="es-ES"/>
        </w:rPr>
      </w:pPr>
    </w:p>
    <w:p w14:paraId="6ECF3464" w14:textId="77777777" w:rsidR="00A72E6A" w:rsidRPr="00775AE5" w:rsidRDefault="00A72E6A" w:rsidP="00A307D8">
      <w:pPr>
        <w:pStyle w:val="ListParagraph"/>
        <w:numPr>
          <w:ilvl w:val="0"/>
          <w:numId w:val="4"/>
        </w:numPr>
        <w:spacing w:line="276" w:lineRule="auto"/>
        <w:jc w:val="both"/>
        <w:rPr>
          <w:rFonts w:ascii="Arial" w:hAnsi="Arial" w:cs="Arial"/>
          <w:sz w:val="22"/>
          <w:szCs w:val="22"/>
          <w:lang w:val="es-ES"/>
        </w:rPr>
      </w:pPr>
      <w:r w:rsidRPr="00775AE5">
        <w:rPr>
          <w:rFonts w:ascii="Arial" w:hAnsi="Arial" w:cs="Arial"/>
          <w:sz w:val="22"/>
          <w:szCs w:val="22"/>
          <w:lang w:val="es-ES"/>
        </w:rPr>
        <w:t>Provincia de Esmeraldas</w:t>
      </w:r>
      <w:r w:rsidR="0071237C" w:rsidRPr="00775AE5">
        <w:rPr>
          <w:rFonts w:ascii="Arial" w:hAnsi="Arial" w:cs="Arial"/>
          <w:sz w:val="22"/>
          <w:szCs w:val="22"/>
          <w:lang w:val="es-ES"/>
        </w:rPr>
        <w:t xml:space="preserve"> -</w:t>
      </w:r>
      <w:r w:rsidRPr="00775AE5">
        <w:rPr>
          <w:rFonts w:ascii="Arial" w:hAnsi="Arial" w:cs="Arial"/>
          <w:color w:val="000000"/>
          <w:sz w:val="22"/>
          <w:szCs w:val="22"/>
          <w:lang w:val="es-ES"/>
        </w:rPr>
        <w:t xml:space="preserve"> cantón Atacames, se develó la placa de reconocimiento a las víctimas del caso </w:t>
      </w:r>
      <w:proofErr w:type="spellStart"/>
      <w:r w:rsidRPr="00775AE5">
        <w:rPr>
          <w:rFonts w:ascii="Arial" w:hAnsi="Arial" w:cs="Arial"/>
          <w:color w:val="000000"/>
          <w:sz w:val="22"/>
          <w:szCs w:val="22"/>
          <w:lang w:val="es-ES"/>
        </w:rPr>
        <w:t>Casierra</w:t>
      </w:r>
      <w:proofErr w:type="spellEnd"/>
      <w:r w:rsidRPr="00775AE5">
        <w:rPr>
          <w:rFonts w:ascii="Arial" w:hAnsi="Arial" w:cs="Arial"/>
          <w:color w:val="000000"/>
          <w:sz w:val="22"/>
          <w:szCs w:val="22"/>
          <w:lang w:val="es-ES"/>
        </w:rPr>
        <w:t>, el 19 de noviembre del 2017.</w:t>
      </w:r>
    </w:p>
    <w:p w14:paraId="1E19DAD7" w14:textId="77777777" w:rsidR="00A72E6A" w:rsidRPr="00775AE5" w:rsidRDefault="00A72E6A" w:rsidP="00A307D8">
      <w:pPr>
        <w:pStyle w:val="ListParagraph"/>
        <w:numPr>
          <w:ilvl w:val="0"/>
          <w:numId w:val="4"/>
        </w:numPr>
        <w:spacing w:line="276" w:lineRule="auto"/>
        <w:jc w:val="both"/>
        <w:rPr>
          <w:rFonts w:ascii="Arial" w:hAnsi="Arial" w:cs="Arial"/>
          <w:sz w:val="22"/>
          <w:szCs w:val="22"/>
          <w:lang w:val="es-ES"/>
        </w:rPr>
      </w:pPr>
      <w:r w:rsidRPr="00775AE5">
        <w:rPr>
          <w:rFonts w:ascii="Arial" w:hAnsi="Arial" w:cs="Arial"/>
          <w:sz w:val="22"/>
          <w:szCs w:val="22"/>
          <w:lang w:val="es-ES"/>
        </w:rPr>
        <w:t xml:space="preserve">Provincia de Guayas </w:t>
      </w:r>
      <w:r w:rsidR="0071237C" w:rsidRPr="00775AE5">
        <w:rPr>
          <w:rFonts w:ascii="Arial" w:hAnsi="Arial" w:cs="Arial"/>
          <w:sz w:val="22"/>
          <w:szCs w:val="22"/>
          <w:lang w:val="es-ES"/>
        </w:rPr>
        <w:t xml:space="preserve">- </w:t>
      </w:r>
      <w:r w:rsidRPr="00775AE5">
        <w:rPr>
          <w:rFonts w:ascii="Arial" w:hAnsi="Arial" w:cs="Arial"/>
          <w:sz w:val="22"/>
          <w:szCs w:val="22"/>
          <w:lang w:val="es-ES"/>
        </w:rPr>
        <w:t>ciudad de Guayaquil, se develó la placa de memoria para las víctimas de la provincia del Guayas, el 1 de diciembre de 2017.</w:t>
      </w:r>
    </w:p>
    <w:p w14:paraId="60ED1CFB" w14:textId="77777777" w:rsidR="00A72E6A" w:rsidRPr="00775AE5" w:rsidRDefault="0071237C" w:rsidP="00A307D8">
      <w:pPr>
        <w:pStyle w:val="ListParagraph"/>
        <w:numPr>
          <w:ilvl w:val="0"/>
          <w:numId w:val="4"/>
        </w:numPr>
        <w:spacing w:line="276" w:lineRule="auto"/>
        <w:jc w:val="both"/>
        <w:rPr>
          <w:rFonts w:ascii="Arial" w:hAnsi="Arial" w:cs="Arial"/>
          <w:sz w:val="22"/>
          <w:szCs w:val="22"/>
          <w:lang w:val="es-ES"/>
        </w:rPr>
      </w:pPr>
      <w:r w:rsidRPr="00775AE5">
        <w:rPr>
          <w:rFonts w:ascii="Arial" w:hAnsi="Arial" w:cs="Arial"/>
          <w:sz w:val="22"/>
          <w:szCs w:val="22"/>
          <w:lang w:val="es-ES"/>
        </w:rPr>
        <w:t>P</w:t>
      </w:r>
      <w:r w:rsidR="00A72E6A" w:rsidRPr="00775AE5">
        <w:rPr>
          <w:rFonts w:ascii="Arial" w:hAnsi="Arial" w:cs="Arial"/>
          <w:sz w:val="22"/>
          <w:szCs w:val="22"/>
          <w:lang w:val="es-ES"/>
        </w:rPr>
        <w:t xml:space="preserve">rovincia de Manabí </w:t>
      </w:r>
      <w:r w:rsidRPr="00775AE5">
        <w:rPr>
          <w:rFonts w:ascii="Arial" w:hAnsi="Arial" w:cs="Arial"/>
          <w:sz w:val="22"/>
          <w:szCs w:val="22"/>
          <w:lang w:val="es-ES"/>
        </w:rPr>
        <w:t>-</w:t>
      </w:r>
      <w:r w:rsidR="00A72E6A" w:rsidRPr="00775AE5">
        <w:rPr>
          <w:rFonts w:ascii="Arial" w:hAnsi="Arial" w:cs="Arial"/>
          <w:sz w:val="22"/>
          <w:szCs w:val="22"/>
          <w:lang w:val="es-ES"/>
        </w:rPr>
        <w:t xml:space="preserve"> cantón Tosagua, Parroquia Ángel Pedro Giler “La </w:t>
      </w:r>
      <w:proofErr w:type="spellStart"/>
      <w:r w:rsidR="00A72E6A" w:rsidRPr="00775AE5">
        <w:rPr>
          <w:rFonts w:ascii="Arial" w:hAnsi="Arial" w:cs="Arial"/>
          <w:sz w:val="22"/>
          <w:szCs w:val="22"/>
          <w:lang w:val="es-ES"/>
        </w:rPr>
        <w:t>Estancilla</w:t>
      </w:r>
      <w:proofErr w:type="spellEnd"/>
      <w:r w:rsidR="00A72E6A" w:rsidRPr="00775AE5">
        <w:rPr>
          <w:rFonts w:ascii="Arial" w:hAnsi="Arial" w:cs="Arial"/>
          <w:sz w:val="22"/>
          <w:szCs w:val="22"/>
          <w:lang w:val="es-ES"/>
        </w:rPr>
        <w:t>”, se develó la placa de reconocimiento a los Ex comandos de Taura, el 29 de noviembre de 2017.</w:t>
      </w:r>
    </w:p>
    <w:p w14:paraId="037DAFD7" w14:textId="77777777" w:rsidR="00A72E6A" w:rsidRPr="00775AE5" w:rsidRDefault="0071237C" w:rsidP="00A307D8">
      <w:pPr>
        <w:pStyle w:val="ListParagraph"/>
        <w:numPr>
          <w:ilvl w:val="0"/>
          <w:numId w:val="4"/>
        </w:numPr>
        <w:spacing w:line="276" w:lineRule="auto"/>
        <w:jc w:val="both"/>
        <w:rPr>
          <w:rFonts w:ascii="Arial" w:hAnsi="Arial" w:cs="Arial"/>
          <w:sz w:val="22"/>
          <w:szCs w:val="22"/>
          <w:lang w:val="es-ES"/>
        </w:rPr>
      </w:pPr>
      <w:r w:rsidRPr="00775AE5">
        <w:rPr>
          <w:rFonts w:ascii="Arial" w:hAnsi="Arial" w:cs="Arial"/>
          <w:sz w:val="22"/>
          <w:szCs w:val="22"/>
          <w:lang w:val="es-ES"/>
        </w:rPr>
        <w:t>P</w:t>
      </w:r>
      <w:r w:rsidR="00A72E6A" w:rsidRPr="00775AE5">
        <w:rPr>
          <w:rFonts w:ascii="Arial" w:hAnsi="Arial" w:cs="Arial"/>
          <w:sz w:val="22"/>
          <w:szCs w:val="22"/>
          <w:lang w:val="es-ES"/>
        </w:rPr>
        <w:t>rovincia de Sucumbíos</w:t>
      </w:r>
      <w:r w:rsidRPr="00775AE5">
        <w:rPr>
          <w:rFonts w:ascii="Arial" w:hAnsi="Arial" w:cs="Arial"/>
          <w:sz w:val="22"/>
          <w:szCs w:val="22"/>
          <w:lang w:val="es-ES"/>
        </w:rPr>
        <w:t xml:space="preserve"> -</w:t>
      </w:r>
      <w:r w:rsidR="00A72E6A" w:rsidRPr="00775AE5">
        <w:rPr>
          <w:rFonts w:ascii="Arial" w:hAnsi="Arial" w:cs="Arial"/>
          <w:sz w:val="22"/>
          <w:szCs w:val="22"/>
          <w:lang w:val="es-ES"/>
        </w:rPr>
        <w:t xml:space="preserve"> ciudad</w:t>
      </w:r>
      <w:r w:rsidR="00A72E6A" w:rsidRPr="00775AE5">
        <w:rPr>
          <w:rFonts w:ascii="Arial" w:hAnsi="Arial" w:cs="Arial"/>
          <w:color w:val="FF0000"/>
          <w:sz w:val="22"/>
          <w:szCs w:val="22"/>
          <w:lang w:val="es-ES"/>
        </w:rPr>
        <w:t xml:space="preserve"> </w:t>
      </w:r>
      <w:r w:rsidR="00A72E6A" w:rsidRPr="00775AE5">
        <w:rPr>
          <w:rFonts w:ascii="Arial" w:hAnsi="Arial" w:cs="Arial"/>
          <w:sz w:val="22"/>
          <w:szCs w:val="22"/>
          <w:lang w:val="es-ES"/>
        </w:rPr>
        <w:t xml:space="preserve">de Lago Agrio, se develó la placa de memoria para los casos: “11 del Putumayo, Hermanos Jiménez y Caso Lago Agrio”. </w:t>
      </w:r>
    </w:p>
    <w:p w14:paraId="07CF78BE" w14:textId="77777777" w:rsidR="007B7967" w:rsidRPr="00775AE5" w:rsidRDefault="007B7967" w:rsidP="00390DF2">
      <w:pPr>
        <w:pStyle w:val="ListParagraph"/>
        <w:spacing w:line="276" w:lineRule="auto"/>
        <w:jc w:val="both"/>
        <w:rPr>
          <w:rFonts w:ascii="Arial" w:hAnsi="Arial" w:cs="Arial"/>
          <w:sz w:val="22"/>
          <w:szCs w:val="22"/>
          <w:lang w:val="es-ES"/>
        </w:rPr>
      </w:pPr>
    </w:p>
    <w:p w14:paraId="3D57B5E3" w14:textId="77777777" w:rsidR="00A72E6A" w:rsidRPr="00775AE5" w:rsidRDefault="0071237C" w:rsidP="00390DF2">
      <w:pPr>
        <w:spacing w:line="276" w:lineRule="auto"/>
        <w:jc w:val="both"/>
        <w:rPr>
          <w:rFonts w:ascii="Arial" w:hAnsi="Arial" w:cs="Arial"/>
          <w:sz w:val="22"/>
          <w:szCs w:val="22"/>
          <w:highlight w:val="white"/>
          <w:lang w:val="es-ES"/>
        </w:rPr>
      </w:pPr>
      <w:r w:rsidRPr="00775AE5">
        <w:rPr>
          <w:rFonts w:ascii="Arial" w:hAnsi="Arial" w:cs="Arial"/>
          <w:sz w:val="22"/>
          <w:szCs w:val="22"/>
          <w:highlight w:val="white"/>
          <w:lang w:val="es-ES"/>
        </w:rPr>
        <w:t>También s</w:t>
      </w:r>
      <w:r w:rsidR="00A72E6A" w:rsidRPr="00775AE5">
        <w:rPr>
          <w:rFonts w:ascii="Arial" w:hAnsi="Arial" w:cs="Arial"/>
          <w:sz w:val="22"/>
          <w:szCs w:val="22"/>
          <w:highlight w:val="white"/>
          <w:lang w:val="es-ES"/>
        </w:rPr>
        <w:t xml:space="preserve">e </w:t>
      </w:r>
      <w:r w:rsidRPr="00775AE5">
        <w:rPr>
          <w:rFonts w:ascii="Arial" w:hAnsi="Arial" w:cs="Arial"/>
          <w:sz w:val="22"/>
          <w:szCs w:val="22"/>
          <w:highlight w:val="white"/>
          <w:lang w:val="es-ES"/>
        </w:rPr>
        <w:t>coordinó</w:t>
      </w:r>
      <w:r w:rsidR="00A72E6A" w:rsidRPr="00775AE5">
        <w:rPr>
          <w:rFonts w:ascii="Arial" w:hAnsi="Arial" w:cs="Arial"/>
          <w:sz w:val="22"/>
          <w:szCs w:val="22"/>
          <w:highlight w:val="white"/>
          <w:lang w:val="es-ES"/>
        </w:rPr>
        <w:t xml:space="preserve"> con el ex Ministerio del Interior (actual Ministerio de Gobierno) y, la Policía Judicial, </w:t>
      </w:r>
      <w:r w:rsidR="00A72E6A" w:rsidRPr="00775AE5">
        <w:rPr>
          <w:rFonts w:ascii="Arial" w:hAnsi="Arial" w:cs="Arial"/>
          <w:sz w:val="22"/>
          <w:szCs w:val="22"/>
          <w:lang w:val="es-ES"/>
        </w:rPr>
        <w:t>el proceso de supresión de antecedentes penales</w:t>
      </w:r>
      <w:r w:rsidRPr="00775AE5">
        <w:rPr>
          <w:rFonts w:ascii="Arial" w:hAnsi="Arial" w:cs="Arial"/>
          <w:sz w:val="22"/>
          <w:szCs w:val="22"/>
          <w:lang w:val="es-ES"/>
        </w:rPr>
        <w:t>, así como también de los archivos policiales por los hechos documentado</w:t>
      </w:r>
      <w:r w:rsidR="00A72E6A" w:rsidRPr="00775AE5">
        <w:rPr>
          <w:rFonts w:ascii="Arial" w:hAnsi="Arial" w:cs="Arial"/>
          <w:sz w:val="22"/>
          <w:szCs w:val="22"/>
          <w:lang w:val="es-ES"/>
        </w:rPr>
        <w:t>s por el Informe de la Comisión de la Verdad.</w:t>
      </w:r>
      <w:r w:rsidR="006B3E1B" w:rsidRPr="00775AE5">
        <w:rPr>
          <w:rFonts w:ascii="Arial" w:hAnsi="Arial" w:cs="Arial"/>
          <w:sz w:val="22"/>
          <w:szCs w:val="22"/>
          <w:lang w:val="es-ES"/>
        </w:rPr>
        <w:t xml:space="preserve"> Y se coordinó</w:t>
      </w:r>
      <w:r w:rsidR="00A72E6A" w:rsidRPr="00775AE5">
        <w:rPr>
          <w:rFonts w:ascii="Arial" w:hAnsi="Arial" w:cs="Arial"/>
          <w:sz w:val="22"/>
          <w:szCs w:val="22"/>
          <w:lang w:val="es-ES"/>
        </w:rPr>
        <w:t xml:space="preserve"> </w:t>
      </w:r>
      <w:r w:rsidR="00A72E6A" w:rsidRPr="00775AE5">
        <w:rPr>
          <w:rFonts w:ascii="Arial" w:hAnsi="Arial" w:cs="Arial"/>
          <w:sz w:val="22"/>
          <w:szCs w:val="22"/>
          <w:highlight w:val="white"/>
          <w:lang w:val="es-ES"/>
        </w:rPr>
        <w:t xml:space="preserve">con la Dirección General de Registro Civil, Identificación y Cedulación, para la </w:t>
      </w:r>
      <w:r w:rsidR="00A72E6A" w:rsidRPr="00775AE5">
        <w:rPr>
          <w:rFonts w:ascii="Arial" w:hAnsi="Arial" w:cs="Arial"/>
          <w:sz w:val="22"/>
          <w:szCs w:val="22"/>
          <w:lang w:val="es-ES"/>
        </w:rPr>
        <w:t>rectificación de identidad y filiación de personas víctimas indirectas de distintos casos, así como la revisión e inscripción de defunción en casos de ejecución extrajudicial que no constaban en registros.</w:t>
      </w:r>
    </w:p>
    <w:p w14:paraId="68E9AD63" w14:textId="77777777" w:rsidR="00D43957" w:rsidRPr="00775AE5" w:rsidRDefault="00D43957" w:rsidP="00390DF2">
      <w:pPr>
        <w:spacing w:line="276" w:lineRule="auto"/>
        <w:jc w:val="both"/>
        <w:rPr>
          <w:rFonts w:ascii="Arial" w:hAnsi="Arial" w:cs="Arial"/>
          <w:sz w:val="22"/>
          <w:szCs w:val="22"/>
          <w:lang w:val="es-ES"/>
        </w:rPr>
      </w:pPr>
    </w:p>
    <w:p w14:paraId="67ADACB1" w14:textId="77777777" w:rsidR="00D43957" w:rsidRPr="00775AE5" w:rsidRDefault="00D43957" w:rsidP="00D43957">
      <w:pPr>
        <w:spacing w:line="276" w:lineRule="auto"/>
        <w:jc w:val="both"/>
        <w:rPr>
          <w:rFonts w:ascii="Arial" w:hAnsi="Arial" w:cs="Arial"/>
          <w:sz w:val="22"/>
          <w:szCs w:val="22"/>
          <w:lang w:val="es-ES"/>
        </w:rPr>
      </w:pPr>
      <w:r w:rsidRPr="00775AE5">
        <w:rPr>
          <w:rFonts w:ascii="Arial" w:hAnsi="Arial" w:cs="Arial"/>
          <w:sz w:val="22"/>
          <w:szCs w:val="22"/>
        </w:rPr>
        <w:t>En el mes de diciembre del 2022, desde la DNMPPDRVDCV, la Defensoría del Pueblo de</w:t>
      </w:r>
      <w:r w:rsidRPr="00775AE5">
        <w:rPr>
          <w:rFonts w:ascii="Arial" w:hAnsi="Arial" w:cs="Arial"/>
          <w:sz w:val="22"/>
          <w:szCs w:val="22"/>
        </w:rPr>
        <w:br/>
        <w:t>Ecuador, con el fin de generar un espacio de memoria, implemento el sitio web denominado</w:t>
      </w:r>
      <w:r w:rsidRPr="00775AE5">
        <w:rPr>
          <w:rFonts w:ascii="Arial" w:hAnsi="Arial" w:cs="Arial"/>
          <w:sz w:val="22"/>
          <w:szCs w:val="22"/>
        </w:rPr>
        <w:br/>
      </w:r>
      <w:r w:rsidRPr="00775AE5">
        <w:rPr>
          <w:rFonts w:ascii="Arial" w:hAnsi="Arial" w:cs="Arial"/>
          <w:i/>
          <w:iCs/>
          <w:sz w:val="22"/>
          <w:szCs w:val="22"/>
        </w:rPr>
        <w:t>Memoria Colectiva</w:t>
      </w:r>
      <w:r w:rsidRPr="00775AE5">
        <w:rPr>
          <w:rFonts w:ascii="Arial" w:hAnsi="Arial" w:cs="Arial"/>
          <w:sz w:val="22"/>
          <w:szCs w:val="22"/>
        </w:rPr>
        <w:t>; el mismo, cuenta con todos los casos documentados por la Comisión de la</w:t>
      </w:r>
      <w:r w:rsidRPr="00775AE5">
        <w:rPr>
          <w:rFonts w:ascii="Arial" w:hAnsi="Arial" w:cs="Arial"/>
          <w:sz w:val="22"/>
          <w:szCs w:val="22"/>
        </w:rPr>
        <w:br/>
        <w:t>Verdad y un espacio de podcast donde se proporciona voz para la reconstrucción de experiencias</w:t>
      </w:r>
      <w:r w:rsidRPr="00775AE5">
        <w:rPr>
          <w:rFonts w:ascii="Arial" w:hAnsi="Arial" w:cs="Arial"/>
          <w:sz w:val="22"/>
          <w:szCs w:val="22"/>
        </w:rPr>
        <w:br/>
        <w:t>vividas y contribuir a evitar se perpetue la impunidad.</w:t>
      </w:r>
    </w:p>
    <w:p w14:paraId="0CC6FA90" w14:textId="77777777" w:rsidR="00A72E6A" w:rsidRPr="00775AE5" w:rsidRDefault="00A72E6A" w:rsidP="00390DF2">
      <w:pPr>
        <w:spacing w:line="276" w:lineRule="auto"/>
        <w:ind w:left="720"/>
        <w:jc w:val="both"/>
        <w:rPr>
          <w:rFonts w:ascii="Arial" w:hAnsi="Arial" w:cs="Arial"/>
          <w:sz w:val="22"/>
          <w:szCs w:val="22"/>
          <w:lang w:val="es-ES"/>
        </w:rPr>
      </w:pPr>
      <w:r w:rsidRPr="00775AE5">
        <w:rPr>
          <w:rFonts w:ascii="Arial" w:hAnsi="Arial" w:cs="Arial"/>
          <w:sz w:val="22"/>
          <w:szCs w:val="22"/>
          <w:lang w:val="es-ES"/>
        </w:rPr>
        <w:t xml:space="preserve">   </w:t>
      </w:r>
    </w:p>
    <w:p w14:paraId="48872E3E" w14:textId="77777777" w:rsidR="007B7967" w:rsidRPr="00775AE5" w:rsidRDefault="00BB3180" w:rsidP="00390DF2">
      <w:pPr>
        <w:pStyle w:val="Heading4"/>
        <w:spacing w:before="0" w:after="0" w:line="276" w:lineRule="auto"/>
        <w:rPr>
          <w:rFonts w:ascii="Arial" w:hAnsi="Arial" w:cs="Arial"/>
          <w:i w:val="0"/>
          <w:sz w:val="22"/>
          <w:szCs w:val="22"/>
          <w:lang w:val="es-ES"/>
        </w:rPr>
      </w:pPr>
      <w:r w:rsidRPr="00775AE5">
        <w:rPr>
          <w:rFonts w:ascii="Arial" w:hAnsi="Arial" w:cs="Arial"/>
          <w:i w:val="0"/>
          <w:sz w:val="22"/>
          <w:szCs w:val="22"/>
          <w:lang w:val="es-ES"/>
        </w:rPr>
        <w:t>7</w:t>
      </w:r>
      <w:r w:rsidR="00346990" w:rsidRPr="00775AE5">
        <w:rPr>
          <w:rFonts w:ascii="Arial" w:hAnsi="Arial" w:cs="Arial"/>
          <w:i w:val="0"/>
          <w:sz w:val="22"/>
          <w:szCs w:val="22"/>
          <w:lang w:val="es-ES"/>
        </w:rPr>
        <w:t>.1.</w:t>
      </w:r>
      <w:r w:rsidR="0038002B" w:rsidRPr="00775AE5">
        <w:rPr>
          <w:rFonts w:ascii="Arial" w:hAnsi="Arial" w:cs="Arial"/>
          <w:i w:val="0"/>
          <w:sz w:val="22"/>
          <w:szCs w:val="22"/>
          <w:lang w:val="es-ES"/>
        </w:rPr>
        <w:t>5</w:t>
      </w:r>
      <w:r w:rsidR="00346990" w:rsidRPr="00775AE5">
        <w:rPr>
          <w:rFonts w:ascii="Arial" w:hAnsi="Arial" w:cs="Arial"/>
          <w:i w:val="0"/>
          <w:sz w:val="22"/>
          <w:szCs w:val="22"/>
          <w:lang w:val="es-ES"/>
        </w:rPr>
        <w:t xml:space="preserve">. </w:t>
      </w:r>
      <w:r w:rsidR="007B7967" w:rsidRPr="00775AE5">
        <w:rPr>
          <w:rFonts w:ascii="Arial" w:hAnsi="Arial" w:cs="Arial"/>
          <w:i w:val="0"/>
          <w:sz w:val="22"/>
          <w:szCs w:val="22"/>
          <w:lang w:val="es-ES"/>
        </w:rPr>
        <w:t>Lí</w:t>
      </w:r>
      <w:r w:rsidR="00A263D5" w:rsidRPr="00775AE5">
        <w:rPr>
          <w:rFonts w:ascii="Arial" w:hAnsi="Arial" w:cs="Arial"/>
          <w:i w:val="0"/>
          <w:sz w:val="22"/>
          <w:szCs w:val="22"/>
          <w:lang w:val="es-ES"/>
        </w:rPr>
        <w:t>nea de coordinación</w:t>
      </w:r>
      <w:r w:rsidR="00D97FB4" w:rsidRPr="00775AE5">
        <w:rPr>
          <w:rFonts w:ascii="Arial" w:hAnsi="Arial" w:cs="Arial"/>
          <w:i w:val="0"/>
          <w:sz w:val="22"/>
          <w:szCs w:val="22"/>
          <w:lang w:val="es-ES"/>
        </w:rPr>
        <w:t xml:space="preserve"> y gestión</w:t>
      </w:r>
      <w:r w:rsidR="00A263D5" w:rsidRPr="00775AE5">
        <w:rPr>
          <w:rFonts w:ascii="Arial" w:hAnsi="Arial" w:cs="Arial"/>
          <w:i w:val="0"/>
          <w:sz w:val="22"/>
          <w:szCs w:val="22"/>
          <w:lang w:val="es-ES"/>
        </w:rPr>
        <w:t xml:space="preserve"> </w:t>
      </w:r>
      <w:r w:rsidR="00D97FB4" w:rsidRPr="00775AE5">
        <w:rPr>
          <w:rFonts w:ascii="Arial" w:hAnsi="Arial" w:cs="Arial"/>
          <w:i w:val="0"/>
          <w:sz w:val="22"/>
          <w:szCs w:val="22"/>
          <w:lang w:val="es-ES"/>
        </w:rPr>
        <w:t xml:space="preserve">interinstitucional </w:t>
      </w:r>
      <w:r w:rsidR="00A263D5" w:rsidRPr="00775AE5">
        <w:rPr>
          <w:rFonts w:ascii="Arial" w:hAnsi="Arial" w:cs="Arial"/>
          <w:i w:val="0"/>
          <w:sz w:val="22"/>
          <w:szCs w:val="22"/>
          <w:lang w:val="es-ES"/>
        </w:rPr>
        <w:t xml:space="preserve">para la reparación </w:t>
      </w:r>
    </w:p>
    <w:p w14:paraId="0505E8C1" w14:textId="77777777" w:rsidR="007B7967" w:rsidRPr="00775AE5" w:rsidRDefault="007B7967" w:rsidP="00390DF2">
      <w:pPr>
        <w:spacing w:line="276" w:lineRule="auto"/>
        <w:contextualSpacing/>
        <w:rPr>
          <w:rFonts w:ascii="Arial" w:hAnsi="Arial" w:cs="Arial"/>
          <w:sz w:val="22"/>
          <w:szCs w:val="22"/>
          <w:lang w:val="es-ES"/>
        </w:rPr>
      </w:pPr>
    </w:p>
    <w:p w14:paraId="4EBEDAA0" w14:textId="77777777" w:rsidR="00A72E6A" w:rsidRDefault="00A72E6A" w:rsidP="00390DF2">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 xml:space="preserve">La Defensoría del Pueblo ha realizado varias actividades, que reflejan el trabajo de coordinación y gestión realizado durante </w:t>
      </w:r>
      <w:r w:rsidR="006B3E1B" w:rsidRPr="00775AE5">
        <w:rPr>
          <w:rFonts w:ascii="Arial" w:eastAsia="Calibri" w:hAnsi="Arial" w:cs="Arial"/>
          <w:sz w:val="22"/>
          <w:szCs w:val="22"/>
          <w:lang w:val="es-ES"/>
        </w:rPr>
        <w:t xml:space="preserve">el período </w:t>
      </w:r>
      <w:r w:rsidRPr="00775AE5">
        <w:rPr>
          <w:rFonts w:ascii="Arial" w:eastAsia="Calibri" w:hAnsi="Arial" w:cs="Arial"/>
          <w:sz w:val="22"/>
          <w:szCs w:val="22"/>
          <w:lang w:val="es-ES"/>
        </w:rPr>
        <w:t>2014 – 2019, como las que se señalan a continuación.</w:t>
      </w:r>
    </w:p>
    <w:p w14:paraId="437B7960" w14:textId="77777777" w:rsidR="009C3E3E" w:rsidRDefault="009C3E3E" w:rsidP="00390DF2">
      <w:pPr>
        <w:spacing w:line="276" w:lineRule="auto"/>
        <w:jc w:val="both"/>
        <w:rPr>
          <w:rFonts w:ascii="Arial" w:eastAsia="Calibri" w:hAnsi="Arial" w:cs="Arial"/>
          <w:sz w:val="22"/>
          <w:szCs w:val="22"/>
          <w:lang w:val="es-ES"/>
        </w:rPr>
      </w:pPr>
    </w:p>
    <w:p w14:paraId="51C64E59" w14:textId="77777777" w:rsidR="00D43957" w:rsidRPr="00775AE5" w:rsidRDefault="00D43957" w:rsidP="00D43957">
      <w:pPr>
        <w:spacing w:line="276" w:lineRule="auto"/>
        <w:jc w:val="both"/>
        <w:rPr>
          <w:rFonts w:ascii="Arial" w:eastAsia="Calibri" w:hAnsi="Arial" w:cs="Arial"/>
          <w:b/>
          <w:sz w:val="22"/>
          <w:szCs w:val="22"/>
          <w:lang w:val="es-ES"/>
        </w:rPr>
      </w:pPr>
      <w:r w:rsidRPr="00775AE5">
        <w:rPr>
          <w:rFonts w:ascii="Arial" w:eastAsia="Calibri" w:hAnsi="Arial" w:cs="Arial"/>
          <w:b/>
          <w:sz w:val="22"/>
          <w:szCs w:val="22"/>
          <w:lang w:val="es-ES"/>
        </w:rPr>
        <w:t>Ministerio de Salud Pública</w:t>
      </w:r>
    </w:p>
    <w:p w14:paraId="3FB88679" w14:textId="77777777" w:rsidR="00D43957" w:rsidRPr="00775AE5" w:rsidRDefault="00D43957" w:rsidP="00D43957">
      <w:pPr>
        <w:spacing w:line="276" w:lineRule="auto"/>
        <w:jc w:val="both"/>
        <w:rPr>
          <w:rFonts w:ascii="Arial" w:eastAsia="Calibri" w:hAnsi="Arial" w:cs="Arial"/>
          <w:sz w:val="22"/>
          <w:szCs w:val="22"/>
          <w:lang w:val="es-ES"/>
        </w:rPr>
      </w:pPr>
    </w:p>
    <w:tbl>
      <w:tblPr>
        <w:tblW w:w="5000" w:type="pct"/>
        <w:tblBorders>
          <w:top w:val="single" w:sz="8" w:space="0" w:color="000000"/>
          <w:bottom w:val="single" w:sz="8" w:space="0" w:color="000000"/>
        </w:tblBorders>
        <w:tblLook w:val="0400" w:firstRow="0" w:lastRow="0" w:firstColumn="0" w:lastColumn="0" w:noHBand="0" w:noVBand="1"/>
      </w:tblPr>
      <w:tblGrid>
        <w:gridCol w:w="8469"/>
        <w:gridCol w:w="893"/>
      </w:tblGrid>
      <w:tr w:rsidR="00D43957" w:rsidRPr="00775AE5" w14:paraId="710F7B45" w14:textId="77777777" w:rsidTr="00A307D8">
        <w:trPr>
          <w:trHeight w:val="300"/>
        </w:trPr>
        <w:tc>
          <w:tcPr>
            <w:tcW w:w="4523" w:type="pct"/>
            <w:tcBorders>
              <w:left w:val="nil"/>
              <w:right w:val="nil"/>
            </w:tcBorders>
            <w:shd w:val="clear" w:color="auto" w:fill="C0C0C0"/>
            <w:vAlign w:val="center"/>
            <w:hideMark/>
          </w:tcPr>
          <w:p w14:paraId="250B9724" w14:textId="77777777" w:rsidR="00D43957" w:rsidRPr="00775AE5" w:rsidRDefault="00D43957" w:rsidP="00A307D8">
            <w:pPr>
              <w:rPr>
                <w:rFonts w:ascii="Arial" w:eastAsia="Calibri" w:hAnsi="Arial" w:cs="Arial"/>
                <w:i/>
                <w:color w:val="000000"/>
                <w:sz w:val="22"/>
                <w:szCs w:val="22"/>
              </w:rPr>
            </w:pPr>
            <w:r w:rsidRPr="00775AE5">
              <w:rPr>
                <w:rFonts w:ascii="Arial" w:eastAsia="Calibri" w:hAnsi="Arial" w:cs="Arial"/>
                <w:i/>
                <w:color w:val="000000"/>
                <w:sz w:val="22"/>
                <w:szCs w:val="22"/>
              </w:rPr>
              <w:t>VÍCTIMAS GEORREFERENCIADAS POR DOMICILIO EN EL SISTEMA DE SALUD</w:t>
            </w:r>
          </w:p>
        </w:tc>
        <w:tc>
          <w:tcPr>
            <w:tcW w:w="477" w:type="pct"/>
            <w:tcBorders>
              <w:left w:val="nil"/>
              <w:right w:val="nil"/>
            </w:tcBorders>
            <w:shd w:val="clear" w:color="auto" w:fill="C0C0C0"/>
            <w:vAlign w:val="center"/>
            <w:hideMark/>
          </w:tcPr>
          <w:p w14:paraId="48B208FC" w14:textId="77777777" w:rsidR="00D43957" w:rsidRPr="00775AE5" w:rsidRDefault="00D43957" w:rsidP="00A307D8">
            <w:pPr>
              <w:jc w:val="center"/>
              <w:rPr>
                <w:rFonts w:ascii="Arial" w:eastAsia="Calibri" w:hAnsi="Arial" w:cs="Arial"/>
                <w:b/>
                <w:color w:val="000000"/>
                <w:sz w:val="22"/>
                <w:szCs w:val="22"/>
              </w:rPr>
            </w:pPr>
            <w:r w:rsidRPr="00775AE5">
              <w:rPr>
                <w:rFonts w:ascii="Arial" w:eastAsia="Calibri" w:hAnsi="Arial" w:cs="Arial"/>
                <w:b/>
                <w:color w:val="000000"/>
                <w:sz w:val="22"/>
                <w:szCs w:val="22"/>
              </w:rPr>
              <w:t>1101</w:t>
            </w:r>
          </w:p>
        </w:tc>
      </w:tr>
      <w:tr w:rsidR="00D43957" w:rsidRPr="00775AE5" w14:paraId="030DC31C" w14:textId="77777777" w:rsidTr="00A307D8">
        <w:trPr>
          <w:trHeight w:val="300"/>
        </w:trPr>
        <w:tc>
          <w:tcPr>
            <w:tcW w:w="4523" w:type="pct"/>
            <w:shd w:val="clear" w:color="auto" w:fill="auto"/>
            <w:vAlign w:val="center"/>
            <w:hideMark/>
          </w:tcPr>
          <w:p w14:paraId="79F8EA18" w14:textId="77777777" w:rsidR="00D43957" w:rsidRPr="00775AE5" w:rsidRDefault="00D43957" w:rsidP="00A307D8">
            <w:pPr>
              <w:rPr>
                <w:rFonts w:ascii="Arial" w:eastAsia="Calibri" w:hAnsi="Arial" w:cs="Arial"/>
                <w:i/>
                <w:color w:val="000000"/>
                <w:sz w:val="22"/>
                <w:szCs w:val="22"/>
              </w:rPr>
            </w:pPr>
            <w:r w:rsidRPr="00775AE5">
              <w:rPr>
                <w:rFonts w:ascii="Arial" w:eastAsia="Calibri" w:hAnsi="Arial" w:cs="Arial"/>
                <w:i/>
                <w:color w:val="000000"/>
                <w:sz w:val="22"/>
                <w:szCs w:val="22"/>
              </w:rPr>
              <w:t>GESTIÓN DE OPERACIONES DE ALTO RIESGO A VÍCTIMAS</w:t>
            </w:r>
          </w:p>
        </w:tc>
        <w:tc>
          <w:tcPr>
            <w:tcW w:w="477" w:type="pct"/>
            <w:shd w:val="clear" w:color="auto" w:fill="auto"/>
            <w:vAlign w:val="center"/>
            <w:hideMark/>
          </w:tcPr>
          <w:p w14:paraId="5D398770" w14:textId="77777777" w:rsidR="00D43957" w:rsidRPr="00775AE5" w:rsidRDefault="00D43957" w:rsidP="00A307D8">
            <w:pPr>
              <w:jc w:val="center"/>
              <w:rPr>
                <w:rFonts w:ascii="Arial" w:eastAsia="Calibri" w:hAnsi="Arial" w:cs="Arial"/>
                <w:b/>
                <w:color w:val="000000"/>
                <w:sz w:val="22"/>
                <w:szCs w:val="22"/>
              </w:rPr>
            </w:pPr>
            <w:r w:rsidRPr="00775AE5">
              <w:rPr>
                <w:rFonts w:ascii="Arial" w:eastAsia="Calibri" w:hAnsi="Arial" w:cs="Arial"/>
                <w:b/>
                <w:color w:val="000000"/>
                <w:sz w:val="22"/>
                <w:szCs w:val="22"/>
              </w:rPr>
              <w:t>5</w:t>
            </w:r>
          </w:p>
        </w:tc>
      </w:tr>
      <w:tr w:rsidR="00D43957" w:rsidRPr="00775AE5" w14:paraId="252268A3" w14:textId="77777777" w:rsidTr="00A307D8">
        <w:trPr>
          <w:trHeight w:val="300"/>
        </w:trPr>
        <w:tc>
          <w:tcPr>
            <w:tcW w:w="4523" w:type="pct"/>
            <w:tcBorders>
              <w:left w:val="nil"/>
              <w:right w:val="nil"/>
            </w:tcBorders>
            <w:shd w:val="clear" w:color="auto" w:fill="C0C0C0"/>
            <w:vAlign w:val="center"/>
            <w:hideMark/>
          </w:tcPr>
          <w:p w14:paraId="4202C078" w14:textId="77777777" w:rsidR="00D43957" w:rsidRPr="00775AE5" w:rsidRDefault="00D43957" w:rsidP="00A307D8">
            <w:pPr>
              <w:rPr>
                <w:rFonts w:ascii="Arial" w:eastAsia="Calibri" w:hAnsi="Arial" w:cs="Arial"/>
                <w:i/>
                <w:color w:val="000000"/>
                <w:sz w:val="22"/>
                <w:szCs w:val="22"/>
              </w:rPr>
            </w:pPr>
            <w:r w:rsidRPr="00775AE5">
              <w:rPr>
                <w:rFonts w:ascii="Arial" w:eastAsia="Calibri" w:hAnsi="Arial" w:cs="Arial"/>
                <w:i/>
                <w:color w:val="000000"/>
                <w:sz w:val="22"/>
                <w:szCs w:val="22"/>
              </w:rPr>
              <w:t xml:space="preserve">GESTIÓN DE CARNÉ DE DISCAPACIDAD A VÍCTIMAS </w:t>
            </w:r>
          </w:p>
        </w:tc>
        <w:tc>
          <w:tcPr>
            <w:tcW w:w="477" w:type="pct"/>
            <w:tcBorders>
              <w:left w:val="nil"/>
              <w:right w:val="nil"/>
            </w:tcBorders>
            <w:shd w:val="clear" w:color="auto" w:fill="C0C0C0"/>
            <w:vAlign w:val="center"/>
            <w:hideMark/>
          </w:tcPr>
          <w:p w14:paraId="7E9E9761" w14:textId="77777777" w:rsidR="00D43957" w:rsidRPr="00775AE5" w:rsidRDefault="00D43957" w:rsidP="00A307D8">
            <w:pPr>
              <w:jc w:val="center"/>
              <w:rPr>
                <w:rFonts w:ascii="Arial" w:eastAsia="Calibri" w:hAnsi="Arial" w:cs="Arial"/>
                <w:b/>
                <w:color w:val="000000"/>
                <w:sz w:val="22"/>
                <w:szCs w:val="22"/>
              </w:rPr>
            </w:pPr>
            <w:r w:rsidRPr="00775AE5">
              <w:rPr>
                <w:rFonts w:ascii="Arial" w:eastAsia="Calibri" w:hAnsi="Arial" w:cs="Arial"/>
                <w:b/>
                <w:color w:val="000000"/>
                <w:sz w:val="22"/>
                <w:szCs w:val="22"/>
              </w:rPr>
              <w:t>10</w:t>
            </w:r>
          </w:p>
        </w:tc>
      </w:tr>
      <w:tr w:rsidR="00D43957" w:rsidRPr="00775AE5" w14:paraId="2A6C6F0E" w14:textId="77777777" w:rsidTr="00A307D8">
        <w:trPr>
          <w:trHeight w:val="300"/>
        </w:trPr>
        <w:tc>
          <w:tcPr>
            <w:tcW w:w="4523" w:type="pct"/>
            <w:shd w:val="clear" w:color="auto" w:fill="auto"/>
            <w:vAlign w:val="center"/>
            <w:hideMark/>
          </w:tcPr>
          <w:p w14:paraId="34150D8E" w14:textId="77777777" w:rsidR="00D43957" w:rsidRPr="00775AE5" w:rsidRDefault="00D43957" w:rsidP="00A307D8">
            <w:pPr>
              <w:rPr>
                <w:rFonts w:ascii="Arial" w:eastAsia="Calibri" w:hAnsi="Arial" w:cs="Arial"/>
                <w:i/>
                <w:color w:val="000000"/>
                <w:sz w:val="22"/>
                <w:szCs w:val="22"/>
              </w:rPr>
            </w:pPr>
            <w:r w:rsidRPr="00775AE5">
              <w:rPr>
                <w:rFonts w:ascii="Arial" w:eastAsia="Calibri" w:hAnsi="Arial" w:cs="Arial"/>
                <w:i/>
                <w:color w:val="000000"/>
                <w:sz w:val="22"/>
                <w:szCs w:val="22"/>
              </w:rPr>
              <w:t>PROFESIONALES DEL SISTEMA DE SALUD CAPACITADOS EN HERRAMIENTAS DE ATENCIÓN EN SALUD PARA USUARIOS DEL PROGRAMA DE REPARACIÓN A VÍCTIMAS DE FORMA VIRTUAL  </w:t>
            </w:r>
          </w:p>
        </w:tc>
        <w:tc>
          <w:tcPr>
            <w:tcW w:w="477" w:type="pct"/>
            <w:shd w:val="clear" w:color="auto" w:fill="auto"/>
            <w:vAlign w:val="center"/>
            <w:hideMark/>
          </w:tcPr>
          <w:p w14:paraId="26B5E059" w14:textId="77777777" w:rsidR="00D43957" w:rsidRPr="00775AE5" w:rsidRDefault="00D43957" w:rsidP="00A307D8">
            <w:pPr>
              <w:jc w:val="center"/>
              <w:rPr>
                <w:rFonts w:ascii="Arial" w:eastAsia="Calibri" w:hAnsi="Arial" w:cs="Arial"/>
                <w:b/>
                <w:color w:val="000000"/>
                <w:sz w:val="22"/>
                <w:szCs w:val="22"/>
              </w:rPr>
            </w:pPr>
            <w:r w:rsidRPr="00775AE5">
              <w:rPr>
                <w:rFonts w:ascii="Arial" w:eastAsia="Calibri" w:hAnsi="Arial" w:cs="Arial"/>
                <w:b/>
                <w:color w:val="000000"/>
                <w:sz w:val="22"/>
                <w:szCs w:val="22"/>
              </w:rPr>
              <w:t>30907</w:t>
            </w:r>
          </w:p>
        </w:tc>
      </w:tr>
      <w:tr w:rsidR="00D43957" w:rsidRPr="00775AE5" w14:paraId="2D6FF2D7" w14:textId="77777777" w:rsidTr="00A307D8">
        <w:trPr>
          <w:trHeight w:val="300"/>
        </w:trPr>
        <w:tc>
          <w:tcPr>
            <w:tcW w:w="4523" w:type="pct"/>
            <w:tcBorders>
              <w:left w:val="nil"/>
              <w:right w:val="nil"/>
            </w:tcBorders>
            <w:shd w:val="clear" w:color="auto" w:fill="C0C0C0"/>
            <w:vAlign w:val="center"/>
            <w:hideMark/>
          </w:tcPr>
          <w:p w14:paraId="1CED32D2" w14:textId="77777777" w:rsidR="00D43957" w:rsidRPr="00775AE5" w:rsidRDefault="00D43957" w:rsidP="00A307D8">
            <w:pPr>
              <w:rPr>
                <w:rFonts w:ascii="Arial" w:eastAsia="Calibri" w:hAnsi="Arial" w:cs="Arial"/>
                <w:i/>
                <w:color w:val="000000"/>
                <w:sz w:val="22"/>
                <w:szCs w:val="22"/>
              </w:rPr>
            </w:pPr>
            <w:r w:rsidRPr="00775AE5">
              <w:rPr>
                <w:rFonts w:ascii="Arial" w:eastAsia="Calibri" w:hAnsi="Arial" w:cs="Arial"/>
                <w:i/>
                <w:color w:val="000000"/>
                <w:sz w:val="22"/>
                <w:szCs w:val="22"/>
              </w:rPr>
              <w:t>PROFESIONALES DEL SISTEMA DE SALUD CAPACITADOS EN ATENCIÓN PSICOSOCIAL A VÍCTIMAS DE FORMA PRESENCIAL EN LAS PROVINCIAS DE EL ORO, GUAYAS Y PICHINCHA  </w:t>
            </w:r>
          </w:p>
        </w:tc>
        <w:tc>
          <w:tcPr>
            <w:tcW w:w="477" w:type="pct"/>
            <w:tcBorders>
              <w:left w:val="nil"/>
              <w:right w:val="nil"/>
            </w:tcBorders>
            <w:shd w:val="clear" w:color="auto" w:fill="C0C0C0"/>
            <w:vAlign w:val="center"/>
            <w:hideMark/>
          </w:tcPr>
          <w:p w14:paraId="52C367BF" w14:textId="77777777" w:rsidR="00D43957" w:rsidRPr="00775AE5" w:rsidRDefault="00D43957" w:rsidP="00A307D8">
            <w:pPr>
              <w:jc w:val="center"/>
              <w:rPr>
                <w:rFonts w:ascii="Arial" w:eastAsia="Calibri" w:hAnsi="Arial" w:cs="Arial"/>
                <w:b/>
                <w:color w:val="000000"/>
                <w:sz w:val="22"/>
                <w:szCs w:val="22"/>
              </w:rPr>
            </w:pPr>
            <w:r w:rsidRPr="00775AE5">
              <w:rPr>
                <w:rFonts w:ascii="Arial" w:eastAsia="Calibri" w:hAnsi="Arial" w:cs="Arial"/>
                <w:b/>
                <w:color w:val="000000"/>
                <w:sz w:val="22"/>
                <w:szCs w:val="22"/>
              </w:rPr>
              <w:t>500</w:t>
            </w:r>
          </w:p>
        </w:tc>
      </w:tr>
      <w:tr w:rsidR="00D43957" w:rsidRPr="00775AE5" w14:paraId="7A991845" w14:textId="77777777" w:rsidTr="00A307D8">
        <w:trPr>
          <w:trHeight w:val="180"/>
        </w:trPr>
        <w:tc>
          <w:tcPr>
            <w:tcW w:w="4523" w:type="pct"/>
            <w:shd w:val="clear" w:color="auto" w:fill="auto"/>
            <w:vAlign w:val="center"/>
            <w:hideMark/>
          </w:tcPr>
          <w:p w14:paraId="3AC3DD86" w14:textId="77777777" w:rsidR="00D43957" w:rsidRPr="00775AE5" w:rsidRDefault="00D43957" w:rsidP="00A307D8">
            <w:pPr>
              <w:rPr>
                <w:rFonts w:ascii="Arial" w:eastAsia="Calibri" w:hAnsi="Arial" w:cs="Arial"/>
                <w:i/>
                <w:color w:val="000000"/>
                <w:sz w:val="22"/>
                <w:szCs w:val="22"/>
              </w:rPr>
            </w:pPr>
            <w:r w:rsidRPr="00775AE5">
              <w:rPr>
                <w:rFonts w:ascii="Arial" w:eastAsia="Calibri" w:hAnsi="Arial" w:cs="Arial"/>
                <w:i/>
                <w:color w:val="000000"/>
                <w:sz w:val="22"/>
                <w:szCs w:val="22"/>
              </w:rPr>
              <w:t>HERRAMIENTAS PSICOSOCIALES PARA ATENCIÓN A VÍCTIMAS DE GRAVES VIOLACIONES A LOS DERECHOS HUMANOS Y DELITOS DE LESA HUMANIDAD</w:t>
            </w:r>
          </w:p>
        </w:tc>
        <w:tc>
          <w:tcPr>
            <w:tcW w:w="477" w:type="pct"/>
            <w:shd w:val="clear" w:color="auto" w:fill="auto"/>
            <w:vAlign w:val="center"/>
            <w:hideMark/>
          </w:tcPr>
          <w:p w14:paraId="07163919" w14:textId="77777777" w:rsidR="00D43957" w:rsidRPr="00775AE5" w:rsidRDefault="00D43957" w:rsidP="00A307D8">
            <w:pPr>
              <w:jc w:val="center"/>
              <w:rPr>
                <w:rFonts w:ascii="Arial" w:eastAsia="Calibri" w:hAnsi="Arial" w:cs="Arial"/>
                <w:b/>
                <w:color w:val="000000"/>
                <w:sz w:val="22"/>
                <w:szCs w:val="22"/>
              </w:rPr>
            </w:pPr>
            <w:r w:rsidRPr="00775AE5">
              <w:rPr>
                <w:rFonts w:ascii="Arial" w:eastAsia="Calibri" w:hAnsi="Arial" w:cs="Arial"/>
                <w:b/>
                <w:color w:val="000000"/>
                <w:sz w:val="22"/>
                <w:szCs w:val="22"/>
              </w:rPr>
              <w:t>2</w:t>
            </w:r>
          </w:p>
        </w:tc>
      </w:tr>
      <w:tr w:rsidR="00D43957" w:rsidRPr="00775AE5" w14:paraId="10258FC6" w14:textId="77777777" w:rsidTr="00A307D8">
        <w:trPr>
          <w:trHeight w:val="280"/>
        </w:trPr>
        <w:tc>
          <w:tcPr>
            <w:tcW w:w="4523" w:type="pct"/>
            <w:tcBorders>
              <w:left w:val="nil"/>
              <w:right w:val="nil"/>
            </w:tcBorders>
            <w:shd w:val="clear" w:color="auto" w:fill="C0C0C0"/>
            <w:vAlign w:val="center"/>
            <w:hideMark/>
          </w:tcPr>
          <w:p w14:paraId="5E450501" w14:textId="77777777" w:rsidR="00D43957" w:rsidRPr="00775AE5" w:rsidRDefault="00D43957" w:rsidP="00A307D8">
            <w:pPr>
              <w:rPr>
                <w:rFonts w:ascii="Arial" w:eastAsia="Calibri" w:hAnsi="Arial" w:cs="Arial"/>
                <w:i/>
                <w:color w:val="000000"/>
                <w:sz w:val="22"/>
                <w:szCs w:val="22"/>
              </w:rPr>
            </w:pPr>
            <w:r w:rsidRPr="00775AE5">
              <w:rPr>
                <w:rFonts w:ascii="Arial" w:eastAsia="Calibri" w:hAnsi="Arial" w:cs="Arial"/>
                <w:i/>
                <w:color w:val="000000"/>
                <w:sz w:val="22"/>
                <w:szCs w:val="22"/>
              </w:rPr>
              <w:t>CAPACITACIÓN AL PERSONAL DE CALL CENTER EN ATENCIÓN A VÍCTIMAS</w:t>
            </w:r>
          </w:p>
        </w:tc>
        <w:tc>
          <w:tcPr>
            <w:tcW w:w="477" w:type="pct"/>
            <w:tcBorders>
              <w:left w:val="nil"/>
              <w:right w:val="nil"/>
            </w:tcBorders>
            <w:shd w:val="clear" w:color="auto" w:fill="C0C0C0"/>
            <w:vAlign w:val="center"/>
            <w:hideMark/>
          </w:tcPr>
          <w:p w14:paraId="18DDCD9C" w14:textId="77777777" w:rsidR="00D43957" w:rsidRPr="00775AE5" w:rsidRDefault="00D43957" w:rsidP="00A307D8">
            <w:pPr>
              <w:jc w:val="center"/>
              <w:rPr>
                <w:rFonts w:ascii="Arial" w:eastAsia="Calibri" w:hAnsi="Arial" w:cs="Arial"/>
                <w:b/>
                <w:color w:val="000000"/>
                <w:sz w:val="22"/>
                <w:szCs w:val="22"/>
              </w:rPr>
            </w:pPr>
            <w:r w:rsidRPr="00775AE5">
              <w:rPr>
                <w:rFonts w:ascii="Arial" w:eastAsia="Calibri" w:hAnsi="Arial" w:cs="Arial"/>
                <w:b/>
                <w:color w:val="000000"/>
                <w:sz w:val="22"/>
                <w:szCs w:val="22"/>
              </w:rPr>
              <w:t>2</w:t>
            </w:r>
          </w:p>
        </w:tc>
      </w:tr>
      <w:tr w:rsidR="00D43957" w:rsidRPr="00775AE5" w14:paraId="0EEFA471" w14:textId="77777777" w:rsidTr="00A307D8">
        <w:trPr>
          <w:trHeight w:val="280"/>
        </w:trPr>
        <w:tc>
          <w:tcPr>
            <w:tcW w:w="4523" w:type="pct"/>
            <w:shd w:val="clear" w:color="auto" w:fill="auto"/>
            <w:vAlign w:val="center"/>
          </w:tcPr>
          <w:p w14:paraId="0C0957F4" w14:textId="77777777" w:rsidR="00D43957" w:rsidRPr="00775AE5" w:rsidRDefault="00D43957" w:rsidP="00A307D8">
            <w:pPr>
              <w:rPr>
                <w:rFonts w:ascii="Arial" w:eastAsia="Calibri" w:hAnsi="Arial" w:cs="Arial"/>
                <w:i/>
                <w:color w:val="000000"/>
                <w:sz w:val="22"/>
                <w:szCs w:val="22"/>
              </w:rPr>
            </w:pPr>
            <w:r w:rsidRPr="00775AE5">
              <w:rPr>
                <w:rFonts w:ascii="Arial" w:eastAsia="Calibri" w:hAnsi="Arial" w:cs="Arial"/>
                <w:i/>
                <w:color w:val="000000"/>
                <w:sz w:val="22"/>
                <w:szCs w:val="22"/>
              </w:rPr>
              <w:t>Socialización del Informe de la Comisión de la Verdad y sensibilización en derechos humanos para actuación en procedimiento de atención al Programa de Reparación de Víctimas.</w:t>
            </w:r>
          </w:p>
        </w:tc>
        <w:tc>
          <w:tcPr>
            <w:tcW w:w="477" w:type="pct"/>
            <w:shd w:val="clear" w:color="auto" w:fill="auto"/>
            <w:vAlign w:val="center"/>
          </w:tcPr>
          <w:p w14:paraId="5D7FE7E2" w14:textId="77777777" w:rsidR="00D43957" w:rsidRPr="00775AE5" w:rsidRDefault="00D43957" w:rsidP="00A307D8">
            <w:pPr>
              <w:jc w:val="center"/>
              <w:rPr>
                <w:rFonts w:ascii="Arial" w:eastAsia="Calibri" w:hAnsi="Arial" w:cs="Arial"/>
                <w:b/>
                <w:color w:val="000000"/>
                <w:sz w:val="22"/>
                <w:szCs w:val="22"/>
              </w:rPr>
            </w:pPr>
            <w:r w:rsidRPr="00775AE5">
              <w:rPr>
                <w:rFonts w:ascii="Arial" w:eastAsia="Calibri" w:hAnsi="Arial" w:cs="Arial"/>
                <w:b/>
                <w:color w:val="000000"/>
                <w:sz w:val="22"/>
                <w:szCs w:val="22"/>
              </w:rPr>
              <w:t>9</w:t>
            </w:r>
          </w:p>
        </w:tc>
      </w:tr>
    </w:tbl>
    <w:p w14:paraId="1A8446A4" w14:textId="77777777" w:rsidR="00D43957" w:rsidRPr="00775AE5" w:rsidRDefault="00D43957" w:rsidP="00D43957">
      <w:pPr>
        <w:spacing w:line="276" w:lineRule="auto"/>
        <w:jc w:val="both"/>
        <w:rPr>
          <w:rFonts w:ascii="Arial" w:eastAsia="Arial" w:hAnsi="Arial" w:cs="Arial"/>
          <w:sz w:val="22"/>
          <w:szCs w:val="22"/>
          <w:lang w:val="es-ES" w:eastAsia="es-ES"/>
        </w:rPr>
      </w:pPr>
    </w:p>
    <w:p w14:paraId="5F96AEE8" w14:textId="77777777" w:rsidR="00D43957" w:rsidRPr="00775AE5" w:rsidRDefault="00D43957" w:rsidP="00D43957">
      <w:pPr>
        <w:spacing w:line="276" w:lineRule="auto"/>
        <w:jc w:val="both"/>
        <w:rPr>
          <w:rFonts w:ascii="Arial" w:eastAsia="Calibri" w:hAnsi="Arial" w:cs="Arial"/>
          <w:b/>
          <w:sz w:val="22"/>
          <w:szCs w:val="22"/>
          <w:lang w:val="es-ES"/>
        </w:rPr>
      </w:pPr>
      <w:r w:rsidRPr="00775AE5">
        <w:rPr>
          <w:rFonts w:ascii="Arial" w:eastAsia="Calibri" w:hAnsi="Arial" w:cs="Arial"/>
          <w:b/>
          <w:sz w:val="22"/>
          <w:szCs w:val="22"/>
          <w:lang w:val="es-ES"/>
        </w:rPr>
        <w:t>Ministerio de Justicia, Derechos Humanos y Cultos (actual Ministerio de la Mujer y Derechos Humanos)</w:t>
      </w:r>
    </w:p>
    <w:p w14:paraId="32C0F65D" w14:textId="77777777" w:rsidR="00D43957" w:rsidRPr="00775AE5" w:rsidRDefault="00D43957" w:rsidP="00D43957">
      <w:pPr>
        <w:spacing w:line="276" w:lineRule="auto"/>
        <w:jc w:val="both"/>
        <w:rPr>
          <w:rFonts w:ascii="Arial" w:eastAsia="Calibri" w:hAnsi="Arial" w:cs="Arial"/>
          <w:sz w:val="22"/>
          <w:szCs w:val="22"/>
          <w:lang w:val="es-ES"/>
        </w:rPr>
      </w:pPr>
    </w:p>
    <w:tbl>
      <w:tblPr>
        <w:tblW w:w="8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42"/>
        <w:gridCol w:w="673"/>
      </w:tblGrid>
      <w:tr w:rsidR="00D43957" w:rsidRPr="00775AE5" w14:paraId="2671C4DF" w14:textId="77777777" w:rsidTr="00A307D8">
        <w:tc>
          <w:tcPr>
            <w:tcW w:w="8042" w:type="dxa"/>
            <w:tcBorders>
              <w:top w:val="single" w:sz="4" w:space="0" w:color="000000"/>
              <w:left w:val="single" w:sz="4" w:space="0" w:color="000000"/>
              <w:bottom w:val="single" w:sz="4" w:space="0" w:color="000000"/>
              <w:right w:val="single" w:sz="4" w:space="0" w:color="000000"/>
            </w:tcBorders>
            <w:shd w:val="clear" w:color="auto" w:fill="F2F2F2"/>
            <w:hideMark/>
          </w:tcPr>
          <w:p w14:paraId="2FB81FD5" w14:textId="77777777" w:rsidR="00D43957" w:rsidRPr="00775AE5" w:rsidRDefault="00D43957" w:rsidP="00A307D8">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Expedientes remitidos para proceso de reparación material</w:t>
            </w:r>
          </w:p>
        </w:tc>
        <w:tc>
          <w:tcPr>
            <w:tcW w:w="673" w:type="dxa"/>
            <w:tcBorders>
              <w:top w:val="single" w:sz="4" w:space="0" w:color="000000"/>
              <w:left w:val="single" w:sz="4" w:space="0" w:color="000000"/>
              <w:bottom w:val="single" w:sz="4" w:space="0" w:color="000000"/>
              <w:right w:val="single" w:sz="4" w:space="0" w:color="000000"/>
            </w:tcBorders>
            <w:hideMark/>
          </w:tcPr>
          <w:p w14:paraId="45AA043F" w14:textId="77777777" w:rsidR="00D43957" w:rsidRPr="00775AE5" w:rsidRDefault="00D43957" w:rsidP="00A307D8">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326</w:t>
            </w:r>
          </w:p>
        </w:tc>
      </w:tr>
    </w:tbl>
    <w:p w14:paraId="759A6CA2" w14:textId="77777777" w:rsidR="00D43957" w:rsidRPr="00775AE5" w:rsidRDefault="00D43957" w:rsidP="00D43957">
      <w:pPr>
        <w:spacing w:line="276" w:lineRule="auto"/>
        <w:jc w:val="both"/>
        <w:rPr>
          <w:rFonts w:ascii="Arial" w:eastAsia="Arial" w:hAnsi="Arial" w:cs="Arial"/>
          <w:b/>
          <w:sz w:val="22"/>
          <w:szCs w:val="22"/>
          <w:lang w:val="es-ES" w:eastAsia="es-ES"/>
        </w:rPr>
      </w:pPr>
    </w:p>
    <w:p w14:paraId="404689F3" w14:textId="77777777" w:rsidR="00D43957" w:rsidRPr="00775AE5" w:rsidRDefault="00D43957" w:rsidP="00D43957">
      <w:pPr>
        <w:spacing w:line="276" w:lineRule="auto"/>
        <w:jc w:val="both"/>
        <w:rPr>
          <w:rFonts w:ascii="Arial" w:eastAsia="Calibri" w:hAnsi="Arial" w:cs="Arial"/>
          <w:b/>
          <w:sz w:val="22"/>
          <w:szCs w:val="22"/>
          <w:highlight w:val="white"/>
          <w:lang w:val="es-ES"/>
        </w:rPr>
      </w:pPr>
      <w:r w:rsidRPr="00775AE5">
        <w:rPr>
          <w:rFonts w:ascii="Arial" w:eastAsia="Calibri" w:hAnsi="Arial" w:cs="Arial"/>
          <w:b/>
          <w:sz w:val="22"/>
          <w:szCs w:val="22"/>
          <w:lang w:val="es-ES"/>
        </w:rPr>
        <w:t xml:space="preserve">Secretaría de Educación Superior, Ciencia y Tecnología / Instituto de Fomento al Talento </w:t>
      </w:r>
      <w:r w:rsidRPr="00775AE5">
        <w:rPr>
          <w:rFonts w:ascii="Arial" w:eastAsia="Calibri" w:hAnsi="Arial" w:cs="Arial"/>
          <w:b/>
          <w:sz w:val="22"/>
          <w:szCs w:val="22"/>
          <w:highlight w:val="white"/>
          <w:lang w:val="es-ES"/>
        </w:rPr>
        <w:t>Humanos</w:t>
      </w:r>
    </w:p>
    <w:p w14:paraId="6D26F5EF" w14:textId="77777777" w:rsidR="00D43957" w:rsidRPr="00775AE5" w:rsidRDefault="00D43957" w:rsidP="00D43957">
      <w:pPr>
        <w:spacing w:line="276" w:lineRule="auto"/>
        <w:jc w:val="both"/>
        <w:rPr>
          <w:rFonts w:ascii="Arial" w:eastAsia="Calibri" w:hAnsi="Arial" w:cs="Arial"/>
          <w:b/>
          <w:sz w:val="22"/>
          <w:szCs w:val="22"/>
          <w:highlight w:val="white"/>
          <w:lang w:val="es-ES"/>
        </w:rPr>
      </w:pPr>
    </w:p>
    <w:tbl>
      <w:tblPr>
        <w:tblW w:w="5000" w:type="pct"/>
        <w:tblBorders>
          <w:top w:val="single" w:sz="8" w:space="0" w:color="000000"/>
          <w:bottom w:val="single" w:sz="8" w:space="0" w:color="000000"/>
        </w:tblBorders>
        <w:tblLook w:val="0400" w:firstRow="0" w:lastRow="0" w:firstColumn="0" w:lastColumn="0" w:noHBand="0" w:noVBand="1"/>
      </w:tblPr>
      <w:tblGrid>
        <w:gridCol w:w="8639"/>
        <w:gridCol w:w="723"/>
      </w:tblGrid>
      <w:tr w:rsidR="00D43957" w:rsidRPr="00775AE5" w14:paraId="167F6506" w14:textId="77777777" w:rsidTr="00A307D8">
        <w:trPr>
          <w:trHeight w:val="240"/>
        </w:trPr>
        <w:tc>
          <w:tcPr>
            <w:tcW w:w="4614" w:type="pct"/>
            <w:tcBorders>
              <w:left w:val="nil"/>
              <w:right w:val="nil"/>
            </w:tcBorders>
            <w:shd w:val="clear" w:color="auto" w:fill="C0C0C0"/>
            <w:vAlign w:val="center"/>
            <w:hideMark/>
          </w:tcPr>
          <w:p w14:paraId="0AB5B6AE" w14:textId="77777777" w:rsidR="00D43957" w:rsidRPr="00775AE5" w:rsidRDefault="00D43957" w:rsidP="00A307D8">
            <w:pPr>
              <w:rPr>
                <w:rFonts w:ascii="Arial" w:eastAsia="Calibri" w:hAnsi="Arial" w:cs="Arial"/>
                <w:i/>
                <w:color w:val="000000"/>
                <w:sz w:val="22"/>
                <w:szCs w:val="22"/>
              </w:rPr>
            </w:pPr>
            <w:r w:rsidRPr="00775AE5">
              <w:rPr>
                <w:rFonts w:ascii="Arial" w:eastAsia="Calibri" w:hAnsi="Arial" w:cs="Arial"/>
                <w:i/>
                <w:color w:val="000000"/>
                <w:sz w:val="22"/>
                <w:szCs w:val="22"/>
              </w:rPr>
              <w:t>VÍCTIMAS REMITIDAS PARA BECA NACIONAL (TERCER NIVEL) - COMPONENTE DE REPARACIÓN DE DERECHOS</w:t>
            </w:r>
          </w:p>
        </w:tc>
        <w:tc>
          <w:tcPr>
            <w:tcW w:w="386" w:type="pct"/>
            <w:tcBorders>
              <w:left w:val="nil"/>
              <w:right w:val="nil"/>
            </w:tcBorders>
            <w:shd w:val="clear" w:color="auto" w:fill="C0C0C0"/>
            <w:vAlign w:val="center"/>
            <w:hideMark/>
          </w:tcPr>
          <w:p w14:paraId="782DF791" w14:textId="77777777" w:rsidR="00D43957" w:rsidRPr="00775AE5" w:rsidRDefault="00D43957" w:rsidP="00A307D8">
            <w:pPr>
              <w:jc w:val="center"/>
              <w:rPr>
                <w:rFonts w:ascii="Arial" w:eastAsia="Calibri" w:hAnsi="Arial" w:cs="Arial"/>
                <w:b/>
                <w:color w:val="000000"/>
                <w:sz w:val="22"/>
                <w:szCs w:val="22"/>
              </w:rPr>
            </w:pPr>
            <w:r w:rsidRPr="00775AE5">
              <w:rPr>
                <w:rFonts w:ascii="Arial" w:eastAsia="Calibri" w:hAnsi="Arial" w:cs="Arial"/>
                <w:b/>
                <w:color w:val="000000"/>
                <w:sz w:val="22"/>
                <w:szCs w:val="22"/>
              </w:rPr>
              <w:t>118</w:t>
            </w:r>
          </w:p>
        </w:tc>
      </w:tr>
      <w:tr w:rsidR="00D43957" w:rsidRPr="00775AE5" w14:paraId="05AFA728" w14:textId="77777777" w:rsidTr="00A307D8">
        <w:trPr>
          <w:trHeight w:val="240"/>
        </w:trPr>
        <w:tc>
          <w:tcPr>
            <w:tcW w:w="4614" w:type="pct"/>
            <w:shd w:val="clear" w:color="auto" w:fill="auto"/>
            <w:vAlign w:val="center"/>
            <w:hideMark/>
          </w:tcPr>
          <w:p w14:paraId="305347A9" w14:textId="77777777" w:rsidR="00D43957" w:rsidRPr="00775AE5" w:rsidRDefault="00D43957" w:rsidP="00A307D8">
            <w:pPr>
              <w:rPr>
                <w:rFonts w:ascii="Arial" w:eastAsia="Calibri" w:hAnsi="Arial" w:cs="Arial"/>
                <w:i/>
                <w:color w:val="000000"/>
                <w:sz w:val="22"/>
                <w:szCs w:val="22"/>
              </w:rPr>
            </w:pPr>
            <w:r w:rsidRPr="00775AE5">
              <w:rPr>
                <w:rFonts w:ascii="Arial" w:eastAsia="Calibri" w:hAnsi="Arial" w:cs="Arial"/>
                <w:i/>
                <w:color w:val="000000"/>
                <w:sz w:val="22"/>
                <w:szCs w:val="22"/>
              </w:rPr>
              <w:t>VÍCTIMAS ADJUDICADAS EN BECA NACIONAL (TERCER NIVEL) - COMPONENTE DE REPARACIÓN DE DERECHOS</w:t>
            </w:r>
          </w:p>
        </w:tc>
        <w:tc>
          <w:tcPr>
            <w:tcW w:w="386" w:type="pct"/>
            <w:shd w:val="clear" w:color="auto" w:fill="auto"/>
            <w:vAlign w:val="center"/>
            <w:hideMark/>
          </w:tcPr>
          <w:p w14:paraId="05F0E5E1" w14:textId="77777777" w:rsidR="00D43957" w:rsidRPr="00775AE5" w:rsidRDefault="00D43957" w:rsidP="00A307D8">
            <w:pPr>
              <w:jc w:val="center"/>
              <w:rPr>
                <w:rFonts w:ascii="Arial" w:eastAsia="Calibri" w:hAnsi="Arial" w:cs="Arial"/>
                <w:b/>
                <w:color w:val="000000"/>
                <w:sz w:val="22"/>
                <w:szCs w:val="22"/>
              </w:rPr>
            </w:pPr>
            <w:r w:rsidRPr="00775AE5">
              <w:rPr>
                <w:rFonts w:ascii="Arial" w:eastAsia="Calibri" w:hAnsi="Arial" w:cs="Arial"/>
                <w:b/>
                <w:color w:val="000000"/>
                <w:sz w:val="22"/>
                <w:szCs w:val="22"/>
              </w:rPr>
              <w:t>74</w:t>
            </w:r>
          </w:p>
        </w:tc>
      </w:tr>
      <w:tr w:rsidR="00D43957" w:rsidRPr="00775AE5" w14:paraId="5B80FE47" w14:textId="77777777" w:rsidTr="00A307D8">
        <w:trPr>
          <w:trHeight w:val="240"/>
        </w:trPr>
        <w:tc>
          <w:tcPr>
            <w:tcW w:w="4614" w:type="pct"/>
            <w:tcBorders>
              <w:left w:val="nil"/>
              <w:right w:val="nil"/>
            </w:tcBorders>
            <w:shd w:val="clear" w:color="auto" w:fill="C0C0C0"/>
            <w:vAlign w:val="center"/>
            <w:hideMark/>
          </w:tcPr>
          <w:p w14:paraId="3EAC68C5" w14:textId="77777777" w:rsidR="00D43957" w:rsidRPr="00775AE5" w:rsidRDefault="00D43957" w:rsidP="00A307D8">
            <w:pPr>
              <w:rPr>
                <w:rFonts w:ascii="Arial" w:eastAsia="Calibri" w:hAnsi="Arial" w:cs="Arial"/>
                <w:i/>
                <w:color w:val="000000"/>
                <w:sz w:val="22"/>
                <w:szCs w:val="22"/>
              </w:rPr>
            </w:pPr>
            <w:r w:rsidRPr="00775AE5">
              <w:rPr>
                <w:rFonts w:ascii="Arial" w:eastAsia="Calibri" w:hAnsi="Arial" w:cs="Arial"/>
                <w:i/>
                <w:color w:val="000000"/>
                <w:sz w:val="22"/>
                <w:szCs w:val="22"/>
              </w:rPr>
              <w:t>VÍCTIMAS REMITIDAS PARA CONVOCATORIA DE BECA INTERNACIONAL (CUARTO NIVEL)</w:t>
            </w:r>
          </w:p>
        </w:tc>
        <w:tc>
          <w:tcPr>
            <w:tcW w:w="386" w:type="pct"/>
            <w:tcBorders>
              <w:left w:val="nil"/>
              <w:right w:val="nil"/>
            </w:tcBorders>
            <w:shd w:val="clear" w:color="auto" w:fill="C0C0C0"/>
            <w:vAlign w:val="center"/>
            <w:hideMark/>
          </w:tcPr>
          <w:p w14:paraId="773C3317" w14:textId="77777777" w:rsidR="00D43957" w:rsidRPr="00775AE5" w:rsidRDefault="00D43957" w:rsidP="00A307D8">
            <w:pPr>
              <w:jc w:val="center"/>
              <w:rPr>
                <w:rFonts w:ascii="Arial" w:eastAsia="Calibri" w:hAnsi="Arial" w:cs="Arial"/>
                <w:b/>
                <w:color w:val="000000"/>
                <w:sz w:val="22"/>
                <w:szCs w:val="22"/>
              </w:rPr>
            </w:pPr>
            <w:r w:rsidRPr="00775AE5">
              <w:rPr>
                <w:rFonts w:ascii="Arial" w:eastAsia="Calibri" w:hAnsi="Arial" w:cs="Arial"/>
                <w:b/>
                <w:color w:val="000000"/>
                <w:sz w:val="22"/>
                <w:szCs w:val="22"/>
              </w:rPr>
              <w:t>20</w:t>
            </w:r>
          </w:p>
        </w:tc>
      </w:tr>
    </w:tbl>
    <w:p w14:paraId="7EA7CC9F" w14:textId="77777777" w:rsidR="00D43957" w:rsidRPr="00775AE5" w:rsidRDefault="00D43957" w:rsidP="00D43957">
      <w:pPr>
        <w:spacing w:line="276" w:lineRule="auto"/>
        <w:jc w:val="both"/>
        <w:rPr>
          <w:rFonts w:ascii="Arial" w:eastAsia="Calibri" w:hAnsi="Arial" w:cs="Arial"/>
          <w:b/>
          <w:sz w:val="22"/>
          <w:szCs w:val="22"/>
          <w:lang w:val="es-ES" w:eastAsia="es-ES"/>
        </w:rPr>
      </w:pPr>
    </w:p>
    <w:p w14:paraId="0661E002" w14:textId="77777777" w:rsidR="00D43957" w:rsidRPr="00775AE5" w:rsidRDefault="00D43957" w:rsidP="00D43957">
      <w:pPr>
        <w:spacing w:line="276" w:lineRule="auto"/>
        <w:jc w:val="both"/>
        <w:rPr>
          <w:rFonts w:ascii="Arial" w:eastAsia="Arial" w:hAnsi="Arial" w:cs="Arial"/>
          <w:b/>
          <w:sz w:val="22"/>
          <w:szCs w:val="22"/>
          <w:lang w:val="es-ES"/>
        </w:rPr>
      </w:pPr>
      <w:r w:rsidRPr="00775AE5">
        <w:rPr>
          <w:rFonts w:ascii="Arial" w:eastAsia="Calibri" w:hAnsi="Arial" w:cs="Arial"/>
          <w:b/>
          <w:sz w:val="22"/>
          <w:szCs w:val="22"/>
          <w:lang w:val="es-ES"/>
        </w:rPr>
        <w:t>Ministerio de Inclusión Económica y Social</w:t>
      </w:r>
    </w:p>
    <w:tbl>
      <w:tblPr>
        <w:tblW w:w="8715" w:type="dxa"/>
        <w:tblLayout w:type="fixed"/>
        <w:tblLook w:val="0400" w:firstRow="0" w:lastRow="0" w:firstColumn="0" w:lastColumn="0" w:noHBand="0" w:noVBand="1"/>
      </w:tblPr>
      <w:tblGrid>
        <w:gridCol w:w="7905"/>
        <w:gridCol w:w="810"/>
      </w:tblGrid>
      <w:tr w:rsidR="00D43957" w:rsidRPr="00775AE5" w14:paraId="7432FC2A" w14:textId="77777777" w:rsidTr="00A307D8">
        <w:trPr>
          <w:trHeight w:val="240"/>
        </w:trPr>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3DB6419" w14:textId="77777777" w:rsidR="00D43957" w:rsidRPr="00775AE5" w:rsidRDefault="00D43957" w:rsidP="00A307D8">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 xml:space="preserve">Víctimas remitidas para análisis de entrega de bonos </w:t>
            </w:r>
          </w:p>
        </w:tc>
        <w:tc>
          <w:tcPr>
            <w:tcW w:w="810" w:type="dxa"/>
            <w:tcBorders>
              <w:top w:val="single" w:sz="4" w:space="0" w:color="000000"/>
              <w:left w:val="single" w:sz="4" w:space="0" w:color="000000"/>
              <w:bottom w:val="single" w:sz="4" w:space="0" w:color="000000"/>
              <w:right w:val="single" w:sz="4" w:space="0" w:color="000000"/>
            </w:tcBorders>
            <w:vAlign w:val="center"/>
            <w:hideMark/>
          </w:tcPr>
          <w:p w14:paraId="429BF5D6" w14:textId="77777777" w:rsidR="00D43957" w:rsidRPr="00775AE5" w:rsidRDefault="00D43957" w:rsidP="00A307D8">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1150</w:t>
            </w:r>
          </w:p>
        </w:tc>
      </w:tr>
      <w:tr w:rsidR="00D43957" w:rsidRPr="00775AE5" w14:paraId="0CD62C6E" w14:textId="77777777" w:rsidTr="00A307D8">
        <w:trPr>
          <w:trHeight w:val="240"/>
        </w:trPr>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300C6E6" w14:textId="77777777" w:rsidR="00D43957" w:rsidRPr="00775AE5" w:rsidRDefault="00D43957" w:rsidP="00A307D8">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Levantamiento de registro social a víctimas</w:t>
            </w:r>
          </w:p>
        </w:tc>
        <w:tc>
          <w:tcPr>
            <w:tcW w:w="810" w:type="dxa"/>
            <w:tcBorders>
              <w:top w:val="single" w:sz="4" w:space="0" w:color="000000"/>
              <w:left w:val="single" w:sz="4" w:space="0" w:color="000000"/>
              <w:bottom w:val="single" w:sz="4" w:space="0" w:color="000000"/>
              <w:right w:val="single" w:sz="4" w:space="0" w:color="000000"/>
            </w:tcBorders>
            <w:vAlign w:val="center"/>
            <w:hideMark/>
          </w:tcPr>
          <w:p w14:paraId="2FDB5845" w14:textId="77777777" w:rsidR="00D43957" w:rsidRPr="00775AE5" w:rsidRDefault="00D43957" w:rsidP="00A307D8">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1150</w:t>
            </w:r>
          </w:p>
        </w:tc>
      </w:tr>
    </w:tbl>
    <w:p w14:paraId="0F7337E1" w14:textId="77777777" w:rsidR="00D43957" w:rsidRPr="00775AE5" w:rsidRDefault="00D43957" w:rsidP="00D43957">
      <w:pPr>
        <w:spacing w:line="276" w:lineRule="auto"/>
        <w:jc w:val="both"/>
        <w:rPr>
          <w:rFonts w:ascii="Arial" w:eastAsia="Arial" w:hAnsi="Arial" w:cs="Arial"/>
          <w:sz w:val="22"/>
          <w:szCs w:val="22"/>
          <w:lang w:val="es-ES" w:eastAsia="es-ES"/>
        </w:rPr>
      </w:pPr>
    </w:p>
    <w:p w14:paraId="523363E4" w14:textId="77777777" w:rsidR="00A72E6A" w:rsidRPr="00775AE5" w:rsidRDefault="00A72E6A" w:rsidP="00390DF2">
      <w:pPr>
        <w:spacing w:line="276" w:lineRule="auto"/>
        <w:jc w:val="both"/>
        <w:rPr>
          <w:rFonts w:ascii="Arial" w:eastAsia="Calibri" w:hAnsi="Arial" w:cs="Arial"/>
          <w:b/>
          <w:sz w:val="22"/>
          <w:szCs w:val="22"/>
          <w:lang w:val="es-ES"/>
        </w:rPr>
      </w:pPr>
      <w:r w:rsidRPr="00775AE5">
        <w:rPr>
          <w:rFonts w:ascii="Arial" w:eastAsia="Calibri" w:hAnsi="Arial" w:cs="Arial"/>
          <w:b/>
          <w:sz w:val="22"/>
          <w:szCs w:val="22"/>
          <w:lang w:val="es-ES"/>
        </w:rPr>
        <w:t>Ministerio del Interior - Policía Judicial</w:t>
      </w:r>
    </w:p>
    <w:tbl>
      <w:tblPr>
        <w:tblW w:w="8715" w:type="dxa"/>
        <w:tblLayout w:type="fixed"/>
        <w:tblLook w:val="0400" w:firstRow="0" w:lastRow="0" w:firstColumn="0" w:lastColumn="0" w:noHBand="0" w:noVBand="1"/>
      </w:tblPr>
      <w:tblGrid>
        <w:gridCol w:w="8042"/>
        <w:gridCol w:w="673"/>
      </w:tblGrid>
      <w:tr w:rsidR="00A72E6A" w:rsidRPr="00775AE5" w14:paraId="06207C64" w14:textId="77777777" w:rsidTr="002E0A65">
        <w:trPr>
          <w:trHeight w:val="240"/>
        </w:trPr>
        <w:tc>
          <w:tcPr>
            <w:tcW w:w="8042"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188C01AA"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Supresión de antecedentes por hechos documentados por la comisión de la verdad (a solicitud de parte)</w:t>
            </w:r>
          </w:p>
        </w:tc>
        <w:tc>
          <w:tcPr>
            <w:tcW w:w="673" w:type="dxa"/>
            <w:tcBorders>
              <w:top w:val="single" w:sz="4" w:space="0" w:color="000000"/>
              <w:left w:val="single" w:sz="4" w:space="0" w:color="000000"/>
              <w:bottom w:val="single" w:sz="4" w:space="0" w:color="000000"/>
              <w:right w:val="single" w:sz="4" w:space="0" w:color="000000"/>
            </w:tcBorders>
            <w:vAlign w:val="center"/>
            <w:hideMark/>
          </w:tcPr>
          <w:p w14:paraId="4E289672"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98</w:t>
            </w:r>
          </w:p>
        </w:tc>
      </w:tr>
    </w:tbl>
    <w:p w14:paraId="2750CE2A" w14:textId="77777777" w:rsidR="00A72E6A" w:rsidRPr="00775AE5" w:rsidRDefault="00A72E6A" w:rsidP="00390DF2">
      <w:pPr>
        <w:spacing w:line="276" w:lineRule="auto"/>
        <w:jc w:val="both"/>
        <w:rPr>
          <w:rFonts w:ascii="Arial" w:eastAsia="Calibri" w:hAnsi="Arial" w:cs="Arial"/>
          <w:b/>
          <w:sz w:val="22"/>
          <w:szCs w:val="22"/>
          <w:lang w:val="es-ES" w:eastAsia="es-ES"/>
        </w:rPr>
      </w:pPr>
    </w:p>
    <w:p w14:paraId="6201DFD2" w14:textId="77777777" w:rsidR="00A72E6A" w:rsidRPr="00775AE5" w:rsidRDefault="00A72E6A" w:rsidP="00390DF2">
      <w:pPr>
        <w:spacing w:line="276" w:lineRule="auto"/>
        <w:jc w:val="both"/>
        <w:rPr>
          <w:rFonts w:ascii="Arial" w:eastAsia="Calibri" w:hAnsi="Arial" w:cs="Arial"/>
          <w:b/>
          <w:sz w:val="22"/>
          <w:szCs w:val="22"/>
          <w:lang w:val="es-ES"/>
        </w:rPr>
      </w:pPr>
      <w:r w:rsidRPr="00775AE5">
        <w:rPr>
          <w:rFonts w:ascii="Arial" w:eastAsia="Calibri" w:hAnsi="Arial" w:cs="Arial"/>
          <w:b/>
          <w:sz w:val="22"/>
          <w:szCs w:val="22"/>
          <w:lang w:val="es-ES"/>
        </w:rPr>
        <w:t>Dirección General de Registro Civil, Identificación y Cedulación</w:t>
      </w:r>
    </w:p>
    <w:tbl>
      <w:tblPr>
        <w:tblW w:w="8715" w:type="dxa"/>
        <w:tblLayout w:type="fixed"/>
        <w:tblLook w:val="0400" w:firstRow="0" w:lastRow="0" w:firstColumn="0" w:lastColumn="0" w:noHBand="0" w:noVBand="1"/>
      </w:tblPr>
      <w:tblGrid>
        <w:gridCol w:w="8042"/>
        <w:gridCol w:w="673"/>
      </w:tblGrid>
      <w:tr w:rsidR="00A72E6A" w:rsidRPr="00775AE5" w14:paraId="3D7BA15B" w14:textId="77777777" w:rsidTr="002E0A65">
        <w:trPr>
          <w:trHeight w:val="240"/>
        </w:trPr>
        <w:tc>
          <w:tcPr>
            <w:tcW w:w="8042"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7CF46ED3"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Restitución de los apellidos de hijos e hijas de víctimas (casos Basantes, Taura y Lago Agrio)</w:t>
            </w:r>
          </w:p>
        </w:tc>
        <w:tc>
          <w:tcPr>
            <w:tcW w:w="673" w:type="dxa"/>
            <w:tcBorders>
              <w:top w:val="single" w:sz="4" w:space="0" w:color="000000"/>
              <w:left w:val="single" w:sz="4" w:space="0" w:color="000000"/>
              <w:bottom w:val="single" w:sz="4" w:space="0" w:color="000000"/>
              <w:right w:val="single" w:sz="4" w:space="0" w:color="000000"/>
            </w:tcBorders>
            <w:vAlign w:val="center"/>
            <w:hideMark/>
          </w:tcPr>
          <w:p w14:paraId="484C984D"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7</w:t>
            </w:r>
          </w:p>
        </w:tc>
      </w:tr>
      <w:tr w:rsidR="00A72E6A" w:rsidRPr="00775AE5" w14:paraId="3BD0F5AB" w14:textId="77777777" w:rsidTr="002E0A65">
        <w:trPr>
          <w:trHeight w:val="240"/>
        </w:trPr>
        <w:tc>
          <w:tcPr>
            <w:tcW w:w="8042"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4AEA02AA"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Rectificación de datos de defunción de víctimas (caso Ricardo Jarrín y Consuelo Benavides)</w:t>
            </w:r>
          </w:p>
        </w:tc>
        <w:tc>
          <w:tcPr>
            <w:tcW w:w="673" w:type="dxa"/>
            <w:tcBorders>
              <w:top w:val="single" w:sz="4" w:space="0" w:color="000000"/>
              <w:left w:val="single" w:sz="4" w:space="0" w:color="000000"/>
              <w:bottom w:val="single" w:sz="4" w:space="0" w:color="000000"/>
              <w:right w:val="single" w:sz="4" w:space="0" w:color="000000"/>
            </w:tcBorders>
            <w:vAlign w:val="center"/>
            <w:hideMark/>
          </w:tcPr>
          <w:p w14:paraId="0E750F19"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2</w:t>
            </w:r>
          </w:p>
        </w:tc>
      </w:tr>
    </w:tbl>
    <w:p w14:paraId="5A6D74D1" w14:textId="77777777" w:rsidR="00A72E6A" w:rsidRPr="00775AE5" w:rsidRDefault="00A72E6A" w:rsidP="00390DF2">
      <w:pPr>
        <w:spacing w:line="276" w:lineRule="auto"/>
        <w:jc w:val="both"/>
        <w:rPr>
          <w:rFonts w:ascii="Arial" w:eastAsia="Arial" w:hAnsi="Arial" w:cs="Arial"/>
          <w:b/>
          <w:sz w:val="22"/>
          <w:szCs w:val="22"/>
          <w:lang w:val="es-ES" w:eastAsia="es-ES"/>
        </w:rPr>
      </w:pPr>
    </w:p>
    <w:p w14:paraId="34274BA5" w14:textId="77777777" w:rsidR="00A72E6A" w:rsidRPr="00775AE5" w:rsidRDefault="00A72E6A" w:rsidP="00390DF2">
      <w:pPr>
        <w:spacing w:line="276" w:lineRule="auto"/>
        <w:jc w:val="both"/>
        <w:rPr>
          <w:rFonts w:ascii="Arial" w:eastAsia="Calibri" w:hAnsi="Arial" w:cs="Arial"/>
          <w:b/>
          <w:sz w:val="22"/>
          <w:szCs w:val="22"/>
          <w:lang w:val="es-ES"/>
        </w:rPr>
      </w:pPr>
      <w:r w:rsidRPr="00775AE5">
        <w:rPr>
          <w:rFonts w:ascii="Arial" w:eastAsia="Calibri" w:hAnsi="Arial" w:cs="Arial"/>
          <w:b/>
          <w:sz w:val="22"/>
          <w:szCs w:val="22"/>
          <w:lang w:val="es-ES"/>
        </w:rPr>
        <w:t>Ministerio de Agricultura y Ganadería</w:t>
      </w:r>
    </w:p>
    <w:tbl>
      <w:tblPr>
        <w:tblW w:w="8715" w:type="dxa"/>
        <w:tblLayout w:type="fixed"/>
        <w:tblLook w:val="0400" w:firstRow="0" w:lastRow="0" w:firstColumn="0" w:lastColumn="0" w:noHBand="0" w:noVBand="1"/>
      </w:tblPr>
      <w:tblGrid>
        <w:gridCol w:w="8046"/>
        <w:gridCol w:w="669"/>
      </w:tblGrid>
      <w:tr w:rsidR="00A72E6A" w:rsidRPr="00775AE5" w14:paraId="4A69AF47" w14:textId="77777777" w:rsidTr="0038002B">
        <w:trPr>
          <w:trHeight w:val="240"/>
        </w:trPr>
        <w:tc>
          <w:tcPr>
            <w:tcW w:w="8046"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628DCAFC"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Víctimas remitidas para acceso al proyecto café y cacao (sucumbíos)</w:t>
            </w:r>
          </w:p>
        </w:tc>
        <w:tc>
          <w:tcPr>
            <w:tcW w:w="669" w:type="dxa"/>
            <w:tcBorders>
              <w:top w:val="single" w:sz="4" w:space="0" w:color="000000"/>
              <w:left w:val="single" w:sz="4" w:space="0" w:color="000000"/>
              <w:bottom w:val="single" w:sz="4" w:space="0" w:color="000000"/>
              <w:right w:val="single" w:sz="4" w:space="0" w:color="000000"/>
            </w:tcBorders>
            <w:vAlign w:val="bottom"/>
            <w:hideMark/>
          </w:tcPr>
          <w:p w14:paraId="74B121C6" w14:textId="77777777" w:rsidR="00A72E6A" w:rsidRPr="00775AE5" w:rsidRDefault="00A72E6A" w:rsidP="0038002B">
            <w:pPr>
              <w:spacing w:line="276" w:lineRule="auto"/>
              <w:ind w:left="177"/>
              <w:jc w:val="center"/>
              <w:rPr>
                <w:rFonts w:ascii="Arial" w:eastAsia="Calibri" w:hAnsi="Arial" w:cs="Arial"/>
                <w:sz w:val="22"/>
                <w:szCs w:val="22"/>
                <w:lang w:val="es-ES" w:eastAsia="es-ES"/>
              </w:rPr>
            </w:pPr>
            <w:r w:rsidRPr="00775AE5">
              <w:rPr>
                <w:rFonts w:ascii="Arial" w:eastAsia="Calibri" w:hAnsi="Arial" w:cs="Arial"/>
                <w:sz w:val="22"/>
                <w:szCs w:val="22"/>
                <w:lang w:val="es-ES"/>
              </w:rPr>
              <w:t>20</w:t>
            </w:r>
          </w:p>
        </w:tc>
      </w:tr>
    </w:tbl>
    <w:p w14:paraId="5376047E" w14:textId="77777777" w:rsidR="00A72E6A" w:rsidRPr="00775AE5" w:rsidRDefault="00A72E6A" w:rsidP="00390DF2">
      <w:pPr>
        <w:spacing w:line="276" w:lineRule="auto"/>
        <w:jc w:val="both"/>
        <w:rPr>
          <w:rFonts w:ascii="Arial" w:eastAsia="Arial" w:hAnsi="Arial" w:cs="Arial"/>
          <w:sz w:val="22"/>
          <w:szCs w:val="22"/>
          <w:lang w:val="es-ES" w:eastAsia="es-ES"/>
        </w:rPr>
      </w:pPr>
    </w:p>
    <w:p w14:paraId="71973D79" w14:textId="77777777" w:rsidR="00A72E6A" w:rsidRPr="00775AE5" w:rsidRDefault="00A72E6A" w:rsidP="00390DF2">
      <w:pPr>
        <w:spacing w:line="276" w:lineRule="auto"/>
        <w:jc w:val="both"/>
        <w:rPr>
          <w:rFonts w:ascii="Arial" w:eastAsia="Calibri" w:hAnsi="Arial" w:cs="Arial"/>
          <w:b/>
          <w:sz w:val="22"/>
          <w:szCs w:val="22"/>
          <w:lang w:val="es-ES"/>
        </w:rPr>
      </w:pPr>
      <w:r w:rsidRPr="00775AE5">
        <w:rPr>
          <w:rFonts w:ascii="Arial" w:eastAsia="Calibri" w:hAnsi="Arial" w:cs="Arial"/>
          <w:b/>
          <w:sz w:val="22"/>
          <w:szCs w:val="22"/>
          <w:lang w:val="es-ES"/>
        </w:rPr>
        <w:t>Ministerio de Desarrollo Urbano y Vivienda</w:t>
      </w:r>
    </w:p>
    <w:tbl>
      <w:tblPr>
        <w:tblW w:w="8715" w:type="dxa"/>
        <w:tblLayout w:type="fixed"/>
        <w:tblLook w:val="0400" w:firstRow="0" w:lastRow="0" w:firstColumn="0" w:lastColumn="0" w:noHBand="0" w:noVBand="1"/>
      </w:tblPr>
      <w:tblGrid>
        <w:gridCol w:w="7935"/>
        <w:gridCol w:w="780"/>
      </w:tblGrid>
      <w:tr w:rsidR="00A72E6A" w:rsidRPr="00775AE5" w14:paraId="27E3A70D" w14:textId="77777777" w:rsidTr="0038002B">
        <w:trPr>
          <w:trHeight w:val="229"/>
        </w:trPr>
        <w:tc>
          <w:tcPr>
            <w:tcW w:w="7935" w:type="dxa"/>
            <w:tcBorders>
              <w:top w:val="single" w:sz="4" w:space="0" w:color="000000"/>
              <w:left w:val="single" w:sz="4" w:space="0" w:color="000000"/>
              <w:bottom w:val="single" w:sz="4" w:space="0" w:color="000000"/>
              <w:right w:val="single" w:sz="4" w:space="0" w:color="000000"/>
            </w:tcBorders>
            <w:shd w:val="clear" w:color="auto" w:fill="F2F2F2"/>
            <w:hideMark/>
          </w:tcPr>
          <w:p w14:paraId="521E33C8"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Víctimas remitidas para acceso a programas de vivienda</w:t>
            </w:r>
          </w:p>
        </w:tc>
        <w:tc>
          <w:tcPr>
            <w:tcW w:w="780" w:type="dxa"/>
            <w:tcBorders>
              <w:top w:val="single" w:sz="4" w:space="0" w:color="000000"/>
              <w:left w:val="single" w:sz="4" w:space="0" w:color="000000"/>
              <w:bottom w:val="single" w:sz="4" w:space="0" w:color="000000"/>
              <w:right w:val="single" w:sz="4" w:space="0" w:color="000000"/>
            </w:tcBorders>
            <w:hideMark/>
          </w:tcPr>
          <w:p w14:paraId="6BB55DFD"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1045</w:t>
            </w:r>
          </w:p>
        </w:tc>
      </w:tr>
      <w:tr w:rsidR="00A72E6A" w:rsidRPr="00775AE5" w14:paraId="4803C64D" w14:textId="77777777" w:rsidTr="002E0A65">
        <w:trPr>
          <w:trHeight w:val="240"/>
        </w:trPr>
        <w:tc>
          <w:tcPr>
            <w:tcW w:w="7935" w:type="dxa"/>
            <w:tcBorders>
              <w:top w:val="single" w:sz="4" w:space="0" w:color="000000"/>
              <w:left w:val="single" w:sz="4" w:space="0" w:color="000000"/>
              <w:bottom w:val="single" w:sz="4" w:space="0" w:color="000000"/>
              <w:right w:val="single" w:sz="4" w:space="0" w:color="000000"/>
            </w:tcBorders>
            <w:shd w:val="clear" w:color="auto" w:fill="F2F2F2"/>
            <w:hideMark/>
          </w:tcPr>
          <w:p w14:paraId="638C662D"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 xml:space="preserve">Entrega de vivienda </w:t>
            </w:r>
          </w:p>
        </w:tc>
        <w:tc>
          <w:tcPr>
            <w:tcW w:w="780" w:type="dxa"/>
            <w:tcBorders>
              <w:top w:val="single" w:sz="4" w:space="0" w:color="000000"/>
              <w:left w:val="single" w:sz="4" w:space="0" w:color="000000"/>
              <w:bottom w:val="single" w:sz="4" w:space="0" w:color="000000"/>
              <w:right w:val="single" w:sz="4" w:space="0" w:color="000000"/>
            </w:tcBorders>
            <w:hideMark/>
          </w:tcPr>
          <w:p w14:paraId="1C38BEFE"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2</w:t>
            </w:r>
          </w:p>
        </w:tc>
      </w:tr>
    </w:tbl>
    <w:p w14:paraId="53DB625F" w14:textId="77777777" w:rsidR="00A72E6A" w:rsidRPr="00775AE5" w:rsidRDefault="00A72E6A" w:rsidP="00390DF2">
      <w:pPr>
        <w:spacing w:line="276" w:lineRule="auto"/>
        <w:jc w:val="both"/>
        <w:rPr>
          <w:rFonts w:ascii="Arial" w:eastAsia="Arial" w:hAnsi="Arial" w:cs="Arial"/>
          <w:sz w:val="22"/>
          <w:szCs w:val="22"/>
          <w:lang w:val="es-ES" w:eastAsia="es-ES"/>
        </w:rPr>
      </w:pPr>
    </w:p>
    <w:p w14:paraId="2259ADA8" w14:textId="77777777" w:rsidR="00A72E6A" w:rsidRPr="00775AE5" w:rsidRDefault="00A72E6A" w:rsidP="00390DF2">
      <w:pPr>
        <w:spacing w:line="276" w:lineRule="auto"/>
        <w:jc w:val="both"/>
        <w:rPr>
          <w:rFonts w:ascii="Arial" w:eastAsia="Calibri" w:hAnsi="Arial" w:cs="Arial"/>
          <w:b/>
          <w:sz w:val="22"/>
          <w:szCs w:val="22"/>
          <w:lang w:val="es-ES"/>
        </w:rPr>
      </w:pPr>
      <w:r w:rsidRPr="00775AE5">
        <w:rPr>
          <w:rFonts w:ascii="Arial" w:eastAsia="Calibri" w:hAnsi="Arial" w:cs="Arial"/>
          <w:b/>
          <w:sz w:val="22"/>
          <w:szCs w:val="22"/>
          <w:lang w:val="es-ES"/>
        </w:rPr>
        <w:t>Instituto Nacional de Economía Popular y Solidaria</w:t>
      </w:r>
    </w:p>
    <w:tbl>
      <w:tblPr>
        <w:tblW w:w="8715" w:type="dxa"/>
        <w:tblLayout w:type="fixed"/>
        <w:tblLook w:val="0400" w:firstRow="0" w:lastRow="0" w:firstColumn="0" w:lastColumn="0" w:noHBand="0" w:noVBand="1"/>
      </w:tblPr>
      <w:tblGrid>
        <w:gridCol w:w="8042"/>
        <w:gridCol w:w="673"/>
      </w:tblGrid>
      <w:tr w:rsidR="00A72E6A" w:rsidRPr="00775AE5" w14:paraId="2F26B60F" w14:textId="77777777" w:rsidTr="002E0A65">
        <w:trPr>
          <w:trHeight w:val="240"/>
        </w:trPr>
        <w:tc>
          <w:tcPr>
            <w:tcW w:w="8042"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6567C305"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 xml:space="preserve">Creación de la asociación de víctimas, </w:t>
            </w:r>
            <w:proofErr w:type="spellStart"/>
            <w:r w:rsidRPr="00775AE5">
              <w:rPr>
                <w:rFonts w:ascii="Arial" w:eastAsia="Calibri" w:hAnsi="Arial" w:cs="Arial"/>
                <w:sz w:val="22"/>
                <w:szCs w:val="22"/>
                <w:lang w:val="es-ES"/>
              </w:rPr>
              <w:t>Asopranum</w:t>
            </w:r>
            <w:proofErr w:type="spellEnd"/>
            <w:r w:rsidRPr="00775AE5">
              <w:rPr>
                <w:rFonts w:ascii="Arial" w:eastAsia="Calibri" w:hAnsi="Arial" w:cs="Arial"/>
                <w:sz w:val="22"/>
                <w:szCs w:val="22"/>
                <w:lang w:val="es-ES"/>
              </w:rPr>
              <w:t>, para microemprendimiento (caso 11 del putumayo)</w:t>
            </w:r>
          </w:p>
        </w:tc>
        <w:tc>
          <w:tcPr>
            <w:tcW w:w="673" w:type="dxa"/>
            <w:tcBorders>
              <w:top w:val="single" w:sz="4" w:space="0" w:color="000000"/>
              <w:left w:val="single" w:sz="4" w:space="0" w:color="000000"/>
              <w:bottom w:val="single" w:sz="4" w:space="0" w:color="000000"/>
              <w:right w:val="single" w:sz="4" w:space="0" w:color="000000"/>
            </w:tcBorders>
            <w:vAlign w:val="center"/>
            <w:hideMark/>
          </w:tcPr>
          <w:p w14:paraId="58B19179"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1</w:t>
            </w:r>
          </w:p>
        </w:tc>
      </w:tr>
    </w:tbl>
    <w:p w14:paraId="7B2334E3" w14:textId="77777777" w:rsidR="00A72E6A" w:rsidRPr="00775AE5" w:rsidRDefault="00A72E6A" w:rsidP="00390DF2">
      <w:pPr>
        <w:spacing w:line="276" w:lineRule="auto"/>
        <w:jc w:val="both"/>
        <w:rPr>
          <w:rFonts w:ascii="Arial" w:eastAsia="Arial" w:hAnsi="Arial" w:cs="Arial"/>
          <w:sz w:val="22"/>
          <w:szCs w:val="22"/>
          <w:lang w:val="es-ES" w:eastAsia="es-ES"/>
        </w:rPr>
      </w:pPr>
    </w:p>
    <w:p w14:paraId="10B0E7B2" w14:textId="77777777" w:rsidR="00A72E6A" w:rsidRPr="00775AE5" w:rsidRDefault="00A72E6A" w:rsidP="00390DF2">
      <w:pPr>
        <w:spacing w:line="276" w:lineRule="auto"/>
        <w:jc w:val="both"/>
        <w:rPr>
          <w:rFonts w:ascii="Arial" w:eastAsia="Calibri" w:hAnsi="Arial" w:cs="Arial"/>
          <w:b/>
          <w:sz w:val="22"/>
          <w:szCs w:val="22"/>
          <w:lang w:val="es-ES"/>
        </w:rPr>
      </w:pPr>
      <w:r w:rsidRPr="00775AE5">
        <w:rPr>
          <w:rFonts w:ascii="Arial" w:eastAsia="Calibri" w:hAnsi="Arial" w:cs="Arial"/>
          <w:b/>
          <w:sz w:val="22"/>
          <w:szCs w:val="22"/>
          <w:lang w:val="es-ES"/>
        </w:rPr>
        <w:t>Ministerio de Trabajo</w:t>
      </w:r>
    </w:p>
    <w:tbl>
      <w:tblPr>
        <w:tblW w:w="8715" w:type="dxa"/>
        <w:tblLayout w:type="fixed"/>
        <w:tblLook w:val="0400" w:firstRow="0" w:lastRow="0" w:firstColumn="0" w:lastColumn="0" w:noHBand="0" w:noVBand="1"/>
      </w:tblPr>
      <w:tblGrid>
        <w:gridCol w:w="8042"/>
        <w:gridCol w:w="673"/>
      </w:tblGrid>
      <w:tr w:rsidR="00A72E6A" w:rsidRPr="00775AE5" w14:paraId="5A05203C" w14:textId="77777777" w:rsidTr="002E0A65">
        <w:trPr>
          <w:trHeight w:val="240"/>
        </w:trPr>
        <w:tc>
          <w:tcPr>
            <w:tcW w:w="8042"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6DB55B9F"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 xml:space="preserve">Víctimas remitidas para acceso a la red socio empleo </w:t>
            </w:r>
          </w:p>
        </w:tc>
        <w:tc>
          <w:tcPr>
            <w:tcW w:w="673" w:type="dxa"/>
            <w:tcBorders>
              <w:top w:val="single" w:sz="4" w:space="0" w:color="000000"/>
              <w:left w:val="single" w:sz="4" w:space="0" w:color="000000"/>
              <w:bottom w:val="single" w:sz="4" w:space="0" w:color="000000"/>
              <w:right w:val="single" w:sz="4" w:space="0" w:color="000000"/>
            </w:tcBorders>
            <w:vAlign w:val="center"/>
            <w:hideMark/>
          </w:tcPr>
          <w:p w14:paraId="6188D94C"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256</w:t>
            </w:r>
          </w:p>
        </w:tc>
      </w:tr>
      <w:tr w:rsidR="00A72E6A" w:rsidRPr="00775AE5" w14:paraId="06531529" w14:textId="77777777" w:rsidTr="002E0A65">
        <w:trPr>
          <w:trHeight w:val="240"/>
        </w:trPr>
        <w:tc>
          <w:tcPr>
            <w:tcW w:w="8042"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11B27FA8"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Víctimas ubicadas laboralmente</w:t>
            </w:r>
          </w:p>
        </w:tc>
        <w:tc>
          <w:tcPr>
            <w:tcW w:w="673" w:type="dxa"/>
            <w:tcBorders>
              <w:top w:val="single" w:sz="4" w:space="0" w:color="000000"/>
              <w:left w:val="single" w:sz="4" w:space="0" w:color="000000"/>
              <w:bottom w:val="single" w:sz="4" w:space="0" w:color="000000"/>
              <w:right w:val="single" w:sz="4" w:space="0" w:color="000000"/>
            </w:tcBorders>
            <w:vAlign w:val="center"/>
            <w:hideMark/>
          </w:tcPr>
          <w:p w14:paraId="07D80C0D"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6</w:t>
            </w:r>
          </w:p>
        </w:tc>
      </w:tr>
      <w:tr w:rsidR="00A72E6A" w:rsidRPr="00775AE5" w14:paraId="45F861E5" w14:textId="77777777" w:rsidTr="002E0A65">
        <w:trPr>
          <w:trHeight w:val="240"/>
        </w:trPr>
        <w:tc>
          <w:tcPr>
            <w:tcW w:w="8042"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3C5F6F7B"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Víctima reubicada laboralmente dentro del Ministerio de Educación (caso Sabanilla)</w:t>
            </w:r>
          </w:p>
        </w:tc>
        <w:tc>
          <w:tcPr>
            <w:tcW w:w="673" w:type="dxa"/>
            <w:tcBorders>
              <w:top w:val="single" w:sz="4" w:space="0" w:color="000000"/>
              <w:left w:val="single" w:sz="4" w:space="0" w:color="000000"/>
              <w:bottom w:val="single" w:sz="4" w:space="0" w:color="000000"/>
              <w:right w:val="single" w:sz="4" w:space="0" w:color="000000"/>
            </w:tcBorders>
            <w:vAlign w:val="center"/>
            <w:hideMark/>
          </w:tcPr>
          <w:p w14:paraId="34449441"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1</w:t>
            </w:r>
          </w:p>
        </w:tc>
      </w:tr>
      <w:tr w:rsidR="00A72E6A" w:rsidRPr="00775AE5" w14:paraId="27B8964E" w14:textId="77777777" w:rsidTr="002E0A65">
        <w:trPr>
          <w:trHeight w:val="240"/>
        </w:trPr>
        <w:tc>
          <w:tcPr>
            <w:tcW w:w="8042"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64D077B0"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Rehabilitación de impedimento de trabajo en el sector público (caso Piedad Jarrín y otros)</w:t>
            </w:r>
          </w:p>
        </w:tc>
        <w:tc>
          <w:tcPr>
            <w:tcW w:w="673" w:type="dxa"/>
            <w:tcBorders>
              <w:top w:val="single" w:sz="4" w:space="0" w:color="000000"/>
              <w:left w:val="single" w:sz="4" w:space="0" w:color="000000"/>
              <w:bottom w:val="single" w:sz="4" w:space="0" w:color="000000"/>
              <w:right w:val="single" w:sz="4" w:space="0" w:color="000000"/>
            </w:tcBorders>
            <w:vAlign w:val="center"/>
            <w:hideMark/>
          </w:tcPr>
          <w:p w14:paraId="2C8C918D"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1</w:t>
            </w:r>
          </w:p>
        </w:tc>
      </w:tr>
      <w:tr w:rsidR="00A72E6A" w:rsidRPr="00775AE5" w14:paraId="179EC3DC" w14:textId="77777777" w:rsidTr="002E0A65">
        <w:trPr>
          <w:trHeight w:val="240"/>
        </w:trPr>
        <w:tc>
          <w:tcPr>
            <w:tcW w:w="8042"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6F6AFE22"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 xml:space="preserve">Víctimas remitidas para acceso al programa arcos dorados </w:t>
            </w:r>
          </w:p>
        </w:tc>
        <w:tc>
          <w:tcPr>
            <w:tcW w:w="673" w:type="dxa"/>
            <w:tcBorders>
              <w:top w:val="single" w:sz="4" w:space="0" w:color="000000"/>
              <w:left w:val="single" w:sz="4" w:space="0" w:color="000000"/>
              <w:bottom w:val="single" w:sz="4" w:space="0" w:color="000000"/>
              <w:right w:val="single" w:sz="4" w:space="0" w:color="000000"/>
            </w:tcBorders>
            <w:vAlign w:val="center"/>
            <w:hideMark/>
          </w:tcPr>
          <w:p w14:paraId="76A44959"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13</w:t>
            </w:r>
          </w:p>
        </w:tc>
      </w:tr>
    </w:tbl>
    <w:p w14:paraId="40CC9162" w14:textId="77777777" w:rsidR="00A72E6A" w:rsidRPr="00775AE5" w:rsidRDefault="00A72E6A" w:rsidP="00390DF2">
      <w:pPr>
        <w:spacing w:line="276" w:lineRule="auto"/>
        <w:jc w:val="both"/>
        <w:rPr>
          <w:rFonts w:ascii="Arial" w:eastAsia="Arial" w:hAnsi="Arial" w:cs="Arial"/>
          <w:b/>
          <w:sz w:val="22"/>
          <w:szCs w:val="22"/>
          <w:lang w:val="es-ES" w:eastAsia="es-ES"/>
        </w:rPr>
      </w:pPr>
    </w:p>
    <w:p w14:paraId="02F23ADE" w14:textId="77777777" w:rsidR="00A72E6A" w:rsidRPr="00775AE5" w:rsidRDefault="00A72E6A" w:rsidP="00390DF2">
      <w:pPr>
        <w:spacing w:line="276" w:lineRule="auto"/>
        <w:jc w:val="both"/>
        <w:rPr>
          <w:rFonts w:ascii="Arial" w:eastAsia="Calibri" w:hAnsi="Arial" w:cs="Arial"/>
          <w:b/>
          <w:sz w:val="22"/>
          <w:szCs w:val="22"/>
          <w:lang w:val="es-ES"/>
        </w:rPr>
      </w:pPr>
      <w:proofErr w:type="spellStart"/>
      <w:r w:rsidRPr="00775AE5">
        <w:rPr>
          <w:rFonts w:ascii="Arial" w:eastAsia="Calibri" w:hAnsi="Arial" w:cs="Arial"/>
          <w:b/>
          <w:sz w:val="22"/>
          <w:szCs w:val="22"/>
          <w:lang w:val="es-ES"/>
        </w:rPr>
        <w:t>Banecuador</w:t>
      </w:r>
      <w:proofErr w:type="spellEnd"/>
    </w:p>
    <w:tbl>
      <w:tblPr>
        <w:tblW w:w="8715" w:type="dxa"/>
        <w:tblLayout w:type="fixed"/>
        <w:tblLook w:val="0400" w:firstRow="0" w:lastRow="0" w:firstColumn="0" w:lastColumn="0" w:noHBand="0" w:noVBand="1"/>
      </w:tblPr>
      <w:tblGrid>
        <w:gridCol w:w="8042"/>
        <w:gridCol w:w="673"/>
      </w:tblGrid>
      <w:tr w:rsidR="00A72E6A" w:rsidRPr="00775AE5" w14:paraId="0D2A26C7" w14:textId="77777777" w:rsidTr="002E0A65">
        <w:trPr>
          <w:trHeight w:val="240"/>
        </w:trPr>
        <w:tc>
          <w:tcPr>
            <w:tcW w:w="8042"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21C8F718"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 xml:space="preserve">Víctimas remitidas para acceso a créditos </w:t>
            </w:r>
            <w:proofErr w:type="spellStart"/>
            <w:r w:rsidRPr="00775AE5">
              <w:rPr>
                <w:rFonts w:ascii="Arial" w:eastAsia="Calibri" w:hAnsi="Arial" w:cs="Arial"/>
                <w:sz w:val="22"/>
                <w:szCs w:val="22"/>
                <w:lang w:val="es-ES"/>
              </w:rPr>
              <w:t>microproductivos</w:t>
            </w:r>
            <w:proofErr w:type="spellEnd"/>
          </w:p>
        </w:tc>
        <w:tc>
          <w:tcPr>
            <w:tcW w:w="673" w:type="dxa"/>
            <w:tcBorders>
              <w:top w:val="single" w:sz="4" w:space="0" w:color="000000"/>
              <w:left w:val="single" w:sz="4" w:space="0" w:color="000000"/>
              <w:bottom w:val="single" w:sz="4" w:space="0" w:color="000000"/>
              <w:right w:val="single" w:sz="4" w:space="0" w:color="000000"/>
            </w:tcBorders>
            <w:vAlign w:val="bottom"/>
            <w:hideMark/>
          </w:tcPr>
          <w:p w14:paraId="35BC2026"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21</w:t>
            </w:r>
          </w:p>
        </w:tc>
      </w:tr>
      <w:tr w:rsidR="00A72E6A" w:rsidRPr="00775AE5" w14:paraId="68B7A0A4" w14:textId="77777777" w:rsidTr="002E0A65">
        <w:trPr>
          <w:trHeight w:val="240"/>
        </w:trPr>
        <w:tc>
          <w:tcPr>
            <w:tcW w:w="8042"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251E5305"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Generación inmediata de apertura de cuentas de ahorros para víctimas</w:t>
            </w:r>
          </w:p>
        </w:tc>
        <w:tc>
          <w:tcPr>
            <w:tcW w:w="673" w:type="dxa"/>
            <w:tcBorders>
              <w:top w:val="single" w:sz="4" w:space="0" w:color="000000"/>
              <w:left w:val="single" w:sz="4" w:space="0" w:color="000000"/>
              <w:bottom w:val="single" w:sz="4" w:space="0" w:color="000000"/>
              <w:right w:val="single" w:sz="4" w:space="0" w:color="000000"/>
            </w:tcBorders>
            <w:vAlign w:val="bottom"/>
            <w:hideMark/>
          </w:tcPr>
          <w:p w14:paraId="1763BF89"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7</w:t>
            </w:r>
          </w:p>
        </w:tc>
      </w:tr>
      <w:tr w:rsidR="00A72E6A" w:rsidRPr="00775AE5" w14:paraId="20DB9152" w14:textId="77777777" w:rsidTr="002E0A65">
        <w:trPr>
          <w:trHeight w:val="240"/>
        </w:trPr>
        <w:tc>
          <w:tcPr>
            <w:tcW w:w="8042"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679AA46B"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 xml:space="preserve">Generación de microcrédito </w:t>
            </w:r>
          </w:p>
        </w:tc>
        <w:tc>
          <w:tcPr>
            <w:tcW w:w="673" w:type="dxa"/>
            <w:tcBorders>
              <w:top w:val="single" w:sz="4" w:space="0" w:color="000000"/>
              <w:left w:val="single" w:sz="4" w:space="0" w:color="000000"/>
              <w:bottom w:val="single" w:sz="4" w:space="0" w:color="000000"/>
              <w:right w:val="single" w:sz="4" w:space="0" w:color="000000"/>
            </w:tcBorders>
            <w:vAlign w:val="bottom"/>
            <w:hideMark/>
          </w:tcPr>
          <w:p w14:paraId="32A28BD7"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1</w:t>
            </w:r>
          </w:p>
        </w:tc>
      </w:tr>
    </w:tbl>
    <w:p w14:paraId="2262C4F1" w14:textId="77777777" w:rsidR="00A72E6A" w:rsidRPr="00775AE5" w:rsidRDefault="00A72E6A" w:rsidP="00390DF2">
      <w:pPr>
        <w:spacing w:line="276" w:lineRule="auto"/>
        <w:jc w:val="both"/>
        <w:rPr>
          <w:rFonts w:ascii="Arial" w:eastAsia="Arial" w:hAnsi="Arial" w:cs="Arial"/>
          <w:b/>
          <w:sz w:val="22"/>
          <w:szCs w:val="22"/>
          <w:lang w:val="es-ES" w:eastAsia="es-ES"/>
        </w:rPr>
      </w:pPr>
    </w:p>
    <w:p w14:paraId="422A1656" w14:textId="77777777" w:rsidR="00A72E6A" w:rsidRPr="00775AE5" w:rsidRDefault="00A72E6A" w:rsidP="00390DF2">
      <w:pPr>
        <w:spacing w:line="276" w:lineRule="auto"/>
        <w:jc w:val="both"/>
        <w:rPr>
          <w:rFonts w:ascii="Arial" w:eastAsia="Calibri" w:hAnsi="Arial" w:cs="Arial"/>
          <w:b/>
          <w:sz w:val="22"/>
          <w:szCs w:val="22"/>
          <w:lang w:val="es-ES"/>
        </w:rPr>
      </w:pPr>
      <w:r w:rsidRPr="00775AE5">
        <w:rPr>
          <w:rFonts w:ascii="Arial" w:eastAsia="Calibri" w:hAnsi="Arial" w:cs="Arial"/>
          <w:b/>
          <w:sz w:val="22"/>
          <w:szCs w:val="22"/>
          <w:lang w:val="es-ES"/>
        </w:rPr>
        <w:t>Ministerio de Cultura y Patrimonio</w:t>
      </w:r>
    </w:p>
    <w:tbl>
      <w:tblPr>
        <w:tblW w:w="8715" w:type="dxa"/>
        <w:tblLayout w:type="fixed"/>
        <w:tblLook w:val="0400" w:firstRow="0" w:lastRow="0" w:firstColumn="0" w:lastColumn="0" w:noHBand="0" w:noVBand="1"/>
      </w:tblPr>
      <w:tblGrid>
        <w:gridCol w:w="8042"/>
        <w:gridCol w:w="673"/>
      </w:tblGrid>
      <w:tr w:rsidR="00A72E6A" w:rsidRPr="00775AE5" w14:paraId="678E2B93" w14:textId="77777777" w:rsidTr="002E0A65">
        <w:trPr>
          <w:trHeight w:val="240"/>
        </w:trPr>
        <w:tc>
          <w:tcPr>
            <w:tcW w:w="8042"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63A7B157"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 xml:space="preserve">Placas de memoria en: Esmeraldas (Caso </w:t>
            </w:r>
            <w:proofErr w:type="spellStart"/>
            <w:r w:rsidRPr="00775AE5">
              <w:rPr>
                <w:rFonts w:ascii="Arial" w:eastAsia="Calibri" w:hAnsi="Arial" w:cs="Arial"/>
                <w:sz w:val="22"/>
                <w:szCs w:val="22"/>
                <w:lang w:val="es-ES"/>
              </w:rPr>
              <w:t>Casierra</w:t>
            </w:r>
            <w:proofErr w:type="spellEnd"/>
            <w:r w:rsidRPr="00775AE5">
              <w:rPr>
                <w:rFonts w:ascii="Arial" w:eastAsia="Calibri" w:hAnsi="Arial" w:cs="Arial"/>
                <w:sz w:val="22"/>
                <w:szCs w:val="22"/>
                <w:lang w:val="es-ES"/>
              </w:rPr>
              <w:t>); Guayas (21 casos documentados en la provincia); Manabí (Caso Taura); y, Sucumbíos (3 casos documentados en la provincia)</w:t>
            </w:r>
          </w:p>
        </w:tc>
        <w:tc>
          <w:tcPr>
            <w:tcW w:w="673" w:type="dxa"/>
            <w:tcBorders>
              <w:top w:val="single" w:sz="4" w:space="0" w:color="000000"/>
              <w:left w:val="single" w:sz="4" w:space="0" w:color="000000"/>
              <w:bottom w:val="single" w:sz="4" w:space="0" w:color="000000"/>
              <w:right w:val="single" w:sz="4" w:space="0" w:color="000000"/>
            </w:tcBorders>
            <w:vAlign w:val="center"/>
            <w:hideMark/>
          </w:tcPr>
          <w:p w14:paraId="334B371D"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4</w:t>
            </w:r>
          </w:p>
        </w:tc>
      </w:tr>
    </w:tbl>
    <w:p w14:paraId="542A90A6" w14:textId="77777777" w:rsidR="00A72E6A" w:rsidRPr="00775AE5" w:rsidRDefault="00A72E6A" w:rsidP="00390DF2">
      <w:pPr>
        <w:spacing w:line="276" w:lineRule="auto"/>
        <w:jc w:val="both"/>
        <w:rPr>
          <w:rFonts w:ascii="Arial" w:eastAsia="Calibri" w:hAnsi="Arial" w:cs="Arial"/>
          <w:b/>
          <w:sz w:val="22"/>
          <w:szCs w:val="22"/>
          <w:lang w:val="es-ES" w:eastAsia="es-ES"/>
        </w:rPr>
      </w:pPr>
    </w:p>
    <w:p w14:paraId="7FFC1FDF" w14:textId="77777777" w:rsidR="00A72E6A" w:rsidRPr="00775AE5" w:rsidRDefault="00A72E6A" w:rsidP="00390DF2">
      <w:pPr>
        <w:spacing w:line="276" w:lineRule="auto"/>
        <w:jc w:val="both"/>
        <w:rPr>
          <w:rFonts w:ascii="Arial" w:eastAsia="Calibri" w:hAnsi="Arial" w:cs="Arial"/>
          <w:b/>
          <w:sz w:val="22"/>
          <w:szCs w:val="22"/>
          <w:lang w:val="es-ES"/>
        </w:rPr>
      </w:pPr>
      <w:r w:rsidRPr="00775AE5">
        <w:rPr>
          <w:rFonts w:ascii="Arial" w:eastAsia="Calibri" w:hAnsi="Arial" w:cs="Arial"/>
          <w:b/>
          <w:sz w:val="22"/>
          <w:szCs w:val="22"/>
          <w:lang w:val="es-ES"/>
        </w:rPr>
        <w:t>Ministerio de Defensa Nacional</w:t>
      </w:r>
    </w:p>
    <w:tbl>
      <w:tblPr>
        <w:tblW w:w="8715" w:type="dxa"/>
        <w:tblLayout w:type="fixed"/>
        <w:tblLook w:val="0400" w:firstRow="0" w:lastRow="0" w:firstColumn="0" w:lastColumn="0" w:noHBand="0" w:noVBand="1"/>
      </w:tblPr>
      <w:tblGrid>
        <w:gridCol w:w="8042"/>
        <w:gridCol w:w="673"/>
      </w:tblGrid>
      <w:tr w:rsidR="00A72E6A" w:rsidRPr="00775AE5" w14:paraId="12F83121" w14:textId="77777777" w:rsidTr="002E0A65">
        <w:trPr>
          <w:trHeight w:val="240"/>
        </w:trPr>
        <w:tc>
          <w:tcPr>
            <w:tcW w:w="8042"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065F999D"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Entrega hoja de vida militar de víctimas del caso Taura</w:t>
            </w:r>
          </w:p>
        </w:tc>
        <w:tc>
          <w:tcPr>
            <w:tcW w:w="673" w:type="dxa"/>
            <w:tcBorders>
              <w:top w:val="single" w:sz="4" w:space="0" w:color="000000"/>
              <w:left w:val="single" w:sz="4" w:space="0" w:color="000000"/>
              <w:bottom w:val="single" w:sz="4" w:space="0" w:color="000000"/>
              <w:right w:val="single" w:sz="4" w:space="0" w:color="000000"/>
            </w:tcBorders>
            <w:vAlign w:val="center"/>
            <w:hideMark/>
          </w:tcPr>
          <w:p w14:paraId="1C94C938"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63</w:t>
            </w:r>
          </w:p>
        </w:tc>
      </w:tr>
      <w:tr w:rsidR="00A72E6A" w:rsidRPr="00775AE5" w14:paraId="2268C2A7" w14:textId="77777777" w:rsidTr="002E0A65">
        <w:trPr>
          <w:trHeight w:val="240"/>
        </w:trPr>
        <w:tc>
          <w:tcPr>
            <w:tcW w:w="804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68172EA"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Disculpas públicas a víctimas documentadas del caso Taura</w:t>
            </w:r>
          </w:p>
        </w:tc>
        <w:tc>
          <w:tcPr>
            <w:tcW w:w="673" w:type="dxa"/>
            <w:tcBorders>
              <w:top w:val="single" w:sz="4" w:space="0" w:color="000000"/>
              <w:left w:val="single" w:sz="4" w:space="0" w:color="000000"/>
              <w:bottom w:val="single" w:sz="4" w:space="0" w:color="000000"/>
              <w:right w:val="single" w:sz="4" w:space="0" w:color="000000"/>
            </w:tcBorders>
            <w:vAlign w:val="center"/>
            <w:hideMark/>
          </w:tcPr>
          <w:p w14:paraId="3F225020"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1</w:t>
            </w:r>
          </w:p>
        </w:tc>
      </w:tr>
    </w:tbl>
    <w:p w14:paraId="28005125" w14:textId="77777777" w:rsidR="00A72E6A" w:rsidRPr="00775AE5" w:rsidRDefault="00A72E6A" w:rsidP="00390DF2">
      <w:pPr>
        <w:spacing w:line="276" w:lineRule="auto"/>
        <w:jc w:val="both"/>
        <w:rPr>
          <w:rFonts w:ascii="Arial" w:eastAsia="Arial" w:hAnsi="Arial" w:cs="Arial"/>
          <w:sz w:val="22"/>
          <w:szCs w:val="22"/>
          <w:lang w:val="es-ES" w:eastAsia="es-ES"/>
        </w:rPr>
      </w:pPr>
    </w:p>
    <w:p w14:paraId="2F35AF11" w14:textId="77777777" w:rsidR="00A72E6A" w:rsidRPr="00775AE5" w:rsidRDefault="00A72E6A" w:rsidP="00390DF2">
      <w:pPr>
        <w:spacing w:line="276" w:lineRule="auto"/>
        <w:jc w:val="both"/>
        <w:rPr>
          <w:rFonts w:ascii="Arial" w:eastAsia="Calibri" w:hAnsi="Arial" w:cs="Arial"/>
          <w:b/>
          <w:sz w:val="22"/>
          <w:szCs w:val="22"/>
          <w:lang w:val="es-ES"/>
        </w:rPr>
      </w:pPr>
      <w:r w:rsidRPr="00775AE5">
        <w:rPr>
          <w:rFonts w:ascii="Arial" w:eastAsia="Calibri" w:hAnsi="Arial" w:cs="Arial"/>
          <w:b/>
          <w:sz w:val="22"/>
          <w:szCs w:val="22"/>
          <w:lang w:val="es-ES"/>
        </w:rPr>
        <w:t>Secretaría Técnica Plan Toda una Vida</w:t>
      </w:r>
    </w:p>
    <w:tbl>
      <w:tblPr>
        <w:tblW w:w="8715" w:type="dxa"/>
        <w:tblLayout w:type="fixed"/>
        <w:tblLook w:val="0400" w:firstRow="0" w:lastRow="0" w:firstColumn="0" w:lastColumn="0" w:noHBand="0" w:noVBand="1"/>
      </w:tblPr>
      <w:tblGrid>
        <w:gridCol w:w="8042"/>
        <w:gridCol w:w="673"/>
      </w:tblGrid>
      <w:tr w:rsidR="00A72E6A" w:rsidRPr="00775AE5" w14:paraId="71BF57B4" w14:textId="77777777" w:rsidTr="002E0A65">
        <w:trPr>
          <w:trHeight w:val="240"/>
        </w:trPr>
        <w:tc>
          <w:tcPr>
            <w:tcW w:w="8042"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3989E29D"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Víctimas remitidas para acceso a diferentes programas del plan toda una vida</w:t>
            </w:r>
          </w:p>
        </w:tc>
        <w:tc>
          <w:tcPr>
            <w:tcW w:w="673" w:type="dxa"/>
            <w:tcBorders>
              <w:top w:val="single" w:sz="4" w:space="0" w:color="000000"/>
              <w:left w:val="single" w:sz="4" w:space="0" w:color="000000"/>
              <w:bottom w:val="single" w:sz="4" w:space="0" w:color="000000"/>
              <w:right w:val="single" w:sz="4" w:space="0" w:color="000000"/>
            </w:tcBorders>
            <w:vAlign w:val="center"/>
            <w:hideMark/>
          </w:tcPr>
          <w:p w14:paraId="79C766CA"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157</w:t>
            </w:r>
          </w:p>
        </w:tc>
      </w:tr>
      <w:tr w:rsidR="00A72E6A" w:rsidRPr="00775AE5" w14:paraId="06CDFC56" w14:textId="77777777" w:rsidTr="002E0A65">
        <w:trPr>
          <w:trHeight w:val="240"/>
        </w:trPr>
        <w:tc>
          <w:tcPr>
            <w:tcW w:w="8042"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54948C33"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 xml:space="preserve">Víctimas insertadas laboralmente </w:t>
            </w:r>
          </w:p>
        </w:tc>
        <w:tc>
          <w:tcPr>
            <w:tcW w:w="673" w:type="dxa"/>
            <w:tcBorders>
              <w:top w:val="single" w:sz="4" w:space="0" w:color="000000"/>
              <w:left w:val="single" w:sz="4" w:space="0" w:color="000000"/>
              <w:bottom w:val="single" w:sz="4" w:space="0" w:color="000000"/>
              <w:right w:val="single" w:sz="4" w:space="0" w:color="000000"/>
            </w:tcBorders>
            <w:vAlign w:val="center"/>
            <w:hideMark/>
          </w:tcPr>
          <w:p w14:paraId="61D36B73"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2</w:t>
            </w:r>
          </w:p>
        </w:tc>
      </w:tr>
    </w:tbl>
    <w:p w14:paraId="275635C0" w14:textId="77777777" w:rsidR="00A72E6A" w:rsidRPr="00775AE5" w:rsidRDefault="00A72E6A" w:rsidP="00390DF2">
      <w:pPr>
        <w:spacing w:line="276" w:lineRule="auto"/>
        <w:jc w:val="both"/>
        <w:rPr>
          <w:rFonts w:ascii="Arial" w:eastAsia="Calibri" w:hAnsi="Arial" w:cs="Arial"/>
          <w:sz w:val="22"/>
          <w:szCs w:val="22"/>
          <w:lang w:val="es-ES"/>
        </w:rPr>
      </w:pPr>
    </w:p>
    <w:p w14:paraId="3158DDAB" w14:textId="77777777" w:rsidR="00A72E6A" w:rsidRPr="00775AE5" w:rsidRDefault="00A72E6A" w:rsidP="00390DF2">
      <w:pPr>
        <w:spacing w:line="276" w:lineRule="auto"/>
        <w:jc w:val="both"/>
        <w:rPr>
          <w:rFonts w:ascii="Arial" w:eastAsia="Calibri" w:hAnsi="Arial" w:cs="Arial"/>
          <w:b/>
          <w:sz w:val="22"/>
          <w:szCs w:val="22"/>
          <w:lang w:val="es-ES"/>
        </w:rPr>
      </w:pPr>
      <w:r w:rsidRPr="00775AE5">
        <w:rPr>
          <w:rFonts w:ascii="Arial" w:eastAsia="Calibri" w:hAnsi="Arial" w:cs="Arial"/>
          <w:b/>
          <w:sz w:val="22"/>
          <w:szCs w:val="22"/>
          <w:lang w:val="es-ES"/>
        </w:rPr>
        <w:t>Ministerio de Educación</w:t>
      </w:r>
    </w:p>
    <w:tbl>
      <w:tblPr>
        <w:tblW w:w="8715" w:type="dxa"/>
        <w:tblLayout w:type="fixed"/>
        <w:tblLook w:val="0400" w:firstRow="0" w:lastRow="0" w:firstColumn="0" w:lastColumn="0" w:noHBand="0" w:noVBand="1"/>
      </w:tblPr>
      <w:tblGrid>
        <w:gridCol w:w="7950"/>
        <w:gridCol w:w="765"/>
      </w:tblGrid>
      <w:tr w:rsidR="00A72E6A" w:rsidRPr="00775AE5" w14:paraId="6C345EA4" w14:textId="77777777" w:rsidTr="002E0A65">
        <w:trPr>
          <w:trHeight w:val="240"/>
        </w:trPr>
        <w:tc>
          <w:tcPr>
            <w:tcW w:w="7950"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393CB792"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 xml:space="preserve">Reubicación de víctimas en planteles educativos </w:t>
            </w:r>
          </w:p>
        </w:tc>
        <w:tc>
          <w:tcPr>
            <w:tcW w:w="765" w:type="dxa"/>
            <w:tcBorders>
              <w:top w:val="single" w:sz="4" w:space="0" w:color="000000"/>
              <w:left w:val="single" w:sz="4" w:space="0" w:color="000000"/>
              <w:bottom w:val="single" w:sz="4" w:space="0" w:color="000000"/>
              <w:right w:val="single" w:sz="4" w:space="0" w:color="000000"/>
            </w:tcBorders>
            <w:vAlign w:val="center"/>
            <w:hideMark/>
          </w:tcPr>
          <w:p w14:paraId="695B3CB2"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6</w:t>
            </w:r>
          </w:p>
        </w:tc>
      </w:tr>
      <w:tr w:rsidR="00A72E6A" w:rsidRPr="00775AE5" w14:paraId="764560F7" w14:textId="77777777" w:rsidTr="002E0A65">
        <w:trPr>
          <w:trHeight w:val="240"/>
        </w:trPr>
        <w:tc>
          <w:tcPr>
            <w:tcW w:w="7950"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301F9B96"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 xml:space="preserve">Socialización del informe de la comisión a estudiantes del sistema educativo nacional </w:t>
            </w:r>
          </w:p>
        </w:tc>
        <w:tc>
          <w:tcPr>
            <w:tcW w:w="765" w:type="dxa"/>
            <w:tcBorders>
              <w:top w:val="single" w:sz="4" w:space="0" w:color="000000"/>
              <w:left w:val="single" w:sz="4" w:space="0" w:color="000000"/>
              <w:bottom w:val="single" w:sz="4" w:space="0" w:color="000000"/>
              <w:right w:val="single" w:sz="4" w:space="0" w:color="000000"/>
            </w:tcBorders>
            <w:vAlign w:val="center"/>
            <w:hideMark/>
          </w:tcPr>
          <w:p w14:paraId="47A09372"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3677</w:t>
            </w:r>
          </w:p>
        </w:tc>
      </w:tr>
    </w:tbl>
    <w:p w14:paraId="5EA5DACA" w14:textId="77777777" w:rsidR="00A72E6A" w:rsidRPr="00775AE5" w:rsidRDefault="00A72E6A" w:rsidP="00390DF2">
      <w:pPr>
        <w:spacing w:line="276" w:lineRule="auto"/>
        <w:jc w:val="both"/>
        <w:rPr>
          <w:rFonts w:ascii="Arial" w:eastAsia="Arial" w:hAnsi="Arial" w:cs="Arial"/>
          <w:b/>
          <w:sz w:val="22"/>
          <w:szCs w:val="22"/>
          <w:lang w:val="es-ES" w:eastAsia="es-ES"/>
        </w:rPr>
      </w:pPr>
    </w:p>
    <w:p w14:paraId="1BC7695A" w14:textId="77777777" w:rsidR="00A72E6A" w:rsidRPr="00775AE5" w:rsidRDefault="00A72E6A" w:rsidP="00390DF2">
      <w:pPr>
        <w:spacing w:line="276" w:lineRule="auto"/>
        <w:jc w:val="both"/>
        <w:rPr>
          <w:rFonts w:ascii="Arial" w:eastAsia="Calibri" w:hAnsi="Arial" w:cs="Arial"/>
          <w:b/>
          <w:sz w:val="22"/>
          <w:szCs w:val="22"/>
          <w:lang w:val="es-ES"/>
        </w:rPr>
      </w:pPr>
      <w:r w:rsidRPr="00775AE5">
        <w:rPr>
          <w:rFonts w:ascii="Arial" w:eastAsia="Calibri" w:hAnsi="Arial" w:cs="Arial"/>
          <w:b/>
          <w:sz w:val="22"/>
          <w:szCs w:val="22"/>
          <w:lang w:val="es-ES"/>
        </w:rPr>
        <w:t>Atención psicológica a víctimas por parte de la Dirección de Reparación de la Defensoría del Pueblo</w:t>
      </w:r>
    </w:p>
    <w:tbl>
      <w:tblPr>
        <w:tblW w:w="8640" w:type="dxa"/>
        <w:tblLayout w:type="fixed"/>
        <w:tblLook w:val="0400" w:firstRow="0" w:lastRow="0" w:firstColumn="0" w:lastColumn="0" w:noHBand="0" w:noVBand="1"/>
      </w:tblPr>
      <w:tblGrid>
        <w:gridCol w:w="8004"/>
        <w:gridCol w:w="636"/>
      </w:tblGrid>
      <w:tr w:rsidR="00A72E6A" w:rsidRPr="00775AE5" w14:paraId="5C7E3B01" w14:textId="77777777" w:rsidTr="002E0A65">
        <w:trPr>
          <w:trHeight w:val="300"/>
        </w:trPr>
        <w:tc>
          <w:tcPr>
            <w:tcW w:w="800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bottom"/>
            <w:hideMark/>
          </w:tcPr>
          <w:p w14:paraId="4C215FBC"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Evaluaciones psicosociales realizadas a víctimas a nivel nacional</w:t>
            </w:r>
          </w:p>
        </w:tc>
        <w:tc>
          <w:tcPr>
            <w:tcW w:w="6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3762986C"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375</w:t>
            </w:r>
          </w:p>
        </w:tc>
      </w:tr>
      <w:tr w:rsidR="00A72E6A" w:rsidRPr="00775AE5" w14:paraId="42FEF88C" w14:textId="77777777" w:rsidTr="002E0A65">
        <w:trPr>
          <w:trHeight w:val="340"/>
        </w:trPr>
        <w:tc>
          <w:tcPr>
            <w:tcW w:w="800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bottom"/>
            <w:hideMark/>
          </w:tcPr>
          <w:p w14:paraId="71AA720C"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Acompañamiento psicológico grupal a víctimas</w:t>
            </w:r>
          </w:p>
        </w:tc>
        <w:tc>
          <w:tcPr>
            <w:tcW w:w="6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2E62AA6"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15</w:t>
            </w:r>
          </w:p>
        </w:tc>
      </w:tr>
      <w:tr w:rsidR="00A72E6A" w:rsidRPr="00775AE5" w14:paraId="4A550697" w14:textId="77777777" w:rsidTr="002E0A65">
        <w:trPr>
          <w:trHeight w:val="280"/>
        </w:trPr>
        <w:tc>
          <w:tcPr>
            <w:tcW w:w="800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bottom"/>
            <w:hideMark/>
          </w:tcPr>
          <w:p w14:paraId="4A91EF52"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Procesos terapéuticos a víctimas</w:t>
            </w:r>
          </w:p>
        </w:tc>
        <w:tc>
          <w:tcPr>
            <w:tcW w:w="6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B96FC2C"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31</w:t>
            </w:r>
          </w:p>
        </w:tc>
      </w:tr>
      <w:tr w:rsidR="00A72E6A" w:rsidRPr="00775AE5" w14:paraId="4AECB072" w14:textId="77777777" w:rsidTr="002E0A65">
        <w:trPr>
          <w:trHeight w:val="280"/>
        </w:trPr>
        <w:tc>
          <w:tcPr>
            <w:tcW w:w="800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bottom"/>
            <w:hideMark/>
          </w:tcPr>
          <w:p w14:paraId="3AEAAA32"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Instrumentos psicosociales de atención a víctimas</w:t>
            </w:r>
          </w:p>
        </w:tc>
        <w:tc>
          <w:tcPr>
            <w:tcW w:w="6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79003C0"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5</w:t>
            </w:r>
          </w:p>
        </w:tc>
      </w:tr>
    </w:tbl>
    <w:p w14:paraId="7539DB21" w14:textId="77777777" w:rsidR="00A72E6A" w:rsidRPr="00775AE5" w:rsidRDefault="00A72E6A" w:rsidP="00390DF2">
      <w:pPr>
        <w:spacing w:line="276" w:lineRule="auto"/>
        <w:jc w:val="both"/>
        <w:rPr>
          <w:rFonts w:ascii="Arial" w:eastAsia="Calibri" w:hAnsi="Arial" w:cs="Arial"/>
          <w:b/>
          <w:sz w:val="22"/>
          <w:szCs w:val="22"/>
          <w:lang w:val="es-ES"/>
        </w:rPr>
      </w:pPr>
    </w:p>
    <w:p w14:paraId="47987966" w14:textId="77777777" w:rsidR="00A72E6A" w:rsidRPr="00775AE5" w:rsidRDefault="00A72E6A" w:rsidP="00390DF2">
      <w:pPr>
        <w:spacing w:line="276" w:lineRule="auto"/>
        <w:jc w:val="both"/>
        <w:rPr>
          <w:rFonts w:ascii="Arial" w:eastAsia="Calibri" w:hAnsi="Arial" w:cs="Arial"/>
          <w:sz w:val="22"/>
          <w:szCs w:val="22"/>
          <w:lang w:val="es-ES"/>
        </w:rPr>
      </w:pPr>
    </w:p>
    <w:p w14:paraId="3F7613FF" w14:textId="77777777" w:rsidR="00B81BB1" w:rsidRPr="00775AE5" w:rsidRDefault="0038002B" w:rsidP="00D240C9">
      <w:pPr>
        <w:spacing w:line="276" w:lineRule="auto"/>
        <w:jc w:val="center"/>
        <w:rPr>
          <w:rFonts w:ascii="Arial" w:eastAsia="Calibri" w:hAnsi="Arial" w:cs="Arial"/>
          <w:sz w:val="22"/>
          <w:szCs w:val="22"/>
          <w:lang w:val="es-ES"/>
        </w:rPr>
      </w:pPr>
      <w:r w:rsidRPr="00775AE5">
        <w:rPr>
          <w:rFonts w:ascii="Arial" w:eastAsia="Calibri" w:hAnsi="Arial" w:cs="Arial"/>
          <w:b/>
          <w:bCs/>
          <w:sz w:val="22"/>
          <w:szCs w:val="22"/>
          <w:lang w:val="es-ES"/>
        </w:rPr>
        <w:t>Tabla</w:t>
      </w:r>
      <w:r w:rsidR="004D4838" w:rsidRPr="00775AE5">
        <w:rPr>
          <w:rFonts w:ascii="Arial" w:eastAsia="Calibri" w:hAnsi="Arial" w:cs="Arial"/>
          <w:b/>
          <w:bCs/>
          <w:sz w:val="22"/>
          <w:szCs w:val="22"/>
          <w:lang w:val="es-ES"/>
        </w:rPr>
        <w:t xml:space="preserve"> 4</w:t>
      </w:r>
    </w:p>
    <w:p w14:paraId="2FEA0497" w14:textId="7FAB9202" w:rsidR="00A72E6A" w:rsidRPr="00775AE5" w:rsidRDefault="00A72E6A" w:rsidP="00D240C9">
      <w:pPr>
        <w:spacing w:line="276" w:lineRule="auto"/>
        <w:jc w:val="center"/>
        <w:rPr>
          <w:rFonts w:ascii="Arial" w:eastAsia="Calibri" w:hAnsi="Arial" w:cs="Arial"/>
          <w:i/>
          <w:iCs/>
          <w:sz w:val="22"/>
          <w:szCs w:val="22"/>
          <w:lang w:val="es-ES"/>
        </w:rPr>
      </w:pPr>
      <w:r w:rsidRPr="00775AE5">
        <w:rPr>
          <w:rFonts w:ascii="Arial" w:eastAsia="Calibri" w:hAnsi="Arial" w:cs="Arial"/>
          <w:i/>
          <w:iCs/>
          <w:sz w:val="22"/>
          <w:szCs w:val="22"/>
          <w:lang w:val="es-ES"/>
        </w:rPr>
        <w:t>Socializaciones a víctimas realizadas por instituciones del estado con competencias en reparación, en coordinación con la Dirección de Reparación</w:t>
      </w:r>
    </w:p>
    <w:p w14:paraId="3FBEDE5C" w14:textId="77777777" w:rsidR="0038002B" w:rsidRPr="00775AE5" w:rsidRDefault="0038002B" w:rsidP="00390DF2">
      <w:pPr>
        <w:spacing w:line="276" w:lineRule="auto"/>
        <w:jc w:val="both"/>
        <w:rPr>
          <w:rFonts w:ascii="Arial" w:eastAsia="Calibri" w:hAnsi="Arial" w:cs="Arial"/>
          <w:i/>
          <w:iCs/>
          <w:sz w:val="22"/>
          <w:szCs w:val="22"/>
          <w:lang w:val="es-ES"/>
        </w:rPr>
      </w:pPr>
    </w:p>
    <w:tbl>
      <w:tblPr>
        <w:tblW w:w="8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24"/>
        <w:gridCol w:w="2696"/>
        <w:gridCol w:w="1701"/>
        <w:gridCol w:w="1094"/>
      </w:tblGrid>
      <w:tr w:rsidR="00A72E6A" w:rsidRPr="00775AE5" w14:paraId="6050C52E" w14:textId="77777777" w:rsidTr="002E0A65">
        <w:trPr>
          <w:trHeight w:val="280"/>
        </w:trPr>
        <w:tc>
          <w:tcPr>
            <w:tcW w:w="3224" w:type="dxa"/>
            <w:tcBorders>
              <w:top w:val="single" w:sz="4" w:space="0" w:color="000000"/>
              <w:left w:val="single" w:sz="4" w:space="0" w:color="000000"/>
              <w:bottom w:val="single" w:sz="4" w:space="0" w:color="000000"/>
              <w:right w:val="single" w:sz="4" w:space="0" w:color="000000"/>
            </w:tcBorders>
            <w:vAlign w:val="center"/>
            <w:hideMark/>
          </w:tcPr>
          <w:p w14:paraId="18655088" w14:textId="77777777" w:rsidR="00A72E6A" w:rsidRPr="00775AE5" w:rsidRDefault="00A72E6A" w:rsidP="0038002B">
            <w:pPr>
              <w:spacing w:line="276" w:lineRule="auto"/>
              <w:jc w:val="center"/>
              <w:rPr>
                <w:rFonts w:ascii="Arial" w:eastAsia="Calibri" w:hAnsi="Arial" w:cs="Arial"/>
                <w:b/>
                <w:sz w:val="22"/>
                <w:szCs w:val="22"/>
                <w:lang w:val="es-ES" w:eastAsia="es-ES"/>
              </w:rPr>
            </w:pPr>
            <w:r w:rsidRPr="00775AE5">
              <w:rPr>
                <w:rFonts w:ascii="Arial" w:eastAsia="Calibri" w:hAnsi="Arial" w:cs="Arial"/>
                <w:b/>
                <w:sz w:val="22"/>
                <w:szCs w:val="22"/>
                <w:lang w:val="es-ES"/>
              </w:rPr>
              <w:t>Institución</w:t>
            </w:r>
          </w:p>
        </w:tc>
        <w:tc>
          <w:tcPr>
            <w:tcW w:w="2696" w:type="dxa"/>
            <w:tcBorders>
              <w:top w:val="single" w:sz="4" w:space="0" w:color="000000"/>
              <w:left w:val="single" w:sz="4" w:space="0" w:color="000000"/>
              <w:bottom w:val="single" w:sz="4" w:space="0" w:color="000000"/>
              <w:right w:val="single" w:sz="4" w:space="0" w:color="000000"/>
            </w:tcBorders>
            <w:vAlign w:val="center"/>
            <w:hideMark/>
          </w:tcPr>
          <w:p w14:paraId="01CF3479" w14:textId="77777777" w:rsidR="00A72E6A" w:rsidRPr="00775AE5" w:rsidRDefault="00A72E6A" w:rsidP="0038002B">
            <w:pPr>
              <w:spacing w:line="276" w:lineRule="auto"/>
              <w:jc w:val="center"/>
              <w:rPr>
                <w:rFonts w:ascii="Arial" w:eastAsia="Calibri" w:hAnsi="Arial" w:cs="Arial"/>
                <w:b/>
                <w:sz w:val="22"/>
                <w:szCs w:val="22"/>
                <w:lang w:val="es-ES" w:eastAsia="es-ES"/>
              </w:rPr>
            </w:pPr>
            <w:r w:rsidRPr="00775AE5">
              <w:rPr>
                <w:rFonts w:ascii="Arial" w:eastAsia="Calibri" w:hAnsi="Arial" w:cs="Arial"/>
                <w:b/>
                <w:sz w:val="22"/>
                <w:szCs w:val="22"/>
                <w:lang w:val="es-ES"/>
              </w:rPr>
              <w:t>Tema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51CA8E1" w14:textId="77777777" w:rsidR="00A72E6A" w:rsidRPr="00775AE5" w:rsidRDefault="00A72E6A" w:rsidP="0038002B">
            <w:pPr>
              <w:spacing w:line="276" w:lineRule="auto"/>
              <w:jc w:val="center"/>
              <w:rPr>
                <w:rFonts w:ascii="Arial" w:eastAsia="Calibri" w:hAnsi="Arial" w:cs="Arial"/>
                <w:b/>
                <w:sz w:val="22"/>
                <w:szCs w:val="22"/>
                <w:lang w:val="es-ES" w:eastAsia="es-ES"/>
              </w:rPr>
            </w:pPr>
            <w:r w:rsidRPr="00775AE5">
              <w:rPr>
                <w:rFonts w:ascii="Arial" w:eastAsia="Calibri" w:hAnsi="Arial" w:cs="Arial"/>
                <w:b/>
                <w:sz w:val="22"/>
                <w:szCs w:val="22"/>
                <w:lang w:val="es-ES"/>
              </w:rPr>
              <w:t>Lugar</w:t>
            </w:r>
          </w:p>
        </w:tc>
        <w:tc>
          <w:tcPr>
            <w:tcW w:w="1094" w:type="dxa"/>
            <w:tcBorders>
              <w:top w:val="single" w:sz="4" w:space="0" w:color="000000"/>
              <w:left w:val="single" w:sz="4" w:space="0" w:color="000000"/>
              <w:bottom w:val="single" w:sz="4" w:space="0" w:color="000000"/>
              <w:right w:val="single" w:sz="4" w:space="0" w:color="000000"/>
            </w:tcBorders>
            <w:vAlign w:val="center"/>
            <w:hideMark/>
          </w:tcPr>
          <w:p w14:paraId="37876595" w14:textId="77777777" w:rsidR="00A72E6A" w:rsidRPr="00775AE5" w:rsidRDefault="00A72E6A" w:rsidP="0038002B">
            <w:pPr>
              <w:spacing w:line="276" w:lineRule="auto"/>
              <w:jc w:val="center"/>
              <w:rPr>
                <w:rFonts w:ascii="Arial" w:eastAsia="Calibri" w:hAnsi="Arial" w:cs="Arial"/>
                <w:b/>
                <w:sz w:val="22"/>
                <w:szCs w:val="22"/>
                <w:lang w:val="es-ES" w:eastAsia="es-ES"/>
              </w:rPr>
            </w:pPr>
            <w:r w:rsidRPr="00775AE5">
              <w:rPr>
                <w:rFonts w:ascii="Arial" w:eastAsia="Calibri" w:hAnsi="Arial" w:cs="Arial"/>
                <w:b/>
                <w:sz w:val="22"/>
                <w:szCs w:val="22"/>
                <w:lang w:val="es-ES"/>
              </w:rPr>
              <w:t>Número</w:t>
            </w:r>
          </w:p>
        </w:tc>
      </w:tr>
      <w:tr w:rsidR="00A72E6A" w:rsidRPr="00775AE5" w14:paraId="5B957FA8" w14:textId="77777777" w:rsidTr="002E0A65">
        <w:trPr>
          <w:trHeight w:val="600"/>
        </w:trPr>
        <w:tc>
          <w:tcPr>
            <w:tcW w:w="3224" w:type="dxa"/>
            <w:tcBorders>
              <w:top w:val="single" w:sz="4" w:space="0" w:color="000000"/>
              <w:left w:val="single" w:sz="4" w:space="0" w:color="000000"/>
              <w:bottom w:val="single" w:sz="4" w:space="0" w:color="000000"/>
              <w:right w:val="single" w:sz="4" w:space="0" w:color="000000"/>
            </w:tcBorders>
            <w:vAlign w:val="center"/>
            <w:hideMark/>
          </w:tcPr>
          <w:p w14:paraId="15A9723F"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Instituto de Economía Popular y Solidaria</w:t>
            </w:r>
          </w:p>
        </w:tc>
        <w:tc>
          <w:tcPr>
            <w:tcW w:w="2696" w:type="dxa"/>
            <w:tcBorders>
              <w:top w:val="single" w:sz="4" w:space="0" w:color="000000"/>
              <w:left w:val="single" w:sz="4" w:space="0" w:color="000000"/>
              <w:bottom w:val="single" w:sz="4" w:space="0" w:color="000000"/>
              <w:right w:val="single" w:sz="4" w:space="0" w:color="000000"/>
            </w:tcBorders>
            <w:vAlign w:val="center"/>
            <w:hideMark/>
          </w:tcPr>
          <w:p w14:paraId="20908A05"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Asociatividad</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40B9EF5"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Guayaquil y Nueva Loja</w:t>
            </w:r>
          </w:p>
        </w:tc>
        <w:tc>
          <w:tcPr>
            <w:tcW w:w="1094" w:type="dxa"/>
            <w:tcBorders>
              <w:top w:val="single" w:sz="4" w:space="0" w:color="000000"/>
              <w:left w:val="single" w:sz="4" w:space="0" w:color="000000"/>
              <w:bottom w:val="single" w:sz="4" w:space="0" w:color="000000"/>
              <w:right w:val="single" w:sz="4" w:space="0" w:color="000000"/>
            </w:tcBorders>
            <w:vAlign w:val="center"/>
            <w:hideMark/>
          </w:tcPr>
          <w:p w14:paraId="2CDDFF3D"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3</w:t>
            </w:r>
          </w:p>
        </w:tc>
      </w:tr>
      <w:tr w:rsidR="00A72E6A" w:rsidRPr="00775AE5" w14:paraId="1D5BB4CA" w14:textId="77777777" w:rsidTr="002E0A65">
        <w:trPr>
          <w:trHeight w:val="560"/>
        </w:trPr>
        <w:tc>
          <w:tcPr>
            <w:tcW w:w="3224" w:type="dxa"/>
            <w:tcBorders>
              <w:top w:val="single" w:sz="4" w:space="0" w:color="000000"/>
              <w:left w:val="single" w:sz="4" w:space="0" w:color="000000"/>
              <w:bottom w:val="single" w:sz="4" w:space="0" w:color="000000"/>
              <w:right w:val="single" w:sz="4" w:space="0" w:color="000000"/>
            </w:tcBorders>
            <w:vAlign w:val="center"/>
            <w:hideMark/>
          </w:tcPr>
          <w:p w14:paraId="114F283A"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Servicio de Contratación Pública</w:t>
            </w:r>
          </w:p>
        </w:tc>
        <w:tc>
          <w:tcPr>
            <w:tcW w:w="2696" w:type="dxa"/>
            <w:tcBorders>
              <w:top w:val="single" w:sz="4" w:space="0" w:color="000000"/>
              <w:left w:val="single" w:sz="4" w:space="0" w:color="000000"/>
              <w:bottom w:val="single" w:sz="4" w:space="0" w:color="000000"/>
              <w:right w:val="single" w:sz="4" w:space="0" w:color="000000"/>
            </w:tcBorders>
            <w:vAlign w:val="center"/>
            <w:hideMark/>
          </w:tcPr>
          <w:p w14:paraId="24C6E488"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Contratación pública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D39F65E"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Nueva Loja</w:t>
            </w:r>
          </w:p>
        </w:tc>
        <w:tc>
          <w:tcPr>
            <w:tcW w:w="1094" w:type="dxa"/>
            <w:tcBorders>
              <w:top w:val="single" w:sz="4" w:space="0" w:color="000000"/>
              <w:left w:val="single" w:sz="4" w:space="0" w:color="000000"/>
              <w:bottom w:val="single" w:sz="4" w:space="0" w:color="000000"/>
              <w:right w:val="single" w:sz="4" w:space="0" w:color="000000"/>
            </w:tcBorders>
            <w:vAlign w:val="center"/>
            <w:hideMark/>
          </w:tcPr>
          <w:p w14:paraId="33AD607F"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1</w:t>
            </w:r>
          </w:p>
        </w:tc>
      </w:tr>
      <w:tr w:rsidR="00A72E6A" w:rsidRPr="00775AE5" w14:paraId="796021FD" w14:textId="77777777" w:rsidTr="002E0A65">
        <w:trPr>
          <w:trHeight w:val="520"/>
        </w:trPr>
        <w:tc>
          <w:tcPr>
            <w:tcW w:w="3224" w:type="dxa"/>
            <w:tcBorders>
              <w:top w:val="single" w:sz="4" w:space="0" w:color="000000"/>
              <w:left w:val="single" w:sz="4" w:space="0" w:color="000000"/>
              <w:bottom w:val="single" w:sz="4" w:space="0" w:color="000000"/>
              <w:right w:val="single" w:sz="4" w:space="0" w:color="000000"/>
            </w:tcBorders>
            <w:vAlign w:val="center"/>
            <w:hideMark/>
          </w:tcPr>
          <w:p w14:paraId="62337C40"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Ministerio de inclusión económica y social</w:t>
            </w:r>
          </w:p>
        </w:tc>
        <w:tc>
          <w:tcPr>
            <w:tcW w:w="2696" w:type="dxa"/>
            <w:tcBorders>
              <w:top w:val="single" w:sz="4" w:space="0" w:color="000000"/>
              <w:left w:val="single" w:sz="4" w:space="0" w:color="000000"/>
              <w:bottom w:val="single" w:sz="4" w:space="0" w:color="000000"/>
              <w:right w:val="single" w:sz="4" w:space="0" w:color="000000"/>
            </w:tcBorders>
            <w:vAlign w:val="center"/>
            <w:hideMark/>
          </w:tcPr>
          <w:p w14:paraId="6C329F67"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Servicios MIES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D1A31CB"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Loja</w:t>
            </w:r>
          </w:p>
        </w:tc>
        <w:tc>
          <w:tcPr>
            <w:tcW w:w="1094" w:type="dxa"/>
            <w:tcBorders>
              <w:top w:val="single" w:sz="4" w:space="0" w:color="000000"/>
              <w:left w:val="single" w:sz="4" w:space="0" w:color="000000"/>
              <w:bottom w:val="single" w:sz="4" w:space="0" w:color="000000"/>
              <w:right w:val="single" w:sz="4" w:space="0" w:color="000000"/>
            </w:tcBorders>
            <w:vAlign w:val="center"/>
            <w:hideMark/>
          </w:tcPr>
          <w:p w14:paraId="20F530DC"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1</w:t>
            </w:r>
          </w:p>
        </w:tc>
      </w:tr>
      <w:tr w:rsidR="00A72E6A" w:rsidRPr="00775AE5" w14:paraId="2CD1245F" w14:textId="77777777" w:rsidTr="002E0A65">
        <w:trPr>
          <w:trHeight w:val="360"/>
        </w:trPr>
        <w:tc>
          <w:tcPr>
            <w:tcW w:w="3224" w:type="dxa"/>
            <w:tcBorders>
              <w:top w:val="single" w:sz="4" w:space="0" w:color="000000"/>
              <w:left w:val="single" w:sz="4" w:space="0" w:color="000000"/>
              <w:bottom w:val="single" w:sz="4" w:space="0" w:color="000000"/>
              <w:right w:val="single" w:sz="4" w:space="0" w:color="000000"/>
            </w:tcBorders>
            <w:vAlign w:val="center"/>
            <w:hideMark/>
          </w:tcPr>
          <w:p w14:paraId="7804DE58"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Ministerio de trabajo</w:t>
            </w:r>
          </w:p>
        </w:tc>
        <w:tc>
          <w:tcPr>
            <w:tcW w:w="2696" w:type="dxa"/>
            <w:tcBorders>
              <w:top w:val="single" w:sz="4" w:space="0" w:color="000000"/>
              <w:left w:val="single" w:sz="4" w:space="0" w:color="000000"/>
              <w:bottom w:val="single" w:sz="4" w:space="0" w:color="000000"/>
              <w:right w:val="single" w:sz="4" w:space="0" w:color="000000"/>
            </w:tcBorders>
            <w:vAlign w:val="center"/>
            <w:hideMark/>
          </w:tcPr>
          <w:p w14:paraId="6DD2C47C"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Servicios red socio empleo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9C8C640"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Quito, Guayaquil, Loja, Machala, Nueva Loja</w:t>
            </w:r>
          </w:p>
        </w:tc>
        <w:tc>
          <w:tcPr>
            <w:tcW w:w="1094" w:type="dxa"/>
            <w:tcBorders>
              <w:top w:val="single" w:sz="4" w:space="0" w:color="000000"/>
              <w:left w:val="single" w:sz="4" w:space="0" w:color="000000"/>
              <w:bottom w:val="single" w:sz="4" w:space="0" w:color="000000"/>
              <w:right w:val="single" w:sz="4" w:space="0" w:color="000000"/>
            </w:tcBorders>
            <w:vAlign w:val="center"/>
            <w:hideMark/>
          </w:tcPr>
          <w:p w14:paraId="366A732C"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6</w:t>
            </w:r>
          </w:p>
        </w:tc>
      </w:tr>
      <w:tr w:rsidR="00A72E6A" w:rsidRPr="00775AE5" w14:paraId="7E252AE2" w14:textId="77777777" w:rsidTr="002E0A65">
        <w:trPr>
          <w:trHeight w:val="420"/>
        </w:trPr>
        <w:tc>
          <w:tcPr>
            <w:tcW w:w="3224" w:type="dxa"/>
            <w:tcBorders>
              <w:top w:val="single" w:sz="4" w:space="0" w:color="000000"/>
              <w:left w:val="single" w:sz="4" w:space="0" w:color="000000"/>
              <w:bottom w:val="single" w:sz="4" w:space="0" w:color="000000"/>
              <w:right w:val="single" w:sz="4" w:space="0" w:color="000000"/>
            </w:tcBorders>
            <w:vAlign w:val="center"/>
            <w:hideMark/>
          </w:tcPr>
          <w:p w14:paraId="6E6D0BA1"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Ministerio de Salud</w:t>
            </w:r>
          </w:p>
        </w:tc>
        <w:tc>
          <w:tcPr>
            <w:tcW w:w="2696" w:type="dxa"/>
            <w:tcBorders>
              <w:top w:val="single" w:sz="4" w:space="0" w:color="000000"/>
              <w:left w:val="single" w:sz="4" w:space="0" w:color="000000"/>
              <w:bottom w:val="single" w:sz="4" w:space="0" w:color="000000"/>
              <w:right w:val="single" w:sz="4" w:space="0" w:color="000000"/>
            </w:tcBorders>
            <w:vAlign w:val="center"/>
            <w:hideMark/>
          </w:tcPr>
          <w:p w14:paraId="68640563" w14:textId="6F8EA4A0"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 xml:space="preserve">Procedimientos para atención a víctimas </w:t>
            </w:r>
            <w:r w:rsidR="0082378F" w:rsidRPr="00775AE5">
              <w:rPr>
                <w:rFonts w:ascii="Arial" w:eastAsia="Calibri" w:hAnsi="Arial" w:cs="Arial"/>
                <w:sz w:val="22"/>
                <w:szCs w:val="22"/>
                <w:lang w:val="es-ES"/>
              </w:rPr>
              <w:t>en salud</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02FA85D"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Guayaquil, Loja, Quito, Machala</w:t>
            </w:r>
          </w:p>
        </w:tc>
        <w:tc>
          <w:tcPr>
            <w:tcW w:w="1094" w:type="dxa"/>
            <w:tcBorders>
              <w:top w:val="single" w:sz="4" w:space="0" w:color="000000"/>
              <w:left w:val="single" w:sz="4" w:space="0" w:color="000000"/>
              <w:bottom w:val="single" w:sz="4" w:space="0" w:color="000000"/>
              <w:right w:val="single" w:sz="4" w:space="0" w:color="000000"/>
            </w:tcBorders>
            <w:vAlign w:val="center"/>
            <w:hideMark/>
          </w:tcPr>
          <w:p w14:paraId="1F5AEC3A"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9</w:t>
            </w:r>
          </w:p>
        </w:tc>
      </w:tr>
    </w:tbl>
    <w:p w14:paraId="72EB1AAE" w14:textId="77777777" w:rsidR="00A72E6A" w:rsidRPr="00775AE5" w:rsidRDefault="00A72E6A" w:rsidP="00D240C9">
      <w:pPr>
        <w:spacing w:line="276" w:lineRule="auto"/>
        <w:jc w:val="center"/>
        <w:rPr>
          <w:rFonts w:ascii="Arial" w:eastAsia="Calibri" w:hAnsi="Arial" w:cs="Arial"/>
          <w:sz w:val="22"/>
          <w:szCs w:val="22"/>
          <w:lang w:val="es-ES"/>
        </w:rPr>
      </w:pPr>
      <w:r w:rsidRPr="00775AE5">
        <w:rPr>
          <w:rFonts w:ascii="Arial" w:eastAsia="Calibri" w:hAnsi="Arial" w:cs="Arial"/>
          <w:b/>
          <w:sz w:val="22"/>
          <w:szCs w:val="22"/>
          <w:lang w:val="es-ES"/>
        </w:rPr>
        <w:t xml:space="preserve">Fuente y elaboración: </w:t>
      </w:r>
      <w:r w:rsidRPr="00775AE5">
        <w:rPr>
          <w:rFonts w:ascii="Arial" w:eastAsia="Calibri" w:hAnsi="Arial" w:cs="Arial"/>
          <w:sz w:val="22"/>
          <w:szCs w:val="22"/>
          <w:lang w:val="es-ES"/>
        </w:rPr>
        <w:t>Dirección Nacional de Reparación a Víctimas y Protección Contra la Impunidad</w:t>
      </w:r>
    </w:p>
    <w:p w14:paraId="406B8BB5" w14:textId="77777777" w:rsidR="00A72E6A" w:rsidRPr="00775AE5" w:rsidRDefault="00A72E6A" w:rsidP="00390DF2">
      <w:pPr>
        <w:spacing w:line="276" w:lineRule="auto"/>
        <w:jc w:val="both"/>
        <w:rPr>
          <w:rFonts w:ascii="Arial" w:eastAsia="Calibri" w:hAnsi="Arial" w:cs="Arial"/>
          <w:b/>
          <w:sz w:val="22"/>
          <w:szCs w:val="22"/>
          <w:lang w:val="es-ES"/>
        </w:rPr>
      </w:pPr>
    </w:p>
    <w:p w14:paraId="78DB7A63" w14:textId="77777777" w:rsidR="00B81BB1" w:rsidRPr="00775AE5" w:rsidRDefault="00A72E6A" w:rsidP="00D240C9">
      <w:pPr>
        <w:spacing w:line="276" w:lineRule="auto"/>
        <w:jc w:val="center"/>
        <w:rPr>
          <w:rFonts w:ascii="Arial" w:eastAsia="Calibri" w:hAnsi="Arial" w:cs="Arial"/>
          <w:sz w:val="22"/>
          <w:szCs w:val="22"/>
          <w:lang w:val="es-ES"/>
        </w:rPr>
      </w:pPr>
      <w:r w:rsidRPr="00775AE5">
        <w:rPr>
          <w:rFonts w:ascii="Arial" w:eastAsia="Calibri" w:hAnsi="Arial" w:cs="Arial"/>
          <w:b/>
          <w:bCs/>
          <w:sz w:val="22"/>
          <w:szCs w:val="22"/>
          <w:lang w:val="es-ES"/>
        </w:rPr>
        <w:t xml:space="preserve">Tabla </w:t>
      </w:r>
      <w:r w:rsidR="004D4838" w:rsidRPr="00775AE5">
        <w:rPr>
          <w:rFonts w:ascii="Arial" w:eastAsia="Calibri" w:hAnsi="Arial" w:cs="Arial"/>
          <w:b/>
          <w:bCs/>
          <w:sz w:val="22"/>
          <w:szCs w:val="22"/>
          <w:lang w:val="es-ES"/>
        </w:rPr>
        <w:t>5</w:t>
      </w:r>
    </w:p>
    <w:p w14:paraId="16F32DCA" w14:textId="740D50DB" w:rsidR="00A72E6A" w:rsidRPr="00775AE5" w:rsidRDefault="00A72E6A" w:rsidP="00D240C9">
      <w:pPr>
        <w:spacing w:line="276" w:lineRule="auto"/>
        <w:jc w:val="center"/>
        <w:rPr>
          <w:rFonts w:ascii="Arial" w:eastAsia="Calibri" w:hAnsi="Arial" w:cs="Arial"/>
          <w:i/>
          <w:iCs/>
          <w:sz w:val="22"/>
          <w:szCs w:val="22"/>
          <w:lang w:val="es-ES"/>
        </w:rPr>
      </w:pPr>
      <w:r w:rsidRPr="00775AE5">
        <w:rPr>
          <w:rFonts w:ascii="Arial" w:eastAsia="Calibri" w:hAnsi="Arial" w:cs="Arial"/>
          <w:i/>
          <w:iCs/>
          <w:sz w:val="22"/>
          <w:szCs w:val="22"/>
          <w:lang w:val="es-ES"/>
        </w:rPr>
        <w:t>Socializaciones a personal de instituciones del estado con competencias en reparación, realizado por la dirección de reparación</w:t>
      </w:r>
    </w:p>
    <w:tbl>
      <w:tblPr>
        <w:tblW w:w="8553" w:type="dxa"/>
        <w:jc w:val="center"/>
        <w:tblLayout w:type="fixed"/>
        <w:tblLook w:val="0400" w:firstRow="0" w:lastRow="0" w:firstColumn="0" w:lastColumn="0" w:noHBand="0" w:noVBand="1"/>
      </w:tblPr>
      <w:tblGrid>
        <w:gridCol w:w="2715"/>
        <w:gridCol w:w="3260"/>
        <w:gridCol w:w="1444"/>
        <w:gridCol w:w="1134"/>
      </w:tblGrid>
      <w:tr w:rsidR="00A72E6A" w:rsidRPr="00775AE5" w14:paraId="296BE168" w14:textId="77777777" w:rsidTr="00D2275C">
        <w:trPr>
          <w:trHeight w:val="425"/>
          <w:jc w:val="center"/>
        </w:trPr>
        <w:tc>
          <w:tcPr>
            <w:tcW w:w="2715" w:type="dxa"/>
            <w:tcBorders>
              <w:top w:val="single" w:sz="8" w:space="0" w:color="000000"/>
              <w:left w:val="single" w:sz="8" w:space="0" w:color="000000"/>
              <w:bottom w:val="single" w:sz="8" w:space="0" w:color="000000"/>
              <w:right w:val="single" w:sz="8" w:space="0" w:color="000000"/>
            </w:tcBorders>
            <w:hideMark/>
          </w:tcPr>
          <w:p w14:paraId="0A3061BF" w14:textId="77777777" w:rsidR="00A72E6A" w:rsidRPr="00775AE5" w:rsidRDefault="00A72E6A" w:rsidP="00390DF2">
            <w:pPr>
              <w:spacing w:line="276" w:lineRule="auto"/>
              <w:jc w:val="both"/>
              <w:rPr>
                <w:rFonts w:ascii="Arial" w:eastAsia="Calibri" w:hAnsi="Arial" w:cs="Arial"/>
                <w:b/>
                <w:sz w:val="22"/>
                <w:szCs w:val="22"/>
                <w:lang w:val="es-ES" w:eastAsia="es-ES"/>
              </w:rPr>
            </w:pPr>
            <w:r w:rsidRPr="00775AE5">
              <w:rPr>
                <w:rFonts w:ascii="Arial" w:eastAsia="Calibri" w:hAnsi="Arial" w:cs="Arial"/>
                <w:b/>
                <w:sz w:val="22"/>
                <w:szCs w:val="22"/>
                <w:lang w:val="es-ES"/>
              </w:rPr>
              <w:t>Institución</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229B2C" w14:textId="77777777" w:rsidR="00A72E6A" w:rsidRPr="00775AE5" w:rsidRDefault="00A72E6A" w:rsidP="00390DF2">
            <w:pPr>
              <w:spacing w:line="276" w:lineRule="auto"/>
              <w:jc w:val="both"/>
              <w:rPr>
                <w:rFonts w:ascii="Arial" w:eastAsia="Calibri" w:hAnsi="Arial" w:cs="Arial"/>
                <w:b/>
                <w:sz w:val="22"/>
                <w:szCs w:val="22"/>
                <w:lang w:val="es-ES" w:eastAsia="es-ES"/>
              </w:rPr>
            </w:pPr>
            <w:r w:rsidRPr="00775AE5">
              <w:rPr>
                <w:rFonts w:ascii="Arial" w:eastAsia="Calibri" w:hAnsi="Arial" w:cs="Arial"/>
                <w:b/>
                <w:sz w:val="22"/>
                <w:szCs w:val="22"/>
                <w:lang w:val="es-ES"/>
              </w:rPr>
              <w:t>Tema</w:t>
            </w:r>
          </w:p>
        </w:tc>
        <w:tc>
          <w:tcPr>
            <w:tcW w:w="1444" w:type="dxa"/>
            <w:tcBorders>
              <w:top w:val="single" w:sz="8" w:space="0" w:color="000000"/>
              <w:left w:val="single" w:sz="8" w:space="0" w:color="000000"/>
              <w:bottom w:val="single" w:sz="8" w:space="0" w:color="000000"/>
              <w:right w:val="single" w:sz="8" w:space="0" w:color="000000"/>
            </w:tcBorders>
            <w:hideMark/>
          </w:tcPr>
          <w:p w14:paraId="33A7EF6E" w14:textId="77777777" w:rsidR="00A72E6A" w:rsidRPr="00775AE5" w:rsidRDefault="00A72E6A" w:rsidP="00390DF2">
            <w:pPr>
              <w:spacing w:line="276" w:lineRule="auto"/>
              <w:jc w:val="both"/>
              <w:rPr>
                <w:rFonts w:ascii="Arial" w:eastAsia="Calibri" w:hAnsi="Arial" w:cs="Arial"/>
                <w:b/>
                <w:sz w:val="22"/>
                <w:szCs w:val="22"/>
                <w:lang w:val="es-ES" w:eastAsia="es-ES"/>
              </w:rPr>
            </w:pPr>
            <w:r w:rsidRPr="00775AE5">
              <w:rPr>
                <w:rFonts w:ascii="Arial" w:eastAsia="Calibri" w:hAnsi="Arial" w:cs="Arial"/>
                <w:b/>
                <w:sz w:val="22"/>
                <w:szCs w:val="22"/>
                <w:lang w:val="es-ES"/>
              </w:rPr>
              <w:t>Lugar</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991FF5" w14:textId="77777777" w:rsidR="00A72E6A" w:rsidRPr="00775AE5" w:rsidRDefault="00A72E6A" w:rsidP="00390DF2">
            <w:pPr>
              <w:spacing w:line="276" w:lineRule="auto"/>
              <w:jc w:val="both"/>
              <w:rPr>
                <w:rFonts w:ascii="Arial" w:eastAsia="Calibri" w:hAnsi="Arial" w:cs="Arial"/>
                <w:b/>
                <w:sz w:val="22"/>
                <w:szCs w:val="22"/>
                <w:lang w:val="es-ES" w:eastAsia="es-ES"/>
              </w:rPr>
            </w:pPr>
            <w:r w:rsidRPr="00775AE5">
              <w:rPr>
                <w:rFonts w:ascii="Arial" w:eastAsia="Calibri" w:hAnsi="Arial" w:cs="Arial"/>
                <w:b/>
                <w:sz w:val="22"/>
                <w:szCs w:val="22"/>
                <w:lang w:val="es-ES"/>
              </w:rPr>
              <w:t>Número</w:t>
            </w:r>
          </w:p>
        </w:tc>
      </w:tr>
      <w:tr w:rsidR="00A72E6A" w:rsidRPr="00775AE5" w14:paraId="6ADF0209" w14:textId="77777777" w:rsidTr="00D2275C">
        <w:trPr>
          <w:trHeight w:val="961"/>
          <w:jc w:val="center"/>
        </w:trPr>
        <w:tc>
          <w:tcPr>
            <w:tcW w:w="2715" w:type="dxa"/>
            <w:tcBorders>
              <w:top w:val="single" w:sz="8" w:space="0" w:color="000000"/>
              <w:left w:val="single" w:sz="8" w:space="0" w:color="000000"/>
              <w:bottom w:val="single" w:sz="8" w:space="0" w:color="000000"/>
              <w:right w:val="single" w:sz="8" w:space="0" w:color="000000"/>
            </w:tcBorders>
            <w:vAlign w:val="center"/>
            <w:hideMark/>
          </w:tcPr>
          <w:p w14:paraId="2AB31FBC"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Ministerio de Trabajo, Ministerio de Salud, Ministerio de Cultura</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4D537AE"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Socialización interinstitucional</w:t>
            </w:r>
          </w:p>
        </w:tc>
        <w:tc>
          <w:tcPr>
            <w:tcW w:w="1444" w:type="dxa"/>
            <w:tcBorders>
              <w:top w:val="single" w:sz="8" w:space="0" w:color="000000"/>
              <w:left w:val="single" w:sz="8" w:space="0" w:color="000000"/>
              <w:bottom w:val="single" w:sz="8" w:space="0" w:color="000000"/>
              <w:right w:val="single" w:sz="8" w:space="0" w:color="000000"/>
            </w:tcBorders>
            <w:vAlign w:val="center"/>
            <w:hideMark/>
          </w:tcPr>
          <w:p w14:paraId="72C5D384"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Pichincha</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A506FD5"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1</w:t>
            </w:r>
          </w:p>
        </w:tc>
      </w:tr>
      <w:tr w:rsidR="00A72E6A" w:rsidRPr="00775AE5" w14:paraId="2219C506" w14:textId="77777777" w:rsidTr="00D2275C">
        <w:trPr>
          <w:trHeight w:val="320"/>
          <w:jc w:val="center"/>
        </w:trPr>
        <w:tc>
          <w:tcPr>
            <w:tcW w:w="2715" w:type="dxa"/>
            <w:tcBorders>
              <w:top w:val="single" w:sz="8" w:space="0" w:color="000000"/>
              <w:left w:val="single" w:sz="8" w:space="0" w:color="000000"/>
              <w:bottom w:val="single" w:sz="8" w:space="0" w:color="000000"/>
              <w:right w:val="single" w:sz="8" w:space="0" w:color="000000"/>
            </w:tcBorders>
            <w:vAlign w:val="center"/>
            <w:hideMark/>
          </w:tcPr>
          <w:p w14:paraId="085E144D"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Secretaría de Gestión de la Política</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C3D795C"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Socialización del informe de la comisión de la verdad</w:t>
            </w:r>
          </w:p>
        </w:tc>
        <w:tc>
          <w:tcPr>
            <w:tcW w:w="1444" w:type="dxa"/>
            <w:tcBorders>
              <w:top w:val="single" w:sz="8" w:space="0" w:color="000000"/>
              <w:left w:val="single" w:sz="8" w:space="0" w:color="000000"/>
              <w:bottom w:val="single" w:sz="8" w:space="0" w:color="000000"/>
              <w:right w:val="single" w:sz="8" w:space="0" w:color="000000"/>
            </w:tcBorders>
            <w:vAlign w:val="center"/>
            <w:hideMark/>
          </w:tcPr>
          <w:p w14:paraId="7D65786A"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Simultáneo en 24 provincias</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8C96AFA"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1</w:t>
            </w:r>
          </w:p>
        </w:tc>
      </w:tr>
      <w:tr w:rsidR="00A72E6A" w:rsidRPr="00775AE5" w14:paraId="0522867E" w14:textId="77777777" w:rsidTr="00D2275C">
        <w:trPr>
          <w:trHeight w:val="400"/>
          <w:jc w:val="center"/>
        </w:trPr>
        <w:tc>
          <w:tcPr>
            <w:tcW w:w="2715" w:type="dxa"/>
            <w:tcBorders>
              <w:top w:val="single" w:sz="8" w:space="0" w:color="000000"/>
              <w:left w:val="single" w:sz="8" w:space="0" w:color="000000"/>
              <w:bottom w:val="single" w:sz="8" w:space="0" w:color="000000"/>
              <w:right w:val="single" w:sz="8" w:space="0" w:color="000000"/>
            </w:tcBorders>
            <w:vAlign w:val="center"/>
            <w:hideMark/>
          </w:tcPr>
          <w:p w14:paraId="51A8469A"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Ecu 911</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FA97077"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Socialización del informe de la comisión de la verdad</w:t>
            </w:r>
          </w:p>
        </w:tc>
        <w:tc>
          <w:tcPr>
            <w:tcW w:w="1444" w:type="dxa"/>
            <w:tcBorders>
              <w:top w:val="single" w:sz="8" w:space="0" w:color="000000"/>
              <w:left w:val="single" w:sz="8" w:space="0" w:color="000000"/>
              <w:bottom w:val="single" w:sz="8" w:space="0" w:color="000000"/>
              <w:right w:val="single" w:sz="8" w:space="0" w:color="000000"/>
            </w:tcBorders>
            <w:vAlign w:val="center"/>
            <w:hideMark/>
          </w:tcPr>
          <w:p w14:paraId="624C5BFF"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Simultáneo en 24 provincia</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6722C84"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1</w:t>
            </w:r>
          </w:p>
        </w:tc>
      </w:tr>
      <w:tr w:rsidR="00A72E6A" w:rsidRPr="00775AE5" w14:paraId="6107D609" w14:textId="77777777" w:rsidTr="00D2275C">
        <w:trPr>
          <w:trHeight w:val="620"/>
          <w:jc w:val="center"/>
        </w:trPr>
        <w:tc>
          <w:tcPr>
            <w:tcW w:w="2715" w:type="dxa"/>
            <w:tcBorders>
              <w:top w:val="single" w:sz="8" w:space="0" w:color="000000"/>
              <w:left w:val="single" w:sz="8" w:space="0" w:color="000000"/>
              <w:bottom w:val="single" w:sz="8" w:space="0" w:color="000000"/>
              <w:right w:val="single" w:sz="8" w:space="0" w:color="000000"/>
            </w:tcBorders>
            <w:vAlign w:val="center"/>
            <w:hideMark/>
          </w:tcPr>
          <w:p w14:paraId="188E4EA4" w14:textId="77777777" w:rsidR="00A72E6A" w:rsidRPr="00775AE5" w:rsidRDefault="00A72E6A" w:rsidP="00D2275C">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Ministerio de trabajo/ directores de talento humano de la función ejecutiva</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66BAC44"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Socialización informativa programa de reparación a víctimas y situación de las víctimas por caso y provincia</w:t>
            </w:r>
          </w:p>
        </w:tc>
        <w:tc>
          <w:tcPr>
            <w:tcW w:w="1444" w:type="dxa"/>
            <w:tcBorders>
              <w:top w:val="single" w:sz="8" w:space="0" w:color="000000"/>
              <w:left w:val="single" w:sz="8" w:space="0" w:color="000000"/>
              <w:bottom w:val="single" w:sz="8" w:space="0" w:color="000000"/>
              <w:right w:val="single" w:sz="8" w:space="0" w:color="000000"/>
            </w:tcBorders>
            <w:vAlign w:val="center"/>
            <w:hideMark/>
          </w:tcPr>
          <w:p w14:paraId="0BBC7982"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Pichincha</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88E2AAB"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10</w:t>
            </w:r>
          </w:p>
        </w:tc>
      </w:tr>
      <w:tr w:rsidR="00A72E6A" w:rsidRPr="00775AE5" w14:paraId="01C49331" w14:textId="77777777" w:rsidTr="00D2275C">
        <w:trPr>
          <w:trHeight w:val="300"/>
          <w:jc w:val="center"/>
        </w:trPr>
        <w:tc>
          <w:tcPr>
            <w:tcW w:w="2715" w:type="dxa"/>
            <w:tcBorders>
              <w:top w:val="single" w:sz="8" w:space="0" w:color="000000"/>
              <w:left w:val="single" w:sz="8" w:space="0" w:color="000000"/>
              <w:bottom w:val="single" w:sz="8" w:space="0" w:color="000000"/>
              <w:right w:val="single" w:sz="8" w:space="0" w:color="000000"/>
            </w:tcBorders>
            <w:vAlign w:val="center"/>
            <w:hideMark/>
          </w:tcPr>
          <w:p w14:paraId="04AAF10A"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Ministerio de Salud</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CEDB0F9"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Herramientas de atención y reparación a víctimas con enfoque psicosocial</w:t>
            </w:r>
          </w:p>
        </w:tc>
        <w:tc>
          <w:tcPr>
            <w:tcW w:w="1444" w:type="dxa"/>
            <w:tcBorders>
              <w:top w:val="single" w:sz="8" w:space="0" w:color="000000"/>
              <w:left w:val="single" w:sz="8" w:space="0" w:color="000000"/>
              <w:bottom w:val="single" w:sz="8" w:space="0" w:color="000000"/>
              <w:right w:val="single" w:sz="8" w:space="0" w:color="000000"/>
            </w:tcBorders>
            <w:vAlign w:val="center"/>
            <w:hideMark/>
          </w:tcPr>
          <w:p w14:paraId="35AB1DF8" w14:textId="77777777" w:rsidR="00A72E6A" w:rsidRPr="00775AE5" w:rsidRDefault="00D2275C" w:rsidP="00D2275C">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Guayas, El Oro, P</w:t>
            </w:r>
            <w:r w:rsidR="00A72E6A" w:rsidRPr="00775AE5">
              <w:rPr>
                <w:rFonts w:ascii="Arial" w:eastAsia="Calibri" w:hAnsi="Arial" w:cs="Arial"/>
                <w:sz w:val="22"/>
                <w:szCs w:val="22"/>
                <w:lang w:val="es-ES"/>
              </w:rPr>
              <w:t>ichincha</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0A980F3"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20</w:t>
            </w:r>
          </w:p>
        </w:tc>
      </w:tr>
      <w:tr w:rsidR="00A72E6A" w:rsidRPr="00775AE5" w14:paraId="5F519C66" w14:textId="77777777" w:rsidTr="00D2275C">
        <w:trPr>
          <w:trHeight w:val="20"/>
          <w:jc w:val="center"/>
        </w:trPr>
        <w:tc>
          <w:tcPr>
            <w:tcW w:w="2715" w:type="dxa"/>
            <w:tcBorders>
              <w:top w:val="single" w:sz="8" w:space="0" w:color="000000"/>
              <w:left w:val="single" w:sz="8" w:space="0" w:color="000000"/>
              <w:bottom w:val="single" w:sz="8" w:space="0" w:color="000000"/>
              <w:right w:val="single" w:sz="8" w:space="0" w:color="000000"/>
            </w:tcBorders>
            <w:vAlign w:val="center"/>
            <w:hideMark/>
          </w:tcPr>
          <w:p w14:paraId="6D4F7905"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Ministerio de Trabajo</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CE29F54"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Socialización del informe de la Comisión de la Verdad</w:t>
            </w:r>
          </w:p>
        </w:tc>
        <w:tc>
          <w:tcPr>
            <w:tcW w:w="1444" w:type="dxa"/>
            <w:tcBorders>
              <w:top w:val="single" w:sz="8" w:space="0" w:color="000000"/>
              <w:left w:val="single" w:sz="8" w:space="0" w:color="000000"/>
              <w:bottom w:val="single" w:sz="8" w:space="0" w:color="000000"/>
              <w:right w:val="single" w:sz="8" w:space="0" w:color="000000"/>
            </w:tcBorders>
            <w:vAlign w:val="center"/>
            <w:hideMark/>
          </w:tcPr>
          <w:p w14:paraId="3D07110A" w14:textId="77777777" w:rsidR="00A72E6A" w:rsidRPr="00775AE5" w:rsidRDefault="00A72E6A" w:rsidP="00390DF2">
            <w:pPr>
              <w:spacing w:line="276" w:lineRule="auto"/>
              <w:jc w:val="both"/>
              <w:rPr>
                <w:rFonts w:ascii="Arial" w:eastAsia="Calibri" w:hAnsi="Arial" w:cs="Arial"/>
                <w:sz w:val="22"/>
                <w:szCs w:val="22"/>
                <w:lang w:val="es-ES" w:eastAsia="es-ES"/>
              </w:rPr>
            </w:pPr>
            <w:r w:rsidRPr="00775AE5">
              <w:rPr>
                <w:rFonts w:ascii="Arial" w:eastAsia="Calibri" w:hAnsi="Arial" w:cs="Arial"/>
                <w:sz w:val="22"/>
                <w:szCs w:val="22"/>
                <w:lang w:val="es-ES"/>
              </w:rPr>
              <w:t>24 provincias</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32576F6" w14:textId="77777777" w:rsidR="00A72E6A" w:rsidRPr="00775AE5" w:rsidRDefault="00A72E6A" w:rsidP="0038002B">
            <w:pPr>
              <w:spacing w:line="276" w:lineRule="auto"/>
              <w:jc w:val="center"/>
              <w:rPr>
                <w:rFonts w:ascii="Arial" w:eastAsia="Calibri" w:hAnsi="Arial" w:cs="Arial"/>
                <w:sz w:val="22"/>
                <w:szCs w:val="22"/>
                <w:lang w:val="es-ES" w:eastAsia="es-ES"/>
              </w:rPr>
            </w:pPr>
            <w:r w:rsidRPr="00775AE5">
              <w:rPr>
                <w:rFonts w:ascii="Arial" w:eastAsia="Calibri" w:hAnsi="Arial" w:cs="Arial"/>
                <w:sz w:val="22"/>
                <w:szCs w:val="22"/>
                <w:lang w:val="es-ES"/>
              </w:rPr>
              <w:t>24</w:t>
            </w:r>
          </w:p>
        </w:tc>
      </w:tr>
    </w:tbl>
    <w:p w14:paraId="58E9D782" w14:textId="77777777" w:rsidR="00A72E6A" w:rsidRPr="00775AE5" w:rsidRDefault="00A72E6A" w:rsidP="00D240C9">
      <w:pPr>
        <w:spacing w:line="276" w:lineRule="auto"/>
        <w:jc w:val="center"/>
        <w:rPr>
          <w:rFonts w:ascii="Arial" w:eastAsia="Calibri" w:hAnsi="Arial" w:cs="Arial"/>
          <w:sz w:val="22"/>
          <w:szCs w:val="22"/>
          <w:lang w:val="es-ES"/>
        </w:rPr>
      </w:pPr>
      <w:r w:rsidRPr="00775AE5">
        <w:rPr>
          <w:rFonts w:ascii="Arial" w:eastAsia="Calibri" w:hAnsi="Arial" w:cs="Arial"/>
          <w:b/>
          <w:sz w:val="22"/>
          <w:szCs w:val="22"/>
          <w:lang w:val="es-ES"/>
        </w:rPr>
        <w:t xml:space="preserve">Fuente y elaboración: </w:t>
      </w:r>
      <w:r w:rsidRPr="00775AE5">
        <w:rPr>
          <w:rFonts w:ascii="Arial" w:eastAsia="Calibri" w:hAnsi="Arial" w:cs="Arial"/>
          <w:sz w:val="22"/>
          <w:szCs w:val="22"/>
          <w:lang w:val="es-ES"/>
        </w:rPr>
        <w:t>Dirección Nacional de Reparación a Víctimas y Protección Contra la Impunidad</w:t>
      </w:r>
    </w:p>
    <w:p w14:paraId="1DFD89FE" w14:textId="77777777" w:rsidR="00F360AF" w:rsidRPr="00775AE5" w:rsidRDefault="00F360AF" w:rsidP="00390DF2">
      <w:pPr>
        <w:spacing w:line="276" w:lineRule="auto"/>
        <w:contextualSpacing/>
        <w:rPr>
          <w:rFonts w:ascii="Arial" w:hAnsi="Arial" w:cs="Arial"/>
          <w:sz w:val="22"/>
          <w:szCs w:val="22"/>
          <w:highlight w:val="white"/>
          <w:lang w:val="es-ES"/>
        </w:rPr>
      </w:pPr>
    </w:p>
    <w:p w14:paraId="22A3A11A" w14:textId="77777777" w:rsidR="0038002B" w:rsidRPr="00775AE5" w:rsidRDefault="0038002B" w:rsidP="00390DF2">
      <w:pPr>
        <w:spacing w:line="276" w:lineRule="auto"/>
        <w:contextualSpacing/>
        <w:rPr>
          <w:rFonts w:ascii="Arial" w:hAnsi="Arial" w:cs="Arial"/>
          <w:sz w:val="22"/>
          <w:szCs w:val="22"/>
          <w:highlight w:val="white"/>
          <w:lang w:val="es-ES"/>
        </w:rPr>
      </w:pPr>
    </w:p>
    <w:p w14:paraId="7A683563" w14:textId="77777777" w:rsidR="00F360AF" w:rsidRPr="00775AE5" w:rsidRDefault="00BB3180" w:rsidP="00390DF2">
      <w:pPr>
        <w:pStyle w:val="Heading4"/>
        <w:spacing w:before="0" w:after="0" w:line="276" w:lineRule="auto"/>
        <w:rPr>
          <w:rFonts w:ascii="Arial" w:hAnsi="Arial" w:cs="Arial"/>
          <w:i w:val="0"/>
          <w:sz w:val="22"/>
          <w:szCs w:val="22"/>
          <w:lang w:val="es-ES"/>
        </w:rPr>
      </w:pPr>
      <w:r w:rsidRPr="00775AE5">
        <w:rPr>
          <w:rFonts w:ascii="Arial" w:hAnsi="Arial" w:cs="Arial"/>
          <w:i w:val="0"/>
          <w:sz w:val="22"/>
          <w:szCs w:val="22"/>
          <w:lang w:val="es-ES"/>
        </w:rPr>
        <w:t>7</w:t>
      </w:r>
      <w:r w:rsidR="0038002B" w:rsidRPr="00775AE5">
        <w:rPr>
          <w:rFonts w:ascii="Arial" w:hAnsi="Arial" w:cs="Arial"/>
          <w:i w:val="0"/>
          <w:sz w:val="22"/>
          <w:szCs w:val="22"/>
          <w:lang w:val="es-ES"/>
        </w:rPr>
        <w:t>.1.6</w:t>
      </w:r>
      <w:r w:rsidR="00346990" w:rsidRPr="00775AE5">
        <w:rPr>
          <w:rFonts w:ascii="Arial" w:hAnsi="Arial" w:cs="Arial"/>
          <w:i w:val="0"/>
          <w:sz w:val="22"/>
          <w:szCs w:val="22"/>
          <w:lang w:val="es-ES"/>
        </w:rPr>
        <w:t xml:space="preserve">. </w:t>
      </w:r>
      <w:r w:rsidR="00F360AF" w:rsidRPr="00775AE5">
        <w:rPr>
          <w:rFonts w:ascii="Arial" w:hAnsi="Arial" w:cs="Arial"/>
          <w:i w:val="0"/>
          <w:sz w:val="22"/>
          <w:szCs w:val="22"/>
          <w:lang w:val="es-ES"/>
        </w:rPr>
        <w:t>Reparación por vía Administrativa a nivel internacional</w:t>
      </w:r>
    </w:p>
    <w:p w14:paraId="0AD51A18" w14:textId="77777777" w:rsidR="00176F0C" w:rsidRPr="00775AE5" w:rsidRDefault="00176F0C" w:rsidP="00390DF2">
      <w:pPr>
        <w:spacing w:line="276" w:lineRule="auto"/>
        <w:rPr>
          <w:rFonts w:ascii="Arial" w:hAnsi="Arial" w:cs="Arial"/>
          <w:sz w:val="22"/>
          <w:szCs w:val="22"/>
          <w:lang w:val="es-ES"/>
        </w:rPr>
      </w:pPr>
    </w:p>
    <w:p w14:paraId="2C56B967" w14:textId="77777777" w:rsidR="00F360AF" w:rsidRPr="00775AE5" w:rsidRDefault="00F360AF" w:rsidP="00390DF2">
      <w:pPr>
        <w:pBdr>
          <w:top w:val="nil"/>
          <w:left w:val="nil"/>
          <w:bottom w:val="nil"/>
          <w:right w:val="nil"/>
          <w:between w:val="nil"/>
        </w:pBdr>
        <w:spacing w:line="276" w:lineRule="auto"/>
        <w:contextualSpacing/>
        <w:jc w:val="both"/>
        <w:rPr>
          <w:rFonts w:ascii="Arial" w:hAnsi="Arial" w:cs="Arial"/>
          <w:color w:val="000000"/>
          <w:sz w:val="22"/>
          <w:szCs w:val="22"/>
          <w:lang w:val="es-ES"/>
        </w:rPr>
      </w:pPr>
      <w:r w:rsidRPr="00775AE5">
        <w:rPr>
          <w:rFonts w:ascii="Arial" w:hAnsi="Arial" w:cs="Arial"/>
          <w:color w:val="000000"/>
          <w:sz w:val="22"/>
          <w:szCs w:val="22"/>
          <w:lang w:val="es-ES"/>
        </w:rPr>
        <w:t>La Corte Interamericana de Derechos Humanos realizó un análisis de la actividad desarrollada por la Defensoría del Pueblo, en la Sentencia del caso Vásquez Durand vs Ecuador, y reconoció y valoró los avances a partir de la promulgación de la Ley de Reparación a Víctimas señalando:</w:t>
      </w:r>
    </w:p>
    <w:p w14:paraId="16135E1E" w14:textId="77777777" w:rsidR="00F360AF" w:rsidRPr="00775AE5" w:rsidRDefault="00F360AF" w:rsidP="00390DF2">
      <w:pPr>
        <w:pBdr>
          <w:top w:val="nil"/>
          <w:left w:val="nil"/>
          <w:bottom w:val="nil"/>
          <w:right w:val="nil"/>
          <w:between w:val="nil"/>
        </w:pBdr>
        <w:spacing w:line="276" w:lineRule="auto"/>
        <w:contextualSpacing/>
        <w:jc w:val="both"/>
        <w:rPr>
          <w:rFonts w:ascii="Arial" w:hAnsi="Arial" w:cs="Arial"/>
          <w:color w:val="000000"/>
          <w:sz w:val="22"/>
          <w:szCs w:val="22"/>
          <w:lang w:val="es-ES"/>
        </w:rPr>
      </w:pPr>
    </w:p>
    <w:p w14:paraId="000E5322" w14:textId="77777777" w:rsidR="00F360AF" w:rsidRPr="00775AE5" w:rsidRDefault="00F360AF" w:rsidP="00390DF2">
      <w:pPr>
        <w:pBdr>
          <w:top w:val="nil"/>
          <w:left w:val="nil"/>
          <w:bottom w:val="nil"/>
          <w:right w:val="nil"/>
          <w:between w:val="nil"/>
        </w:pBdr>
        <w:spacing w:line="276" w:lineRule="auto"/>
        <w:ind w:left="709"/>
        <w:contextualSpacing/>
        <w:jc w:val="both"/>
        <w:rPr>
          <w:rFonts w:ascii="Arial" w:hAnsi="Arial" w:cs="Arial"/>
          <w:iCs/>
          <w:color w:val="000000"/>
          <w:sz w:val="22"/>
          <w:szCs w:val="22"/>
          <w:lang w:val="es-ES"/>
        </w:rPr>
      </w:pPr>
      <w:r w:rsidRPr="00775AE5">
        <w:rPr>
          <w:rFonts w:ascii="Arial" w:hAnsi="Arial" w:cs="Arial"/>
          <w:iCs/>
          <w:color w:val="000000"/>
          <w:sz w:val="22"/>
          <w:szCs w:val="22"/>
          <w:lang w:val="es-ES"/>
        </w:rPr>
        <w:t>La Corte reconoce y valora los avances llevados a cabo por el Estado en materia de reparación de víctimas de derechos humanos y crímenes de lesa humanidad, los cuales se han venido desarrollando a partir de la promulgación de la Ley para Reparación de Víctimas y Judicialización, así como su Reglamento. En el presente caso, la Corte advierte que el sistema administrativo de reparaciones no ha sido utilizado por las víctimas.</w:t>
      </w:r>
      <w:r w:rsidRPr="00775AE5">
        <w:rPr>
          <w:rFonts w:ascii="Arial" w:hAnsi="Arial" w:cs="Arial"/>
          <w:iCs/>
          <w:color w:val="000000"/>
          <w:sz w:val="22"/>
          <w:szCs w:val="22"/>
          <w:vertAlign w:val="superscript"/>
          <w:lang w:val="es-ES"/>
        </w:rPr>
        <w:footnoteReference w:id="9"/>
      </w:r>
      <w:r w:rsidRPr="00775AE5">
        <w:rPr>
          <w:rFonts w:ascii="Arial" w:hAnsi="Arial" w:cs="Arial"/>
          <w:iCs/>
          <w:color w:val="000000"/>
          <w:sz w:val="22"/>
          <w:szCs w:val="22"/>
          <w:lang w:val="es-ES"/>
        </w:rPr>
        <w:t xml:space="preserve"> </w:t>
      </w:r>
    </w:p>
    <w:p w14:paraId="4097F59A" w14:textId="77777777" w:rsidR="00F360AF" w:rsidRPr="00775AE5" w:rsidRDefault="00F360AF" w:rsidP="00390DF2">
      <w:pPr>
        <w:pBdr>
          <w:top w:val="nil"/>
          <w:left w:val="nil"/>
          <w:bottom w:val="nil"/>
          <w:right w:val="nil"/>
          <w:between w:val="nil"/>
        </w:pBdr>
        <w:spacing w:line="276" w:lineRule="auto"/>
        <w:contextualSpacing/>
        <w:jc w:val="both"/>
        <w:rPr>
          <w:rFonts w:ascii="Arial" w:hAnsi="Arial" w:cs="Arial"/>
          <w:color w:val="000000"/>
          <w:sz w:val="22"/>
          <w:szCs w:val="22"/>
          <w:lang w:val="es-ES"/>
        </w:rPr>
      </w:pPr>
    </w:p>
    <w:p w14:paraId="20B5DBE8" w14:textId="77777777" w:rsidR="00F360AF" w:rsidRPr="00775AE5" w:rsidRDefault="00F360AF" w:rsidP="00390DF2">
      <w:pPr>
        <w:pBdr>
          <w:top w:val="nil"/>
          <w:left w:val="nil"/>
          <w:bottom w:val="nil"/>
          <w:right w:val="nil"/>
          <w:between w:val="nil"/>
        </w:pBdr>
        <w:spacing w:line="276" w:lineRule="auto"/>
        <w:contextualSpacing/>
        <w:jc w:val="both"/>
        <w:rPr>
          <w:rFonts w:ascii="Arial" w:hAnsi="Arial" w:cs="Arial"/>
          <w:color w:val="000000"/>
          <w:sz w:val="22"/>
          <w:szCs w:val="22"/>
          <w:lang w:val="es-ES"/>
        </w:rPr>
      </w:pPr>
      <w:r w:rsidRPr="00775AE5">
        <w:rPr>
          <w:rFonts w:ascii="Arial" w:hAnsi="Arial" w:cs="Arial"/>
          <w:color w:val="000000"/>
          <w:sz w:val="22"/>
          <w:szCs w:val="22"/>
          <w:lang w:val="es-ES"/>
        </w:rPr>
        <w:t xml:space="preserve">Por su parte, el Comité de Derechos Humanos de Naciones Unidas aprobó las observaciones finales al sexto informe periódico realizado al Estado ecuatoriano, que: </w:t>
      </w:r>
      <w:r w:rsidRPr="00775AE5">
        <w:rPr>
          <w:rFonts w:ascii="Arial" w:hAnsi="Arial" w:cs="Arial"/>
          <w:iCs/>
          <w:color w:val="000000"/>
          <w:sz w:val="22"/>
          <w:szCs w:val="22"/>
          <w:lang w:val="es-ES"/>
        </w:rPr>
        <w:t>“…toma nota de las acciones desplegadas por la Defensoría del Pueblo para otorgar reparación a las víctimas…”</w:t>
      </w:r>
      <w:r w:rsidRPr="00775AE5">
        <w:rPr>
          <w:rFonts w:ascii="Arial" w:hAnsi="Arial" w:cs="Arial"/>
          <w:iCs/>
          <w:color w:val="000000"/>
          <w:sz w:val="22"/>
          <w:szCs w:val="22"/>
          <w:vertAlign w:val="superscript"/>
          <w:lang w:val="es-ES"/>
        </w:rPr>
        <w:footnoteReference w:id="10"/>
      </w:r>
    </w:p>
    <w:p w14:paraId="7BC214EA" w14:textId="77777777" w:rsidR="00F360AF" w:rsidRPr="00775AE5" w:rsidRDefault="00F360AF" w:rsidP="00390DF2">
      <w:pPr>
        <w:spacing w:line="276" w:lineRule="auto"/>
        <w:contextualSpacing/>
        <w:jc w:val="both"/>
        <w:rPr>
          <w:rFonts w:ascii="Arial" w:hAnsi="Arial" w:cs="Arial"/>
          <w:sz w:val="22"/>
          <w:szCs w:val="22"/>
          <w:lang w:val="es-ES"/>
        </w:rPr>
      </w:pPr>
    </w:p>
    <w:p w14:paraId="5FA959B4" w14:textId="77777777" w:rsidR="00F360AF" w:rsidRPr="00775AE5" w:rsidRDefault="00BB3180" w:rsidP="00390DF2">
      <w:pPr>
        <w:pStyle w:val="Heading4"/>
        <w:spacing w:before="0" w:after="0" w:line="276" w:lineRule="auto"/>
        <w:rPr>
          <w:rFonts w:ascii="Arial" w:hAnsi="Arial" w:cs="Arial"/>
          <w:i w:val="0"/>
          <w:sz w:val="22"/>
          <w:szCs w:val="22"/>
          <w:lang w:val="es-ES"/>
        </w:rPr>
      </w:pPr>
      <w:r w:rsidRPr="00775AE5">
        <w:rPr>
          <w:rFonts w:ascii="Arial" w:hAnsi="Arial" w:cs="Arial"/>
          <w:i w:val="0"/>
          <w:sz w:val="22"/>
          <w:szCs w:val="22"/>
          <w:lang w:val="es-ES"/>
        </w:rPr>
        <w:t>7</w:t>
      </w:r>
      <w:r w:rsidR="00346990" w:rsidRPr="00775AE5">
        <w:rPr>
          <w:rFonts w:ascii="Arial" w:hAnsi="Arial" w:cs="Arial"/>
          <w:i w:val="0"/>
          <w:sz w:val="22"/>
          <w:szCs w:val="22"/>
          <w:lang w:val="es-ES"/>
        </w:rPr>
        <w:t>.1.</w:t>
      </w:r>
      <w:r w:rsidR="0038002B" w:rsidRPr="00775AE5">
        <w:rPr>
          <w:rFonts w:ascii="Arial" w:hAnsi="Arial" w:cs="Arial"/>
          <w:i w:val="0"/>
          <w:sz w:val="22"/>
          <w:szCs w:val="22"/>
          <w:lang w:val="es-ES"/>
        </w:rPr>
        <w:t>7</w:t>
      </w:r>
      <w:r w:rsidR="00346990" w:rsidRPr="00775AE5">
        <w:rPr>
          <w:rFonts w:ascii="Arial" w:hAnsi="Arial" w:cs="Arial"/>
          <w:i w:val="0"/>
          <w:sz w:val="22"/>
          <w:szCs w:val="22"/>
          <w:lang w:val="es-ES"/>
        </w:rPr>
        <w:t xml:space="preserve">. </w:t>
      </w:r>
      <w:r w:rsidR="00F360AF" w:rsidRPr="00775AE5">
        <w:rPr>
          <w:rFonts w:ascii="Arial" w:hAnsi="Arial" w:cs="Arial"/>
          <w:i w:val="0"/>
          <w:sz w:val="22"/>
          <w:szCs w:val="22"/>
          <w:lang w:val="es-ES"/>
        </w:rPr>
        <w:t xml:space="preserve">Proceso de Reparación Material – Indemnizatorio </w:t>
      </w:r>
    </w:p>
    <w:p w14:paraId="7EE3429A" w14:textId="77777777" w:rsidR="005B2F09" w:rsidRPr="00775AE5" w:rsidRDefault="005B2F09" w:rsidP="005B2F09">
      <w:pPr>
        <w:rPr>
          <w:rFonts w:ascii="Arial" w:hAnsi="Arial" w:cs="Arial"/>
          <w:sz w:val="22"/>
          <w:szCs w:val="22"/>
          <w:lang w:val="es-ES"/>
        </w:rPr>
      </w:pPr>
    </w:p>
    <w:p w14:paraId="6F7F0395" w14:textId="77777777" w:rsidR="00D43957" w:rsidRPr="00775AE5" w:rsidRDefault="00D43957" w:rsidP="00D43957">
      <w:pPr>
        <w:spacing w:line="276" w:lineRule="auto"/>
        <w:jc w:val="both"/>
        <w:rPr>
          <w:rFonts w:ascii="Arial" w:hAnsi="Arial" w:cs="Arial"/>
          <w:sz w:val="22"/>
          <w:szCs w:val="22"/>
          <w:lang w:val="es-ES"/>
        </w:rPr>
      </w:pPr>
      <w:r w:rsidRPr="00775AE5">
        <w:rPr>
          <w:rFonts w:ascii="Arial" w:hAnsi="Arial" w:cs="Arial"/>
          <w:sz w:val="22"/>
          <w:szCs w:val="22"/>
          <w:lang w:val="es-ES"/>
        </w:rPr>
        <w:t xml:space="preserve">Como se mencionó anteriormente la Ley de Reparación a Víctimas contempla que el proceso de reparación material – indemnizatorio, está a cargo del Ex Ministerio de Justicia, Derechos Humanos y Cultos, actual Ministerio de la Mujer y Derechos Humanos. </w:t>
      </w:r>
    </w:p>
    <w:p w14:paraId="76B94BDC" w14:textId="77777777" w:rsidR="00493B87" w:rsidRPr="00775AE5" w:rsidRDefault="00493B87" w:rsidP="00390DF2">
      <w:pPr>
        <w:spacing w:line="276" w:lineRule="auto"/>
        <w:jc w:val="both"/>
        <w:rPr>
          <w:rFonts w:ascii="Arial" w:hAnsi="Arial" w:cs="Arial"/>
          <w:sz w:val="22"/>
          <w:szCs w:val="22"/>
          <w:lang w:val="es-ES"/>
        </w:rPr>
      </w:pPr>
    </w:p>
    <w:p w14:paraId="3DA023F1" w14:textId="77777777" w:rsidR="00D43957" w:rsidRPr="00775AE5" w:rsidRDefault="00D43957" w:rsidP="00D43957">
      <w:pPr>
        <w:spacing w:line="276" w:lineRule="auto"/>
        <w:contextualSpacing/>
        <w:jc w:val="both"/>
        <w:rPr>
          <w:rFonts w:ascii="Arial" w:hAnsi="Arial" w:cs="Arial"/>
          <w:sz w:val="22"/>
          <w:szCs w:val="22"/>
          <w:lang w:val="es-ES"/>
        </w:rPr>
      </w:pPr>
      <w:r w:rsidRPr="00775AE5">
        <w:rPr>
          <w:rFonts w:ascii="Arial" w:hAnsi="Arial" w:cs="Arial"/>
          <w:sz w:val="22"/>
          <w:szCs w:val="22"/>
          <w:lang w:val="es-ES"/>
        </w:rPr>
        <w:t>En este marco, la Defensoría del Pueblo ha suscrito un total de 326 Acuerdos de Reparación Inmaterial, los que han sido remitidos en su totalidad para el proceso de indemnización material a cargo del Ex Ministerio de Justicia, Derechos Humanos y Cultos.</w:t>
      </w:r>
    </w:p>
    <w:p w14:paraId="438FB97B" w14:textId="77777777" w:rsidR="00D43957" w:rsidRPr="00775AE5" w:rsidRDefault="00D43957" w:rsidP="00D43957">
      <w:pPr>
        <w:spacing w:line="276" w:lineRule="auto"/>
        <w:jc w:val="both"/>
        <w:rPr>
          <w:rFonts w:ascii="Arial" w:hAnsi="Arial" w:cs="Arial"/>
          <w:sz w:val="22"/>
          <w:szCs w:val="22"/>
          <w:lang w:val="es-ES"/>
        </w:rPr>
      </w:pPr>
    </w:p>
    <w:p w14:paraId="7BCB70DB" w14:textId="77777777" w:rsidR="00D43957" w:rsidRPr="00775AE5" w:rsidRDefault="00D43957" w:rsidP="00D43957">
      <w:pPr>
        <w:spacing w:line="276" w:lineRule="auto"/>
        <w:jc w:val="both"/>
        <w:rPr>
          <w:rFonts w:ascii="Arial" w:hAnsi="Arial" w:cs="Arial"/>
          <w:color w:val="000000"/>
          <w:sz w:val="22"/>
          <w:szCs w:val="22"/>
          <w:lang w:val="es-ES"/>
        </w:rPr>
      </w:pPr>
      <w:r w:rsidRPr="00775AE5">
        <w:rPr>
          <w:rFonts w:ascii="Arial" w:hAnsi="Arial" w:cs="Arial"/>
          <w:sz w:val="22"/>
          <w:szCs w:val="22"/>
          <w:lang w:val="es-ES"/>
        </w:rPr>
        <w:t>Es preciso señalar que conforme lo establecido en la Resolución SDH – SDH – 2019 – 0013 – R, que establece el Reglamento del Procedimiento para la Suscripción de Acuerdos Indemnizatorios con Víctimas Documentadas en el Informe de la Comisión de la Verdad, la Defensoría del Pueblo participa del procedimiento en calidad de observador, a fin de sustentar cualquier aspecto derivado del expediente tramitado dentro del Programa de Reparación por vía Administrativa</w:t>
      </w:r>
      <w:r w:rsidRPr="00775AE5">
        <w:rPr>
          <w:rStyle w:val="FootnoteReference"/>
          <w:rFonts w:ascii="Arial" w:hAnsi="Arial" w:cs="Arial"/>
          <w:color w:val="000000"/>
          <w:sz w:val="22"/>
          <w:szCs w:val="22"/>
          <w:lang w:val="es-ES"/>
        </w:rPr>
        <w:footnoteReference w:id="11"/>
      </w:r>
      <w:r w:rsidRPr="00775AE5">
        <w:rPr>
          <w:rFonts w:ascii="Arial" w:hAnsi="Arial" w:cs="Arial"/>
          <w:color w:val="000000"/>
          <w:sz w:val="22"/>
          <w:szCs w:val="22"/>
          <w:lang w:val="es-ES"/>
        </w:rPr>
        <w:t>.</w:t>
      </w:r>
    </w:p>
    <w:p w14:paraId="46B58535" w14:textId="77777777" w:rsidR="00F360AF" w:rsidRPr="00775AE5" w:rsidRDefault="00F360AF" w:rsidP="00390DF2">
      <w:pPr>
        <w:spacing w:line="276" w:lineRule="auto"/>
        <w:rPr>
          <w:rFonts w:ascii="Arial" w:hAnsi="Arial" w:cs="Arial"/>
          <w:sz w:val="22"/>
          <w:szCs w:val="22"/>
          <w:lang w:val="es-ES"/>
        </w:rPr>
      </w:pPr>
    </w:p>
    <w:p w14:paraId="3CC421A3" w14:textId="77777777" w:rsidR="00F360AF" w:rsidRPr="00775AE5" w:rsidRDefault="00BB3180" w:rsidP="00390DF2">
      <w:pPr>
        <w:pStyle w:val="Heading4"/>
        <w:spacing w:before="0" w:after="0" w:line="276" w:lineRule="auto"/>
        <w:rPr>
          <w:rFonts w:ascii="Arial" w:hAnsi="Arial" w:cs="Arial"/>
          <w:i w:val="0"/>
          <w:sz w:val="22"/>
          <w:szCs w:val="22"/>
          <w:lang w:val="es-ES"/>
        </w:rPr>
      </w:pPr>
      <w:r w:rsidRPr="00775AE5">
        <w:rPr>
          <w:rFonts w:ascii="Arial" w:hAnsi="Arial" w:cs="Arial"/>
          <w:i w:val="0"/>
          <w:sz w:val="22"/>
          <w:szCs w:val="22"/>
          <w:lang w:val="es-ES"/>
        </w:rPr>
        <w:t>7</w:t>
      </w:r>
      <w:r w:rsidR="00346990" w:rsidRPr="00775AE5">
        <w:rPr>
          <w:rFonts w:ascii="Arial" w:hAnsi="Arial" w:cs="Arial"/>
          <w:i w:val="0"/>
          <w:sz w:val="22"/>
          <w:szCs w:val="22"/>
          <w:lang w:val="es-ES"/>
        </w:rPr>
        <w:t>.1.</w:t>
      </w:r>
      <w:r w:rsidR="00092F3A" w:rsidRPr="00775AE5">
        <w:rPr>
          <w:rFonts w:ascii="Arial" w:hAnsi="Arial" w:cs="Arial"/>
          <w:i w:val="0"/>
          <w:sz w:val="22"/>
          <w:szCs w:val="22"/>
          <w:lang w:val="es-ES"/>
        </w:rPr>
        <w:t>8</w:t>
      </w:r>
      <w:r w:rsidR="00346990" w:rsidRPr="00775AE5">
        <w:rPr>
          <w:rFonts w:ascii="Arial" w:hAnsi="Arial" w:cs="Arial"/>
          <w:i w:val="0"/>
          <w:sz w:val="22"/>
          <w:szCs w:val="22"/>
          <w:lang w:val="es-ES"/>
        </w:rPr>
        <w:t xml:space="preserve">. </w:t>
      </w:r>
      <w:r w:rsidR="00F360AF" w:rsidRPr="00775AE5">
        <w:rPr>
          <w:rFonts w:ascii="Arial" w:hAnsi="Arial" w:cs="Arial"/>
          <w:i w:val="0"/>
          <w:sz w:val="22"/>
          <w:szCs w:val="22"/>
          <w:lang w:val="es-ES"/>
        </w:rPr>
        <w:t>Proceso de judicialización de casos documentados por la Comisión de la Verdad</w:t>
      </w:r>
    </w:p>
    <w:p w14:paraId="4B4B4CD2" w14:textId="77777777" w:rsidR="00F360AF" w:rsidRPr="00775AE5" w:rsidRDefault="00F360AF" w:rsidP="00390DF2">
      <w:pPr>
        <w:spacing w:line="276" w:lineRule="auto"/>
        <w:rPr>
          <w:rFonts w:ascii="Arial" w:hAnsi="Arial" w:cs="Arial"/>
          <w:b/>
          <w:bCs/>
          <w:sz w:val="22"/>
          <w:szCs w:val="22"/>
          <w:lang w:val="es-ES"/>
        </w:rPr>
      </w:pPr>
    </w:p>
    <w:p w14:paraId="22CEEFA1" w14:textId="77777777" w:rsidR="00D43957" w:rsidRPr="00775AE5" w:rsidRDefault="00D43957" w:rsidP="00D43957">
      <w:pPr>
        <w:spacing w:line="276" w:lineRule="auto"/>
        <w:jc w:val="both"/>
        <w:rPr>
          <w:rFonts w:ascii="Arial" w:hAnsi="Arial" w:cs="Arial"/>
          <w:sz w:val="22"/>
          <w:szCs w:val="22"/>
          <w:lang w:val="es-ES"/>
        </w:rPr>
      </w:pPr>
      <w:r w:rsidRPr="00775AE5">
        <w:rPr>
          <w:rFonts w:ascii="Arial" w:hAnsi="Arial" w:cs="Arial"/>
          <w:sz w:val="22"/>
          <w:szCs w:val="22"/>
          <w:lang w:val="es-ES"/>
        </w:rPr>
        <w:t xml:space="preserve">La Constitución de la República del Ecuador, en su artículo 195 establece que la Fiscalía dirigirá, de oficio o a petición de parte, la investigación </w:t>
      </w:r>
      <w:proofErr w:type="spellStart"/>
      <w:r w:rsidRPr="00775AE5">
        <w:rPr>
          <w:rFonts w:ascii="Arial" w:hAnsi="Arial" w:cs="Arial"/>
          <w:sz w:val="22"/>
          <w:szCs w:val="22"/>
          <w:lang w:val="es-ES"/>
        </w:rPr>
        <w:t>preprocesal</w:t>
      </w:r>
      <w:proofErr w:type="spellEnd"/>
      <w:r w:rsidRPr="00775AE5">
        <w:rPr>
          <w:rFonts w:ascii="Arial" w:hAnsi="Arial" w:cs="Arial"/>
          <w:sz w:val="22"/>
          <w:szCs w:val="22"/>
          <w:lang w:val="es-ES"/>
        </w:rPr>
        <w:t xml:space="preserve"> y procesal penal, de esta forma se convierte en el órgano responsable de impulsar la judicialización de los casos documentados por la Comisión de la Verdad, esto en conjunto con los Juzgados y Tribunales en los niveles correspondientes.</w:t>
      </w:r>
    </w:p>
    <w:p w14:paraId="77CBB712" w14:textId="77777777" w:rsidR="00F360AF" w:rsidRPr="00775AE5" w:rsidRDefault="00F360AF" w:rsidP="00390DF2">
      <w:pPr>
        <w:spacing w:line="276" w:lineRule="auto"/>
        <w:rPr>
          <w:rFonts w:ascii="Arial" w:hAnsi="Arial" w:cs="Arial"/>
          <w:sz w:val="22"/>
          <w:szCs w:val="22"/>
          <w:lang w:val="es-ES"/>
        </w:rPr>
      </w:pPr>
    </w:p>
    <w:p w14:paraId="5D3B2799" w14:textId="7BBC9896" w:rsidR="00F360AF" w:rsidRPr="00775AE5" w:rsidRDefault="00AC3F0B" w:rsidP="00390DF2">
      <w:pPr>
        <w:spacing w:line="276" w:lineRule="auto"/>
        <w:jc w:val="both"/>
        <w:rPr>
          <w:rFonts w:ascii="Arial" w:hAnsi="Arial" w:cs="Arial"/>
          <w:sz w:val="22"/>
          <w:szCs w:val="22"/>
          <w:lang w:val="es-ES"/>
        </w:rPr>
      </w:pPr>
      <w:r w:rsidRPr="00775AE5">
        <w:rPr>
          <w:rFonts w:ascii="Arial" w:hAnsi="Arial" w:cs="Arial"/>
          <w:sz w:val="22"/>
          <w:szCs w:val="22"/>
          <w:lang w:val="es-ES"/>
        </w:rPr>
        <w:t>De acuerdo con</w:t>
      </w:r>
      <w:r w:rsidR="00E231EA" w:rsidRPr="00775AE5">
        <w:rPr>
          <w:rFonts w:ascii="Arial" w:hAnsi="Arial" w:cs="Arial"/>
          <w:sz w:val="22"/>
          <w:szCs w:val="22"/>
          <w:lang w:val="es-ES"/>
        </w:rPr>
        <w:t xml:space="preserve"> información remitida por la </w:t>
      </w:r>
      <w:r w:rsidR="00F360AF" w:rsidRPr="00775AE5">
        <w:rPr>
          <w:rFonts w:ascii="Arial" w:hAnsi="Arial" w:cs="Arial"/>
          <w:sz w:val="22"/>
          <w:szCs w:val="22"/>
          <w:lang w:val="es-ES"/>
        </w:rPr>
        <w:t xml:space="preserve">Dirección de Derechos Humanos y </w:t>
      </w:r>
      <w:r w:rsidR="00E231EA" w:rsidRPr="00775AE5">
        <w:rPr>
          <w:rFonts w:ascii="Arial" w:hAnsi="Arial" w:cs="Arial"/>
          <w:sz w:val="22"/>
          <w:szCs w:val="22"/>
          <w:lang w:val="es-ES"/>
        </w:rPr>
        <w:t xml:space="preserve">Participación </w:t>
      </w:r>
      <w:r w:rsidR="000C2561" w:rsidRPr="00775AE5">
        <w:rPr>
          <w:rFonts w:ascii="Arial" w:hAnsi="Arial" w:cs="Arial"/>
          <w:sz w:val="22"/>
          <w:szCs w:val="22"/>
          <w:lang w:val="es-ES"/>
        </w:rPr>
        <w:t>Ciudadana de la Fiscalía General del Estado</w:t>
      </w:r>
      <w:r w:rsidR="000C2561" w:rsidRPr="00775AE5">
        <w:rPr>
          <w:rStyle w:val="FootnoteReference"/>
          <w:rFonts w:ascii="Arial" w:hAnsi="Arial" w:cs="Arial"/>
          <w:sz w:val="22"/>
          <w:szCs w:val="22"/>
          <w:lang w:val="es-ES"/>
        </w:rPr>
        <w:footnoteReference w:id="12"/>
      </w:r>
      <w:r w:rsidR="000C2561" w:rsidRPr="00775AE5">
        <w:rPr>
          <w:rFonts w:ascii="Arial" w:hAnsi="Arial" w:cs="Arial"/>
          <w:sz w:val="22"/>
          <w:szCs w:val="22"/>
          <w:lang w:val="es-ES"/>
        </w:rPr>
        <w:t xml:space="preserve">, </w:t>
      </w:r>
      <w:r w:rsidR="00E231EA" w:rsidRPr="00775AE5">
        <w:rPr>
          <w:rFonts w:ascii="Arial" w:hAnsi="Arial" w:cs="Arial"/>
          <w:sz w:val="22"/>
          <w:szCs w:val="22"/>
          <w:lang w:val="es-ES"/>
        </w:rPr>
        <w:t xml:space="preserve">esta </w:t>
      </w:r>
      <w:r w:rsidR="00F360AF" w:rsidRPr="00775AE5">
        <w:rPr>
          <w:rFonts w:ascii="Arial" w:hAnsi="Arial" w:cs="Arial"/>
          <w:sz w:val="22"/>
          <w:szCs w:val="22"/>
          <w:lang w:val="es-ES"/>
        </w:rPr>
        <w:t>Dirección cuenta con seis fiscales en Quito y un Fiscal, asignado desde abril 2019, para la Dirección por la Fiscalía Provincial de Azuay.</w:t>
      </w:r>
      <w:r w:rsidR="00E231EA" w:rsidRPr="00775AE5">
        <w:rPr>
          <w:rFonts w:ascii="Arial" w:hAnsi="Arial" w:cs="Arial"/>
          <w:sz w:val="22"/>
          <w:szCs w:val="22"/>
          <w:lang w:val="es-ES"/>
        </w:rPr>
        <w:t xml:space="preserve"> Y a</w:t>
      </w:r>
      <w:r w:rsidR="00F360AF" w:rsidRPr="00775AE5">
        <w:rPr>
          <w:rFonts w:ascii="Arial" w:hAnsi="Arial" w:cs="Arial"/>
          <w:sz w:val="22"/>
          <w:szCs w:val="22"/>
          <w:lang w:val="es-ES"/>
        </w:rPr>
        <w:t>ctualmente la dependencia tiene un total de 230 casos asignados que están siendo investigados y distribuidos entre 7 despachos; adicionalmente, asesora y brinda lineamientos en 14 casos asignados a otros agentes fiscales en distintas provincias del país.</w:t>
      </w:r>
    </w:p>
    <w:p w14:paraId="416AEE60" w14:textId="77777777" w:rsidR="00F360AF" w:rsidRPr="00775AE5" w:rsidRDefault="00F360AF" w:rsidP="00390DF2">
      <w:pPr>
        <w:spacing w:line="276" w:lineRule="auto"/>
        <w:ind w:left="709"/>
        <w:jc w:val="both"/>
        <w:rPr>
          <w:rFonts w:ascii="Arial" w:hAnsi="Arial" w:cs="Arial"/>
          <w:sz w:val="22"/>
          <w:szCs w:val="22"/>
          <w:lang w:val="es-ES"/>
        </w:rPr>
      </w:pPr>
    </w:p>
    <w:p w14:paraId="3E47B1E4" w14:textId="77777777" w:rsidR="00F360AF" w:rsidRPr="00775AE5" w:rsidRDefault="00F360AF" w:rsidP="00390DF2">
      <w:pPr>
        <w:spacing w:line="276" w:lineRule="auto"/>
        <w:jc w:val="both"/>
        <w:rPr>
          <w:rFonts w:ascii="Arial" w:hAnsi="Arial" w:cs="Arial"/>
          <w:sz w:val="22"/>
          <w:szCs w:val="22"/>
          <w:lang w:val="es-ES"/>
        </w:rPr>
      </w:pPr>
      <w:r w:rsidRPr="00775AE5">
        <w:rPr>
          <w:rFonts w:ascii="Arial" w:hAnsi="Arial" w:cs="Arial"/>
          <w:sz w:val="22"/>
          <w:szCs w:val="22"/>
          <w:lang w:val="es-ES"/>
        </w:rPr>
        <w:t>En lo que respecta al Informe de la Comisión de la Verdad,</w:t>
      </w:r>
      <w:r w:rsidR="00E231EA" w:rsidRPr="00775AE5">
        <w:rPr>
          <w:rFonts w:ascii="Arial" w:hAnsi="Arial" w:cs="Arial"/>
          <w:sz w:val="22"/>
          <w:szCs w:val="22"/>
          <w:lang w:val="es-ES"/>
        </w:rPr>
        <w:t xml:space="preserve"> se informó que</w:t>
      </w:r>
      <w:r w:rsidRPr="00775AE5">
        <w:rPr>
          <w:rFonts w:ascii="Arial" w:hAnsi="Arial" w:cs="Arial"/>
          <w:sz w:val="22"/>
          <w:szCs w:val="22"/>
          <w:lang w:val="es-ES"/>
        </w:rPr>
        <w:t xml:space="preserve"> la institución desagrega un total de 157 casos clasific</w:t>
      </w:r>
      <w:r w:rsidR="00762A93" w:rsidRPr="00775AE5">
        <w:rPr>
          <w:rFonts w:ascii="Arial" w:hAnsi="Arial" w:cs="Arial"/>
          <w:sz w:val="22"/>
          <w:szCs w:val="22"/>
          <w:lang w:val="es-ES"/>
        </w:rPr>
        <w:t>ados en tres categorías:</w:t>
      </w:r>
      <w:r w:rsidRPr="00775AE5">
        <w:rPr>
          <w:rFonts w:ascii="Arial" w:hAnsi="Arial" w:cs="Arial"/>
          <w:sz w:val="22"/>
          <w:szCs w:val="22"/>
          <w:lang w:val="es-ES"/>
        </w:rPr>
        <w:t xml:space="preserve"> 119 que se encuentran desarrollados en el Informe, 2 casos especiales, que así los consideraron en el propio Informe por su particularidad y 36 casos documentales, que por la imposibilidad de tomar contacto con las víctimas no fue posible ampliar ni ahondar en su contenido.</w:t>
      </w:r>
    </w:p>
    <w:p w14:paraId="5F804993" w14:textId="77777777" w:rsidR="00F360AF" w:rsidRPr="00775AE5" w:rsidRDefault="00F360AF" w:rsidP="00390DF2">
      <w:pPr>
        <w:spacing w:line="276" w:lineRule="auto"/>
        <w:ind w:left="709"/>
        <w:jc w:val="both"/>
        <w:rPr>
          <w:rFonts w:ascii="Arial" w:hAnsi="Arial" w:cs="Arial"/>
          <w:sz w:val="22"/>
          <w:szCs w:val="22"/>
          <w:lang w:val="es-ES"/>
        </w:rPr>
      </w:pPr>
    </w:p>
    <w:p w14:paraId="57936CC2" w14:textId="3B18E485" w:rsidR="00F360AF" w:rsidRPr="00775AE5" w:rsidRDefault="00E231EA" w:rsidP="00390DF2">
      <w:pPr>
        <w:spacing w:line="276" w:lineRule="auto"/>
        <w:jc w:val="both"/>
        <w:rPr>
          <w:rFonts w:ascii="Arial" w:hAnsi="Arial" w:cs="Arial"/>
          <w:sz w:val="22"/>
          <w:szCs w:val="22"/>
          <w:lang w:val="es-ES"/>
        </w:rPr>
      </w:pPr>
      <w:r w:rsidRPr="00775AE5">
        <w:rPr>
          <w:rFonts w:ascii="Arial" w:hAnsi="Arial" w:cs="Arial"/>
          <w:sz w:val="22"/>
          <w:szCs w:val="22"/>
          <w:lang w:val="es-ES"/>
        </w:rPr>
        <w:t xml:space="preserve">Finalmente, se menciona </w:t>
      </w:r>
      <w:r w:rsidR="00CA38EB" w:rsidRPr="00775AE5">
        <w:rPr>
          <w:rFonts w:ascii="Arial" w:hAnsi="Arial" w:cs="Arial"/>
          <w:sz w:val="22"/>
          <w:szCs w:val="22"/>
          <w:lang w:val="es-ES"/>
        </w:rPr>
        <w:t>que,</w:t>
      </w:r>
      <w:r w:rsidRPr="00775AE5">
        <w:rPr>
          <w:rFonts w:ascii="Arial" w:hAnsi="Arial" w:cs="Arial"/>
          <w:sz w:val="22"/>
          <w:szCs w:val="22"/>
          <w:lang w:val="es-ES"/>
        </w:rPr>
        <w:t xml:space="preserve"> p</w:t>
      </w:r>
      <w:r w:rsidR="00F360AF" w:rsidRPr="00775AE5">
        <w:rPr>
          <w:rFonts w:ascii="Arial" w:hAnsi="Arial" w:cs="Arial"/>
          <w:sz w:val="22"/>
          <w:szCs w:val="22"/>
          <w:lang w:val="es-ES"/>
        </w:rPr>
        <w:t>ara la judicialización de casos, la FGE considera a los casos que</w:t>
      </w:r>
      <w:r w:rsidR="006B3E1B" w:rsidRPr="00775AE5">
        <w:rPr>
          <w:rFonts w:ascii="Arial" w:hAnsi="Arial" w:cs="Arial"/>
          <w:sz w:val="22"/>
          <w:szCs w:val="22"/>
          <w:lang w:val="es-ES"/>
        </w:rPr>
        <w:t xml:space="preserve"> ya no están en la fase </w:t>
      </w:r>
      <w:proofErr w:type="spellStart"/>
      <w:r w:rsidR="006B3E1B" w:rsidRPr="00775AE5">
        <w:rPr>
          <w:rFonts w:ascii="Arial" w:hAnsi="Arial" w:cs="Arial"/>
          <w:sz w:val="22"/>
          <w:szCs w:val="22"/>
          <w:lang w:val="es-ES"/>
        </w:rPr>
        <w:t>pre-proc</w:t>
      </w:r>
      <w:r w:rsidR="00F360AF" w:rsidRPr="00775AE5">
        <w:rPr>
          <w:rFonts w:ascii="Arial" w:hAnsi="Arial" w:cs="Arial"/>
          <w:sz w:val="22"/>
          <w:szCs w:val="22"/>
          <w:lang w:val="es-ES"/>
        </w:rPr>
        <w:t>esal</w:t>
      </w:r>
      <w:proofErr w:type="spellEnd"/>
      <w:r w:rsidR="00F360AF" w:rsidRPr="00775AE5">
        <w:rPr>
          <w:rFonts w:ascii="Arial" w:hAnsi="Arial" w:cs="Arial"/>
          <w:sz w:val="22"/>
          <w:szCs w:val="22"/>
          <w:lang w:val="es-ES"/>
        </w:rPr>
        <w:t xml:space="preserve"> penal de la Investigación previa. Son los casos que han pasado a la formulación de cargos e inicio de la etapa de instrucción fiscal o su respectivo archivo o desestimación. Esto significa que la información procesada debe evidenciar el trabajo realizado por los agentes fiscales para llevar el caso a la etapa de instrucción fiscal, es decir para obtener todos los elementos de convicción que le permitan identificar la materialidad y responsabilidad de una infracción que constituya una grave violación a los </w:t>
      </w:r>
      <w:r w:rsidR="000C2561" w:rsidRPr="00775AE5">
        <w:rPr>
          <w:rFonts w:ascii="Arial" w:hAnsi="Arial" w:cs="Arial"/>
          <w:sz w:val="22"/>
          <w:szCs w:val="22"/>
          <w:lang w:val="es-ES"/>
        </w:rPr>
        <w:t>derechos humanos y un perpetrador</w:t>
      </w:r>
      <w:r w:rsidR="000C2561" w:rsidRPr="00775AE5">
        <w:rPr>
          <w:rStyle w:val="FootnoteReference"/>
          <w:rFonts w:ascii="Arial" w:hAnsi="Arial" w:cs="Arial"/>
          <w:sz w:val="22"/>
          <w:szCs w:val="22"/>
          <w:lang w:val="es-ES"/>
        </w:rPr>
        <w:footnoteReference w:id="13"/>
      </w:r>
      <w:r w:rsidR="000C2561" w:rsidRPr="00775AE5">
        <w:rPr>
          <w:rFonts w:ascii="Arial" w:hAnsi="Arial" w:cs="Arial"/>
          <w:sz w:val="22"/>
          <w:szCs w:val="22"/>
          <w:lang w:val="es-ES"/>
        </w:rPr>
        <w:t>.</w:t>
      </w:r>
    </w:p>
    <w:p w14:paraId="4DC03EF2" w14:textId="77777777" w:rsidR="00F360AF" w:rsidRPr="00775AE5" w:rsidRDefault="00F360AF" w:rsidP="00390DF2">
      <w:pPr>
        <w:spacing w:line="276" w:lineRule="auto"/>
        <w:jc w:val="both"/>
        <w:rPr>
          <w:rFonts w:ascii="Arial" w:hAnsi="Arial" w:cs="Arial"/>
          <w:sz w:val="22"/>
          <w:szCs w:val="22"/>
          <w:lang w:val="es-ES"/>
        </w:rPr>
      </w:pPr>
    </w:p>
    <w:p w14:paraId="633B960A" w14:textId="77777777" w:rsidR="00476ABD" w:rsidRPr="00775AE5" w:rsidRDefault="00476ABD" w:rsidP="00D240C9">
      <w:pPr>
        <w:spacing w:line="276" w:lineRule="auto"/>
        <w:contextualSpacing/>
        <w:jc w:val="center"/>
        <w:rPr>
          <w:rFonts w:ascii="Arial" w:hAnsi="Arial" w:cs="Arial"/>
          <w:b/>
          <w:bCs/>
          <w:sz w:val="22"/>
          <w:szCs w:val="22"/>
          <w:lang w:val="es-ES"/>
        </w:rPr>
      </w:pPr>
      <w:r w:rsidRPr="00775AE5">
        <w:rPr>
          <w:rFonts w:ascii="Arial" w:hAnsi="Arial" w:cs="Arial"/>
          <w:b/>
          <w:bCs/>
          <w:sz w:val="22"/>
          <w:szCs w:val="22"/>
          <w:lang w:val="es-ES"/>
        </w:rPr>
        <w:t xml:space="preserve">Tabla </w:t>
      </w:r>
      <w:r w:rsidR="004D4838" w:rsidRPr="00775AE5">
        <w:rPr>
          <w:rFonts w:ascii="Arial" w:hAnsi="Arial" w:cs="Arial"/>
          <w:b/>
          <w:bCs/>
          <w:sz w:val="22"/>
          <w:szCs w:val="22"/>
          <w:lang w:val="es-ES"/>
        </w:rPr>
        <w:t>6</w:t>
      </w:r>
    </w:p>
    <w:p w14:paraId="7FF7EC73" w14:textId="77777777" w:rsidR="00F360AF" w:rsidRPr="00775AE5" w:rsidRDefault="006B3E1B" w:rsidP="00D240C9">
      <w:pPr>
        <w:spacing w:line="276" w:lineRule="auto"/>
        <w:contextualSpacing/>
        <w:jc w:val="center"/>
        <w:rPr>
          <w:rFonts w:ascii="Arial" w:hAnsi="Arial" w:cs="Arial"/>
          <w:i/>
          <w:iCs/>
          <w:sz w:val="22"/>
          <w:szCs w:val="22"/>
          <w:lang w:val="es-ES"/>
        </w:rPr>
      </w:pPr>
      <w:r w:rsidRPr="00775AE5">
        <w:rPr>
          <w:rFonts w:ascii="Arial" w:hAnsi="Arial" w:cs="Arial"/>
          <w:i/>
          <w:iCs/>
          <w:sz w:val="22"/>
          <w:szCs w:val="22"/>
          <w:lang w:val="es-ES"/>
        </w:rPr>
        <w:t>Casos judicialización –Fiscalía General del Estado</w:t>
      </w:r>
    </w:p>
    <w:p w14:paraId="6536EA6A" w14:textId="77777777" w:rsidR="00762A93" w:rsidRPr="00775AE5" w:rsidRDefault="00762A93" w:rsidP="00390DF2">
      <w:pPr>
        <w:spacing w:line="276" w:lineRule="auto"/>
        <w:contextualSpacing/>
        <w:rPr>
          <w:rFonts w:ascii="Arial" w:hAnsi="Arial" w:cs="Arial"/>
          <w:i/>
          <w:iCs/>
          <w:sz w:val="22"/>
          <w:szCs w:val="22"/>
          <w:lang w:val="es-ES"/>
        </w:rPr>
      </w:pPr>
    </w:p>
    <w:tbl>
      <w:tblPr>
        <w:tblW w:w="9349" w:type="dxa"/>
        <w:jc w:val="center"/>
        <w:tblLayout w:type="fixed"/>
        <w:tblCellMar>
          <w:left w:w="0" w:type="dxa"/>
          <w:right w:w="0" w:type="dxa"/>
        </w:tblCellMar>
        <w:tblLook w:val="04A0" w:firstRow="1" w:lastRow="0" w:firstColumn="1" w:lastColumn="0" w:noHBand="0" w:noVBand="1"/>
      </w:tblPr>
      <w:tblGrid>
        <w:gridCol w:w="422"/>
        <w:gridCol w:w="793"/>
        <w:gridCol w:w="1296"/>
        <w:gridCol w:w="1584"/>
        <w:gridCol w:w="1282"/>
        <w:gridCol w:w="1276"/>
        <w:gridCol w:w="1275"/>
        <w:gridCol w:w="1421"/>
      </w:tblGrid>
      <w:tr w:rsidR="00476ABD" w:rsidRPr="00F928EE" w14:paraId="1A8DABC9" w14:textId="77777777" w:rsidTr="00F928EE">
        <w:trPr>
          <w:trHeight w:val="670"/>
          <w:jc w:val="center"/>
        </w:trPr>
        <w:tc>
          <w:tcPr>
            <w:tcW w:w="422" w:type="dxa"/>
            <w:tcBorders>
              <w:top w:val="single" w:sz="8" w:space="0" w:color="auto"/>
              <w:left w:val="single" w:sz="8" w:space="0" w:color="auto"/>
              <w:bottom w:val="single" w:sz="8" w:space="0" w:color="auto"/>
              <w:right w:val="single" w:sz="8" w:space="0" w:color="auto"/>
            </w:tcBorders>
            <w:shd w:val="clear" w:color="auto" w:fill="8EAADB"/>
            <w:noWrap/>
            <w:tcMar>
              <w:top w:w="0" w:type="dxa"/>
              <w:left w:w="70" w:type="dxa"/>
              <w:bottom w:w="0" w:type="dxa"/>
              <w:right w:w="70" w:type="dxa"/>
            </w:tcMar>
            <w:vAlign w:val="center"/>
            <w:hideMark/>
          </w:tcPr>
          <w:p w14:paraId="06CBE16B"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b/>
                <w:bCs/>
                <w:sz w:val="18"/>
                <w:szCs w:val="18"/>
                <w:lang w:val="es-ES"/>
              </w:rPr>
              <w:t>#</w:t>
            </w:r>
          </w:p>
        </w:tc>
        <w:tc>
          <w:tcPr>
            <w:tcW w:w="793" w:type="dxa"/>
            <w:tcBorders>
              <w:top w:val="single" w:sz="8" w:space="0" w:color="auto"/>
              <w:left w:val="nil"/>
              <w:bottom w:val="single" w:sz="8" w:space="0" w:color="auto"/>
              <w:right w:val="single" w:sz="8" w:space="0" w:color="auto"/>
            </w:tcBorders>
            <w:shd w:val="clear" w:color="auto" w:fill="8EAADB"/>
            <w:noWrap/>
            <w:tcMar>
              <w:top w:w="0" w:type="dxa"/>
              <w:left w:w="70" w:type="dxa"/>
              <w:bottom w:w="0" w:type="dxa"/>
              <w:right w:w="70" w:type="dxa"/>
            </w:tcMar>
            <w:vAlign w:val="center"/>
            <w:hideMark/>
          </w:tcPr>
          <w:p w14:paraId="5693717A" w14:textId="77777777" w:rsidR="00476ABD" w:rsidRPr="00F928EE" w:rsidRDefault="00476ABD" w:rsidP="00390DF2">
            <w:pPr>
              <w:spacing w:line="276" w:lineRule="auto"/>
              <w:rPr>
                <w:rFonts w:ascii="Arial" w:eastAsia="Calibri" w:hAnsi="Arial" w:cs="Arial"/>
                <w:sz w:val="16"/>
                <w:szCs w:val="16"/>
                <w:lang w:val="es-ES"/>
              </w:rPr>
            </w:pPr>
            <w:r w:rsidRPr="00F928EE">
              <w:rPr>
                <w:rFonts w:ascii="Arial" w:eastAsia="Calibri" w:hAnsi="Arial" w:cs="Arial"/>
                <w:b/>
                <w:bCs/>
                <w:sz w:val="16"/>
                <w:szCs w:val="16"/>
                <w:lang w:val="es-ES"/>
              </w:rPr>
              <w:t>AÑO</w:t>
            </w:r>
          </w:p>
        </w:tc>
        <w:tc>
          <w:tcPr>
            <w:tcW w:w="1296" w:type="dxa"/>
            <w:tcBorders>
              <w:top w:val="single" w:sz="8" w:space="0" w:color="auto"/>
              <w:left w:val="nil"/>
              <w:bottom w:val="single" w:sz="8" w:space="0" w:color="auto"/>
              <w:right w:val="single" w:sz="8" w:space="0" w:color="auto"/>
            </w:tcBorders>
            <w:shd w:val="clear" w:color="auto" w:fill="8EAADB"/>
            <w:noWrap/>
            <w:tcMar>
              <w:top w:w="0" w:type="dxa"/>
              <w:left w:w="70" w:type="dxa"/>
              <w:bottom w:w="0" w:type="dxa"/>
              <w:right w:w="70" w:type="dxa"/>
            </w:tcMar>
            <w:vAlign w:val="center"/>
            <w:hideMark/>
          </w:tcPr>
          <w:p w14:paraId="71754A95" w14:textId="77777777" w:rsidR="00476ABD" w:rsidRPr="00F928EE" w:rsidRDefault="00476ABD" w:rsidP="00390DF2">
            <w:pPr>
              <w:spacing w:line="276" w:lineRule="auto"/>
              <w:rPr>
                <w:rFonts w:ascii="Arial" w:eastAsia="Calibri" w:hAnsi="Arial" w:cs="Arial"/>
                <w:sz w:val="16"/>
                <w:szCs w:val="16"/>
                <w:lang w:val="es-ES"/>
              </w:rPr>
            </w:pPr>
            <w:r w:rsidRPr="00F928EE">
              <w:rPr>
                <w:rFonts w:ascii="Arial" w:eastAsia="Calibri" w:hAnsi="Arial" w:cs="Arial"/>
                <w:b/>
                <w:bCs/>
                <w:sz w:val="16"/>
                <w:szCs w:val="16"/>
                <w:lang w:val="es-ES"/>
              </w:rPr>
              <w:t>CASO</w:t>
            </w:r>
          </w:p>
        </w:tc>
        <w:tc>
          <w:tcPr>
            <w:tcW w:w="1584" w:type="dxa"/>
            <w:tcBorders>
              <w:top w:val="single" w:sz="8" w:space="0" w:color="auto"/>
              <w:left w:val="nil"/>
              <w:bottom w:val="single" w:sz="8" w:space="0" w:color="auto"/>
              <w:right w:val="single" w:sz="8" w:space="0" w:color="auto"/>
            </w:tcBorders>
            <w:shd w:val="clear" w:color="auto" w:fill="8EAADB"/>
            <w:tcMar>
              <w:top w:w="0" w:type="dxa"/>
              <w:left w:w="70" w:type="dxa"/>
              <w:bottom w:w="0" w:type="dxa"/>
              <w:right w:w="70" w:type="dxa"/>
            </w:tcMar>
            <w:vAlign w:val="center"/>
            <w:hideMark/>
          </w:tcPr>
          <w:p w14:paraId="3BBB1A3C" w14:textId="77777777" w:rsidR="00476ABD" w:rsidRPr="00F928EE" w:rsidRDefault="00476ABD" w:rsidP="00390DF2">
            <w:pPr>
              <w:spacing w:line="276" w:lineRule="auto"/>
              <w:rPr>
                <w:rFonts w:ascii="Arial" w:eastAsia="Calibri" w:hAnsi="Arial" w:cs="Arial"/>
                <w:sz w:val="16"/>
                <w:szCs w:val="16"/>
                <w:lang w:val="es-ES"/>
              </w:rPr>
            </w:pPr>
            <w:r w:rsidRPr="00F928EE">
              <w:rPr>
                <w:rFonts w:ascii="Arial" w:eastAsia="Calibri" w:hAnsi="Arial" w:cs="Arial"/>
                <w:b/>
                <w:bCs/>
                <w:sz w:val="16"/>
                <w:szCs w:val="16"/>
                <w:lang w:val="es-ES"/>
              </w:rPr>
              <w:t>TIPO DE DELITO</w:t>
            </w:r>
          </w:p>
        </w:tc>
        <w:tc>
          <w:tcPr>
            <w:tcW w:w="1282" w:type="dxa"/>
            <w:tcBorders>
              <w:top w:val="single" w:sz="8" w:space="0" w:color="auto"/>
              <w:left w:val="nil"/>
              <w:bottom w:val="single" w:sz="8" w:space="0" w:color="auto"/>
              <w:right w:val="single" w:sz="8" w:space="0" w:color="auto"/>
            </w:tcBorders>
            <w:shd w:val="clear" w:color="auto" w:fill="8EAADB"/>
            <w:tcMar>
              <w:top w:w="0" w:type="dxa"/>
              <w:left w:w="70" w:type="dxa"/>
              <w:bottom w:w="0" w:type="dxa"/>
              <w:right w:w="70" w:type="dxa"/>
            </w:tcMar>
            <w:vAlign w:val="center"/>
            <w:hideMark/>
          </w:tcPr>
          <w:p w14:paraId="13EA3D0D" w14:textId="12AF24ED" w:rsidR="00476ABD" w:rsidRPr="00F928EE" w:rsidRDefault="00476ABD" w:rsidP="00F928EE">
            <w:pPr>
              <w:spacing w:line="276" w:lineRule="auto"/>
              <w:rPr>
                <w:rFonts w:ascii="Arial" w:eastAsia="Calibri" w:hAnsi="Arial" w:cs="Arial"/>
                <w:sz w:val="14"/>
                <w:szCs w:val="14"/>
                <w:lang w:val="es-ES"/>
              </w:rPr>
            </w:pPr>
            <w:r w:rsidRPr="00F928EE">
              <w:rPr>
                <w:rFonts w:ascii="Arial" w:eastAsia="Calibri" w:hAnsi="Arial" w:cs="Arial"/>
                <w:b/>
                <w:bCs/>
                <w:sz w:val="14"/>
                <w:szCs w:val="14"/>
                <w:lang w:val="es-ES"/>
              </w:rPr>
              <w:t>JUDICIALIZA</w:t>
            </w:r>
            <w:r w:rsidR="00F928EE">
              <w:rPr>
                <w:rFonts w:ascii="Arial" w:eastAsia="Calibri" w:hAnsi="Arial" w:cs="Arial"/>
                <w:b/>
                <w:bCs/>
                <w:sz w:val="14"/>
                <w:szCs w:val="14"/>
                <w:lang w:val="es-ES"/>
              </w:rPr>
              <w:t>D</w:t>
            </w:r>
            <w:r w:rsidRPr="00F928EE">
              <w:rPr>
                <w:rFonts w:ascii="Arial" w:eastAsia="Calibri" w:hAnsi="Arial" w:cs="Arial"/>
                <w:b/>
                <w:bCs/>
                <w:sz w:val="14"/>
                <w:szCs w:val="14"/>
                <w:lang w:val="es-ES"/>
              </w:rPr>
              <w:t>O</w:t>
            </w:r>
          </w:p>
        </w:tc>
        <w:tc>
          <w:tcPr>
            <w:tcW w:w="1276" w:type="dxa"/>
            <w:tcBorders>
              <w:top w:val="single" w:sz="8" w:space="0" w:color="auto"/>
              <w:left w:val="nil"/>
              <w:bottom w:val="single" w:sz="8" w:space="0" w:color="auto"/>
              <w:right w:val="single" w:sz="8" w:space="0" w:color="auto"/>
            </w:tcBorders>
            <w:shd w:val="clear" w:color="auto" w:fill="8EAADB"/>
            <w:tcMar>
              <w:top w:w="0" w:type="dxa"/>
              <w:left w:w="70" w:type="dxa"/>
              <w:bottom w:w="0" w:type="dxa"/>
              <w:right w:w="70" w:type="dxa"/>
            </w:tcMar>
            <w:vAlign w:val="center"/>
            <w:hideMark/>
          </w:tcPr>
          <w:p w14:paraId="1C34D99E" w14:textId="77777777" w:rsidR="00476ABD" w:rsidRPr="00F928EE" w:rsidRDefault="00476ABD" w:rsidP="00390DF2">
            <w:pPr>
              <w:spacing w:line="276" w:lineRule="auto"/>
              <w:jc w:val="center"/>
              <w:rPr>
                <w:rFonts w:ascii="Arial" w:eastAsia="Calibri" w:hAnsi="Arial" w:cs="Arial"/>
                <w:sz w:val="14"/>
                <w:szCs w:val="14"/>
                <w:lang w:val="es-ES"/>
              </w:rPr>
            </w:pPr>
            <w:r w:rsidRPr="00F928EE">
              <w:rPr>
                <w:rFonts w:ascii="Arial" w:eastAsia="Calibri" w:hAnsi="Arial" w:cs="Arial"/>
                <w:b/>
                <w:bCs/>
                <w:sz w:val="14"/>
                <w:szCs w:val="14"/>
                <w:lang w:val="es-ES"/>
              </w:rPr>
              <w:t>DESESTIMADO</w:t>
            </w:r>
          </w:p>
        </w:tc>
        <w:tc>
          <w:tcPr>
            <w:tcW w:w="1275" w:type="dxa"/>
            <w:tcBorders>
              <w:top w:val="single" w:sz="8" w:space="0" w:color="auto"/>
              <w:left w:val="nil"/>
              <w:bottom w:val="single" w:sz="8" w:space="0" w:color="auto"/>
              <w:right w:val="single" w:sz="8" w:space="0" w:color="auto"/>
            </w:tcBorders>
            <w:shd w:val="clear" w:color="auto" w:fill="8EAADB"/>
            <w:tcMar>
              <w:top w:w="0" w:type="dxa"/>
              <w:left w:w="70" w:type="dxa"/>
              <w:bottom w:w="0" w:type="dxa"/>
              <w:right w:w="70" w:type="dxa"/>
            </w:tcMar>
            <w:vAlign w:val="center"/>
            <w:hideMark/>
          </w:tcPr>
          <w:p w14:paraId="328D3739" w14:textId="7AC4EF21" w:rsidR="00476ABD" w:rsidRPr="00F928EE" w:rsidRDefault="00476ABD" w:rsidP="00390DF2">
            <w:pPr>
              <w:spacing w:line="276" w:lineRule="auto"/>
              <w:jc w:val="center"/>
              <w:rPr>
                <w:rFonts w:ascii="Arial" w:eastAsia="Calibri" w:hAnsi="Arial" w:cs="Arial"/>
                <w:sz w:val="14"/>
                <w:szCs w:val="14"/>
                <w:lang w:val="es-ES"/>
              </w:rPr>
            </w:pPr>
            <w:r w:rsidRPr="00F928EE">
              <w:rPr>
                <w:rFonts w:ascii="Arial" w:eastAsia="Calibri" w:hAnsi="Arial" w:cs="Arial"/>
                <w:b/>
                <w:bCs/>
                <w:sz w:val="14"/>
                <w:szCs w:val="14"/>
                <w:lang w:val="es-ES"/>
              </w:rPr>
              <w:t>FECHA DE JUDICIALIZA</w:t>
            </w:r>
            <w:r w:rsidR="00F928EE" w:rsidRPr="00F928EE">
              <w:rPr>
                <w:rFonts w:ascii="Arial" w:eastAsia="Calibri" w:hAnsi="Arial" w:cs="Arial"/>
                <w:b/>
                <w:bCs/>
                <w:sz w:val="14"/>
                <w:szCs w:val="14"/>
                <w:lang w:val="es-ES"/>
              </w:rPr>
              <w:t>D</w:t>
            </w:r>
            <w:r w:rsidRPr="00F928EE">
              <w:rPr>
                <w:rFonts w:ascii="Arial" w:eastAsia="Calibri" w:hAnsi="Arial" w:cs="Arial"/>
                <w:b/>
                <w:bCs/>
                <w:sz w:val="14"/>
                <w:szCs w:val="14"/>
                <w:lang w:val="es-ES"/>
              </w:rPr>
              <w:t>O</w:t>
            </w:r>
            <w:r w:rsidR="00F928EE" w:rsidRPr="00F928EE">
              <w:rPr>
                <w:rFonts w:ascii="Arial" w:eastAsia="Calibri" w:hAnsi="Arial" w:cs="Arial"/>
                <w:b/>
                <w:bCs/>
                <w:sz w:val="14"/>
                <w:szCs w:val="14"/>
                <w:lang w:val="es-ES"/>
              </w:rPr>
              <w:t xml:space="preserve"> </w:t>
            </w:r>
            <w:r w:rsidRPr="00F928EE">
              <w:rPr>
                <w:rFonts w:ascii="Arial" w:eastAsia="Calibri" w:hAnsi="Arial" w:cs="Arial"/>
                <w:b/>
                <w:bCs/>
                <w:sz w:val="14"/>
                <w:szCs w:val="14"/>
                <w:lang w:val="es-ES"/>
              </w:rPr>
              <w:t>/DESESTIMADO</w:t>
            </w:r>
          </w:p>
        </w:tc>
        <w:tc>
          <w:tcPr>
            <w:tcW w:w="1421" w:type="dxa"/>
            <w:tcBorders>
              <w:top w:val="single" w:sz="8" w:space="0" w:color="auto"/>
              <w:left w:val="nil"/>
              <w:bottom w:val="single" w:sz="8" w:space="0" w:color="auto"/>
              <w:right w:val="single" w:sz="8" w:space="0" w:color="auto"/>
            </w:tcBorders>
            <w:shd w:val="clear" w:color="auto" w:fill="8EAADB"/>
            <w:tcMar>
              <w:top w:w="0" w:type="dxa"/>
              <w:left w:w="70" w:type="dxa"/>
              <w:bottom w:w="0" w:type="dxa"/>
              <w:right w:w="70" w:type="dxa"/>
            </w:tcMar>
            <w:vAlign w:val="center"/>
            <w:hideMark/>
          </w:tcPr>
          <w:p w14:paraId="6E8C61B7" w14:textId="77777777" w:rsidR="00476ABD" w:rsidRPr="00F928EE" w:rsidRDefault="00476ABD" w:rsidP="00390DF2">
            <w:pPr>
              <w:spacing w:line="276" w:lineRule="auto"/>
              <w:jc w:val="center"/>
              <w:rPr>
                <w:rFonts w:ascii="Arial" w:eastAsia="Calibri" w:hAnsi="Arial" w:cs="Arial"/>
                <w:sz w:val="14"/>
                <w:szCs w:val="14"/>
                <w:lang w:val="es-ES"/>
              </w:rPr>
            </w:pPr>
            <w:r w:rsidRPr="00F928EE">
              <w:rPr>
                <w:rFonts w:ascii="Arial" w:eastAsia="Calibri" w:hAnsi="Arial" w:cs="Arial"/>
                <w:b/>
                <w:bCs/>
                <w:sz w:val="14"/>
                <w:szCs w:val="14"/>
                <w:lang w:val="es-ES"/>
              </w:rPr>
              <w:t>SENTENCIAS /# PERSONAS SENTENCIADAS</w:t>
            </w:r>
          </w:p>
        </w:tc>
      </w:tr>
      <w:tr w:rsidR="00476ABD" w:rsidRPr="00F928EE" w14:paraId="4E82AA70" w14:textId="77777777" w:rsidTr="00F928EE">
        <w:trPr>
          <w:trHeight w:val="658"/>
          <w:jc w:val="center"/>
        </w:trPr>
        <w:tc>
          <w:tcPr>
            <w:tcW w:w="42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803ECB3"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b/>
                <w:bCs/>
                <w:sz w:val="18"/>
                <w:szCs w:val="18"/>
                <w:lang w:val="es-ES"/>
              </w:rPr>
              <w:t>1</w:t>
            </w:r>
          </w:p>
        </w:tc>
        <w:tc>
          <w:tcPr>
            <w:tcW w:w="7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99C6F16"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1998</w:t>
            </w:r>
          </w:p>
        </w:tc>
        <w:tc>
          <w:tcPr>
            <w:tcW w:w="129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15E7396"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José Luis Lema y otros</w:t>
            </w:r>
          </w:p>
        </w:tc>
        <w:tc>
          <w:tcPr>
            <w:tcW w:w="158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F851E1A"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Grave Violación por Tortura, Privación ilegal y Violencia Sexual</w:t>
            </w:r>
          </w:p>
        </w:tc>
        <w:tc>
          <w:tcPr>
            <w:tcW w:w="128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0E0B8C4"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X</w:t>
            </w:r>
          </w:p>
        </w:tc>
        <w:tc>
          <w:tcPr>
            <w:tcW w:w="127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81D11A4" w14:textId="77777777" w:rsidR="00476ABD" w:rsidRPr="00F928EE" w:rsidRDefault="00476ABD" w:rsidP="00390DF2">
            <w:pPr>
              <w:spacing w:line="276" w:lineRule="auto"/>
              <w:jc w:val="center"/>
              <w:rPr>
                <w:rFonts w:ascii="Arial" w:eastAsia="Calibri" w:hAnsi="Arial" w:cs="Arial"/>
                <w:sz w:val="18"/>
                <w:szCs w:val="18"/>
                <w:lang w:val="es-ES"/>
              </w:rPr>
            </w:pPr>
          </w:p>
        </w:tc>
        <w:tc>
          <w:tcPr>
            <w:tcW w:w="127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E3AA3A2"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14 de diciembre 2015</w:t>
            </w:r>
          </w:p>
        </w:tc>
        <w:tc>
          <w:tcPr>
            <w:tcW w:w="142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A45CA3"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4</w:t>
            </w:r>
          </w:p>
        </w:tc>
      </w:tr>
      <w:tr w:rsidR="00476ABD" w:rsidRPr="00F928EE" w14:paraId="1CA017B6" w14:textId="77777777" w:rsidTr="00F928EE">
        <w:trPr>
          <w:trHeight w:val="438"/>
          <w:jc w:val="center"/>
        </w:trPr>
        <w:tc>
          <w:tcPr>
            <w:tcW w:w="42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5D160A2"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b/>
                <w:bCs/>
                <w:sz w:val="18"/>
                <w:szCs w:val="18"/>
                <w:lang w:val="es-ES"/>
              </w:rPr>
              <w:t>2</w:t>
            </w:r>
          </w:p>
        </w:tc>
        <w:tc>
          <w:tcPr>
            <w:tcW w:w="7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C74E770"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2003</w:t>
            </w:r>
          </w:p>
        </w:tc>
        <w:tc>
          <w:tcPr>
            <w:tcW w:w="129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BDFA38E"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González y otros (por ejecución)</w:t>
            </w:r>
          </w:p>
        </w:tc>
        <w:tc>
          <w:tcPr>
            <w:tcW w:w="158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D925FB2"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Grave Violación por Ejecución Extrajudicial</w:t>
            </w:r>
          </w:p>
        </w:tc>
        <w:tc>
          <w:tcPr>
            <w:tcW w:w="128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36DF2BA"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X</w:t>
            </w:r>
          </w:p>
        </w:tc>
        <w:tc>
          <w:tcPr>
            <w:tcW w:w="127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C0592D9" w14:textId="77777777" w:rsidR="00476ABD" w:rsidRPr="00F928EE" w:rsidRDefault="00476ABD" w:rsidP="00390DF2">
            <w:pPr>
              <w:spacing w:line="276" w:lineRule="auto"/>
              <w:jc w:val="center"/>
              <w:rPr>
                <w:rFonts w:ascii="Arial" w:eastAsia="Calibri" w:hAnsi="Arial" w:cs="Arial"/>
                <w:sz w:val="18"/>
                <w:szCs w:val="18"/>
                <w:lang w:val="es-ES"/>
              </w:rPr>
            </w:pPr>
          </w:p>
        </w:tc>
        <w:tc>
          <w:tcPr>
            <w:tcW w:w="127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CDF8166"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2014</w:t>
            </w:r>
          </w:p>
        </w:tc>
        <w:tc>
          <w:tcPr>
            <w:tcW w:w="142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73F58E"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11</w:t>
            </w:r>
          </w:p>
        </w:tc>
      </w:tr>
      <w:tr w:rsidR="00476ABD" w:rsidRPr="00F928EE" w14:paraId="49B3F41E" w14:textId="77777777" w:rsidTr="00F928EE">
        <w:trPr>
          <w:trHeight w:val="438"/>
          <w:jc w:val="center"/>
        </w:trPr>
        <w:tc>
          <w:tcPr>
            <w:tcW w:w="42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4BA73C3"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b/>
                <w:bCs/>
                <w:sz w:val="18"/>
                <w:szCs w:val="18"/>
                <w:lang w:val="es-ES"/>
              </w:rPr>
              <w:t>3</w:t>
            </w:r>
          </w:p>
        </w:tc>
        <w:tc>
          <w:tcPr>
            <w:tcW w:w="7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FF7E717"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2002</w:t>
            </w:r>
          </w:p>
        </w:tc>
        <w:tc>
          <w:tcPr>
            <w:tcW w:w="129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46942BC"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Damián Peña</w:t>
            </w:r>
          </w:p>
        </w:tc>
        <w:tc>
          <w:tcPr>
            <w:tcW w:w="158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531F6EB"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Grave Violación por Ejecución Extrajudicial</w:t>
            </w:r>
          </w:p>
        </w:tc>
        <w:tc>
          <w:tcPr>
            <w:tcW w:w="128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8DA804C"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X</w:t>
            </w:r>
          </w:p>
        </w:tc>
        <w:tc>
          <w:tcPr>
            <w:tcW w:w="127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1789EE1" w14:textId="77777777" w:rsidR="00476ABD" w:rsidRPr="00F928EE" w:rsidRDefault="00476ABD" w:rsidP="00390DF2">
            <w:pPr>
              <w:spacing w:line="276" w:lineRule="auto"/>
              <w:jc w:val="center"/>
              <w:rPr>
                <w:rFonts w:ascii="Arial" w:eastAsia="Calibri" w:hAnsi="Arial" w:cs="Arial"/>
                <w:sz w:val="18"/>
                <w:szCs w:val="18"/>
                <w:lang w:val="es-ES"/>
              </w:rPr>
            </w:pPr>
          </w:p>
        </w:tc>
        <w:tc>
          <w:tcPr>
            <w:tcW w:w="127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B73EB36"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13 de mayo de 2015</w:t>
            </w:r>
          </w:p>
        </w:tc>
        <w:tc>
          <w:tcPr>
            <w:tcW w:w="142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136FC8" w14:textId="77777777" w:rsidR="00476ABD" w:rsidRPr="00F928EE" w:rsidRDefault="00476ABD" w:rsidP="00390DF2">
            <w:pPr>
              <w:spacing w:line="276" w:lineRule="auto"/>
              <w:jc w:val="center"/>
              <w:rPr>
                <w:rFonts w:ascii="Arial" w:eastAsia="Calibri" w:hAnsi="Arial" w:cs="Arial"/>
                <w:sz w:val="18"/>
                <w:szCs w:val="18"/>
                <w:lang w:val="es-ES"/>
              </w:rPr>
            </w:pPr>
          </w:p>
        </w:tc>
      </w:tr>
      <w:tr w:rsidR="00476ABD" w:rsidRPr="00F928EE" w14:paraId="553DAE64" w14:textId="77777777" w:rsidTr="00F928EE">
        <w:trPr>
          <w:trHeight w:val="438"/>
          <w:jc w:val="center"/>
        </w:trPr>
        <w:tc>
          <w:tcPr>
            <w:tcW w:w="42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7A90009"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b/>
                <w:bCs/>
                <w:sz w:val="18"/>
                <w:szCs w:val="18"/>
                <w:lang w:val="es-ES"/>
              </w:rPr>
              <w:t>4</w:t>
            </w:r>
          </w:p>
        </w:tc>
        <w:tc>
          <w:tcPr>
            <w:tcW w:w="7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9732AA4"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1992</w:t>
            </w:r>
          </w:p>
        </w:tc>
        <w:tc>
          <w:tcPr>
            <w:tcW w:w="129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237B975"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Zoila Amada Suárez</w:t>
            </w:r>
          </w:p>
        </w:tc>
        <w:tc>
          <w:tcPr>
            <w:tcW w:w="158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ED29C37"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Grave Violación por Ejecución Extrajudicial</w:t>
            </w:r>
          </w:p>
        </w:tc>
        <w:tc>
          <w:tcPr>
            <w:tcW w:w="128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0BFB43C"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X</w:t>
            </w:r>
          </w:p>
        </w:tc>
        <w:tc>
          <w:tcPr>
            <w:tcW w:w="127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5723BDD" w14:textId="77777777" w:rsidR="00476ABD" w:rsidRPr="00F928EE" w:rsidRDefault="00476ABD" w:rsidP="00390DF2">
            <w:pPr>
              <w:spacing w:line="276" w:lineRule="auto"/>
              <w:jc w:val="center"/>
              <w:rPr>
                <w:rFonts w:ascii="Arial" w:eastAsia="Calibri" w:hAnsi="Arial" w:cs="Arial"/>
                <w:sz w:val="18"/>
                <w:szCs w:val="18"/>
                <w:lang w:val="es-ES"/>
              </w:rPr>
            </w:pPr>
          </w:p>
        </w:tc>
        <w:tc>
          <w:tcPr>
            <w:tcW w:w="127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A6F4D7F"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20 de julio de 2016</w:t>
            </w:r>
          </w:p>
        </w:tc>
        <w:tc>
          <w:tcPr>
            <w:tcW w:w="142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CF486" w14:textId="77777777" w:rsidR="00476ABD" w:rsidRPr="00F928EE" w:rsidRDefault="00476ABD" w:rsidP="00390DF2">
            <w:pPr>
              <w:spacing w:line="276" w:lineRule="auto"/>
              <w:jc w:val="center"/>
              <w:rPr>
                <w:rFonts w:ascii="Arial" w:eastAsia="Calibri" w:hAnsi="Arial" w:cs="Arial"/>
                <w:sz w:val="18"/>
                <w:szCs w:val="18"/>
                <w:lang w:val="es-ES"/>
              </w:rPr>
            </w:pPr>
          </w:p>
        </w:tc>
      </w:tr>
      <w:tr w:rsidR="00476ABD" w:rsidRPr="00F928EE" w14:paraId="5C66DE44" w14:textId="77777777" w:rsidTr="00F928EE">
        <w:trPr>
          <w:trHeight w:val="257"/>
          <w:jc w:val="center"/>
        </w:trPr>
        <w:tc>
          <w:tcPr>
            <w:tcW w:w="422" w:type="dxa"/>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3A5819F4"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b/>
                <w:bCs/>
                <w:sz w:val="18"/>
                <w:szCs w:val="18"/>
                <w:lang w:val="es-ES"/>
              </w:rPr>
              <w:t>5</w:t>
            </w:r>
          </w:p>
        </w:tc>
        <w:tc>
          <w:tcPr>
            <w:tcW w:w="793"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60E8877F"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2011</w:t>
            </w:r>
          </w:p>
        </w:tc>
        <w:tc>
          <w:tcPr>
            <w:tcW w:w="1296"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53A2F584" w14:textId="77777777" w:rsidR="00476ABD" w:rsidRPr="00F928EE" w:rsidRDefault="00476ABD" w:rsidP="00390DF2">
            <w:pPr>
              <w:spacing w:line="276" w:lineRule="auto"/>
              <w:rPr>
                <w:rFonts w:ascii="Arial" w:eastAsia="Calibri" w:hAnsi="Arial" w:cs="Arial"/>
                <w:sz w:val="18"/>
                <w:szCs w:val="18"/>
                <w:lang w:val="es-ES"/>
              </w:rPr>
            </w:pPr>
            <w:proofErr w:type="spellStart"/>
            <w:r w:rsidRPr="00F928EE">
              <w:rPr>
                <w:rFonts w:ascii="Arial" w:eastAsia="Calibri" w:hAnsi="Arial" w:cs="Arial"/>
                <w:sz w:val="18"/>
                <w:szCs w:val="18"/>
                <w:lang w:val="es-ES"/>
              </w:rPr>
              <w:t>Micheal</w:t>
            </w:r>
            <w:proofErr w:type="spellEnd"/>
            <w:r w:rsidRPr="00F928EE">
              <w:rPr>
                <w:rFonts w:ascii="Arial" w:eastAsia="Calibri" w:hAnsi="Arial" w:cs="Arial"/>
                <w:sz w:val="18"/>
                <w:szCs w:val="18"/>
                <w:lang w:val="es-ES"/>
              </w:rPr>
              <w:t xml:space="preserve"> Arce</w:t>
            </w:r>
          </w:p>
        </w:tc>
        <w:tc>
          <w:tcPr>
            <w:tcW w:w="1584"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2DB1B5C0"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Delito de Odio</w:t>
            </w:r>
          </w:p>
        </w:tc>
        <w:tc>
          <w:tcPr>
            <w:tcW w:w="1282"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159656B4"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X</w:t>
            </w:r>
          </w:p>
        </w:tc>
        <w:tc>
          <w:tcPr>
            <w:tcW w:w="1276"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4388E399" w14:textId="77777777" w:rsidR="00476ABD" w:rsidRPr="00F928EE" w:rsidRDefault="00476ABD" w:rsidP="00390DF2">
            <w:pPr>
              <w:spacing w:line="276" w:lineRule="auto"/>
              <w:jc w:val="center"/>
              <w:rPr>
                <w:rFonts w:ascii="Arial" w:eastAsia="Calibri" w:hAnsi="Arial" w:cs="Arial"/>
                <w:sz w:val="18"/>
                <w:szCs w:val="18"/>
                <w:lang w:val="es-ES"/>
              </w:rPr>
            </w:pPr>
          </w:p>
        </w:tc>
        <w:tc>
          <w:tcPr>
            <w:tcW w:w="1275"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759044DD"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5 de julio de 2016</w:t>
            </w:r>
          </w:p>
        </w:tc>
        <w:tc>
          <w:tcPr>
            <w:tcW w:w="1421"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3AAEBBC9"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1</w:t>
            </w:r>
          </w:p>
        </w:tc>
      </w:tr>
      <w:tr w:rsidR="00476ABD" w:rsidRPr="00F928EE" w14:paraId="3D8CF4AF" w14:textId="77777777" w:rsidTr="00F928EE">
        <w:trPr>
          <w:trHeight w:val="658"/>
          <w:jc w:val="center"/>
        </w:trPr>
        <w:tc>
          <w:tcPr>
            <w:tcW w:w="4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169C525" w14:textId="77777777" w:rsidR="00476ABD" w:rsidRPr="00F928EE" w:rsidRDefault="00476ABD" w:rsidP="00390DF2">
            <w:pPr>
              <w:spacing w:line="276" w:lineRule="auto"/>
              <w:rPr>
                <w:rFonts w:ascii="Arial" w:eastAsia="Calibri" w:hAnsi="Arial" w:cs="Arial"/>
                <w:sz w:val="18"/>
                <w:szCs w:val="18"/>
                <w:lang w:val="es-ES"/>
              </w:rPr>
            </w:pPr>
            <w:bookmarkStart w:id="13" w:name="_Hlk45806946"/>
            <w:r w:rsidRPr="00F928EE">
              <w:rPr>
                <w:rFonts w:ascii="Arial" w:eastAsia="Calibri" w:hAnsi="Arial" w:cs="Arial"/>
                <w:b/>
                <w:bCs/>
                <w:sz w:val="18"/>
                <w:szCs w:val="18"/>
                <w:lang w:val="es-ES"/>
              </w:rPr>
              <w:t>6</w:t>
            </w:r>
          </w:p>
        </w:tc>
        <w:tc>
          <w:tcPr>
            <w:tcW w:w="79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1BD129C"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1985</w:t>
            </w:r>
          </w:p>
        </w:tc>
        <w:tc>
          <w:tcPr>
            <w:tcW w:w="129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D7F8904"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Luis Vaca y Susana Cajas</w:t>
            </w:r>
          </w:p>
        </w:tc>
        <w:tc>
          <w:tcPr>
            <w:tcW w:w="15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0B84DF3"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Lesa Humanidad por Privación ilegal, tortura y violencia sexual</w:t>
            </w:r>
            <w:r w:rsidRPr="00F928EE">
              <w:rPr>
                <w:rFonts w:ascii="Arial" w:eastAsia="Calibri" w:hAnsi="Arial" w:cs="Arial"/>
                <w:sz w:val="18"/>
                <w:szCs w:val="18"/>
                <w:vertAlign w:val="superscript"/>
                <w:lang w:val="es-ES"/>
              </w:rPr>
              <w:footnoteReference w:id="14"/>
            </w:r>
          </w:p>
        </w:tc>
        <w:tc>
          <w:tcPr>
            <w:tcW w:w="12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993388C"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X</w:t>
            </w:r>
          </w:p>
        </w:tc>
        <w:tc>
          <w:tcPr>
            <w:tcW w:w="12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FED2176" w14:textId="77777777" w:rsidR="00476ABD" w:rsidRPr="00F928EE" w:rsidRDefault="00476ABD" w:rsidP="00390DF2">
            <w:pPr>
              <w:spacing w:line="276" w:lineRule="auto"/>
              <w:jc w:val="center"/>
              <w:rPr>
                <w:rFonts w:ascii="Arial" w:eastAsia="Calibri" w:hAnsi="Arial" w:cs="Arial"/>
                <w:sz w:val="18"/>
                <w:szCs w:val="18"/>
                <w:lang w:val="es-ES"/>
              </w:rPr>
            </w:pPr>
          </w:p>
        </w:tc>
        <w:tc>
          <w:tcPr>
            <w:tcW w:w="12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729741A"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23 de diciembre de 2016</w:t>
            </w:r>
          </w:p>
        </w:tc>
        <w:tc>
          <w:tcPr>
            <w:tcW w:w="142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C57C0D2" w14:textId="77777777" w:rsidR="00476ABD" w:rsidRPr="00F928EE" w:rsidRDefault="00476ABD" w:rsidP="00390DF2">
            <w:pPr>
              <w:spacing w:line="276" w:lineRule="auto"/>
              <w:jc w:val="center"/>
              <w:rPr>
                <w:rFonts w:ascii="Arial" w:eastAsia="Calibri" w:hAnsi="Arial" w:cs="Arial"/>
                <w:sz w:val="18"/>
                <w:szCs w:val="18"/>
                <w:lang w:val="es-ES"/>
              </w:rPr>
            </w:pPr>
          </w:p>
        </w:tc>
      </w:tr>
      <w:bookmarkEnd w:id="13"/>
      <w:tr w:rsidR="00476ABD" w:rsidRPr="00F928EE" w14:paraId="2D3B1C1A" w14:textId="77777777" w:rsidTr="00F928EE">
        <w:trPr>
          <w:trHeight w:val="438"/>
          <w:jc w:val="center"/>
        </w:trPr>
        <w:tc>
          <w:tcPr>
            <w:tcW w:w="422" w:type="dxa"/>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hideMark/>
          </w:tcPr>
          <w:p w14:paraId="6393A07C"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b/>
                <w:bCs/>
                <w:sz w:val="18"/>
                <w:szCs w:val="18"/>
                <w:lang w:val="es-ES"/>
              </w:rPr>
              <w:t>7</w:t>
            </w:r>
          </w:p>
        </w:tc>
        <w:tc>
          <w:tcPr>
            <w:tcW w:w="793"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318096C1"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1985</w:t>
            </w:r>
          </w:p>
        </w:tc>
        <w:tc>
          <w:tcPr>
            <w:tcW w:w="1296"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2D243E8F"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Javier Jarrín</w:t>
            </w:r>
          </w:p>
        </w:tc>
        <w:tc>
          <w:tcPr>
            <w:tcW w:w="1584"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6280C29F"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Lesa Humanidad por Privación ilegal y tortura</w:t>
            </w:r>
          </w:p>
        </w:tc>
        <w:tc>
          <w:tcPr>
            <w:tcW w:w="1282"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00B74354"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X</w:t>
            </w:r>
          </w:p>
        </w:tc>
        <w:tc>
          <w:tcPr>
            <w:tcW w:w="1276"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119EA0C5" w14:textId="77777777" w:rsidR="00476ABD" w:rsidRPr="00F928EE" w:rsidRDefault="00476ABD" w:rsidP="00390DF2">
            <w:pPr>
              <w:spacing w:line="276" w:lineRule="auto"/>
              <w:jc w:val="center"/>
              <w:rPr>
                <w:rFonts w:ascii="Arial" w:eastAsia="Calibri" w:hAnsi="Arial" w:cs="Arial"/>
                <w:sz w:val="18"/>
                <w:szCs w:val="18"/>
                <w:lang w:val="es-ES"/>
              </w:rPr>
            </w:pPr>
          </w:p>
        </w:tc>
        <w:tc>
          <w:tcPr>
            <w:tcW w:w="1275"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0D8A6256"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23 de diciembre de 2016</w:t>
            </w:r>
          </w:p>
        </w:tc>
        <w:tc>
          <w:tcPr>
            <w:tcW w:w="1421" w:type="dxa"/>
            <w:tcBorders>
              <w:top w:val="single" w:sz="4" w:space="0" w:color="auto"/>
              <w:left w:val="nil"/>
              <w:bottom w:val="single" w:sz="4" w:space="0" w:color="auto"/>
              <w:right w:val="single" w:sz="8" w:space="0" w:color="auto"/>
            </w:tcBorders>
            <w:noWrap/>
            <w:tcMar>
              <w:top w:w="0" w:type="dxa"/>
              <w:left w:w="70" w:type="dxa"/>
              <w:bottom w:w="0" w:type="dxa"/>
              <w:right w:w="70" w:type="dxa"/>
            </w:tcMar>
            <w:vAlign w:val="center"/>
            <w:hideMark/>
          </w:tcPr>
          <w:p w14:paraId="10EB4823" w14:textId="77777777" w:rsidR="00476ABD" w:rsidRPr="00F928EE" w:rsidRDefault="00476ABD" w:rsidP="00390DF2">
            <w:pPr>
              <w:spacing w:line="276" w:lineRule="auto"/>
              <w:jc w:val="center"/>
              <w:rPr>
                <w:rFonts w:ascii="Arial" w:eastAsia="Calibri" w:hAnsi="Arial" w:cs="Arial"/>
                <w:sz w:val="18"/>
                <w:szCs w:val="18"/>
                <w:lang w:val="es-ES"/>
              </w:rPr>
            </w:pPr>
          </w:p>
        </w:tc>
      </w:tr>
      <w:tr w:rsidR="00476ABD" w:rsidRPr="00F928EE" w14:paraId="1FEA1549" w14:textId="77777777" w:rsidTr="00F928EE">
        <w:trPr>
          <w:trHeight w:val="877"/>
          <w:jc w:val="center"/>
        </w:trPr>
        <w:tc>
          <w:tcPr>
            <w:tcW w:w="4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FB1E82D"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b/>
                <w:bCs/>
                <w:sz w:val="18"/>
                <w:szCs w:val="18"/>
                <w:lang w:val="es-ES"/>
              </w:rPr>
              <w:t>8</w:t>
            </w:r>
          </w:p>
        </w:tc>
        <w:tc>
          <w:tcPr>
            <w:tcW w:w="79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724D68E"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1986</w:t>
            </w:r>
          </w:p>
        </w:tc>
        <w:tc>
          <w:tcPr>
            <w:tcW w:w="129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B4803C4"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Arturo Jarrín</w:t>
            </w:r>
          </w:p>
        </w:tc>
        <w:tc>
          <w:tcPr>
            <w:tcW w:w="15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4C54B8B"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Lesa Humanidad por Privación ilegal, tortura y ejecución extrajudicial</w:t>
            </w:r>
          </w:p>
        </w:tc>
        <w:tc>
          <w:tcPr>
            <w:tcW w:w="12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FF00F6D"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X</w:t>
            </w:r>
          </w:p>
        </w:tc>
        <w:tc>
          <w:tcPr>
            <w:tcW w:w="12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78CB338" w14:textId="77777777" w:rsidR="00476ABD" w:rsidRPr="00F928EE" w:rsidRDefault="00476ABD" w:rsidP="00390DF2">
            <w:pPr>
              <w:spacing w:line="276" w:lineRule="auto"/>
              <w:jc w:val="center"/>
              <w:rPr>
                <w:rFonts w:ascii="Arial" w:eastAsia="Calibri" w:hAnsi="Arial" w:cs="Arial"/>
                <w:sz w:val="18"/>
                <w:szCs w:val="18"/>
                <w:lang w:val="es-ES"/>
              </w:rPr>
            </w:pPr>
          </w:p>
        </w:tc>
        <w:tc>
          <w:tcPr>
            <w:tcW w:w="127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BC45763"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27 de julio 2016</w:t>
            </w:r>
          </w:p>
        </w:tc>
        <w:tc>
          <w:tcPr>
            <w:tcW w:w="142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6596E52" w14:textId="77777777" w:rsidR="00476ABD" w:rsidRPr="00F928EE" w:rsidRDefault="00476ABD" w:rsidP="00390DF2">
            <w:pPr>
              <w:spacing w:line="276" w:lineRule="auto"/>
              <w:jc w:val="center"/>
              <w:rPr>
                <w:rFonts w:ascii="Arial" w:eastAsia="Calibri" w:hAnsi="Arial" w:cs="Arial"/>
                <w:sz w:val="18"/>
                <w:szCs w:val="18"/>
                <w:lang w:val="es-ES"/>
              </w:rPr>
            </w:pPr>
          </w:p>
        </w:tc>
      </w:tr>
      <w:tr w:rsidR="00476ABD" w:rsidRPr="00F928EE" w14:paraId="3C7A2327" w14:textId="77777777" w:rsidTr="00F928EE">
        <w:trPr>
          <w:trHeight w:val="438"/>
          <w:jc w:val="center"/>
        </w:trPr>
        <w:tc>
          <w:tcPr>
            <w:tcW w:w="422" w:type="dxa"/>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23F4EA9"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b/>
                <w:bCs/>
                <w:sz w:val="18"/>
                <w:szCs w:val="18"/>
                <w:lang w:val="es-ES"/>
              </w:rPr>
              <w:t>9</w:t>
            </w:r>
          </w:p>
        </w:tc>
        <w:tc>
          <w:tcPr>
            <w:tcW w:w="793"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01B98BA1"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2006</w:t>
            </w:r>
          </w:p>
        </w:tc>
        <w:tc>
          <w:tcPr>
            <w:tcW w:w="1296"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462E580F"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Benito Bonilla</w:t>
            </w:r>
          </w:p>
        </w:tc>
        <w:tc>
          <w:tcPr>
            <w:tcW w:w="1584"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7AF5169B"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 Grave Violación por Ejecución Extrajudicial</w:t>
            </w:r>
          </w:p>
        </w:tc>
        <w:tc>
          <w:tcPr>
            <w:tcW w:w="1282"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27714361"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X</w:t>
            </w:r>
          </w:p>
        </w:tc>
        <w:tc>
          <w:tcPr>
            <w:tcW w:w="1276"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3F329883" w14:textId="77777777" w:rsidR="00476ABD" w:rsidRPr="00F928EE" w:rsidRDefault="00476ABD" w:rsidP="00390DF2">
            <w:pPr>
              <w:spacing w:line="276" w:lineRule="auto"/>
              <w:jc w:val="center"/>
              <w:rPr>
                <w:rFonts w:ascii="Arial" w:eastAsia="Calibri" w:hAnsi="Arial" w:cs="Arial"/>
                <w:sz w:val="18"/>
                <w:szCs w:val="18"/>
                <w:lang w:val="es-ES"/>
              </w:rPr>
            </w:pPr>
          </w:p>
        </w:tc>
        <w:tc>
          <w:tcPr>
            <w:tcW w:w="1275"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13119CE1"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27 de mayo 2014</w:t>
            </w:r>
          </w:p>
        </w:tc>
        <w:tc>
          <w:tcPr>
            <w:tcW w:w="1421"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25BC1B90"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1</w:t>
            </w:r>
          </w:p>
        </w:tc>
      </w:tr>
      <w:tr w:rsidR="00476ABD" w:rsidRPr="00F928EE" w14:paraId="12C8DC8D" w14:textId="77777777" w:rsidTr="00F928EE">
        <w:trPr>
          <w:trHeight w:val="257"/>
          <w:jc w:val="center"/>
        </w:trPr>
        <w:tc>
          <w:tcPr>
            <w:tcW w:w="42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A35FB8"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b/>
                <w:bCs/>
                <w:sz w:val="18"/>
                <w:szCs w:val="18"/>
                <w:lang w:val="es-ES"/>
              </w:rPr>
              <w:t>10</w:t>
            </w:r>
          </w:p>
        </w:tc>
        <w:tc>
          <w:tcPr>
            <w:tcW w:w="7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A9BD36E"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2010</w:t>
            </w:r>
          </w:p>
        </w:tc>
        <w:tc>
          <w:tcPr>
            <w:tcW w:w="129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70B2F00"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Carlos Samaniego</w:t>
            </w:r>
          </w:p>
        </w:tc>
        <w:tc>
          <w:tcPr>
            <w:tcW w:w="158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316FF93"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Desestimación</w:t>
            </w:r>
          </w:p>
        </w:tc>
        <w:tc>
          <w:tcPr>
            <w:tcW w:w="128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4576571" w14:textId="77777777" w:rsidR="00476ABD" w:rsidRPr="00F928EE" w:rsidRDefault="00476ABD" w:rsidP="00390DF2">
            <w:pPr>
              <w:spacing w:line="276" w:lineRule="auto"/>
              <w:jc w:val="center"/>
              <w:rPr>
                <w:rFonts w:ascii="Arial" w:eastAsia="Calibri" w:hAnsi="Arial" w:cs="Arial"/>
                <w:sz w:val="18"/>
                <w:szCs w:val="18"/>
                <w:lang w:val="es-ES"/>
              </w:rPr>
            </w:pPr>
          </w:p>
        </w:tc>
        <w:tc>
          <w:tcPr>
            <w:tcW w:w="127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7DBA559"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X</w:t>
            </w:r>
          </w:p>
        </w:tc>
        <w:tc>
          <w:tcPr>
            <w:tcW w:w="127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0632691"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1 de junio de 2016</w:t>
            </w:r>
          </w:p>
        </w:tc>
        <w:tc>
          <w:tcPr>
            <w:tcW w:w="142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6CB5D59" w14:textId="77777777" w:rsidR="00476ABD" w:rsidRPr="00F928EE" w:rsidRDefault="00476ABD" w:rsidP="00390DF2">
            <w:pPr>
              <w:spacing w:line="276" w:lineRule="auto"/>
              <w:jc w:val="center"/>
              <w:rPr>
                <w:rFonts w:ascii="Arial" w:eastAsia="Calibri" w:hAnsi="Arial" w:cs="Arial"/>
                <w:sz w:val="18"/>
                <w:szCs w:val="18"/>
                <w:lang w:val="es-ES"/>
              </w:rPr>
            </w:pPr>
          </w:p>
        </w:tc>
      </w:tr>
      <w:tr w:rsidR="00476ABD" w:rsidRPr="00F928EE" w14:paraId="0E1B018F" w14:textId="77777777" w:rsidTr="00F928EE">
        <w:trPr>
          <w:trHeight w:val="438"/>
          <w:jc w:val="center"/>
        </w:trPr>
        <w:tc>
          <w:tcPr>
            <w:tcW w:w="42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EC1D00F"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b/>
                <w:bCs/>
                <w:sz w:val="18"/>
                <w:szCs w:val="18"/>
                <w:lang w:val="es-ES"/>
              </w:rPr>
              <w:t>11</w:t>
            </w:r>
          </w:p>
        </w:tc>
        <w:tc>
          <w:tcPr>
            <w:tcW w:w="7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C57AA30"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2003</w:t>
            </w:r>
          </w:p>
        </w:tc>
        <w:tc>
          <w:tcPr>
            <w:tcW w:w="129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A28CC01"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González y otros (por ejecución)</w:t>
            </w:r>
          </w:p>
        </w:tc>
        <w:tc>
          <w:tcPr>
            <w:tcW w:w="158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A2710AA"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 Grave Violación por desaparición forzada</w:t>
            </w:r>
          </w:p>
        </w:tc>
        <w:tc>
          <w:tcPr>
            <w:tcW w:w="128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7B71C7A"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X</w:t>
            </w:r>
          </w:p>
        </w:tc>
        <w:tc>
          <w:tcPr>
            <w:tcW w:w="127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6CC628B" w14:textId="77777777" w:rsidR="00476ABD" w:rsidRPr="00F928EE" w:rsidRDefault="00476ABD" w:rsidP="00390DF2">
            <w:pPr>
              <w:spacing w:line="276" w:lineRule="auto"/>
              <w:jc w:val="center"/>
              <w:rPr>
                <w:rFonts w:ascii="Arial" w:eastAsia="Calibri" w:hAnsi="Arial" w:cs="Arial"/>
                <w:sz w:val="18"/>
                <w:szCs w:val="18"/>
                <w:lang w:val="es-ES"/>
              </w:rPr>
            </w:pPr>
          </w:p>
        </w:tc>
        <w:tc>
          <w:tcPr>
            <w:tcW w:w="127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9ED2965"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27 de junio 2016</w:t>
            </w:r>
          </w:p>
        </w:tc>
        <w:tc>
          <w:tcPr>
            <w:tcW w:w="142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59B253" w14:textId="77777777" w:rsidR="00476ABD" w:rsidRPr="00F928EE" w:rsidRDefault="00476ABD" w:rsidP="00390DF2">
            <w:pPr>
              <w:spacing w:line="276" w:lineRule="auto"/>
              <w:jc w:val="center"/>
              <w:rPr>
                <w:rFonts w:ascii="Arial" w:eastAsia="Calibri" w:hAnsi="Arial" w:cs="Arial"/>
                <w:sz w:val="18"/>
                <w:szCs w:val="18"/>
                <w:lang w:val="es-ES"/>
              </w:rPr>
            </w:pPr>
          </w:p>
        </w:tc>
      </w:tr>
      <w:tr w:rsidR="00476ABD" w:rsidRPr="00F928EE" w14:paraId="697C07FF" w14:textId="77777777" w:rsidTr="00F928EE">
        <w:trPr>
          <w:trHeight w:val="658"/>
          <w:jc w:val="center"/>
        </w:trPr>
        <w:tc>
          <w:tcPr>
            <w:tcW w:w="422" w:type="dxa"/>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3D17718A"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b/>
                <w:bCs/>
                <w:sz w:val="18"/>
                <w:szCs w:val="18"/>
                <w:lang w:val="es-ES"/>
              </w:rPr>
              <w:t>12</w:t>
            </w:r>
          </w:p>
        </w:tc>
        <w:tc>
          <w:tcPr>
            <w:tcW w:w="793"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476B8383"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1985</w:t>
            </w:r>
          </w:p>
        </w:tc>
        <w:tc>
          <w:tcPr>
            <w:tcW w:w="1296"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02A12444"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 xml:space="preserve">Caso </w:t>
            </w:r>
            <w:proofErr w:type="spellStart"/>
            <w:r w:rsidRPr="00F928EE">
              <w:rPr>
                <w:rFonts w:ascii="Arial" w:eastAsia="Calibri" w:hAnsi="Arial" w:cs="Arial"/>
                <w:sz w:val="18"/>
                <w:szCs w:val="18"/>
                <w:lang w:val="es-ES"/>
              </w:rPr>
              <w:t>Cañola</w:t>
            </w:r>
            <w:proofErr w:type="spellEnd"/>
          </w:p>
        </w:tc>
        <w:tc>
          <w:tcPr>
            <w:tcW w:w="1584"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7AF8F8DA"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 Grave Violación por privación ilegal y ejecución extrajudicial.</w:t>
            </w:r>
          </w:p>
        </w:tc>
        <w:tc>
          <w:tcPr>
            <w:tcW w:w="1282"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3C6FAD39"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X</w:t>
            </w:r>
          </w:p>
        </w:tc>
        <w:tc>
          <w:tcPr>
            <w:tcW w:w="1276"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23552F03" w14:textId="77777777" w:rsidR="00476ABD" w:rsidRPr="00F928EE" w:rsidRDefault="00476ABD" w:rsidP="00390DF2">
            <w:pPr>
              <w:spacing w:line="276" w:lineRule="auto"/>
              <w:jc w:val="center"/>
              <w:rPr>
                <w:rFonts w:ascii="Arial" w:eastAsia="Calibri" w:hAnsi="Arial" w:cs="Arial"/>
                <w:sz w:val="18"/>
                <w:szCs w:val="18"/>
                <w:lang w:val="es-ES"/>
              </w:rPr>
            </w:pPr>
          </w:p>
        </w:tc>
        <w:tc>
          <w:tcPr>
            <w:tcW w:w="1275"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15F94EA0"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23 de noviembre 2016</w:t>
            </w:r>
          </w:p>
        </w:tc>
        <w:tc>
          <w:tcPr>
            <w:tcW w:w="1421"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1849FD03"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2</w:t>
            </w:r>
          </w:p>
        </w:tc>
      </w:tr>
      <w:tr w:rsidR="00476ABD" w:rsidRPr="00F928EE" w14:paraId="54335A76" w14:textId="77777777" w:rsidTr="00F928EE">
        <w:trPr>
          <w:trHeight w:val="516"/>
          <w:jc w:val="center"/>
        </w:trPr>
        <w:tc>
          <w:tcPr>
            <w:tcW w:w="4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64BAC69"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b/>
                <w:bCs/>
                <w:sz w:val="18"/>
                <w:szCs w:val="18"/>
                <w:lang w:val="es-ES"/>
              </w:rPr>
              <w:t>13</w:t>
            </w:r>
          </w:p>
        </w:tc>
        <w:tc>
          <w:tcPr>
            <w:tcW w:w="79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0220BC4"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2014</w:t>
            </w:r>
          </w:p>
        </w:tc>
        <w:tc>
          <w:tcPr>
            <w:tcW w:w="129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52A2CF4" w14:textId="37D7ED34" w:rsidR="00476ABD" w:rsidRPr="00F928EE" w:rsidRDefault="00CA38EB"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Ángelo</w:t>
            </w:r>
            <w:r w:rsidR="00476ABD" w:rsidRPr="00F928EE">
              <w:rPr>
                <w:rFonts w:ascii="Arial" w:eastAsia="Calibri" w:hAnsi="Arial" w:cs="Arial"/>
                <w:sz w:val="18"/>
                <w:szCs w:val="18"/>
                <w:lang w:val="es-ES"/>
              </w:rPr>
              <w:t xml:space="preserve"> Alexander </w:t>
            </w:r>
            <w:proofErr w:type="spellStart"/>
            <w:r w:rsidR="00476ABD" w:rsidRPr="00F928EE">
              <w:rPr>
                <w:rFonts w:ascii="Arial" w:eastAsia="Calibri" w:hAnsi="Arial" w:cs="Arial"/>
                <w:sz w:val="18"/>
                <w:szCs w:val="18"/>
                <w:lang w:val="es-ES"/>
              </w:rPr>
              <w:t>Ayol</w:t>
            </w:r>
            <w:proofErr w:type="spellEnd"/>
            <w:r w:rsidR="00476ABD" w:rsidRPr="00F928EE">
              <w:rPr>
                <w:rFonts w:ascii="Arial" w:eastAsia="Calibri" w:hAnsi="Arial" w:cs="Arial"/>
                <w:sz w:val="18"/>
                <w:szCs w:val="18"/>
                <w:lang w:val="es-ES"/>
              </w:rPr>
              <w:t xml:space="preserve"> Barros</w:t>
            </w:r>
          </w:p>
        </w:tc>
        <w:tc>
          <w:tcPr>
            <w:tcW w:w="15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E0B62CF"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Tortura</w:t>
            </w:r>
          </w:p>
        </w:tc>
        <w:tc>
          <w:tcPr>
            <w:tcW w:w="12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5DA74B0" w14:textId="77777777" w:rsidR="00476ABD" w:rsidRPr="00F928EE" w:rsidRDefault="00476ABD" w:rsidP="00390DF2">
            <w:pPr>
              <w:spacing w:line="276" w:lineRule="auto"/>
              <w:jc w:val="center"/>
              <w:rPr>
                <w:rFonts w:ascii="Arial" w:eastAsia="Calibri" w:hAnsi="Arial" w:cs="Arial"/>
                <w:sz w:val="18"/>
                <w:szCs w:val="18"/>
                <w:lang w:val="es-ES"/>
              </w:rPr>
            </w:pPr>
          </w:p>
        </w:tc>
        <w:tc>
          <w:tcPr>
            <w:tcW w:w="127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8BB8DCE" w14:textId="77777777" w:rsidR="00476ABD" w:rsidRPr="00F928EE" w:rsidRDefault="00476ABD" w:rsidP="00390DF2">
            <w:pPr>
              <w:spacing w:line="276" w:lineRule="auto"/>
              <w:jc w:val="center"/>
              <w:rPr>
                <w:rFonts w:ascii="Arial" w:eastAsia="Calibri" w:hAnsi="Arial" w:cs="Arial"/>
                <w:sz w:val="18"/>
                <w:szCs w:val="18"/>
                <w:lang w:val="es-ES"/>
              </w:rPr>
            </w:pPr>
          </w:p>
        </w:tc>
        <w:tc>
          <w:tcPr>
            <w:tcW w:w="127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E3BFA11"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17 de noviembre de 2016</w:t>
            </w:r>
          </w:p>
        </w:tc>
        <w:tc>
          <w:tcPr>
            <w:tcW w:w="142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DF53D09"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2</w:t>
            </w:r>
          </w:p>
        </w:tc>
      </w:tr>
      <w:tr w:rsidR="00476ABD" w:rsidRPr="00F928EE" w14:paraId="7B335BE3" w14:textId="77777777" w:rsidTr="00F928EE">
        <w:trPr>
          <w:trHeight w:val="450"/>
          <w:jc w:val="center"/>
        </w:trPr>
        <w:tc>
          <w:tcPr>
            <w:tcW w:w="422" w:type="dxa"/>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hideMark/>
          </w:tcPr>
          <w:p w14:paraId="512232B0"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b/>
                <w:bCs/>
                <w:sz w:val="18"/>
                <w:szCs w:val="18"/>
                <w:lang w:val="es-ES"/>
              </w:rPr>
              <w:t>14</w:t>
            </w:r>
          </w:p>
        </w:tc>
        <w:tc>
          <w:tcPr>
            <w:tcW w:w="793"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27FF7144"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1984</w:t>
            </w:r>
          </w:p>
        </w:tc>
        <w:tc>
          <w:tcPr>
            <w:tcW w:w="1296"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0DA903B1"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Mario Muñoz</w:t>
            </w:r>
          </w:p>
        </w:tc>
        <w:tc>
          <w:tcPr>
            <w:tcW w:w="1584" w:type="dxa"/>
            <w:tcBorders>
              <w:top w:val="single" w:sz="4" w:space="0" w:color="auto"/>
              <w:left w:val="nil"/>
              <w:bottom w:val="single" w:sz="4" w:space="0" w:color="auto"/>
              <w:right w:val="single" w:sz="8" w:space="0" w:color="auto"/>
            </w:tcBorders>
            <w:noWrap/>
            <w:tcMar>
              <w:top w:w="0" w:type="dxa"/>
              <w:left w:w="70" w:type="dxa"/>
              <w:bottom w:w="0" w:type="dxa"/>
              <w:right w:w="70" w:type="dxa"/>
            </w:tcMar>
            <w:vAlign w:val="center"/>
            <w:hideMark/>
          </w:tcPr>
          <w:p w14:paraId="27FF4371"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Detención Legal y tortura</w:t>
            </w:r>
          </w:p>
        </w:tc>
        <w:tc>
          <w:tcPr>
            <w:tcW w:w="1282" w:type="dxa"/>
            <w:tcBorders>
              <w:top w:val="single" w:sz="4" w:space="0" w:color="auto"/>
              <w:left w:val="nil"/>
              <w:bottom w:val="single" w:sz="4" w:space="0" w:color="auto"/>
              <w:right w:val="single" w:sz="8" w:space="0" w:color="auto"/>
            </w:tcBorders>
            <w:noWrap/>
            <w:tcMar>
              <w:top w:w="0" w:type="dxa"/>
              <w:left w:w="70" w:type="dxa"/>
              <w:bottom w:w="0" w:type="dxa"/>
              <w:right w:w="70" w:type="dxa"/>
            </w:tcMar>
            <w:vAlign w:val="center"/>
            <w:hideMark/>
          </w:tcPr>
          <w:p w14:paraId="06CB0AFD" w14:textId="77777777" w:rsidR="00476ABD" w:rsidRPr="00F928EE" w:rsidRDefault="00476ABD" w:rsidP="00390DF2">
            <w:pPr>
              <w:spacing w:line="276" w:lineRule="auto"/>
              <w:jc w:val="center"/>
              <w:rPr>
                <w:rFonts w:ascii="Arial" w:eastAsia="Calibri" w:hAnsi="Arial" w:cs="Arial"/>
                <w:sz w:val="18"/>
                <w:szCs w:val="18"/>
                <w:lang w:val="es-ES"/>
              </w:rPr>
            </w:pPr>
          </w:p>
        </w:tc>
        <w:tc>
          <w:tcPr>
            <w:tcW w:w="1276" w:type="dxa"/>
            <w:tcBorders>
              <w:top w:val="single" w:sz="4" w:space="0" w:color="auto"/>
              <w:left w:val="nil"/>
              <w:bottom w:val="single" w:sz="4" w:space="0" w:color="auto"/>
              <w:right w:val="single" w:sz="8" w:space="0" w:color="auto"/>
            </w:tcBorders>
            <w:noWrap/>
            <w:tcMar>
              <w:top w:w="0" w:type="dxa"/>
              <w:left w:w="70" w:type="dxa"/>
              <w:bottom w:w="0" w:type="dxa"/>
              <w:right w:w="70" w:type="dxa"/>
            </w:tcMar>
            <w:vAlign w:val="center"/>
            <w:hideMark/>
          </w:tcPr>
          <w:p w14:paraId="36714395"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X</w:t>
            </w:r>
          </w:p>
        </w:tc>
        <w:tc>
          <w:tcPr>
            <w:tcW w:w="1275"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323A8365"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22 de julio de 2011</w:t>
            </w:r>
          </w:p>
        </w:tc>
        <w:tc>
          <w:tcPr>
            <w:tcW w:w="1421" w:type="dxa"/>
            <w:tcBorders>
              <w:top w:val="single" w:sz="4" w:space="0" w:color="auto"/>
              <w:left w:val="nil"/>
              <w:bottom w:val="single" w:sz="4" w:space="0" w:color="auto"/>
              <w:right w:val="single" w:sz="8" w:space="0" w:color="auto"/>
            </w:tcBorders>
            <w:noWrap/>
            <w:tcMar>
              <w:top w:w="0" w:type="dxa"/>
              <w:left w:w="70" w:type="dxa"/>
              <w:bottom w:w="0" w:type="dxa"/>
              <w:right w:w="70" w:type="dxa"/>
            </w:tcMar>
            <w:vAlign w:val="center"/>
            <w:hideMark/>
          </w:tcPr>
          <w:p w14:paraId="09CF927C" w14:textId="77777777" w:rsidR="00476ABD" w:rsidRPr="00F928EE" w:rsidRDefault="00476ABD" w:rsidP="00390DF2">
            <w:pPr>
              <w:spacing w:line="276" w:lineRule="auto"/>
              <w:jc w:val="center"/>
              <w:rPr>
                <w:rFonts w:ascii="Arial" w:eastAsia="Calibri" w:hAnsi="Arial" w:cs="Arial"/>
                <w:sz w:val="18"/>
                <w:szCs w:val="18"/>
                <w:lang w:val="es-ES"/>
              </w:rPr>
            </w:pPr>
          </w:p>
        </w:tc>
      </w:tr>
      <w:tr w:rsidR="00476ABD" w:rsidRPr="00F928EE" w14:paraId="264CB798" w14:textId="77777777" w:rsidTr="00F928EE">
        <w:trPr>
          <w:trHeight w:val="257"/>
          <w:jc w:val="center"/>
        </w:trPr>
        <w:tc>
          <w:tcPr>
            <w:tcW w:w="4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C59002F"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b/>
                <w:bCs/>
                <w:sz w:val="18"/>
                <w:szCs w:val="18"/>
                <w:lang w:val="es-ES"/>
              </w:rPr>
              <w:t>15</w:t>
            </w:r>
          </w:p>
        </w:tc>
        <w:tc>
          <w:tcPr>
            <w:tcW w:w="79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D68FA7D"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2016</w:t>
            </w:r>
          </w:p>
        </w:tc>
        <w:tc>
          <w:tcPr>
            <w:tcW w:w="129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F5E9182"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Caso Turi</w:t>
            </w:r>
          </w:p>
        </w:tc>
        <w:tc>
          <w:tcPr>
            <w:tcW w:w="15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A010B0F"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Tortura</w:t>
            </w:r>
          </w:p>
        </w:tc>
        <w:tc>
          <w:tcPr>
            <w:tcW w:w="12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5120855"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X</w:t>
            </w:r>
          </w:p>
        </w:tc>
        <w:tc>
          <w:tcPr>
            <w:tcW w:w="127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FD65C1A" w14:textId="77777777" w:rsidR="00476ABD" w:rsidRPr="00F928EE" w:rsidRDefault="00476ABD" w:rsidP="00390DF2">
            <w:pPr>
              <w:spacing w:line="276" w:lineRule="auto"/>
              <w:jc w:val="center"/>
              <w:rPr>
                <w:rFonts w:ascii="Arial" w:eastAsia="Calibri" w:hAnsi="Arial" w:cs="Arial"/>
                <w:sz w:val="18"/>
                <w:szCs w:val="18"/>
                <w:lang w:val="es-ES"/>
              </w:rPr>
            </w:pPr>
          </w:p>
        </w:tc>
        <w:tc>
          <w:tcPr>
            <w:tcW w:w="127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7D982643"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18 de septiembre de 2018</w:t>
            </w:r>
          </w:p>
        </w:tc>
        <w:tc>
          <w:tcPr>
            <w:tcW w:w="142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100C9DB"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42</w:t>
            </w:r>
          </w:p>
        </w:tc>
      </w:tr>
      <w:tr w:rsidR="00476ABD" w:rsidRPr="00F928EE" w14:paraId="739BB41E" w14:textId="77777777" w:rsidTr="00F928EE">
        <w:trPr>
          <w:trHeight w:val="257"/>
          <w:jc w:val="center"/>
        </w:trPr>
        <w:tc>
          <w:tcPr>
            <w:tcW w:w="422" w:type="dxa"/>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82BFE4F"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b/>
                <w:bCs/>
                <w:sz w:val="18"/>
                <w:szCs w:val="18"/>
                <w:lang w:val="es-ES"/>
              </w:rPr>
              <w:t>16</w:t>
            </w:r>
          </w:p>
        </w:tc>
        <w:tc>
          <w:tcPr>
            <w:tcW w:w="793"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7AC81076"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2013</w:t>
            </w:r>
          </w:p>
        </w:tc>
        <w:tc>
          <w:tcPr>
            <w:tcW w:w="1296"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682C710E"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David Romo</w:t>
            </w:r>
          </w:p>
        </w:tc>
        <w:tc>
          <w:tcPr>
            <w:tcW w:w="1584"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0BFA1F66"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Asesinato</w:t>
            </w:r>
          </w:p>
        </w:tc>
        <w:tc>
          <w:tcPr>
            <w:tcW w:w="1282"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15934275"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X</w:t>
            </w:r>
          </w:p>
        </w:tc>
        <w:tc>
          <w:tcPr>
            <w:tcW w:w="1276"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4D693109" w14:textId="77777777" w:rsidR="00476ABD" w:rsidRPr="00F928EE" w:rsidRDefault="00476ABD" w:rsidP="00390DF2">
            <w:pPr>
              <w:spacing w:line="276" w:lineRule="auto"/>
              <w:jc w:val="center"/>
              <w:rPr>
                <w:rFonts w:ascii="Arial" w:eastAsia="Calibri" w:hAnsi="Arial" w:cs="Arial"/>
                <w:sz w:val="18"/>
                <w:szCs w:val="18"/>
                <w:lang w:val="es-ES"/>
              </w:rPr>
            </w:pPr>
          </w:p>
        </w:tc>
        <w:tc>
          <w:tcPr>
            <w:tcW w:w="1275"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578AF864"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28 de mayo de 2019</w:t>
            </w:r>
          </w:p>
        </w:tc>
        <w:tc>
          <w:tcPr>
            <w:tcW w:w="1421"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0967F12B" w14:textId="77777777" w:rsidR="00476ABD" w:rsidRPr="00F928EE" w:rsidRDefault="00476ABD" w:rsidP="00390DF2">
            <w:pPr>
              <w:spacing w:line="276" w:lineRule="auto"/>
              <w:jc w:val="center"/>
              <w:rPr>
                <w:rFonts w:ascii="Arial" w:eastAsia="Calibri" w:hAnsi="Arial" w:cs="Arial"/>
                <w:sz w:val="18"/>
                <w:szCs w:val="18"/>
                <w:lang w:val="es-ES"/>
              </w:rPr>
            </w:pPr>
          </w:p>
        </w:tc>
      </w:tr>
      <w:tr w:rsidR="00476ABD" w:rsidRPr="00F928EE" w14:paraId="7792C0C9" w14:textId="77777777" w:rsidTr="00F928EE">
        <w:trPr>
          <w:trHeight w:val="528"/>
          <w:jc w:val="center"/>
        </w:trPr>
        <w:tc>
          <w:tcPr>
            <w:tcW w:w="422" w:type="dxa"/>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3759D743"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b/>
                <w:bCs/>
                <w:sz w:val="18"/>
                <w:szCs w:val="18"/>
                <w:lang w:val="es-ES"/>
              </w:rPr>
              <w:t>17</w:t>
            </w:r>
          </w:p>
        </w:tc>
        <w:tc>
          <w:tcPr>
            <w:tcW w:w="793"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0CA402A1"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2013</w:t>
            </w:r>
          </w:p>
        </w:tc>
        <w:tc>
          <w:tcPr>
            <w:tcW w:w="1296"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0B059370"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 xml:space="preserve">Tagaeri, </w:t>
            </w:r>
            <w:proofErr w:type="spellStart"/>
            <w:r w:rsidRPr="00F928EE">
              <w:rPr>
                <w:rFonts w:ascii="Arial" w:eastAsia="Calibri" w:hAnsi="Arial" w:cs="Arial"/>
                <w:sz w:val="18"/>
                <w:szCs w:val="18"/>
                <w:lang w:val="es-ES"/>
              </w:rPr>
              <w:t>Woarani</w:t>
            </w:r>
            <w:proofErr w:type="spellEnd"/>
            <w:r w:rsidRPr="00F928EE">
              <w:rPr>
                <w:rFonts w:ascii="Arial" w:eastAsia="Calibri" w:hAnsi="Arial" w:cs="Arial"/>
                <w:sz w:val="18"/>
                <w:szCs w:val="18"/>
                <w:lang w:val="es-ES"/>
              </w:rPr>
              <w:t xml:space="preserve">, </w:t>
            </w:r>
            <w:proofErr w:type="spellStart"/>
            <w:r w:rsidRPr="00F928EE">
              <w:rPr>
                <w:rFonts w:ascii="Arial" w:eastAsia="Calibri" w:hAnsi="Arial" w:cs="Arial"/>
                <w:sz w:val="18"/>
                <w:szCs w:val="18"/>
                <w:lang w:val="es-ES"/>
              </w:rPr>
              <w:t>taromenani</w:t>
            </w:r>
            <w:proofErr w:type="spellEnd"/>
          </w:p>
        </w:tc>
        <w:tc>
          <w:tcPr>
            <w:tcW w:w="1584"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6FF5E4F5"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Homicidio</w:t>
            </w:r>
          </w:p>
        </w:tc>
        <w:tc>
          <w:tcPr>
            <w:tcW w:w="1282"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475D90D3"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X</w:t>
            </w:r>
          </w:p>
        </w:tc>
        <w:tc>
          <w:tcPr>
            <w:tcW w:w="1276"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6B89D860" w14:textId="77777777" w:rsidR="00476ABD" w:rsidRPr="00F928EE" w:rsidRDefault="00476ABD" w:rsidP="00390DF2">
            <w:pPr>
              <w:spacing w:line="276" w:lineRule="auto"/>
              <w:jc w:val="center"/>
              <w:rPr>
                <w:rFonts w:ascii="Arial" w:eastAsia="Calibri" w:hAnsi="Arial" w:cs="Arial"/>
                <w:sz w:val="18"/>
                <w:szCs w:val="18"/>
                <w:lang w:val="es-ES"/>
              </w:rPr>
            </w:pPr>
          </w:p>
        </w:tc>
        <w:tc>
          <w:tcPr>
            <w:tcW w:w="1275"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223EC008"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18 de noviembre de 2018</w:t>
            </w:r>
          </w:p>
        </w:tc>
        <w:tc>
          <w:tcPr>
            <w:tcW w:w="1421"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5C59AEC6"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10</w:t>
            </w:r>
          </w:p>
        </w:tc>
      </w:tr>
      <w:tr w:rsidR="00476ABD" w:rsidRPr="00F928EE" w14:paraId="0559D1CD" w14:textId="77777777" w:rsidTr="00F928EE">
        <w:trPr>
          <w:trHeight w:val="677"/>
          <w:jc w:val="center"/>
        </w:trPr>
        <w:tc>
          <w:tcPr>
            <w:tcW w:w="422" w:type="dxa"/>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53FADD93" w14:textId="77777777" w:rsidR="00476ABD" w:rsidRPr="00F928EE" w:rsidRDefault="00476ABD" w:rsidP="00390DF2">
            <w:pPr>
              <w:spacing w:line="276" w:lineRule="auto"/>
              <w:rPr>
                <w:rFonts w:ascii="Arial" w:eastAsia="Calibri" w:hAnsi="Arial" w:cs="Arial"/>
                <w:b/>
                <w:bCs/>
                <w:sz w:val="18"/>
                <w:szCs w:val="18"/>
                <w:lang w:val="es-ES"/>
              </w:rPr>
            </w:pPr>
            <w:r w:rsidRPr="00F928EE">
              <w:rPr>
                <w:rFonts w:ascii="Arial" w:eastAsia="Calibri" w:hAnsi="Arial" w:cs="Arial"/>
                <w:b/>
                <w:bCs/>
                <w:sz w:val="18"/>
                <w:szCs w:val="18"/>
                <w:lang w:val="es-ES"/>
              </w:rPr>
              <w:t>18</w:t>
            </w:r>
          </w:p>
        </w:tc>
        <w:tc>
          <w:tcPr>
            <w:tcW w:w="793"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5A13224C"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2015</w:t>
            </w:r>
          </w:p>
        </w:tc>
        <w:tc>
          <w:tcPr>
            <w:tcW w:w="1296"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2B17ABE8" w14:textId="77777777" w:rsidR="00476ABD" w:rsidRPr="00F928EE" w:rsidRDefault="00476ABD" w:rsidP="00390DF2">
            <w:pPr>
              <w:spacing w:line="276" w:lineRule="auto"/>
              <w:rPr>
                <w:rFonts w:ascii="Arial" w:eastAsia="Calibri" w:hAnsi="Arial" w:cs="Arial"/>
                <w:sz w:val="18"/>
                <w:szCs w:val="18"/>
                <w:lang w:val="es-ES"/>
              </w:rPr>
            </w:pPr>
            <w:proofErr w:type="spellStart"/>
            <w:r w:rsidRPr="00F928EE">
              <w:rPr>
                <w:rFonts w:ascii="Arial" w:eastAsia="Calibri" w:hAnsi="Arial" w:cs="Arial"/>
                <w:sz w:val="18"/>
                <w:szCs w:val="18"/>
                <w:lang w:val="es-ES"/>
              </w:rPr>
              <w:t>Laz</w:t>
            </w:r>
            <w:proofErr w:type="spellEnd"/>
            <w:r w:rsidRPr="00F928EE">
              <w:rPr>
                <w:rFonts w:ascii="Arial" w:eastAsia="Calibri" w:hAnsi="Arial" w:cs="Arial"/>
                <w:sz w:val="18"/>
                <w:szCs w:val="18"/>
                <w:lang w:val="es-ES"/>
              </w:rPr>
              <w:t xml:space="preserve"> Jama</w:t>
            </w:r>
          </w:p>
        </w:tc>
        <w:tc>
          <w:tcPr>
            <w:tcW w:w="1584"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462AA525" w14:textId="77777777" w:rsidR="00476ABD" w:rsidRPr="00F928EE" w:rsidRDefault="00476ABD" w:rsidP="00390DF2">
            <w:pPr>
              <w:spacing w:line="276" w:lineRule="auto"/>
              <w:rPr>
                <w:rFonts w:ascii="Arial" w:eastAsia="Calibri" w:hAnsi="Arial" w:cs="Arial"/>
                <w:sz w:val="18"/>
                <w:szCs w:val="18"/>
                <w:lang w:val="es-ES"/>
              </w:rPr>
            </w:pPr>
            <w:r w:rsidRPr="00F928EE">
              <w:rPr>
                <w:rFonts w:ascii="Arial" w:eastAsia="Calibri" w:hAnsi="Arial" w:cs="Arial"/>
                <w:sz w:val="18"/>
                <w:szCs w:val="18"/>
                <w:lang w:val="es-ES"/>
              </w:rPr>
              <w:t>privación ilegal de la libertad y tortura</w:t>
            </w:r>
          </w:p>
          <w:p w14:paraId="6D0E4951" w14:textId="77777777" w:rsidR="00476ABD" w:rsidRPr="00F928EE" w:rsidRDefault="00476ABD" w:rsidP="00390DF2">
            <w:pPr>
              <w:spacing w:line="276" w:lineRule="auto"/>
              <w:rPr>
                <w:rFonts w:ascii="Arial" w:eastAsia="Calibri" w:hAnsi="Arial" w:cs="Arial"/>
                <w:sz w:val="18"/>
                <w:szCs w:val="18"/>
                <w:lang w:val="es-ES"/>
              </w:rPr>
            </w:pPr>
          </w:p>
        </w:tc>
        <w:tc>
          <w:tcPr>
            <w:tcW w:w="1282"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14:paraId="581F9033"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X</w:t>
            </w:r>
          </w:p>
        </w:tc>
        <w:tc>
          <w:tcPr>
            <w:tcW w:w="1276"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14:paraId="4DEBE465" w14:textId="77777777" w:rsidR="00476ABD" w:rsidRPr="00F928EE" w:rsidRDefault="00476ABD" w:rsidP="00390DF2">
            <w:pPr>
              <w:spacing w:line="276" w:lineRule="auto"/>
              <w:jc w:val="center"/>
              <w:rPr>
                <w:rFonts w:ascii="Arial" w:eastAsia="Calibri" w:hAnsi="Arial" w:cs="Arial"/>
                <w:sz w:val="18"/>
                <w:szCs w:val="18"/>
                <w:lang w:val="es-ES"/>
              </w:rPr>
            </w:pPr>
          </w:p>
        </w:tc>
        <w:tc>
          <w:tcPr>
            <w:tcW w:w="1275"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14:paraId="6DA5D7CC"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22 de enero de 2020</w:t>
            </w:r>
          </w:p>
          <w:p w14:paraId="0E549689" w14:textId="77777777" w:rsidR="00476ABD" w:rsidRPr="00F928EE" w:rsidRDefault="00476ABD" w:rsidP="00390DF2">
            <w:pPr>
              <w:spacing w:line="276" w:lineRule="auto"/>
              <w:jc w:val="center"/>
              <w:rPr>
                <w:rFonts w:ascii="Arial" w:eastAsia="Calibri" w:hAnsi="Arial" w:cs="Arial"/>
                <w:sz w:val="18"/>
                <w:szCs w:val="18"/>
                <w:lang w:val="es-ES"/>
              </w:rPr>
            </w:pPr>
          </w:p>
        </w:tc>
        <w:tc>
          <w:tcPr>
            <w:tcW w:w="1421"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14:paraId="5E1FCF1F" w14:textId="77777777" w:rsidR="00476ABD" w:rsidRPr="00F928EE" w:rsidRDefault="00476ABD" w:rsidP="00390DF2">
            <w:pPr>
              <w:spacing w:line="276" w:lineRule="auto"/>
              <w:jc w:val="center"/>
              <w:rPr>
                <w:rFonts w:ascii="Arial" w:eastAsia="Calibri" w:hAnsi="Arial" w:cs="Arial"/>
                <w:sz w:val="18"/>
                <w:szCs w:val="18"/>
                <w:lang w:val="es-ES"/>
              </w:rPr>
            </w:pPr>
            <w:r w:rsidRPr="00F928EE">
              <w:rPr>
                <w:rFonts w:ascii="Arial" w:eastAsia="Calibri" w:hAnsi="Arial" w:cs="Arial"/>
                <w:sz w:val="18"/>
                <w:szCs w:val="18"/>
                <w:lang w:val="es-ES"/>
              </w:rPr>
              <w:t>4</w:t>
            </w:r>
          </w:p>
        </w:tc>
      </w:tr>
    </w:tbl>
    <w:p w14:paraId="7A988BE0" w14:textId="3F92859B" w:rsidR="00476ABD" w:rsidRPr="00775AE5" w:rsidRDefault="00476ABD" w:rsidP="00EE592F">
      <w:pPr>
        <w:spacing w:line="276" w:lineRule="auto"/>
        <w:jc w:val="center"/>
        <w:rPr>
          <w:rFonts w:ascii="Arial" w:hAnsi="Arial" w:cs="Arial"/>
          <w:sz w:val="22"/>
          <w:szCs w:val="22"/>
          <w:lang w:val="es-ES"/>
        </w:rPr>
      </w:pPr>
      <w:r w:rsidRPr="00775AE5">
        <w:rPr>
          <w:rFonts w:ascii="Arial" w:hAnsi="Arial" w:cs="Arial"/>
          <w:b/>
          <w:bCs/>
          <w:sz w:val="22"/>
          <w:szCs w:val="22"/>
          <w:lang w:val="es-ES"/>
        </w:rPr>
        <w:t>Fuente y elaboración</w:t>
      </w:r>
      <w:r w:rsidRPr="00775AE5">
        <w:rPr>
          <w:rFonts w:ascii="Arial" w:hAnsi="Arial" w:cs="Arial"/>
          <w:sz w:val="22"/>
          <w:szCs w:val="22"/>
          <w:lang w:val="es-ES"/>
        </w:rPr>
        <w:t xml:space="preserve">: </w:t>
      </w:r>
      <w:r w:rsidR="005C5D7C" w:rsidRPr="00775AE5">
        <w:rPr>
          <w:rFonts w:ascii="Arial" w:hAnsi="Arial" w:cs="Arial"/>
          <w:sz w:val="22"/>
          <w:szCs w:val="22"/>
          <w:lang w:val="es-ES"/>
        </w:rPr>
        <w:t>Fiscalía General del Estado</w:t>
      </w:r>
    </w:p>
    <w:p w14:paraId="493B0902" w14:textId="77777777" w:rsidR="00F360AF" w:rsidRPr="00775AE5" w:rsidRDefault="00F360AF" w:rsidP="00390DF2">
      <w:pPr>
        <w:spacing w:line="276" w:lineRule="auto"/>
        <w:rPr>
          <w:rFonts w:ascii="Arial" w:hAnsi="Arial" w:cs="Arial"/>
          <w:sz w:val="22"/>
          <w:szCs w:val="22"/>
          <w:lang w:val="es-ES"/>
        </w:rPr>
      </w:pPr>
    </w:p>
    <w:p w14:paraId="78D57CA5" w14:textId="77777777" w:rsidR="00F360AF" w:rsidRPr="00775AE5" w:rsidRDefault="00F360AF" w:rsidP="00390DF2">
      <w:pPr>
        <w:spacing w:line="276" w:lineRule="auto"/>
        <w:jc w:val="both"/>
        <w:rPr>
          <w:rFonts w:ascii="Arial" w:hAnsi="Arial" w:cs="Arial"/>
          <w:sz w:val="22"/>
          <w:szCs w:val="22"/>
          <w:lang w:val="es-ES"/>
        </w:rPr>
      </w:pPr>
      <w:r w:rsidRPr="00775AE5">
        <w:rPr>
          <w:rFonts w:ascii="Arial" w:hAnsi="Arial" w:cs="Arial"/>
          <w:sz w:val="22"/>
          <w:szCs w:val="22"/>
          <w:lang w:val="es-ES"/>
        </w:rPr>
        <w:t xml:space="preserve">Es importante señalar que, de los casos presentados por la Fiscalía General del </w:t>
      </w:r>
      <w:r w:rsidR="00FE59C1" w:rsidRPr="00775AE5">
        <w:rPr>
          <w:rFonts w:ascii="Arial" w:hAnsi="Arial" w:cs="Arial"/>
          <w:sz w:val="22"/>
          <w:szCs w:val="22"/>
          <w:lang w:val="es-ES"/>
        </w:rPr>
        <w:t>Estado, en la tabla anterior,</w:t>
      </w:r>
      <w:r w:rsidRPr="00775AE5">
        <w:rPr>
          <w:rFonts w:ascii="Arial" w:hAnsi="Arial" w:cs="Arial"/>
          <w:sz w:val="22"/>
          <w:szCs w:val="22"/>
          <w:lang w:val="es-ES"/>
        </w:rPr>
        <w:t xml:space="preserve"> 8 corresponden a casos estipulados en el Informe Final de la Comisión de la Verdad</w:t>
      </w:r>
      <w:r w:rsidRPr="00775AE5">
        <w:rPr>
          <w:rStyle w:val="FootnoteReference"/>
          <w:rFonts w:ascii="Arial" w:hAnsi="Arial" w:cs="Arial"/>
          <w:sz w:val="22"/>
          <w:szCs w:val="22"/>
          <w:lang w:val="es-ES"/>
        </w:rPr>
        <w:footnoteReference w:id="15"/>
      </w:r>
      <w:r w:rsidRPr="00775AE5">
        <w:rPr>
          <w:rFonts w:ascii="Arial" w:hAnsi="Arial" w:cs="Arial"/>
          <w:sz w:val="22"/>
          <w:szCs w:val="22"/>
          <w:lang w:val="es-ES"/>
        </w:rPr>
        <w:t>.</w:t>
      </w:r>
    </w:p>
    <w:p w14:paraId="311BCDDD" w14:textId="77777777" w:rsidR="00F360AF" w:rsidRPr="00775AE5" w:rsidRDefault="00F360AF" w:rsidP="00390DF2">
      <w:pPr>
        <w:spacing w:line="276" w:lineRule="auto"/>
        <w:jc w:val="both"/>
        <w:rPr>
          <w:rFonts w:ascii="Arial" w:hAnsi="Arial" w:cs="Arial"/>
          <w:sz w:val="22"/>
          <w:szCs w:val="22"/>
          <w:lang w:val="es-ES"/>
        </w:rPr>
      </w:pPr>
    </w:p>
    <w:p w14:paraId="12B55DF2" w14:textId="77777777" w:rsidR="00F360AF" w:rsidRPr="00775AE5" w:rsidRDefault="00F360AF" w:rsidP="00390DF2">
      <w:pPr>
        <w:spacing w:line="276" w:lineRule="auto"/>
        <w:jc w:val="both"/>
        <w:rPr>
          <w:rFonts w:ascii="Arial" w:hAnsi="Arial" w:cs="Arial"/>
          <w:sz w:val="22"/>
          <w:szCs w:val="22"/>
          <w:lang w:val="es-ES"/>
        </w:rPr>
      </w:pPr>
      <w:r w:rsidRPr="00775AE5">
        <w:rPr>
          <w:rFonts w:ascii="Arial" w:hAnsi="Arial" w:cs="Arial"/>
          <w:sz w:val="22"/>
          <w:szCs w:val="22"/>
          <w:lang w:val="es-ES"/>
        </w:rPr>
        <w:t>Por otra parte, la Defensoría del Pueblo ha recogido el señalamiento de las víctimas, en las que refieren el no cumplimiento de la sentencia, en su aspecto de reparación integral, dando énfasis en el pago de los valores indemnizatorios.</w:t>
      </w:r>
    </w:p>
    <w:p w14:paraId="52E1CB67" w14:textId="77777777" w:rsidR="00F360AF" w:rsidRPr="00775AE5" w:rsidRDefault="00F360AF" w:rsidP="00390DF2">
      <w:pPr>
        <w:spacing w:line="276" w:lineRule="auto"/>
        <w:jc w:val="both"/>
        <w:rPr>
          <w:rFonts w:ascii="Arial" w:hAnsi="Arial" w:cs="Arial"/>
          <w:sz w:val="22"/>
          <w:szCs w:val="22"/>
          <w:lang w:val="es-ES"/>
        </w:rPr>
      </w:pPr>
    </w:p>
    <w:p w14:paraId="3B451AFD" w14:textId="77777777" w:rsidR="00F360AF" w:rsidRPr="00775AE5" w:rsidRDefault="00BB3180" w:rsidP="00390DF2">
      <w:pPr>
        <w:pStyle w:val="Heading4"/>
        <w:spacing w:before="0" w:after="0" w:line="276" w:lineRule="auto"/>
        <w:rPr>
          <w:rFonts w:ascii="Arial" w:hAnsi="Arial" w:cs="Arial"/>
          <w:i w:val="0"/>
          <w:sz w:val="22"/>
          <w:szCs w:val="22"/>
          <w:lang w:val="es-ES"/>
        </w:rPr>
      </w:pPr>
      <w:r w:rsidRPr="00775AE5">
        <w:rPr>
          <w:rFonts w:ascii="Arial" w:hAnsi="Arial" w:cs="Arial"/>
          <w:i w:val="0"/>
          <w:sz w:val="22"/>
          <w:szCs w:val="22"/>
          <w:lang w:val="es-ES"/>
        </w:rPr>
        <w:t>7</w:t>
      </w:r>
      <w:r w:rsidR="00346990" w:rsidRPr="00775AE5">
        <w:rPr>
          <w:rFonts w:ascii="Arial" w:hAnsi="Arial" w:cs="Arial"/>
          <w:i w:val="0"/>
          <w:sz w:val="22"/>
          <w:szCs w:val="22"/>
          <w:lang w:val="es-ES"/>
        </w:rPr>
        <w:t>.1.</w:t>
      </w:r>
      <w:r w:rsidR="00762A93" w:rsidRPr="00775AE5">
        <w:rPr>
          <w:rFonts w:ascii="Arial" w:hAnsi="Arial" w:cs="Arial"/>
          <w:i w:val="0"/>
          <w:sz w:val="22"/>
          <w:szCs w:val="22"/>
          <w:lang w:val="es-ES"/>
        </w:rPr>
        <w:t>9</w:t>
      </w:r>
      <w:r w:rsidR="00346990" w:rsidRPr="00775AE5">
        <w:rPr>
          <w:rFonts w:ascii="Arial" w:hAnsi="Arial" w:cs="Arial"/>
          <w:i w:val="0"/>
          <w:sz w:val="22"/>
          <w:szCs w:val="22"/>
          <w:lang w:val="es-ES"/>
        </w:rPr>
        <w:t xml:space="preserve">. </w:t>
      </w:r>
      <w:r w:rsidR="00F360AF" w:rsidRPr="00775AE5">
        <w:rPr>
          <w:rFonts w:ascii="Arial" w:hAnsi="Arial" w:cs="Arial"/>
          <w:i w:val="0"/>
          <w:sz w:val="22"/>
          <w:szCs w:val="22"/>
          <w:lang w:val="es-ES"/>
        </w:rPr>
        <w:t>Proceso de Implementación del Museo de la Memoria</w:t>
      </w:r>
    </w:p>
    <w:p w14:paraId="65293D51" w14:textId="77777777" w:rsidR="00F360AF" w:rsidRPr="00775AE5" w:rsidRDefault="00F360AF" w:rsidP="00390DF2">
      <w:pPr>
        <w:spacing w:line="276" w:lineRule="auto"/>
        <w:jc w:val="both"/>
        <w:rPr>
          <w:rFonts w:ascii="Arial" w:hAnsi="Arial" w:cs="Arial"/>
          <w:b/>
          <w:bCs/>
          <w:sz w:val="22"/>
          <w:szCs w:val="22"/>
          <w:lang w:val="es-ES"/>
        </w:rPr>
      </w:pPr>
    </w:p>
    <w:p w14:paraId="7A222B5B" w14:textId="77777777" w:rsidR="00F360AF" w:rsidRPr="00775AE5" w:rsidRDefault="00F360AF" w:rsidP="00390DF2">
      <w:pPr>
        <w:spacing w:line="276" w:lineRule="auto"/>
        <w:jc w:val="both"/>
        <w:rPr>
          <w:rFonts w:ascii="Arial" w:hAnsi="Arial" w:cs="Arial"/>
          <w:sz w:val="22"/>
          <w:szCs w:val="22"/>
          <w:lang w:val="es-ES"/>
        </w:rPr>
      </w:pPr>
      <w:r w:rsidRPr="00775AE5">
        <w:rPr>
          <w:rFonts w:ascii="Arial" w:hAnsi="Arial" w:cs="Arial"/>
          <w:sz w:val="22"/>
          <w:szCs w:val="22"/>
          <w:lang w:val="es-ES"/>
        </w:rPr>
        <w:t>La Ley de Re</w:t>
      </w:r>
      <w:r w:rsidR="00EE5ECD" w:rsidRPr="00775AE5">
        <w:rPr>
          <w:rFonts w:ascii="Arial" w:hAnsi="Arial" w:cs="Arial"/>
          <w:sz w:val="22"/>
          <w:szCs w:val="22"/>
          <w:lang w:val="es-ES"/>
        </w:rPr>
        <w:t>paración a Víctimas dispone que</w:t>
      </w:r>
      <w:r w:rsidRPr="00775AE5">
        <w:rPr>
          <w:rFonts w:ascii="Arial" w:hAnsi="Arial" w:cs="Arial"/>
          <w:sz w:val="22"/>
          <w:szCs w:val="22"/>
          <w:lang w:val="es-ES"/>
        </w:rPr>
        <w:t xml:space="preserve"> el Ministerio de Cultura debe implementar la creación del Museo de la Memoria, cuyo fin es documentar y conmemorar a las víctimas de graves violaciones de derechos humanos y crímenes de lesa humanidad cometidos en el Ecuador. Sin embargo, a pesar de los esfuerzos de coordinación realizados por la Defensoría del Pueblo y las víctimas, este espacio no ha sido creado.</w:t>
      </w:r>
    </w:p>
    <w:p w14:paraId="0BE64796" w14:textId="77777777" w:rsidR="00F360AF" w:rsidRPr="00775AE5" w:rsidRDefault="00F360AF" w:rsidP="00390DF2">
      <w:pPr>
        <w:spacing w:line="276" w:lineRule="auto"/>
        <w:jc w:val="both"/>
        <w:rPr>
          <w:rFonts w:ascii="Arial" w:hAnsi="Arial" w:cs="Arial"/>
          <w:b/>
          <w:bCs/>
          <w:sz w:val="22"/>
          <w:szCs w:val="22"/>
          <w:lang w:val="es-ES"/>
        </w:rPr>
      </w:pPr>
    </w:p>
    <w:p w14:paraId="1C54ECFB" w14:textId="77777777" w:rsidR="00F150FF" w:rsidRPr="00775AE5" w:rsidRDefault="00F150FF" w:rsidP="00F150FF">
      <w:pPr>
        <w:spacing w:line="276" w:lineRule="auto"/>
        <w:jc w:val="both"/>
        <w:rPr>
          <w:rFonts w:ascii="Arial" w:hAnsi="Arial" w:cs="Arial"/>
          <w:sz w:val="22"/>
          <w:szCs w:val="22"/>
          <w:lang w:val="es-ES"/>
        </w:rPr>
      </w:pPr>
      <w:r w:rsidRPr="00775AE5">
        <w:rPr>
          <w:rFonts w:ascii="Arial" w:hAnsi="Arial" w:cs="Arial"/>
          <w:sz w:val="22"/>
          <w:szCs w:val="22"/>
          <w:lang w:val="es-ES"/>
        </w:rPr>
        <w:t xml:space="preserve">El 19 de mayo de 2017, como resultado de la coordinación de la Defensoría del Pueblo, los Ministerios de Cultura e Interior suscribieron el Convenio Marco de Cooperación Interinstitucional, con el objeto de establecer un marco de colaboración orientado a desarrollar actividades conjuntas que permitirán agilitar los procesos de planificación, intervención y operación del Museo de la Memoria, el mismo que debía estar ubicado en las instalaciones de la Unidad de Vigilancia Comunitaria Manuelita Sáenz (Regimiento Quito N 2); lugar que fue identificado por la Comisión de la Verdad como un sitio de tortura. Sin embargo, los términos y plazos del convenio fenecieron. </w:t>
      </w:r>
    </w:p>
    <w:p w14:paraId="01142876" w14:textId="77777777" w:rsidR="00F360AF" w:rsidRPr="00775AE5" w:rsidRDefault="00F360AF" w:rsidP="00390DF2">
      <w:pPr>
        <w:spacing w:line="276" w:lineRule="auto"/>
        <w:jc w:val="both"/>
        <w:rPr>
          <w:rFonts w:ascii="Arial" w:hAnsi="Arial" w:cs="Arial"/>
          <w:sz w:val="22"/>
          <w:szCs w:val="22"/>
          <w:lang w:val="es-ES"/>
        </w:rPr>
      </w:pPr>
    </w:p>
    <w:p w14:paraId="7D60F115" w14:textId="77777777" w:rsidR="00F360AF" w:rsidRPr="00775AE5" w:rsidRDefault="00EE5ECD" w:rsidP="00390DF2">
      <w:pPr>
        <w:spacing w:line="276" w:lineRule="auto"/>
        <w:jc w:val="both"/>
        <w:rPr>
          <w:rFonts w:ascii="Arial" w:hAnsi="Arial" w:cs="Arial"/>
          <w:sz w:val="22"/>
          <w:szCs w:val="22"/>
          <w:lang w:val="es-ES"/>
        </w:rPr>
      </w:pPr>
      <w:r w:rsidRPr="00775AE5">
        <w:rPr>
          <w:rFonts w:ascii="Arial" w:hAnsi="Arial" w:cs="Arial"/>
          <w:sz w:val="22"/>
          <w:szCs w:val="22"/>
          <w:lang w:val="es-ES"/>
        </w:rPr>
        <w:t xml:space="preserve">La </w:t>
      </w:r>
      <w:r w:rsidR="00F360AF" w:rsidRPr="00775AE5">
        <w:rPr>
          <w:rFonts w:ascii="Arial" w:hAnsi="Arial" w:cs="Arial"/>
          <w:sz w:val="22"/>
          <w:szCs w:val="22"/>
          <w:lang w:val="es-ES"/>
        </w:rPr>
        <w:t>Defensoría del Pueblo ha venido insistiendo en la importancia de implementar este espacio de memoria, recordando la obligación que tiene el Estado ecuatoriano, en la creación e implementación del Museo de la Memoria</w:t>
      </w:r>
      <w:r w:rsidRPr="00775AE5">
        <w:rPr>
          <w:rFonts w:ascii="Arial" w:hAnsi="Arial" w:cs="Arial"/>
          <w:sz w:val="22"/>
          <w:szCs w:val="22"/>
          <w:lang w:val="es-ES"/>
        </w:rPr>
        <w:t>,</w:t>
      </w:r>
      <w:r w:rsidR="00F360AF" w:rsidRPr="00775AE5">
        <w:rPr>
          <w:rFonts w:ascii="Arial" w:hAnsi="Arial" w:cs="Arial"/>
          <w:sz w:val="22"/>
          <w:szCs w:val="22"/>
          <w:lang w:val="es-ES"/>
        </w:rPr>
        <w:t xml:space="preserve"> sitio que no solo permitirá realizar una adecuada reparación a las víctimas, sino también establecer las bases y lineamientos de un tejido social sólido, de respeto a los derechos humanos y que recuerde a los gobiernos que estos hechos no pueden presentarse, por ningún motivo, en nuestro país.</w:t>
      </w:r>
    </w:p>
    <w:p w14:paraId="0B0DB802" w14:textId="77777777" w:rsidR="00F150FF" w:rsidRPr="00775AE5" w:rsidRDefault="00F150FF" w:rsidP="00390DF2">
      <w:pPr>
        <w:spacing w:line="276" w:lineRule="auto"/>
        <w:jc w:val="both"/>
        <w:rPr>
          <w:rFonts w:ascii="Arial" w:hAnsi="Arial" w:cs="Arial"/>
          <w:sz w:val="22"/>
          <w:szCs w:val="22"/>
          <w:lang w:val="es-ES"/>
        </w:rPr>
      </w:pPr>
    </w:p>
    <w:p w14:paraId="2858C9AB" w14:textId="77777777" w:rsidR="00F150FF" w:rsidRPr="00775AE5" w:rsidRDefault="00F150FF" w:rsidP="00F150FF">
      <w:pPr>
        <w:spacing w:line="276" w:lineRule="auto"/>
        <w:jc w:val="both"/>
        <w:rPr>
          <w:rFonts w:ascii="Arial" w:hAnsi="Arial" w:cs="Arial"/>
          <w:sz w:val="22"/>
          <w:szCs w:val="22"/>
          <w:lang w:val="es-ES"/>
        </w:rPr>
      </w:pPr>
      <w:r w:rsidRPr="00775AE5">
        <w:rPr>
          <w:rFonts w:ascii="Arial" w:hAnsi="Arial" w:cs="Arial"/>
          <w:sz w:val="22"/>
          <w:szCs w:val="22"/>
          <w:lang w:val="es-ES"/>
        </w:rPr>
        <w:t>En este marco, en agosto de 2020, víctimas documentadas por la Comisión de la Verdad presentaron, ante la Corte Constitucional, la demanda de Acción Pública de Incumplimiento de la Disposición Segunda de la Ley de Reparación a Víctimas en contra del Ministerio de Cultura y Patrimonio, la causa fue signada 27-20-AN y recayó en la Jueza Carmen Corral.</w:t>
      </w:r>
    </w:p>
    <w:p w14:paraId="713D6DA6" w14:textId="77777777" w:rsidR="00F150FF" w:rsidRPr="00775AE5" w:rsidRDefault="00F150FF" w:rsidP="00F150FF">
      <w:pPr>
        <w:spacing w:line="276" w:lineRule="auto"/>
        <w:jc w:val="both"/>
        <w:rPr>
          <w:rFonts w:ascii="Arial" w:hAnsi="Arial" w:cs="Arial"/>
          <w:sz w:val="22"/>
          <w:szCs w:val="22"/>
          <w:lang w:val="es-ES"/>
        </w:rPr>
      </w:pPr>
    </w:p>
    <w:p w14:paraId="5CA472E9" w14:textId="77777777" w:rsidR="00F150FF" w:rsidRPr="00775AE5" w:rsidRDefault="00F150FF" w:rsidP="00F150FF">
      <w:pPr>
        <w:spacing w:line="276" w:lineRule="auto"/>
        <w:jc w:val="both"/>
        <w:rPr>
          <w:rFonts w:ascii="Arial" w:hAnsi="Arial" w:cs="Arial"/>
          <w:sz w:val="22"/>
          <w:szCs w:val="22"/>
          <w:lang w:val="es-ES"/>
        </w:rPr>
      </w:pPr>
      <w:r w:rsidRPr="00775AE5">
        <w:rPr>
          <w:rFonts w:ascii="Arial" w:hAnsi="Arial" w:cs="Arial"/>
          <w:sz w:val="22"/>
          <w:szCs w:val="22"/>
          <w:lang w:val="es-ES"/>
        </w:rPr>
        <w:t>La DNMPPDRVDCV, de oficio, abrió el expediente CASO-DPE-1701-170104-19-2021-001146, y presentó Amicus Curiae en la causa 27-20-AN, que versa sobre la Acción Pública de</w:t>
      </w:r>
    </w:p>
    <w:p w14:paraId="2BD94D5B" w14:textId="77777777" w:rsidR="00F150FF" w:rsidRPr="00775AE5" w:rsidRDefault="00F150FF" w:rsidP="00F150FF">
      <w:pPr>
        <w:spacing w:line="276" w:lineRule="auto"/>
        <w:jc w:val="both"/>
        <w:rPr>
          <w:rFonts w:ascii="Arial" w:hAnsi="Arial" w:cs="Arial"/>
          <w:sz w:val="22"/>
          <w:szCs w:val="22"/>
          <w:lang w:val="es-ES"/>
        </w:rPr>
      </w:pPr>
      <w:r w:rsidRPr="00775AE5">
        <w:rPr>
          <w:rFonts w:ascii="Arial" w:hAnsi="Arial" w:cs="Arial"/>
          <w:sz w:val="22"/>
          <w:szCs w:val="22"/>
          <w:lang w:val="es-ES"/>
        </w:rPr>
        <w:t>Incumplimiento.</w:t>
      </w:r>
    </w:p>
    <w:p w14:paraId="4A796770" w14:textId="77777777" w:rsidR="00F150FF" w:rsidRPr="00775AE5" w:rsidRDefault="00F150FF" w:rsidP="00F150FF">
      <w:pPr>
        <w:spacing w:line="276" w:lineRule="auto"/>
        <w:jc w:val="both"/>
        <w:rPr>
          <w:rFonts w:ascii="Arial" w:hAnsi="Arial" w:cs="Arial"/>
          <w:sz w:val="22"/>
          <w:szCs w:val="22"/>
          <w:lang w:val="es-ES"/>
        </w:rPr>
      </w:pPr>
    </w:p>
    <w:p w14:paraId="2E820330" w14:textId="77777777" w:rsidR="00F150FF" w:rsidRPr="00775AE5" w:rsidRDefault="00F150FF" w:rsidP="00F150FF">
      <w:pPr>
        <w:spacing w:line="276" w:lineRule="auto"/>
        <w:jc w:val="both"/>
        <w:rPr>
          <w:rFonts w:ascii="Arial" w:hAnsi="Arial" w:cs="Arial"/>
          <w:sz w:val="22"/>
          <w:szCs w:val="22"/>
          <w:lang w:val="es-ES"/>
        </w:rPr>
      </w:pPr>
      <w:r w:rsidRPr="00775AE5">
        <w:rPr>
          <w:rFonts w:ascii="Arial" w:hAnsi="Arial" w:cs="Arial"/>
          <w:sz w:val="22"/>
          <w:szCs w:val="22"/>
          <w:lang w:val="es-ES"/>
        </w:rPr>
        <w:t>El 15 de febrero del 2023, la Corte Constitucional emitió sentencia en la causa, en la que declaro el incumplimiento de la Disposición General Segunda de la Ley de Reparación a Victimas he hizo un llamado de atención a las autoridades del Ministerio de Cultura y Patrimonio; además, solicito a la institución competente la creación y funcionamiento del Museo de la Memoria en el plazo de un año.</w:t>
      </w:r>
    </w:p>
    <w:p w14:paraId="4CC11790" w14:textId="77777777" w:rsidR="00F150FF" w:rsidRPr="00775AE5" w:rsidRDefault="00F150FF" w:rsidP="00F150FF">
      <w:pPr>
        <w:spacing w:line="276" w:lineRule="auto"/>
        <w:rPr>
          <w:rFonts w:ascii="Arial" w:hAnsi="Arial" w:cs="Arial"/>
          <w:b/>
          <w:sz w:val="22"/>
          <w:szCs w:val="22"/>
          <w:lang w:val="es-ES"/>
        </w:rPr>
      </w:pPr>
    </w:p>
    <w:p w14:paraId="26B1C1F6" w14:textId="77777777" w:rsidR="00F150FF" w:rsidRPr="00775AE5" w:rsidRDefault="00F150FF" w:rsidP="00F150FF">
      <w:pPr>
        <w:spacing w:line="276" w:lineRule="auto"/>
        <w:jc w:val="both"/>
        <w:rPr>
          <w:rFonts w:ascii="Arial" w:hAnsi="Arial" w:cs="Arial"/>
          <w:bCs/>
          <w:sz w:val="22"/>
          <w:szCs w:val="22"/>
          <w:lang w:val="es-ES"/>
        </w:rPr>
      </w:pPr>
      <w:r w:rsidRPr="00775AE5">
        <w:rPr>
          <w:rFonts w:ascii="Arial" w:hAnsi="Arial" w:cs="Arial"/>
          <w:bCs/>
          <w:sz w:val="22"/>
          <w:szCs w:val="22"/>
          <w:lang w:val="es-ES"/>
        </w:rPr>
        <w:t>El Museo fue implementado en los bajos del actual Ministerio de Cultura y Patrimonio; en este contexto, la Defensoría del Pueblo presentó un informe ante la Corte Constitucional con las observaciones y nudos críticos que se encontraron para la creación e implementación de este espacio.</w:t>
      </w:r>
    </w:p>
    <w:p w14:paraId="0C6ABB42" w14:textId="77777777" w:rsidR="00F150FF" w:rsidRPr="00775AE5" w:rsidRDefault="00F150FF" w:rsidP="00390DF2">
      <w:pPr>
        <w:spacing w:line="276" w:lineRule="auto"/>
        <w:jc w:val="both"/>
        <w:rPr>
          <w:rFonts w:ascii="Arial" w:hAnsi="Arial" w:cs="Arial"/>
          <w:sz w:val="22"/>
          <w:szCs w:val="22"/>
          <w:lang w:val="es-ES"/>
        </w:rPr>
      </w:pPr>
    </w:p>
    <w:p w14:paraId="759E91FD" w14:textId="77777777" w:rsidR="002667C5" w:rsidRPr="00775AE5" w:rsidRDefault="002667C5" w:rsidP="00390DF2">
      <w:pPr>
        <w:spacing w:line="276" w:lineRule="auto"/>
        <w:rPr>
          <w:rFonts w:ascii="Arial" w:hAnsi="Arial" w:cs="Arial"/>
          <w:b/>
          <w:sz w:val="22"/>
          <w:szCs w:val="22"/>
          <w:lang w:val="es-ES"/>
        </w:rPr>
      </w:pPr>
    </w:p>
    <w:p w14:paraId="5F538DE5" w14:textId="77777777" w:rsidR="00157EDA" w:rsidRPr="00775AE5" w:rsidRDefault="00BB3180" w:rsidP="00390DF2">
      <w:pPr>
        <w:pStyle w:val="Heading2"/>
        <w:spacing w:line="276" w:lineRule="auto"/>
        <w:rPr>
          <w:rFonts w:ascii="Arial" w:hAnsi="Arial"/>
          <w:sz w:val="22"/>
          <w:szCs w:val="22"/>
        </w:rPr>
      </w:pPr>
      <w:bookmarkStart w:id="14" w:name="_Toc168907339"/>
      <w:r w:rsidRPr="00775AE5">
        <w:rPr>
          <w:rFonts w:ascii="Arial" w:hAnsi="Arial"/>
          <w:sz w:val="22"/>
          <w:szCs w:val="22"/>
        </w:rPr>
        <w:t>8</w:t>
      </w:r>
      <w:r w:rsidR="00346990" w:rsidRPr="00775AE5">
        <w:rPr>
          <w:rFonts w:ascii="Arial" w:hAnsi="Arial"/>
          <w:sz w:val="22"/>
          <w:szCs w:val="22"/>
        </w:rPr>
        <w:t xml:space="preserve">. </w:t>
      </w:r>
      <w:r w:rsidR="00D411C1" w:rsidRPr="00775AE5">
        <w:rPr>
          <w:rFonts w:ascii="Arial" w:hAnsi="Arial"/>
          <w:sz w:val="22"/>
          <w:szCs w:val="22"/>
        </w:rPr>
        <w:t>Artículo 16</w:t>
      </w:r>
      <w:r w:rsidR="00762A93" w:rsidRPr="00775AE5">
        <w:rPr>
          <w:rFonts w:ascii="Arial" w:hAnsi="Arial"/>
          <w:sz w:val="22"/>
          <w:szCs w:val="22"/>
        </w:rPr>
        <w:t xml:space="preserve"> (Párrafo 35 de la Lista de Cuestiones)</w:t>
      </w:r>
      <w:bookmarkEnd w:id="14"/>
      <w:r w:rsidR="008E586F" w:rsidRPr="00775AE5">
        <w:rPr>
          <w:rFonts w:ascii="Arial" w:hAnsi="Arial"/>
          <w:sz w:val="22"/>
          <w:szCs w:val="22"/>
        </w:rPr>
        <w:t xml:space="preserve"> </w:t>
      </w:r>
    </w:p>
    <w:p w14:paraId="2377751E" w14:textId="77777777" w:rsidR="00F60558" w:rsidRPr="00775AE5" w:rsidRDefault="00F60558" w:rsidP="00640CCA">
      <w:pPr>
        <w:pStyle w:val="Heading3"/>
        <w:rPr>
          <w:rFonts w:ascii="Arial" w:hAnsi="Arial" w:cs="Arial"/>
          <w:sz w:val="22"/>
          <w:szCs w:val="22"/>
        </w:rPr>
      </w:pPr>
    </w:p>
    <w:p w14:paraId="38D4BB18" w14:textId="77777777" w:rsidR="00157EDA" w:rsidRPr="00775AE5" w:rsidRDefault="00BB3180" w:rsidP="00640CCA">
      <w:pPr>
        <w:pStyle w:val="Heading3"/>
        <w:rPr>
          <w:rFonts w:ascii="Arial" w:hAnsi="Arial" w:cs="Arial"/>
          <w:sz w:val="22"/>
          <w:szCs w:val="22"/>
        </w:rPr>
      </w:pPr>
      <w:bookmarkStart w:id="15" w:name="_Toc168907340"/>
      <w:r w:rsidRPr="00775AE5">
        <w:rPr>
          <w:rFonts w:ascii="Arial" w:hAnsi="Arial" w:cs="Arial"/>
          <w:sz w:val="22"/>
          <w:szCs w:val="22"/>
        </w:rPr>
        <w:t>8</w:t>
      </w:r>
      <w:r w:rsidR="00DF11B0" w:rsidRPr="00775AE5">
        <w:rPr>
          <w:rFonts w:ascii="Arial" w:hAnsi="Arial" w:cs="Arial"/>
          <w:sz w:val="22"/>
          <w:szCs w:val="22"/>
        </w:rPr>
        <w:t xml:space="preserve">.1. </w:t>
      </w:r>
      <w:r w:rsidR="00157EDA" w:rsidRPr="00775AE5">
        <w:rPr>
          <w:rFonts w:ascii="Arial" w:hAnsi="Arial" w:cs="Arial"/>
          <w:sz w:val="22"/>
          <w:szCs w:val="22"/>
        </w:rPr>
        <w:t xml:space="preserve">La protección a </w:t>
      </w:r>
      <w:r w:rsidR="00925514" w:rsidRPr="00775AE5">
        <w:rPr>
          <w:rFonts w:ascii="Arial" w:hAnsi="Arial" w:cs="Arial"/>
          <w:sz w:val="22"/>
          <w:szCs w:val="22"/>
        </w:rPr>
        <w:t xml:space="preserve">defensoras y defensores de derechos humanos y </w:t>
      </w:r>
      <w:r w:rsidR="00157EDA" w:rsidRPr="00775AE5">
        <w:rPr>
          <w:rFonts w:ascii="Arial" w:hAnsi="Arial" w:cs="Arial"/>
          <w:sz w:val="22"/>
          <w:szCs w:val="22"/>
        </w:rPr>
        <w:t>periodistas</w:t>
      </w:r>
      <w:bookmarkEnd w:id="15"/>
      <w:r w:rsidR="00157EDA" w:rsidRPr="00775AE5">
        <w:rPr>
          <w:rFonts w:ascii="Arial" w:hAnsi="Arial" w:cs="Arial"/>
          <w:sz w:val="22"/>
          <w:szCs w:val="22"/>
        </w:rPr>
        <w:t xml:space="preserve"> </w:t>
      </w:r>
    </w:p>
    <w:p w14:paraId="541A4E3A" w14:textId="77777777" w:rsidR="00762A93" w:rsidRPr="00775AE5" w:rsidRDefault="00762A93" w:rsidP="00762A93">
      <w:pPr>
        <w:rPr>
          <w:rFonts w:ascii="Arial" w:hAnsi="Arial" w:cs="Arial"/>
          <w:sz w:val="22"/>
          <w:szCs w:val="22"/>
        </w:rPr>
      </w:pPr>
    </w:p>
    <w:p w14:paraId="1037DDFE" w14:textId="77777777" w:rsidR="004D2C87" w:rsidRPr="00775AE5" w:rsidRDefault="004D2C87" w:rsidP="00390DF2">
      <w:pPr>
        <w:spacing w:line="276" w:lineRule="auto"/>
        <w:jc w:val="both"/>
        <w:rPr>
          <w:rFonts w:ascii="Arial" w:hAnsi="Arial" w:cs="Arial"/>
          <w:sz w:val="22"/>
          <w:szCs w:val="22"/>
          <w:lang w:val="es-ES"/>
        </w:rPr>
      </w:pPr>
      <w:r w:rsidRPr="00775AE5">
        <w:rPr>
          <w:rFonts w:ascii="Arial" w:hAnsi="Arial" w:cs="Arial"/>
          <w:sz w:val="22"/>
          <w:szCs w:val="22"/>
          <w:lang w:val="es-ES"/>
        </w:rPr>
        <w:t xml:space="preserve">El Ecuador no tiene una ley orgánica u ordinaria, que proteja a defensoras y defensores de derechos humanos como tal, sin embargo, es necesario indicar que de conformidad con el artículo 215 de la Constitución de la República, la Defensoría del Pueblo del Ecuador tiene como función la protección y tutela de los derechos de los habitantes del país, en concordancia con el artículo 2 de la Ley Orgánica de la Defensoría del Pueblo (2019). </w:t>
      </w:r>
    </w:p>
    <w:p w14:paraId="4A4C015C" w14:textId="77777777" w:rsidR="006C3E11" w:rsidRPr="00775AE5" w:rsidRDefault="006C3E11" w:rsidP="00390DF2">
      <w:pPr>
        <w:spacing w:line="276" w:lineRule="auto"/>
        <w:jc w:val="both"/>
        <w:rPr>
          <w:rFonts w:ascii="Arial" w:hAnsi="Arial" w:cs="Arial"/>
          <w:sz w:val="22"/>
          <w:szCs w:val="22"/>
          <w:lang w:val="es-ES"/>
        </w:rPr>
      </w:pPr>
    </w:p>
    <w:p w14:paraId="60DD0714" w14:textId="77777777" w:rsidR="004D2C87" w:rsidRPr="00775AE5" w:rsidRDefault="004D2C87" w:rsidP="00390DF2">
      <w:pPr>
        <w:spacing w:line="276" w:lineRule="auto"/>
        <w:jc w:val="both"/>
        <w:rPr>
          <w:rFonts w:ascii="Arial" w:hAnsi="Arial" w:cs="Arial"/>
          <w:sz w:val="22"/>
          <w:szCs w:val="22"/>
          <w:lang w:val="es-ES"/>
        </w:rPr>
      </w:pPr>
      <w:r w:rsidRPr="00775AE5">
        <w:rPr>
          <w:rFonts w:ascii="Arial" w:hAnsi="Arial" w:cs="Arial"/>
          <w:sz w:val="22"/>
          <w:szCs w:val="22"/>
          <w:lang w:val="es-ES"/>
        </w:rPr>
        <w:t>La Ley Orgánica de la Defensoría del Pueblo (LODP) en su capítulo I define a las defensoras y defensores de d</w:t>
      </w:r>
      <w:r w:rsidR="00FE59C1" w:rsidRPr="00775AE5">
        <w:rPr>
          <w:rFonts w:ascii="Arial" w:hAnsi="Arial" w:cs="Arial"/>
          <w:sz w:val="22"/>
          <w:szCs w:val="22"/>
          <w:lang w:val="es-ES"/>
        </w:rPr>
        <w:t>erechos humanos y la naturaleza</w:t>
      </w:r>
      <w:r w:rsidRPr="00775AE5">
        <w:rPr>
          <w:rFonts w:ascii="Arial" w:hAnsi="Arial" w:cs="Arial"/>
          <w:sz w:val="22"/>
          <w:szCs w:val="22"/>
          <w:lang w:val="es-ES"/>
        </w:rPr>
        <w:t>, de la siguiente manera:</w:t>
      </w:r>
    </w:p>
    <w:p w14:paraId="1A65703F" w14:textId="77777777" w:rsidR="006C3E11" w:rsidRPr="00775AE5" w:rsidRDefault="006C3E11" w:rsidP="00390DF2">
      <w:pPr>
        <w:spacing w:line="276" w:lineRule="auto"/>
        <w:ind w:left="720"/>
        <w:jc w:val="both"/>
        <w:rPr>
          <w:rFonts w:ascii="Arial" w:hAnsi="Arial" w:cs="Arial"/>
          <w:sz w:val="22"/>
          <w:szCs w:val="22"/>
          <w:lang w:val="es-ES"/>
        </w:rPr>
      </w:pPr>
    </w:p>
    <w:p w14:paraId="408FDC88" w14:textId="77777777" w:rsidR="004D2C87" w:rsidRPr="00775AE5" w:rsidRDefault="004D2C87" w:rsidP="00390DF2">
      <w:pPr>
        <w:spacing w:line="276" w:lineRule="auto"/>
        <w:ind w:left="720"/>
        <w:jc w:val="both"/>
        <w:rPr>
          <w:rFonts w:ascii="Arial" w:hAnsi="Arial" w:cs="Arial"/>
          <w:sz w:val="22"/>
          <w:szCs w:val="22"/>
          <w:lang w:val="es-ES"/>
        </w:rPr>
      </w:pPr>
      <w:r w:rsidRPr="00775AE5">
        <w:rPr>
          <w:rFonts w:ascii="Arial" w:hAnsi="Arial" w:cs="Arial"/>
          <w:sz w:val="22"/>
          <w:szCs w:val="22"/>
          <w:lang w:val="es-ES"/>
        </w:rPr>
        <w:t xml:space="preserve">Art. 23.- Defensoras y defensores de los derechos humanos y de la </w:t>
      </w:r>
      <w:r w:rsidR="003561B0" w:rsidRPr="00775AE5">
        <w:rPr>
          <w:rFonts w:ascii="Arial" w:hAnsi="Arial" w:cs="Arial"/>
          <w:sz w:val="22"/>
          <w:szCs w:val="22"/>
          <w:lang w:val="es-ES"/>
        </w:rPr>
        <w:t>naturaleza. -</w:t>
      </w:r>
      <w:r w:rsidRPr="00775AE5">
        <w:rPr>
          <w:rFonts w:ascii="Arial" w:hAnsi="Arial" w:cs="Arial"/>
          <w:sz w:val="22"/>
          <w:szCs w:val="22"/>
          <w:lang w:val="es-ES"/>
        </w:rPr>
        <w:t xml:space="preserve"> Las defensoras o defensores de derechos humanos y de la naturaleza son personas o colectivos que ejercen el derecho de promover, proteger y procurar la realización de los derechos humanos y de la naturaleza. Esto incluye tanto a las actividades profesionales como a las luchas personales y colectivas, incluyendo actividades vinculadas de forma ocasional con la defensa de los derechos humanos.</w:t>
      </w:r>
    </w:p>
    <w:p w14:paraId="6A0C175C" w14:textId="77777777" w:rsidR="006C3E11" w:rsidRPr="00775AE5" w:rsidRDefault="006C3E11" w:rsidP="00390DF2">
      <w:pPr>
        <w:spacing w:line="276" w:lineRule="auto"/>
        <w:ind w:left="720"/>
        <w:jc w:val="both"/>
        <w:rPr>
          <w:rFonts w:ascii="Arial" w:hAnsi="Arial" w:cs="Arial"/>
          <w:sz w:val="22"/>
          <w:szCs w:val="22"/>
          <w:lang w:val="es-ES"/>
        </w:rPr>
      </w:pPr>
    </w:p>
    <w:p w14:paraId="6CE908F9" w14:textId="77777777" w:rsidR="004D2C87" w:rsidRPr="00775AE5" w:rsidRDefault="00FE59C1" w:rsidP="00390DF2">
      <w:pPr>
        <w:spacing w:line="276" w:lineRule="auto"/>
        <w:jc w:val="both"/>
        <w:rPr>
          <w:rFonts w:ascii="Arial" w:hAnsi="Arial" w:cs="Arial"/>
          <w:sz w:val="22"/>
          <w:szCs w:val="22"/>
          <w:lang w:val="es-ES"/>
        </w:rPr>
      </w:pPr>
      <w:r w:rsidRPr="00775AE5">
        <w:rPr>
          <w:rFonts w:ascii="Arial" w:hAnsi="Arial" w:cs="Arial"/>
          <w:sz w:val="22"/>
          <w:szCs w:val="22"/>
          <w:lang w:val="es-ES"/>
        </w:rPr>
        <w:t xml:space="preserve">De igual forma, </w:t>
      </w:r>
      <w:r w:rsidR="004D2C87" w:rsidRPr="00775AE5">
        <w:rPr>
          <w:rFonts w:ascii="Arial" w:hAnsi="Arial" w:cs="Arial"/>
          <w:sz w:val="22"/>
          <w:szCs w:val="22"/>
          <w:lang w:val="es-ES"/>
        </w:rPr>
        <w:t>en el artículo 24 determina que la Defensoría del Pueblo deberá velar porque el Estado cumpla con sus obligaciones para la protección de las defensoras y defensores de los derechos humanos y la naturaleza, los cuales son:</w:t>
      </w:r>
    </w:p>
    <w:p w14:paraId="430A2F85" w14:textId="77777777" w:rsidR="00EE5ECD" w:rsidRPr="00775AE5" w:rsidRDefault="00EE5ECD" w:rsidP="00390DF2">
      <w:pPr>
        <w:spacing w:line="276" w:lineRule="auto"/>
        <w:jc w:val="both"/>
        <w:rPr>
          <w:rFonts w:ascii="Arial" w:hAnsi="Arial" w:cs="Arial"/>
          <w:sz w:val="22"/>
          <w:szCs w:val="22"/>
          <w:lang w:val="es-ES"/>
        </w:rPr>
      </w:pPr>
    </w:p>
    <w:p w14:paraId="78CDCCEA" w14:textId="77777777" w:rsidR="004D2C87" w:rsidRPr="00775AE5" w:rsidRDefault="004D2C87" w:rsidP="00B17DD2">
      <w:pPr>
        <w:numPr>
          <w:ilvl w:val="0"/>
          <w:numId w:val="19"/>
        </w:numPr>
        <w:spacing w:line="276" w:lineRule="auto"/>
        <w:jc w:val="both"/>
        <w:rPr>
          <w:rFonts w:ascii="Arial" w:hAnsi="Arial" w:cs="Arial"/>
          <w:sz w:val="22"/>
          <w:szCs w:val="22"/>
          <w:lang w:val="es-ES"/>
        </w:rPr>
      </w:pPr>
      <w:r w:rsidRPr="00775AE5">
        <w:rPr>
          <w:rFonts w:ascii="Arial" w:hAnsi="Arial" w:cs="Arial"/>
          <w:sz w:val="22"/>
          <w:szCs w:val="22"/>
          <w:lang w:val="es-ES"/>
        </w:rPr>
        <w:t>Garantizar las condiciones para que las personas defensoras de derechos humanos realicen sus actividades libremente;</w:t>
      </w:r>
    </w:p>
    <w:p w14:paraId="0A3B37C7" w14:textId="77777777" w:rsidR="004D2C87" w:rsidRPr="00775AE5" w:rsidRDefault="004D2C87" w:rsidP="00B17DD2">
      <w:pPr>
        <w:numPr>
          <w:ilvl w:val="0"/>
          <w:numId w:val="19"/>
        </w:numPr>
        <w:spacing w:line="276" w:lineRule="auto"/>
        <w:jc w:val="both"/>
        <w:rPr>
          <w:rFonts w:ascii="Arial" w:hAnsi="Arial" w:cs="Arial"/>
          <w:sz w:val="22"/>
          <w:szCs w:val="22"/>
          <w:lang w:val="es-ES"/>
        </w:rPr>
      </w:pPr>
      <w:r w:rsidRPr="00775AE5">
        <w:rPr>
          <w:rFonts w:ascii="Arial" w:hAnsi="Arial" w:cs="Arial"/>
          <w:sz w:val="22"/>
          <w:szCs w:val="22"/>
          <w:lang w:val="es-ES"/>
        </w:rPr>
        <w:t>No impedir sus actividades y resolver los obstáculos existentes a su labor;</w:t>
      </w:r>
    </w:p>
    <w:p w14:paraId="1CD7900E" w14:textId="77777777" w:rsidR="004D2C87" w:rsidRPr="00775AE5" w:rsidRDefault="004D2C87" w:rsidP="00B17DD2">
      <w:pPr>
        <w:numPr>
          <w:ilvl w:val="0"/>
          <w:numId w:val="19"/>
        </w:numPr>
        <w:tabs>
          <w:tab w:val="left" w:pos="709"/>
        </w:tabs>
        <w:spacing w:line="276" w:lineRule="auto"/>
        <w:jc w:val="both"/>
        <w:rPr>
          <w:rFonts w:ascii="Arial" w:hAnsi="Arial" w:cs="Arial"/>
          <w:sz w:val="22"/>
          <w:szCs w:val="22"/>
          <w:lang w:val="es-ES"/>
        </w:rPr>
      </w:pPr>
      <w:r w:rsidRPr="00775AE5">
        <w:rPr>
          <w:rFonts w:ascii="Arial" w:hAnsi="Arial" w:cs="Arial"/>
          <w:sz w:val="22"/>
          <w:szCs w:val="22"/>
          <w:lang w:val="es-ES"/>
        </w:rPr>
        <w:t>Evitar actos destinados a desincentivar o criminalizar su trabajo;</w:t>
      </w:r>
    </w:p>
    <w:p w14:paraId="14BE3CDC" w14:textId="77777777" w:rsidR="004D2C87" w:rsidRPr="00775AE5" w:rsidRDefault="004D2C87" w:rsidP="00B17DD2">
      <w:pPr>
        <w:numPr>
          <w:ilvl w:val="0"/>
          <w:numId w:val="19"/>
        </w:numPr>
        <w:spacing w:line="276" w:lineRule="auto"/>
        <w:jc w:val="both"/>
        <w:rPr>
          <w:rFonts w:ascii="Arial" w:hAnsi="Arial" w:cs="Arial"/>
          <w:sz w:val="22"/>
          <w:szCs w:val="22"/>
          <w:lang w:val="es-ES"/>
        </w:rPr>
      </w:pPr>
      <w:r w:rsidRPr="00775AE5">
        <w:rPr>
          <w:rFonts w:ascii="Arial" w:hAnsi="Arial" w:cs="Arial"/>
          <w:sz w:val="22"/>
          <w:szCs w:val="22"/>
          <w:lang w:val="es-ES"/>
        </w:rPr>
        <w:t>Protegerlas si están en riesgo; y,</w:t>
      </w:r>
    </w:p>
    <w:p w14:paraId="61317A3E" w14:textId="77777777" w:rsidR="006C3E11" w:rsidRPr="00775AE5" w:rsidRDefault="004D2C87" w:rsidP="00B17DD2">
      <w:pPr>
        <w:numPr>
          <w:ilvl w:val="0"/>
          <w:numId w:val="19"/>
        </w:numPr>
        <w:spacing w:line="276" w:lineRule="auto"/>
        <w:jc w:val="both"/>
        <w:rPr>
          <w:rFonts w:ascii="Arial" w:hAnsi="Arial" w:cs="Arial"/>
          <w:sz w:val="22"/>
          <w:szCs w:val="22"/>
          <w:lang w:val="es-ES"/>
        </w:rPr>
      </w:pPr>
      <w:r w:rsidRPr="00775AE5">
        <w:rPr>
          <w:rFonts w:ascii="Arial" w:hAnsi="Arial" w:cs="Arial"/>
          <w:sz w:val="22"/>
          <w:szCs w:val="22"/>
          <w:lang w:val="es-ES"/>
        </w:rPr>
        <w:t>Investigar, esclarecer, procesar y sancionar los delitos realizados en su contra, así como garantizar la reparación integral con absoluta independencia e imparcialidad.</w:t>
      </w:r>
    </w:p>
    <w:p w14:paraId="422B90D0" w14:textId="77777777" w:rsidR="006C3E11" w:rsidRPr="00775AE5" w:rsidRDefault="006C3E11" w:rsidP="00390DF2">
      <w:pPr>
        <w:spacing w:line="276" w:lineRule="auto"/>
        <w:jc w:val="both"/>
        <w:rPr>
          <w:rFonts w:ascii="Arial" w:hAnsi="Arial" w:cs="Arial"/>
          <w:sz w:val="22"/>
          <w:szCs w:val="22"/>
          <w:lang w:val="es-ES"/>
        </w:rPr>
      </w:pPr>
    </w:p>
    <w:p w14:paraId="0FD2284D" w14:textId="6E1B88DA" w:rsidR="006C3E11" w:rsidRDefault="004D2C87" w:rsidP="00390DF2">
      <w:pPr>
        <w:spacing w:line="276" w:lineRule="auto"/>
        <w:jc w:val="both"/>
        <w:rPr>
          <w:rFonts w:ascii="Arial" w:hAnsi="Arial" w:cs="Arial"/>
          <w:sz w:val="22"/>
          <w:szCs w:val="22"/>
          <w:lang w:val="es-ES"/>
        </w:rPr>
      </w:pPr>
      <w:r w:rsidRPr="00775AE5">
        <w:rPr>
          <w:rFonts w:ascii="Arial" w:hAnsi="Arial" w:cs="Arial"/>
          <w:sz w:val="22"/>
          <w:szCs w:val="22"/>
          <w:lang w:val="es-ES"/>
        </w:rPr>
        <w:t>A través de la Resolución No. 077-DPE-CGAJ-2019</w:t>
      </w:r>
      <w:r w:rsidRPr="00775AE5">
        <w:rPr>
          <w:rStyle w:val="FootnoteReference"/>
          <w:rFonts w:ascii="Arial" w:hAnsi="Arial" w:cs="Arial"/>
          <w:sz w:val="22"/>
          <w:szCs w:val="22"/>
          <w:lang w:val="es-ES"/>
        </w:rPr>
        <w:footnoteReference w:id="16"/>
      </w:r>
      <w:r w:rsidRPr="00775AE5">
        <w:rPr>
          <w:rFonts w:ascii="Arial" w:hAnsi="Arial" w:cs="Arial"/>
          <w:sz w:val="22"/>
          <w:szCs w:val="22"/>
          <w:lang w:val="es-ES"/>
        </w:rPr>
        <w:t xml:space="preserve"> la Defensoría del Pueblo expidió las Normas para la Promoción y Protección de Defensoras de Derechos Humanos, cuyo objeto es establecer acciones para la protección y promoción de los derechos de las personas defensoras de los derechos humanos y de la naturaleza.</w:t>
      </w:r>
    </w:p>
    <w:p w14:paraId="7EC51CB3" w14:textId="77777777" w:rsidR="00BA2F6F" w:rsidRPr="00775AE5" w:rsidRDefault="00BA2F6F" w:rsidP="00390DF2">
      <w:pPr>
        <w:spacing w:line="276" w:lineRule="auto"/>
        <w:jc w:val="both"/>
        <w:rPr>
          <w:rFonts w:ascii="Arial" w:hAnsi="Arial" w:cs="Arial"/>
          <w:sz w:val="22"/>
          <w:szCs w:val="22"/>
          <w:lang w:val="es-ES"/>
        </w:rPr>
      </w:pPr>
    </w:p>
    <w:p w14:paraId="0C60CAFF" w14:textId="77777777" w:rsidR="004D2C87" w:rsidRPr="00775AE5" w:rsidRDefault="004D2C87" w:rsidP="00390DF2">
      <w:pPr>
        <w:spacing w:line="276" w:lineRule="auto"/>
        <w:jc w:val="both"/>
        <w:rPr>
          <w:rFonts w:ascii="Arial" w:hAnsi="Arial" w:cs="Arial"/>
          <w:sz w:val="22"/>
          <w:szCs w:val="22"/>
          <w:lang w:val="es-ES"/>
        </w:rPr>
      </w:pPr>
      <w:r w:rsidRPr="00775AE5">
        <w:rPr>
          <w:rFonts w:ascii="Arial" w:hAnsi="Arial" w:cs="Arial"/>
          <w:sz w:val="22"/>
          <w:szCs w:val="22"/>
          <w:lang w:val="es-ES"/>
        </w:rPr>
        <w:t>En el Capítulo II del Título III, antes mencionado, en su artículo 25 se establece como mecanismos de participación activo y efectiva al Consejo de Defensoras o Defensores de los Derechos Humanos y la Naturaleza, que tiene como fin reconocer a la sociedad civil en la observación y articulación de estrategias de promoción y protección de los derechos humanos y de la naturaleza, los cuales deben ser de carácter Nacional y provincial. El artículo 27 especifica las competencias de estos Consejos de Defensoras y Defensores de los Derechos Humanos y la Naturaleza, de la siguiente manera:</w:t>
      </w:r>
    </w:p>
    <w:p w14:paraId="785854E0" w14:textId="77777777" w:rsidR="006C3E11" w:rsidRPr="00775AE5" w:rsidRDefault="006C3E11" w:rsidP="00390DF2">
      <w:pPr>
        <w:spacing w:line="276" w:lineRule="auto"/>
        <w:jc w:val="both"/>
        <w:rPr>
          <w:rFonts w:ascii="Arial" w:hAnsi="Arial" w:cs="Arial"/>
          <w:sz w:val="22"/>
          <w:szCs w:val="22"/>
          <w:lang w:val="es-ES"/>
        </w:rPr>
      </w:pPr>
    </w:p>
    <w:p w14:paraId="6FBD1713" w14:textId="77777777" w:rsidR="004D2C87" w:rsidRPr="00775AE5" w:rsidRDefault="004D2C87" w:rsidP="00390DF2">
      <w:pPr>
        <w:spacing w:line="276" w:lineRule="auto"/>
        <w:ind w:left="720"/>
        <w:jc w:val="both"/>
        <w:rPr>
          <w:rFonts w:ascii="Arial" w:hAnsi="Arial" w:cs="Arial"/>
          <w:sz w:val="22"/>
          <w:szCs w:val="22"/>
          <w:lang w:val="es-ES"/>
        </w:rPr>
      </w:pPr>
      <w:r w:rsidRPr="00775AE5">
        <w:rPr>
          <w:rFonts w:ascii="Arial" w:hAnsi="Arial" w:cs="Arial"/>
          <w:sz w:val="22"/>
          <w:szCs w:val="22"/>
          <w:lang w:val="es-ES"/>
        </w:rPr>
        <w:t>a) Formular propuestas que mejoren los procesos de promoción y protección de los derechos humanos y de la naturaleza en la Defensoría del Pueblo;</w:t>
      </w:r>
    </w:p>
    <w:p w14:paraId="442B1DED" w14:textId="77777777" w:rsidR="004D2C87" w:rsidRPr="00775AE5" w:rsidRDefault="004D2C87" w:rsidP="00390DF2">
      <w:pPr>
        <w:spacing w:line="276" w:lineRule="auto"/>
        <w:ind w:left="720"/>
        <w:jc w:val="both"/>
        <w:rPr>
          <w:rFonts w:ascii="Arial" w:hAnsi="Arial" w:cs="Arial"/>
          <w:sz w:val="22"/>
          <w:szCs w:val="22"/>
          <w:lang w:val="es-ES"/>
        </w:rPr>
      </w:pPr>
      <w:r w:rsidRPr="00775AE5">
        <w:rPr>
          <w:rFonts w:ascii="Arial" w:hAnsi="Arial" w:cs="Arial"/>
          <w:sz w:val="22"/>
          <w:szCs w:val="22"/>
          <w:lang w:val="es-ES"/>
        </w:rPr>
        <w:t>b) Generar alertas fundamentadas sobre situaciones de vulneración de derechos humanos y de la naturaleza; y,</w:t>
      </w:r>
    </w:p>
    <w:p w14:paraId="4527E7D6" w14:textId="77777777" w:rsidR="004D2C87" w:rsidRPr="00775AE5" w:rsidRDefault="004D2C87" w:rsidP="00390DF2">
      <w:pPr>
        <w:spacing w:line="276" w:lineRule="auto"/>
        <w:ind w:left="720"/>
        <w:jc w:val="both"/>
        <w:rPr>
          <w:rFonts w:ascii="Arial" w:hAnsi="Arial" w:cs="Arial"/>
          <w:sz w:val="22"/>
          <w:szCs w:val="22"/>
          <w:lang w:val="es-ES"/>
        </w:rPr>
      </w:pPr>
      <w:r w:rsidRPr="00775AE5">
        <w:rPr>
          <w:rFonts w:ascii="Arial" w:hAnsi="Arial" w:cs="Arial"/>
          <w:sz w:val="22"/>
          <w:szCs w:val="22"/>
          <w:lang w:val="es-ES"/>
        </w:rPr>
        <w:t>c) Contribuir a la identificación de las violaciones a los derechos humanos, colectivos y de la naturaleza, patrones de vulneración y situación de defensoras y defensores.</w:t>
      </w:r>
    </w:p>
    <w:p w14:paraId="26F5D54F" w14:textId="77777777" w:rsidR="00BB3180" w:rsidRPr="00775AE5" w:rsidRDefault="00BB3180" w:rsidP="00390DF2">
      <w:pPr>
        <w:spacing w:line="276" w:lineRule="auto"/>
        <w:jc w:val="both"/>
        <w:rPr>
          <w:rFonts w:ascii="Arial" w:hAnsi="Arial" w:cs="Arial"/>
          <w:sz w:val="22"/>
          <w:szCs w:val="22"/>
          <w:lang w:val="es-ES"/>
        </w:rPr>
      </w:pPr>
    </w:p>
    <w:p w14:paraId="40050600" w14:textId="77777777" w:rsidR="004D2C87" w:rsidRPr="00775AE5" w:rsidRDefault="00762A93" w:rsidP="00390DF2">
      <w:pPr>
        <w:spacing w:line="276" w:lineRule="auto"/>
        <w:jc w:val="both"/>
        <w:rPr>
          <w:rFonts w:ascii="Arial" w:hAnsi="Arial" w:cs="Arial"/>
          <w:sz w:val="22"/>
          <w:szCs w:val="22"/>
          <w:lang w:val="es-ES"/>
        </w:rPr>
      </w:pPr>
      <w:r w:rsidRPr="00775AE5">
        <w:rPr>
          <w:rFonts w:ascii="Arial" w:hAnsi="Arial" w:cs="Arial"/>
          <w:sz w:val="22"/>
          <w:szCs w:val="22"/>
          <w:lang w:val="es-ES"/>
        </w:rPr>
        <w:t>De igual forma, l</w:t>
      </w:r>
      <w:r w:rsidR="00FE59C1" w:rsidRPr="00775AE5">
        <w:rPr>
          <w:rFonts w:ascii="Arial" w:hAnsi="Arial" w:cs="Arial"/>
          <w:sz w:val="22"/>
          <w:szCs w:val="22"/>
          <w:lang w:val="es-ES"/>
        </w:rPr>
        <w:t>a Defensoría del Pueblo mediante</w:t>
      </w:r>
      <w:r w:rsidR="004D2C87" w:rsidRPr="00775AE5">
        <w:rPr>
          <w:rFonts w:ascii="Arial" w:hAnsi="Arial" w:cs="Arial"/>
          <w:sz w:val="22"/>
          <w:szCs w:val="22"/>
          <w:lang w:val="es-ES"/>
        </w:rPr>
        <w:t xml:space="preserve"> la Resolución No. 057-DPE-CGAJ-2018</w:t>
      </w:r>
      <w:r w:rsidR="004D2C87" w:rsidRPr="00775AE5">
        <w:rPr>
          <w:rStyle w:val="FootnoteReference"/>
          <w:rFonts w:ascii="Arial" w:hAnsi="Arial" w:cs="Arial"/>
          <w:sz w:val="22"/>
          <w:szCs w:val="22"/>
          <w:lang w:val="es-ES"/>
        </w:rPr>
        <w:footnoteReference w:id="17"/>
      </w:r>
      <w:r w:rsidR="004D2C87" w:rsidRPr="00775AE5">
        <w:rPr>
          <w:rFonts w:ascii="Arial" w:hAnsi="Arial" w:cs="Arial"/>
          <w:sz w:val="22"/>
          <w:szCs w:val="22"/>
          <w:lang w:val="es-ES"/>
        </w:rPr>
        <w:t xml:space="preserve">, </w:t>
      </w:r>
      <w:r w:rsidR="00FE59C1" w:rsidRPr="00775AE5">
        <w:rPr>
          <w:rFonts w:ascii="Arial" w:hAnsi="Arial" w:cs="Arial"/>
          <w:sz w:val="22"/>
          <w:szCs w:val="22"/>
          <w:lang w:val="es-ES"/>
        </w:rPr>
        <w:t>expid</w:t>
      </w:r>
      <w:r w:rsidR="004D2C87" w:rsidRPr="00775AE5">
        <w:rPr>
          <w:rFonts w:ascii="Arial" w:hAnsi="Arial" w:cs="Arial"/>
          <w:sz w:val="22"/>
          <w:szCs w:val="22"/>
          <w:lang w:val="es-ES"/>
        </w:rPr>
        <w:t xml:space="preserve">ió el Reglamento para la creación y funcionamiento de los Consejos de Defensoras y Defensores de los derechos humanos y de la naturaleza. </w:t>
      </w:r>
    </w:p>
    <w:p w14:paraId="1BC400B9" w14:textId="77777777" w:rsidR="00762A93" w:rsidRPr="00775AE5" w:rsidRDefault="00762A93" w:rsidP="00390DF2">
      <w:pPr>
        <w:spacing w:line="276" w:lineRule="auto"/>
        <w:jc w:val="both"/>
        <w:rPr>
          <w:rFonts w:ascii="Arial" w:hAnsi="Arial" w:cs="Arial"/>
          <w:sz w:val="22"/>
          <w:szCs w:val="22"/>
          <w:lang w:val="es-ES"/>
        </w:rPr>
      </w:pPr>
    </w:p>
    <w:p w14:paraId="495C8110" w14:textId="77777777" w:rsidR="004D2C87" w:rsidRPr="00775AE5" w:rsidRDefault="004D2C87" w:rsidP="00390DF2">
      <w:pPr>
        <w:spacing w:line="276" w:lineRule="auto"/>
        <w:jc w:val="both"/>
        <w:rPr>
          <w:rFonts w:ascii="Arial" w:hAnsi="Arial" w:cs="Arial"/>
          <w:sz w:val="22"/>
          <w:szCs w:val="22"/>
          <w:lang w:val="es-ES"/>
        </w:rPr>
      </w:pPr>
      <w:r w:rsidRPr="00775AE5">
        <w:rPr>
          <w:rFonts w:ascii="Arial" w:hAnsi="Arial" w:cs="Arial"/>
          <w:sz w:val="22"/>
          <w:szCs w:val="22"/>
          <w:lang w:val="es-ES"/>
        </w:rPr>
        <w:t xml:space="preserve">Por otro lado, la Defensoría del Pueblo en cumplimiento de su mandato legal de velar para que el Estado cumpla con sus obligaciones de protección de los derechos de las y los defensores de derechos humanos y de la naturaleza, ha establecido una </w:t>
      </w:r>
      <w:r w:rsidR="00762A93" w:rsidRPr="00775AE5">
        <w:rPr>
          <w:rFonts w:ascii="Arial" w:hAnsi="Arial" w:cs="Arial"/>
          <w:sz w:val="22"/>
          <w:szCs w:val="22"/>
          <w:lang w:val="es-ES"/>
        </w:rPr>
        <w:t>M</w:t>
      </w:r>
      <w:r w:rsidRPr="00775AE5">
        <w:rPr>
          <w:rFonts w:ascii="Arial" w:hAnsi="Arial" w:cs="Arial"/>
          <w:sz w:val="22"/>
          <w:szCs w:val="22"/>
          <w:lang w:val="es-ES"/>
        </w:rPr>
        <w:t xml:space="preserve">esa interinstitucional para la construcción de las Políticas Públicas para la Promoción y Protección de los Derechos de las Defensoras y los Defensores de Derechos Humanos y de la Naturaleza, en la cual participan: Ministerio de Gobierno, Secretaría de Derechos Humanos, Consejo Nacional de Igualdad de Género, Consejo Nacional de Igualdad de Pueblos y Nacionalidades, Consejo de la Judicatura, Fiscalía General del Estado y Defensoría Pública. </w:t>
      </w:r>
    </w:p>
    <w:p w14:paraId="7CD02411" w14:textId="77777777" w:rsidR="00762A93" w:rsidRPr="00775AE5" w:rsidRDefault="00762A93" w:rsidP="00390DF2">
      <w:pPr>
        <w:spacing w:line="276" w:lineRule="auto"/>
        <w:jc w:val="both"/>
        <w:rPr>
          <w:rFonts w:ascii="Arial" w:hAnsi="Arial" w:cs="Arial"/>
          <w:sz w:val="22"/>
          <w:szCs w:val="22"/>
          <w:lang w:val="es-ES"/>
        </w:rPr>
      </w:pPr>
    </w:p>
    <w:p w14:paraId="58049789" w14:textId="0CEA6FBC" w:rsidR="004D2C87" w:rsidRPr="00775AE5" w:rsidRDefault="004D2C87" w:rsidP="00390DF2">
      <w:pPr>
        <w:spacing w:line="276" w:lineRule="auto"/>
        <w:jc w:val="both"/>
        <w:rPr>
          <w:rFonts w:ascii="Arial" w:hAnsi="Arial" w:cs="Arial"/>
          <w:sz w:val="22"/>
          <w:szCs w:val="22"/>
          <w:lang w:val="es-ES"/>
        </w:rPr>
      </w:pPr>
      <w:r w:rsidRPr="00775AE5">
        <w:rPr>
          <w:rFonts w:ascii="Arial" w:hAnsi="Arial" w:cs="Arial"/>
          <w:sz w:val="22"/>
          <w:szCs w:val="22"/>
          <w:lang w:val="es-ES"/>
        </w:rPr>
        <w:t xml:space="preserve">Este espacio interinstitucional se ha propuesto presentar a las máximas autoridades una propuesta de </w:t>
      </w:r>
      <w:r w:rsidR="00EE5ECD" w:rsidRPr="00775AE5">
        <w:rPr>
          <w:rFonts w:ascii="Arial" w:hAnsi="Arial" w:cs="Arial"/>
          <w:sz w:val="22"/>
          <w:szCs w:val="22"/>
          <w:lang w:val="es-ES"/>
        </w:rPr>
        <w:t>p</w:t>
      </w:r>
      <w:r w:rsidRPr="00775AE5">
        <w:rPr>
          <w:rFonts w:ascii="Arial" w:hAnsi="Arial" w:cs="Arial"/>
          <w:sz w:val="22"/>
          <w:szCs w:val="22"/>
          <w:lang w:val="es-ES"/>
        </w:rPr>
        <w:t xml:space="preserve">olíticas </w:t>
      </w:r>
      <w:r w:rsidR="00EE5ECD" w:rsidRPr="00775AE5">
        <w:rPr>
          <w:rFonts w:ascii="Arial" w:hAnsi="Arial" w:cs="Arial"/>
          <w:sz w:val="22"/>
          <w:szCs w:val="22"/>
          <w:lang w:val="es-ES"/>
        </w:rPr>
        <w:t>públicas que permitan la promoción y p</w:t>
      </w:r>
      <w:r w:rsidRPr="00775AE5">
        <w:rPr>
          <w:rFonts w:ascii="Arial" w:hAnsi="Arial" w:cs="Arial"/>
          <w:sz w:val="22"/>
          <w:szCs w:val="22"/>
          <w:lang w:val="es-ES"/>
        </w:rPr>
        <w:t>rotección de las Defensoras y los Defensores de Derechos Humanos y la Naturaleza en concordancia con lo dispuesto en la Ley Orgánica de la Defensoría del Pueblo</w:t>
      </w:r>
      <w:r w:rsidR="00EE5ECD" w:rsidRPr="00775AE5">
        <w:rPr>
          <w:rFonts w:ascii="Arial" w:hAnsi="Arial" w:cs="Arial"/>
          <w:sz w:val="22"/>
          <w:szCs w:val="22"/>
          <w:lang w:val="es-ES"/>
        </w:rPr>
        <w:t>.</w:t>
      </w:r>
      <w:r w:rsidRPr="00775AE5">
        <w:rPr>
          <w:rFonts w:ascii="Arial" w:hAnsi="Arial" w:cs="Arial"/>
          <w:sz w:val="22"/>
          <w:szCs w:val="22"/>
          <w:lang w:val="es-ES"/>
        </w:rPr>
        <w:t xml:space="preserve"> En el proceso, </w:t>
      </w:r>
      <w:r w:rsidR="00EE592F" w:rsidRPr="00775AE5">
        <w:rPr>
          <w:rFonts w:ascii="Arial" w:hAnsi="Arial" w:cs="Arial"/>
          <w:sz w:val="22"/>
          <w:szCs w:val="22"/>
          <w:lang w:val="es-ES"/>
        </w:rPr>
        <w:t>de acuerdo con</w:t>
      </w:r>
      <w:r w:rsidRPr="00775AE5">
        <w:rPr>
          <w:rFonts w:ascii="Arial" w:hAnsi="Arial" w:cs="Arial"/>
          <w:sz w:val="22"/>
          <w:szCs w:val="22"/>
          <w:lang w:val="es-ES"/>
        </w:rPr>
        <w:t xml:space="preserve"> la arquitectura institucional del Estado, determinada en la Constitución, se establecerán responsabilidades y atribuciones de las distintas instituciones públicas. Este proceso es participativo y a la fecha se ha iniciado la fase de socialización con las organizaciones de sociedad civil que conglomeran a defensoras y defensores de derechos humanos y de la naturaleza.</w:t>
      </w:r>
    </w:p>
    <w:p w14:paraId="4D2100EA" w14:textId="77777777" w:rsidR="00BA2F6F" w:rsidRDefault="00BA2F6F" w:rsidP="00390DF2">
      <w:pPr>
        <w:spacing w:line="276" w:lineRule="auto"/>
        <w:rPr>
          <w:rFonts w:ascii="Arial" w:hAnsi="Arial" w:cs="Arial"/>
          <w:b/>
          <w:sz w:val="22"/>
          <w:szCs w:val="22"/>
          <w:lang w:val="es-ES"/>
        </w:rPr>
      </w:pPr>
    </w:p>
    <w:p w14:paraId="328AA6DF" w14:textId="77777777" w:rsidR="00BA2F6F" w:rsidRPr="00775AE5" w:rsidRDefault="00BA2F6F" w:rsidP="00390DF2">
      <w:pPr>
        <w:spacing w:line="276" w:lineRule="auto"/>
        <w:rPr>
          <w:rFonts w:ascii="Arial" w:hAnsi="Arial" w:cs="Arial"/>
          <w:b/>
          <w:sz w:val="22"/>
          <w:szCs w:val="22"/>
          <w:lang w:val="es-ES"/>
        </w:rPr>
      </w:pPr>
    </w:p>
    <w:p w14:paraId="14CB26CF" w14:textId="77777777" w:rsidR="006C3E11" w:rsidRPr="00775AE5" w:rsidRDefault="00BB3180" w:rsidP="00640CCA">
      <w:pPr>
        <w:pStyle w:val="Heading3"/>
        <w:rPr>
          <w:rFonts w:ascii="Arial" w:hAnsi="Arial" w:cs="Arial"/>
          <w:sz w:val="22"/>
          <w:szCs w:val="22"/>
        </w:rPr>
      </w:pPr>
      <w:bookmarkStart w:id="16" w:name="_Toc168907341"/>
      <w:r w:rsidRPr="00775AE5">
        <w:rPr>
          <w:rFonts w:ascii="Arial" w:hAnsi="Arial" w:cs="Arial"/>
          <w:sz w:val="22"/>
          <w:szCs w:val="22"/>
        </w:rPr>
        <w:t>8</w:t>
      </w:r>
      <w:r w:rsidR="00346990" w:rsidRPr="00775AE5">
        <w:rPr>
          <w:rFonts w:ascii="Arial" w:hAnsi="Arial" w:cs="Arial"/>
          <w:sz w:val="22"/>
          <w:szCs w:val="22"/>
        </w:rPr>
        <w:t>.</w:t>
      </w:r>
      <w:r w:rsidR="00714DE4" w:rsidRPr="00775AE5">
        <w:rPr>
          <w:rFonts w:ascii="Arial" w:hAnsi="Arial" w:cs="Arial"/>
          <w:sz w:val="22"/>
          <w:szCs w:val="22"/>
        </w:rPr>
        <w:t>2</w:t>
      </w:r>
      <w:r w:rsidR="00346990" w:rsidRPr="00775AE5">
        <w:rPr>
          <w:rFonts w:ascii="Arial" w:hAnsi="Arial" w:cs="Arial"/>
          <w:sz w:val="22"/>
          <w:szCs w:val="22"/>
        </w:rPr>
        <w:t xml:space="preserve">. </w:t>
      </w:r>
      <w:r w:rsidR="00925514" w:rsidRPr="00775AE5">
        <w:rPr>
          <w:rFonts w:ascii="Arial" w:hAnsi="Arial" w:cs="Arial"/>
          <w:sz w:val="22"/>
          <w:szCs w:val="22"/>
        </w:rPr>
        <w:t>Mujeres defensoras de la naturaleza</w:t>
      </w:r>
      <w:bookmarkEnd w:id="16"/>
    </w:p>
    <w:p w14:paraId="509C9775" w14:textId="77777777" w:rsidR="00925514" w:rsidRPr="00775AE5" w:rsidRDefault="00925514" w:rsidP="00390DF2">
      <w:pPr>
        <w:spacing w:line="276" w:lineRule="auto"/>
        <w:jc w:val="both"/>
        <w:rPr>
          <w:rFonts w:ascii="Arial" w:hAnsi="Arial" w:cs="Arial"/>
          <w:sz w:val="22"/>
          <w:szCs w:val="22"/>
          <w:lang w:val="es-ES"/>
        </w:rPr>
      </w:pPr>
    </w:p>
    <w:p w14:paraId="226B4F8D" w14:textId="77777777" w:rsidR="009743CB" w:rsidRPr="00775AE5" w:rsidRDefault="009743CB" w:rsidP="009743CB">
      <w:pPr>
        <w:spacing w:line="276" w:lineRule="auto"/>
        <w:jc w:val="both"/>
        <w:rPr>
          <w:rFonts w:ascii="Arial" w:hAnsi="Arial" w:cs="Arial"/>
          <w:i/>
          <w:sz w:val="22"/>
          <w:szCs w:val="22"/>
          <w:lang w:val="es-ES"/>
        </w:rPr>
      </w:pPr>
      <w:r w:rsidRPr="00775AE5">
        <w:rPr>
          <w:rFonts w:ascii="Arial" w:hAnsi="Arial" w:cs="Arial"/>
          <w:sz w:val="22"/>
          <w:szCs w:val="22"/>
          <w:lang w:val="es-ES"/>
        </w:rPr>
        <w:t xml:space="preserve">Varias mujeres del colectivo Mujeres Amazónicas desde el año 2013 han sido víctimas de persecución, linchamiento mediático, investigaciones en la Fiscalía por terrorismo y sabotaje por defender derechos de las mujeres, de la naturaleza, por actividades extractivas de petróleo y minería desarrollándose en los territorios de las comunidades indígenas. Se señala incluso que a más de intimidaciones han recibido amenazas de muerte. A esto se suma la violencia sexual que han sufrido las mujeres en sus territorios por la presencia de trabajadores mineros y petroleros. Debido a ello, </w:t>
      </w:r>
      <w:r w:rsidRPr="00775AE5">
        <w:rPr>
          <w:rFonts w:ascii="Arial" w:hAnsi="Arial" w:cs="Arial"/>
          <w:i/>
          <w:sz w:val="22"/>
          <w:szCs w:val="22"/>
          <w:lang w:val="es-ES"/>
        </w:rPr>
        <w:t>“desde 2018, organizaciones mundiales, como Amnistía Internacional, y más de 70 ONG tuvieron que intervenir para que cesen las amenazas, inclusive de muerte, contra las defensoras de la naturaleza.”</w:t>
      </w:r>
      <w:r w:rsidRPr="00775AE5">
        <w:rPr>
          <w:rFonts w:ascii="Arial" w:hAnsi="Arial" w:cs="Arial"/>
          <w:i/>
          <w:sz w:val="22"/>
          <w:szCs w:val="22"/>
        </w:rPr>
        <w:footnoteReference w:id="18"/>
      </w:r>
    </w:p>
    <w:p w14:paraId="09D7AB38" w14:textId="77777777" w:rsidR="00200277" w:rsidRPr="00775AE5" w:rsidRDefault="00200277" w:rsidP="00390DF2">
      <w:pPr>
        <w:spacing w:line="276" w:lineRule="auto"/>
        <w:rPr>
          <w:rFonts w:ascii="Arial" w:hAnsi="Arial" w:cs="Arial"/>
          <w:sz w:val="22"/>
          <w:szCs w:val="22"/>
          <w:lang w:val="es-ES"/>
        </w:rPr>
      </w:pPr>
    </w:p>
    <w:p w14:paraId="31D03266" w14:textId="77777777" w:rsidR="00200277" w:rsidRPr="00775AE5" w:rsidRDefault="00762A93" w:rsidP="00390DF2">
      <w:pPr>
        <w:spacing w:line="276" w:lineRule="auto"/>
        <w:jc w:val="both"/>
        <w:rPr>
          <w:rFonts w:ascii="Arial" w:hAnsi="Arial" w:cs="Arial"/>
          <w:bCs/>
          <w:sz w:val="22"/>
          <w:szCs w:val="22"/>
          <w:lang w:val="es-ES"/>
        </w:rPr>
      </w:pPr>
      <w:r w:rsidRPr="00775AE5">
        <w:rPr>
          <w:rFonts w:ascii="Arial" w:hAnsi="Arial" w:cs="Arial"/>
          <w:sz w:val="22"/>
          <w:szCs w:val="22"/>
          <w:lang w:val="es-ES"/>
        </w:rPr>
        <w:t xml:space="preserve">En el </w:t>
      </w:r>
      <w:r w:rsidR="00200277" w:rsidRPr="00775AE5">
        <w:rPr>
          <w:rFonts w:ascii="Arial" w:hAnsi="Arial" w:cs="Arial"/>
          <w:sz w:val="22"/>
          <w:szCs w:val="22"/>
          <w:lang w:val="es-ES"/>
        </w:rPr>
        <w:t xml:space="preserve">2018 este colectivo entregó el </w:t>
      </w:r>
      <w:r w:rsidR="00200277" w:rsidRPr="00775AE5">
        <w:rPr>
          <w:rFonts w:ascii="Arial" w:hAnsi="Arial" w:cs="Arial"/>
          <w:bCs/>
          <w:sz w:val="22"/>
          <w:szCs w:val="22"/>
          <w:lang w:val="es-ES"/>
        </w:rPr>
        <w:t xml:space="preserve">“Mandato de las Mujeres Amazónicas Defensoras de la Selva Frente al </w:t>
      </w:r>
      <w:proofErr w:type="spellStart"/>
      <w:r w:rsidR="00200277" w:rsidRPr="00775AE5">
        <w:rPr>
          <w:rFonts w:ascii="Arial" w:hAnsi="Arial" w:cs="Arial"/>
          <w:bCs/>
          <w:sz w:val="22"/>
          <w:szCs w:val="22"/>
          <w:lang w:val="es-ES"/>
        </w:rPr>
        <w:t>Extractivismo</w:t>
      </w:r>
      <w:proofErr w:type="spellEnd"/>
      <w:r w:rsidR="00200277" w:rsidRPr="00775AE5">
        <w:rPr>
          <w:rFonts w:ascii="Arial" w:hAnsi="Arial" w:cs="Arial"/>
          <w:bCs/>
          <w:sz w:val="22"/>
          <w:szCs w:val="22"/>
          <w:lang w:val="es-ES"/>
        </w:rPr>
        <w:t xml:space="preserve">” </w:t>
      </w:r>
      <w:r w:rsidR="00200277" w:rsidRPr="00775AE5">
        <w:rPr>
          <w:rFonts w:ascii="Arial" w:hAnsi="Arial" w:cs="Arial"/>
          <w:sz w:val="22"/>
          <w:szCs w:val="22"/>
          <w:lang w:val="es-ES"/>
        </w:rPr>
        <w:t xml:space="preserve">al Presidente de la República en el que mostraba la postura del colectivo en contra del </w:t>
      </w:r>
      <w:proofErr w:type="spellStart"/>
      <w:r w:rsidR="00200277" w:rsidRPr="00775AE5">
        <w:rPr>
          <w:rFonts w:ascii="Arial" w:hAnsi="Arial" w:cs="Arial"/>
          <w:sz w:val="22"/>
          <w:szCs w:val="22"/>
          <w:lang w:val="es-ES"/>
        </w:rPr>
        <w:t>extractivismo</w:t>
      </w:r>
      <w:proofErr w:type="spellEnd"/>
      <w:r w:rsidR="00200277" w:rsidRPr="00775AE5">
        <w:rPr>
          <w:rFonts w:ascii="Arial" w:hAnsi="Arial" w:cs="Arial"/>
          <w:sz w:val="22"/>
          <w:szCs w:val="22"/>
          <w:lang w:val="es-ES"/>
        </w:rPr>
        <w:t xml:space="preserve"> y demanda atención del Estado sobre la protección de los derechos de la naturaleza, </w:t>
      </w:r>
      <w:r w:rsidR="00200277" w:rsidRPr="00775AE5">
        <w:rPr>
          <w:rFonts w:ascii="Arial" w:hAnsi="Arial" w:cs="Arial"/>
          <w:bCs/>
          <w:sz w:val="22"/>
          <w:szCs w:val="22"/>
          <w:lang w:val="es-ES"/>
        </w:rPr>
        <w:t>derecho de autodeterminación, derecho al territorio,</w:t>
      </w:r>
      <w:r w:rsidR="00200277" w:rsidRPr="00775AE5">
        <w:rPr>
          <w:rFonts w:ascii="Arial" w:hAnsi="Arial" w:cs="Arial"/>
          <w:sz w:val="22"/>
          <w:szCs w:val="22"/>
          <w:lang w:val="es-ES"/>
        </w:rPr>
        <w:t xml:space="preserve"> derechos de las mujeres defensoras de derechos humanos</w:t>
      </w:r>
      <w:r w:rsidR="00200277" w:rsidRPr="00775AE5">
        <w:rPr>
          <w:rStyle w:val="FootnoteReference"/>
          <w:rFonts w:ascii="Arial" w:hAnsi="Arial" w:cs="Arial"/>
          <w:sz w:val="22"/>
          <w:szCs w:val="22"/>
          <w:lang w:val="es-ES"/>
        </w:rPr>
        <w:footnoteReference w:id="19"/>
      </w:r>
      <w:r w:rsidR="00200277" w:rsidRPr="00775AE5">
        <w:rPr>
          <w:rFonts w:ascii="Arial" w:hAnsi="Arial" w:cs="Arial"/>
          <w:sz w:val="22"/>
          <w:szCs w:val="22"/>
          <w:lang w:val="es-ES"/>
        </w:rPr>
        <w:t xml:space="preserve">. Sin embargo, han pasado dos años y no han recibido respuesta alguna, según indicado por Patricia </w:t>
      </w:r>
      <w:proofErr w:type="spellStart"/>
      <w:r w:rsidR="00200277" w:rsidRPr="00775AE5">
        <w:rPr>
          <w:rFonts w:ascii="Arial" w:hAnsi="Arial" w:cs="Arial"/>
          <w:sz w:val="22"/>
          <w:szCs w:val="22"/>
          <w:lang w:val="es-ES"/>
        </w:rPr>
        <w:t>Gualinga</w:t>
      </w:r>
      <w:proofErr w:type="spellEnd"/>
      <w:r w:rsidR="00200277" w:rsidRPr="00775AE5">
        <w:rPr>
          <w:rFonts w:ascii="Arial" w:hAnsi="Arial" w:cs="Arial"/>
          <w:sz w:val="22"/>
          <w:szCs w:val="22"/>
          <w:lang w:val="es-ES"/>
        </w:rPr>
        <w:t>, lideresa indígena y vocera del colectivo Mujeres Amazónicas.</w:t>
      </w:r>
      <w:r w:rsidR="00200277" w:rsidRPr="00775AE5">
        <w:rPr>
          <w:rStyle w:val="FootnoteReference"/>
          <w:rFonts w:ascii="Arial" w:hAnsi="Arial" w:cs="Arial"/>
          <w:sz w:val="22"/>
          <w:szCs w:val="22"/>
          <w:lang w:val="es-ES"/>
        </w:rPr>
        <w:footnoteReference w:id="20"/>
      </w:r>
      <w:r w:rsidR="00200277" w:rsidRPr="00775AE5">
        <w:rPr>
          <w:rFonts w:ascii="Arial" w:hAnsi="Arial" w:cs="Arial"/>
          <w:sz w:val="22"/>
          <w:szCs w:val="22"/>
          <w:lang w:val="es-ES"/>
        </w:rPr>
        <w:t xml:space="preserve"> </w:t>
      </w:r>
      <w:r w:rsidR="00200277" w:rsidRPr="00775AE5">
        <w:rPr>
          <w:rFonts w:ascii="Arial" w:hAnsi="Arial" w:cs="Arial"/>
          <w:bCs/>
          <w:sz w:val="22"/>
          <w:szCs w:val="22"/>
          <w:lang w:val="es-ES"/>
        </w:rPr>
        <w:t xml:space="preserve">Vale </w:t>
      </w:r>
      <w:r w:rsidR="009F554A" w:rsidRPr="00775AE5">
        <w:rPr>
          <w:rFonts w:ascii="Arial" w:hAnsi="Arial" w:cs="Arial"/>
          <w:bCs/>
          <w:sz w:val="22"/>
          <w:szCs w:val="22"/>
          <w:lang w:val="es-ES"/>
        </w:rPr>
        <w:t>recalcar</w:t>
      </w:r>
      <w:r w:rsidR="00200277" w:rsidRPr="00775AE5">
        <w:rPr>
          <w:rFonts w:ascii="Arial" w:hAnsi="Arial" w:cs="Arial"/>
          <w:bCs/>
          <w:sz w:val="22"/>
          <w:szCs w:val="22"/>
          <w:lang w:val="es-ES"/>
        </w:rPr>
        <w:t xml:space="preserve"> que el mandato formó parte del compromiso presidencial 487</w:t>
      </w:r>
      <w:r w:rsidR="00200277" w:rsidRPr="00775AE5">
        <w:rPr>
          <w:rStyle w:val="FootnoteReference"/>
          <w:rFonts w:ascii="Arial" w:hAnsi="Arial" w:cs="Arial"/>
          <w:bCs/>
          <w:sz w:val="22"/>
          <w:szCs w:val="22"/>
          <w:lang w:val="es-ES"/>
        </w:rPr>
        <w:footnoteReference w:id="21"/>
      </w:r>
      <w:r w:rsidR="00200277" w:rsidRPr="00775AE5">
        <w:rPr>
          <w:rFonts w:ascii="Arial" w:hAnsi="Arial" w:cs="Arial"/>
          <w:bCs/>
          <w:sz w:val="22"/>
          <w:szCs w:val="22"/>
          <w:lang w:val="es-ES"/>
        </w:rPr>
        <w:t xml:space="preserve">. </w:t>
      </w:r>
    </w:p>
    <w:p w14:paraId="1B2A4F98" w14:textId="77777777" w:rsidR="00200277" w:rsidRPr="00775AE5" w:rsidRDefault="00200277" w:rsidP="00390DF2">
      <w:pPr>
        <w:spacing w:line="276" w:lineRule="auto"/>
        <w:rPr>
          <w:rFonts w:ascii="Arial" w:hAnsi="Arial" w:cs="Arial"/>
          <w:bCs/>
          <w:sz w:val="22"/>
          <w:szCs w:val="22"/>
          <w:lang w:val="es-ES"/>
        </w:rPr>
      </w:pPr>
    </w:p>
    <w:p w14:paraId="413C3A35" w14:textId="77777777" w:rsidR="00200277" w:rsidRPr="00775AE5" w:rsidRDefault="009F554A" w:rsidP="00390DF2">
      <w:pPr>
        <w:spacing w:line="276" w:lineRule="auto"/>
        <w:jc w:val="both"/>
        <w:rPr>
          <w:rFonts w:ascii="Arial" w:hAnsi="Arial" w:cs="Arial"/>
          <w:bCs/>
          <w:sz w:val="22"/>
          <w:szCs w:val="22"/>
          <w:lang w:val="es-ES"/>
        </w:rPr>
      </w:pPr>
      <w:r w:rsidRPr="00775AE5">
        <w:rPr>
          <w:rFonts w:ascii="Arial" w:hAnsi="Arial" w:cs="Arial"/>
          <w:bCs/>
          <w:sz w:val="22"/>
          <w:szCs w:val="22"/>
          <w:lang w:val="es-ES"/>
        </w:rPr>
        <w:t>D</w:t>
      </w:r>
      <w:r w:rsidR="00200277" w:rsidRPr="00775AE5">
        <w:rPr>
          <w:rFonts w:ascii="Arial" w:hAnsi="Arial" w:cs="Arial"/>
          <w:bCs/>
          <w:sz w:val="22"/>
          <w:szCs w:val="22"/>
          <w:lang w:val="es-ES"/>
        </w:rPr>
        <w:t>esde la Defensoría del Pueblo se expidió la Resolución N°101-DPE-REV-EXP-2018, de 13 de noviembre de 2018</w:t>
      </w:r>
      <w:r w:rsidR="00200277" w:rsidRPr="00775AE5">
        <w:rPr>
          <w:rStyle w:val="FootnoteReference"/>
          <w:rFonts w:ascii="Arial" w:hAnsi="Arial" w:cs="Arial"/>
          <w:bCs/>
          <w:sz w:val="22"/>
          <w:szCs w:val="22"/>
          <w:lang w:val="es-ES"/>
        </w:rPr>
        <w:footnoteReference w:id="22"/>
      </w:r>
      <w:r w:rsidR="00200277" w:rsidRPr="00775AE5">
        <w:rPr>
          <w:rFonts w:ascii="Arial" w:hAnsi="Arial" w:cs="Arial"/>
          <w:bCs/>
          <w:sz w:val="22"/>
          <w:szCs w:val="22"/>
          <w:lang w:val="es-ES"/>
        </w:rPr>
        <w:t xml:space="preserve">, respecto de los hechos evidenciados en el “Mandato de las Mujeres Amazónicas Defensoras de la Selva Frente al </w:t>
      </w:r>
      <w:proofErr w:type="spellStart"/>
      <w:r w:rsidR="00200277" w:rsidRPr="00775AE5">
        <w:rPr>
          <w:rFonts w:ascii="Arial" w:hAnsi="Arial" w:cs="Arial"/>
          <w:bCs/>
          <w:sz w:val="22"/>
          <w:szCs w:val="22"/>
          <w:lang w:val="es-ES"/>
        </w:rPr>
        <w:t>Extractivismo</w:t>
      </w:r>
      <w:proofErr w:type="spellEnd"/>
      <w:r w:rsidR="00200277" w:rsidRPr="00775AE5">
        <w:rPr>
          <w:rFonts w:ascii="Arial" w:hAnsi="Arial" w:cs="Arial"/>
          <w:bCs/>
          <w:sz w:val="22"/>
          <w:szCs w:val="22"/>
          <w:lang w:val="es-ES"/>
        </w:rPr>
        <w:t>”. En esta resolución se exhorta a la Presidencia de la República, Ministerio de Energía y Recursos Naturales no Renovables, Consejo de Participación Ciudadana y Control Social, Consejo de Igualdad de Género, Consejo de Igualdad de Pueblos y Nacionalidades, Asamblea Nacional, Corte Constitucional, Fiscalía General del Estado, entre otras, a que dentro del ámbito de sus competencias garanticen sus derechos culturales, su derecho a la consulta previa, libre e informada y consulta ambiental, derechos de las mujeres defensoras de derechos humanos, bajo una perspectiva de interculturalidad y de género, para que la diversidad natural de sus territorios ancestrales no sean afectados.</w:t>
      </w:r>
    </w:p>
    <w:p w14:paraId="3E91E1BD" w14:textId="77777777" w:rsidR="00200277" w:rsidRPr="00775AE5" w:rsidRDefault="00200277" w:rsidP="00390DF2">
      <w:pPr>
        <w:spacing w:line="276" w:lineRule="auto"/>
        <w:rPr>
          <w:rFonts w:ascii="Arial" w:hAnsi="Arial" w:cs="Arial"/>
          <w:sz w:val="22"/>
          <w:szCs w:val="22"/>
          <w:lang w:val="es-ES"/>
        </w:rPr>
      </w:pPr>
    </w:p>
    <w:p w14:paraId="7D8DEB5E" w14:textId="77777777" w:rsidR="00200277" w:rsidRPr="00775AE5" w:rsidRDefault="00200277" w:rsidP="00390DF2">
      <w:pPr>
        <w:spacing w:line="276" w:lineRule="auto"/>
        <w:jc w:val="both"/>
        <w:rPr>
          <w:rFonts w:ascii="Arial" w:hAnsi="Arial" w:cs="Arial"/>
          <w:sz w:val="22"/>
          <w:szCs w:val="22"/>
          <w:lang w:val="es-ES"/>
        </w:rPr>
      </w:pPr>
      <w:r w:rsidRPr="00775AE5">
        <w:rPr>
          <w:rFonts w:ascii="Arial" w:hAnsi="Arial" w:cs="Arial"/>
          <w:sz w:val="22"/>
          <w:szCs w:val="22"/>
          <w:lang w:val="es-ES"/>
        </w:rPr>
        <w:t xml:space="preserve">El 08 de marzo de 2020, el colectivo de Mujeres Amazónicas acudió a la ciudad de Quito para entregar a la Fiscalía General del Estado más de 200 mil firmas de apoyo (de </w:t>
      </w:r>
      <w:proofErr w:type="spellStart"/>
      <w:r w:rsidRPr="00775AE5">
        <w:rPr>
          <w:rFonts w:ascii="Arial" w:hAnsi="Arial" w:cs="Arial"/>
          <w:sz w:val="22"/>
          <w:szCs w:val="22"/>
          <w:lang w:val="es-ES"/>
        </w:rPr>
        <w:t>mas</w:t>
      </w:r>
      <w:proofErr w:type="spellEnd"/>
      <w:r w:rsidRPr="00775AE5">
        <w:rPr>
          <w:rFonts w:ascii="Arial" w:hAnsi="Arial" w:cs="Arial"/>
          <w:sz w:val="22"/>
          <w:szCs w:val="22"/>
          <w:lang w:val="es-ES"/>
        </w:rPr>
        <w:t xml:space="preserve"> de 168 países y más de 80 organizaciones ambientalistas y de derechos humanos) en rechazo de las amenazas que han recibido las mujeres defensoras de la naturaleza. Exigieron también se agilicen las investigaciones sobre los hechos denunciados y protección ante las intimidaciones recibidas.</w:t>
      </w:r>
      <w:r w:rsidRPr="00775AE5">
        <w:rPr>
          <w:rStyle w:val="FootnoteReference"/>
          <w:rFonts w:ascii="Arial" w:hAnsi="Arial" w:cs="Arial"/>
          <w:sz w:val="22"/>
          <w:szCs w:val="22"/>
          <w:lang w:val="es-ES"/>
        </w:rPr>
        <w:footnoteReference w:id="23"/>
      </w:r>
      <w:r w:rsidRPr="00775AE5">
        <w:rPr>
          <w:rFonts w:ascii="Arial" w:hAnsi="Arial" w:cs="Arial"/>
          <w:sz w:val="22"/>
          <w:szCs w:val="22"/>
          <w:lang w:val="es-ES"/>
        </w:rPr>
        <w:t xml:space="preserve"> </w:t>
      </w:r>
    </w:p>
    <w:p w14:paraId="488B81F0" w14:textId="77777777" w:rsidR="00200277" w:rsidRPr="00775AE5" w:rsidRDefault="00200277" w:rsidP="00390DF2">
      <w:pPr>
        <w:spacing w:line="276" w:lineRule="auto"/>
        <w:rPr>
          <w:rFonts w:ascii="Arial" w:hAnsi="Arial" w:cs="Arial"/>
          <w:sz w:val="22"/>
          <w:szCs w:val="22"/>
          <w:lang w:val="es-ES"/>
        </w:rPr>
      </w:pPr>
    </w:p>
    <w:p w14:paraId="2B04B9B8" w14:textId="77777777" w:rsidR="00200277" w:rsidRPr="00775AE5" w:rsidRDefault="00200277" w:rsidP="00390DF2">
      <w:pPr>
        <w:spacing w:line="276" w:lineRule="auto"/>
        <w:jc w:val="both"/>
        <w:rPr>
          <w:rFonts w:ascii="Arial" w:hAnsi="Arial" w:cs="Arial"/>
          <w:sz w:val="22"/>
          <w:szCs w:val="22"/>
          <w:lang w:val="es-ES"/>
        </w:rPr>
      </w:pPr>
      <w:r w:rsidRPr="00775AE5">
        <w:rPr>
          <w:rFonts w:ascii="Arial" w:hAnsi="Arial" w:cs="Arial"/>
          <w:sz w:val="22"/>
          <w:szCs w:val="22"/>
          <w:lang w:val="es-ES"/>
        </w:rPr>
        <w:t xml:space="preserve">Finalmente, </w:t>
      </w:r>
      <w:r w:rsidR="00FE59C1" w:rsidRPr="00775AE5">
        <w:rPr>
          <w:rFonts w:ascii="Arial" w:hAnsi="Arial" w:cs="Arial"/>
          <w:sz w:val="22"/>
          <w:szCs w:val="22"/>
          <w:lang w:val="es-ES"/>
        </w:rPr>
        <w:t xml:space="preserve">frente </w:t>
      </w:r>
      <w:r w:rsidRPr="00775AE5">
        <w:rPr>
          <w:rFonts w:ascii="Arial" w:hAnsi="Arial" w:cs="Arial"/>
          <w:sz w:val="22"/>
          <w:szCs w:val="22"/>
          <w:lang w:val="es-ES"/>
        </w:rPr>
        <w:t>a la movilización realizada por el colectivo la Fiscalía General del Estado, se ha comprometido a agilizar las investigaciones de las denuncias realizadas. Por su parte la Secretaría de Derechos Humanos ha señalado que están trabajando interinstitucionalmente en protocolos adecuados de defensa a defensoras y defensores de derechos humanos.</w:t>
      </w:r>
      <w:r w:rsidRPr="00775AE5">
        <w:rPr>
          <w:rStyle w:val="FootnoteReference"/>
          <w:rFonts w:ascii="Arial" w:hAnsi="Arial" w:cs="Arial"/>
          <w:sz w:val="22"/>
          <w:szCs w:val="22"/>
          <w:lang w:val="es-ES"/>
        </w:rPr>
        <w:footnoteReference w:id="24"/>
      </w:r>
    </w:p>
    <w:p w14:paraId="3B9908A8" w14:textId="77777777" w:rsidR="009F6EE4" w:rsidRPr="00775AE5" w:rsidRDefault="009F6EE4" w:rsidP="00390DF2">
      <w:pPr>
        <w:spacing w:line="276" w:lineRule="auto"/>
        <w:rPr>
          <w:rFonts w:ascii="Arial" w:hAnsi="Arial" w:cs="Arial"/>
          <w:b/>
          <w:sz w:val="22"/>
          <w:szCs w:val="22"/>
          <w:lang w:val="es-ES"/>
        </w:rPr>
      </w:pPr>
    </w:p>
    <w:p w14:paraId="4BA0363B" w14:textId="29B5E503" w:rsidR="00066AE9" w:rsidRPr="00775AE5" w:rsidRDefault="0025783F" w:rsidP="006C5911">
      <w:pPr>
        <w:pStyle w:val="Redaccin"/>
        <w:numPr>
          <w:ilvl w:val="0"/>
          <w:numId w:val="0"/>
        </w:numPr>
        <w:spacing w:before="0" w:after="0"/>
        <w:ind w:left="720"/>
        <w:outlineLvl w:val="0"/>
        <w:rPr>
          <w:rFonts w:ascii="Arial" w:hAnsi="Arial" w:cs="Arial"/>
          <w:sz w:val="22"/>
          <w:szCs w:val="22"/>
        </w:rPr>
      </w:pPr>
      <w:bookmarkStart w:id="17" w:name="_Toc168907342"/>
      <w:r w:rsidRPr="00775AE5">
        <w:rPr>
          <w:rFonts w:ascii="Arial" w:hAnsi="Arial" w:cs="Arial"/>
          <w:b/>
          <w:bCs/>
          <w:sz w:val="22"/>
          <w:szCs w:val="22"/>
        </w:rPr>
        <w:t xml:space="preserve">Segunda Parte: El Mecanismo de Prevención de la Tortura y su rol en el cumplimiento de la Convención contra la Tortura y su Protocolo </w:t>
      </w:r>
      <w:r w:rsidRPr="00775AE5">
        <w:rPr>
          <w:rFonts w:ascii="Arial" w:hAnsi="Arial" w:cs="Arial"/>
          <w:b/>
          <w:sz w:val="22"/>
          <w:szCs w:val="22"/>
        </w:rPr>
        <w:t>(Período 2017 - 2024)</w:t>
      </w:r>
      <w:bookmarkEnd w:id="17"/>
    </w:p>
    <w:p w14:paraId="04191987" w14:textId="77777777" w:rsidR="00BE486F" w:rsidRPr="00775AE5" w:rsidRDefault="00BE486F" w:rsidP="004E3C13">
      <w:pPr>
        <w:pStyle w:val="Redaccin"/>
        <w:numPr>
          <w:ilvl w:val="0"/>
          <w:numId w:val="0"/>
        </w:numPr>
        <w:spacing w:before="0" w:after="0"/>
        <w:ind w:left="720"/>
        <w:rPr>
          <w:rFonts w:ascii="Arial" w:hAnsi="Arial" w:cs="Arial"/>
          <w:sz w:val="22"/>
          <w:szCs w:val="22"/>
        </w:rPr>
      </w:pPr>
    </w:p>
    <w:p w14:paraId="37C26CDB" w14:textId="77777777" w:rsidR="009E0A9E" w:rsidRPr="00775AE5" w:rsidRDefault="009E0A9E" w:rsidP="00640CCA">
      <w:pPr>
        <w:pStyle w:val="Heading3"/>
        <w:rPr>
          <w:rFonts w:ascii="Arial" w:hAnsi="Arial" w:cs="Arial"/>
          <w:sz w:val="22"/>
          <w:szCs w:val="22"/>
        </w:rPr>
      </w:pPr>
      <w:bookmarkStart w:id="18" w:name="_Toc168907343"/>
      <w:r w:rsidRPr="00775AE5">
        <w:rPr>
          <w:rFonts w:ascii="Arial" w:hAnsi="Arial" w:cs="Arial"/>
          <w:sz w:val="22"/>
          <w:szCs w:val="22"/>
        </w:rPr>
        <w:t>1. Artículo 2 (Párrafo 4 de la Lista de Cuestiones)</w:t>
      </w:r>
      <w:bookmarkEnd w:id="18"/>
    </w:p>
    <w:p w14:paraId="38D6F1AA" w14:textId="77777777" w:rsidR="009E0A9E" w:rsidRPr="00775AE5" w:rsidRDefault="009E0A9E" w:rsidP="009E0A9E">
      <w:pPr>
        <w:rPr>
          <w:rFonts w:ascii="Arial" w:hAnsi="Arial" w:cs="Arial"/>
          <w:sz w:val="22"/>
          <w:szCs w:val="22"/>
        </w:rPr>
      </w:pPr>
    </w:p>
    <w:p w14:paraId="2901D403" w14:textId="77777777" w:rsidR="009E0A9E" w:rsidRPr="00775AE5" w:rsidRDefault="009E0A9E" w:rsidP="009F04C3">
      <w:pPr>
        <w:pStyle w:val="Heading4"/>
        <w:spacing w:before="0" w:after="0" w:line="276" w:lineRule="auto"/>
        <w:ind w:firstLine="567"/>
        <w:jc w:val="both"/>
        <w:rPr>
          <w:rFonts w:ascii="Arial" w:hAnsi="Arial" w:cs="Arial"/>
          <w:i w:val="0"/>
          <w:sz w:val="22"/>
          <w:szCs w:val="22"/>
          <w:lang w:val="es-ES"/>
        </w:rPr>
      </w:pPr>
      <w:r w:rsidRPr="00775AE5">
        <w:rPr>
          <w:rFonts w:ascii="Arial" w:hAnsi="Arial" w:cs="Arial"/>
          <w:i w:val="0"/>
          <w:sz w:val="22"/>
          <w:szCs w:val="22"/>
          <w:lang w:val="es-ES"/>
        </w:rPr>
        <w:t>1.1. Base legal sobre el Mecanismo Nacional de Prevención de la Tortura.</w:t>
      </w:r>
    </w:p>
    <w:p w14:paraId="462F34F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C105C6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A la presente fecha, se cuenta con una nueva Ley Orgánica de la Defensoría del Pueblo que fue aprobada el 11 de abril de 2019 por la Asamblea Nacional y que entró en vigencia el 06 de mayo de 2019 a partir de su publicación en el Registro Oficial Suplemento 481. La Ley Orgánica de la Defensoría del Pueblo integra al MNPT en su capítulo V, relativo a la estructura y desconcentración, en su artículo 22 como un mecanismo de protección. En este sentido, el Art.22 relativo a mecanismos de protección establece: </w:t>
      </w:r>
    </w:p>
    <w:p w14:paraId="3AB4848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3A4CE49E"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Art. 22.- Mecanismos de protección. - La Defensoría del Pueblo, con el fin de cumplir con las obligaciones nacionales e internacionales de derechos humanos y de la naturaleza, implementará de manera progresiva, los siguientes mecanismos de protección:</w:t>
      </w:r>
    </w:p>
    <w:p w14:paraId="32EB565E"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a) Mecanismo Nacional de Prevención contra la Tortura y otros Tratos o Penas Crueles, Inhumanos y Degradantes; (…)</w:t>
      </w:r>
    </w:p>
    <w:p w14:paraId="095D2D3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69D55E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Así también, en el texto de la Ley Orgánica de la Defensoría del Pueblo, en su disposición reformatoria octava se agregó una disposición general al Código Orgánica Integral Penal que dicta: </w:t>
      </w:r>
    </w:p>
    <w:p w14:paraId="6CF44E9C" w14:textId="77777777" w:rsidR="009E0A9E" w:rsidRPr="00775AE5" w:rsidRDefault="009E0A9E" w:rsidP="009E0A9E">
      <w:pPr>
        <w:spacing w:line="276" w:lineRule="auto"/>
        <w:ind w:left="709"/>
        <w:jc w:val="both"/>
        <w:rPr>
          <w:rFonts w:ascii="Arial" w:eastAsia="Calibri" w:hAnsi="Arial" w:cs="Arial"/>
          <w:sz w:val="22"/>
          <w:szCs w:val="22"/>
          <w:lang w:val="es-VE"/>
        </w:rPr>
      </w:pPr>
    </w:p>
    <w:p w14:paraId="7378A783"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La Defensoría del Pueblo cooperará con la cartera de Estado a cargo de los temas de justicia y derechos humanos y las otras que conforman el Organismo Técnico para que el diseño, elaboración, ejecución y evaluación de las políticas públicas del sistema de rehabilitación social tengan un enfoque de pleno respeto a los derechos humanos.</w:t>
      </w:r>
    </w:p>
    <w:p w14:paraId="76BF3BB5" w14:textId="1AE0BF0B" w:rsidR="009E0A9E"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A través del Mecanismo Nacional de Prevención de la Tortura de la Defensoría del Pueblo se realizarán visitas con la finalidad de vigilar las condiciones de los Centros de Rehabilitación Social, identificar posibles situaciones violatorias a los derechos fundamentales y recomendar a la Dirección del Centro, a la cartera de Estado a cargo de los temas de justicia y derechos humanos y al Organismo Técnico, se tomen medidas para evitarlas o corregirlas.</w:t>
      </w:r>
    </w:p>
    <w:p w14:paraId="1D654D32" w14:textId="77777777" w:rsidR="009F04C3" w:rsidRPr="00775AE5" w:rsidRDefault="009F04C3" w:rsidP="009E0A9E">
      <w:pPr>
        <w:spacing w:line="276" w:lineRule="auto"/>
        <w:ind w:left="709"/>
        <w:jc w:val="both"/>
        <w:rPr>
          <w:rFonts w:ascii="Arial" w:eastAsia="Calibri" w:hAnsi="Arial" w:cs="Arial"/>
          <w:sz w:val="22"/>
          <w:szCs w:val="22"/>
          <w:lang w:val="es-ES"/>
        </w:rPr>
      </w:pPr>
    </w:p>
    <w:p w14:paraId="216276FB"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Durante las visitas, el Mecanismo Nacional de Prevención de la Tortura de la Defensoría actuará conforme con el Protocolo Facultativo a la Convención contra la Tortura y otros Tratos o Penas Crueles, Inhumanos o Degradantes.</w:t>
      </w:r>
    </w:p>
    <w:p w14:paraId="597B482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98B2F1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Una vez aprobada la Ley Orgánica de la Defensoría del Pueblo, el 12 de marzo de 2020, mediante Resolución Nro. 009-DPE-CGAJ-2020, la Defensoría del Pueblo expidió el nuevo Estatuto Orgánico de Gestión Organizacional por Procesos de la Defensoría del Pueblo. El Estatuto en mención establece una nueva estructura institucional, en la que el Mecanismo Nacional de Prevención de la Tortura ha sido ubicado dentro de la gestión general de prevención y promoción de derechos humanos. El Estatuto señala que el Mecanismo Nacional de Prevención contra la Tortura y otros tratos o penas crueles, inhumanos y degradantes tendrán como misión:</w:t>
      </w:r>
    </w:p>
    <w:p w14:paraId="1B9A9765" w14:textId="77777777" w:rsidR="009E0A9E" w:rsidRPr="00775AE5" w:rsidRDefault="009E0A9E" w:rsidP="009E0A9E">
      <w:pPr>
        <w:spacing w:line="276" w:lineRule="auto"/>
        <w:ind w:left="709"/>
        <w:jc w:val="both"/>
        <w:rPr>
          <w:rFonts w:ascii="Arial" w:eastAsia="Calibri" w:hAnsi="Arial" w:cs="Arial"/>
          <w:sz w:val="22"/>
          <w:szCs w:val="22"/>
          <w:lang w:val="es-ES"/>
        </w:rPr>
      </w:pPr>
    </w:p>
    <w:p w14:paraId="14AEB1D8"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Dirigir, planificar y ejecutar acciones que permitan prevenir la tortura y otros tratos crueles, inhumanos o degradantes, en los lugares de privación de libertad, públicos o privados, a través de estrategias que involucren visitas periódicas, recomendaciones a autoridades competentes, propuestas u observaciones a la normativa o políticas públicas en la materia, acciones judiciales; y, difusión de su mandato, para mejorar el trato a las personas privadas de libertad, las condiciones de su internamiento y, de ser el caso, promover la reparación integral de sus derechos.</w:t>
      </w:r>
    </w:p>
    <w:p w14:paraId="0CE96F2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2591FA6" w14:textId="42ADA10B"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Por consiguiente, en función de la misión establecida por el nuevo Estatuto, se incorporan nuevas atribuciones y responsabilidades, adicionales a las establecidas en el Protocolo Facultativo para el MNPT, sobre todo en lo referente a protección de los derechos de las personas privadas de libertad. De esta forma, el MNPT, a partir de la </w:t>
      </w:r>
      <w:r w:rsidR="009F04C3" w:rsidRPr="00775AE5">
        <w:rPr>
          <w:rFonts w:ascii="Arial" w:eastAsia="DejaVu Sans" w:hAnsi="Arial" w:cs="Arial"/>
          <w:sz w:val="22"/>
          <w:szCs w:val="22"/>
          <w:lang w:val="es-VE" w:eastAsia="es-EC"/>
        </w:rPr>
        <w:t>entrada en vigor</w:t>
      </w:r>
      <w:r w:rsidRPr="00775AE5">
        <w:rPr>
          <w:rFonts w:ascii="Arial" w:eastAsia="DejaVu Sans" w:hAnsi="Arial" w:cs="Arial"/>
          <w:sz w:val="22"/>
          <w:szCs w:val="22"/>
          <w:lang w:val="es-VE" w:eastAsia="es-EC"/>
        </w:rPr>
        <w:t xml:space="preserve"> del Estatuto, está a cargo de:</w:t>
      </w:r>
    </w:p>
    <w:p w14:paraId="60201B4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 </w:t>
      </w:r>
    </w:p>
    <w:p w14:paraId="4AC2D233"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Atribuciones y responsabilidades</w:t>
      </w:r>
    </w:p>
    <w:p w14:paraId="2F06C7D8" w14:textId="77777777" w:rsidR="009E0A9E" w:rsidRPr="00775AE5" w:rsidRDefault="009E0A9E" w:rsidP="009E0A9E">
      <w:pPr>
        <w:spacing w:line="276" w:lineRule="auto"/>
        <w:ind w:left="709"/>
        <w:jc w:val="both"/>
        <w:rPr>
          <w:rFonts w:ascii="Arial" w:eastAsia="Calibri" w:hAnsi="Arial" w:cs="Arial"/>
          <w:sz w:val="22"/>
          <w:szCs w:val="22"/>
          <w:lang w:val="es-ES"/>
        </w:rPr>
      </w:pPr>
    </w:p>
    <w:p w14:paraId="322D70BA"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Dirigir y coordinar acciones para la generación de estrategias, directrices, lineamientos y procedimientos para la prevención, protección y promoción de los derechos de las personas privadas de libertad;</w:t>
      </w:r>
      <w:r w:rsidRPr="00775AE5">
        <w:rPr>
          <w:rFonts w:ascii="Arial" w:eastAsia="Calibri" w:hAnsi="Arial" w:cs="Arial"/>
          <w:sz w:val="22"/>
          <w:szCs w:val="22"/>
          <w:lang w:val="es-ES"/>
        </w:rPr>
        <w:tab/>
      </w:r>
    </w:p>
    <w:p w14:paraId="144A5F72"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Gestionar la implementación de estrategias, directrices, lineamientos y procedimientos para la prevención, protección y promoción de los derechos de las personas privadas de libertad en las Delegaciones Provinciales y del Exterior;</w:t>
      </w:r>
      <w:r w:rsidRPr="00775AE5">
        <w:rPr>
          <w:rFonts w:ascii="Arial" w:eastAsia="Calibri" w:hAnsi="Arial" w:cs="Arial"/>
          <w:sz w:val="22"/>
          <w:szCs w:val="22"/>
          <w:lang w:val="es-ES"/>
        </w:rPr>
        <w:tab/>
      </w:r>
    </w:p>
    <w:p w14:paraId="043C6405"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Realizar el seguimiento y la evaluación de las estrategias para la prevención, protección y promoción de los derechos de las personas privadas de la libertad;</w:t>
      </w:r>
      <w:r w:rsidRPr="00775AE5">
        <w:rPr>
          <w:rFonts w:ascii="Arial" w:eastAsia="Calibri" w:hAnsi="Arial" w:cs="Arial"/>
          <w:sz w:val="22"/>
          <w:szCs w:val="22"/>
          <w:lang w:val="es-ES"/>
        </w:rPr>
        <w:tab/>
      </w:r>
    </w:p>
    <w:p w14:paraId="1BD5D1DC"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Asesorar a las Delegaciones Provinciales y del Exterior en la implementación de estrategias, directrices, lineamientos y procedimientos para la atención de situaciones de vulneración de los derechos de las personas privadas de la libertad;</w:t>
      </w:r>
      <w:r w:rsidRPr="00775AE5">
        <w:rPr>
          <w:rFonts w:ascii="Arial" w:eastAsia="Calibri" w:hAnsi="Arial" w:cs="Arial"/>
          <w:sz w:val="22"/>
          <w:szCs w:val="22"/>
          <w:lang w:val="es-ES"/>
        </w:rPr>
        <w:tab/>
      </w:r>
    </w:p>
    <w:p w14:paraId="74E0A7AE"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Participar en la formulación de proyectos de política pública y normativa en materia de derechos de las personas privadas de la libertad;</w:t>
      </w:r>
    </w:p>
    <w:p w14:paraId="698DB858"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Proponer y diseñar estrategias para la prevención y protección de los derechos de las personas privadas de la libertad con énfasis en situaciones generalizadas, sistemáticas o de relevancia social nacional;</w:t>
      </w:r>
      <w:r w:rsidRPr="00775AE5">
        <w:rPr>
          <w:rFonts w:ascii="Arial" w:eastAsia="Calibri" w:hAnsi="Arial" w:cs="Arial"/>
          <w:sz w:val="22"/>
          <w:szCs w:val="22"/>
          <w:lang w:val="es-ES"/>
        </w:rPr>
        <w:tab/>
      </w:r>
    </w:p>
    <w:p w14:paraId="7CE5E4CD"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Proponer y diseñar directrices y lineamientos para la prevención y protección de los derechos de las personas privadas de la libertad;</w:t>
      </w:r>
      <w:r w:rsidRPr="00775AE5">
        <w:rPr>
          <w:rFonts w:ascii="Arial" w:eastAsia="Calibri" w:hAnsi="Arial" w:cs="Arial"/>
          <w:sz w:val="22"/>
          <w:szCs w:val="22"/>
          <w:lang w:val="es-ES"/>
        </w:rPr>
        <w:tab/>
      </w:r>
    </w:p>
    <w:p w14:paraId="1A878EB3"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Patrocinar, de oficio o a petición de parte, las garantías jurisdiccionales de casos relacionados a personas privadas de la libertad que sean generalizados, sistemáticos o de relevancia social nacional;</w:t>
      </w:r>
      <w:r w:rsidRPr="00775AE5">
        <w:rPr>
          <w:rFonts w:ascii="Arial" w:eastAsia="Calibri" w:hAnsi="Arial" w:cs="Arial"/>
          <w:sz w:val="22"/>
          <w:szCs w:val="22"/>
          <w:lang w:val="es-ES"/>
        </w:rPr>
        <w:tab/>
      </w:r>
    </w:p>
    <w:p w14:paraId="5D7A372D"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Elaborar propuestas de medidas de cumplimiento obligatorio e inmediato en materia de protección de los derechos de las personas privadas de la libertad, con especial énfasis en casos generalizados, sistemáticos o de relevancia social;</w:t>
      </w:r>
      <w:r w:rsidRPr="00775AE5">
        <w:rPr>
          <w:rFonts w:ascii="Arial" w:eastAsia="Calibri" w:hAnsi="Arial" w:cs="Arial"/>
          <w:sz w:val="22"/>
          <w:szCs w:val="22"/>
          <w:lang w:val="es-ES"/>
        </w:rPr>
        <w:tab/>
      </w:r>
    </w:p>
    <w:p w14:paraId="34A3A47F"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Dirigir y ejecutar los procesos de denuncia o demanda por incumplimiento de medidas de cumplimiento obligatorio e inmediato en materia de protección de los derechos de las personas privadas de la libertad;</w:t>
      </w:r>
    </w:p>
    <w:p w14:paraId="04EA6C3D"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Elaborar y emitir alertas, dictámenes, recomendaciones, informes, exhortos, propuestas o informes sobre acciones u omisiones de las instituciones del Estado en cuestiones relativas a la prevención y promoción de los derechos de las personas privadas de la libertad;</w:t>
      </w:r>
      <w:r w:rsidRPr="00775AE5">
        <w:rPr>
          <w:rFonts w:ascii="Arial" w:eastAsia="Calibri" w:hAnsi="Arial" w:cs="Arial"/>
          <w:sz w:val="22"/>
          <w:szCs w:val="22"/>
          <w:lang w:val="es-ES"/>
        </w:rPr>
        <w:tab/>
      </w:r>
    </w:p>
    <w:p w14:paraId="30471A4E"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Conocer y pronunciarse sobre violaciones o posibles violaciones a los derechos de las personas privadas de la libertad;</w:t>
      </w:r>
      <w:r w:rsidRPr="00775AE5">
        <w:rPr>
          <w:rFonts w:ascii="Arial" w:eastAsia="Calibri" w:hAnsi="Arial" w:cs="Arial"/>
          <w:sz w:val="22"/>
          <w:szCs w:val="22"/>
          <w:lang w:val="es-ES"/>
        </w:rPr>
        <w:tab/>
      </w:r>
    </w:p>
    <w:p w14:paraId="32C8FA61"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Activar los mecanismos internacionales de protección de derechos a favor de las personas privadas de la libertad;</w:t>
      </w:r>
    </w:p>
    <w:p w14:paraId="633A1F1F"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Solicitar a la Corte Constitucional la selección de sentencias para jurisprudencia vinculante;</w:t>
      </w:r>
      <w:r w:rsidRPr="00775AE5">
        <w:rPr>
          <w:rFonts w:ascii="Arial" w:eastAsia="Calibri" w:hAnsi="Arial" w:cs="Arial"/>
          <w:sz w:val="22"/>
          <w:szCs w:val="22"/>
          <w:lang w:val="es-ES"/>
        </w:rPr>
        <w:tab/>
      </w:r>
    </w:p>
    <w:p w14:paraId="47C8D7D4"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Elaborar proyectos de demanda de inconstitucionalidad a normas que afecten los derechos de las personas privadas de la libertad;</w:t>
      </w:r>
      <w:r w:rsidRPr="00775AE5">
        <w:rPr>
          <w:rFonts w:ascii="Arial" w:eastAsia="Calibri" w:hAnsi="Arial" w:cs="Arial"/>
          <w:sz w:val="22"/>
          <w:szCs w:val="22"/>
          <w:lang w:val="es-ES"/>
        </w:rPr>
        <w:tab/>
      </w:r>
    </w:p>
    <w:p w14:paraId="7F0CCB9C"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Consolidar y reportar las sentencias emblemáticas de garantías jurisdiccionales a la Coordinación General de Prevención y Promoción de Derechos Humanos;</w:t>
      </w:r>
      <w:r w:rsidRPr="00775AE5">
        <w:rPr>
          <w:rFonts w:ascii="Arial" w:eastAsia="Calibri" w:hAnsi="Arial" w:cs="Arial"/>
          <w:sz w:val="22"/>
          <w:szCs w:val="22"/>
          <w:lang w:val="es-ES"/>
        </w:rPr>
        <w:tab/>
      </w:r>
    </w:p>
    <w:p w14:paraId="28EC1995"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Diseñar e implementar guías o instrumentos metodológicos del Mecanismo Nacional de Prevención de la Tortura para la ejecución de las visitas a los lugares de privación de libertad;</w:t>
      </w:r>
      <w:r w:rsidRPr="00775AE5">
        <w:rPr>
          <w:rFonts w:ascii="Arial" w:eastAsia="Calibri" w:hAnsi="Arial" w:cs="Arial"/>
          <w:sz w:val="22"/>
          <w:szCs w:val="22"/>
          <w:lang w:val="es-ES"/>
        </w:rPr>
        <w:tab/>
      </w:r>
    </w:p>
    <w:p w14:paraId="049E30FD"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Planificar, coordinar y ejecutar visitas pormenorizadas, coyunturales o de seguimiento, de manera periódica, sin previo aviso, a cualquier lugar de privación de libertad; y, de requerirlo, solicitar el apoyo a las Delegaciones Provinciales;</w:t>
      </w:r>
      <w:r w:rsidRPr="00775AE5">
        <w:rPr>
          <w:rFonts w:ascii="Arial" w:eastAsia="Calibri" w:hAnsi="Arial" w:cs="Arial"/>
          <w:sz w:val="22"/>
          <w:szCs w:val="22"/>
          <w:lang w:val="es-ES"/>
        </w:rPr>
        <w:tab/>
      </w:r>
    </w:p>
    <w:p w14:paraId="43CA14CE"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Sistematizar e informar las denuncias recibidas a nivel nacional para la construcción de estadísticas, sin perjudicar la confidencialidad que tienen la naturaleza del tipo de causas;</w:t>
      </w:r>
    </w:p>
    <w:p w14:paraId="3A8CF3D6"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Efectuar recomendaciones especializadas a las autoridades competentes a fin de mejorar el trato y las condiciones en los lugares de privación de libertad y realizar el seguimiento a dichas recomendaciones realizadas;</w:t>
      </w:r>
      <w:r w:rsidRPr="00775AE5">
        <w:rPr>
          <w:rFonts w:ascii="Arial" w:eastAsia="Calibri" w:hAnsi="Arial" w:cs="Arial"/>
          <w:sz w:val="22"/>
          <w:szCs w:val="22"/>
          <w:lang w:val="es-ES"/>
        </w:rPr>
        <w:tab/>
      </w:r>
    </w:p>
    <w:p w14:paraId="4C7319C8"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Proponer, coordinar e implementar acciones con instancias de la sociedad civil a fin de fortalecer la prevención de la tortura, tratos crueles, inhumanos y degradantes;</w:t>
      </w:r>
      <w:r w:rsidRPr="00775AE5">
        <w:rPr>
          <w:rFonts w:ascii="Arial" w:eastAsia="Calibri" w:hAnsi="Arial" w:cs="Arial"/>
          <w:sz w:val="22"/>
          <w:szCs w:val="22"/>
          <w:lang w:val="es-ES"/>
        </w:rPr>
        <w:tab/>
      </w:r>
    </w:p>
    <w:p w14:paraId="76B0DA9B"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Desarrollar e implementar mecanismos de cooperación y/o asistencia técnica con organismos internacionales de derechos humanos, en especial con el Subcomité de la Prevención de la Tortura de ONU, en relación a la prevención de la tortura;</w:t>
      </w:r>
    </w:p>
    <w:p w14:paraId="79BF5B0D"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Proponer, coordinar e implementar acciones, iniciativas o modificaciones de política pública dirigidas a fortalecer la prevención de la tortura, tratos crueles, inhumanos o degradantes;</w:t>
      </w:r>
      <w:r w:rsidRPr="00775AE5">
        <w:rPr>
          <w:rFonts w:ascii="Arial" w:eastAsia="Calibri" w:hAnsi="Arial" w:cs="Arial"/>
          <w:sz w:val="22"/>
          <w:szCs w:val="22"/>
          <w:lang w:val="es-ES"/>
        </w:rPr>
        <w:tab/>
      </w:r>
    </w:p>
    <w:p w14:paraId="3D14ED8C"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Apoyar en la elaboración del informe anual de gestión del mecanismo de la prevención de la tortura, tratos crueles, inhumanos o degradantes;</w:t>
      </w:r>
      <w:r w:rsidRPr="00775AE5">
        <w:rPr>
          <w:rFonts w:ascii="Arial" w:eastAsia="Calibri" w:hAnsi="Arial" w:cs="Arial"/>
          <w:sz w:val="22"/>
          <w:szCs w:val="22"/>
          <w:lang w:val="es-ES"/>
        </w:rPr>
        <w:tab/>
      </w:r>
    </w:p>
    <w:p w14:paraId="66E9D605" w14:textId="00E34DE1"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 xml:space="preserve">Brindar asistencia técnica a instituciones públicas y </w:t>
      </w:r>
      <w:r w:rsidR="00CA38EB" w:rsidRPr="00775AE5">
        <w:rPr>
          <w:rFonts w:ascii="Arial" w:eastAsia="Calibri" w:hAnsi="Arial" w:cs="Arial"/>
          <w:sz w:val="22"/>
          <w:szCs w:val="22"/>
          <w:lang w:val="es-ES"/>
        </w:rPr>
        <w:t>privadas,</w:t>
      </w:r>
      <w:r w:rsidRPr="00775AE5">
        <w:rPr>
          <w:rFonts w:ascii="Arial" w:eastAsia="Calibri" w:hAnsi="Arial" w:cs="Arial"/>
          <w:sz w:val="22"/>
          <w:szCs w:val="22"/>
          <w:lang w:val="es-ES"/>
        </w:rPr>
        <w:t xml:space="preserve"> así como a las Delegaciones Provinciales sobre la prevención de la tortura, tratos crueles, inhumanos o degradantes;</w:t>
      </w:r>
    </w:p>
    <w:p w14:paraId="33C46691"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Supervisar la ejecución de medidas cautelares otorgadas, por petición judicial;</w:t>
      </w:r>
    </w:p>
    <w:p w14:paraId="109F9FF8"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Realizar el seguimiento de las sentencias o acuerdos reparatorios que se emitan en las garantías jurisdiccionales únicamente en los casos en que los jueces constitucionales expresamente lo deleguen;</w:t>
      </w:r>
    </w:p>
    <w:p w14:paraId="56C8B805" w14:textId="77777777" w:rsidR="009E0A9E" w:rsidRPr="00775AE5" w:rsidRDefault="009E0A9E" w:rsidP="009E0A9E">
      <w:pPr>
        <w:numPr>
          <w:ilvl w:val="0"/>
          <w:numId w:val="9"/>
        </w:numPr>
        <w:spacing w:line="276" w:lineRule="auto"/>
        <w:ind w:left="1080"/>
        <w:jc w:val="both"/>
        <w:rPr>
          <w:rFonts w:ascii="Arial" w:eastAsia="Calibri" w:hAnsi="Arial" w:cs="Arial"/>
          <w:sz w:val="22"/>
          <w:szCs w:val="22"/>
          <w:lang w:val="es-ES"/>
        </w:rPr>
      </w:pPr>
      <w:r w:rsidRPr="00775AE5">
        <w:rPr>
          <w:rFonts w:ascii="Arial" w:eastAsia="Calibri" w:hAnsi="Arial" w:cs="Arial"/>
          <w:sz w:val="22"/>
          <w:szCs w:val="22"/>
          <w:lang w:val="es-ES"/>
        </w:rPr>
        <w:t>Ejercer las demás atribuciones y responsabilidades que le asignará las autoridades institucionales, leyes y reglamentos.</w:t>
      </w:r>
    </w:p>
    <w:p w14:paraId="6D488A3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2EBE14A"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De esta forma, el MNPT actualmente realiza acciones no solo para la prevención de la tortura y para la promoción de los derechos de las personas privadas de libertad, sino que también ejerce sus competencias en materia de protección. Entre dichas acciones en el ámbito de protección, el Mecanismo podrá: patrocinar de oficio o a petición de parte, garantías jurisdiccionales de casos relacionados a derechos de las personas privadas de libertad, conocer y pronunciarse sobre violaciones o posibles violaciones a los derechos de personas privadas de libertad, sistematizar e informar las denuncias recibidas a nivel nacional para la construcción de estadísticas, entre otros.</w:t>
      </w:r>
    </w:p>
    <w:p w14:paraId="7E2E7E1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8A73621" w14:textId="77777777" w:rsidR="009E0A9E" w:rsidRPr="00775AE5" w:rsidRDefault="009E0A9E" w:rsidP="009E0A9E">
      <w:pPr>
        <w:pStyle w:val="Default"/>
        <w:jc w:val="both"/>
        <w:rPr>
          <w:rFonts w:ascii="Arial" w:eastAsia="Times New Roman" w:hAnsi="Arial" w:cs="Arial"/>
          <w:sz w:val="22"/>
          <w:szCs w:val="22"/>
          <w:lang w:val="es-MX"/>
        </w:rPr>
      </w:pPr>
      <w:r w:rsidRPr="00775AE5">
        <w:rPr>
          <w:rFonts w:ascii="Arial" w:eastAsia="DejaVu Sans" w:hAnsi="Arial" w:cs="Arial"/>
          <w:sz w:val="22"/>
          <w:szCs w:val="22"/>
          <w:lang w:val="es-VE" w:eastAsia="es-EC"/>
        </w:rPr>
        <w:t xml:space="preserve">Esto precisamente fue observado por </w:t>
      </w:r>
      <w:r w:rsidRPr="00775AE5">
        <w:rPr>
          <w:rFonts w:ascii="Arial" w:eastAsia="Times New Roman" w:hAnsi="Arial" w:cs="Arial"/>
          <w:sz w:val="22"/>
          <w:szCs w:val="22"/>
          <w:lang w:val="es-MX"/>
        </w:rPr>
        <w:t>El Subcomité de Prevención de la Tortura en su informe de la visita a Ecuador del 25 de septiembre al 1 de octubre de 2022 (CAT/OP/ECU/ROSP/R.1), indica los problemas relacionados a la falta de normativa específica del MNTP y en particular del fortalecimiento de su rol como mecanismo preventivo.</w:t>
      </w:r>
    </w:p>
    <w:p w14:paraId="21D475D1" w14:textId="77777777" w:rsidR="009E0A9E" w:rsidRPr="00775AE5" w:rsidRDefault="009E0A9E" w:rsidP="009E0A9E">
      <w:pPr>
        <w:autoSpaceDE w:val="0"/>
        <w:autoSpaceDN w:val="0"/>
        <w:adjustRightInd w:val="0"/>
        <w:ind w:left="720"/>
        <w:jc w:val="both"/>
        <w:rPr>
          <w:rFonts w:ascii="Arial" w:eastAsia="Calibri" w:hAnsi="Arial" w:cs="Arial"/>
          <w:sz w:val="22"/>
          <w:szCs w:val="22"/>
          <w:lang w:val="es-ES"/>
        </w:rPr>
      </w:pPr>
      <w:r w:rsidRPr="00775AE5">
        <w:rPr>
          <w:rFonts w:ascii="Arial" w:eastAsia="Calibri" w:hAnsi="Arial" w:cs="Arial"/>
          <w:sz w:val="22"/>
          <w:szCs w:val="22"/>
          <w:lang w:val="es-ES"/>
        </w:rPr>
        <w:t xml:space="preserve">38. La independencia funcional es la disposición fundamental, y el rasgo quizás más relevante, que determina la eficacia del MNP. El Protocolo Facultativo es inequívoco en cuanto a la independencia funcional de los mecanismos nacionales de prevención, así como la independencia de su personal10. La independencia funcional incluye el mandato legislativo, así como la independencia operativa y financiera. Según la Guía Práctica para los </w:t>
      </w:r>
      <w:proofErr w:type="spellStart"/>
      <w:r w:rsidRPr="00775AE5">
        <w:rPr>
          <w:rFonts w:ascii="Arial" w:eastAsia="Calibri" w:hAnsi="Arial" w:cs="Arial"/>
          <w:sz w:val="22"/>
          <w:szCs w:val="22"/>
          <w:lang w:val="es-ES"/>
        </w:rPr>
        <w:t>MNPs</w:t>
      </w:r>
      <w:proofErr w:type="spellEnd"/>
      <w:r w:rsidRPr="00775AE5">
        <w:rPr>
          <w:rFonts w:ascii="Arial" w:eastAsia="Calibri" w:hAnsi="Arial" w:cs="Arial"/>
          <w:sz w:val="22"/>
          <w:szCs w:val="22"/>
          <w:lang w:val="es-ES"/>
        </w:rPr>
        <w:t xml:space="preserve"> de ACNUDH, “no se debe pretender que los MNP desempeñen mandatos adicionales que puedan poner en conflicto o comprometer el mandato del OPCAT, como por ejemplo la resolución de quejas, la persecución de delitos o un mandato administrativo (como la administración de prisiones)”11. Sin embargo, a pesar del mandato preventivo que le otorga la legislación al MNP, el SPT entiende que al MNP se le han asignado dentro de la Defensoría del Pueblo tareas adicionales que lo alejan de los fines preventivos previstos por el OPCAT. </w:t>
      </w:r>
    </w:p>
    <w:p w14:paraId="6EB8A6F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ES" w:eastAsia="es-EC"/>
        </w:rPr>
      </w:pPr>
    </w:p>
    <w:p w14:paraId="3CEB56D5"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B6F0D43" w14:textId="77777777" w:rsidR="009E0A9E" w:rsidRPr="00775AE5" w:rsidRDefault="009E0A9E" w:rsidP="009F04C3">
      <w:pPr>
        <w:pStyle w:val="Heading4"/>
        <w:spacing w:before="0" w:after="0" w:line="276" w:lineRule="auto"/>
        <w:ind w:firstLine="567"/>
        <w:rPr>
          <w:rFonts w:ascii="Arial" w:hAnsi="Arial" w:cs="Arial"/>
          <w:i w:val="0"/>
          <w:sz w:val="22"/>
          <w:szCs w:val="22"/>
          <w:lang w:val="es-ES"/>
        </w:rPr>
      </w:pPr>
      <w:r w:rsidRPr="00775AE5">
        <w:rPr>
          <w:rFonts w:ascii="Arial" w:hAnsi="Arial" w:cs="Arial"/>
          <w:i w:val="0"/>
          <w:sz w:val="22"/>
          <w:szCs w:val="22"/>
          <w:lang w:val="es-ES"/>
        </w:rPr>
        <w:t>1.1 Recursos destinados al MNPT</w:t>
      </w:r>
    </w:p>
    <w:p w14:paraId="5E5C7BA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D01D93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En cuanto a los recursos para el pago de salarios del personal parte del MNPT, los mismos se describen en la tabla siguiente:</w:t>
      </w:r>
    </w:p>
    <w:p w14:paraId="6AF606DD" w14:textId="77777777" w:rsidR="009E0A9E" w:rsidRPr="00775AE5" w:rsidRDefault="009E0A9E" w:rsidP="009E0A9E">
      <w:pPr>
        <w:spacing w:line="276" w:lineRule="auto"/>
        <w:rPr>
          <w:rFonts w:ascii="Arial" w:eastAsia="Calibri" w:hAnsi="Arial" w:cs="Arial"/>
          <w:sz w:val="22"/>
          <w:szCs w:val="22"/>
          <w:highlight w:val="yellow"/>
          <w:lang w:val="es-ES"/>
        </w:rPr>
      </w:pPr>
    </w:p>
    <w:p w14:paraId="7B7232DC" w14:textId="77777777" w:rsidR="009E0A9E" w:rsidRPr="00775AE5" w:rsidRDefault="009E0A9E" w:rsidP="009F04C3">
      <w:pPr>
        <w:spacing w:line="276" w:lineRule="auto"/>
        <w:jc w:val="center"/>
        <w:rPr>
          <w:rFonts w:ascii="Arial" w:eastAsia="Calibri" w:hAnsi="Arial" w:cs="Arial"/>
          <w:sz w:val="22"/>
          <w:szCs w:val="22"/>
          <w:lang w:val="es-ES"/>
        </w:rPr>
      </w:pPr>
      <w:r w:rsidRPr="00775AE5">
        <w:rPr>
          <w:rFonts w:ascii="Arial" w:eastAsia="Calibri" w:hAnsi="Arial" w:cs="Arial"/>
          <w:sz w:val="22"/>
          <w:szCs w:val="22"/>
          <w:lang w:val="es-ES"/>
        </w:rPr>
        <w:t>Tabla 1</w:t>
      </w:r>
    </w:p>
    <w:p w14:paraId="67161562" w14:textId="77777777" w:rsidR="009E0A9E" w:rsidRPr="00775AE5" w:rsidRDefault="009E0A9E" w:rsidP="009E0A9E">
      <w:pPr>
        <w:spacing w:line="276" w:lineRule="auto"/>
        <w:rPr>
          <w:rFonts w:ascii="Arial" w:eastAsia="Calibri" w:hAnsi="Arial" w:cs="Arial"/>
          <w:i/>
          <w:sz w:val="22"/>
          <w:szCs w:val="22"/>
          <w:lang w:val="es-ES"/>
        </w:rPr>
      </w:pPr>
    </w:p>
    <w:p w14:paraId="553F4D5B" w14:textId="77777777" w:rsidR="009E0A9E" w:rsidRPr="00775AE5" w:rsidRDefault="009E0A9E" w:rsidP="009F04C3">
      <w:pPr>
        <w:spacing w:line="276" w:lineRule="auto"/>
        <w:jc w:val="center"/>
        <w:rPr>
          <w:rFonts w:ascii="Arial" w:eastAsia="Calibri" w:hAnsi="Arial" w:cs="Arial"/>
          <w:i/>
          <w:sz w:val="22"/>
          <w:szCs w:val="22"/>
          <w:lang w:val="es-ES"/>
        </w:rPr>
      </w:pPr>
      <w:r w:rsidRPr="00775AE5">
        <w:rPr>
          <w:rFonts w:ascii="Arial" w:eastAsia="Calibri" w:hAnsi="Arial" w:cs="Arial"/>
          <w:i/>
          <w:sz w:val="22"/>
          <w:szCs w:val="22"/>
          <w:lang w:val="es-ES"/>
        </w:rPr>
        <w:t>Presupuesto asignado de salarios para el MNPT</w:t>
      </w:r>
    </w:p>
    <w:tbl>
      <w:tblPr>
        <w:tblStyle w:val="TableGrid"/>
        <w:tblW w:w="0" w:type="auto"/>
        <w:jc w:val="center"/>
        <w:tblLook w:val="04A0" w:firstRow="1" w:lastRow="0" w:firstColumn="1" w:lastColumn="0" w:noHBand="0" w:noVBand="1"/>
      </w:tblPr>
      <w:tblGrid>
        <w:gridCol w:w="706"/>
        <w:gridCol w:w="2540"/>
        <w:gridCol w:w="2612"/>
      </w:tblGrid>
      <w:tr w:rsidR="009E0A9E" w:rsidRPr="00775AE5" w14:paraId="526455C7" w14:textId="77777777" w:rsidTr="00525437">
        <w:trPr>
          <w:trHeight w:val="541"/>
          <w:jc w:val="center"/>
        </w:trPr>
        <w:tc>
          <w:tcPr>
            <w:tcW w:w="0" w:type="auto"/>
            <w:noWrap/>
            <w:hideMark/>
          </w:tcPr>
          <w:p w14:paraId="78878674" w14:textId="77777777" w:rsidR="009E0A9E" w:rsidRPr="00775AE5" w:rsidRDefault="009E0A9E" w:rsidP="00525437">
            <w:pPr>
              <w:spacing w:line="276" w:lineRule="auto"/>
              <w:jc w:val="center"/>
              <w:rPr>
                <w:rFonts w:ascii="Arial" w:hAnsi="Arial" w:cs="Arial"/>
                <w:b/>
                <w:bCs/>
                <w:sz w:val="22"/>
                <w:szCs w:val="22"/>
                <w:lang w:val="es-EC" w:eastAsia="es-EC"/>
              </w:rPr>
            </w:pPr>
            <w:r w:rsidRPr="00775AE5">
              <w:rPr>
                <w:rFonts w:ascii="Arial" w:hAnsi="Arial" w:cs="Arial"/>
                <w:b/>
                <w:bCs/>
                <w:sz w:val="22"/>
                <w:szCs w:val="22"/>
                <w:lang w:val="es-EC" w:eastAsia="es-EC"/>
              </w:rPr>
              <w:t>AÑO</w:t>
            </w:r>
          </w:p>
        </w:tc>
        <w:tc>
          <w:tcPr>
            <w:tcW w:w="0" w:type="auto"/>
            <w:hideMark/>
          </w:tcPr>
          <w:p w14:paraId="023E0DA6" w14:textId="77777777" w:rsidR="009E0A9E" w:rsidRPr="00775AE5" w:rsidRDefault="009E0A9E" w:rsidP="00525437">
            <w:pPr>
              <w:spacing w:line="276" w:lineRule="auto"/>
              <w:jc w:val="center"/>
              <w:rPr>
                <w:rFonts w:ascii="Arial" w:hAnsi="Arial" w:cs="Arial"/>
                <w:b/>
                <w:bCs/>
                <w:sz w:val="22"/>
                <w:szCs w:val="22"/>
                <w:lang w:val="es-EC" w:eastAsia="es-EC"/>
              </w:rPr>
            </w:pPr>
            <w:r w:rsidRPr="00775AE5">
              <w:rPr>
                <w:rFonts w:ascii="Arial" w:hAnsi="Arial" w:cs="Arial"/>
                <w:b/>
                <w:bCs/>
                <w:sz w:val="22"/>
                <w:szCs w:val="22"/>
                <w:lang w:val="es-EC" w:eastAsia="es-EC"/>
              </w:rPr>
              <w:t>Número de servidores</w:t>
            </w:r>
          </w:p>
        </w:tc>
        <w:tc>
          <w:tcPr>
            <w:tcW w:w="0" w:type="auto"/>
            <w:hideMark/>
          </w:tcPr>
          <w:p w14:paraId="219E5660" w14:textId="77777777" w:rsidR="009E0A9E" w:rsidRPr="00775AE5" w:rsidRDefault="009E0A9E" w:rsidP="00525437">
            <w:pPr>
              <w:spacing w:line="276" w:lineRule="auto"/>
              <w:jc w:val="center"/>
              <w:rPr>
                <w:rFonts w:ascii="Arial" w:hAnsi="Arial" w:cs="Arial"/>
                <w:b/>
                <w:bCs/>
                <w:sz w:val="22"/>
                <w:szCs w:val="22"/>
                <w:lang w:val="es-EC" w:eastAsia="es-EC"/>
              </w:rPr>
            </w:pPr>
            <w:r w:rsidRPr="00775AE5">
              <w:rPr>
                <w:rFonts w:ascii="Arial" w:hAnsi="Arial" w:cs="Arial"/>
                <w:b/>
                <w:bCs/>
                <w:sz w:val="22"/>
                <w:szCs w:val="22"/>
                <w:lang w:val="es-EC" w:eastAsia="es-EC"/>
              </w:rPr>
              <w:t>Presupuesto Asignado</w:t>
            </w:r>
          </w:p>
        </w:tc>
      </w:tr>
      <w:tr w:rsidR="009E0A9E" w:rsidRPr="00775AE5" w14:paraId="5CE46C61" w14:textId="77777777" w:rsidTr="00525437">
        <w:trPr>
          <w:trHeight w:val="420"/>
          <w:jc w:val="center"/>
        </w:trPr>
        <w:tc>
          <w:tcPr>
            <w:tcW w:w="0" w:type="auto"/>
            <w:noWrap/>
          </w:tcPr>
          <w:p w14:paraId="6E3B86E9"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2016</w:t>
            </w:r>
          </w:p>
        </w:tc>
        <w:tc>
          <w:tcPr>
            <w:tcW w:w="0" w:type="auto"/>
            <w:noWrap/>
          </w:tcPr>
          <w:p w14:paraId="7CB38DC1"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6</w:t>
            </w:r>
          </w:p>
        </w:tc>
        <w:tc>
          <w:tcPr>
            <w:tcW w:w="0" w:type="auto"/>
            <w:noWrap/>
          </w:tcPr>
          <w:p w14:paraId="0F5221B9"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$ 167.671,52</w:t>
            </w:r>
          </w:p>
        </w:tc>
      </w:tr>
      <w:tr w:rsidR="009E0A9E" w:rsidRPr="00775AE5" w14:paraId="415248DA" w14:textId="77777777" w:rsidTr="00525437">
        <w:trPr>
          <w:trHeight w:val="420"/>
          <w:jc w:val="center"/>
        </w:trPr>
        <w:tc>
          <w:tcPr>
            <w:tcW w:w="0" w:type="auto"/>
            <w:noWrap/>
            <w:hideMark/>
          </w:tcPr>
          <w:p w14:paraId="421EAB97"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2017</w:t>
            </w:r>
          </w:p>
        </w:tc>
        <w:tc>
          <w:tcPr>
            <w:tcW w:w="0" w:type="auto"/>
            <w:noWrap/>
            <w:hideMark/>
          </w:tcPr>
          <w:p w14:paraId="2DA99E57"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7</w:t>
            </w:r>
          </w:p>
        </w:tc>
        <w:tc>
          <w:tcPr>
            <w:tcW w:w="0" w:type="auto"/>
            <w:noWrap/>
            <w:hideMark/>
          </w:tcPr>
          <w:p w14:paraId="5F2C4B51"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$ 200.962,20</w:t>
            </w:r>
          </w:p>
        </w:tc>
      </w:tr>
      <w:tr w:rsidR="009E0A9E" w:rsidRPr="00775AE5" w14:paraId="6EC43434" w14:textId="77777777" w:rsidTr="00525437">
        <w:trPr>
          <w:trHeight w:val="420"/>
          <w:jc w:val="center"/>
        </w:trPr>
        <w:tc>
          <w:tcPr>
            <w:tcW w:w="0" w:type="auto"/>
            <w:noWrap/>
            <w:hideMark/>
          </w:tcPr>
          <w:p w14:paraId="0CC1B8A7"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2018</w:t>
            </w:r>
          </w:p>
        </w:tc>
        <w:tc>
          <w:tcPr>
            <w:tcW w:w="0" w:type="auto"/>
            <w:noWrap/>
            <w:hideMark/>
          </w:tcPr>
          <w:p w14:paraId="7ED58FE4"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8</w:t>
            </w:r>
          </w:p>
        </w:tc>
        <w:tc>
          <w:tcPr>
            <w:tcW w:w="0" w:type="auto"/>
            <w:noWrap/>
            <w:hideMark/>
          </w:tcPr>
          <w:p w14:paraId="61FE2AFE"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$ 201.039,20</w:t>
            </w:r>
          </w:p>
        </w:tc>
      </w:tr>
      <w:tr w:rsidR="009E0A9E" w:rsidRPr="00775AE5" w14:paraId="6EC68CE0" w14:textId="77777777" w:rsidTr="00525437">
        <w:trPr>
          <w:trHeight w:val="420"/>
          <w:jc w:val="center"/>
        </w:trPr>
        <w:tc>
          <w:tcPr>
            <w:tcW w:w="0" w:type="auto"/>
            <w:noWrap/>
            <w:hideMark/>
          </w:tcPr>
          <w:p w14:paraId="7813983D"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2019</w:t>
            </w:r>
          </w:p>
        </w:tc>
        <w:tc>
          <w:tcPr>
            <w:tcW w:w="0" w:type="auto"/>
            <w:noWrap/>
            <w:hideMark/>
          </w:tcPr>
          <w:p w14:paraId="22C444FD"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7</w:t>
            </w:r>
          </w:p>
        </w:tc>
        <w:tc>
          <w:tcPr>
            <w:tcW w:w="0" w:type="auto"/>
            <w:noWrap/>
            <w:hideMark/>
          </w:tcPr>
          <w:p w14:paraId="5E9755E1"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$ 199.018,60</w:t>
            </w:r>
          </w:p>
        </w:tc>
      </w:tr>
      <w:tr w:rsidR="009E0A9E" w:rsidRPr="00775AE5" w14:paraId="69BF19EF" w14:textId="77777777" w:rsidTr="00525437">
        <w:trPr>
          <w:trHeight w:val="420"/>
          <w:jc w:val="center"/>
        </w:trPr>
        <w:tc>
          <w:tcPr>
            <w:tcW w:w="0" w:type="auto"/>
            <w:noWrap/>
            <w:hideMark/>
          </w:tcPr>
          <w:p w14:paraId="52175C0B"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2020</w:t>
            </w:r>
          </w:p>
        </w:tc>
        <w:tc>
          <w:tcPr>
            <w:tcW w:w="0" w:type="auto"/>
            <w:noWrap/>
            <w:hideMark/>
          </w:tcPr>
          <w:p w14:paraId="6532F6C6"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6</w:t>
            </w:r>
          </w:p>
        </w:tc>
        <w:tc>
          <w:tcPr>
            <w:tcW w:w="0" w:type="auto"/>
            <w:noWrap/>
            <w:hideMark/>
          </w:tcPr>
          <w:p w14:paraId="6F31EF88"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$187.121,43</w:t>
            </w:r>
          </w:p>
        </w:tc>
      </w:tr>
      <w:tr w:rsidR="009E0A9E" w:rsidRPr="00775AE5" w14:paraId="30B9D6F9" w14:textId="77777777" w:rsidTr="00525437">
        <w:trPr>
          <w:trHeight w:val="420"/>
          <w:jc w:val="center"/>
        </w:trPr>
        <w:tc>
          <w:tcPr>
            <w:tcW w:w="0" w:type="auto"/>
            <w:noWrap/>
          </w:tcPr>
          <w:p w14:paraId="6352C475"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2021</w:t>
            </w:r>
          </w:p>
        </w:tc>
        <w:tc>
          <w:tcPr>
            <w:tcW w:w="0" w:type="auto"/>
            <w:noWrap/>
          </w:tcPr>
          <w:p w14:paraId="7947A626"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5</w:t>
            </w:r>
          </w:p>
        </w:tc>
        <w:tc>
          <w:tcPr>
            <w:tcW w:w="0" w:type="auto"/>
            <w:noWrap/>
          </w:tcPr>
          <w:p w14:paraId="4CBE045A"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$161.317,29</w:t>
            </w:r>
          </w:p>
        </w:tc>
      </w:tr>
      <w:tr w:rsidR="009E0A9E" w:rsidRPr="00775AE5" w14:paraId="626B6ECC" w14:textId="77777777" w:rsidTr="00525437">
        <w:trPr>
          <w:trHeight w:val="420"/>
          <w:jc w:val="center"/>
        </w:trPr>
        <w:tc>
          <w:tcPr>
            <w:tcW w:w="0" w:type="auto"/>
            <w:noWrap/>
          </w:tcPr>
          <w:p w14:paraId="6478E5F9"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2022</w:t>
            </w:r>
          </w:p>
        </w:tc>
        <w:tc>
          <w:tcPr>
            <w:tcW w:w="0" w:type="auto"/>
            <w:noWrap/>
          </w:tcPr>
          <w:p w14:paraId="0D1B614B"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6</w:t>
            </w:r>
          </w:p>
        </w:tc>
        <w:tc>
          <w:tcPr>
            <w:tcW w:w="0" w:type="auto"/>
            <w:noWrap/>
          </w:tcPr>
          <w:p w14:paraId="6E7039EF"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$187.271,43</w:t>
            </w:r>
          </w:p>
        </w:tc>
      </w:tr>
      <w:tr w:rsidR="009E0A9E" w:rsidRPr="00775AE5" w14:paraId="25F10F3B" w14:textId="77777777" w:rsidTr="00525437">
        <w:trPr>
          <w:trHeight w:val="420"/>
          <w:jc w:val="center"/>
        </w:trPr>
        <w:tc>
          <w:tcPr>
            <w:tcW w:w="0" w:type="auto"/>
            <w:noWrap/>
          </w:tcPr>
          <w:p w14:paraId="4E867461"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2023</w:t>
            </w:r>
          </w:p>
        </w:tc>
        <w:tc>
          <w:tcPr>
            <w:tcW w:w="0" w:type="auto"/>
            <w:noWrap/>
          </w:tcPr>
          <w:p w14:paraId="172B9923"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7</w:t>
            </w:r>
          </w:p>
        </w:tc>
        <w:tc>
          <w:tcPr>
            <w:tcW w:w="0" w:type="auto"/>
            <w:noWrap/>
          </w:tcPr>
          <w:p w14:paraId="7E9E9CC4"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$179.192,88</w:t>
            </w:r>
          </w:p>
        </w:tc>
      </w:tr>
      <w:tr w:rsidR="009E0A9E" w:rsidRPr="00775AE5" w14:paraId="4F58FED4" w14:textId="77777777" w:rsidTr="00525437">
        <w:trPr>
          <w:trHeight w:val="420"/>
          <w:jc w:val="center"/>
        </w:trPr>
        <w:tc>
          <w:tcPr>
            <w:tcW w:w="0" w:type="auto"/>
            <w:noWrap/>
          </w:tcPr>
          <w:p w14:paraId="2BE20002"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2024</w:t>
            </w:r>
          </w:p>
        </w:tc>
        <w:tc>
          <w:tcPr>
            <w:tcW w:w="0" w:type="auto"/>
            <w:noWrap/>
          </w:tcPr>
          <w:p w14:paraId="182721B3"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8</w:t>
            </w:r>
          </w:p>
        </w:tc>
        <w:tc>
          <w:tcPr>
            <w:tcW w:w="0" w:type="auto"/>
            <w:noWrap/>
          </w:tcPr>
          <w:p w14:paraId="304482C1"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$ 238.22,86</w:t>
            </w:r>
          </w:p>
        </w:tc>
      </w:tr>
    </w:tbl>
    <w:p w14:paraId="2434E741" w14:textId="77777777" w:rsidR="009E0A9E" w:rsidRPr="00775AE5" w:rsidRDefault="009E0A9E" w:rsidP="009E0A9E">
      <w:pPr>
        <w:spacing w:line="276" w:lineRule="auto"/>
        <w:rPr>
          <w:rFonts w:ascii="Arial" w:eastAsia="Calibri" w:hAnsi="Arial" w:cs="Arial"/>
          <w:sz w:val="22"/>
          <w:szCs w:val="22"/>
          <w:lang w:val="es-ES"/>
        </w:rPr>
      </w:pPr>
      <w:r w:rsidRPr="00775AE5">
        <w:rPr>
          <w:rFonts w:ascii="Arial" w:eastAsia="Calibri" w:hAnsi="Arial" w:cs="Arial"/>
          <w:i/>
          <w:sz w:val="22"/>
          <w:szCs w:val="22"/>
          <w:lang w:val="es-ES"/>
        </w:rPr>
        <w:t xml:space="preserve">Nota: </w:t>
      </w:r>
      <w:r w:rsidRPr="00775AE5">
        <w:rPr>
          <w:rFonts w:ascii="Arial" w:eastAsia="Calibri" w:hAnsi="Arial" w:cs="Arial"/>
          <w:sz w:val="22"/>
          <w:szCs w:val="22"/>
          <w:lang w:val="es-ES"/>
        </w:rPr>
        <w:t>Elaborado por la Dirección Nacional Financiera de la Defensoría del Pueblo. Mayo 2024</w:t>
      </w:r>
    </w:p>
    <w:p w14:paraId="1C98731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F842854" w14:textId="3C87943D"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De la tabla precedente se observa la fluctuación del personal del MNPT, lo que no permite una especialización de este, frente al especial rol que cumple este mecanismo en comparación </w:t>
      </w:r>
      <w:r w:rsidR="009F04C3" w:rsidRPr="00775AE5">
        <w:rPr>
          <w:rFonts w:ascii="Arial" w:eastAsia="DejaVu Sans" w:hAnsi="Arial" w:cs="Arial"/>
          <w:sz w:val="22"/>
          <w:szCs w:val="22"/>
          <w:lang w:val="es-VE" w:eastAsia="es-EC"/>
        </w:rPr>
        <w:t>con los</w:t>
      </w:r>
      <w:r w:rsidRPr="00775AE5">
        <w:rPr>
          <w:rFonts w:ascii="Arial" w:eastAsia="DejaVu Sans" w:hAnsi="Arial" w:cs="Arial"/>
          <w:sz w:val="22"/>
          <w:szCs w:val="22"/>
          <w:lang w:val="es-VE" w:eastAsia="es-EC"/>
        </w:rPr>
        <w:t xml:space="preserve"> demás constituidos por la DPE. Adicionalmente al numérico, es importante considerar la multidisciplinariedad del equipo, que actualmente está conformado mayoritariamente por abogados; siendo necesario contar con otros perfiles como el médico y psicológico.</w:t>
      </w:r>
    </w:p>
    <w:p w14:paraId="2C0BD25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 </w:t>
      </w:r>
    </w:p>
    <w:p w14:paraId="5C922E4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La lógica para la reducción de personal, además de la reducción del presupuesto que el gobierno entrega a la Defensoría del Pueblo, también se relaciona con las nuevas atribuciones establecidas en el Estatuto Orgánico de la DPE, en donde a las delegaciones provinciales de la DPE se les otorga la competencia antes centralizada en el equipo de la Dirección del MNPT; por lo que se les faculta para la realización de las visitas a los lugares de privación de libertad y de efectuar recomendaciones a las autoridades competentes a fin de mejorar el trato y las condiciones de privación de libertad.</w:t>
      </w:r>
    </w:p>
    <w:p w14:paraId="6F0704C1"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B4E569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Respecto a los recursos de gasto corriente u operativo, donde se incluyen los rubros para la realización de visitas, eventos, entre otros, la siguiente tabla muestra los rubros asignados desde el año 2017 hasta el 2024.</w:t>
      </w:r>
    </w:p>
    <w:p w14:paraId="075C25FD" w14:textId="77777777" w:rsidR="009E0A9E" w:rsidRPr="00775AE5" w:rsidRDefault="009E0A9E" w:rsidP="009E0A9E">
      <w:pPr>
        <w:spacing w:line="276" w:lineRule="auto"/>
        <w:rPr>
          <w:rFonts w:ascii="Arial" w:eastAsia="Calibri" w:hAnsi="Arial" w:cs="Arial"/>
          <w:sz w:val="22"/>
          <w:szCs w:val="22"/>
          <w:highlight w:val="yellow"/>
          <w:lang w:val="es-ES"/>
        </w:rPr>
      </w:pPr>
    </w:p>
    <w:p w14:paraId="752A13A1" w14:textId="77777777" w:rsidR="009E0A9E" w:rsidRPr="00775AE5" w:rsidRDefault="009E0A9E" w:rsidP="009F04C3">
      <w:pPr>
        <w:spacing w:line="276" w:lineRule="auto"/>
        <w:jc w:val="center"/>
        <w:rPr>
          <w:rFonts w:ascii="Arial" w:eastAsia="Calibri" w:hAnsi="Arial" w:cs="Arial"/>
          <w:sz w:val="22"/>
          <w:szCs w:val="22"/>
          <w:lang w:val="es-ES"/>
        </w:rPr>
      </w:pPr>
      <w:r w:rsidRPr="00775AE5">
        <w:rPr>
          <w:rFonts w:ascii="Arial" w:eastAsia="Calibri" w:hAnsi="Arial" w:cs="Arial"/>
          <w:sz w:val="22"/>
          <w:szCs w:val="22"/>
          <w:lang w:val="es-ES"/>
        </w:rPr>
        <w:t>Tabla 2</w:t>
      </w:r>
    </w:p>
    <w:p w14:paraId="6A3FF495" w14:textId="77777777" w:rsidR="009E0A9E" w:rsidRPr="00775AE5" w:rsidRDefault="009E0A9E" w:rsidP="009F04C3">
      <w:pPr>
        <w:spacing w:line="276" w:lineRule="auto"/>
        <w:jc w:val="center"/>
        <w:rPr>
          <w:rFonts w:ascii="Arial" w:eastAsia="Calibri" w:hAnsi="Arial" w:cs="Arial"/>
          <w:i/>
          <w:sz w:val="22"/>
          <w:szCs w:val="22"/>
          <w:lang w:val="es-ES"/>
        </w:rPr>
      </w:pPr>
      <w:r w:rsidRPr="00775AE5">
        <w:rPr>
          <w:rFonts w:ascii="Arial" w:eastAsia="Calibri" w:hAnsi="Arial" w:cs="Arial"/>
          <w:i/>
          <w:sz w:val="22"/>
          <w:szCs w:val="22"/>
          <w:lang w:val="es-ES"/>
        </w:rPr>
        <w:t>Recursos destinados para gasto corriente del MNPT</w:t>
      </w:r>
    </w:p>
    <w:tbl>
      <w:tblPr>
        <w:tblStyle w:val="TableGrid"/>
        <w:tblW w:w="9315" w:type="dxa"/>
        <w:tblLook w:val="04A0" w:firstRow="1" w:lastRow="0" w:firstColumn="1" w:lastColumn="0" w:noHBand="0" w:noVBand="1"/>
      </w:tblPr>
      <w:tblGrid>
        <w:gridCol w:w="1737"/>
        <w:gridCol w:w="1044"/>
        <w:gridCol w:w="1044"/>
        <w:gridCol w:w="1095"/>
        <w:gridCol w:w="879"/>
        <w:gridCol w:w="879"/>
        <w:gridCol w:w="879"/>
        <w:gridCol w:w="879"/>
        <w:gridCol w:w="879"/>
      </w:tblGrid>
      <w:tr w:rsidR="009E0A9E" w:rsidRPr="00775AE5" w14:paraId="4AC6A43D" w14:textId="77777777" w:rsidTr="00525437">
        <w:trPr>
          <w:trHeight w:val="300"/>
        </w:trPr>
        <w:tc>
          <w:tcPr>
            <w:tcW w:w="1737" w:type="dxa"/>
            <w:hideMark/>
          </w:tcPr>
          <w:p w14:paraId="3296E3F4" w14:textId="77777777" w:rsidR="009E0A9E" w:rsidRPr="00775AE5" w:rsidRDefault="009E0A9E" w:rsidP="00525437">
            <w:pPr>
              <w:spacing w:line="276" w:lineRule="auto"/>
              <w:jc w:val="center"/>
              <w:rPr>
                <w:rFonts w:ascii="Arial" w:hAnsi="Arial" w:cs="Arial"/>
                <w:b/>
                <w:bCs/>
                <w:sz w:val="22"/>
                <w:szCs w:val="22"/>
                <w:lang w:val="es-EC" w:eastAsia="es-EC"/>
              </w:rPr>
            </w:pPr>
            <w:r w:rsidRPr="00775AE5">
              <w:rPr>
                <w:rFonts w:ascii="Arial" w:hAnsi="Arial" w:cs="Arial"/>
                <w:b/>
                <w:bCs/>
                <w:sz w:val="22"/>
                <w:szCs w:val="22"/>
                <w:lang w:val="es-EC" w:eastAsia="es-EC"/>
              </w:rPr>
              <w:t>Actividad</w:t>
            </w:r>
          </w:p>
        </w:tc>
        <w:tc>
          <w:tcPr>
            <w:tcW w:w="1044" w:type="dxa"/>
            <w:hideMark/>
          </w:tcPr>
          <w:p w14:paraId="61B3C9BA" w14:textId="77777777" w:rsidR="009E0A9E" w:rsidRPr="00775AE5" w:rsidRDefault="009E0A9E" w:rsidP="00525437">
            <w:pPr>
              <w:spacing w:line="276" w:lineRule="auto"/>
              <w:jc w:val="center"/>
              <w:rPr>
                <w:rFonts w:ascii="Arial" w:hAnsi="Arial" w:cs="Arial"/>
                <w:b/>
                <w:bCs/>
                <w:sz w:val="22"/>
                <w:szCs w:val="22"/>
                <w:lang w:val="es-EC" w:eastAsia="es-EC"/>
              </w:rPr>
            </w:pPr>
            <w:r w:rsidRPr="00775AE5">
              <w:rPr>
                <w:rFonts w:ascii="Arial" w:hAnsi="Arial" w:cs="Arial"/>
                <w:b/>
                <w:bCs/>
                <w:sz w:val="22"/>
                <w:szCs w:val="22"/>
                <w:lang w:val="es-EC" w:eastAsia="es-EC"/>
              </w:rPr>
              <w:t>2017</w:t>
            </w:r>
          </w:p>
        </w:tc>
        <w:tc>
          <w:tcPr>
            <w:tcW w:w="1044" w:type="dxa"/>
            <w:hideMark/>
          </w:tcPr>
          <w:p w14:paraId="494EC65A" w14:textId="77777777" w:rsidR="009E0A9E" w:rsidRPr="00775AE5" w:rsidRDefault="009E0A9E" w:rsidP="00525437">
            <w:pPr>
              <w:spacing w:line="276" w:lineRule="auto"/>
              <w:jc w:val="center"/>
              <w:rPr>
                <w:rFonts w:ascii="Arial" w:hAnsi="Arial" w:cs="Arial"/>
                <w:b/>
                <w:bCs/>
                <w:sz w:val="22"/>
                <w:szCs w:val="22"/>
                <w:lang w:val="es-EC" w:eastAsia="es-EC"/>
              </w:rPr>
            </w:pPr>
            <w:r w:rsidRPr="00775AE5">
              <w:rPr>
                <w:rFonts w:ascii="Arial" w:hAnsi="Arial" w:cs="Arial"/>
                <w:b/>
                <w:bCs/>
                <w:sz w:val="22"/>
                <w:szCs w:val="22"/>
                <w:lang w:val="es-EC" w:eastAsia="es-EC"/>
              </w:rPr>
              <w:t>2018</w:t>
            </w:r>
          </w:p>
        </w:tc>
        <w:tc>
          <w:tcPr>
            <w:tcW w:w="1095" w:type="dxa"/>
            <w:hideMark/>
          </w:tcPr>
          <w:p w14:paraId="6E1C461B" w14:textId="77777777" w:rsidR="009E0A9E" w:rsidRPr="00775AE5" w:rsidRDefault="009E0A9E" w:rsidP="00525437">
            <w:pPr>
              <w:spacing w:line="276" w:lineRule="auto"/>
              <w:jc w:val="center"/>
              <w:rPr>
                <w:rFonts w:ascii="Arial" w:hAnsi="Arial" w:cs="Arial"/>
                <w:b/>
                <w:bCs/>
                <w:sz w:val="22"/>
                <w:szCs w:val="22"/>
                <w:lang w:val="es-EC" w:eastAsia="es-EC"/>
              </w:rPr>
            </w:pPr>
            <w:r w:rsidRPr="00775AE5">
              <w:rPr>
                <w:rFonts w:ascii="Arial" w:hAnsi="Arial" w:cs="Arial"/>
                <w:b/>
                <w:bCs/>
                <w:sz w:val="22"/>
                <w:szCs w:val="22"/>
                <w:lang w:val="es-EC" w:eastAsia="es-EC"/>
              </w:rPr>
              <w:t>2019</w:t>
            </w:r>
          </w:p>
        </w:tc>
        <w:tc>
          <w:tcPr>
            <w:tcW w:w="879" w:type="dxa"/>
          </w:tcPr>
          <w:p w14:paraId="4DBA6ABA" w14:textId="77777777" w:rsidR="009E0A9E" w:rsidRPr="00775AE5" w:rsidRDefault="009E0A9E" w:rsidP="00525437">
            <w:pPr>
              <w:spacing w:line="276" w:lineRule="auto"/>
              <w:jc w:val="center"/>
              <w:rPr>
                <w:rFonts w:ascii="Arial" w:hAnsi="Arial" w:cs="Arial"/>
                <w:b/>
                <w:bCs/>
                <w:sz w:val="22"/>
                <w:szCs w:val="22"/>
                <w:lang w:val="es-EC" w:eastAsia="es-EC"/>
              </w:rPr>
            </w:pPr>
            <w:r w:rsidRPr="00775AE5">
              <w:rPr>
                <w:rFonts w:ascii="Arial" w:hAnsi="Arial" w:cs="Arial"/>
                <w:b/>
                <w:bCs/>
                <w:sz w:val="22"/>
                <w:szCs w:val="22"/>
                <w:lang w:val="es-EC" w:eastAsia="es-EC"/>
              </w:rPr>
              <w:t>2020</w:t>
            </w:r>
          </w:p>
        </w:tc>
        <w:tc>
          <w:tcPr>
            <w:tcW w:w="879" w:type="dxa"/>
          </w:tcPr>
          <w:p w14:paraId="039D3139" w14:textId="77777777" w:rsidR="009E0A9E" w:rsidRPr="00775AE5" w:rsidRDefault="009E0A9E" w:rsidP="00525437">
            <w:pPr>
              <w:spacing w:line="276" w:lineRule="auto"/>
              <w:jc w:val="center"/>
              <w:rPr>
                <w:rFonts w:ascii="Arial" w:hAnsi="Arial" w:cs="Arial"/>
                <w:b/>
                <w:bCs/>
                <w:sz w:val="22"/>
                <w:szCs w:val="22"/>
                <w:lang w:val="es-EC" w:eastAsia="es-EC"/>
              </w:rPr>
            </w:pPr>
            <w:r w:rsidRPr="00775AE5">
              <w:rPr>
                <w:rFonts w:ascii="Arial" w:hAnsi="Arial" w:cs="Arial"/>
                <w:b/>
                <w:bCs/>
                <w:sz w:val="22"/>
                <w:szCs w:val="22"/>
                <w:lang w:val="es-EC" w:eastAsia="es-EC"/>
              </w:rPr>
              <w:t>2021</w:t>
            </w:r>
          </w:p>
        </w:tc>
        <w:tc>
          <w:tcPr>
            <w:tcW w:w="879" w:type="dxa"/>
          </w:tcPr>
          <w:p w14:paraId="40760E68" w14:textId="77777777" w:rsidR="009E0A9E" w:rsidRPr="00775AE5" w:rsidRDefault="009E0A9E" w:rsidP="00525437">
            <w:pPr>
              <w:spacing w:line="276" w:lineRule="auto"/>
              <w:jc w:val="center"/>
              <w:rPr>
                <w:rFonts w:ascii="Arial" w:hAnsi="Arial" w:cs="Arial"/>
                <w:b/>
                <w:bCs/>
                <w:sz w:val="22"/>
                <w:szCs w:val="22"/>
                <w:lang w:val="es-EC" w:eastAsia="es-EC"/>
              </w:rPr>
            </w:pPr>
            <w:r w:rsidRPr="00775AE5">
              <w:rPr>
                <w:rFonts w:ascii="Arial" w:hAnsi="Arial" w:cs="Arial"/>
                <w:b/>
                <w:bCs/>
                <w:sz w:val="22"/>
                <w:szCs w:val="22"/>
                <w:lang w:val="es-EC" w:eastAsia="es-EC"/>
              </w:rPr>
              <w:t>2022</w:t>
            </w:r>
          </w:p>
        </w:tc>
        <w:tc>
          <w:tcPr>
            <w:tcW w:w="879" w:type="dxa"/>
          </w:tcPr>
          <w:p w14:paraId="0C137630" w14:textId="77777777" w:rsidR="009E0A9E" w:rsidRPr="00775AE5" w:rsidRDefault="009E0A9E" w:rsidP="00525437">
            <w:pPr>
              <w:spacing w:line="276" w:lineRule="auto"/>
              <w:jc w:val="center"/>
              <w:rPr>
                <w:rFonts w:ascii="Arial" w:hAnsi="Arial" w:cs="Arial"/>
                <w:b/>
                <w:bCs/>
                <w:sz w:val="22"/>
                <w:szCs w:val="22"/>
                <w:lang w:val="es-EC" w:eastAsia="es-EC"/>
              </w:rPr>
            </w:pPr>
            <w:r w:rsidRPr="00775AE5">
              <w:rPr>
                <w:rFonts w:ascii="Arial" w:hAnsi="Arial" w:cs="Arial"/>
                <w:b/>
                <w:bCs/>
                <w:sz w:val="22"/>
                <w:szCs w:val="22"/>
                <w:lang w:val="es-EC" w:eastAsia="es-EC"/>
              </w:rPr>
              <w:t>2023</w:t>
            </w:r>
          </w:p>
        </w:tc>
        <w:tc>
          <w:tcPr>
            <w:tcW w:w="879" w:type="dxa"/>
          </w:tcPr>
          <w:p w14:paraId="61A9D113" w14:textId="77777777" w:rsidR="009E0A9E" w:rsidRPr="00775AE5" w:rsidRDefault="009E0A9E" w:rsidP="00525437">
            <w:pPr>
              <w:spacing w:line="276" w:lineRule="auto"/>
              <w:jc w:val="center"/>
              <w:rPr>
                <w:rFonts w:ascii="Arial" w:hAnsi="Arial" w:cs="Arial"/>
                <w:b/>
                <w:bCs/>
                <w:sz w:val="22"/>
                <w:szCs w:val="22"/>
                <w:lang w:val="es-EC" w:eastAsia="es-EC"/>
              </w:rPr>
            </w:pPr>
            <w:r w:rsidRPr="00775AE5">
              <w:rPr>
                <w:rFonts w:ascii="Arial" w:hAnsi="Arial" w:cs="Arial"/>
                <w:b/>
                <w:bCs/>
                <w:sz w:val="22"/>
                <w:szCs w:val="22"/>
                <w:lang w:val="es-EC" w:eastAsia="es-EC"/>
              </w:rPr>
              <w:t>2024</w:t>
            </w:r>
          </w:p>
        </w:tc>
      </w:tr>
      <w:tr w:rsidR="009E0A9E" w:rsidRPr="00775AE5" w14:paraId="6C950622" w14:textId="77777777" w:rsidTr="00525437">
        <w:trPr>
          <w:trHeight w:val="300"/>
        </w:trPr>
        <w:tc>
          <w:tcPr>
            <w:tcW w:w="1737" w:type="dxa"/>
            <w:hideMark/>
          </w:tcPr>
          <w:p w14:paraId="419785F0"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Viáticos</w:t>
            </w:r>
          </w:p>
        </w:tc>
        <w:tc>
          <w:tcPr>
            <w:tcW w:w="1044" w:type="dxa"/>
            <w:hideMark/>
          </w:tcPr>
          <w:p w14:paraId="6CFA107E"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5580</w:t>
            </w:r>
          </w:p>
        </w:tc>
        <w:tc>
          <w:tcPr>
            <w:tcW w:w="1044" w:type="dxa"/>
            <w:hideMark/>
          </w:tcPr>
          <w:p w14:paraId="5057967A"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5400</w:t>
            </w:r>
          </w:p>
        </w:tc>
        <w:tc>
          <w:tcPr>
            <w:tcW w:w="1095" w:type="dxa"/>
            <w:hideMark/>
          </w:tcPr>
          <w:p w14:paraId="4B34A4F4"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4891,51</w:t>
            </w:r>
          </w:p>
        </w:tc>
        <w:tc>
          <w:tcPr>
            <w:tcW w:w="879" w:type="dxa"/>
          </w:tcPr>
          <w:p w14:paraId="3DA90E4A" w14:textId="77777777" w:rsidR="009E0A9E" w:rsidRPr="00775AE5" w:rsidRDefault="009E0A9E" w:rsidP="00525437">
            <w:pPr>
              <w:spacing w:line="276" w:lineRule="auto"/>
              <w:jc w:val="center"/>
              <w:rPr>
                <w:rFonts w:ascii="Arial" w:hAnsi="Arial" w:cs="Arial"/>
                <w:color w:val="000000"/>
                <w:sz w:val="22"/>
                <w:szCs w:val="22"/>
                <w:lang w:val="es-EC" w:eastAsia="es-EC"/>
              </w:rPr>
            </w:pPr>
          </w:p>
        </w:tc>
        <w:tc>
          <w:tcPr>
            <w:tcW w:w="879" w:type="dxa"/>
          </w:tcPr>
          <w:p w14:paraId="19960B12" w14:textId="77777777" w:rsidR="009E0A9E" w:rsidRPr="00775AE5" w:rsidRDefault="009E0A9E" w:rsidP="00525437">
            <w:pPr>
              <w:spacing w:line="276" w:lineRule="auto"/>
              <w:jc w:val="center"/>
              <w:rPr>
                <w:rFonts w:ascii="Arial" w:hAnsi="Arial" w:cs="Arial"/>
                <w:color w:val="000000"/>
                <w:sz w:val="22"/>
                <w:szCs w:val="22"/>
                <w:lang w:val="es-EC" w:eastAsia="es-EC"/>
              </w:rPr>
            </w:pPr>
          </w:p>
        </w:tc>
        <w:tc>
          <w:tcPr>
            <w:tcW w:w="879" w:type="dxa"/>
          </w:tcPr>
          <w:p w14:paraId="2C337161"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4320</w:t>
            </w:r>
          </w:p>
        </w:tc>
        <w:tc>
          <w:tcPr>
            <w:tcW w:w="879" w:type="dxa"/>
          </w:tcPr>
          <w:p w14:paraId="4C9166C9"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4240</w:t>
            </w:r>
          </w:p>
        </w:tc>
        <w:tc>
          <w:tcPr>
            <w:tcW w:w="879" w:type="dxa"/>
          </w:tcPr>
          <w:p w14:paraId="012110FA"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1800</w:t>
            </w:r>
          </w:p>
        </w:tc>
      </w:tr>
      <w:tr w:rsidR="009E0A9E" w:rsidRPr="00775AE5" w14:paraId="1A0A23B8" w14:textId="77777777" w:rsidTr="00525437">
        <w:trPr>
          <w:trHeight w:val="300"/>
        </w:trPr>
        <w:tc>
          <w:tcPr>
            <w:tcW w:w="1737" w:type="dxa"/>
            <w:hideMark/>
          </w:tcPr>
          <w:p w14:paraId="2C1932DA"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Pasajes</w:t>
            </w:r>
          </w:p>
        </w:tc>
        <w:tc>
          <w:tcPr>
            <w:tcW w:w="1044" w:type="dxa"/>
            <w:hideMark/>
          </w:tcPr>
          <w:p w14:paraId="5DC094CF"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4800</w:t>
            </w:r>
          </w:p>
        </w:tc>
        <w:tc>
          <w:tcPr>
            <w:tcW w:w="1044" w:type="dxa"/>
            <w:hideMark/>
          </w:tcPr>
          <w:p w14:paraId="4019AB35"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5760</w:t>
            </w:r>
          </w:p>
        </w:tc>
        <w:tc>
          <w:tcPr>
            <w:tcW w:w="1095" w:type="dxa"/>
            <w:hideMark/>
          </w:tcPr>
          <w:p w14:paraId="33C9DA36"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5000</w:t>
            </w:r>
          </w:p>
        </w:tc>
        <w:tc>
          <w:tcPr>
            <w:tcW w:w="879" w:type="dxa"/>
          </w:tcPr>
          <w:p w14:paraId="61C507CE" w14:textId="77777777" w:rsidR="009E0A9E" w:rsidRPr="00775AE5" w:rsidRDefault="009E0A9E" w:rsidP="00525437">
            <w:pPr>
              <w:spacing w:line="276" w:lineRule="auto"/>
              <w:jc w:val="center"/>
              <w:rPr>
                <w:rFonts w:ascii="Arial" w:hAnsi="Arial" w:cs="Arial"/>
                <w:color w:val="000000"/>
                <w:sz w:val="22"/>
                <w:szCs w:val="22"/>
                <w:lang w:val="es-EC" w:eastAsia="es-EC"/>
              </w:rPr>
            </w:pPr>
          </w:p>
        </w:tc>
        <w:tc>
          <w:tcPr>
            <w:tcW w:w="879" w:type="dxa"/>
          </w:tcPr>
          <w:p w14:paraId="5EC960E5" w14:textId="77777777" w:rsidR="009E0A9E" w:rsidRPr="00775AE5" w:rsidRDefault="009E0A9E" w:rsidP="00525437">
            <w:pPr>
              <w:spacing w:line="276" w:lineRule="auto"/>
              <w:jc w:val="center"/>
              <w:rPr>
                <w:rFonts w:ascii="Arial" w:hAnsi="Arial" w:cs="Arial"/>
                <w:color w:val="000000"/>
                <w:sz w:val="22"/>
                <w:szCs w:val="22"/>
                <w:lang w:val="es-EC" w:eastAsia="es-EC"/>
              </w:rPr>
            </w:pPr>
          </w:p>
        </w:tc>
        <w:tc>
          <w:tcPr>
            <w:tcW w:w="879" w:type="dxa"/>
          </w:tcPr>
          <w:p w14:paraId="6E972314" w14:textId="77777777" w:rsidR="009E0A9E" w:rsidRPr="00775AE5" w:rsidRDefault="009E0A9E" w:rsidP="00525437">
            <w:pPr>
              <w:spacing w:line="276" w:lineRule="auto"/>
              <w:jc w:val="center"/>
              <w:rPr>
                <w:rFonts w:ascii="Arial" w:hAnsi="Arial" w:cs="Arial"/>
                <w:color w:val="000000"/>
                <w:sz w:val="22"/>
                <w:szCs w:val="22"/>
                <w:lang w:val="es-EC" w:eastAsia="es-EC"/>
              </w:rPr>
            </w:pPr>
          </w:p>
        </w:tc>
        <w:tc>
          <w:tcPr>
            <w:tcW w:w="879" w:type="dxa"/>
          </w:tcPr>
          <w:p w14:paraId="3729BA11" w14:textId="77777777" w:rsidR="009E0A9E" w:rsidRPr="00775AE5" w:rsidRDefault="009E0A9E" w:rsidP="00525437">
            <w:pPr>
              <w:spacing w:line="276" w:lineRule="auto"/>
              <w:jc w:val="center"/>
              <w:rPr>
                <w:rFonts w:ascii="Arial" w:hAnsi="Arial" w:cs="Arial"/>
                <w:color w:val="000000"/>
                <w:sz w:val="22"/>
                <w:szCs w:val="22"/>
                <w:lang w:val="es-EC" w:eastAsia="es-EC"/>
              </w:rPr>
            </w:pPr>
          </w:p>
        </w:tc>
        <w:tc>
          <w:tcPr>
            <w:tcW w:w="879" w:type="dxa"/>
          </w:tcPr>
          <w:p w14:paraId="56D3E522" w14:textId="77777777" w:rsidR="009E0A9E" w:rsidRPr="00775AE5" w:rsidRDefault="009E0A9E" w:rsidP="00525437">
            <w:pPr>
              <w:spacing w:line="276" w:lineRule="auto"/>
              <w:jc w:val="center"/>
              <w:rPr>
                <w:rFonts w:ascii="Arial" w:hAnsi="Arial" w:cs="Arial"/>
                <w:color w:val="000000"/>
                <w:sz w:val="22"/>
                <w:szCs w:val="22"/>
                <w:lang w:val="es-EC" w:eastAsia="es-EC"/>
              </w:rPr>
            </w:pPr>
          </w:p>
        </w:tc>
      </w:tr>
      <w:tr w:rsidR="009E0A9E" w:rsidRPr="00775AE5" w14:paraId="23C76C22" w14:textId="77777777" w:rsidTr="00525437">
        <w:trPr>
          <w:trHeight w:val="300"/>
        </w:trPr>
        <w:tc>
          <w:tcPr>
            <w:tcW w:w="1737" w:type="dxa"/>
            <w:hideMark/>
          </w:tcPr>
          <w:p w14:paraId="1208FF92"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Alimentos y bebidas</w:t>
            </w:r>
          </w:p>
        </w:tc>
        <w:tc>
          <w:tcPr>
            <w:tcW w:w="1044" w:type="dxa"/>
            <w:hideMark/>
          </w:tcPr>
          <w:p w14:paraId="7E414094"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0</w:t>
            </w:r>
          </w:p>
        </w:tc>
        <w:tc>
          <w:tcPr>
            <w:tcW w:w="1044" w:type="dxa"/>
            <w:hideMark/>
          </w:tcPr>
          <w:p w14:paraId="285764FA"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1200</w:t>
            </w:r>
          </w:p>
        </w:tc>
        <w:tc>
          <w:tcPr>
            <w:tcW w:w="1095" w:type="dxa"/>
            <w:hideMark/>
          </w:tcPr>
          <w:p w14:paraId="3BC9A45C" w14:textId="77777777" w:rsidR="009E0A9E" w:rsidRPr="00775AE5" w:rsidRDefault="009E0A9E" w:rsidP="00525437">
            <w:pPr>
              <w:spacing w:line="276" w:lineRule="auto"/>
              <w:jc w:val="center"/>
              <w:rPr>
                <w:rFonts w:ascii="Arial" w:hAnsi="Arial" w:cs="Arial"/>
                <w:color w:val="000000"/>
                <w:sz w:val="22"/>
                <w:szCs w:val="22"/>
                <w:lang w:val="es-EC" w:eastAsia="es-EC"/>
              </w:rPr>
            </w:pPr>
            <w:r w:rsidRPr="00775AE5">
              <w:rPr>
                <w:rFonts w:ascii="Arial" w:hAnsi="Arial" w:cs="Arial"/>
                <w:color w:val="000000"/>
                <w:sz w:val="22"/>
                <w:szCs w:val="22"/>
                <w:lang w:val="es-EC" w:eastAsia="es-EC"/>
              </w:rPr>
              <w:t>0</w:t>
            </w:r>
          </w:p>
        </w:tc>
        <w:tc>
          <w:tcPr>
            <w:tcW w:w="879" w:type="dxa"/>
          </w:tcPr>
          <w:p w14:paraId="41B33995" w14:textId="77777777" w:rsidR="009E0A9E" w:rsidRPr="00775AE5" w:rsidRDefault="009E0A9E" w:rsidP="00525437">
            <w:pPr>
              <w:spacing w:line="276" w:lineRule="auto"/>
              <w:jc w:val="center"/>
              <w:rPr>
                <w:rFonts w:ascii="Arial" w:hAnsi="Arial" w:cs="Arial"/>
                <w:color w:val="000000"/>
                <w:sz w:val="22"/>
                <w:szCs w:val="22"/>
                <w:lang w:val="es-EC" w:eastAsia="es-EC"/>
              </w:rPr>
            </w:pPr>
          </w:p>
        </w:tc>
        <w:tc>
          <w:tcPr>
            <w:tcW w:w="879" w:type="dxa"/>
          </w:tcPr>
          <w:p w14:paraId="13B4F301" w14:textId="77777777" w:rsidR="009E0A9E" w:rsidRPr="00775AE5" w:rsidRDefault="009E0A9E" w:rsidP="00525437">
            <w:pPr>
              <w:spacing w:line="276" w:lineRule="auto"/>
              <w:jc w:val="center"/>
              <w:rPr>
                <w:rFonts w:ascii="Arial" w:hAnsi="Arial" w:cs="Arial"/>
                <w:color w:val="000000"/>
                <w:sz w:val="22"/>
                <w:szCs w:val="22"/>
                <w:lang w:val="es-EC" w:eastAsia="es-EC"/>
              </w:rPr>
            </w:pPr>
          </w:p>
        </w:tc>
        <w:tc>
          <w:tcPr>
            <w:tcW w:w="879" w:type="dxa"/>
          </w:tcPr>
          <w:p w14:paraId="1FDB3A18" w14:textId="77777777" w:rsidR="009E0A9E" w:rsidRPr="00775AE5" w:rsidRDefault="009E0A9E" w:rsidP="00525437">
            <w:pPr>
              <w:spacing w:line="276" w:lineRule="auto"/>
              <w:jc w:val="center"/>
              <w:rPr>
                <w:rFonts w:ascii="Arial" w:hAnsi="Arial" w:cs="Arial"/>
                <w:color w:val="000000"/>
                <w:sz w:val="22"/>
                <w:szCs w:val="22"/>
                <w:lang w:val="es-EC" w:eastAsia="es-EC"/>
              </w:rPr>
            </w:pPr>
          </w:p>
        </w:tc>
        <w:tc>
          <w:tcPr>
            <w:tcW w:w="879" w:type="dxa"/>
          </w:tcPr>
          <w:p w14:paraId="38505E32" w14:textId="77777777" w:rsidR="009E0A9E" w:rsidRPr="00775AE5" w:rsidRDefault="009E0A9E" w:rsidP="00525437">
            <w:pPr>
              <w:spacing w:line="276" w:lineRule="auto"/>
              <w:jc w:val="center"/>
              <w:rPr>
                <w:rFonts w:ascii="Arial" w:hAnsi="Arial" w:cs="Arial"/>
                <w:color w:val="000000"/>
                <w:sz w:val="22"/>
                <w:szCs w:val="22"/>
                <w:lang w:val="es-EC" w:eastAsia="es-EC"/>
              </w:rPr>
            </w:pPr>
          </w:p>
        </w:tc>
        <w:tc>
          <w:tcPr>
            <w:tcW w:w="879" w:type="dxa"/>
          </w:tcPr>
          <w:p w14:paraId="7E3A75D5" w14:textId="77777777" w:rsidR="009E0A9E" w:rsidRPr="00775AE5" w:rsidRDefault="009E0A9E" w:rsidP="00525437">
            <w:pPr>
              <w:spacing w:line="276" w:lineRule="auto"/>
              <w:jc w:val="center"/>
              <w:rPr>
                <w:rFonts w:ascii="Arial" w:hAnsi="Arial" w:cs="Arial"/>
                <w:color w:val="000000"/>
                <w:sz w:val="22"/>
                <w:szCs w:val="22"/>
                <w:lang w:val="es-EC" w:eastAsia="es-EC"/>
              </w:rPr>
            </w:pPr>
          </w:p>
        </w:tc>
      </w:tr>
      <w:tr w:rsidR="009E0A9E" w:rsidRPr="00775AE5" w14:paraId="04B4B98C" w14:textId="77777777" w:rsidTr="00525437">
        <w:trPr>
          <w:trHeight w:val="300"/>
        </w:trPr>
        <w:tc>
          <w:tcPr>
            <w:tcW w:w="1737" w:type="dxa"/>
            <w:hideMark/>
          </w:tcPr>
          <w:p w14:paraId="348C22A7"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TOTAL</w:t>
            </w:r>
          </w:p>
        </w:tc>
        <w:tc>
          <w:tcPr>
            <w:tcW w:w="1044" w:type="dxa"/>
            <w:hideMark/>
          </w:tcPr>
          <w:p w14:paraId="7F1A3363"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10380</w:t>
            </w:r>
          </w:p>
        </w:tc>
        <w:tc>
          <w:tcPr>
            <w:tcW w:w="1044" w:type="dxa"/>
            <w:hideMark/>
          </w:tcPr>
          <w:p w14:paraId="2B324B30"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12360</w:t>
            </w:r>
          </w:p>
        </w:tc>
        <w:tc>
          <w:tcPr>
            <w:tcW w:w="1095" w:type="dxa"/>
            <w:hideMark/>
          </w:tcPr>
          <w:p w14:paraId="437B2B68"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9891,51</w:t>
            </w:r>
          </w:p>
        </w:tc>
        <w:tc>
          <w:tcPr>
            <w:tcW w:w="879" w:type="dxa"/>
          </w:tcPr>
          <w:p w14:paraId="673D0CBF"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w:t>
            </w:r>
          </w:p>
        </w:tc>
        <w:tc>
          <w:tcPr>
            <w:tcW w:w="879" w:type="dxa"/>
          </w:tcPr>
          <w:p w14:paraId="2C1EDEAB"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w:t>
            </w:r>
          </w:p>
        </w:tc>
        <w:tc>
          <w:tcPr>
            <w:tcW w:w="879" w:type="dxa"/>
          </w:tcPr>
          <w:p w14:paraId="37511373"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4320</w:t>
            </w:r>
          </w:p>
        </w:tc>
        <w:tc>
          <w:tcPr>
            <w:tcW w:w="879" w:type="dxa"/>
          </w:tcPr>
          <w:p w14:paraId="3C63E7A3"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4240</w:t>
            </w:r>
          </w:p>
        </w:tc>
        <w:tc>
          <w:tcPr>
            <w:tcW w:w="879" w:type="dxa"/>
          </w:tcPr>
          <w:p w14:paraId="5FBA2F48" w14:textId="77777777" w:rsidR="009E0A9E" w:rsidRPr="00775AE5" w:rsidRDefault="009E0A9E" w:rsidP="00525437">
            <w:pPr>
              <w:spacing w:line="276" w:lineRule="auto"/>
              <w:jc w:val="center"/>
              <w:rPr>
                <w:rFonts w:ascii="Arial" w:hAnsi="Arial" w:cs="Arial"/>
                <w:b/>
                <w:bCs/>
                <w:color w:val="000000"/>
                <w:sz w:val="22"/>
                <w:szCs w:val="22"/>
                <w:lang w:val="es-EC" w:eastAsia="es-EC"/>
              </w:rPr>
            </w:pPr>
            <w:r w:rsidRPr="00775AE5">
              <w:rPr>
                <w:rFonts w:ascii="Arial" w:hAnsi="Arial" w:cs="Arial"/>
                <w:b/>
                <w:bCs/>
                <w:color w:val="000000"/>
                <w:sz w:val="22"/>
                <w:szCs w:val="22"/>
                <w:lang w:val="es-EC" w:eastAsia="es-EC"/>
              </w:rPr>
              <w:t>1800</w:t>
            </w:r>
          </w:p>
        </w:tc>
      </w:tr>
    </w:tbl>
    <w:p w14:paraId="243EE1EA" w14:textId="68072287" w:rsidR="009E0A9E" w:rsidRPr="00775AE5" w:rsidRDefault="009E0A9E" w:rsidP="008616F0">
      <w:pPr>
        <w:spacing w:line="276" w:lineRule="auto"/>
        <w:jc w:val="center"/>
        <w:rPr>
          <w:rFonts w:ascii="Arial" w:eastAsia="Calibri" w:hAnsi="Arial" w:cs="Arial"/>
          <w:sz w:val="22"/>
          <w:szCs w:val="22"/>
          <w:lang w:val="es-ES"/>
        </w:rPr>
      </w:pPr>
      <w:r w:rsidRPr="00775AE5">
        <w:rPr>
          <w:rFonts w:ascii="Arial" w:eastAsia="Calibri" w:hAnsi="Arial" w:cs="Arial"/>
          <w:i/>
          <w:sz w:val="22"/>
          <w:szCs w:val="22"/>
          <w:lang w:val="es-ES"/>
        </w:rPr>
        <w:t xml:space="preserve">Nota: </w:t>
      </w:r>
      <w:r w:rsidRPr="00775AE5">
        <w:rPr>
          <w:rFonts w:ascii="Arial" w:eastAsia="Calibri" w:hAnsi="Arial" w:cs="Arial"/>
          <w:sz w:val="22"/>
          <w:szCs w:val="22"/>
          <w:lang w:val="es-ES"/>
        </w:rPr>
        <w:t xml:space="preserve">Elaborado por el MNPT, de los datos proporcionados por la Dirección Nacional Administrativa de la Defensoría del Pueblo, </w:t>
      </w:r>
      <w:r w:rsidR="008616F0" w:rsidRPr="00775AE5">
        <w:rPr>
          <w:rFonts w:ascii="Arial" w:eastAsia="Calibri" w:hAnsi="Arial" w:cs="Arial"/>
          <w:sz w:val="22"/>
          <w:szCs w:val="22"/>
          <w:lang w:val="es-ES"/>
        </w:rPr>
        <w:t>mayo</w:t>
      </w:r>
      <w:r w:rsidRPr="00775AE5">
        <w:rPr>
          <w:rFonts w:ascii="Arial" w:eastAsia="Calibri" w:hAnsi="Arial" w:cs="Arial"/>
          <w:sz w:val="22"/>
          <w:szCs w:val="22"/>
          <w:lang w:val="es-ES"/>
        </w:rPr>
        <w:t xml:space="preserve"> 2024. Para los años 2020 y 2021 se contó únicamente con el presupuesto del proyecto de inversión con fondos del OPCAT.</w:t>
      </w:r>
    </w:p>
    <w:p w14:paraId="1B6D8E6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4FBAD79"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Como se muestra en la tabla anterior, los montos de gasto operativo han ido disminuyendo cada año, hasta llegar al 2024 donde hay un presupuesto 63% menor al presupuesto otorgado en el 2017; aun cuando ha existido las declaratorias de Estado de Excepción por la crisis carcelaria que estalló con los hechos de muertes colectivas desde febrero del 2021. </w:t>
      </w:r>
    </w:p>
    <w:p w14:paraId="563AE86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CF385E6" w14:textId="562CAC3F" w:rsidR="009E0A9E" w:rsidRPr="00775AE5" w:rsidRDefault="009E0A9E" w:rsidP="009E0A9E">
      <w:pPr>
        <w:jc w:val="both"/>
        <w:rPr>
          <w:rFonts w:ascii="Arial" w:hAnsi="Arial" w:cs="Arial"/>
          <w:sz w:val="22"/>
          <w:szCs w:val="22"/>
          <w:lang w:val="es-MX"/>
        </w:rPr>
      </w:pPr>
      <w:r w:rsidRPr="00775AE5">
        <w:rPr>
          <w:rFonts w:ascii="Arial" w:hAnsi="Arial" w:cs="Arial"/>
          <w:sz w:val="22"/>
          <w:szCs w:val="22"/>
          <w:lang w:val="es-MX"/>
        </w:rPr>
        <w:t xml:space="preserve">Para el año 2020, a pesar de que se tenía aprobado inicialmente un presupuesto similar al de 2019, debido a la crisis económica ocasionada por la pandemia de COVID-19, los rubros destinados para pasajes internos y viáticos fueron suspendidos por el Ministerio de Finanzas para todo el sector público, por lo que el monto que había sido designado para el MNPT fue cancelado. Para poder ejecutar visitas, tanto en el 2020 y </w:t>
      </w:r>
      <w:r w:rsidR="00CA38EB" w:rsidRPr="00775AE5">
        <w:rPr>
          <w:rFonts w:ascii="Arial" w:hAnsi="Arial" w:cs="Arial"/>
          <w:sz w:val="22"/>
          <w:szCs w:val="22"/>
          <w:lang w:val="es-MX"/>
        </w:rPr>
        <w:t>2021, se</w:t>
      </w:r>
      <w:r w:rsidRPr="00775AE5">
        <w:rPr>
          <w:rFonts w:ascii="Arial" w:hAnsi="Arial" w:cs="Arial"/>
          <w:sz w:val="22"/>
          <w:szCs w:val="22"/>
          <w:lang w:val="es-MX"/>
        </w:rPr>
        <w:t xml:space="preserve"> hizo uso del presupuesto correspondiente al proyecto de inversión de “Fortalecimiento del Mecanismo Nacional de Prevención de la Tortura, Tratos Crueles, Inhumanos y Degradantes” de fondos del OPCAT. </w:t>
      </w:r>
    </w:p>
    <w:p w14:paraId="15649C6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FD0D8B5" w14:textId="3868197D"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2024 es el año en el que el MNPT ha recibido el menor rubro para la realización de visitas; cuestión que limita el trabajo </w:t>
      </w:r>
      <w:r w:rsidR="00CA38EB" w:rsidRPr="00775AE5">
        <w:rPr>
          <w:rFonts w:ascii="Arial" w:eastAsia="DejaVu Sans" w:hAnsi="Arial" w:cs="Arial"/>
          <w:sz w:val="22"/>
          <w:szCs w:val="22"/>
          <w:lang w:val="es-VE" w:eastAsia="es-EC"/>
        </w:rPr>
        <w:t>del mecanismo</w:t>
      </w:r>
      <w:r w:rsidRPr="00775AE5">
        <w:rPr>
          <w:rFonts w:ascii="Arial" w:eastAsia="DejaVu Sans" w:hAnsi="Arial" w:cs="Arial"/>
          <w:sz w:val="22"/>
          <w:szCs w:val="22"/>
          <w:lang w:val="es-VE" w:eastAsia="es-EC"/>
        </w:rPr>
        <w:t xml:space="preserve">, y que, debido a las últimas declaratorias de Estado de </w:t>
      </w:r>
      <w:r w:rsidR="008616F0" w:rsidRPr="00775AE5">
        <w:rPr>
          <w:rFonts w:ascii="Arial" w:eastAsia="DejaVu Sans" w:hAnsi="Arial" w:cs="Arial"/>
          <w:sz w:val="22"/>
          <w:szCs w:val="22"/>
          <w:lang w:val="es-VE" w:eastAsia="es-EC"/>
        </w:rPr>
        <w:t>Excepción</w:t>
      </w:r>
      <w:r w:rsidR="008616F0" w:rsidRPr="00775AE5">
        <w:rPr>
          <w:rFonts w:ascii="Arial" w:hAnsi="Arial" w:cs="Arial"/>
          <w:sz w:val="22"/>
          <w:szCs w:val="22"/>
          <w:lang w:val="es-MX"/>
        </w:rPr>
        <w:t>, cuya</w:t>
      </w:r>
      <w:r w:rsidRPr="00775AE5">
        <w:rPr>
          <w:rFonts w:ascii="Arial" w:hAnsi="Arial" w:cs="Arial"/>
          <w:sz w:val="22"/>
          <w:szCs w:val="22"/>
          <w:lang w:val="es-MX"/>
        </w:rPr>
        <w:t xml:space="preserve"> aplicación ha tenido injerencia en los centros de privación de libertad; ha obligado a la realización de monitoreos que no formaban parte de la planificación de visitas anual del MNPT; y con esto, la ejecución en el primer trimestre de todo el presupuesto anual.</w:t>
      </w:r>
    </w:p>
    <w:p w14:paraId="1A1687E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D693F59" w14:textId="77777777" w:rsidR="009E0A9E" w:rsidRPr="00775AE5" w:rsidRDefault="009E0A9E" w:rsidP="009E0A9E">
      <w:pPr>
        <w:widowControl w:val="0"/>
        <w:suppressAutoHyphens/>
        <w:spacing w:line="276" w:lineRule="auto"/>
        <w:jc w:val="both"/>
        <w:rPr>
          <w:rFonts w:ascii="Arial" w:hAnsi="Arial" w:cs="Arial"/>
          <w:sz w:val="22"/>
          <w:szCs w:val="22"/>
          <w:lang w:val="es-MX"/>
        </w:rPr>
      </w:pPr>
      <w:r w:rsidRPr="00775AE5">
        <w:rPr>
          <w:rFonts w:ascii="Arial" w:hAnsi="Arial" w:cs="Arial"/>
          <w:sz w:val="22"/>
          <w:szCs w:val="22"/>
          <w:lang w:val="es-MX"/>
        </w:rPr>
        <w:t>Sobre el presupuesto, el Subcomité de Prevención de la Tortura en su informe de la visita a Ecuador del 25 de septiembre al 1 de octubre de 2022 (CAT/OP/ECU/ROSP/R.1) manifestó que:</w:t>
      </w:r>
    </w:p>
    <w:p w14:paraId="78799011" w14:textId="77777777" w:rsidR="009E0A9E" w:rsidRPr="00775AE5" w:rsidRDefault="009E0A9E" w:rsidP="009E0A9E">
      <w:pPr>
        <w:autoSpaceDE w:val="0"/>
        <w:autoSpaceDN w:val="0"/>
        <w:adjustRightInd w:val="0"/>
        <w:jc w:val="both"/>
        <w:rPr>
          <w:rFonts w:ascii="Arial" w:eastAsia="Calibri" w:hAnsi="Arial" w:cs="Arial"/>
          <w:sz w:val="22"/>
          <w:szCs w:val="22"/>
          <w:lang w:val="es-ES"/>
        </w:rPr>
      </w:pPr>
    </w:p>
    <w:p w14:paraId="6A98C7B2" w14:textId="633543AD" w:rsidR="009E0A9E" w:rsidRDefault="009E0A9E" w:rsidP="009E0A9E">
      <w:pPr>
        <w:pStyle w:val="Default"/>
        <w:spacing w:line="240" w:lineRule="auto"/>
        <w:ind w:left="720" w:firstLine="0"/>
        <w:jc w:val="both"/>
        <w:rPr>
          <w:rFonts w:ascii="Arial" w:hAnsi="Arial" w:cs="Arial"/>
          <w:color w:val="auto"/>
          <w:sz w:val="22"/>
          <w:szCs w:val="22"/>
          <w:lang w:val="es-ES" w:eastAsia="es-ES_tradnl"/>
        </w:rPr>
      </w:pPr>
      <w:r w:rsidRPr="00775AE5">
        <w:rPr>
          <w:rFonts w:ascii="Arial" w:hAnsi="Arial" w:cs="Arial"/>
          <w:color w:val="auto"/>
          <w:sz w:val="22"/>
          <w:szCs w:val="22"/>
          <w:lang w:val="es-ES" w:eastAsia="es-ES_tradnl"/>
        </w:rPr>
        <w:t xml:space="preserve">39. El Subcomité nota que el MNP sufre de una significativa falta de recursos económicos y humanos, lo cual supone un obstáculo para cumplir su mandato con arreglo al OPCAT. El presupuesto del MNP ha sido objeto de medidas de recorte y austeridad. En el 2022, el presupuesto de la Defensoría del Pueblo no incluyó, por ejemplo, recursos para </w:t>
      </w:r>
      <w:r w:rsidR="002E2412" w:rsidRPr="00775AE5">
        <w:rPr>
          <w:rFonts w:ascii="Arial" w:hAnsi="Arial" w:cs="Arial"/>
          <w:color w:val="auto"/>
          <w:sz w:val="22"/>
          <w:szCs w:val="22"/>
          <w:lang w:val="es-ES" w:eastAsia="es-ES_tradnl"/>
        </w:rPr>
        <w:t>transporte, circunstancia</w:t>
      </w:r>
      <w:r w:rsidRPr="00775AE5">
        <w:rPr>
          <w:rFonts w:ascii="Arial" w:hAnsi="Arial" w:cs="Arial"/>
          <w:color w:val="auto"/>
          <w:sz w:val="22"/>
          <w:szCs w:val="22"/>
          <w:lang w:val="es-ES" w:eastAsia="es-ES_tradnl"/>
        </w:rPr>
        <w:t xml:space="preserve"> que afecta directamente el trabajo del MNP pues se trata de un aspecto crucial para la realización de las visitas de monitoreo a los lugares de detención. La mayoría de los incidentes fatales ha ocurrido en centros situados fuera de Quito, por lo cual es indispensable contar con el financiamiento para viajar al interior del país. El MNP no dispone de vehículos o teléfonos de trabajo asignados para el desempeño de sus tareas, y cuando organizan visitas suelen utilizar sus teléfonos personales.</w:t>
      </w:r>
    </w:p>
    <w:p w14:paraId="732AFE15" w14:textId="77777777" w:rsidR="002E2412" w:rsidRPr="00775AE5" w:rsidRDefault="002E2412" w:rsidP="009E0A9E">
      <w:pPr>
        <w:pStyle w:val="Default"/>
        <w:spacing w:line="240" w:lineRule="auto"/>
        <w:ind w:left="720" w:firstLine="0"/>
        <w:jc w:val="both"/>
        <w:rPr>
          <w:rFonts w:ascii="Arial" w:hAnsi="Arial" w:cs="Arial"/>
          <w:color w:val="auto"/>
          <w:sz w:val="22"/>
          <w:szCs w:val="22"/>
          <w:lang w:val="es-ES" w:eastAsia="es-ES_tradnl"/>
        </w:rPr>
      </w:pPr>
    </w:p>
    <w:p w14:paraId="0231EAAF" w14:textId="77777777" w:rsidR="009E0A9E" w:rsidRPr="00775AE5" w:rsidRDefault="009E0A9E" w:rsidP="009E0A9E">
      <w:pPr>
        <w:autoSpaceDE w:val="0"/>
        <w:autoSpaceDN w:val="0"/>
        <w:adjustRightInd w:val="0"/>
        <w:ind w:left="720"/>
        <w:jc w:val="both"/>
        <w:rPr>
          <w:rFonts w:ascii="Arial" w:eastAsia="Calibri" w:hAnsi="Arial" w:cs="Arial"/>
          <w:sz w:val="22"/>
          <w:szCs w:val="22"/>
          <w:lang w:val="es-ES"/>
        </w:rPr>
      </w:pPr>
      <w:r w:rsidRPr="00775AE5">
        <w:rPr>
          <w:rFonts w:ascii="Arial" w:eastAsia="Calibri" w:hAnsi="Arial" w:cs="Arial"/>
          <w:sz w:val="22"/>
          <w:szCs w:val="22"/>
          <w:lang w:val="es-ES"/>
        </w:rPr>
        <w:t xml:space="preserve">40. Los ocho miembros actuales del MNP tienen su sede en Quito por lo que, adicionalmente, en provincias dependen de otros funcionarios de la Defensoría que los apoyan en tareas de monitoreo, lo cual evidencia las carencias precitadas. Además, preocupa al SPT la idoneidad técnica de quienes realizan las visitas de monitoreo del MNP fuera de Quito. Por otra parte, miembros del MNP han solicitado recursos para auto cuidado, los cuales no han sido suministrados. </w:t>
      </w:r>
    </w:p>
    <w:p w14:paraId="00AEAFFF" w14:textId="77777777" w:rsidR="009E0A9E" w:rsidRPr="00775AE5" w:rsidRDefault="009E0A9E" w:rsidP="009E0A9E">
      <w:pPr>
        <w:rPr>
          <w:rFonts w:ascii="Arial" w:hAnsi="Arial" w:cs="Arial"/>
          <w:sz w:val="22"/>
          <w:szCs w:val="22"/>
        </w:rPr>
      </w:pPr>
    </w:p>
    <w:p w14:paraId="48A2686F" w14:textId="77777777" w:rsidR="009E0A9E" w:rsidRPr="00775AE5" w:rsidRDefault="009E0A9E" w:rsidP="00640CCA">
      <w:pPr>
        <w:pStyle w:val="Heading3"/>
        <w:rPr>
          <w:rFonts w:ascii="Arial" w:hAnsi="Arial" w:cs="Arial"/>
          <w:sz w:val="22"/>
          <w:szCs w:val="22"/>
        </w:rPr>
      </w:pPr>
      <w:bookmarkStart w:id="19" w:name="_Toc168907344"/>
      <w:r w:rsidRPr="00775AE5">
        <w:rPr>
          <w:rFonts w:ascii="Arial" w:hAnsi="Arial" w:cs="Arial"/>
          <w:sz w:val="22"/>
          <w:szCs w:val="22"/>
        </w:rPr>
        <w:t>1.2. Artículo 10 (Párrafo 17 de la Lista de Cuestiones)</w:t>
      </w:r>
      <w:bookmarkEnd w:id="19"/>
      <w:r w:rsidRPr="00775AE5">
        <w:rPr>
          <w:rFonts w:ascii="Arial" w:hAnsi="Arial" w:cs="Arial"/>
          <w:sz w:val="22"/>
          <w:szCs w:val="22"/>
        </w:rPr>
        <w:t xml:space="preserve"> </w:t>
      </w:r>
    </w:p>
    <w:p w14:paraId="198D36E8" w14:textId="77777777" w:rsidR="009E0A9E" w:rsidRPr="00775AE5" w:rsidRDefault="009E0A9E" w:rsidP="00640CCA">
      <w:pPr>
        <w:pStyle w:val="Heading3"/>
        <w:rPr>
          <w:rFonts w:ascii="Arial" w:hAnsi="Arial" w:cs="Arial"/>
          <w:sz w:val="22"/>
          <w:szCs w:val="22"/>
        </w:rPr>
      </w:pPr>
    </w:p>
    <w:p w14:paraId="59801348" w14:textId="77777777" w:rsidR="009E0A9E" w:rsidRPr="00775AE5" w:rsidRDefault="009E0A9E" w:rsidP="00640CCA">
      <w:pPr>
        <w:pStyle w:val="Heading3"/>
        <w:rPr>
          <w:rFonts w:ascii="Arial" w:hAnsi="Arial" w:cs="Arial"/>
          <w:sz w:val="22"/>
          <w:szCs w:val="22"/>
        </w:rPr>
      </w:pPr>
      <w:bookmarkStart w:id="20" w:name="_Toc168907345"/>
      <w:r w:rsidRPr="00775AE5">
        <w:rPr>
          <w:rFonts w:ascii="Arial" w:hAnsi="Arial" w:cs="Arial"/>
          <w:sz w:val="22"/>
          <w:szCs w:val="22"/>
        </w:rPr>
        <w:t>1.2.1 Formación y capacitación</w:t>
      </w:r>
      <w:bookmarkEnd w:id="20"/>
    </w:p>
    <w:p w14:paraId="2170A96B" w14:textId="77777777" w:rsidR="009E0A9E" w:rsidRPr="00775AE5" w:rsidRDefault="009E0A9E" w:rsidP="009E0A9E">
      <w:pPr>
        <w:rPr>
          <w:rFonts w:ascii="Arial" w:hAnsi="Arial" w:cs="Arial"/>
          <w:sz w:val="22"/>
          <w:szCs w:val="22"/>
        </w:rPr>
      </w:pPr>
    </w:p>
    <w:p w14:paraId="7A2035C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El MNPT en el año 2018 realizó tres capacitaciones dirigidas a funcionarios de la DPE respecto a la importancia de la prevención de la tortura, el rol del MNPT y rol de la DPE en el ámbito tutelar. Las capacitaciones se ejecutaron en Quito, Portoviejo y Guayaquil.</w:t>
      </w:r>
    </w:p>
    <w:p w14:paraId="40BCE1B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92B5CF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En diciembre de 2018, en coordinación con la Dirección de Reparación a Víctimas, se realizó un evento denominado “La tortura y la desaparición forzada: una mirada desde la prevención y la reparación”, con la participación de más de 200 personas representantes de instituciones del Estado, sociedad civil, estudiantes universitarios y de la academia.</w:t>
      </w:r>
    </w:p>
    <w:p w14:paraId="7F9AD19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1666CF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En el 2019, se ejecutó el “Taller dentro del “Programa de Formación Continua para Jueces de Garantías Penitenciarias” realizado en Quito” donde se capacitó acerca de la prevención de la tortura y otros malos tratos a 24 servidores de las unidades de garantías penitenciarias de las provincias de Azuay, Cotopaxi, Guayas y Manabí. También se realizó el Taller sobre "Prevención de la tortura, tratos crueles, inhumanos o degradantes, como obligación del Estado frente al derecho a la vida e integridad", dirigido a 9 asambleístas.</w:t>
      </w:r>
      <w:r w:rsidRPr="00775AE5">
        <w:rPr>
          <w:rFonts w:ascii="Arial" w:hAnsi="Arial" w:cs="Arial"/>
          <w:sz w:val="22"/>
          <w:szCs w:val="22"/>
        </w:rPr>
        <w:t xml:space="preserve"> </w:t>
      </w:r>
    </w:p>
    <w:p w14:paraId="016FDA2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3B103B6B" w14:textId="77777777" w:rsidR="009E0A9E"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Así mismo, desde el 2019 se llevan procesos educativos coordinados en conjunto con el Servicio Nacional de Rehabilitación Social para Personas Adultas y Adolescentes Infractores (SNAI), en cumplimiento a la norma vigente y para responder a las disposiciones emitidas mediante sentencias de diferentes instancias. A continuación, una tabla que resume los procesos mencionados y el número de personas capacitadas:</w:t>
      </w:r>
    </w:p>
    <w:p w14:paraId="4A1039F0" w14:textId="77777777" w:rsidR="00BA2F6F" w:rsidRDefault="00BA2F6F" w:rsidP="009E0A9E">
      <w:pPr>
        <w:widowControl w:val="0"/>
        <w:suppressAutoHyphens/>
        <w:spacing w:line="276" w:lineRule="auto"/>
        <w:jc w:val="both"/>
        <w:rPr>
          <w:rFonts w:ascii="Arial" w:eastAsia="DejaVu Sans" w:hAnsi="Arial" w:cs="Arial"/>
          <w:sz w:val="22"/>
          <w:szCs w:val="22"/>
          <w:lang w:val="es-VE" w:eastAsia="es-EC"/>
        </w:rPr>
      </w:pPr>
    </w:p>
    <w:p w14:paraId="1F0C69EB" w14:textId="77777777" w:rsidR="009E0A9E" w:rsidRPr="00775AE5" w:rsidRDefault="009E0A9E" w:rsidP="002E2412">
      <w:pPr>
        <w:spacing w:line="276" w:lineRule="auto"/>
        <w:jc w:val="center"/>
        <w:rPr>
          <w:rFonts w:ascii="Arial" w:eastAsia="Calibri" w:hAnsi="Arial" w:cs="Arial"/>
          <w:sz w:val="22"/>
          <w:szCs w:val="22"/>
          <w:lang w:val="es-ES"/>
        </w:rPr>
      </w:pPr>
      <w:r w:rsidRPr="00775AE5">
        <w:rPr>
          <w:rFonts w:ascii="Arial" w:eastAsia="Calibri" w:hAnsi="Arial" w:cs="Arial"/>
          <w:sz w:val="22"/>
          <w:szCs w:val="22"/>
          <w:lang w:val="es-ES"/>
        </w:rPr>
        <w:t>Tabla 3</w:t>
      </w:r>
    </w:p>
    <w:p w14:paraId="3A4823A1" w14:textId="77777777" w:rsidR="009E0A9E" w:rsidRPr="00775AE5" w:rsidRDefault="009E0A9E" w:rsidP="002E2412">
      <w:pPr>
        <w:spacing w:line="276" w:lineRule="auto"/>
        <w:jc w:val="center"/>
        <w:rPr>
          <w:rFonts w:ascii="Arial" w:eastAsia="Calibri" w:hAnsi="Arial" w:cs="Arial"/>
          <w:i/>
          <w:sz w:val="22"/>
          <w:szCs w:val="22"/>
          <w:lang w:val="es-ES"/>
        </w:rPr>
      </w:pPr>
      <w:r w:rsidRPr="00775AE5">
        <w:rPr>
          <w:rFonts w:ascii="Arial" w:eastAsia="Calibri" w:hAnsi="Arial" w:cs="Arial"/>
          <w:i/>
          <w:sz w:val="22"/>
          <w:szCs w:val="22"/>
          <w:lang w:val="es-ES"/>
        </w:rPr>
        <w:t>Procesos educativos realizados por el MNPT, periodo 2019-2024</w:t>
      </w:r>
    </w:p>
    <w:p w14:paraId="7C8BA75C" w14:textId="77777777" w:rsidR="009E0A9E" w:rsidRPr="00775AE5" w:rsidRDefault="009E0A9E" w:rsidP="009E0A9E">
      <w:pPr>
        <w:pStyle w:val="Tabla"/>
        <w:rPr>
          <w:rFonts w:ascii="Arial" w:hAnsi="Arial" w:cs="Arial"/>
          <w:sz w:val="22"/>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
        <w:gridCol w:w="1488"/>
        <w:gridCol w:w="2725"/>
        <w:gridCol w:w="1730"/>
        <w:gridCol w:w="1495"/>
        <w:gridCol w:w="1476"/>
      </w:tblGrid>
      <w:tr w:rsidR="009E0A9E" w:rsidRPr="00775AE5" w14:paraId="7B089C46" w14:textId="77777777" w:rsidTr="00525437">
        <w:trPr>
          <w:trHeight w:val="462"/>
          <w:tblHeader/>
          <w:jc w:val="center"/>
        </w:trPr>
        <w:tc>
          <w:tcPr>
            <w:tcW w:w="746" w:type="dxa"/>
            <w:tcBorders>
              <w:top w:val="single" w:sz="4" w:space="0" w:color="auto"/>
              <w:left w:val="single" w:sz="4" w:space="0" w:color="auto"/>
              <w:bottom w:val="single" w:sz="4" w:space="0" w:color="auto"/>
              <w:right w:val="single" w:sz="4" w:space="0" w:color="auto"/>
            </w:tcBorders>
            <w:vAlign w:val="center"/>
            <w:hideMark/>
          </w:tcPr>
          <w:p w14:paraId="14A06664" w14:textId="77777777" w:rsidR="009E0A9E" w:rsidRPr="00775AE5" w:rsidRDefault="009E0A9E" w:rsidP="00525437">
            <w:pPr>
              <w:jc w:val="center"/>
              <w:rPr>
                <w:rFonts w:ascii="Arial" w:hAnsi="Arial" w:cs="Arial"/>
                <w:b/>
                <w:sz w:val="22"/>
                <w:szCs w:val="22"/>
              </w:rPr>
            </w:pPr>
            <w:r w:rsidRPr="00775AE5">
              <w:rPr>
                <w:rFonts w:ascii="Arial" w:hAnsi="Arial" w:cs="Arial"/>
                <w:b/>
                <w:sz w:val="22"/>
                <w:szCs w:val="22"/>
              </w:rPr>
              <w:t>Año</w:t>
            </w:r>
          </w:p>
        </w:tc>
        <w:tc>
          <w:tcPr>
            <w:tcW w:w="4354" w:type="dxa"/>
            <w:gridSpan w:val="2"/>
            <w:tcBorders>
              <w:top w:val="single" w:sz="4" w:space="0" w:color="auto"/>
              <w:left w:val="single" w:sz="4" w:space="0" w:color="auto"/>
              <w:bottom w:val="single" w:sz="4" w:space="0" w:color="auto"/>
              <w:right w:val="single" w:sz="4" w:space="0" w:color="auto"/>
            </w:tcBorders>
            <w:vAlign w:val="center"/>
            <w:hideMark/>
          </w:tcPr>
          <w:p w14:paraId="6884C871" w14:textId="77777777" w:rsidR="009E0A9E" w:rsidRPr="00775AE5" w:rsidRDefault="009E0A9E" w:rsidP="00525437">
            <w:pPr>
              <w:jc w:val="center"/>
              <w:rPr>
                <w:rFonts w:ascii="Arial" w:hAnsi="Arial" w:cs="Arial"/>
                <w:b/>
                <w:sz w:val="22"/>
                <w:szCs w:val="22"/>
              </w:rPr>
            </w:pPr>
            <w:r w:rsidRPr="00775AE5">
              <w:rPr>
                <w:rFonts w:ascii="Arial" w:hAnsi="Arial" w:cs="Arial"/>
                <w:b/>
                <w:sz w:val="22"/>
                <w:szCs w:val="22"/>
              </w:rPr>
              <w:t>Nombre del proceso de enseñanza-aprendizaje</w:t>
            </w:r>
          </w:p>
        </w:tc>
        <w:tc>
          <w:tcPr>
            <w:tcW w:w="1795" w:type="dxa"/>
            <w:tcBorders>
              <w:top w:val="single" w:sz="4" w:space="0" w:color="auto"/>
              <w:left w:val="single" w:sz="4" w:space="0" w:color="auto"/>
              <w:bottom w:val="single" w:sz="4" w:space="0" w:color="auto"/>
              <w:right w:val="single" w:sz="4" w:space="0" w:color="auto"/>
            </w:tcBorders>
            <w:vAlign w:val="center"/>
            <w:hideMark/>
          </w:tcPr>
          <w:p w14:paraId="490A8725" w14:textId="77777777" w:rsidR="009E0A9E" w:rsidRPr="00775AE5" w:rsidRDefault="009E0A9E" w:rsidP="00525437">
            <w:pPr>
              <w:jc w:val="center"/>
              <w:rPr>
                <w:rFonts w:ascii="Arial" w:hAnsi="Arial" w:cs="Arial"/>
                <w:b/>
                <w:sz w:val="22"/>
                <w:szCs w:val="22"/>
              </w:rPr>
            </w:pPr>
            <w:r w:rsidRPr="00775AE5">
              <w:rPr>
                <w:rFonts w:ascii="Arial" w:hAnsi="Arial" w:cs="Arial"/>
                <w:b/>
                <w:sz w:val="22"/>
                <w:szCs w:val="22"/>
              </w:rPr>
              <w:t>Fechas de ejecución</w:t>
            </w:r>
          </w:p>
        </w:tc>
        <w:tc>
          <w:tcPr>
            <w:tcW w:w="1546" w:type="dxa"/>
            <w:tcBorders>
              <w:top w:val="single" w:sz="4" w:space="0" w:color="auto"/>
              <w:left w:val="single" w:sz="4" w:space="0" w:color="auto"/>
              <w:bottom w:val="single" w:sz="4" w:space="0" w:color="auto"/>
              <w:right w:val="single" w:sz="4" w:space="0" w:color="auto"/>
            </w:tcBorders>
            <w:vAlign w:val="center"/>
            <w:hideMark/>
          </w:tcPr>
          <w:p w14:paraId="33EF6617" w14:textId="77777777" w:rsidR="009E0A9E" w:rsidRPr="00775AE5" w:rsidRDefault="009E0A9E" w:rsidP="00525437">
            <w:pPr>
              <w:jc w:val="center"/>
              <w:rPr>
                <w:rFonts w:ascii="Arial" w:hAnsi="Arial" w:cs="Arial"/>
                <w:b/>
                <w:sz w:val="22"/>
                <w:szCs w:val="22"/>
              </w:rPr>
            </w:pPr>
            <w:r w:rsidRPr="00775AE5">
              <w:rPr>
                <w:rFonts w:ascii="Arial" w:hAnsi="Arial" w:cs="Arial"/>
                <w:b/>
                <w:sz w:val="22"/>
                <w:szCs w:val="22"/>
              </w:rPr>
              <w:t>Modalidad</w:t>
            </w:r>
          </w:p>
        </w:tc>
        <w:tc>
          <w:tcPr>
            <w:tcW w:w="1335" w:type="dxa"/>
            <w:tcBorders>
              <w:top w:val="single" w:sz="4" w:space="0" w:color="auto"/>
              <w:left w:val="single" w:sz="4" w:space="0" w:color="auto"/>
              <w:bottom w:val="single" w:sz="4" w:space="0" w:color="auto"/>
              <w:right w:val="single" w:sz="4" w:space="0" w:color="auto"/>
            </w:tcBorders>
            <w:vAlign w:val="center"/>
            <w:hideMark/>
          </w:tcPr>
          <w:p w14:paraId="022C5D6C" w14:textId="77777777" w:rsidR="009E0A9E" w:rsidRPr="00775AE5" w:rsidRDefault="009E0A9E" w:rsidP="00525437">
            <w:pPr>
              <w:jc w:val="center"/>
              <w:rPr>
                <w:rFonts w:ascii="Arial" w:hAnsi="Arial" w:cs="Arial"/>
                <w:b/>
                <w:sz w:val="22"/>
                <w:szCs w:val="22"/>
              </w:rPr>
            </w:pPr>
            <w:r w:rsidRPr="00775AE5">
              <w:rPr>
                <w:rFonts w:ascii="Arial" w:hAnsi="Arial" w:cs="Arial"/>
                <w:b/>
                <w:sz w:val="22"/>
                <w:szCs w:val="22"/>
              </w:rPr>
              <w:t xml:space="preserve">Personas capacitadas </w:t>
            </w:r>
          </w:p>
        </w:tc>
      </w:tr>
      <w:tr w:rsidR="009E0A9E" w:rsidRPr="00775AE5" w14:paraId="291897DC" w14:textId="77777777" w:rsidTr="00525437">
        <w:trPr>
          <w:trHeight w:val="403"/>
          <w:jc w:val="center"/>
        </w:trPr>
        <w:tc>
          <w:tcPr>
            <w:tcW w:w="746" w:type="dxa"/>
            <w:tcBorders>
              <w:top w:val="single" w:sz="4" w:space="0" w:color="auto"/>
              <w:left w:val="single" w:sz="4" w:space="0" w:color="auto"/>
              <w:bottom w:val="single" w:sz="4" w:space="0" w:color="auto"/>
              <w:right w:val="single" w:sz="4" w:space="0" w:color="auto"/>
            </w:tcBorders>
            <w:vAlign w:val="center"/>
            <w:hideMark/>
          </w:tcPr>
          <w:p w14:paraId="1460116F"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2019</w:t>
            </w:r>
            <w:r w:rsidRPr="00775AE5">
              <w:rPr>
                <w:rStyle w:val="FootnoteReference"/>
                <w:rFonts w:ascii="Arial" w:hAnsi="Arial" w:cs="Arial"/>
                <w:sz w:val="22"/>
                <w:szCs w:val="22"/>
              </w:rPr>
              <w:footnoteReference w:id="25"/>
            </w:r>
          </w:p>
        </w:tc>
        <w:tc>
          <w:tcPr>
            <w:tcW w:w="4354" w:type="dxa"/>
            <w:gridSpan w:val="2"/>
            <w:tcBorders>
              <w:top w:val="single" w:sz="4" w:space="0" w:color="auto"/>
              <w:left w:val="single" w:sz="4" w:space="0" w:color="auto"/>
              <w:bottom w:val="single" w:sz="4" w:space="0" w:color="auto"/>
              <w:right w:val="single" w:sz="4" w:space="0" w:color="auto"/>
            </w:tcBorders>
            <w:vAlign w:val="center"/>
            <w:hideMark/>
          </w:tcPr>
          <w:p w14:paraId="44899E60"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Derechos humanos, obligaciones del Estado frente al derecho a la vida e integridad personal en contextos de privación de libertad como parte de la prevención</w:t>
            </w:r>
          </w:p>
        </w:tc>
        <w:tc>
          <w:tcPr>
            <w:tcW w:w="1795" w:type="dxa"/>
            <w:tcBorders>
              <w:top w:val="single" w:sz="4" w:space="0" w:color="auto"/>
              <w:left w:val="single" w:sz="4" w:space="0" w:color="auto"/>
              <w:bottom w:val="single" w:sz="4" w:space="0" w:color="auto"/>
              <w:right w:val="single" w:sz="4" w:space="0" w:color="auto"/>
            </w:tcBorders>
            <w:vAlign w:val="center"/>
            <w:hideMark/>
          </w:tcPr>
          <w:p w14:paraId="6E8D948D" w14:textId="77777777" w:rsidR="009E0A9E" w:rsidRPr="00775AE5" w:rsidRDefault="009E0A9E" w:rsidP="00525437">
            <w:pPr>
              <w:jc w:val="center"/>
              <w:rPr>
                <w:rFonts w:ascii="Arial" w:hAnsi="Arial" w:cs="Arial"/>
                <w:sz w:val="22"/>
                <w:szCs w:val="22"/>
                <w:lang w:val="en-US"/>
              </w:rPr>
            </w:pPr>
            <w:r w:rsidRPr="00775AE5">
              <w:rPr>
                <w:rFonts w:ascii="Arial" w:hAnsi="Arial" w:cs="Arial"/>
                <w:sz w:val="22"/>
                <w:szCs w:val="22"/>
                <w:lang w:val="en-US"/>
              </w:rPr>
              <w:t>27/</w:t>
            </w:r>
            <w:proofErr w:type="spellStart"/>
            <w:r w:rsidRPr="00775AE5">
              <w:rPr>
                <w:rFonts w:ascii="Arial" w:hAnsi="Arial" w:cs="Arial"/>
                <w:sz w:val="22"/>
                <w:szCs w:val="22"/>
                <w:lang w:val="en-US"/>
              </w:rPr>
              <w:t>sep</w:t>
            </w:r>
            <w:proofErr w:type="spellEnd"/>
            <w:r w:rsidRPr="00775AE5">
              <w:rPr>
                <w:rFonts w:ascii="Arial" w:hAnsi="Arial" w:cs="Arial"/>
                <w:sz w:val="22"/>
                <w:szCs w:val="22"/>
                <w:lang w:val="en-US"/>
              </w:rPr>
              <w:t>/ 2019</w:t>
            </w:r>
          </w:p>
          <w:p w14:paraId="4888D098" w14:textId="77777777" w:rsidR="009E0A9E" w:rsidRPr="00775AE5" w:rsidRDefault="009E0A9E" w:rsidP="00525437">
            <w:pPr>
              <w:jc w:val="center"/>
              <w:rPr>
                <w:rFonts w:ascii="Arial" w:hAnsi="Arial" w:cs="Arial"/>
                <w:sz w:val="22"/>
                <w:szCs w:val="22"/>
                <w:lang w:val="en-US"/>
              </w:rPr>
            </w:pPr>
            <w:r w:rsidRPr="00775AE5">
              <w:rPr>
                <w:rFonts w:ascii="Arial" w:hAnsi="Arial" w:cs="Arial"/>
                <w:sz w:val="22"/>
                <w:szCs w:val="22"/>
                <w:lang w:val="en-US"/>
              </w:rPr>
              <w:t>18/oct/2019</w:t>
            </w:r>
          </w:p>
          <w:p w14:paraId="43B73C4C" w14:textId="77777777" w:rsidR="009E0A9E" w:rsidRPr="00775AE5" w:rsidRDefault="009E0A9E" w:rsidP="00525437">
            <w:pPr>
              <w:jc w:val="center"/>
              <w:rPr>
                <w:rFonts w:ascii="Arial" w:hAnsi="Arial" w:cs="Arial"/>
                <w:sz w:val="22"/>
                <w:szCs w:val="22"/>
                <w:lang w:val="en-US"/>
              </w:rPr>
            </w:pPr>
            <w:r w:rsidRPr="00775AE5">
              <w:rPr>
                <w:rFonts w:ascii="Arial" w:hAnsi="Arial" w:cs="Arial"/>
                <w:sz w:val="22"/>
                <w:szCs w:val="22"/>
                <w:lang w:val="en-US"/>
              </w:rPr>
              <w:t>25/oct/2019</w:t>
            </w:r>
          </w:p>
          <w:p w14:paraId="67910AB8" w14:textId="77777777" w:rsidR="009E0A9E" w:rsidRPr="00775AE5" w:rsidRDefault="009E0A9E" w:rsidP="00525437">
            <w:pPr>
              <w:jc w:val="center"/>
              <w:rPr>
                <w:rFonts w:ascii="Arial" w:hAnsi="Arial" w:cs="Arial"/>
                <w:sz w:val="22"/>
                <w:szCs w:val="22"/>
                <w:lang w:val="en-US"/>
              </w:rPr>
            </w:pPr>
            <w:r w:rsidRPr="00775AE5">
              <w:rPr>
                <w:rFonts w:ascii="Arial" w:hAnsi="Arial" w:cs="Arial"/>
                <w:sz w:val="22"/>
                <w:szCs w:val="22"/>
                <w:lang w:val="en-US"/>
              </w:rPr>
              <w:t>07/</w:t>
            </w:r>
            <w:proofErr w:type="spellStart"/>
            <w:r w:rsidRPr="00775AE5">
              <w:rPr>
                <w:rFonts w:ascii="Arial" w:hAnsi="Arial" w:cs="Arial"/>
                <w:sz w:val="22"/>
                <w:szCs w:val="22"/>
                <w:lang w:val="en-US"/>
              </w:rPr>
              <w:t>nov</w:t>
            </w:r>
            <w:proofErr w:type="spellEnd"/>
            <w:r w:rsidRPr="00775AE5">
              <w:rPr>
                <w:rFonts w:ascii="Arial" w:hAnsi="Arial" w:cs="Arial"/>
                <w:sz w:val="22"/>
                <w:szCs w:val="22"/>
                <w:lang w:val="en-US"/>
              </w:rPr>
              <w:t>/2019</w:t>
            </w:r>
          </w:p>
          <w:p w14:paraId="42553040" w14:textId="77777777" w:rsidR="009E0A9E" w:rsidRPr="00775AE5" w:rsidRDefault="009E0A9E" w:rsidP="00525437">
            <w:pPr>
              <w:jc w:val="center"/>
              <w:rPr>
                <w:rFonts w:ascii="Arial" w:hAnsi="Arial" w:cs="Arial"/>
                <w:sz w:val="22"/>
                <w:szCs w:val="22"/>
                <w:lang w:val="en-US"/>
              </w:rPr>
            </w:pPr>
            <w:r w:rsidRPr="00775AE5">
              <w:rPr>
                <w:rFonts w:ascii="Arial" w:hAnsi="Arial" w:cs="Arial"/>
                <w:sz w:val="22"/>
                <w:szCs w:val="22"/>
                <w:lang w:val="en-US"/>
              </w:rPr>
              <w:t>08/</w:t>
            </w:r>
            <w:proofErr w:type="spellStart"/>
            <w:r w:rsidRPr="00775AE5">
              <w:rPr>
                <w:rFonts w:ascii="Arial" w:hAnsi="Arial" w:cs="Arial"/>
                <w:sz w:val="22"/>
                <w:szCs w:val="22"/>
                <w:lang w:val="en-US"/>
              </w:rPr>
              <w:t>nov</w:t>
            </w:r>
            <w:proofErr w:type="spellEnd"/>
            <w:r w:rsidRPr="00775AE5">
              <w:rPr>
                <w:rFonts w:ascii="Arial" w:hAnsi="Arial" w:cs="Arial"/>
                <w:sz w:val="22"/>
                <w:szCs w:val="22"/>
                <w:lang w:val="en-US"/>
              </w:rPr>
              <w:t>/2019</w:t>
            </w:r>
          </w:p>
        </w:tc>
        <w:tc>
          <w:tcPr>
            <w:tcW w:w="1546" w:type="dxa"/>
            <w:tcBorders>
              <w:top w:val="single" w:sz="4" w:space="0" w:color="auto"/>
              <w:left w:val="single" w:sz="4" w:space="0" w:color="auto"/>
              <w:bottom w:val="single" w:sz="4" w:space="0" w:color="auto"/>
              <w:right w:val="single" w:sz="4" w:space="0" w:color="auto"/>
            </w:tcBorders>
            <w:vAlign w:val="center"/>
            <w:hideMark/>
          </w:tcPr>
          <w:p w14:paraId="5928E74F"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Curso virtual (DPE) y curso presencial en CRS Cotopaxi</w:t>
            </w:r>
          </w:p>
        </w:tc>
        <w:tc>
          <w:tcPr>
            <w:tcW w:w="1335" w:type="dxa"/>
            <w:tcBorders>
              <w:top w:val="single" w:sz="4" w:space="0" w:color="auto"/>
              <w:left w:val="single" w:sz="4" w:space="0" w:color="auto"/>
              <w:bottom w:val="single" w:sz="4" w:space="0" w:color="auto"/>
              <w:right w:val="single" w:sz="4" w:space="0" w:color="auto"/>
            </w:tcBorders>
            <w:vAlign w:val="center"/>
            <w:hideMark/>
          </w:tcPr>
          <w:p w14:paraId="113E964C"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101</w:t>
            </w:r>
          </w:p>
        </w:tc>
      </w:tr>
      <w:tr w:rsidR="009E0A9E" w:rsidRPr="00775AE5" w14:paraId="393A305E" w14:textId="77777777" w:rsidTr="00525437">
        <w:trPr>
          <w:trHeight w:val="403"/>
          <w:jc w:val="center"/>
        </w:trPr>
        <w:tc>
          <w:tcPr>
            <w:tcW w:w="746" w:type="dxa"/>
            <w:tcBorders>
              <w:top w:val="single" w:sz="4" w:space="0" w:color="auto"/>
              <w:left w:val="single" w:sz="4" w:space="0" w:color="auto"/>
              <w:bottom w:val="single" w:sz="4" w:space="0" w:color="auto"/>
              <w:right w:val="single" w:sz="4" w:space="0" w:color="auto"/>
            </w:tcBorders>
            <w:vAlign w:val="center"/>
            <w:hideMark/>
          </w:tcPr>
          <w:p w14:paraId="2F8699E1"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2020</w:t>
            </w:r>
          </w:p>
        </w:tc>
        <w:tc>
          <w:tcPr>
            <w:tcW w:w="4354" w:type="dxa"/>
            <w:gridSpan w:val="2"/>
            <w:tcBorders>
              <w:top w:val="single" w:sz="4" w:space="0" w:color="auto"/>
              <w:left w:val="single" w:sz="4" w:space="0" w:color="auto"/>
              <w:bottom w:val="single" w:sz="4" w:space="0" w:color="auto"/>
              <w:right w:val="single" w:sz="4" w:space="0" w:color="auto"/>
            </w:tcBorders>
            <w:vAlign w:val="center"/>
            <w:hideMark/>
          </w:tcPr>
          <w:p w14:paraId="59CA271A"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Derechos humanos en el contexto penitenciario</w:t>
            </w:r>
          </w:p>
        </w:tc>
        <w:tc>
          <w:tcPr>
            <w:tcW w:w="1795" w:type="dxa"/>
            <w:tcBorders>
              <w:top w:val="single" w:sz="4" w:space="0" w:color="auto"/>
              <w:left w:val="single" w:sz="4" w:space="0" w:color="auto"/>
              <w:bottom w:val="single" w:sz="4" w:space="0" w:color="auto"/>
              <w:right w:val="single" w:sz="4" w:space="0" w:color="auto"/>
            </w:tcBorders>
            <w:vAlign w:val="center"/>
            <w:hideMark/>
          </w:tcPr>
          <w:p w14:paraId="3B4AEC88"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Inicio: 27/oct/2020</w:t>
            </w:r>
          </w:p>
          <w:p w14:paraId="44610050"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Fin: 6/nov/2020</w:t>
            </w:r>
          </w:p>
        </w:tc>
        <w:tc>
          <w:tcPr>
            <w:tcW w:w="1546" w:type="dxa"/>
            <w:tcBorders>
              <w:top w:val="single" w:sz="4" w:space="0" w:color="auto"/>
              <w:left w:val="single" w:sz="4" w:space="0" w:color="auto"/>
              <w:bottom w:val="single" w:sz="4" w:space="0" w:color="auto"/>
              <w:right w:val="single" w:sz="4" w:space="0" w:color="auto"/>
            </w:tcBorders>
            <w:vAlign w:val="center"/>
            <w:hideMark/>
          </w:tcPr>
          <w:p w14:paraId="5855CDE9"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Curso virtual (SNAI)</w:t>
            </w:r>
          </w:p>
        </w:tc>
        <w:tc>
          <w:tcPr>
            <w:tcW w:w="1335" w:type="dxa"/>
            <w:tcBorders>
              <w:top w:val="single" w:sz="4" w:space="0" w:color="auto"/>
              <w:left w:val="single" w:sz="4" w:space="0" w:color="auto"/>
              <w:bottom w:val="single" w:sz="4" w:space="0" w:color="auto"/>
              <w:right w:val="single" w:sz="4" w:space="0" w:color="auto"/>
            </w:tcBorders>
            <w:vAlign w:val="center"/>
            <w:hideMark/>
          </w:tcPr>
          <w:p w14:paraId="6EC93D1B"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2342</w:t>
            </w:r>
          </w:p>
        </w:tc>
      </w:tr>
      <w:tr w:rsidR="009E0A9E" w:rsidRPr="00775AE5" w14:paraId="75835EDE" w14:textId="77777777" w:rsidTr="00525437">
        <w:trPr>
          <w:trHeight w:val="403"/>
          <w:jc w:val="center"/>
        </w:trPr>
        <w:tc>
          <w:tcPr>
            <w:tcW w:w="746" w:type="dxa"/>
            <w:vMerge w:val="restart"/>
            <w:tcBorders>
              <w:top w:val="single" w:sz="4" w:space="0" w:color="auto"/>
              <w:left w:val="single" w:sz="4" w:space="0" w:color="auto"/>
              <w:bottom w:val="single" w:sz="4" w:space="0" w:color="auto"/>
              <w:right w:val="single" w:sz="4" w:space="0" w:color="auto"/>
            </w:tcBorders>
            <w:vAlign w:val="center"/>
            <w:hideMark/>
          </w:tcPr>
          <w:p w14:paraId="085E4DDC"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2021</w:t>
            </w:r>
          </w:p>
        </w:tc>
        <w:tc>
          <w:tcPr>
            <w:tcW w:w="4354" w:type="dxa"/>
            <w:gridSpan w:val="2"/>
            <w:tcBorders>
              <w:top w:val="single" w:sz="4" w:space="0" w:color="auto"/>
              <w:left w:val="single" w:sz="4" w:space="0" w:color="auto"/>
              <w:bottom w:val="single" w:sz="4" w:space="0" w:color="auto"/>
              <w:right w:val="single" w:sz="4" w:space="0" w:color="auto"/>
            </w:tcBorders>
            <w:vAlign w:val="center"/>
            <w:hideMark/>
          </w:tcPr>
          <w:p w14:paraId="24DD9DE1"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Seminario para aspirantes al Cuerpo de Seguridad Penitenciaria</w:t>
            </w:r>
          </w:p>
        </w:tc>
        <w:tc>
          <w:tcPr>
            <w:tcW w:w="1795" w:type="dxa"/>
            <w:tcBorders>
              <w:top w:val="single" w:sz="4" w:space="0" w:color="auto"/>
              <w:left w:val="single" w:sz="4" w:space="0" w:color="auto"/>
              <w:bottom w:val="single" w:sz="4" w:space="0" w:color="auto"/>
              <w:right w:val="single" w:sz="4" w:space="0" w:color="auto"/>
            </w:tcBorders>
            <w:vAlign w:val="center"/>
            <w:hideMark/>
          </w:tcPr>
          <w:p w14:paraId="64FE99FA"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03/mar/2021</w:t>
            </w:r>
          </w:p>
        </w:tc>
        <w:tc>
          <w:tcPr>
            <w:tcW w:w="1546" w:type="dxa"/>
            <w:tcBorders>
              <w:top w:val="single" w:sz="4" w:space="0" w:color="auto"/>
              <w:left w:val="single" w:sz="4" w:space="0" w:color="auto"/>
              <w:bottom w:val="single" w:sz="4" w:space="0" w:color="auto"/>
              <w:right w:val="single" w:sz="4" w:space="0" w:color="auto"/>
            </w:tcBorders>
            <w:vAlign w:val="center"/>
            <w:hideMark/>
          </w:tcPr>
          <w:p w14:paraId="1665F27A"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Sincrónico (Zoom)</w:t>
            </w:r>
          </w:p>
        </w:tc>
        <w:tc>
          <w:tcPr>
            <w:tcW w:w="1335" w:type="dxa"/>
            <w:tcBorders>
              <w:top w:val="single" w:sz="4" w:space="0" w:color="auto"/>
              <w:left w:val="single" w:sz="4" w:space="0" w:color="auto"/>
              <w:bottom w:val="single" w:sz="4" w:space="0" w:color="auto"/>
              <w:right w:val="single" w:sz="4" w:space="0" w:color="auto"/>
            </w:tcBorders>
            <w:vAlign w:val="center"/>
            <w:hideMark/>
          </w:tcPr>
          <w:p w14:paraId="6013DFF3"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204</w:t>
            </w:r>
            <w:r w:rsidRPr="00775AE5">
              <w:rPr>
                <w:rStyle w:val="FootnoteReference"/>
                <w:rFonts w:ascii="Arial" w:hAnsi="Arial" w:cs="Arial"/>
                <w:sz w:val="22"/>
                <w:szCs w:val="22"/>
              </w:rPr>
              <w:footnoteReference w:id="26"/>
            </w:r>
          </w:p>
        </w:tc>
      </w:tr>
      <w:tr w:rsidR="009E0A9E" w:rsidRPr="00775AE5" w14:paraId="1876A866" w14:textId="77777777" w:rsidTr="00525437">
        <w:trPr>
          <w:trHeight w:val="40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DB5293" w14:textId="77777777" w:rsidR="009E0A9E" w:rsidRPr="00775AE5" w:rsidRDefault="009E0A9E" w:rsidP="00525437">
            <w:pPr>
              <w:rPr>
                <w:rFonts w:ascii="Arial" w:hAnsi="Arial" w:cs="Arial"/>
                <w:sz w:val="22"/>
                <w:szCs w:val="22"/>
                <w:lang w:val="es-EC"/>
              </w:rPr>
            </w:pPr>
          </w:p>
        </w:tc>
        <w:tc>
          <w:tcPr>
            <w:tcW w:w="4354" w:type="dxa"/>
            <w:gridSpan w:val="2"/>
            <w:tcBorders>
              <w:top w:val="single" w:sz="4" w:space="0" w:color="auto"/>
              <w:left w:val="single" w:sz="4" w:space="0" w:color="auto"/>
              <w:bottom w:val="single" w:sz="4" w:space="0" w:color="auto"/>
              <w:right w:val="single" w:sz="4" w:space="0" w:color="auto"/>
            </w:tcBorders>
            <w:vAlign w:val="center"/>
            <w:hideMark/>
          </w:tcPr>
          <w:p w14:paraId="37FBA8D8"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Derechos y Garantías de las personas privadas de libertad</w:t>
            </w:r>
          </w:p>
        </w:tc>
        <w:tc>
          <w:tcPr>
            <w:tcW w:w="1795" w:type="dxa"/>
            <w:tcBorders>
              <w:top w:val="single" w:sz="4" w:space="0" w:color="auto"/>
              <w:left w:val="single" w:sz="4" w:space="0" w:color="auto"/>
              <w:bottom w:val="single" w:sz="4" w:space="0" w:color="auto"/>
              <w:right w:val="single" w:sz="4" w:space="0" w:color="auto"/>
            </w:tcBorders>
            <w:vAlign w:val="center"/>
            <w:hideMark/>
          </w:tcPr>
          <w:p w14:paraId="4C893F55"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Inicio: 26/</w:t>
            </w:r>
            <w:proofErr w:type="spellStart"/>
            <w:r w:rsidRPr="00775AE5">
              <w:rPr>
                <w:rFonts w:ascii="Arial" w:hAnsi="Arial" w:cs="Arial"/>
                <w:sz w:val="22"/>
                <w:szCs w:val="22"/>
              </w:rPr>
              <w:t>may</w:t>
            </w:r>
            <w:proofErr w:type="spellEnd"/>
            <w:r w:rsidRPr="00775AE5">
              <w:rPr>
                <w:rFonts w:ascii="Arial" w:hAnsi="Arial" w:cs="Arial"/>
                <w:sz w:val="22"/>
                <w:szCs w:val="22"/>
              </w:rPr>
              <w:t>/2021</w:t>
            </w:r>
          </w:p>
          <w:p w14:paraId="484F8A0D"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Fin: 29/</w:t>
            </w:r>
            <w:proofErr w:type="spellStart"/>
            <w:r w:rsidRPr="00775AE5">
              <w:rPr>
                <w:rFonts w:ascii="Arial" w:hAnsi="Arial" w:cs="Arial"/>
                <w:sz w:val="22"/>
                <w:szCs w:val="22"/>
              </w:rPr>
              <w:t>may</w:t>
            </w:r>
            <w:proofErr w:type="spellEnd"/>
            <w:r w:rsidRPr="00775AE5">
              <w:rPr>
                <w:rFonts w:ascii="Arial" w:hAnsi="Arial" w:cs="Arial"/>
                <w:sz w:val="22"/>
                <w:szCs w:val="22"/>
              </w:rPr>
              <w:t>/2021</w:t>
            </w:r>
          </w:p>
        </w:tc>
        <w:tc>
          <w:tcPr>
            <w:tcW w:w="1546" w:type="dxa"/>
            <w:tcBorders>
              <w:top w:val="single" w:sz="4" w:space="0" w:color="auto"/>
              <w:left w:val="single" w:sz="4" w:space="0" w:color="auto"/>
              <w:bottom w:val="single" w:sz="4" w:space="0" w:color="auto"/>
              <w:right w:val="single" w:sz="4" w:space="0" w:color="auto"/>
            </w:tcBorders>
            <w:vAlign w:val="center"/>
            <w:hideMark/>
          </w:tcPr>
          <w:p w14:paraId="2E6FFD53"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Curso virtual (SNAI)</w:t>
            </w:r>
          </w:p>
        </w:tc>
        <w:tc>
          <w:tcPr>
            <w:tcW w:w="1335" w:type="dxa"/>
            <w:tcBorders>
              <w:top w:val="single" w:sz="4" w:space="0" w:color="auto"/>
              <w:left w:val="single" w:sz="4" w:space="0" w:color="auto"/>
              <w:bottom w:val="single" w:sz="4" w:space="0" w:color="auto"/>
              <w:right w:val="single" w:sz="4" w:space="0" w:color="auto"/>
            </w:tcBorders>
            <w:vAlign w:val="center"/>
            <w:hideMark/>
          </w:tcPr>
          <w:p w14:paraId="19562283"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2315</w:t>
            </w:r>
          </w:p>
        </w:tc>
      </w:tr>
      <w:tr w:rsidR="009E0A9E" w:rsidRPr="00775AE5" w14:paraId="014C7E6E" w14:textId="77777777" w:rsidTr="00525437">
        <w:trPr>
          <w:trHeight w:val="40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271C5C" w14:textId="77777777" w:rsidR="009E0A9E" w:rsidRPr="00775AE5" w:rsidRDefault="009E0A9E" w:rsidP="00525437">
            <w:pPr>
              <w:rPr>
                <w:rFonts w:ascii="Arial" w:hAnsi="Arial" w:cs="Arial"/>
                <w:sz w:val="22"/>
                <w:szCs w:val="22"/>
                <w:lang w:val="es-EC"/>
              </w:rPr>
            </w:pPr>
          </w:p>
        </w:tc>
        <w:tc>
          <w:tcPr>
            <w:tcW w:w="4354" w:type="dxa"/>
            <w:gridSpan w:val="2"/>
            <w:tcBorders>
              <w:top w:val="single" w:sz="4" w:space="0" w:color="auto"/>
              <w:left w:val="single" w:sz="4" w:space="0" w:color="auto"/>
              <w:bottom w:val="single" w:sz="4" w:space="0" w:color="auto"/>
              <w:right w:val="single" w:sz="4" w:space="0" w:color="auto"/>
            </w:tcBorders>
            <w:vAlign w:val="center"/>
            <w:hideMark/>
          </w:tcPr>
          <w:p w14:paraId="4677BDF4" w14:textId="77777777" w:rsidR="009E0A9E" w:rsidRPr="00775AE5" w:rsidRDefault="009E0A9E" w:rsidP="00525437">
            <w:pPr>
              <w:jc w:val="center"/>
              <w:rPr>
                <w:rFonts w:ascii="Arial" w:hAnsi="Arial" w:cs="Arial"/>
                <w:sz w:val="22"/>
                <w:szCs w:val="22"/>
              </w:rPr>
            </w:pPr>
            <w:r w:rsidRPr="00775AE5">
              <w:rPr>
                <w:rFonts w:ascii="Arial" w:hAnsi="Arial" w:cs="Arial"/>
                <w:bCs/>
                <w:iCs/>
                <w:color w:val="000000"/>
                <w:sz w:val="22"/>
                <w:szCs w:val="22"/>
                <w:shd w:val="clear" w:color="auto" w:fill="FFFFFF"/>
              </w:rPr>
              <w:t>Derechos Humanos en contextos penitenciarios con visión de género</w:t>
            </w:r>
          </w:p>
        </w:tc>
        <w:tc>
          <w:tcPr>
            <w:tcW w:w="1795" w:type="dxa"/>
            <w:tcBorders>
              <w:top w:val="single" w:sz="4" w:space="0" w:color="auto"/>
              <w:left w:val="single" w:sz="4" w:space="0" w:color="auto"/>
              <w:bottom w:val="single" w:sz="4" w:space="0" w:color="auto"/>
              <w:right w:val="single" w:sz="4" w:space="0" w:color="auto"/>
            </w:tcBorders>
            <w:vAlign w:val="center"/>
            <w:hideMark/>
          </w:tcPr>
          <w:p w14:paraId="7ABF0CE2"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Inicio: 20/</w:t>
            </w:r>
            <w:proofErr w:type="spellStart"/>
            <w:r w:rsidRPr="00775AE5">
              <w:rPr>
                <w:rFonts w:ascii="Arial" w:hAnsi="Arial" w:cs="Arial"/>
                <w:sz w:val="22"/>
                <w:szCs w:val="22"/>
              </w:rPr>
              <w:t>sep</w:t>
            </w:r>
            <w:proofErr w:type="spellEnd"/>
            <w:r w:rsidRPr="00775AE5">
              <w:rPr>
                <w:rFonts w:ascii="Arial" w:hAnsi="Arial" w:cs="Arial"/>
                <w:sz w:val="22"/>
                <w:szCs w:val="22"/>
              </w:rPr>
              <w:t>/2021</w:t>
            </w:r>
          </w:p>
          <w:p w14:paraId="0E5E32BD"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Fin: 30/</w:t>
            </w:r>
            <w:proofErr w:type="spellStart"/>
            <w:r w:rsidRPr="00775AE5">
              <w:rPr>
                <w:rFonts w:ascii="Arial" w:hAnsi="Arial" w:cs="Arial"/>
                <w:sz w:val="22"/>
                <w:szCs w:val="22"/>
              </w:rPr>
              <w:t>sep</w:t>
            </w:r>
            <w:proofErr w:type="spellEnd"/>
            <w:r w:rsidRPr="00775AE5">
              <w:rPr>
                <w:rFonts w:ascii="Arial" w:hAnsi="Arial" w:cs="Arial"/>
                <w:sz w:val="22"/>
                <w:szCs w:val="22"/>
              </w:rPr>
              <w:t>/2021</w:t>
            </w:r>
          </w:p>
        </w:tc>
        <w:tc>
          <w:tcPr>
            <w:tcW w:w="1546" w:type="dxa"/>
            <w:tcBorders>
              <w:top w:val="single" w:sz="4" w:space="0" w:color="auto"/>
              <w:left w:val="single" w:sz="4" w:space="0" w:color="auto"/>
              <w:bottom w:val="single" w:sz="4" w:space="0" w:color="auto"/>
              <w:right w:val="single" w:sz="4" w:space="0" w:color="auto"/>
            </w:tcBorders>
            <w:vAlign w:val="center"/>
            <w:hideMark/>
          </w:tcPr>
          <w:p w14:paraId="4ECD4138"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Curso virtual (SNAI)</w:t>
            </w:r>
          </w:p>
        </w:tc>
        <w:tc>
          <w:tcPr>
            <w:tcW w:w="1335" w:type="dxa"/>
            <w:tcBorders>
              <w:top w:val="single" w:sz="4" w:space="0" w:color="auto"/>
              <w:left w:val="single" w:sz="4" w:space="0" w:color="auto"/>
              <w:bottom w:val="single" w:sz="4" w:space="0" w:color="auto"/>
              <w:right w:val="single" w:sz="4" w:space="0" w:color="auto"/>
            </w:tcBorders>
            <w:vAlign w:val="center"/>
            <w:hideMark/>
          </w:tcPr>
          <w:p w14:paraId="334BE2E7"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2290</w:t>
            </w:r>
          </w:p>
        </w:tc>
      </w:tr>
      <w:tr w:rsidR="009E0A9E" w:rsidRPr="00775AE5" w14:paraId="66C92080" w14:textId="77777777" w:rsidTr="00525437">
        <w:trPr>
          <w:trHeight w:val="403"/>
          <w:jc w:val="center"/>
        </w:trPr>
        <w:tc>
          <w:tcPr>
            <w:tcW w:w="746" w:type="dxa"/>
            <w:vMerge w:val="restart"/>
            <w:tcBorders>
              <w:top w:val="single" w:sz="4" w:space="0" w:color="auto"/>
              <w:left w:val="single" w:sz="4" w:space="0" w:color="auto"/>
              <w:bottom w:val="single" w:sz="4" w:space="0" w:color="auto"/>
              <w:right w:val="single" w:sz="4" w:space="0" w:color="auto"/>
            </w:tcBorders>
            <w:vAlign w:val="center"/>
            <w:hideMark/>
          </w:tcPr>
          <w:p w14:paraId="6E9AF283"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2022</w:t>
            </w:r>
          </w:p>
        </w:tc>
        <w:tc>
          <w:tcPr>
            <w:tcW w:w="4354" w:type="dxa"/>
            <w:gridSpan w:val="2"/>
            <w:tcBorders>
              <w:top w:val="single" w:sz="4" w:space="0" w:color="auto"/>
              <w:left w:val="single" w:sz="4" w:space="0" w:color="auto"/>
              <w:bottom w:val="single" w:sz="4" w:space="0" w:color="auto"/>
              <w:right w:val="single" w:sz="4" w:space="0" w:color="auto"/>
            </w:tcBorders>
            <w:vAlign w:val="center"/>
            <w:hideMark/>
          </w:tcPr>
          <w:p w14:paraId="49568067" w14:textId="77777777" w:rsidR="009E0A9E" w:rsidRPr="00775AE5" w:rsidRDefault="009E0A9E" w:rsidP="00525437">
            <w:pPr>
              <w:jc w:val="center"/>
              <w:rPr>
                <w:rFonts w:ascii="Arial" w:hAnsi="Arial" w:cs="Arial"/>
                <w:bCs/>
                <w:iCs/>
                <w:color w:val="000000"/>
                <w:sz w:val="22"/>
                <w:szCs w:val="22"/>
                <w:shd w:val="clear" w:color="auto" w:fill="FFFFFF"/>
              </w:rPr>
            </w:pPr>
            <w:r w:rsidRPr="00775AE5">
              <w:rPr>
                <w:rFonts w:ascii="Arial" w:hAnsi="Arial" w:cs="Arial"/>
                <w:sz w:val="22"/>
                <w:szCs w:val="22"/>
              </w:rPr>
              <w:t>Ley Orgánica que Regula el Uso Legítimo de la Fuerza</w:t>
            </w:r>
          </w:p>
        </w:tc>
        <w:tc>
          <w:tcPr>
            <w:tcW w:w="1795" w:type="dxa"/>
            <w:tcBorders>
              <w:top w:val="single" w:sz="4" w:space="0" w:color="auto"/>
              <w:left w:val="single" w:sz="4" w:space="0" w:color="auto"/>
              <w:bottom w:val="single" w:sz="4" w:space="0" w:color="auto"/>
              <w:right w:val="single" w:sz="4" w:space="0" w:color="auto"/>
            </w:tcBorders>
            <w:vAlign w:val="center"/>
            <w:hideMark/>
          </w:tcPr>
          <w:p w14:paraId="1688DBB1"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Inicio: 20/</w:t>
            </w:r>
            <w:proofErr w:type="spellStart"/>
            <w:r w:rsidRPr="00775AE5">
              <w:rPr>
                <w:rFonts w:ascii="Arial" w:hAnsi="Arial" w:cs="Arial"/>
                <w:sz w:val="22"/>
                <w:szCs w:val="22"/>
              </w:rPr>
              <w:t>sep</w:t>
            </w:r>
            <w:proofErr w:type="spellEnd"/>
            <w:r w:rsidRPr="00775AE5">
              <w:rPr>
                <w:rFonts w:ascii="Arial" w:hAnsi="Arial" w:cs="Arial"/>
                <w:sz w:val="22"/>
                <w:szCs w:val="22"/>
              </w:rPr>
              <w:t>/2022</w:t>
            </w:r>
          </w:p>
          <w:p w14:paraId="1B60DAD6"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Fin: 30/</w:t>
            </w:r>
            <w:proofErr w:type="spellStart"/>
            <w:r w:rsidRPr="00775AE5">
              <w:rPr>
                <w:rFonts w:ascii="Arial" w:hAnsi="Arial" w:cs="Arial"/>
                <w:sz w:val="22"/>
                <w:szCs w:val="22"/>
              </w:rPr>
              <w:t>sep</w:t>
            </w:r>
            <w:proofErr w:type="spellEnd"/>
            <w:r w:rsidRPr="00775AE5">
              <w:rPr>
                <w:rFonts w:ascii="Arial" w:hAnsi="Arial" w:cs="Arial"/>
                <w:sz w:val="22"/>
                <w:szCs w:val="22"/>
              </w:rPr>
              <w:t>/2022</w:t>
            </w:r>
          </w:p>
        </w:tc>
        <w:tc>
          <w:tcPr>
            <w:tcW w:w="1546" w:type="dxa"/>
            <w:tcBorders>
              <w:top w:val="single" w:sz="4" w:space="0" w:color="auto"/>
              <w:left w:val="single" w:sz="4" w:space="0" w:color="auto"/>
              <w:bottom w:val="single" w:sz="4" w:space="0" w:color="auto"/>
              <w:right w:val="single" w:sz="4" w:space="0" w:color="auto"/>
            </w:tcBorders>
            <w:vAlign w:val="center"/>
            <w:hideMark/>
          </w:tcPr>
          <w:p w14:paraId="6DB80CCB"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Curso virtual (SNAI)</w:t>
            </w:r>
          </w:p>
        </w:tc>
        <w:tc>
          <w:tcPr>
            <w:tcW w:w="1335" w:type="dxa"/>
            <w:tcBorders>
              <w:top w:val="single" w:sz="4" w:space="0" w:color="auto"/>
              <w:left w:val="single" w:sz="4" w:space="0" w:color="auto"/>
              <w:bottom w:val="single" w:sz="4" w:space="0" w:color="auto"/>
              <w:right w:val="single" w:sz="4" w:space="0" w:color="auto"/>
            </w:tcBorders>
            <w:vAlign w:val="center"/>
            <w:hideMark/>
          </w:tcPr>
          <w:p w14:paraId="48CFCBC5"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1242</w:t>
            </w:r>
            <w:r w:rsidRPr="00775AE5">
              <w:rPr>
                <w:rStyle w:val="FootnoteReference"/>
                <w:rFonts w:ascii="Arial" w:hAnsi="Arial" w:cs="Arial"/>
                <w:sz w:val="22"/>
                <w:szCs w:val="22"/>
              </w:rPr>
              <w:footnoteReference w:id="27"/>
            </w:r>
          </w:p>
        </w:tc>
      </w:tr>
      <w:tr w:rsidR="009E0A9E" w:rsidRPr="00775AE5" w14:paraId="6A8E6D86" w14:textId="77777777" w:rsidTr="00525437">
        <w:trPr>
          <w:trHeight w:val="40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F0C9D5" w14:textId="77777777" w:rsidR="009E0A9E" w:rsidRPr="00775AE5" w:rsidRDefault="009E0A9E" w:rsidP="00525437">
            <w:pPr>
              <w:rPr>
                <w:rFonts w:ascii="Arial" w:hAnsi="Arial" w:cs="Arial"/>
                <w:sz w:val="22"/>
                <w:szCs w:val="22"/>
                <w:lang w:val="es-EC"/>
              </w:rPr>
            </w:pPr>
          </w:p>
        </w:tc>
        <w:tc>
          <w:tcPr>
            <w:tcW w:w="1307" w:type="dxa"/>
            <w:vMerge w:val="restart"/>
            <w:tcBorders>
              <w:top w:val="single" w:sz="4" w:space="0" w:color="auto"/>
              <w:left w:val="single" w:sz="4" w:space="0" w:color="auto"/>
              <w:bottom w:val="single" w:sz="4" w:space="0" w:color="auto"/>
              <w:right w:val="single" w:sz="4" w:space="0" w:color="auto"/>
            </w:tcBorders>
            <w:vAlign w:val="center"/>
            <w:hideMark/>
          </w:tcPr>
          <w:p w14:paraId="4C7BC978" w14:textId="77777777" w:rsidR="009E0A9E" w:rsidRPr="00775AE5" w:rsidRDefault="009E0A9E" w:rsidP="00525437">
            <w:pPr>
              <w:jc w:val="center"/>
              <w:rPr>
                <w:rFonts w:ascii="Arial" w:hAnsi="Arial" w:cs="Arial"/>
                <w:sz w:val="22"/>
                <w:szCs w:val="22"/>
              </w:rPr>
            </w:pPr>
            <w:r w:rsidRPr="00775AE5">
              <w:rPr>
                <w:rFonts w:ascii="Arial" w:hAnsi="Arial" w:cs="Arial"/>
                <w:bCs/>
                <w:sz w:val="22"/>
                <w:szCs w:val="22"/>
              </w:rPr>
              <w:t>Programa de formador de formadores de Agentes de Seguridad Penitenciaria (ASP)</w:t>
            </w:r>
          </w:p>
        </w:tc>
        <w:tc>
          <w:tcPr>
            <w:tcW w:w="3047" w:type="dxa"/>
            <w:tcBorders>
              <w:top w:val="single" w:sz="4" w:space="0" w:color="auto"/>
              <w:left w:val="single" w:sz="4" w:space="0" w:color="auto"/>
              <w:bottom w:val="single" w:sz="4" w:space="0" w:color="auto"/>
              <w:right w:val="single" w:sz="4" w:space="0" w:color="auto"/>
            </w:tcBorders>
            <w:vAlign w:val="center"/>
            <w:hideMark/>
          </w:tcPr>
          <w:p w14:paraId="43ECD94F" w14:textId="77777777" w:rsidR="009E0A9E" w:rsidRPr="00775AE5" w:rsidRDefault="009E0A9E" w:rsidP="00525437">
            <w:pPr>
              <w:rPr>
                <w:rFonts w:ascii="Arial" w:hAnsi="Arial" w:cs="Arial"/>
                <w:sz w:val="22"/>
                <w:szCs w:val="22"/>
              </w:rPr>
            </w:pPr>
            <w:r w:rsidRPr="00775AE5">
              <w:rPr>
                <w:rFonts w:ascii="Arial" w:hAnsi="Arial" w:cs="Arial"/>
                <w:bCs/>
                <w:sz w:val="22"/>
                <w:szCs w:val="22"/>
              </w:rPr>
              <w:t>Educación en Derechos, Obligaciones del Estado y rol de los servidores/as públicos/as</w:t>
            </w:r>
          </w:p>
        </w:tc>
        <w:tc>
          <w:tcPr>
            <w:tcW w:w="1795" w:type="dxa"/>
            <w:tcBorders>
              <w:top w:val="single" w:sz="4" w:space="0" w:color="auto"/>
              <w:left w:val="single" w:sz="4" w:space="0" w:color="auto"/>
              <w:bottom w:val="single" w:sz="4" w:space="0" w:color="auto"/>
              <w:right w:val="single" w:sz="4" w:space="0" w:color="auto"/>
            </w:tcBorders>
            <w:vAlign w:val="center"/>
            <w:hideMark/>
          </w:tcPr>
          <w:p w14:paraId="705987EF"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03/</w:t>
            </w:r>
            <w:proofErr w:type="spellStart"/>
            <w:r w:rsidRPr="00775AE5">
              <w:rPr>
                <w:rFonts w:ascii="Arial" w:hAnsi="Arial" w:cs="Arial"/>
                <w:sz w:val="22"/>
                <w:szCs w:val="22"/>
              </w:rPr>
              <w:t>ago</w:t>
            </w:r>
            <w:proofErr w:type="spellEnd"/>
            <w:r w:rsidRPr="00775AE5">
              <w:rPr>
                <w:rFonts w:ascii="Arial" w:hAnsi="Arial" w:cs="Arial"/>
                <w:sz w:val="22"/>
                <w:szCs w:val="22"/>
              </w:rPr>
              <w:t>/2022</w:t>
            </w:r>
          </w:p>
        </w:tc>
        <w:tc>
          <w:tcPr>
            <w:tcW w:w="1546" w:type="dxa"/>
            <w:vMerge w:val="restart"/>
            <w:tcBorders>
              <w:top w:val="single" w:sz="4" w:space="0" w:color="auto"/>
              <w:left w:val="single" w:sz="4" w:space="0" w:color="auto"/>
              <w:bottom w:val="single" w:sz="4" w:space="0" w:color="auto"/>
              <w:right w:val="single" w:sz="4" w:space="0" w:color="auto"/>
            </w:tcBorders>
            <w:vAlign w:val="center"/>
            <w:hideMark/>
          </w:tcPr>
          <w:p w14:paraId="35C0CCAB"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Curso presencial</w:t>
            </w:r>
          </w:p>
        </w:tc>
        <w:tc>
          <w:tcPr>
            <w:tcW w:w="1335" w:type="dxa"/>
            <w:vMerge w:val="restart"/>
            <w:tcBorders>
              <w:top w:val="single" w:sz="4" w:space="0" w:color="auto"/>
              <w:left w:val="single" w:sz="4" w:space="0" w:color="auto"/>
              <w:bottom w:val="single" w:sz="4" w:space="0" w:color="auto"/>
              <w:right w:val="single" w:sz="4" w:space="0" w:color="auto"/>
            </w:tcBorders>
            <w:vAlign w:val="center"/>
            <w:hideMark/>
          </w:tcPr>
          <w:p w14:paraId="407884E0"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24</w:t>
            </w:r>
          </w:p>
        </w:tc>
      </w:tr>
      <w:tr w:rsidR="009E0A9E" w:rsidRPr="00775AE5" w14:paraId="0C6CD112" w14:textId="77777777" w:rsidTr="00525437">
        <w:trPr>
          <w:trHeight w:val="40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0C99F3" w14:textId="77777777" w:rsidR="009E0A9E" w:rsidRPr="00775AE5" w:rsidRDefault="009E0A9E" w:rsidP="00525437">
            <w:pPr>
              <w:rPr>
                <w:rFonts w:ascii="Arial" w:hAnsi="Arial" w:cs="Arial"/>
                <w:sz w:val="22"/>
                <w:szCs w:val="22"/>
                <w:lang w:val="es-EC"/>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7AEB2C" w14:textId="77777777" w:rsidR="009E0A9E" w:rsidRPr="00775AE5" w:rsidRDefault="009E0A9E" w:rsidP="00525437">
            <w:pPr>
              <w:rPr>
                <w:rFonts w:ascii="Arial" w:hAnsi="Arial" w:cs="Arial"/>
                <w:sz w:val="22"/>
                <w:szCs w:val="22"/>
                <w:lang w:val="es-EC"/>
              </w:rPr>
            </w:pPr>
          </w:p>
        </w:tc>
        <w:tc>
          <w:tcPr>
            <w:tcW w:w="3047" w:type="dxa"/>
            <w:tcBorders>
              <w:top w:val="single" w:sz="4" w:space="0" w:color="auto"/>
              <w:left w:val="single" w:sz="4" w:space="0" w:color="auto"/>
              <w:bottom w:val="single" w:sz="4" w:space="0" w:color="auto"/>
              <w:right w:val="single" w:sz="4" w:space="0" w:color="auto"/>
            </w:tcBorders>
            <w:vAlign w:val="center"/>
            <w:hideMark/>
          </w:tcPr>
          <w:p w14:paraId="299CE668" w14:textId="77777777" w:rsidR="009E0A9E" w:rsidRPr="00775AE5" w:rsidRDefault="009E0A9E" w:rsidP="00525437">
            <w:pPr>
              <w:rPr>
                <w:rFonts w:ascii="Arial" w:hAnsi="Arial" w:cs="Arial"/>
                <w:bCs/>
                <w:sz w:val="22"/>
                <w:szCs w:val="22"/>
              </w:rPr>
            </w:pPr>
            <w:r w:rsidRPr="00775AE5">
              <w:rPr>
                <w:rFonts w:ascii="Arial" w:hAnsi="Arial" w:cs="Arial"/>
                <w:bCs/>
                <w:sz w:val="22"/>
                <w:szCs w:val="22"/>
              </w:rPr>
              <w:t>Derechos Humanos en el contexto penitenciario y condiciones de las mujeres privadas de libertad</w:t>
            </w:r>
          </w:p>
        </w:tc>
        <w:tc>
          <w:tcPr>
            <w:tcW w:w="1795" w:type="dxa"/>
            <w:tcBorders>
              <w:top w:val="single" w:sz="4" w:space="0" w:color="auto"/>
              <w:left w:val="single" w:sz="4" w:space="0" w:color="auto"/>
              <w:bottom w:val="single" w:sz="4" w:space="0" w:color="auto"/>
              <w:right w:val="single" w:sz="4" w:space="0" w:color="auto"/>
            </w:tcBorders>
            <w:vAlign w:val="center"/>
            <w:hideMark/>
          </w:tcPr>
          <w:p w14:paraId="033FDB28"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08/</w:t>
            </w:r>
            <w:proofErr w:type="spellStart"/>
            <w:r w:rsidRPr="00775AE5">
              <w:rPr>
                <w:rFonts w:ascii="Arial" w:hAnsi="Arial" w:cs="Arial"/>
                <w:sz w:val="22"/>
                <w:szCs w:val="22"/>
              </w:rPr>
              <w:t>ago</w:t>
            </w:r>
            <w:proofErr w:type="spellEnd"/>
            <w:r w:rsidRPr="00775AE5">
              <w:rPr>
                <w:rFonts w:ascii="Arial" w:hAnsi="Arial" w:cs="Arial"/>
                <w:sz w:val="22"/>
                <w:szCs w:val="22"/>
              </w:rPr>
              <w:t>/2022</w:t>
            </w:r>
          </w:p>
          <w:p w14:paraId="43C749EC"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09/</w:t>
            </w:r>
            <w:proofErr w:type="spellStart"/>
            <w:r w:rsidRPr="00775AE5">
              <w:rPr>
                <w:rFonts w:ascii="Arial" w:hAnsi="Arial" w:cs="Arial"/>
                <w:sz w:val="22"/>
                <w:szCs w:val="22"/>
              </w:rPr>
              <w:t>ago</w:t>
            </w:r>
            <w:proofErr w:type="spellEnd"/>
            <w:r w:rsidRPr="00775AE5">
              <w:rPr>
                <w:rFonts w:ascii="Arial" w:hAnsi="Arial" w:cs="Arial"/>
                <w:sz w:val="22"/>
                <w:szCs w:val="22"/>
              </w:rPr>
              <w:t>/2022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6BCC03" w14:textId="77777777" w:rsidR="009E0A9E" w:rsidRPr="00775AE5" w:rsidRDefault="009E0A9E" w:rsidP="00525437">
            <w:pPr>
              <w:rPr>
                <w:rFonts w:ascii="Arial" w:hAnsi="Arial" w:cs="Arial"/>
                <w:sz w:val="22"/>
                <w:szCs w:val="22"/>
                <w:lang w:val="es-EC"/>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7E616F" w14:textId="77777777" w:rsidR="009E0A9E" w:rsidRPr="00775AE5" w:rsidRDefault="009E0A9E" w:rsidP="00525437">
            <w:pPr>
              <w:rPr>
                <w:rFonts w:ascii="Arial" w:hAnsi="Arial" w:cs="Arial"/>
                <w:sz w:val="22"/>
                <w:szCs w:val="22"/>
                <w:lang w:val="es-EC"/>
              </w:rPr>
            </w:pPr>
          </w:p>
        </w:tc>
      </w:tr>
      <w:tr w:rsidR="009E0A9E" w:rsidRPr="00775AE5" w14:paraId="39B42E94" w14:textId="77777777" w:rsidTr="00525437">
        <w:trPr>
          <w:trHeight w:val="40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9D48D3" w14:textId="77777777" w:rsidR="009E0A9E" w:rsidRPr="00775AE5" w:rsidRDefault="009E0A9E" w:rsidP="00525437">
            <w:pPr>
              <w:rPr>
                <w:rFonts w:ascii="Arial" w:hAnsi="Arial" w:cs="Arial"/>
                <w:sz w:val="22"/>
                <w:szCs w:val="22"/>
                <w:lang w:val="es-EC"/>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FFA3B7" w14:textId="77777777" w:rsidR="009E0A9E" w:rsidRPr="00775AE5" w:rsidRDefault="009E0A9E" w:rsidP="00525437">
            <w:pPr>
              <w:rPr>
                <w:rFonts w:ascii="Arial" w:hAnsi="Arial" w:cs="Arial"/>
                <w:sz w:val="22"/>
                <w:szCs w:val="22"/>
                <w:lang w:val="es-EC"/>
              </w:rPr>
            </w:pPr>
          </w:p>
        </w:tc>
        <w:tc>
          <w:tcPr>
            <w:tcW w:w="3047" w:type="dxa"/>
            <w:tcBorders>
              <w:top w:val="single" w:sz="4" w:space="0" w:color="auto"/>
              <w:left w:val="single" w:sz="4" w:space="0" w:color="auto"/>
              <w:bottom w:val="single" w:sz="4" w:space="0" w:color="auto"/>
              <w:right w:val="single" w:sz="4" w:space="0" w:color="auto"/>
            </w:tcBorders>
            <w:vAlign w:val="center"/>
            <w:hideMark/>
          </w:tcPr>
          <w:p w14:paraId="13386DE3" w14:textId="77777777" w:rsidR="009E0A9E" w:rsidRPr="00775AE5" w:rsidRDefault="009E0A9E" w:rsidP="00525437">
            <w:pPr>
              <w:rPr>
                <w:rFonts w:ascii="Arial" w:hAnsi="Arial" w:cs="Arial"/>
                <w:bCs/>
                <w:sz w:val="22"/>
                <w:szCs w:val="22"/>
              </w:rPr>
            </w:pPr>
            <w:r w:rsidRPr="00775AE5">
              <w:rPr>
                <w:rFonts w:ascii="Arial" w:hAnsi="Arial" w:cs="Arial"/>
                <w:bCs/>
                <w:sz w:val="22"/>
                <w:szCs w:val="22"/>
              </w:rPr>
              <w:t>Prevención de la Tortura, tratos crueles, inhumanos y degradantes</w:t>
            </w:r>
          </w:p>
        </w:tc>
        <w:tc>
          <w:tcPr>
            <w:tcW w:w="1795" w:type="dxa"/>
            <w:tcBorders>
              <w:top w:val="single" w:sz="4" w:space="0" w:color="auto"/>
              <w:left w:val="single" w:sz="4" w:space="0" w:color="auto"/>
              <w:bottom w:val="single" w:sz="4" w:space="0" w:color="auto"/>
              <w:right w:val="single" w:sz="4" w:space="0" w:color="auto"/>
            </w:tcBorders>
            <w:vAlign w:val="center"/>
            <w:hideMark/>
          </w:tcPr>
          <w:p w14:paraId="76DC5F19"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28/</w:t>
            </w:r>
            <w:proofErr w:type="spellStart"/>
            <w:r w:rsidRPr="00775AE5">
              <w:rPr>
                <w:rFonts w:ascii="Arial" w:hAnsi="Arial" w:cs="Arial"/>
                <w:sz w:val="22"/>
                <w:szCs w:val="22"/>
              </w:rPr>
              <w:t>sep</w:t>
            </w:r>
            <w:proofErr w:type="spellEnd"/>
            <w:r w:rsidRPr="00775AE5">
              <w:rPr>
                <w:rFonts w:ascii="Arial" w:hAnsi="Arial" w:cs="Arial"/>
                <w:sz w:val="22"/>
                <w:szCs w:val="22"/>
              </w:rPr>
              <w:t>/2022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3946C7" w14:textId="77777777" w:rsidR="009E0A9E" w:rsidRPr="00775AE5" w:rsidRDefault="009E0A9E" w:rsidP="00525437">
            <w:pPr>
              <w:rPr>
                <w:rFonts w:ascii="Arial" w:hAnsi="Arial" w:cs="Arial"/>
                <w:sz w:val="22"/>
                <w:szCs w:val="22"/>
                <w:lang w:val="es-EC"/>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5D3482" w14:textId="77777777" w:rsidR="009E0A9E" w:rsidRPr="00775AE5" w:rsidRDefault="009E0A9E" w:rsidP="00525437">
            <w:pPr>
              <w:rPr>
                <w:rFonts w:ascii="Arial" w:hAnsi="Arial" w:cs="Arial"/>
                <w:sz w:val="22"/>
                <w:szCs w:val="22"/>
                <w:lang w:val="es-EC"/>
              </w:rPr>
            </w:pPr>
          </w:p>
        </w:tc>
      </w:tr>
      <w:tr w:rsidR="009E0A9E" w:rsidRPr="00775AE5" w14:paraId="68428990" w14:textId="77777777" w:rsidTr="00525437">
        <w:trPr>
          <w:trHeight w:val="40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6BA4F4" w14:textId="77777777" w:rsidR="009E0A9E" w:rsidRPr="00775AE5" w:rsidRDefault="009E0A9E" w:rsidP="00525437">
            <w:pPr>
              <w:rPr>
                <w:rFonts w:ascii="Arial" w:hAnsi="Arial" w:cs="Arial"/>
                <w:sz w:val="22"/>
                <w:szCs w:val="22"/>
                <w:lang w:val="es-EC"/>
              </w:rPr>
            </w:pPr>
          </w:p>
        </w:tc>
        <w:tc>
          <w:tcPr>
            <w:tcW w:w="4354" w:type="dxa"/>
            <w:gridSpan w:val="2"/>
            <w:tcBorders>
              <w:top w:val="single" w:sz="4" w:space="0" w:color="auto"/>
              <w:left w:val="single" w:sz="4" w:space="0" w:color="auto"/>
              <w:bottom w:val="single" w:sz="4" w:space="0" w:color="auto"/>
              <w:right w:val="single" w:sz="4" w:space="0" w:color="auto"/>
            </w:tcBorders>
            <w:vAlign w:val="center"/>
            <w:hideMark/>
          </w:tcPr>
          <w:p w14:paraId="4CA3FF87" w14:textId="77777777" w:rsidR="009E0A9E" w:rsidRPr="00775AE5" w:rsidRDefault="009E0A9E" w:rsidP="00525437">
            <w:pPr>
              <w:jc w:val="center"/>
              <w:rPr>
                <w:rFonts w:ascii="Arial" w:hAnsi="Arial" w:cs="Arial"/>
                <w:bCs/>
                <w:sz w:val="22"/>
                <w:szCs w:val="22"/>
              </w:rPr>
            </w:pPr>
            <w:r w:rsidRPr="00775AE5">
              <w:rPr>
                <w:rFonts w:ascii="Arial" w:hAnsi="Arial" w:cs="Arial"/>
                <w:bCs/>
                <w:sz w:val="22"/>
                <w:szCs w:val="22"/>
              </w:rPr>
              <w:t>Introducción a los derechos humanos</w:t>
            </w:r>
          </w:p>
        </w:tc>
        <w:tc>
          <w:tcPr>
            <w:tcW w:w="1795" w:type="dxa"/>
            <w:tcBorders>
              <w:top w:val="single" w:sz="4" w:space="0" w:color="auto"/>
              <w:left w:val="single" w:sz="4" w:space="0" w:color="auto"/>
              <w:bottom w:val="single" w:sz="4" w:space="0" w:color="auto"/>
              <w:right w:val="single" w:sz="4" w:space="0" w:color="auto"/>
            </w:tcBorders>
            <w:vAlign w:val="center"/>
            <w:hideMark/>
          </w:tcPr>
          <w:p w14:paraId="4A8EC48B"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Inicio: 24/oct/2022</w:t>
            </w:r>
          </w:p>
          <w:p w14:paraId="6216F4EA"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Fin: 20/nov/2022</w:t>
            </w:r>
          </w:p>
        </w:tc>
        <w:tc>
          <w:tcPr>
            <w:tcW w:w="1546" w:type="dxa"/>
            <w:tcBorders>
              <w:top w:val="single" w:sz="4" w:space="0" w:color="auto"/>
              <w:left w:val="single" w:sz="4" w:space="0" w:color="auto"/>
              <w:bottom w:val="single" w:sz="4" w:space="0" w:color="auto"/>
              <w:right w:val="single" w:sz="4" w:space="0" w:color="auto"/>
            </w:tcBorders>
            <w:vAlign w:val="center"/>
            <w:hideMark/>
          </w:tcPr>
          <w:p w14:paraId="25BEAED8"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Curso virtual (DPE)</w:t>
            </w:r>
          </w:p>
        </w:tc>
        <w:tc>
          <w:tcPr>
            <w:tcW w:w="1335" w:type="dxa"/>
            <w:tcBorders>
              <w:top w:val="single" w:sz="4" w:space="0" w:color="auto"/>
              <w:left w:val="single" w:sz="4" w:space="0" w:color="auto"/>
              <w:bottom w:val="single" w:sz="4" w:space="0" w:color="auto"/>
              <w:right w:val="single" w:sz="4" w:space="0" w:color="auto"/>
            </w:tcBorders>
            <w:vAlign w:val="center"/>
            <w:hideMark/>
          </w:tcPr>
          <w:p w14:paraId="1F465549"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1232</w:t>
            </w:r>
            <w:r w:rsidRPr="00775AE5">
              <w:rPr>
                <w:rStyle w:val="FootnoteReference"/>
                <w:rFonts w:ascii="Arial" w:hAnsi="Arial" w:cs="Arial"/>
                <w:sz w:val="22"/>
                <w:szCs w:val="22"/>
              </w:rPr>
              <w:footnoteReference w:id="28"/>
            </w:r>
          </w:p>
        </w:tc>
      </w:tr>
      <w:tr w:rsidR="009E0A9E" w:rsidRPr="00775AE5" w14:paraId="06CDFE93" w14:textId="77777777" w:rsidTr="00525437">
        <w:trPr>
          <w:trHeight w:val="403"/>
          <w:jc w:val="center"/>
        </w:trPr>
        <w:tc>
          <w:tcPr>
            <w:tcW w:w="746" w:type="dxa"/>
            <w:vMerge w:val="restart"/>
            <w:tcBorders>
              <w:top w:val="single" w:sz="4" w:space="0" w:color="auto"/>
              <w:left w:val="single" w:sz="4" w:space="0" w:color="auto"/>
              <w:bottom w:val="single" w:sz="4" w:space="0" w:color="auto"/>
              <w:right w:val="single" w:sz="4" w:space="0" w:color="auto"/>
            </w:tcBorders>
            <w:vAlign w:val="center"/>
            <w:hideMark/>
          </w:tcPr>
          <w:p w14:paraId="5BA4546B"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2023</w:t>
            </w:r>
          </w:p>
        </w:tc>
        <w:tc>
          <w:tcPr>
            <w:tcW w:w="4354" w:type="dxa"/>
            <w:gridSpan w:val="2"/>
            <w:tcBorders>
              <w:top w:val="single" w:sz="4" w:space="0" w:color="auto"/>
              <w:left w:val="single" w:sz="4" w:space="0" w:color="auto"/>
              <w:bottom w:val="single" w:sz="4" w:space="0" w:color="auto"/>
              <w:right w:val="single" w:sz="4" w:space="0" w:color="auto"/>
            </w:tcBorders>
            <w:vAlign w:val="center"/>
            <w:hideMark/>
          </w:tcPr>
          <w:p w14:paraId="4A47776B" w14:textId="77777777" w:rsidR="009E0A9E" w:rsidRPr="00775AE5" w:rsidRDefault="009E0A9E" w:rsidP="00525437">
            <w:pPr>
              <w:jc w:val="center"/>
              <w:rPr>
                <w:rFonts w:ascii="Arial" w:hAnsi="Arial" w:cs="Arial"/>
                <w:bCs/>
                <w:sz w:val="22"/>
                <w:szCs w:val="22"/>
              </w:rPr>
            </w:pPr>
            <w:r w:rsidRPr="00775AE5">
              <w:rPr>
                <w:rFonts w:ascii="Arial" w:hAnsi="Arial" w:cs="Arial"/>
                <w:sz w:val="22"/>
                <w:szCs w:val="22"/>
              </w:rPr>
              <w:t>Uso de la fuerza y grupos de atención prioritaria</w:t>
            </w:r>
          </w:p>
        </w:tc>
        <w:tc>
          <w:tcPr>
            <w:tcW w:w="1795" w:type="dxa"/>
            <w:tcBorders>
              <w:top w:val="single" w:sz="4" w:space="0" w:color="auto"/>
              <w:left w:val="single" w:sz="4" w:space="0" w:color="auto"/>
              <w:bottom w:val="single" w:sz="4" w:space="0" w:color="auto"/>
              <w:right w:val="single" w:sz="4" w:space="0" w:color="auto"/>
            </w:tcBorders>
            <w:vAlign w:val="center"/>
            <w:hideMark/>
          </w:tcPr>
          <w:p w14:paraId="32BD28F3"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31/mar/2023</w:t>
            </w:r>
          </w:p>
        </w:tc>
        <w:tc>
          <w:tcPr>
            <w:tcW w:w="1546" w:type="dxa"/>
            <w:tcBorders>
              <w:top w:val="single" w:sz="4" w:space="0" w:color="auto"/>
              <w:left w:val="single" w:sz="4" w:space="0" w:color="auto"/>
              <w:bottom w:val="single" w:sz="4" w:space="0" w:color="auto"/>
              <w:right w:val="single" w:sz="4" w:space="0" w:color="auto"/>
            </w:tcBorders>
            <w:vAlign w:val="center"/>
            <w:hideMark/>
          </w:tcPr>
          <w:p w14:paraId="1DD8CD64"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Curso presencial</w:t>
            </w:r>
          </w:p>
        </w:tc>
        <w:tc>
          <w:tcPr>
            <w:tcW w:w="1335" w:type="dxa"/>
            <w:tcBorders>
              <w:top w:val="single" w:sz="4" w:space="0" w:color="auto"/>
              <w:left w:val="single" w:sz="4" w:space="0" w:color="auto"/>
              <w:bottom w:val="single" w:sz="4" w:space="0" w:color="auto"/>
              <w:right w:val="single" w:sz="4" w:space="0" w:color="auto"/>
            </w:tcBorders>
            <w:vAlign w:val="center"/>
            <w:hideMark/>
          </w:tcPr>
          <w:p w14:paraId="214C4A60"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33</w:t>
            </w:r>
            <w:r w:rsidRPr="00775AE5">
              <w:rPr>
                <w:rStyle w:val="FootnoteReference"/>
                <w:rFonts w:ascii="Arial" w:hAnsi="Arial" w:cs="Arial"/>
                <w:sz w:val="22"/>
                <w:szCs w:val="22"/>
              </w:rPr>
              <w:footnoteReference w:id="29"/>
            </w:r>
          </w:p>
        </w:tc>
      </w:tr>
      <w:tr w:rsidR="009E0A9E" w:rsidRPr="00775AE5" w14:paraId="658E6367" w14:textId="77777777" w:rsidTr="00525437">
        <w:trPr>
          <w:trHeight w:val="40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ABFBA3" w14:textId="77777777" w:rsidR="009E0A9E" w:rsidRPr="00775AE5" w:rsidRDefault="009E0A9E" w:rsidP="00525437">
            <w:pPr>
              <w:rPr>
                <w:rFonts w:ascii="Arial" w:hAnsi="Arial" w:cs="Arial"/>
                <w:sz w:val="22"/>
                <w:szCs w:val="22"/>
                <w:lang w:val="es-EC"/>
              </w:rPr>
            </w:pPr>
          </w:p>
        </w:tc>
        <w:tc>
          <w:tcPr>
            <w:tcW w:w="4354" w:type="dxa"/>
            <w:gridSpan w:val="2"/>
            <w:tcBorders>
              <w:top w:val="single" w:sz="4" w:space="0" w:color="auto"/>
              <w:left w:val="single" w:sz="4" w:space="0" w:color="auto"/>
              <w:bottom w:val="single" w:sz="4" w:space="0" w:color="auto"/>
              <w:right w:val="single" w:sz="4" w:space="0" w:color="auto"/>
            </w:tcBorders>
            <w:vAlign w:val="center"/>
            <w:hideMark/>
          </w:tcPr>
          <w:p w14:paraId="0BE15277" w14:textId="77777777" w:rsidR="009E0A9E" w:rsidRPr="00775AE5" w:rsidRDefault="009E0A9E" w:rsidP="00525437">
            <w:pPr>
              <w:jc w:val="center"/>
              <w:rPr>
                <w:rFonts w:ascii="Arial" w:hAnsi="Arial" w:cs="Arial"/>
                <w:sz w:val="22"/>
                <w:szCs w:val="22"/>
              </w:rPr>
            </w:pPr>
            <w:r w:rsidRPr="00775AE5">
              <w:rPr>
                <w:rFonts w:ascii="Arial" w:hAnsi="Arial" w:cs="Arial"/>
                <w:bCs/>
                <w:sz w:val="22"/>
                <w:szCs w:val="22"/>
              </w:rPr>
              <w:t>Introducción a los derechos humanos</w:t>
            </w:r>
          </w:p>
        </w:tc>
        <w:tc>
          <w:tcPr>
            <w:tcW w:w="1795" w:type="dxa"/>
            <w:tcBorders>
              <w:top w:val="single" w:sz="4" w:space="0" w:color="auto"/>
              <w:left w:val="single" w:sz="4" w:space="0" w:color="auto"/>
              <w:bottom w:val="single" w:sz="4" w:space="0" w:color="auto"/>
              <w:right w:val="single" w:sz="4" w:space="0" w:color="auto"/>
            </w:tcBorders>
            <w:vAlign w:val="center"/>
            <w:hideMark/>
          </w:tcPr>
          <w:p w14:paraId="5E256630"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Inicio: 07/feb/2022</w:t>
            </w:r>
          </w:p>
          <w:p w14:paraId="5BCE19CD"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Fin: 12/mar/2022</w:t>
            </w:r>
          </w:p>
        </w:tc>
        <w:tc>
          <w:tcPr>
            <w:tcW w:w="1546" w:type="dxa"/>
            <w:tcBorders>
              <w:top w:val="single" w:sz="4" w:space="0" w:color="auto"/>
              <w:left w:val="single" w:sz="4" w:space="0" w:color="auto"/>
              <w:bottom w:val="single" w:sz="4" w:space="0" w:color="auto"/>
              <w:right w:val="single" w:sz="4" w:space="0" w:color="auto"/>
            </w:tcBorders>
            <w:vAlign w:val="center"/>
            <w:hideMark/>
          </w:tcPr>
          <w:p w14:paraId="0CC0A990"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Curso virtual (DPE)</w:t>
            </w:r>
          </w:p>
        </w:tc>
        <w:tc>
          <w:tcPr>
            <w:tcW w:w="1335" w:type="dxa"/>
            <w:tcBorders>
              <w:top w:val="single" w:sz="4" w:space="0" w:color="auto"/>
              <w:left w:val="single" w:sz="4" w:space="0" w:color="auto"/>
              <w:bottom w:val="single" w:sz="4" w:space="0" w:color="auto"/>
              <w:right w:val="single" w:sz="4" w:space="0" w:color="auto"/>
            </w:tcBorders>
            <w:vAlign w:val="center"/>
            <w:hideMark/>
          </w:tcPr>
          <w:p w14:paraId="5635B5DB"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211</w:t>
            </w:r>
            <w:r w:rsidRPr="00775AE5">
              <w:rPr>
                <w:rStyle w:val="FootnoteReference"/>
                <w:rFonts w:ascii="Arial" w:hAnsi="Arial" w:cs="Arial"/>
                <w:sz w:val="22"/>
                <w:szCs w:val="22"/>
              </w:rPr>
              <w:footnoteReference w:id="30"/>
            </w:r>
          </w:p>
        </w:tc>
      </w:tr>
      <w:tr w:rsidR="009E0A9E" w:rsidRPr="00775AE5" w14:paraId="36126BAC" w14:textId="77777777" w:rsidTr="00525437">
        <w:trPr>
          <w:trHeight w:val="403"/>
          <w:jc w:val="center"/>
        </w:trPr>
        <w:tc>
          <w:tcPr>
            <w:tcW w:w="0" w:type="auto"/>
            <w:vMerge w:val="restart"/>
            <w:tcBorders>
              <w:top w:val="single" w:sz="4" w:space="0" w:color="auto"/>
              <w:left w:val="single" w:sz="4" w:space="0" w:color="auto"/>
              <w:right w:val="single" w:sz="4" w:space="0" w:color="auto"/>
            </w:tcBorders>
            <w:vAlign w:val="center"/>
          </w:tcPr>
          <w:p w14:paraId="2288663F" w14:textId="77777777" w:rsidR="009E0A9E" w:rsidRPr="00775AE5" w:rsidRDefault="009E0A9E" w:rsidP="00525437">
            <w:pPr>
              <w:rPr>
                <w:rFonts w:ascii="Arial" w:hAnsi="Arial" w:cs="Arial"/>
                <w:sz w:val="22"/>
                <w:szCs w:val="22"/>
                <w:lang w:val="es-EC"/>
              </w:rPr>
            </w:pPr>
            <w:r w:rsidRPr="00775AE5">
              <w:rPr>
                <w:rFonts w:ascii="Arial" w:hAnsi="Arial" w:cs="Arial"/>
                <w:sz w:val="22"/>
                <w:szCs w:val="22"/>
                <w:lang w:val="es-EC"/>
              </w:rPr>
              <w:t>2023</w:t>
            </w:r>
          </w:p>
        </w:tc>
        <w:tc>
          <w:tcPr>
            <w:tcW w:w="4354" w:type="dxa"/>
            <w:gridSpan w:val="2"/>
            <w:tcBorders>
              <w:top w:val="single" w:sz="4" w:space="0" w:color="auto"/>
              <w:left w:val="single" w:sz="4" w:space="0" w:color="auto"/>
              <w:bottom w:val="single" w:sz="4" w:space="0" w:color="auto"/>
              <w:right w:val="single" w:sz="4" w:space="0" w:color="auto"/>
            </w:tcBorders>
          </w:tcPr>
          <w:p w14:paraId="65C75414" w14:textId="77777777" w:rsidR="009E0A9E" w:rsidRPr="00775AE5" w:rsidRDefault="009E0A9E" w:rsidP="00525437">
            <w:pPr>
              <w:jc w:val="center"/>
              <w:rPr>
                <w:rFonts w:ascii="Arial" w:hAnsi="Arial" w:cs="Arial"/>
                <w:bCs/>
                <w:sz w:val="22"/>
                <w:szCs w:val="22"/>
              </w:rPr>
            </w:pPr>
            <w:r w:rsidRPr="00775AE5">
              <w:rPr>
                <w:rFonts w:ascii="Arial" w:hAnsi="Arial" w:cs="Arial"/>
                <w:bCs/>
                <w:iCs/>
                <w:color w:val="000000"/>
                <w:sz w:val="22"/>
                <w:szCs w:val="22"/>
                <w:shd w:val="clear" w:color="auto" w:fill="FFFFFF"/>
              </w:rPr>
              <w:t>"Introducción de los derechos humanos" (virtual)</w:t>
            </w:r>
          </w:p>
        </w:tc>
        <w:tc>
          <w:tcPr>
            <w:tcW w:w="1795" w:type="dxa"/>
            <w:tcBorders>
              <w:top w:val="single" w:sz="4" w:space="0" w:color="auto"/>
              <w:left w:val="single" w:sz="4" w:space="0" w:color="auto"/>
              <w:bottom w:val="single" w:sz="4" w:space="0" w:color="auto"/>
              <w:right w:val="single" w:sz="4" w:space="0" w:color="auto"/>
            </w:tcBorders>
          </w:tcPr>
          <w:p w14:paraId="2AF17143"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 xml:space="preserve">19 de junio al 16 julio de 2023 </w:t>
            </w:r>
          </w:p>
        </w:tc>
        <w:tc>
          <w:tcPr>
            <w:tcW w:w="1546" w:type="dxa"/>
            <w:tcBorders>
              <w:top w:val="single" w:sz="4" w:space="0" w:color="auto"/>
              <w:left w:val="single" w:sz="4" w:space="0" w:color="auto"/>
              <w:bottom w:val="single" w:sz="4" w:space="0" w:color="auto"/>
              <w:right w:val="single" w:sz="4" w:space="0" w:color="auto"/>
            </w:tcBorders>
          </w:tcPr>
          <w:p w14:paraId="0B92E3B2"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Virtual</w:t>
            </w:r>
          </w:p>
        </w:tc>
        <w:tc>
          <w:tcPr>
            <w:tcW w:w="1335" w:type="dxa"/>
            <w:tcBorders>
              <w:top w:val="single" w:sz="4" w:space="0" w:color="auto"/>
              <w:left w:val="single" w:sz="4" w:space="0" w:color="auto"/>
              <w:bottom w:val="single" w:sz="4" w:space="0" w:color="auto"/>
              <w:right w:val="single" w:sz="4" w:space="0" w:color="auto"/>
            </w:tcBorders>
          </w:tcPr>
          <w:p w14:paraId="1D35DAAA"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1071</w:t>
            </w:r>
          </w:p>
        </w:tc>
      </w:tr>
      <w:tr w:rsidR="009E0A9E" w:rsidRPr="00775AE5" w14:paraId="7DEBFEF2" w14:textId="77777777" w:rsidTr="00525437">
        <w:trPr>
          <w:trHeight w:val="403"/>
          <w:jc w:val="center"/>
        </w:trPr>
        <w:tc>
          <w:tcPr>
            <w:tcW w:w="0" w:type="auto"/>
            <w:vMerge/>
            <w:tcBorders>
              <w:left w:val="single" w:sz="4" w:space="0" w:color="auto"/>
              <w:right w:val="single" w:sz="4" w:space="0" w:color="auto"/>
            </w:tcBorders>
            <w:vAlign w:val="center"/>
          </w:tcPr>
          <w:p w14:paraId="7BB97CFF" w14:textId="77777777" w:rsidR="009E0A9E" w:rsidRPr="00775AE5" w:rsidRDefault="009E0A9E" w:rsidP="00525437">
            <w:pPr>
              <w:rPr>
                <w:rFonts w:ascii="Arial" w:hAnsi="Arial" w:cs="Arial"/>
                <w:sz w:val="22"/>
                <w:szCs w:val="22"/>
                <w:lang w:val="es-EC"/>
              </w:rPr>
            </w:pPr>
          </w:p>
        </w:tc>
        <w:tc>
          <w:tcPr>
            <w:tcW w:w="4354" w:type="dxa"/>
            <w:gridSpan w:val="2"/>
            <w:tcBorders>
              <w:top w:val="single" w:sz="4" w:space="0" w:color="auto"/>
              <w:left w:val="single" w:sz="4" w:space="0" w:color="auto"/>
              <w:bottom w:val="single" w:sz="4" w:space="0" w:color="auto"/>
              <w:right w:val="single" w:sz="4" w:space="0" w:color="auto"/>
            </w:tcBorders>
          </w:tcPr>
          <w:p w14:paraId="15FD48D6" w14:textId="77777777" w:rsidR="009E0A9E" w:rsidRPr="00775AE5" w:rsidRDefault="009E0A9E" w:rsidP="00525437">
            <w:pPr>
              <w:jc w:val="center"/>
              <w:rPr>
                <w:rFonts w:ascii="Arial" w:hAnsi="Arial" w:cs="Arial"/>
                <w:bCs/>
                <w:sz w:val="22"/>
                <w:szCs w:val="22"/>
              </w:rPr>
            </w:pPr>
            <w:r w:rsidRPr="00775AE5">
              <w:rPr>
                <w:rFonts w:ascii="Arial" w:hAnsi="Arial" w:cs="Arial"/>
                <w:bCs/>
                <w:iCs/>
                <w:color w:val="000000"/>
                <w:sz w:val="22"/>
                <w:szCs w:val="22"/>
                <w:shd w:val="clear" w:color="auto" w:fill="FFFFFF"/>
              </w:rPr>
              <w:t>Principio de Dignidad humana y derecho a la igualdad y no discriminación (presencial)</w:t>
            </w:r>
          </w:p>
        </w:tc>
        <w:tc>
          <w:tcPr>
            <w:tcW w:w="1795" w:type="dxa"/>
            <w:tcBorders>
              <w:top w:val="single" w:sz="4" w:space="0" w:color="auto"/>
              <w:left w:val="single" w:sz="4" w:space="0" w:color="auto"/>
              <w:bottom w:val="single" w:sz="4" w:space="0" w:color="auto"/>
              <w:right w:val="single" w:sz="4" w:space="0" w:color="auto"/>
            </w:tcBorders>
          </w:tcPr>
          <w:p w14:paraId="30DFF982"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 xml:space="preserve">12 de junio </w:t>
            </w:r>
          </w:p>
        </w:tc>
        <w:tc>
          <w:tcPr>
            <w:tcW w:w="1546" w:type="dxa"/>
            <w:tcBorders>
              <w:top w:val="single" w:sz="4" w:space="0" w:color="auto"/>
              <w:left w:val="single" w:sz="4" w:space="0" w:color="auto"/>
              <w:bottom w:val="single" w:sz="4" w:space="0" w:color="auto"/>
              <w:right w:val="single" w:sz="4" w:space="0" w:color="auto"/>
            </w:tcBorders>
          </w:tcPr>
          <w:p w14:paraId="1B73B9CF"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Presencial</w:t>
            </w:r>
          </w:p>
        </w:tc>
        <w:tc>
          <w:tcPr>
            <w:tcW w:w="1335" w:type="dxa"/>
            <w:tcBorders>
              <w:top w:val="single" w:sz="4" w:space="0" w:color="auto"/>
              <w:left w:val="single" w:sz="4" w:space="0" w:color="auto"/>
              <w:bottom w:val="single" w:sz="4" w:space="0" w:color="auto"/>
              <w:right w:val="single" w:sz="4" w:space="0" w:color="auto"/>
            </w:tcBorders>
          </w:tcPr>
          <w:p w14:paraId="41ABFBE9"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25</w:t>
            </w:r>
          </w:p>
        </w:tc>
      </w:tr>
      <w:tr w:rsidR="009E0A9E" w:rsidRPr="00775AE5" w14:paraId="13263E5C" w14:textId="77777777" w:rsidTr="00525437">
        <w:trPr>
          <w:trHeight w:val="403"/>
          <w:jc w:val="center"/>
        </w:trPr>
        <w:tc>
          <w:tcPr>
            <w:tcW w:w="0" w:type="auto"/>
            <w:vMerge/>
            <w:tcBorders>
              <w:left w:val="single" w:sz="4" w:space="0" w:color="auto"/>
              <w:right w:val="single" w:sz="4" w:space="0" w:color="auto"/>
            </w:tcBorders>
            <w:vAlign w:val="center"/>
          </w:tcPr>
          <w:p w14:paraId="61A079EE" w14:textId="77777777" w:rsidR="009E0A9E" w:rsidRPr="00775AE5" w:rsidRDefault="009E0A9E" w:rsidP="00525437">
            <w:pPr>
              <w:rPr>
                <w:rFonts w:ascii="Arial" w:hAnsi="Arial" w:cs="Arial"/>
                <w:sz w:val="22"/>
                <w:szCs w:val="22"/>
                <w:lang w:val="es-EC"/>
              </w:rPr>
            </w:pPr>
          </w:p>
        </w:tc>
        <w:tc>
          <w:tcPr>
            <w:tcW w:w="4354" w:type="dxa"/>
            <w:gridSpan w:val="2"/>
            <w:tcBorders>
              <w:top w:val="single" w:sz="4" w:space="0" w:color="auto"/>
              <w:left w:val="single" w:sz="4" w:space="0" w:color="auto"/>
              <w:bottom w:val="single" w:sz="4" w:space="0" w:color="auto"/>
              <w:right w:val="single" w:sz="4" w:space="0" w:color="auto"/>
            </w:tcBorders>
          </w:tcPr>
          <w:p w14:paraId="64728E94" w14:textId="77777777" w:rsidR="009E0A9E" w:rsidRPr="00775AE5" w:rsidRDefault="009E0A9E" w:rsidP="00525437">
            <w:pPr>
              <w:jc w:val="center"/>
              <w:rPr>
                <w:rFonts w:ascii="Arial" w:hAnsi="Arial" w:cs="Arial"/>
                <w:bCs/>
                <w:sz w:val="22"/>
                <w:szCs w:val="22"/>
              </w:rPr>
            </w:pPr>
            <w:r w:rsidRPr="00775AE5">
              <w:rPr>
                <w:rFonts w:ascii="Arial" w:hAnsi="Arial" w:cs="Arial"/>
                <w:bCs/>
                <w:iCs/>
                <w:color w:val="000000"/>
                <w:sz w:val="22"/>
                <w:szCs w:val="22"/>
                <w:shd w:val="clear" w:color="auto" w:fill="FFFFFF"/>
              </w:rPr>
              <w:t xml:space="preserve">Socialización de condiciones de privación de libertad de grupos en condición de vulnerabilidad </w:t>
            </w:r>
          </w:p>
        </w:tc>
        <w:tc>
          <w:tcPr>
            <w:tcW w:w="1795" w:type="dxa"/>
            <w:tcBorders>
              <w:top w:val="single" w:sz="4" w:space="0" w:color="auto"/>
              <w:left w:val="single" w:sz="4" w:space="0" w:color="auto"/>
              <w:bottom w:val="single" w:sz="4" w:space="0" w:color="auto"/>
              <w:right w:val="single" w:sz="4" w:space="0" w:color="auto"/>
            </w:tcBorders>
          </w:tcPr>
          <w:p w14:paraId="19D4ABEB"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 xml:space="preserve">30 y 31 junio </w:t>
            </w:r>
          </w:p>
        </w:tc>
        <w:tc>
          <w:tcPr>
            <w:tcW w:w="1546" w:type="dxa"/>
            <w:tcBorders>
              <w:top w:val="single" w:sz="4" w:space="0" w:color="auto"/>
              <w:left w:val="single" w:sz="4" w:space="0" w:color="auto"/>
              <w:bottom w:val="single" w:sz="4" w:space="0" w:color="auto"/>
              <w:right w:val="single" w:sz="4" w:space="0" w:color="auto"/>
            </w:tcBorders>
          </w:tcPr>
          <w:p w14:paraId="0ED41C48"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Presencial</w:t>
            </w:r>
          </w:p>
        </w:tc>
        <w:tc>
          <w:tcPr>
            <w:tcW w:w="1335" w:type="dxa"/>
            <w:tcBorders>
              <w:top w:val="single" w:sz="4" w:space="0" w:color="auto"/>
              <w:left w:val="single" w:sz="4" w:space="0" w:color="auto"/>
              <w:bottom w:val="single" w:sz="4" w:space="0" w:color="auto"/>
              <w:right w:val="single" w:sz="4" w:space="0" w:color="auto"/>
            </w:tcBorders>
          </w:tcPr>
          <w:p w14:paraId="7A4DBBB0"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8</w:t>
            </w:r>
          </w:p>
        </w:tc>
      </w:tr>
      <w:tr w:rsidR="009E0A9E" w:rsidRPr="00775AE5" w14:paraId="0ED02313" w14:textId="77777777" w:rsidTr="00525437">
        <w:trPr>
          <w:trHeight w:val="403"/>
          <w:jc w:val="center"/>
        </w:trPr>
        <w:tc>
          <w:tcPr>
            <w:tcW w:w="0" w:type="auto"/>
            <w:vMerge/>
            <w:tcBorders>
              <w:left w:val="single" w:sz="4" w:space="0" w:color="auto"/>
              <w:right w:val="single" w:sz="4" w:space="0" w:color="auto"/>
            </w:tcBorders>
            <w:vAlign w:val="center"/>
          </w:tcPr>
          <w:p w14:paraId="3D3306CB" w14:textId="77777777" w:rsidR="009E0A9E" w:rsidRPr="00775AE5" w:rsidRDefault="009E0A9E" w:rsidP="00525437">
            <w:pPr>
              <w:rPr>
                <w:rFonts w:ascii="Arial" w:hAnsi="Arial" w:cs="Arial"/>
                <w:sz w:val="22"/>
                <w:szCs w:val="22"/>
                <w:lang w:val="es-EC"/>
              </w:rPr>
            </w:pPr>
          </w:p>
        </w:tc>
        <w:tc>
          <w:tcPr>
            <w:tcW w:w="4354" w:type="dxa"/>
            <w:gridSpan w:val="2"/>
            <w:tcBorders>
              <w:top w:val="single" w:sz="4" w:space="0" w:color="auto"/>
              <w:left w:val="single" w:sz="4" w:space="0" w:color="auto"/>
              <w:bottom w:val="single" w:sz="4" w:space="0" w:color="auto"/>
              <w:right w:val="single" w:sz="4" w:space="0" w:color="auto"/>
            </w:tcBorders>
          </w:tcPr>
          <w:p w14:paraId="69987C80" w14:textId="77777777" w:rsidR="009E0A9E" w:rsidRPr="00775AE5" w:rsidRDefault="009E0A9E" w:rsidP="00525437">
            <w:pPr>
              <w:jc w:val="center"/>
              <w:rPr>
                <w:rFonts w:ascii="Arial" w:hAnsi="Arial" w:cs="Arial"/>
                <w:bCs/>
                <w:sz w:val="22"/>
                <w:szCs w:val="22"/>
              </w:rPr>
            </w:pPr>
            <w:r w:rsidRPr="00775AE5">
              <w:rPr>
                <w:rFonts w:ascii="Arial" w:hAnsi="Arial" w:cs="Arial"/>
                <w:bCs/>
                <w:iCs/>
                <w:color w:val="000000"/>
                <w:sz w:val="22"/>
                <w:szCs w:val="22"/>
                <w:shd w:val="clear" w:color="auto" w:fill="FFFFFF"/>
              </w:rPr>
              <w:t>Teatro Foro CPL Pichincha Nro. 3 (Casa de Confianza Chillogallo)</w:t>
            </w:r>
          </w:p>
        </w:tc>
        <w:tc>
          <w:tcPr>
            <w:tcW w:w="1795" w:type="dxa"/>
            <w:tcBorders>
              <w:top w:val="single" w:sz="4" w:space="0" w:color="auto"/>
              <w:left w:val="single" w:sz="4" w:space="0" w:color="auto"/>
              <w:bottom w:val="single" w:sz="4" w:space="0" w:color="auto"/>
              <w:right w:val="single" w:sz="4" w:space="0" w:color="auto"/>
            </w:tcBorders>
          </w:tcPr>
          <w:p w14:paraId="19ED23C7"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21-09-2023</w:t>
            </w:r>
          </w:p>
        </w:tc>
        <w:tc>
          <w:tcPr>
            <w:tcW w:w="1546" w:type="dxa"/>
            <w:tcBorders>
              <w:top w:val="single" w:sz="4" w:space="0" w:color="auto"/>
              <w:left w:val="single" w:sz="4" w:space="0" w:color="auto"/>
              <w:bottom w:val="single" w:sz="4" w:space="0" w:color="auto"/>
              <w:right w:val="single" w:sz="4" w:space="0" w:color="auto"/>
            </w:tcBorders>
          </w:tcPr>
          <w:p w14:paraId="398244A3"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Presencial</w:t>
            </w:r>
          </w:p>
        </w:tc>
        <w:tc>
          <w:tcPr>
            <w:tcW w:w="1335" w:type="dxa"/>
            <w:tcBorders>
              <w:top w:val="single" w:sz="4" w:space="0" w:color="auto"/>
              <w:left w:val="single" w:sz="4" w:space="0" w:color="auto"/>
              <w:bottom w:val="single" w:sz="4" w:space="0" w:color="auto"/>
              <w:right w:val="single" w:sz="4" w:space="0" w:color="auto"/>
            </w:tcBorders>
          </w:tcPr>
          <w:p w14:paraId="558FF5A8"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14</w:t>
            </w:r>
          </w:p>
        </w:tc>
      </w:tr>
      <w:tr w:rsidR="009E0A9E" w:rsidRPr="00775AE5" w14:paraId="24C6D7B4" w14:textId="77777777" w:rsidTr="00525437">
        <w:trPr>
          <w:trHeight w:val="403"/>
          <w:jc w:val="center"/>
        </w:trPr>
        <w:tc>
          <w:tcPr>
            <w:tcW w:w="0" w:type="auto"/>
            <w:tcBorders>
              <w:left w:val="single" w:sz="4" w:space="0" w:color="auto"/>
              <w:right w:val="single" w:sz="4" w:space="0" w:color="auto"/>
            </w:tcBorders>
            <w:vAlign w:val="center"/>
          </w:tcPr>
          <w:p w14:paraId="61DE38BD" w14:textId="77777777" w:rsidR="009E0A9E" w:rsidRPr="00775AE5" w:rsidRDefault="009E0A9E" w:rsidP="00525437">
            <w:pPr>
              <w:rPr>
                <w:rFonts w:ascii="Arial" w:hAnsi="Arial" w:cs="Arial"/>
                <w:sz w:val="22"/>
                <w:szCs w:val="22"/>
                <w:lang w:val="es-EC"/>
              </w:rPr>
            </w:pPr>
            <w:r w:rsidRPr="00775AE5">
              <w:rPr>
                <w:rFonts w:ascii="Arial" w:hAnsi="Arial" w:cs="Arial"/>
                <w:sz w:val="22"/>
                <w:szCs w:val="22"/>
                <w:lang w:val="es-EC"/>
              </w:rPr>
              <w:t>2024</w:t>
            </w:r>
          </w:p>
        </w:tc>
        <w:tc>
          <w:tcPr>
            <w:tcW w:w="9030" w:type="dxa"/>
            <w:gridSpan w:val="5"/>
            <w:tcBorders>
              <w:top w:val="single" w:sz="4" w:space="0" w:color="auto"/>
              <w:left w:val="single" w:sz="4" w:space="0" w:color="auto"/>
              <w:bottom w:val="single" w:sz="4" w:space="0" w:color="auto"/>
              <w:right w:val="single" w:sz="4" w:space="0" w:color="auto"/>
            </w:tcBorders>
          </w:tcPr>
          <w:p w14:paraId="25338447" w14:textId="6DA2502A" w:rsidR="009E0A9E" w:rsidRPr="00775AE5" w:rsidRDefault="009E0A9E" w:rsidP="00525437">
            <w:pPr>
              <w:jc w:val="center"/>
              <w:rPr>
                <w:rFonts w:ascii="Arial" w:hAnsi="Arial" w:cs="Arial"/>
                <w:sz w:val="22"/>
                <w:szCs w:val="22"/>
              </w:rPr>
            </w:pPr>
            <w:r w:rsidRPr="00775AE5">
              <w:rPr>
                <w:rFonts w:ascii="Arial" w:hAnsi="Arial" w:cs="Arial"/>
                <w:sz w:val="22"/>
                <w:szCs w:val="22"/>
              </w:rPr>
              <w:t xml:space="preserve">Aprobación y publicación </w:t>
            </w:r>
            <w:r w:rsidR="00CA38EB" w:rsidRPr="00775AE5">
              <w:rPr>
                <w:rFonts w:ascii="Arial" w:hAnsi="Arial" w:cs="Arial"/>
                <w:sz w:val="22"/>
                <w:szCs w:val="22"/>
              </w:rPr>
              <w:t>del “</w:t>
            </w:r>
            <w:r w:rsidRPr="00775AE5">
              <w:rPr>
                <w:rFonts w:ascii="Arial" w:hAnsi="Arial" w:cs="Arial"/>
                <w:sz w:val="22"/>
                <w:szCs w:val="22"/>
              </w:rPr>
              <w:t xml:space="preserve">Manual de Derechos Humanos con enfoques de igualdad y no discriminación para la atención de las personas privadas de libertad", elaborado con los Consejos Nacionales para la Igualdad y el SNAI, para realizar procesos educativos con servidores del Sistema Nacional de Rehabilitación Social </w:t>
            </w:r>
          </w:p>
          <w:p w14:paraId="4466548F" w14:textId="77777777" w:rsidR="009E0A9E" w:rsidRPr="00775AE5" w:rsidRDefault="009E0A9E" w:rsidP="00525437">
            <w:pPr>
              <w:jc w:val="center"/>
              <w:rPr>
                <w:rFonts w:ascii="Arial" w:hAnsi="Arial" w:cs="Arial"/>
                <w:sz w:val="22"/>
                <w:szCs w:val="22"/>
              </w:rPr>
            </w:pPr>
          </w:p>
        </w:tc>
      </w:tr>
    </w:tbl>
    <w:p w14:paraId="7B4DE17D" w14:textId="77777777" w:rsidR="009E0A9E" w:rsidRPr="00775AE5" w:rsidRDefault="009E0A9E" w:rsidP="00BF562D">
      <w:pPr>
        <w:jc w:val="center"/>
        <w:rPr>
          <w:rFonts w:ascii="Arial" w:hAnsi="Arial" w:cs="Arial"/>
          <w:bCs/>
          <w:color w:val="000000"/>
          <w:sz w:val="22"/>
          <w:szCs w:val="22"/>
          <w:lang w:val="es-EC" w:eastAsia="es-ES"/>
        </w:rPr>
      </w:pPr>
      <w:r w:rsidRPr="00775AE5">
        <w:rPr>
          <w:rFonts w:ascii="Arial" w:hAnsi="Arial" w:cs="Arial"/>
          <w:bCs/>
          <w:color w:val="000000"/>
          <w:sz w:val="22"/>
          <w:szCs w:val="22"/>
          <w:lang w:eastAsia="es-ES"/>
        </w:rPr>
        <w:t>Fuente: MNPT, 2024</w:t>
      </w:r>
    </w:p>
    <w:p w14:paraId="75D07516" w14:textId="77777777" w:rsidR="009E0A9E" w:rsidRPr="00775AE5" w:rsidRDefault="009E0A9E" w:rsidP="009E0A9E">
      <w:pPr>
        <w:jc w:val="both"/>
        <w:rPr>
          <w:rFonts w:ascii="Arial" w:hAnsi="Arial" w:cs="Arial"/>
          <w:bCs/>
          <w:color w:val="000000"/>
          <w:sz w:val="22"/>
          <w:szCs w:val="22"/>
          <w:lang w:eastAsia="es-ES"/>
        </w:rPr>
      </w:pPr>
    </w:p>
    <w:p w14:paraId="5928D6C9" w14:textId="77777777" w:rsidR="009E0A9E" w:rsidRPr="00775AE5" w:rsidRDefault="009E0A9E" w:rsidP="009E0A9E">
      <w:pPr>
        <w:jc w:val="both"/>
        <w:rPr>
          <w:rFonts w:ascii="Arial" w:eastAsia="DejaVu Sans" w:hAnsi="Arial" w:cs="Arial"/>
          <w:sz w:val="22"/>
          <w:szCs w:val="22"/>
          <w:lang w:val="es-VE" w:eastAsia="es-EC"/>
        </w:rPr>
      </w:pPr>
    </w:p>
    <w:p w14:paraId="0EC4B85C" w14:textId="77777777" w:rsidR="009E0A9E" w:rsidRPr="00775AE5" w:rsidRDefault="009E0A9E" w:rsidP="009E0A9E">
      <w:pPr>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Así también se realizó procesos dirigidos a los Consejos Nacionales para la Igualdad (25 personas capacitadas), para personal de la Policía Nacional (35 personas capacitadas), para servidores del Consejo de la Judicatura (475 personas capacitadas) en temas de derechos de las personas privadas de libertad y prevención de la tortura.</w:t>
      </w:r>
    </w:p>
    <w:p w14:paraId="2BE16502" w14:textId="77777777" w:rsidR="009E0A9E" w:rsidRPr="00775AE5" w:rsidRDefault="009E0A9E" w:rsidP="009E0A9E">
      <w:pPr>
        <w:jc w:val="both"/>
        <w:rPr>
          <w:rFonts w:ascii="Arial" w:eastAsia="DejaVu Sans" w:hAnsi="Arial" w:cs="Arial"/>
          <w:sz w:val="22"/>
          <w:szCs w:val="22"/>
          <w:lang w:val="es-VE" w:eastAsia="es-EC"/>
        </w:rPr>
      </w:pPr>
    </w:p>
    <w:p w14:paraId="00ECD16D" w14:textId="1F9FB5FE"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En cuanto a personas de la sociedad civil durante el 2019 se realizó capacitaciones y conversatorios con sociedad civil, estas fueron presenciales de 8 horas, mismas que se desarrollaron en varias ciudades del Ecuador como Lago Agrio, Manta, Machala, Ibarra, Loja y Quito, en las cuales participaron familiares de personas privadas de libertad, estudiantes universitarios, y representantes de organizaciones de la sociedad civil. En el 2020 se realizó capacitaciones virtuales sobre el rol del MNPT, a profesionales del periodismo y comunicación social (32 personas). Y en el 2023 se capacitó a personal de </w:t>
      </w:r>
      <w:r w:rsidR="00CA38EB" w:rsidRPr="00775AE5">
        <w:rPr>
          <w:rFonts w:ascii="Arial" w:eastAsia="DejaVu Sans" w:hAnsi="Arial" w:cs="Arial"/>
          <w:sz w:val="22"/>
          <w:szCs w:val="22"/>
          <w:lang w:val="es-VE" w:eastAsia="es-EC"/>
        </w:rPr>
        <w:t>Dialogo</w:t>
      </w:r>
      <w:r w:rsidRPr="00775AE5">
        <w:rPr>
          <w:rFonts w:ascii="Arial" w:eastAsia="DejaVu Sans" w:hAnsi="Arial" w:cs="Arial"/>
          <w:sz w:val="22"/>
          <w:szCs w:val="22"/>
          <w:lang w:val="es-VE" w:eastAsia="es-EC"/>
        </w:rPr>
        <w:t xml:space="preserve"> </w:t>
      </w:r>
      <w:r w:rsidR="00B93283" w:rsidRPr="00775AE5">
        <w:rPr>
          <w:rFonts w:ascii="Arial" w:eastAsia="DejaVu Sans" w:hAnsi="Arial" w:cs="Arial"/>
          <w:sz w:val="22"/>
          <w:szCs w:val="22"/>
          <w:lang w:val="es-VE" w:eastAsia="es-EC"/>
        </w:rPr>
        <w:t>Diverso</w:t>
      </w:r>
      <w:r w:rsidRPr="00775AE5">
        <w:rPr>
          <w:rFonts w:ascii="Arial" w:eastAsia="DejaVu Sans" w:hAnsi="Arial" w:cs="Arial"/>
          <w:sz w:val="22"/>
          <w:szCs w:val="22"/>
          <w:lang w:val="es-VE" w:eastAsia="es-EC"/>
        </w:rPr>
        <w:t>, en relación con las condiciones de privación de libertad de personas que forman parte de los grupos LGBTIQ+ (Presencial).</w:t>
      </w:r>
    </w:p>
    <w:p w14:paraId="182AF1F5"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290EFB0" w14:textId="51A1CC4A" w:rsidR="009E0A9E" w:rsidRPr="00775AE5" w:rsidRDefault="009E0A9E" w:rsidP="009E0A9E">
      <w:pPr>
        <w:spacing w:line="276" w:lineRule="auto"/>
        <w:ind w:firstLine="708"/>
        <w:jc w:val="both"/>
        <w:rPr>
          <w:rFonts w:ascii="Arial" w:hAnsi="Arial" w:cs="Arial"/>
          <w:sz w:val="22"/>
          <w:szCs w:val="22"/>
          <w:lang w:val="es-ES"/>
        </w:rPr>
      </w:pPr>
      <w:r w:rsidRPr="00775AE5">
        <w:rPr>
          <w:rFonts w:ascii="Arial" w:eastAsia="DejaVu Sans" w:hAnsi="Arial" w:cs="Arial"/>
          <w:sz w:val="22"/>
          <w:szCs w:val="22"/>
          <w:lang w:val="es-VE" w:eastAsia="es-EC"/>
        </w:rPr>
        <w:t xml:space="preserve">Cabe manifestar que </w:t>
      </w:r>
      <w:r w:rsidRPr="00775AE5">
        <w:rPr>
          <w:rFonts w:ascii="Arial" w:hAnsi="Arial" w:cs="Arial"/>
          <w:sz w:val="22"/>
          <w:szCs w:val="22"/>
          <w:lang w:val="es-ES"/>
        </w:rPr>
        <w:t>la Dirección Nacional de Educación en Derechos Humanos y de la Naturaleza (DNEDHN</w:t>
      </w:r>
      <w:r w:rsidR="00CA38EB" w:rsidRPr="00775AE5">
        <w:rPr>
          <w:rFonts w:ascii="Arial" w:hAnsi="Arial" w:cs="Arial"/>
          <w:sz w:val="22"/>
          <w:szCs w:val="22"/>
          <w:lang w:val="es-ES"/>
        </w:rPr>
        <w:t>), en</w:t>
      </w:r>
      <w:r w:rsidRPr="00775AE5">
        <w:rPr>
          <w:rFonts w:ascii="Arial" w:hAnsi="Arial" w:cs="Arial"/>
          <w:sz w:val="22"/>
          <w:szCs w:val="22"/>
          <w:lang w:val="es-ES"/>
        </w:rPr>
        <w:t xml:space="preserve"> cumplimiento de sus atribuciones y competencias constitucionales y legales, expidió la Resolución No. 020-DPE-CGAJ-2021 del 7 de mayo de 2021, en este instrumento se define a la Educación en Derechos Humanos de la siguiente manera:</w:t>
      </w:r>
    </w:p>
    <w:p w14:paraId="4D48144E" w14:textId="77777777" w:rsidR="009E0A9E" w:rsidRPr="00775AE5" w:rsidRDefault="009E0A9E" w:rsidP="009E0A9E">
      <w:pPr>
        <w:rPr>
          <w:rFonts w:ascii="Arial" w:hAnsi="Arial" w:cs="Arial"/>
          <w:sz w:val="22"/>
          <w:szCs w:val="22"/>
          <w:lang w:val="es-ES"/>
        </w:rPr>
      </w:pPr>
    </w:p>
    <w:p w14:paraId="613FE2EE" w14:textId="26B6E742" w:rsidR="009E0A9E" w:rsidRPr="00775AE5" w:rsidRDefault="009E0A9E" w:rsidP="009E0A9E">
      <w:pPr>
        <w:ind w:left="708"/>
        <w:jc w:val="both"/>
        <w:rPr>
          <w:rFonts w:ascii="Arial" w:hAnsi="Arial" w:cs="Arial"/>
          <w:sz w:val="22"/>
          <w:szCs w:val="22"/>
          <w:lang w:val="es-ES"/>
        </w:rPr>
      </w:pPr>
      <w:r w:rsidRPr="00775AE5">
        <w:rPr>
          <w:rFonts w:ascii="Arial" w:hAnsi="Arial" w:cs="Arial"/>
          <w:sz w:val="22"/>
          <w:szCs w:val="22"/>
          <w:lang w:val="es-ES"/>
        </w:rPr>
        <w:t>[La Educación en Derechos Humanos] [i]</w:t>
      </w:r>
      <w:r w:rsidR="00CA38EB" w:rsidRPr="00775AE5">
        <w:rPr>
          <w:rFonts w:ascii="Arial" w:hAnsi="Arial" w:cs="Arial"/>
          <w:sz w:val="22"/>
          <w:szCs w:val="22"/>
          <w:lang w:val="es-ES"/>
        </w:rPr>
        <w:t>incluye</w:t>
      </w:r>
      <w:r w:rsidRPr="00775AE5">
        <w:rPr>
          <w:rFonts w:ascii="Arial" w:hAnsi="Arial" w:cs="Arial"/>
          <w:sz w:val="22"/>
          <w:szCs w:val="22"/>
          <w:lang w:val="es-ES"/>
        </w:rPr>
        <w:t xml:space="preserve"> el conocimiento y la comprensión sobre las normas y principios de los derechos humanos y de la naturaleza, los fundamentos que los sostienen y los mecanismos que los protegen, a través de principios pedagógicos emancipatorios y herramientas didácticas innovadoras para la construcción de aprendizajes, aptitudes, actitudes y comportamientos éticos y críticos que aporten a la construcción de una sociedad democrática, justa, incluyente, en igualdad y sin discriminación que impulse el ejercicio y exigibilidad de los derechos humanos de todas las personas, colectivos, comunidades, pueblos y nacionalidades en armonía con los derechos de la naturaleza.</w:t>
      </w:r>
    </w:p>
    <w:p w14:paraId="6AF1A232" w14:textId="77777777" w:rsidR="009E0A9E" w:rsidRPr="00775AE5" w:rsidRDefault="009E0A9E" w:rsidP="009E0A9E">
      <w:pPr>
        <w:rPr>
          <w:rFonts w:ascii="Arial" w:hAnsi="Arial" w:cs="Arial"/>
          <w:sz w:val="22"/>
          <w:szCs w:val="22"/>
          <w:lang w:val="es-ES"/>
        </w:rPr>
      </w:pPr>
    </w:p>
    <w:p w14:paraId="52E83AEB" w14:textId="77777777" w:rsidR="009E0A9E" w:rsidRPr="00775AE5" w:rsidRDefault="009E0A9E" w:rsidP="009E0A9E">
      <w:pPr>
        <w:spacing w:line="276" w:lineRule="auto"/>
        <w:ind w:firstLine="708"/>
        <w:jc w:val="both"/>
        <w:rPr>
          <w:rFonts w:ascii="Arial" w:hAnsi="Arial" w:cs="Arial"/>
          <w:sz w:val="22"/>
          <w:szCs w:val="22"/>
          <w:lang w:val="es-ES"/>
        </w:rPr>
      </w:pPr>
      <w:r w:rsidRPr="00775AE5">
        <w:rPr>
          <w:rFonts w:ascii="Arial" w:hAnsi="Arial" w:cs="Arial"/>
          <w:sz w:val="22"/>
          <w:szCs w:val="22"/>
          <w:lang w:val="es-ES"/>
        </w:rPr>
        <w:t>Así, las acciones de Educación en Derechos Humanos se desarrollan a través de una metodología constructivista, con base en pedagogía crítica-emancipadora, lo que permite articular dichas acciones sobre la base de aprendizajes significativos, estos se centran en la importancia de la experiencia y la reflexión para dar sentido, significado y utilidad a las actividades y conocimientos desarrollados en el proceso educativo por parte de las personas participantes; es decir, no solo se recuerdan los conceptos o definiciones, sino que también se desarrollan habilidades y destrezas para su aplicación en la esfera personal, familiar, profesional y social.</w:t>
      </w:r>
    </w:p>
    <w:p w14:paraId="322932C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18E8563" w14:textId="77777777" w:rsidR="009E0A9E" w:rsidRPr="00775AE5" w:rsidRDefault="009E0A9E" w:rsidP="00640CCA">
      <w:pPr>
        <w:pStyle w:val="Heading3"/>
        <w:rPr>
          <w:rFonts w:ascii="Arial" w:hAnsi="Arial" w:cs="Arial"/>
          <w:sz w:val="22"/>
          <w:szCs w:val="22"/>
        </w:rPr>
      </w:pPr>
      <w:bookmarkStart w:id="21" w:name="_Toc168907346"/>
      <w:r w:rsidRPr="00775AE5">
        <w:rPr>
          <w:rFonts w:ascii="Arial" w:hAnsi="Arial" w:cs="Arial"/>
          <w:sz w:val="22"/>
          <w:szCs w:val="22"/>
        </w:rPr>
        <w:t>1.3. Artículo 11 (Párrafo 20 de la Lista de Cuestiones)</w:t>
      </w:r>
      <w:bookmarkEnd w:id="21"/>
    </w:p>
    <w:p w14:paraId="03A01989" w14:textId="77777777" w:rsidR="009E0A9E" w:rsidRPr="00775AE5" w:rsidRDefault="009E0A9E" w:rsidP="009E0A9E">
      <w:pPr>
        <w:rPr>
          <w:rFonts w:ascii="Arial" w:hAnsi="Arial" w:cs="Arial"/>
          <w:sz w:val="22"/>
          <w:szCs w:val="22"/>
        </w:rPr>
      </w:pPr>
    </w:p>
    <w:p w14:paraId="300045E8" w14:textId="77777777" w:rsidR="009E0A9E" w:rsidRPr="00775AE5" w:rsidRDefault="009E0A9E" w:rsidP="00640CCA">
      <w:pPr>
        <w:pStyle w:val="Heading3"/>
        <w:rPr>
          <w:rFonts w:ascii="Arial" w:hAnsi="Arial" w:cs="Arial"/>
          <w:sz w:val="22"/>
          <w:szCs w:val="22"/>
        </w:rPr>
      </w:pPr>
      <w:bookmarkStart w:id="22" w:name="_Toc168907347"/>
      <w:r w:rsidRPr="00775AE5">
        <w:rPr>
          <w:rFonts w:ascii="Arial" w:hAnsi="Arial" w:cs="Arial"/>
          <w:sz w:val="22"/>
          <w:szCs w:val="22"/>
        </w:rPr>
        <w:t>Condiciones de reclusión</w:t>
      </w:r>
      <w:r w:rsidRPr="00775AE5">
        <w:rPr>
          <w:rStyle w:val="FootnoteReference"/>
          <w:rFonts w:ascii="Arial" w:hAnsi="Arial" w:cs="Arial"/>
          <w:sz w:val="22"/>
          <w:szCs w:val="22"/>
        </w:rPr>
        <w:footnoteReference w:id="31"/>
      </w:r>
      <w:bookmarkEnd w:id="22"/>
    </w:p>
    <w:p w14:paraId="1586A469" w14:textId="77777777" w:rsidR="009E0A9E" w:rsidRPr="00775AE5" w:rsidRDefault="009E0A9E" w:rsidP="009E0A9E">
      <w:pPr>
        <w:spacing w:line="276" w:lineRule="auto"/>
        <w:jc w:val="both"/>
        <w:rPr>
          <w:rFonts w:ascii="Arial" w:hAnsi="Arial" w:cs="Arial"/>
          <w:sz w:val="22"/>
          <w:szCs w:val="22"/>
          <w:lang w:val="es-MX"/>
        </w:rPr>
      </w:pPr>
      <w:r w:rsidRPr="00775AE5">
        <w:rPr>
          <w:rFonts w:ascii="Arial" w:hAnsi="Arial" w:cs="Arial"/>
          <w:sz w:val="22"/>
          <w:szCs w:val="22"/>
        </w:rPr>
        <w:t xml:space="preserve">La información proporcionada a continuación corresponde a la recabada en las visitas realizadas durante el 2023; y los monitoreos realizados durante el 2024 en el marco de la ejecución de los </w:t>
      </w:r>
      <w:r w:rsidRPr="00775AE5">
        <w:rPr>
          <w:rFonts w:ascii="Arial" w:hAnsi="Arial" w:cs="Arial"/>
          <w:sz w:val="22"/>
          <w:szCs w:val="22"/>
          <w:lang w:val="es-MX"/>
        </w:rPr>
        <w:t xml:space="preserve">Decretos Ejecutivos </w:t>
      </w:r>
      <w:proofErr w:type="spellStart"/>
      <w:r w:rsidRPr="00775AE5">
        <w:rPr>
          <w:rFonts w:ascii="Arial" w:hAnsi="Arial" w:cs="Arial"/>
          <w:sz w:val="22"/>
          <w:szCs w:val="22"/>
          <w:lang w:val="es-MX"/>
        </w:rPr>
        <w:t>N°</w:t>
      </w:r>
      <w:proofErr w:type="spellEnd"/>
      <w:r w:rsidRPr="00775AE5">
        <w:rPr>
          <w:rFonts w:ascii="Arial" w:hAnsi="Arial" w:cs="Arial"/>
          <w:sz w:val="22"/>
          <w:szCs w:val="22"/>
          <w:lang w:val="es-MX"/>
        </w:rPr>
        <w:t xml:space="preserve"> 110 y N°111, que declaran el Estado de Excepción en todo el territorio nacional por grave conmoción interna; y cuya aplicación ha tenido injerencia en los centros de privación de libertad que integran el Sistema Nacional de Rehabilitación social. Así como información que se desprende del Censo Penitenciario (2022)</w:t>
      </w:r>
      <w:r w:rsidRPr="00775AE5">
        <w:rPr>
          <w:rStyle w:val="FootnoteReference"/>
          <w:rFonts w:ascii="Arial" w:hAnsi="Arial" w:cs="Arial"/>
          <w:sz w:val="22"/>
          <w:szCs w:val="22"/>
          <w:lang w:val="es-MX"/>
        </w:rPr>
        <w:footnoteReference w:id="32"/>
      </w:r>
      <w:r w:rsidRPr="00775AE5">
        <w:rPr>
          <w:rFonts w:ascii="Arial" w:hAnsi="Arial" w:cs="Arial"/>
          <w:sz w:val="22"/>
          <w:szCs w:val="22"/>
          <w:lang w:val="es-MX"/>
        </w:rPr>
        <w:t xml:space="preserve"> y de la producida por el SNAI</w:t>
      </w:r>
      <w:r w:rsidRPr="00775AE5">
        <w:rPr>
          <w:rStyle w:val="FootnoteReference"/>
          <w:rFonts w:ascii="Arial" w:hAnsi="Arial" w:cs="Arial"/>
          <w:sz w:val="22"/>
          <w:szCs w:val="22"/>
          <w:lang w:val="es-MX"/>
        </w:rPr>
        <w:footnoteReference w:id="33"/>
      </w:r>
      <w:r w:rsidRPr="00775AE5">
        <w:rPr>
          <w:rFonts w:ascii="Arial" w:hAnsi="Arial" w:cs="Arial"/>
          <w:sz w:val="22"/>
          <w:szCs w:val="22"/>
          <w:lang w:val="es-MX"/>
        </w:rPr>
        <w:t xml:space="preserve"> como órgano rector del sistema de rehabilitación Social. </w:t>
      </w:r>
    </w:p>
    <w:p w14:paraId="695DFC6D" w14:textId="77777777" w:rsidR="009E0A9E" w:rsidRPr="00775AE5" w:rsidRDefault="009E0A9E" w:rsidP="009E0A9E">
      <w:pPr>
        <w:spacing w:line="276" w:lineRule="auto"/>
        <w:jc w:val="both"/>
        <w:rPr>
          <w:rFonts w:ascii="Arial" w:hAnsi="Arial" w:cs="Arial"/>
          <w:sz w:val="22"/>
          <w:szCs w:val="22"/>
          <w:lang w:val="es-MX"/>
        </w:rPr>
      </w:pPr>
    </w:p>
    <w:p w14:paraId="55A9C8D9" w14:textId="5EF27549" w:rsidR="009E0A9E" w:rsidRPr="00775AE5" w:rsidRDefault="009E0A9E" w:rsidP="009E0A9E">
      <w:pPr>
        <w:spacing w:line="276" w:lineRule="auto"/>
        <w:jc w:val="both"/>
        <w:rPr>
          <w:rFonts w:ascii="Arial" w:hAnsi="Arial" w:cs="Arial"/>
          <w:sz w:val="22"/>
          <w:szCs w:val="22"/>
          <w:lang w:val="es-MX"/>
        </w:rPr>
      </w:pPr>
      <w:r w:rsidRPr="00775AE5">
        <w:rPr>
          <w:rFonts w:ascii="Arial" w:hAnsi="Arial" w:cs="Arial"/>
          <w:sz w:val="22"/>
          <w:szCs w:val="22"/>
          <w:lang w:val="es-MX"/>
        </w:rPr>
        <w:t xml:space="preserve">También considera información puntual de años anteriores, </w:t>
      </w:r>
      <w:r w:rsidR="00AC3F0B" w:rsidRPr="00775AE5">
        <w:rPr>
          <w:rFonts w:ascii="Arial" w:hAnsi="Arial" w:cs="Arial"/>
          <w:sz w:val="22"/>
          <w:szCs w:val="22"/>
          <w:lang w:val="es-MX"/>
        </w:rPr>
        <w:t>en relación con</w:t>
      </w:r>
      <w:r w:rsidRPr="00775AE5">
        <w:rPr>
          <w:rFonts w:ascii="Arial" w:hAnsi="Arial" w:cs="Arial"/>
          <w:sz w:val="22"/>
          <w:szCs w:val="22"/>
          <w:lang w:val="es-MX"/>
        </w:rPr>
        <w:t xml:space="preserve"> los pedidos puntuales de información que se citan en los diferentes párrafos del listado de cuestiones. </w:t>
      </w:r>
    </w:p>
    <w:p w14:paraId="6D8B1235" w14:textId="77777777" w:rsidR="009E0A9E" w:rsidRPr="00775AE5" w:rsidRDefault="009E0A9E" w:rsidP="009E0A9E">
      <w:pPr>
        <w:spacing w:line="276" w:lineRule="auto"/>
        <w:jc w:val="both"/>
        <w:rPr>
          <w:rFonts w:ascii="Arial" w:hAnsi="Arial" w:cs="Arial"/>
          <w:sz w:val="22"/>
          <w:szCs w:val="22"/>
          <w:lang w:val="es-MX"/>
        </w:rPr>
      </w:pPr>
    </w:p>
    <w:p w14:paraId="0B46723E" w14:textId="77777777" w:rsidR="009E0A9E" w:rsidRPr="00775AE5" w:rsidRDefault="009E0A9E" w:rsidP="009E0A9E">
      <w:pPr>
        <w:spacing w:line="276" w:lineRule="auto"/>
        <w:jc w:val="both"/>
        <w:rPr>
          <w:rFonts w:ascii="Arial" w:hAnsi="Arial" w:cs="Arial"/>
          <w:sz w:val="22"/>
          <w:szCs w:val="22"/>
          <w:lang w:val="es-MX"/>
        </w:rPr>
      </w:pPr>
      <w:r w:rsidRPr="00775AE5">
        <w:rPr>
          <w:rFonts w:ascii="Arial" w:hAnsi="Arial" w:cs="Arial"/>
          <w:sz w:val="22"/>
          <w:szCs w:val="22"/>
          <w:lang w:val="es-MX"/>
        </w:rPr>
        <w:t xml:space="preserve">Así mismo, cabe manifestar que la información estadística presentada corresponde a la proporcionada por SNAI y la recolectada por los miembros del MNPT en sus visitas. </w:t>
      </w:r>
    </w:p>
    <w:p w14:paraId="28997916" w14:textId="77777777" w:rsidR="009E0A9E" w:rsidRPr="00775AE5" w:rsidRDefault="009E0A9E" w:rsidP="009E0A9E">
      <w:pPr>
        <w:spacing w:line="276" w:lineRule="auto"/>
        <w:jc w:val="both"/>
        <w:rPr>
          <w:rFonts w:ascii="Arial" w:hAnsi="Arial" w:cs="Arial"/>
          <w:sz w:val="22"/>
          <w:szCs w:val="22"/>
        </w:rPr>
      </w:pPr>
    </w:p>
    <w:p w14:paraId="22C6FC30" w14:textId="77777777" w:rsidR="009E0A9E" w:rsidRPr="00775AE5" w:rsidRDefault="009E0A9E" w:rsidP="009E0A9E">
      <w:pPr>
        <w:rPr>
          <w:rFonts w:ascii="Arial" w:hAnsi="Arial" w:cs="Arial"/>
          <w:sz w:val="22"/>
          <w:szCs w:val="22"/>
        </w:rPr>
      </w:pPr>
    </w:p>
    <w:p w14:paraId="46C583F2" w14:textId="77777777" w:rsidR="009E0A9E" w:rsidRPr="00775AE5" w:rsidRDefault="009E0A9E" w:rsidP="009E0A9E">
      <w:pPr>
        <w:pStyle w:val="Heading4"/>
        <w:spacing w:before="0" w:after="0" w:line="276" w:lineRule="auto"/>
        <w:rPr>
          <w:rFonts w:ascii="Arial" w:hAnsi="Arial" w:cs="Arial"/>
          <w:i w:val="0"/>
          <w:sz w:val="22"/>
          <w:szCs w:val="22"/>
          <w:lang w:val="es-ES"/>
        </w:rPr>
      </w:pPr>
      <w:r w:rsidRPr="00775AE5">
        <w:rPr>
          <w:rFonts w:ascii="Arial" w:hAnsi="Arial" w:cs="Arial"/>
          <w:i w:val="0"/>
          <w:sz w:val="22"/>
          <w:szCs w:val="22"/>
          <w:lang w:val="es-ES"/>
        </w:rPr>
        <w:t>1.3.1. Hacinamiento</w:t>
      </w:r>
    </w:p>
    <w:p w14:paraId="2263B1D5" w14:textId="77777777" w:rsidR="009E0A9E" w:rsidRPr="00775AE5" w:rsidRDefault="009E0A9E" w:rsidP="009E0A9E">
      <w:pPr>
        <w:spacing w:line="276" w:lineRule="auto"/>
        <w:rPr>
          <w:rFonts w:ascii="Arial" w:eastAsia="Calibri" w:hAnsi="Arial" w:cs="Arial"/>
          <w:sz w:val="22"/>
          <w:szCs w:val="22"/>
          <w:lang w:val="es-ES"/>
        </w:rPr>
      </w:pPr>
    </w:p>
    <w:p w14:paraId="65AA06D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MNPT ha vendido expresando reiteradamente su preocupación frente a las condiciones de las personas privadas de libertad que se encuentran en los distintos centros de rehabilitación social a nivel nacional, situaciones que en su conjunto son vulneraciones de derechos humanos y que están asociadas a tortura, tratos crueles, inhumanos y degradantes. </w:t>
      </w:r>
    </w:p>
    <w:p w14:paraId="46D4D3A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DC9537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A pesar de este reconocimiento normativo de las PPL como un grupo de atención prioritaria (Constitución, 2008: art. 35) el MNPT durante sus visitas ha observado ciertas situaciones que se contraponen al ejercicio de estos derechos. Desde el año 2013 hasta diciembre 2019, se han realizado un total de 171 visitas a distintos centros de privación de libertad dentro del ámbito penitenciario, evidenciando varias problemáticas que han sido recurrentes durante el tiempo, mismas que han ido desmejorando las condiciones de privación de libertad, y por ende afectando al fin último del sistema que es una rehabilitación social integral, y la reinserción a la sociedad de las personas privadas de libertad.</w:t>
      </w:r>
    </w:p>
    <w:p w14:paraId="5F93B7D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101D654" w14:textId="655B6989" w:rsidR="009E0A9E"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Una de las principales problemáticas que afecta al sistema es el hacinamiento existente en los lugares de privación de libertad, el cual es prohibido según lo establecido en el COIP (2014, art.4). La sobrepoblación y el hacinamiento incide en detrimento de las condiciones de vida de los internos, y la política pública implementada para atender esta situación, no ha dado resultados esperados. El hacinamiento, sin embargo, conforme apreciaremos a continuación tal aspecto no ha logrado ser superado. Según el estudio realizado por el anterior Ministerio de Justicia en el año 2017, señala el exponencial aumento de PPL desde el año 1989 donde existía una población penitenciaria de 6.978 y que hasta el año 2003 llegó a 9.360 PPL, aumento relativamente reducido tomando en cuenta el paso de 14 años entre ambos períodos señalados. Este incremento, señala el MJDHC se debió a las políticas de lucha contra el tráfico y consumo de drogas, en la que, en el año 1991, el Ecuador aprobó la Ley de Sustancias Estupefacientes y Psicotrópicas, </w:t>
      </w:r>
      <w:r w:rsidR="00CA38EB" w:rsidRPr="00775AE5">
        <w:rPr>
          <w:rFonts w:ascii="Arial" w:eastAsia="DejaVu Sans" w:hAnsi="Arial" w:cs="Arial"/>
          <w:sz w:val="22"/>
          <w:szCs w:val="22"/>
          <w:lang w:val="es-VE" w:eastAsia="es-EC"/>
        </w:rPr>
        <w:t>que,</w:t>
      </w:r>
      <w:r w:rsidRPr="00775AE5">
        <w:rPr>
          <w:rFonts w:ascii="Arial" w:eastAsia="DejaVu Sans" w:hAnsi="Arial" w:cs="Arial"/>
          <w:sz w:val="22"/>
          <w:szCs w:val="22"/>
          <w:lang w:val="es-VE" w:eastAsia="es-EC"/>
        </w:rPr>
        <w:t xml:space="preserve"> entre las principales críticas a la misma, se encontraba la no distinción entre tráfico u consumo, cuya sentencia mínima era de 10 años, luego incrementada a 12 años (MJDHC 2017, pág. 227).</w:t>
      </w:r>
    </w:p>
    <w:p w14:paraId="5FA41ECA" w14:textId="77777777" w:rsidR="00BA2F6F" w:rsidRDefault="00BA2F6F" w:rsidP="009E0A9E">
      <w:pPr>
        <w:widowControl w:val="0"/>
        <w:suppressAutoHyphens/>
        <w:spacing w:line="276" w:lineRule="auto"/>
        <w:jc w:val="both"/>
        <w:rPr>
          <w:rFonts w:ascii="Arial" w:eastAsia="DejaVu Sans" w:hAnsi="Arial" w:cs="Arial"/>
          <w:sz w:val="22"/>
          <w:szCs w:val="22"/>
          <w:lang w:val="es-VE" w:eastAsia="es-EC"/>
        </w:rPr>
      </w:pPr>
    </w:p>
    <w:p w14:paraId="4B02383D" w14:textId="77777777" w:rsidR="009E0A9E" w:rsidRPr="00775AE5" w:rsidRDefault="009E0A9E" w:rsidP="009E0A9E">
      <w:pPr>
        <w:spacing w:line="276" w:lineRule="auto"/>
        <w:rPr>
          <w:rFonts w:ascii="Arial" w:eastAsia="Calibri" w:hAnsi="Arial" w:cs="Arial"/>
          <w:sz w:val="22"/>
          <w:szCs w:val="22"/>
          <w:lang w:val="es-ES"/>
        </w:rPr>
      </w:pPr>
      <w:r w:rsidRPr="00775AE5">
        <w:rPr>
          <w:rFonts w:ascii="Arial" w:eastAsia="Calibri" w:hAnsi="Arial" w:cs="Arial"/>
          <w:sz w:val="22"/>
          <w:szCs w:val="22"/>
          <w:lang w:val="es-ES"/>
        </w:rPr>
        <w:t xml:space="preserve">Gráfico </w:t>
      </w:r>
      <w:r w:rsidRPr="00775AE5">
        <w:rPr>
          <w:rFonts w:ascii="Arial" w:eastAsia="Calibri" w:hAnsi="Arial" w:cs="Arial"/>
          <w:sz w:val="22"/>
          <w:szCs w:val="22"/>
          <w:lang w:val="es-ES"/>
        </w:rPr>
        <w:fldChar w:fldCharType="begin"/>
      </w:r>
      <w:r w:rsidRPr="00775AE5">
        <w:rPr>
          <w:rFonts w:ascii="Arial" w:eastAsia="Calibri" w:hAnsi="Arial" w:cs="Arial"/>
          <w:sz w:val="22"/>
          <w:szCs w:val="22"/>
          <w:lang w:val="es-ES"/>
        </w:rPr>
        <w:instrText xml:space="preserve"> SEQ Gráfico \* ARABIC </w:instrText>
      </w:r>
      <w:r w:rsidRPr="00775AE5">
        <w:rPr>
          <w:rFonts w:ascii="Arial" w:eastAsia="Calibri" w:hAnsi="Arial" w:cs="Arial"/>
          <w:sz w:val="22"/>
          <w:szCs w:val="22"/>
          <w:lang w:val="es-ES"/>
        </w:rPr>
        <w:fldChar w:fldCharType="separate"/>
      </w:r>
      <w:r w:rsidRPr="00775AE5">
        <w:rPr>
          <w:rFonts w:ascii="Arial" w:eastAsia="Calibri" w:hAnsi="Arial" w:cs="Arial"/>
          <w:noProof/>
          <w:sz w:val="22"/>
          <w:szCs w:val="22"/>
          <w:lang w:val="es-ES"/>
        </w:rPr>
        <w:t>1</w:t>
      </w:r>
      <w:r w:rsidRPr="00775AE5">
        <w:rPr>
          <w:rFonts w:ascii="Arial" w:eastAsia="Calibri" w:hAnsi="Arial" w:cs="Arial"/>
          <w:noProof/>
          <w:sz w:val="22"/>
          <w:szCs w:val="22"/>
          <w:lang w:val="es-ES"/>
        </w:rPr>
        <w:fldChar w:fldCharType="end"/>
      </w:r>
    </w:p>
    <w:p w14:paraId="2F3447C4" w14:textId="77777777" w:rsidR="009E0A9E" w:rsidRPr="00775AE5" w:rsidRDefault="009E0A9E" w:rsidP="009E0A9E">
      <w:pPr>
        <w:spacing w:line="276" w:lineRule="auto"/>
        <w:rPr>
          <w:rFonts w:ascii="Arial" w:eastAsia="Calibri" w:hAnsi="Arial" w:cs="Arial"/>
          <w:i/>
          <w:sz w:val="22"/>
          <w:szCs w:val="22"/>
          <w:lang w:val="es-ES"/>
        </w:rPr>
      </w:pPr>
      <w:r w:rsidRPr="00775AE5">
        <w:rPr>
          <w:rFonts w:ascii="Arial" w:eastAsia="Calibri" w:hAnsi="Arial" w:cs="Arial"/>
          <w:i/>
          <w:sz w:val="22"/>
          <w:szCs w:val="22"/>
          <w:lang w:val="es-ES"/>
        </w:rPr>
        <w:t>Promedio anual de Personas Privadas de Libertad (1989-2023)</w:t>
      </w:r>
    </w:p>
    <w:p w14:paraId="03B1E83F" w14:textId="77777777" w:rsidR="009E0A9E" w:rsidRPr="00775AE5" w:rsidRDefault="009E0A9E" w:rsidP="009E0A9E">
      <w:pPr>
        <w:jc w:val="center"/>
        <w:rPr>
          <w:rFonts w:ascii="Arial" w:hAnsi="Arial" w:cs="Arial"/>
          <w:sz w:val="22"/>
          <w:szCs w:val="22"/>
          <w:lang w:val="en-US" w:eastAsia="en-US"/>
        </w:rPr>
      </w:pPr>
      <w:r w:rsidRPr="00775AE5">
        <w:rPr>
          <w:rFonts w:ascii="Arial" w:hAnsi="Arial" w:cs="Arial"/>
          <w:noProof/>
          <w:sz w:val="22"/>
          <w:szCs w:val="22"/>
          <w:lang w:val="es-ES" w:eastAsia="es-ES"/>
        </w:rPr>
        <w:drawing>
          <wp:inline distT="0" distB="0" distL="0" distR="0" wp14:anchorId="7B9F39F5" wp14:editId="3E7132AC">
            <wp:extent cx="4591050" cy="2762250"/>
            <wp:effectExtent l="0" t="0" r="0" b="0"/>
            <wp:docPr id="1541955545" name="Imagen 1541955545"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955545" name="Imagen 1541955545" descr="Gráfico&#10;&#10;Descripción generada automáticamen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p w14:paraId="5B277BA6" w14:textId="77777777" w:rsidR="009E0A9E" w:rsidRPr="00775AE5" w:rsidRDefault="009E0A9E" w:rsidP="009E0A9E">
      <w:pPr>
        <w:widowControl w:val="0"/>
        <w:suppressAutoHyphens/>
        <w:spacing w:line="276" w:lineRule="auto"/>
        <w:ind w:firstLine="708"/>
        <w:jc w:val="both"/>
        <w:rPr>
          <w:rFonts w:ascii="Arial" w:eastAsia="DejaVu Sans" w:hAnsi="Arial" w:cs="Arial"/>
          <w:sz w:val="22"/>
          <w:szCs w:val="22"/>
          <w:lang w:val="es-VE" w:eastAsia="es-EC"/>
        </w:rPr>
      </w:pPr>
    </w:p>
    <w:p w14:paraId="14BF6314" w14:textId="77777777" w:rsidR="009E0A9E" w:rsidRPr="00775AE5" w:rsidRDefault="009E0A9E" w:rsidP="009E0A9E">
      <w:pPr>
        <w:spacing w:line="276" w:lineRule="auto"/>
        <w:jc w:val="both"/>
        <w:rPr>
          <w:rFonts w:ascii="Arial" w:eastAsia="Calibri" w:hAnsi="Arial" w:cs="Arial"/>
          <w:sz w:val="22"/>
          <w:szCs w:val="22"/>
          <w:lang w:val="es-ES"/>
        </w:rPr>
      </w:pPr>
      <w:r w:rsidRPr="00775AE5">
        <w:rPr>
          <w:rFonts w:ascii="Arial" w:eastAsia="Calibri" w:hAnsi="Arial" w:cs="Arial"/>
          <w:i/>
          <w:sz w:val="22"/>
          <w:szCs w:val="22"/>
          <w:lang w:val="es-ES"/>
        </w:rPr>
        <w:t>Nota:</w:t>
      </w:r>
      <w:r w:rsidRPr="00775AE5">
        <w:rPr>
          <w:rFonts w:ascii="Arial" w:eastAsia="Calibri" w:hAnsi="Arial" w:cs="Arial"/>
          <w:sz w:val="22"/>
          <w:szCs w:val="22"/>
          <w:lang w:val="es-ES"/>
        </w:rPr>
        <w:t xml:space="preserve"> Tomado del Módulo de Formación y Capacitación Penitenciaria, del MJDHC en 2017) y actualizado por data proporcionada por SNAI (tomado de: https://www.atencionintegral.gob.ec/estadisticas/)</w:t>
      </w:r>
    </w:p>
    <w:p w14:paraId="0D48AC98" w14:textId="77777777" w:rsidR="009E0A9E" w:rsidRPr="00775AE5" w:rsidRDefault="009E0A9E" w:rsidP="009E0A9E">
      <w:pPr>
        <w:widowControl w:val="0"/>
        <w:suppressAutoHyphens/>
        <w:spacing w:line="276" w:lineRule="auto"/>
        <w:ind w:firstLine="708"/>
        <w:jc w:val="both"/>
        <w:rPr>
          <w:rFonts w:ascii="Arial" w:eastAsia="DejaVu Sans" w:hAnsi="Arial" w:cs="Arial"/>
          <w:sz w:val="22"/>
          <w:szCs w:val="22"/>
          <w:lang w:val="es-VE" w:eastAsia="es-EC"/>
        </w:rPr>
      </w:pPr>
    </w:p>
    <w:p w14:paraId="3811EAC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Según datos obtenidos del ex – MJDHC, la población penitenciaria en 2010 era de 16100, mientras que para el año 2018 fue de 38541, es decir, un incremento del 139%, con una tasa de hacinamiento del 36% en promedio para ese año. Para abril del 2019 el Sistema Nacional de Rehabilitación Social llego custodiar a 40.096 PPL que, en relación con la capacidad instalada de 28554 plazas, implico el 40,96% de hacinamiento.</w:t>
      </w:r>
    </w:p>
    <w:p w14:paraId="2268D0E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A22E405" w14:textId="77777777" w:rsidR="009E0A9E" w:rsidRPr="00775AE5" w:rsidRDefault="009E0A9E" w:rsidP="009E0A9E">
      <w:pPr>
        <w:spacing w:line="276" w:lineRule="auto"/>
        <w:rPr>
          <w:rFonts w:ascii="Arial" w:eastAsia="Calibri" w:hAnsi="Arial" w:cs="Arial"/>
          <w:iCs/>
          <w:sz w:val="22"/>
          <w:szCs w:val="22"/>
          <w:lang w:val="es-ES"/>
        </w:rPr>
      </w:pPr>
      <w:r w:rsidRPr="00775AE5">
        <w:rPr>
          <w:rFonts w:ascii="Arial" w:eastAsia="Calibri" w:hAnsi="Arial" w:cs="Arial"/>
          <w:iCs/>
          <w:sz w:val="22"/>
          <w:szCs w:val="22"/>
          <w:lang w:val="es-ES"/>
        </w:rPr>
        <w:t>Tabla 4</w:t>
      </w:r>
    </w:p>
    <w:p w14:paraId="17924CD7" w14:textId="77777777" w:rsidR="009E0A9E" w:rsidRPr="00775AE5" w:rsidRDefault="009E0A9E" w:rsidP="009E0A9E">
      <w:pPr>
        <w:spacing w:line="276" w:lineRule="auto"/>
        <w:rPr>
          <w:rFonts w:ascii="Arial" w:eastAsia="Calibri" w:hAnsi="Arial" w:cs="Arial"/>
          <w:i/>
          <w:sz w:val="22"/>
          <w:szCs w:val="22"/>
          <w:lang w:val="es-ES"/>
        </w:rPr>
      </w:pPr>
      <w:r w:rsidRPr="00775AE5">
        <w:rPr>
          <w:rFonts w:ascii="Arial" w:eastAsia="Calibri" w:hAnsi="Arial" w:cs="Arial"/>
          <w:i/>
          <w:sz w:val="22"/>
          <w:szCs w:val="22"/>
          <w:lang w:val="es-ES"/>
        </w:rPr>
        <w:t xml:space="preserve">Porcentaje de hacinamiento en centros de PPL                                   </w:t>
      </w:r>
    </w:p>
    <w:p w14:paraId="629A9059" w14:textId="77777777" w:rsidR="009E0A9E" w:rsidRPr="00775AE5" w:rsidRDefault="009E0A9E" w:rsidP="009E0A9E">
      <w:pPr>
        <w:spacing w:line="276" w:lineRule="auto"/>
        <w:rPr>
          <w:rFonts w:ascii="Arial" w:eastAsia="Calibri" w:hAnsi="Arial" w:cs="Arial"/>
          <w:i/>
          <w:sz w:val="22"/>
          <w:szCs w:val="22"/>
          <w:lang w:val="es-ES"/>
        </w:rPr>
      </w:pPr>
    </w:p>
    <w:tbl>
      <w:tblPr>
        <w:tblW w:w="64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5" w:type="dxa"/>
          <w:right w:w="70" w:type="dxa"/>
        </w:tblCellMar>
        <w:tblLook w:val="04A0" w:firstRow="1" w:lastRow="0" w:firstColumn="1" w:lastColumn="0" w:noHBand="0" w:noVBand="1"/>
      </w:tblPr>
      <w:tblGrid>
        <w:gridCol w:w="1199"/>
        <w:gridCol w:w="2269"/>
        <w:gridCol w:w="3007"/>
      </w:tblGrid>
      <w:tr w:rsidR="009E0A9E" w:rsidRPr="00775AE5" w14:paraId="09AC6085" w14:textId="77777777" w:rsidTr="00525437">
        <w:trPr>
          <w:trHeight w:val="255"/>
          <w:jc w:val="center"/>
        </w:trPr>
        <w:tc>
          <w:tcPr>
            <w:tcW w:w="1199" w:type="dxa"/>
            <w:shd w:val="clear" w:color="auto" w:fill="auto"/>
            <w:vAlign w:val="center"/>
          </w:tcPr>
          <w:p w14:paraId="5EA081AB" w14:textId="77777777" w:rsidR="009E0A9E" w:rsidRPr="00775AE5" w:rsidRDefault="009E0A9E" w:rsidP="00525437">
            <w:pPr>
              <w:spacing w:line="276" w:lineRule="auto"/>
              <w:jc w:val="center"/>
              <w:rPr>
                <w:rFonts w:ascii="Arial" w:eastAsia="Calibri" w:hAnsi="Arial" w:cs="Arial"/>
                <w:sz w:val="22"/>
                <w:szCs w:val="22"/>
                <w:lang w:val="es-ES"/>
              </w:rPr>
            </w:pPr>
            <w:r w:rsidRPr="00775AE5">
              <w:rPr>
                <w:rFonts w:ascii="Arial" w:hAnsi="Arial" w:cs="Arial"/>
                <w:b/>
                <w:bCs/>
                <w:sz w:val="22"/>
                <w:szCs w:val="22"/>
                <w:lang w:val="es-ES" w:eastAsia="es-EC"/>
              </w:rPr>
              <w:t>Total PPL</w:t>
            </w:r>
          </w:p>
        </w:tc>
        <w:tc>
          <w:tcPr>
            <w:tcW w:w="2269" w:type="dxa"/>
            <w:shd w:val="clear" w:color="auto" w:fill="auto"/>
            <w:vAlign w:val="center"/>
          </w:tcPr>
          <w:p w14:paraId="4E9B6712" w14:textId="77777777" w:rsidR="009E0A9E" w:rsidRPr="00775AE5" w:rsidRDefault="009E0A9E" w:rsidP="00525437">
            <w:pPr>
              <w:spacing w:line="276" w:lineRule="auto"/>
              <w:jc w:val="center"/>
              <w:rPr>
                <w:rFonts w:ascii="Arial" w:eastAsia="Calibri" w:hAnsi="Arial" w:cs="Arial"/>
                <w:sz w:val="22"/>
                <w:szCs w:val="22"/>
                <w:lang w:val="es-ES"/>
              </w:rPr>
            </w:pPr>
            <w:r w:rsidRPr="00775AE5">
              <w:rPr>
                <w:rFonts w:ascii="Arial" w:hAnsi="Arial" w:cs="Arial"/>
                <w:b/>
                <w:bCs/>
                <w:sz w:val="22"/>
                <w:szCs w:val="22"/>
                <w:lang w:val="es-ES" w:eastAsia="es-EC"/>
              </w:rPr>
              <w:t>Capacidad Instalada</w:t>
            </w:r>
          </w:p>
        </w:tc>
        <w:tc>
          <w:tcPr>
            <w:tcW w:w="3007" w:type="dxa"/>
            <w:shd w:val="clear" w:color="auto" w:fill="auto"/>
            <w:vAlign w:val="center"/>
          </w:tcPr>
          <w:p w14:paraId="3ACDF13C" w14:textId="77777777" w:rsidR="009E0A9E" w:rsidRPr="00775AE5" w:rsidRDefault="009E0A9E" w:rsidP="00525437">
            <w:pPr>
              <w:spacing w:line="276" w:lineRule="auto"/>
              <w:jc w:val="center"/>
              <w:rPr>
                <w:rFonts w:ascii="Arial" w:eastAsia="Calibri" w:hAnsi="Arial" w:cs="Arial"/>
                <w:sz w:val="22"/>
                <w:szCs w:val="22"/>
                <w:lang w:val="es-ES"/>
              </w:rPr>
            </w:pPr>
            <w:r w:rsidRPr="00775AE5">
              <w:rPr>
                <w:rFonts w:ascii="Arial" w:hAnsi="Arial" w:cs="Arial"/>
                <w:b/>
                <w:bCs/>
                <w:sz w:val="22"/>
                <w:szCs w:val="22"/>
                <w:lang w:val="es-ES" w:eastAsia="es-EC"/>
              </w:rPr>
              <w:t>(%) Hacinamiento Nacional</w:t>
            </w:r>
          </w:p>
        </w:tc>
      </w:tr>
      <w:tr w:rsidR="009E0A9E" w:rsidRPr="00775AE5" w14:paraId="23E1C77B" w14:textId="77777777" w:rsidTr="00525437">
        <w:trPr>
          <w:trHeight w:val="188"/>
          <w:jc w:val="center"/>
        </w:trPr>
        <w:tc>
          <w:tcPr>
            <w:tcW w:w="1199" w:type="dxa"/>
            <w:shd w:val="clear" w:color="auto" w:fill="auto"/>
            <w:vAlign w:val="center"/>
          </w:tcPr>
          <w:p w14:paraId="34FF7A00" w14:textId="77777777" w:rsidR="009E0A9E" w:rsidRPr="00775AE5" w:rsidRDefault="009E0A9E" w:rsidP="00525437">
            <w:pPr>
              <w:spacing w:line="276" w:lineRule="auto"/>
              <w:jc w:val="center"/>
              <w:rPr>
                <w:rFonts w:ascii="Arial" w:eastAsia="Calibri" w:hAnsi="Arial" w:cs="Arial"/>
                <w:sz w:val="22"/>
                <w:szCs w:val="22"/>
                <w:lang w:val="es-ES"/>
              </w:rPr>
            </w:pPr>
            <w:r w:rsidRPr="00775AE5">
              <w:rPr>
                <w:rFonts w:ascii="Arial" w:hAnsi="Arial" w:cs="Arial"/>
                <w:b/>
                <w:bCs/>
                <w:sz w:val="22"/>
                <w:szCs w:val="22"/>
                <w:lang w:val="es-ES" w:eastAsia="es-EC"/>
              </w:rPr>
              <w:t>31.868</w:t>
            </w:r>
          </w:p>
        </w:tc>
        <w:tc>
          <w:tcPr>
            <w:tcW w:w="2269" w:type="dxa"/>
            <w:shd w:val="clear" w:color="auto" w:fill="auto"/>
            <w:vAlign w:val="center"/>
          </w:tcPr>
          <w:p w14:paraId="47F827DE" w14:textId="77777777" w:rsidR="009E0A9E" w:rsidRPr="00775AE5" w:rsidRDefault="009E0A9E" w:rsidP="00525437">
            <w:pPr>
              <w:spacing w:line="276" w:lineRule="auto"/>
              <w:jc w:val="center"/>
              <w:rPr>
                <w:rFonts w:ascii="Arial" w:eastAsia="Calibri" w:hAnsi="Arial" w:cs="Arial"/>
                <w:sz w:val="22"/>
                <w:szCs w:val="22"/>
                <w:lang w:val="es-ES"/>
              </w:rPr>
            </w:pPr>
            <w:r w:rsidRPr="00775AE5">
              <w:rPr>
                <w:rFonts w:ascii="Arial" w:eastAsia="Calibri" w:hAnsi="Arial" w:cs="Arial"/>
                <w:sz w:val="22"/>
                <w:szCs w:val="22"/>
                <w:lang w:val="es-ES"/>
              </w:rPr>
              <w:t>27.714</w:t>
            </w:r>
          </w:p>
        </w:tc>
        <w:tc>
          <w:tcPr>
            <w:tcW w:w="3007" w:type="dxa"/>
            <w:shd w:val="clear" w:color="auto" w:fill="auto"/>
            <w:vAlign w:val="center"/>
          </w:tcPr>
          <w:p w14:paraId="161E4FA2" w14:textId="77777777" w:rsidR="009E0A9E" w:rsidRPr="00775AE5" w:rsidRDefault="009E0A9E" w:rsidP="00525437">
            <w:pPr>
              <w:spacing w:line="276" w:lineRule="auto"/>
              <w:jc w:val="center"/>
              <w:rPr>
                <w:rFonts w:ascii="Arial" w:eastAsia="Calibri" w:hAnsi="Arial" w:cs="Arial"/>
                <w:sz w:val="22"/>
                <w:szCs w:val="22"/>
                <w:lang w:val="es-ES"/>
              </w:rPr>
            </w:pPr>
            <w:r w:rsidRPr="00775AE5">
              <w:rPr>
                <w:rFonts w:ascii="Arial" w:hAnsi="Arial" w:cs="Arial"/>
                <w:sz w:val="22"/>
                <w:szCs w:val="22"/>
                <w:lang w:val="es-ES" w:eastAsia="es-EC"/>
              </w:rPr>
              <w:t>14.99%</w:t>
            </w:r>
          </w:p>
        </w:tc>
      </w:tr>
    </w:tbl>
    <w:p w14:paraId="27AE740E" w14:textId="77777777" w:rsidR="009E0A9E" w:rsidRPr="00775AE5" w:rsidRDefault="009E0A9E" w:rsidP="009E0A9E">
      <w:pPr>
        <w:spacing w:line="276" w:lineRule="auto"/>
        <w:ind w:right="141"/>
        <w:rPr>
          <w:rFonts w:ascii="Arial" w:eastAsia="DejaVu Sans" w:hAnsi="Arial" w:cs="Arial"/>
          <w:sz w:val="22"/>
          <w:szCs w:val="22"/>
          <w:lang w:val="es-VE" w:eastAsia="es-EC"/>
        </w:rPr>
      </w:pPr>
    </w:p>
    <w:p w14:paraId="6AA703AB" w14:textId="77777777" w:rsidR="009E0A9E" w:rsidRPr="00775AE5" w:rsidRDefault="009E0A9E" w:rsidP="009E0A9E">
      <w:pPr>
        <w:spacing w:line="276" w:lineRule="auto"/>
        <w:ind w:right="141"/>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Fuente: SNAI, Marzo 2024.Tomado de: </w:t>
      </w:r>
      <w:hyperlink r:id="rId20" w:history="1">
        <w:r w:rsidRPr="00775AE5">
          <w:rPr>
            <w:rStyle w:val="Hyperlink"/>
            <w:rFonts w:ascii="Arial" w:eastAsia="DejaVu Sans" w:hAnsi="Arial" w:cs="Arial"/>
            <w:sz w:val="22"/>
            <w:szCs w:val="22"/>
            <w:lang w:val="es-VE" w:eastAsia="es-EC"/>
          </w:rPr>
          <w:t>https://www.atencionintegral.gob.ec/estadisticas/</w:t>
        </w:r>
      </w:hyperlink>
    </w:p>
    <w:p w14:paraId="24449502" w14:textId="77777777" w:rsidR="009E0A9E" w:rsidRPr="00775AE5" w:rsidRDefault="009E0A9E" w:rsidP="009E0A9E">
      <w:pPr>
        <w:spacing w:line="276" w:lineRule="auto"/>
        <w:ind w:right="141"/>
        <w:jc w:val="both"/>
        <w:rPr>
          <w:rFonts w:ascii="Arial" w:eastAsia="Calibri" w:hAnsi="Arial" w:cs="Arial"/>
          <w:i/>
          <w:sz w:val="22"/>
          <w:szCs w:val="22"/>
          <w:lang w:val="es-ES"/>
        </w:rPr>
      </w:pPr>
      <w:r w:rsidRPr="00775AE5">
        <w:rPr>
          <w:rFonts w:ascii="Arial" w:eastAsia="DejaVu Sans" w:hAnsi="Arial" w:cs="Arial"/>
          <w:sz w:val="22"/>
          <w:szCs w:val="22"/>
          <w:lang w:val="es-VE" w:eastAsia="es-EC"/>
        </w:rPr>
        <w:t xml:space="preserve">Nota: </w:t>
      </w:r>
      <w:r w:rsidRPr="00775AE5">
        <w:rPr>
          <w:rFonts w:ascii="Arial" w:eastAsia="DejaVu Sans" w:hAnsi="Arial" w:cs="Arial"/>
          <w:i/>
          <w:iCs/>
          <w:sz w:val="22"/>
          <w:szCs w:val="22"/>
          <w:lang w:val="es-VE" w:eastAsia="es-EC"/>
        </w:rPr>
        <w:t xml:space="preserve">El 28 de enero de 2024 se inicia con los traslados hacia el CPL Guayas </w:t>
      </w:r>
      <w:proofErr w:type="spellStart"/>
      <w:r w:rsidRPr="00775AE5">
        <w:rPr>
          <w:rFonts w:ascii="Arial" w:eastAsia="DejaVu Sans" w:hAnsi="Arial" w:cs="Arial"/>
          <w:i/>
          <w:iCs/>
          <w:sz w:val="22"/>
          <w:szCs w:val="22"/>
          <w:lang w:val="es-VE" w:eastAsia="es-EC"/>
        </w:rPr>
        <w:t>N°</w:t>
      </w:r>
      <w:proofErr w:type="spellEnd"/>
      <w:r w:rsidRPr="00775AE5">
        <w:rPr>
          <w:rFonts w:ascii="Arial" w:eastAsia="DejaVu Sans" w:hAnsi="Arial" w:cs="Arial"/>
          <w:i/>
          <w:iCs/>
          <w:sz w:val="22"/>
          <w:szCs w:val="22"/>
          <w:lang w:val="es-VE" w:eastAsia="es-EC"/>
        </w:rPr>
        <w:t xml:space="preserve"> 3, centro que entra en funcionamiento nuevamente con una capacidad instalada efectiva de 158 plazas, luego de las readecuaciones y reparaciones</w:t>
      </w:r>
    </w:p>
    <w:p w14:paraId="7615380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714521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A diciembre de 2019, la tasa de hacinamiento en los lugares de privación social del sistema penitenciario fue de 34.3% (SNAI, 2019), mientras que los datos actualizados por esta entidad a marzo del 2024 muestran una tasa de hacinamiento del 14,99%, es decir, que habría una reducción de 19% del hacinamiento total. </w:t>
      </w:r>
    </w:p>
    <w:p w14:paraId="519F2B6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251EF54" w14:textId="77777777" w:rsidR="009E0A9E" w:rsidRPr="00775AE5" w:rsidRDefault="009E0A9E" w:rsidP="009E0A9E">
      <w:pPr>
        <w:spacing w:line="276" w:lineRule="auto"/>
        <w:rPr>
          <w:rFonts w:ascii="Arial" w:eastAsia="Calibri" w:hAnsi="Arial" w:cs="Arial"/>
          <w:sz w:val="22"/>
          <w:szCs w:val="22"/>
          <w:lang w:val="es-ES"/>
        </w:rPr>
      </w:pPr>
      <w:r w:rsidRPr="00775AE5">
        <w:rPr>
          <w:rFonts w:ascii="Arial" w:eastAsia="Calibri" w:hAnsi="Arial" w:cs="Arial"/>
          <w:sz w:val="22"/>
          <w:szCs w:val="22"/>
          <w:lang w:val="es-ES"/>
        </w:rPr>
        <w:t>Tabla 5</w:t>
      </w:r>
    </w:p>
    <w:p w14:paraId="7C575795"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ES" w:eastAsia="es-EC"/>
        </w:rPr>
      </w:pPr>
      <w:r w:rsidRPr="00775AE5">
        <w:rPr>
          <w:rFonts w:ascii="Arial" w:eastAsia="Calibri" w:hAnsi="Arial" w:cs="Arial"/>
          <w:i/>
          <w:sz w:val="22"/>
          <w:szCs w:val="22"/>
          <w:lang w:val="es-ES"/>
        </w:rPr>
        <w:t>Hacinamiento en los centros de adultos del SNRS, 2024</w:t>
      </w:r>
    </w:p>
    <w:p w14:paraId="3DC7E8D0" w14:textId="77777777" w:rsidR="009E0A9E" w:rsidRPr="00775AE5" w:rsidRDefault="009E0A9E" w:rsidP="009E0A9E">
      <w:pPr>
        <w:spacing w:line="276" w:lineRule="auto"/>
        <w:rPr>
          <w:rFonts w:ascii="Arial" w:eastAsia="Calibri" w:hAnsi="Arial" w:cs="Arial"/>
          <w:sz w:val="22"/>
          <w:szCs w:val="22"/>
          <w:lang w:val="es-VE"/>
        </w:rPr>
      </w:pPr>
    </w:p>
    <w:tbl>
      <w:tblPr>
        <w:tblStyle w:val="TableGrid"/>
        <w:tblW w:w="7820" w:type="dxa"/>
        <w:jc w:val="center"/>
        <w:tblLook w:val="04A0" w:firstRow="1" w:lastRow="0" w:firstColumn="1" w:lastColumn="0" w:noHBand="0" w:noVBand="1"/>
      </w:tblPr>
      <w:tblGrid>
        <w:gridCol w:w="840"/>
        <w:gridCol w:w="1769"/>
        <w:gridCol w:w="2786"/>
        <w:gridCol w:w="1536"/>
        <w:gridCol w:w="889"/>
      </w:tblGrid>
      <w:tr w:rsidR="009E0A9E" w:rsidRPr="00775AE5" w14:paraId="65EA2A1B" w14:textId="77777777" w:rsidTr="00525437">
        <w:trPr>
          <w:trHeight w:val="1320"/>
          <w:jc w:val="center"/>
        </w:trPr>
        <w:tc>
          <w:tcPr>
            <w:tcW w:w="740" w:type="dxa"/>
            <w:hideMark/>
          </w:tcPr>
          <w:p w14:paraId="393B4CCE" w14:textId="77777777" w:rsidR="009E0A9E" w:rsidRPr="00775AE5" w:rsidRDefault="009E0A9E" w:rsidP="00525437">
            <w:pPr>
              <w:jc w:val="center"/>
              <w:rPr>
                <w:rFonts w:ascii="Arial" w:hAnsi="Arial" w:cs="Arial"/>
                <w:b/>
                <w:bCs/>
                <w:color w:val="000000"/>
                <w:sz w:val="22"/>
                <w:szCs w:val="22"/>
                <w:lang w:val="en-US" w:eastAsia="en-US"/>
              </w:rPr>
            </w:pPr>
            <w:r w:rsidRPr="00775AE5">
              <w:rPr>
                <w:rFonts w:ascii="Arial" w:hAnsi="Arial" w:cs="Arial"/>
                <w:b/>
                <w:bCs/>
                <w:color w:val="000000"/>
                <w:sz w:val="22"/>
                <w:szCs w:val="22"/>
              </w:rPr>
              <w:t>ZONA</w:t>
            </w:r>
          </w:p>
        </w:tc>
        <w:tc>
          <w:tcPr>
            <w:tcW w:w="1340" w:type="dxa"/>
            <w:hideMark/>
          </w:tcPr>
          <w:p w14:paraId="32FE3B20" w14:textId="77777777" w:rsidR="009E0A9E" w:rsidRPr="00775AE5" w:rsidRDefault="009E0A9E" w:rsidP="00525437">
            <w:pPr>
              <w:jc w:val="center"/>
              <w:rPr>
                <w:rFonts w:ascii="Arial" w:hAnsi="Arial" w:cs="Arial"/>
                <w:b/>
                <w:bCs/>
                <w:color w:val="000000"/>
                <w:sz w:val="22"/>
                <w:szCs w:val="22"/>
              </w:rPr>
            </w:pPr>
            <w:r w:rsidRPr="00775AE5">
              <w:rPr>
                <w:rFonts w:ascii="Arial" w:hAnsi="Arial" w:cs="Arial"/>
                <w:b/>
                <w:bCs/>
                <w:color w:val="000000"/>
                <w:sz w:val="22"/>
                <w:szCs w:val="22"/>
              </w:rPr>
              <w:t>PROVINCIA</w:t>
            </w:r>
          </w:p>
        </w:tc>
        <w:tc>
          <w:tcPr>
            <w:tcW w:w="3740" w:type="dxa"/>
            <w:hideMark/>
          </w:tcPr>
          <w:p w14:paraId="5E2F0E9E" w14:textId="77777777" w:rsidR="009E0A9E" w:rsidRPr="00775AE5" w:rsidRDefault="009E0A9E" w:rsidP="00525437">
            <w:pPr>
              <w:jc w:val="center"/>
              <w:rPr>
                <w:rFonts w:ascii="Arial" w:hAnsi="Arial" w:cs="Arial"/>
                <w:b/>
                <w:bCs/>
                <w:color w:val="000000"/>
                <w:sz w:val="22"/>
                <w:szCs w:val="22"/>
              </w:rPr>
            </w:pPr>
            <w:r w:rsidRPr="00775AE5">
              <w:rPr>
                <w:rFonts w:ascii="Arial" w:hAnsi="Arial" w:cs="Arial"/>
                <w:b/>
                <w:bCs/>
                <w:color w:val="000000"/>
                <w:sz w:val="22"/>
                <w:szCs w:val="22"/>
              </w:rPr>
              <w:t>NOMBRE DE LA INFRAESTRUCTURA</w:t>
            </w:r>
          </w:p>
        </w:tc>
        <w:tc>
          <w:tcPr>
            <w:tcW w:w="1240" w:type="dxa"/>
            <w:hideMark/>
          </w:tcPr>
          <w:p w14:paraId="4E50B4FD" w14:textId="77777777" w:rsidR="009E0A9E" w:rsidRPr="00775AE5" w:rsidRDefault="009E0A9E" w:rsidP="00525437">
            <w:pPr>
              <w:jc w:val="center"/>
              <w:rPr>
                <w:rFonts w:ascii="Arial" w:hAnsi="Arial" w:cs="Arial"/>
                <w:b/>
                <w:bCs/>
                <w:color w:val="000000"/>
                <w:sz w:val="22"/>
                <w:szCs w:val="22"/>
              </w:rPr>
            </w:pPr>
            <w:r w:rsidRPr="00775AE5">
              <w:rPr>
                <w:rFonts w:ascii="Arial" w:hAnsi="Arial" w:cs="Arial"/>
                <w:b/>
                <w:bCs/>
                <w:color w:val="000000"/>
                <w:sz w:val="22"/>
                <w:szCs w:val="22"/>
              </w:rPr>
              <w:t>CAPACIDAD INSTALADA EFECTIVA</w:t>
            </w:r>
          </w:p>
        </w:tc>
        <w:tc>
          <w:tcPr>
            <w:tcW w:w="760" w:type="dxa"/>
            <w:textDirection w:val="btLr"/>
            <w:hideMark/>
          </w:tcPr>
          <w:p w14:paraId="093C35D7" w14:textId="77777777" w:rsidR="009E0A9E" w:rsidRPr="00775AE5" w:rsidRDefault="009E0A9E" w:rsidP="00525437">
            <w:pPr>
              <w:jc w:val="center"/>
              <w:rPr>
                <w:rFonts w:ascii="Arial" w:hAnsi="Arial" w:cs="Arial"/>
                <w:b/>
                <w:bCs/>
                <w:color w:val="000000"/>
                <w:sz w:val="22"/>
                <w:szCs w:val="22"/>
              </w:rPr>
            </w:pPr>
            <w:r w:rsidRPr="00775AE5">
              <w:rPr>
                <w:rFonts w:ascii="Arial" w:hAnsi="Arial" w:cs="Arial"/>
                <w:b/>
                <w:bCs/>
                <w:color w:val="000000"/>
                <w:sz w:val="22"/>
                <w:szCs w:val="22"/>
              </w:rPr>
              <w:t>29-mar.-2024</w:t>
            </w:r>
          </w:p>
        </w:tc>
      </w:tr>
      <w:tr w:rsidR="009E0A9E" w:rsidRPr="00775AE5" w14:paraId="6BA6ADB2" w14:textId="77777777" w:rsidTr="00525437">
        <w:trPr>
          <w:trHeight w:val="288"/>
          <w:jc w:val="center"/>
        </w:trPr>
        <w:tc>
          <w:tcPr>
            <w:tcW w:w="740" w:type="dxa"/>
            <w:vMerge w:val="restart"/>
            <w:noWrap/>
            <w:hideMark/>
          </w:tcPr>
          <w:p w14:paraId="635E4611"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ZONA 1</w:t>
            </w:r>
          </w:p>
        </w:tc>
        <w:tc>
          <w:tcPr>
            <w:tcW w:w="1340" w:type="dxa"/>
            <w:hideMark/>
          </w:tcPr>
          <w:p w14:paraId="32B2E879"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CARCHI</w:t>
            </w:r>
          </w:p>
        </w:tc>
        <w:tc>
          <w:tcPr>
            <w:tcW w:w="3740" w:type="dxa"/>
            <w:hideMark/>
          </w:tcPr>
          <w:p w14:paraId="148D2BD2"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CARCHI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06D6E42B"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550 </w:t>
            </w:r>
          </w:p>
        </w:tc>
        <w:tc>
          <w:tcPr>
            <w:tcW w:w="760" w:type="dxa"/>
            <w:hideMark/>
          </w:tcPr>
          <w:p w14:paraId="7CFC0708"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748 </w:t>
            </w:r>
          </w:p>
        </w:tc>
      </w:tr>
      <w:tr w:rsidR="009E0A9E" w:rsidRPr="00775AE5" w14:paraId="00BD9707" w14:textId="77777777" w:rsidTr="00525437">
        <w:trPr>
          <w:trHeight w:val="288"/>
          <w:jc w:val="center"/>
        </w:trPr>
        <w:tc>
          <w:tcPr>
            <w:tcW w:w="740" w:type="dxa"/>
            <w:vMerge/>
            <w:hideMark/>
          </w:tcPr>
          <w:p w14:paraId="7462862A" w14:textId="77777777" w:rsidR="009E0A9E" w:rsidRPr="00775AE5" w:rsidRDefault="009E0A9E" w:rsidP="00525437">
            <w:pPr>
              <w:rPr>
                <w:rFonts w:ascii="Arial" w:hAnsi="Arial" w:cs="Arial"/>
                <w:color w:val="000000"/>
                <w:sz w:val="22"/>
                <w:szCs w:val="22"/>
              </w:rPr>
            </w:pPr>
          </w:p>
        </w:tc>
        <w:tc>
          <w:tcPr>
            <w:tcW w:w="1340" w:type="dxa"/>
            <w:vMerge w:val="restart"/>
            <w:hideMark/>
          </w:tcPr>
          <w:p w14:paraId="02C1E6E2"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ESMERALDAS</w:t>
            </w:r>
          </w:p>
        </w:tc>
        <w:tc>
          <w:tcPr>
            <w:tcW w:w="3740" w:type="dxa"/>
            <w:hideMark/>
          </w:tcPr>
          <w:p w14:paraId="63C315AF"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ESMERALDAS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4E23D383"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183 </w:t>
            </w:r>
          </w:p>
        </w:tc>
        <w:tc>
          <w:tcPr>
            <w:tcW w:w="760" w:type="dxa"/>
            <w:hideMark/>
          </w:tcPr>
          <w:p w14:paraId="4F761983"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90 </w:t>
            </w:r>
          </w:p>
        </w:tc>
      </w:tr>
      <w:tr w:rsidR="009E0A9E" w:rsidRPr="00775AE5" w14:paraId="01591EC7" w14:textId="77777777" w:rsidTr="00525437">
        <w:trPr>
          <w:trHeight w:val="288"/>
          <w:jc w:val="center"/>
        </w:trPr>
        <w:tc>
          <w:tcPr>
            <w:tcW w:w="740" w:type="dxa"/>
            <w:vMerge/>
            <w:hideMark/>
          </w:tcPr>
          <w:p w14:paraId="04579242" w14:textId="77777777" w:rsidR="009E0A9E" w:rsidRPr="00775AE5" w:rsidRDefault="009E0A9E" w:rsidP="00525437">
            <w:pPr>
              <w:rPr>
                <w:rFonts w:ascii="Arial" w:hAnsi="Arial" w:cs="Arial"/>
                <w:color w:val="000000"/>
                <w:sz w:val="22"/>
                <w:szCs w:val="22"/>
              </w:rPr>
            </w:pPr>
          </w:p>
        </w:tc>
        <w:tc>
          <w:tcPr>
            <w:tcW w:w="1340" w:type="dxa"/>
            <w:vMerge/>
            <w:hideMark/>
          </w:tcPr>
          <w:p w14:paraId="2E928F9F" w14:textId="77777777" w:rsidR="009E0A9E" w:rsidRPr="00775AE5" w:rsidRDefault="009E0A9E" w:rsidP="00525437">
            <w:pPr>
              <w:rPr>
                <w:rFonts w:ascii="Arial" w:hAnsi="Arial" w:cs="Arial"/>
                <w:color w:val="000000"/>
                <w:sz w:val="22"/>
                <w:szCs w:val="22"/>
              </w:rPr>
            </w:pPr>
          </w:p>
        </w:tc>
        <w:tc>
          <w:tcPr>
            <w:tcW w:w="3740" w:type="dxa"/>
            <w:hideMark/>
          </w:tcPr>
          <w:p w14:paraId="479C9B17"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ESMERALDAS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2</w:t>
            </w:r>
          </w:p>
        </w:tc>
        <w:tc>
          <w:tcPr>
            <w:tcW w:w="1240" w:type="dxa"/>
            <w:hideMark/>
          </w:tcPr>
          <w:p w14:paraId="5DF6911D"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1.110 </w:t>
            </w:r>
          </w:p>
        </w:tc>
        <w:tc>
          <w:tcPr>
            <w:tcW w:w="760" w:type="dxa"/>
            <w:hideMark/>
          </w:tcPr>
          <w:p w14:paraId="572A0044"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1.492 </w:t>
            </w:r>
          </w:p>
        </w:tc>
      </w:tr>
      <w:tr w:rsidR="009E0A9E" w:rsidRPr="00775AE5" w14:paraId="2CCB988C" w14:textId="77777777" w:rsidTr="00525437">
        <w:trPr>
          <w:trHeight w:val="288"/>
          <w:jc w:val="center"/>
        </w:trPr>
        <w:tc>
          <w:tcPr>
            <w:tcW w:w="740" w:type="dxa"/>
            <w:vMerge/>
            <w:hideMark/>
          </w:tcPr>
          <w:p w14:paraId="52FE6540" w14:textId="77777777" w:rsidR="009E0A9E" w:rsidRPr="00775AE5" w:rsidRDefault="009E0A9E" w:rsidP="00525437">
            <w:pPr>
              <w:rPr>
                <w:rFonts w:ascii="Arial" w:hAnsi="Arial" w:cs="Arial"/>
                <w:color w:val="000000"/>
                <w:sz w:val="22"/>
                <w:szCs w:val="22"/>
              </w:rPr>
            </w:pPr>
          </w:p>
        </w:tc>
        <w:tc>
          <w:tcPr>
            <w:tcW w:w="1340" w:type="dxa"/>
            <w:hideMark/>
          </w:tcPr>
          <w:p w14:paraId="047F217F"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IMBABURA</w:t>
            </w:r>
          </w:p>
        </w:tc>
        <w:tc>
          <w:tcPr>
            <w:tcW w:w="3740" w:type="dxa"/>
            <w:hideMark/>
          </w:tcPr>
          <w:p w14:paraId="1C34AA87"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IMBABURA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2B7EC906"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302 </w:t>
            </w:r>
          </w:p>
        </w:tc>
        <w:tc>
          <w:tcPr>
            <w:tcW w:w="760" w:type="dxa"/>
            <w:hideMark/>
          </w:tcPr>
          <w:p w14:paraId="39F2A5B3"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562 </w:t>
            </w:r>
          </w:p>
        </w:tc>
      </w:tr>
      <w:tr w:rsidR="009E0A9E" w:rsidRPr="00775AE5" w14:paraId="458E87F5" w14:textId="77777777" w:rsidTr="00525437">
        <w:trPr>
          <w:trHeight w:val="288"/>
          <w:jc w:val="center"/>
        </w:trPr>
        <w:tc>
          <w:tcPr>
            <w:tcW w:w="740" w:type="dxa"/>
            <w:vMerge/>
            <w:hideMark/>
          </w:tcPr>
          <w:p w14:paraId="19A80881" w14:textId="77777777" w:rsidR="009E0A9E" w:rsidRPr="00775AE5" w:rsidRDefault="009E0A9E" w:rsidP="00525437">
            <w:pPr>
              <w:rPr>
                <w:rFonts w:ascii="Arial" w:hAnsi="Arial" w:cs="Arial"/>
                <w:color w:val="000000"/>
                <w:sz w:val="22"/>
                <w:szCs w:val="22"/>
              </w:rPr>
            </w:pPr>
          </w:p>
        </w:tc>
        <w:tc>
          <w:tcPr>
            <w:tcW w:w="1340" w:type="dxa"/>
            <w:hideMark/>
          </w:tcPr>
          <w:p w14:paraId="5E5B07F1"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SUCUMBÍOS</w:t>
            </w:r>
          </w:p>
        </w:tc>
        <w:tc>
          <w:tcPr>
            <w:tcW w:w="3740" w:type="dxa"/>
            <w:hideMark/>
          </w:tcPr>
          <w:p w14:paraId="654C828A"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SUCUMBIOS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4338C7BE"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678 </w:t>
            </w:r>
          </w:p>
        </w:tc>
        <w:tc>
          <w:tcPr>
            <w:tcW w:w="760" w:type="dxa"/>
            <w:hideMark/>
          </w:tcPr>
          <w:p w14:paraId="7453952B"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699 </w:t>
            </w:r>
          </w:p>
        </w:tc>
      </w:tr>
      <w:tr w:rsidR="009E0A9E" w:rsidRPr="00775AE5" w14:paraId="13B57E45" w14:textId="77777777" w:rsidTr="00525437">
        <w:trPr>
          <w:trHeight w:val="288"/>
          <w:jc w:val="center"/>
        </w:trPr>
        <w:tc>
          <w:tcPr>
            <w:tcW w:w="740" w:type="dxa"/>
            <w:noWrap/>
            <w:hideMark/>
          </w:tcPr>
          <w:p w14:paraId="0802AD3B"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ZONA 2</w:t>
            </w:r>
          </w:p>
        </w:tc>
        <w:tc>
          <w:tcPr>
            <w:tcW w:w="1340" w:type="dxa"/>
            <w:hideMark/>
          </w:tcPr>
          <w:p w14:paraId="69BC6123"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NAPO</w:t>
            </w:r>
          </w:p>
        </w:tc>
        <w:tc>
          <w:tcPr>
            <w:tcW w:w="3740" w:type="dxa"/>
            <w:hideMark/>
          </w:tcPr>
          <w:p w14:paraId="7AE75819"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NAPO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182BB5DD"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312 </w:t>
            </w:r>
          </w:p>
        </w:tc>
        <w:tc>
          <w:tcPr>
            <w:tcW w:w="760" w:type="dxa"/>
            <w:hideMark/>
          </w:tcPr>
          <w:p w14:paraId="5FEC9FA6"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461 </w:t>
            </w:r>
          </w:p>
        </w:tc>
      </w:tr>
      <w:tr w:rsidR="009E0A9E" w:rsidRPr="00775AE5" w14:paraId="44AA932D" w14:textId="77777777" w:rsidTr="00525437">
        <w:trPr>
          <w:trHeight w:val="288"/>
          <w:jc w:val="center"/>
        </w:trPr>
        <w:tc>
          <w:tcPr>
            <w:tcW w:w="740" w:type="dxa"/>
            <w:vMerge w:val="restart"/>
            <w:noWrap/>
            <w:hideMark/>
          </w:tcPr>
          <w:p w14:paraId="34B9E42D"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ZONA 3</w:t>
            </w:r>
          </w:p>
        </w:tc>
        <w:tc>
          <w:tcPr>
            <w:tcW w:w="1340" w:type="dxa"/>
            <w:vMerge w:val="restart"/>
            <w:hideMark/>
          </w:tcPr>
          <w:p w14:paraId="5A735449"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CHIMBORAZO</w:t>
            </w:r>
          </w:p>
        </w:tc>
        <w:tc>
          <w:tcPr>
            <w:tcW w:w="3740" w:type="dxa"/>
            <w:hideMark/>
          </w:tcPr>
          <w:p w14:paraId="1575485E"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CHIMBORAZO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4F65FB70"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250 </w:t>
            </w:r>
          </w:p>
        </w:tc>
        <w:tc>
          <w:tcPr>
            <w:tcW w:w="760" w:type="dxa"/>
            <w:hideMark/>
          </w:tcPr>
          <w:p w14:paraId="166BE7DC"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435 </w:t>
            </w:r>
          </w:p>
        </w:tc>
      </w:tr>
      <w:tr w:rsidR="009E0A9E" w:rsidRPr="00775AE5" w14:paraId="39305191" w14:textId="77777777" w:rsidTr="00525437">
        <w:trPr>
          <w:trHeight w:val="288"/>
          <w:jc w:val="center"/>
        </w:trPr>
        <w:tc>
          <w:tcPr>
            <w:tcW w:w="740" w:type="dxa"/>
            <w:vMerge/>
            <w:hideMark/>
          </w:tcPr>
          <w:p w14:paraId="5EDCFE49" w14:textId="77777777" w:rsidR="009E0A9E" w:rsidRPr="00775AE5" w:rsidRDefault="009E0A9E" w:rsidP="00525437">
            <w:pPr>
              <w:rPr>
                <w:rFonts w:ascii="Arial" w:hAnsi="Arial" w:cs="Arial"/>
                <w:color w:val="000000"/>
                <w:sz w:val="22"/>
                <w:szCs w:val="22"/>
              </w:rPr>
            </w:pPr>
          </w:p>
        </w:tc>
        <w:tc>
          <w:tcPr>
            <w:tcW w:w="1340" w:type="dxa"/>
            <w:vMerge/>
            <w:hideMark/>
          </w:tcPr>
          <w:p w14:paraId="5F1427A9" w14:textId="77777777" w:rsidR="009E0A9E" w:rsidRPr="00775AE5" w:rsidRDefault="009E0A9E" w:rsidP="00525437">
            <w:pPr>
              <w:rPr>
                <w:rFonts w:ascii="Arial" w:hAnsi="Arial" w:cs="Arial"/>
                <w:color w:val="000000"/>
                <w:sz w:val="22"/>
                <w:szCs w:val="22"/>
              </w:rPr>
            </w:pPr>
          </w:p>
        </w:tc>
        <w:tc>
          <w:tcPr>
            <w:tcW w:w="3740" w:type="dxa"/>
            <w:hideMark/>
          </w:tcPr>
          <w:p w14:paraId="234262E0"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CHIMBORAZO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2</w:t>
            </w:r>
          </w:p>
        </w:tc>
        <w:tc>
          <w:tcPr>
            <w:tcW w:w="1240" w:type="dxa"/>
            <w:hideMark/>
          </w:tcPr>
          <w:p w14:paraId="44D7F51B"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77 </w:t>
            </w:r>
          </w:p>
        </w:tc>
        <w:tc>
          <w:tcPr>
            <w:tcW w:w="760" w:type="dxa"/>
            <w:hideMark/>
          </w:tcPr>
          <w:p w14:paraId="2BE2DC75"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27 </w:t>
            </w:r>
          </w:p>
        </w:tc>
      </w:tr>
      <w:tr w:rsidR="009E0A9E" w:rsidRPr="00775AE5" w14:paraId="016C353A" w14:textId="77777777" w:rsidTr="00525437">
        <w:trPr>
          <w:trHeight w:val="288"/>
          <w:jc w:val="center"/>
        </w:trPr>
        <w:tc>
          <w:tcPr>
            <w:tcW w:w="740" w:type="dxa"/>
            <w:vMerge/>
            <w:hideMark/>
          </w:tcPr>
          <w:p w14:paraId="0DB5F215" w14:textId="77777777" w:rsidR="009E0A9E" w:rsidRPr="00775AE5" w:rsidRDefault="009E0A9E" w:rsidP="00525437">
            <w:pPr>
              <w:rPr>
                <w:rFonts w:ascii="Arial" w:hAnsi="Arial" w:cs="Arial"/>
                <w:color w:val="000000"/>
                <w:sz w:val="22"/>
                <w:szCs w:val="22"/>
              </w:rPr>
            </w:pPr>
          </w:p>
        </w:tc>
        <w:tc>
          <w:tcPr>
            <w:tcW w:w="1340" w:type="dxa"/>
            <w:vMerge/>
            <w:hideMark/>
          </w:tcPr>
          <w:p w14:paraId="1814D145" w14:textId="77777777" w:rsidR="009E0A9E" w:rsidRPr="00775AE5" w:rsidRDefault="009E0A9E" w:rsidP="00525437">
            <w:pPr>
              <w:rPr>
                <w:rFonts w:ascii="Arial" w:hAnsi="Arial" w:cs="Arial"/>
                <w:color w:val="000000"/>
                <w:sz w:val="22"/>
                <w:szCs w:val="22"/>
              </w:rPr>
            </w:pPr>
          </w:p>
        </w:tc>
        <w:tc>
          <w:tcPr>
            <w:tcW w:w="3740" w:type="dxa"/>
            <w:hideMark/>
          </w:tcPr>
          <w:p w14:paraId="71ACFC09"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CHIMBORAZO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3</w:t>
            </w:r>
          </w:p>
        </w:tc>
        <w:tc>
          <w:tcPr>
            <w:tcW w:w="1240" w:type="dxa"/>
            <w:hideMark/>
          </w:tcPr>
          <w:p w14:paraId="144DD969"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100 </w:t>
            </w:r>
          </w:p>
        </w:tc>
        <w:tc>
          <w:tcPr>
            <w:tcW w:w="760" w:type="dxa"/>
            <w:hideMark/>
          </w:tcPr>
          <w:p w14:paraId="099A599B"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49 </w:t>
            </w:r>
          </w:p>
        </w:tc>
      </w:tr>
      <w:tr w:rsidR="009E0A9E" w:rsidRPr="00775AE5" w14:paraId="58AC1914" w14:textId="77777777" w:rsidTr="00525437">
        <w:trPr>
          <w:trHeight w:val="288"/>
          <w:jc w:val="center"/>
        </w:trPr>
        <w:tc>
          <w:tcPr>
            <w:tcW w:w="740" w:type="dxa"/>
            <w:vMerge/>
            <w:hideMark/>
          </w:tcPr>
          <w:p w14:paraId="2F42A21A" w14:textId="77777777" w:rsidR="009E0A9E" w:rsidRPr="00775AE5" w:rsidRDefault="009E0A9E" w:rsidP="00525437">
            <w:pPr>
              <w:rPr>
                <w:rFonts w:ascii="Arial" w:hAnsi="Arial" w:cs="Arial"/>
                <w:color w:val="000000"/>
                <w:sz w:val="22"/>
                <w:szCs w:val="22"/>
              </w:rPr>
            </w:pPr>
          </w:p>
        </w:tc>
        <w:tc>
          <w:tcPr>
            <w:tcW w:w="1340" w:type="dxa"/>
            <w:hideMark/>
          </w:tcPr>
          <w:p w14:paraId="2A51837C"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COTOPAXI</w:t>
            </w:r>
          </w:p>
        </w:tc>
        <w:tc>
          <w:tcPr>
            <w:tcW w:w="3740" w:type="dxa"/>
            <w:hideMark/>
          </w:tcPr>
          <w:p w14:paraId="142DE854"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COTOPAXI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4036AA28"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4.894 </w:t>
            </w:r>
          </w:p>
        </w:tc>
        <w:tc>
          <w:tcPr>
            <w:tcW w:w="760" w:type="dxa"/>
            <w:hideMark/>
          </w:tcPr>
          <w:p w14:paraId="0C2A953E"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4.324 </w:t>
            </w:r>
          </w:p>
        </w:tc>
      </w:tr>
      <w:tr w:rsidR="009E0A9E" w:rsidRPr="00775AE5" w14:paraId="4D6AC30B" w14:textId="77777777" w:rsidTr="00525437">
        <w:trPr>
          <w:trHeight w:val="288"/>
          <w:jc w:val="center"/>
        </w:trPr>
        <w:tc>
          <w:tcPr>
            <w:tcW w:w="740" w:type="dxa"/>
            <w:vMerge/>
            <w:hideMark/>
          </w:tcPr>
          <w:p w14:paraId="5D4AFEE3" w14:textId="77777777" w:rsidR="009E0A9E" w:rsidRPr="00775AE5" w:rsidRDefault="009E0A9E" w:rsidP="00525437">
            <w:pPr>
              <w:rPr>
                <w:rFonts w:ascii="Arial" w:hAnsi="Arial" w:cs="Arial"/>
                <w:color w:val="000000"/>
                <w:sz w:val="22"/>
                <w:szCs w:val="22"/>
              </w:rPr>
            </w:pPr>
          </w:p>
        </w:tc>
        <w:tc>
          <w:tcPr>
            <w:tcW w:w="1340" w:type="dxa"/>
            <w:hideMark/>
          </w:tcPr>
          <w:p w14:paraId="21213683"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PASTAZA</w:t>
            </w:r>
          </w:p>
        </w:tc>
        <w:tc>
          <w:tcPr>
            <w:tcW w:w="3740" w:type="dxa"/>
            <w:hideMark/>
          </w:tcPr>
          <w:p w14:paraId="12351696"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CPPL MIXTO PASTAZA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19B0278D"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43 </w:t>
            </w:r>
          </w:p>
        </w:tc>
        <w:tc>
          <w:tcPr>
            <w:tcW w:w="760" w:type="dxa"/>
            <w:hideMark/>
          </w:tcPr>
          <w:p w14:paraId="15EA0266"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60 </w:t>
            </w:r>
          </w:p>
        </w:tc>
      </w:tr>
      <w:tr w:rsidR="009E0A9E" w:rsidRPr="00775AE5" w14:paraId="6EBEB565" w14:textId="77777777" w:rsidTr="00525437">
        <w:trPr>
          <w:trHeight w:val="288"/>
          <w:jc w:val="center"/>
        </w:trPr>
        <w:tc>
          <w:tcPr>
            <w:tcW w:w="740" w:type="dxa"/>
            <w:vMerge/>
            <w:hideMark/>
          </w:tcPr>
          <w:p w14:paraId="13C95B7C" w14:textId="77777777" w:rsidR="009E0A9E" w:rsidRPr="00775AE5" w:rsidRDefault="009E0A9E" w:rsidP="00525437">
            <w:pPr>
              <w:rPr>
                <w:rFonts w:ascii="Arial" w:hAnsi="Arial" w:cs="Arial"/>
                <w:color w:val="000000"/>
                <w:sz w:val="22"/>
                <w:szCs w:val="22"/>
              </w:rPr>
            </w:pPr>
          </w:p>
        </w:tc>
        <w:tc>
          <w:tcPr>
            <w:tcW w:w="1340" w:type="dxa"/>
            <w:hideMark/>
          </w:tcPr>
          <w:p w14:paraId="2EC75966"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TUNGURAHUA</w:t>
            </w:r>
          </w:p>
        </w:tc>
        <w:tc>
          <w:tcPr>
            <w:tcW w:w="3740" w:type="dxa"/>
            <w:hideMark/>
          </w:tcPr>
          <w:p w14:paraId="30BD5E1F"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TUNGURAHUA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6BD08A59"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514 </w:t>
            </w:r>
          </w:p>
        </w:tc>
        <w:tc>
          <w:tcPr>
            <w:tcW w:w="760" w:type="dxa"/>
            <w:hideMark/>
          </w:tcPr>
          <w:p w14:paraId="3A58764A"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798 </w:t>
            </w:r>
          </w:p>
        </w:tc>
      </w:tr>
      <w:tr w:rsidR="009E0A9E" w:rsidRPr="00775AE5" w14:paraId="5522D41B" w14:textId="77777777" w:rsidTr="00525437">
        <w:trPr>
          <w:trHeight w:val="288"/>
          <w:jc w:val="center"/>
        </w:trPr>
        <w:tc>
          <w:tcPr>
            <w:tcW w:w="740" w:type="dxa"/>
            <w:vMerge w:val="restart"/>
            <w:noWrap/>
            <w:hideMark/>
          </w:tcPr>
          <w:p w14:paraId="2541CC98"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ZONA 4</w:t>
            </w:r>
          </w:p>
        </w:tc>
        <w:tc>
          <w:tcPr>
            <w:tcW w:w="1340" w:type="dxa"/>
            <w:vMerge w:val="restart"/>
            <w:hideMark/>
          </w:tcPr>
          <w:p w14:paraId="6852A215"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MANABÍ</w:t>
            </w:r>
          </w:p>
        </w:tc>
        <w:tc>
          <w:tcPr>
            <w:tcW w:w="3740" w:type="dxa"/>
            <w:hideMark/>
          </w:tcPr>
          <w:p w14:paraId="4520E8AE"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MANABI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1A8B2804"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133 </w:t>
            </w:r>
          </w:p>
        </w:tc>
        <w:tc>
          <w:tcPr>
            <w:tcW w:w="760" w:type="dxa"/>
            <w:hideMark/>
          </w:tcPr>
          <w:p w14:paraId="678ADBE5"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91 </w:t>
            </w:r>
          </w:p>
        </w:tc>
      </w:tr>
      <w:tr w:rsidR="009E0A9E" w:rsidRPr="00775AE5" w14:paraId="09BAE8C8" w14:textId="77777777" w:rsidTr="00525437">
        <w:trPr>
          <w:trHeight w:val="300"/>
          <w:jc w:val="center"/>
        </w:trPr>
        <w:tc>
          <w:tcPr>
            <w:tcW w:w="740" w:type="dxa"/>
            <w:vMerge/>
            <w:hideMark/>
          </w:tcPr>
          <w:p w14:paraId="342FE993" w14:textId="77777777" w:rsidR="009E0A9E" w:rsidRPr="00775AE5" w:rsidRDefault="009E0A9E" w:rsidP="00525437">
            <w:pPr>
              <w:rPr>
                <w:rFonts w:ascii="Arial" w:hAnsi="Arial" w:cs="Arial"/>
                <w:color w:val="000000"/>
                <w:sz w:val="22"/>
                <w:szCs w:val="22"/>
              </w:rPr>
            </w:pPr>
          </w:p>
        </w:tc>
        <w:tc>
          <w:tcPr>
            <w:tcW w:w="1340" w:type="dxa"/>
            <w:vMerge/>
            <w:hideMark/>
          </w:tcPr>
          <w:p w14:paraId="2D20771B" w14:textId="77777777" w:rsidR="009E0A9E" w:rsidRPr="00775AE5" w:rsidRDefault="009E0A9E" w:rsidP="00525437">
            <w:pPr>
              <w:rPr>
                <w:rFonts w:ascii="Arial" w:hAnsi="Arial" w:cs="Arial"/>
                <w:color w:val="000000"/>
                <w:sz w:val="22"/>
                <w:szCs w:val="22"/>
              </w:rPr>
            </w:pPr>
          </w:p>
        </w:tc>
        <w:tc>
          <w:tcPr>
            <w:tcW w:w="3740" w:type="dxa"/>
            <w:hideMark/>
          </w:tcPr>
          <w:p w14:paraId="51862451"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MANABI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4</w:t>
            </w:r>
          </w:p>
        </w:tc>
        <w:tc>
          <w:tcPr>
            <w:tcW w:w="1240" w:type="dxa"/>
            <w:hideMark/>
          </w:tcPr>
          <w:p w14:paraId="222C2BA4"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1.970 </w:t>
            </w:r>
          </w:p>
        </w:tc>
        <w:tc>
          <w:tcPr>
            <w:tcW w:w="760" w:type="dxa"/>
            <w:hideMark/>
          </w:tcPr>
          <w:p w14:paraId="139301DB"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2.006 </w:t>
            </w:r>
          </w:p>
        </w:tc>
      </w:tr>
      <w:tr w:rsidR="009E0A9E" w:rsidRPr="00775AE5" w14:paraId="56B2F906" w14:textId="77777777" w:rsidTr="00525437">
        <w:trPr>
          <w:trHeight w:val="288"/>
          <w:jc w:val="center"/>
        </w:trPr>
        <w:tc>
          <w:tcPr>
            <w:tcW w:w="740" w:type="dxa"/>
            <w:vMerge/>
            <w:hideMark/>
          </w:tcPr>
          <w:p w14:paraId="6280F94D" w14:textId="77777777" w:rsidR="009E0A9E" w:rsidRPr="00775AE5" w:rsidRDefault="009E0A9E" w:rsidP="00525437">
            <w:pPr>
              <w:rPr>
                <w:rFonts w:ascii="Arial" w:hAnsi="Arial" w:cs="Arial"/>
                <w:color w:val="000000"/>
                <w:sz w:val="22"/>
                <w:szCs w:val="22"/>
              </w:rPr>
            </w:pPr>
          </w:p>
        </w:tc>
        <w:tc>
          <w:tcPr>
            <w:tcW w:w="1340" w:type="dxa"/>
            <w:vMerge/>
            <w:hideMark/>
          </w:tcPr>
          <w:p w14:paraId="08E8E51B" w14:textId="77777777" w:rsidR="009E0A9E" w:rsidRPr="00775AE5" w:rsidRDefault="009E0A9E" w:rsidP="00525437">
            <w:pPr>
              <w:rPr>
                <w:rFonts w:ascii="Arial" w:hAnsi="Arial" w:cs="Arial"/>
                <w:color w:val="000000"/>
                <w:sz w:val="22"/>
                <w:szCs w:val="22"/>
              </w:rPr>
            </w:pPr>
          </w:p>
        </w:tc>
        <w:tc>
          <w:tcPr>
            <w:tcW w:w="3740" w:type="dxa"/>
            <w:hideMark/>
          </w:tcPr>
          <w:p w14:paraId="69A9E006"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CRS MASCULINO MANABI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2</w:t>
            </w:r>
          </w:p>
        </w:tc>
        <w:tc>
          <w:tcPr>
            <w:tcW w:w="1240" w:type="dxa"/>
            <w:hideMark/>
          </w:tcPr>
          <w:p w14:paraId="35042E42"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140 </w:t>
            </w:r>
          </w:p>
        </w:tc>
        <w:tc>
          <w:tcPr>
            <w:tcW w:w="760" w:type="dxa"/>
            <w:hideMark/>
          </w:tcPr>
          <w:p w14:paraId="7C6F58EA"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238 </w:t>
            </w:r>
          </w:p>
        </w:tc>
      </w:tr>
      <w:tr w:rsidR="009E0A9E" w:rsidRPr="00775AE5" w14:paraId="490359F4" w14:textId="77777777" w:rsidTr="00525437">
        <w:trPr>
          <w:trHeight w:val="288"/>
          <w:jc w:val="center"/>
        </w:trPr>
        <w:tc>
          <w:tcPr>
            <w:tcW w:w="740" w:type="dxa"/>
            <w:vMerge/>
            <w:hideMark/>
          </w:tcPr>
          <w:p w14:paraId="2B084A4D" w14:textId="77777777" w:rsidR="009E0A9E" w:rsidRPr="00775AE5" w:rsidRDefault="009E0A9E" w:rsidP="00525437">
            <w:pPr>
              <w:rPr>
                <w:rFonts w:ascii="Arial" w:hAnsi="Arial" w:cs="Arial"/>
                <w:color w:val="000000"/>
                <w:sz w:val="22"/>
                <w:szCs w:val="22"/>
              </w:rPr>
            </w:pPr>
          </w:p>
        </w:tc>
        <w:tc>
          <w:tcPr>
            <w:tcW w:w="1340" w:type="dxa"/>
            <w:vMerge/>
            <w:hideMark/>
          </w:tcPr>
          <w:p w14:paraId="78172DC2" w14:textId="77777777" w:rsidR="009E0A9E" w:rsidRPr="00775AE5" w:rsidRDefault="009E0A9E" w:rsidP="00525437">
            <w:pPr>
              <w:rPr>
                <w:rFonts w:ascii="Arial" w:hAnsi="Arial" w:cs="Arial"/>
                <w:color w:val="000000"/>
                <w:sz w:val="22"/>
                <w:szCs w:val="22"/>
              </w:rPr>
            </w:pPr>
          </w:p>
        </w:tc>
        <w:tc>
          <w:tcPr>
            <w:tcW w:w="3740" w:type="dxa"/>
            <w:hideMark/>
          </w:tcPr>
          <w:p w14:paraId="2C4357C0"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CRS MASCULINO MANABI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3</w:t>
            </w:r>
          </w:p>
        </w:tc>
        <w:tc>
          <w:tcPr>
            <w:tcW w:w="1240" w:type="dxa"/>
            <w:hideMark/>
          </w:tcPr>
          <w:p w14:paraId="2E8A265C"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433 </w:t>
            </w:r>
          </w:p>
        </w:tc>
        <w:tc>
          <w:tcPr>
            <w:tcW w:w="760" w:type="dxa"/>
            <w:hideMark/>
          </w:tcPr>
          <w:p w14:paraId="04EE6773"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389 </w:t>
            </w:r>
          </w:p>
        </w:tc>
      </w:tr>
      <w:tr w:rsidR="009E0A9E" w:rsidRPr="00775AE5" w14:paraId="49EDA820" w14:textId="77777777" w:rsidTr="00525437">
        <w:trPr>
          <w:trHeight w:val="288"/>
          <w:jc w:val="center"/>
        </w:trPr>
        <w:tc>
          <w:tcPr>
            <w:tcW w:w="740" w:type="dxa"/>
            <w:vMerge/>
            <w:hideMark/>
          </w:tcPr>
          <w:p w14:paraId="209EC1CE" w14:textId="77777777" w:rsidR="009E0A9E" w:rsidRPr="00775AE5" w:rsidRDefault="009E0A9E" w:rsidP="00525437">
            <w:pPr>
              <w:rPr>
                <w:rFonts w:ascii="Arial" w:hAnsi="Arial" w:cs="Arial"/>
                <w:color w:val="000000"/>
                <w:sz w:val="22"/>
                <w:szCs w:val="22"/>
              </w:rPr>
            </w:pPr>
          </w:p>
        </w:tc>
        <w:tc>
          <w:tcPr>
            <w:tcW w:w="1340" w:type="dxa"/>
            <w:vMerge w:val="restart"/>
            <w:hideMark/>
          </w:tcPr>
          <w:p w14:paraId="057DBF5A"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SANTO DOMINGO</w:t>
            </w:r>
          </w:p>
        </w:tc>
        <w:tc>
          <w:tcPr>
            <w:tcW w:w="3740" w:type="dxa"/>
            <w:hideMark/>
          </w:tcPr>
          <w:p w14:paraId="4422860F"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SANTO DOMINGO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7B7DC749"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914 </w:t>
            </w:r>
          </w:p>
        </w:tc>
        <w:tc>
          <w:tcPr>
            <w:tcW w:w="760" w:type="dxa"/>
            <w:hideMark/>
          </w:tcPr>
          <w:p w14:paraId="2353338F"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1.070 </w:t>
            </w:r>
          </w:p>
        </w:tc>
      </w:tr>
      <w:tr w:rsidR="009E0A9E" w:rsidRPr="00775AE5" w14:paraId="6D2F0A6B" w14:textId="77777777" w:rsidTr="00525437">
        <w:trPr>
          <w:trHeight w:val="288"/>
          <w:jc w:val="center"/>
        </w:trPr>
        <w:tc>
          <w:tcPr>
            <w:tcW w:w="740" w:type="dxa"/>
            <w:vMerge/>
            <w:hideMark/>
          </w:tcPr>
          <w:p w14:paraId="3D57AFCA" w14:textId="77777777" w:rsidR="009E0A9E" w:rsidRPr="00775AE5" w:rsidRDefault="009E0A9E" w:rsidP="00525437">
            <w:pPr>
              <w:rPr>
                <w:rFonts w:ascii="Arial" w:hAnsi="Arial" w:cs="Arial"/>
                <w:color w:val="000000"/>
                <w:sz w:val="22"/>
                <w:szCs w:val="22"/>
              </w:rPr>
            </w:pPr>
          </w:p>
        </w:tc>
        <w:tc>
          <w:tcPr>
            <w:tcW w:w="1340" w:type="dxa"/>
            <w:vMerge/>
            <w:hideMark/>
          </w:tcPr>
          <w:p w14:paraId="67FF9BE4" w14:textId="77777777" w:rsidR="009E0A9E" w:rsidRPr="00775AE5" w:rsidRDefault="009E0A9E" w:rsidP="00525437">
            <w:pPr>
              <w:rPr>
                <w:rFonts w:ascii="Arial" w:hAnsi="Arial" w:cs="Arial"/>
                <w:color w:val="000000"/>
                <w:sz w:val="22"/>
                <w:szCs w:val="22"/>
              </w:rPr>
            </w:pPr>
          </w:p>
        </w:tc>
        <w:tc>
          <w:tcPr>
            <w:tcW w:w="3740" w:type="dxa"/>
            <w:hideMark/>
          </w:tcPr>
          <w:p w14:paraId="540C6CEB"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SANTO DOMINGO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2</w:t>
            </w:r>
          </w:p>
        </w:tc>
        <w:tc>
          <w:tcPr>
            <w:tcW w:w="1240" w:type="dxa"/>
            <w:hideMark/>
          </w:tcPr>
          <w:p w14:paraId="7BBB4D35"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106 </w:t>
            </w:r>
          </w:p>
        </w:tc>
        <w:tc>
          <w:tcPr>
            <w:tcW w:w="760" w:type="dxa"/>
            <w:hideMark/>
          </w:tcPr>
          <w:p w14:paraId="5B8DE24A"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74 </w:t>
            </w:r>
          </w:p>
        </w:tc>
      </w:tr>
      <w:tr w:rsidR="009E0A9E" w:rsidRPr="00775AE5" w14:paraId="2D2D126F" w14:textId="77777777" w:rsidTr="00525437">
        <w:trPr>
          <w:trHeight w:val="288"/>
          <w:jc w:val="center"/>
        </w:trPr>
        <w:tc>
          <w:tcPr>
            <w:tcW w:w="740" w:type="dxa"/>
            <w:vMerge w:val="restart"/>
            <w:noWrap/>
            <w:hideMark/>
          </w:tcPr>
          <w:p w14:paraId="40AFAD65"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ZONA 5</w:t>
            </w:r>
          </w:p>
        </w:tc>
        <w:tc>
          <w:tcPr>
            <w:tcW w:w="1340" w:type="dxa"/>
            <w:hideMark/>
          </w:tcPr>
          <w:p w14:paraId="2E9BE5B7"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BOLÍVAR</w:t>
            </w:r>
          </w:p>
        </w:tc>
        <w:tc>
          <w:tcPr>
            <w:tcW w:w="3740" w:type="dxa"/>
            <w:hideMark/>
          </w:tcPr>
          <w:p w14:paraId="2DC87825"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BOLIVAR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7EB5F509"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158 </w:t>
            </w:r>
          </w:p>
        </w:tc>
        <w:tc>
          <w:tcPr>
            <w:tcW w:w="760" w:type="dxa"/>
            <w:hideMark/>
          </w:tcPr>
          <w:p w14:paraId="2586530E"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240 </w:t>
            </w:r>
          </w:p>
        </w:tc>
      </w:tr>
      <w:tr w:rsidR="009E0A9E" w:rsidRPr="00775AE5" w14:paraId="7A511117" w14:textId="77777777" w:rsidTr="00525437">
        <w:trPr>
          <w:trHeight w:val="288"/>
          <w:jc w:val="center"/>
        </w:trPr>
        <w:tc>
          <w:tcPr>
            <w:tcW w:w="740" w:type="dxa"/>
            <w:vMerge/>
            <w:hideMark/>
          </w:tcPr>
          <w:p w14:paraId="3528F7B4" w14:textId="77777777" w:rsidR="009E0A9E" w:rsidRPr="00775AE5" w:rsidRDefault="009E0A9E" w:rsidP="00525437">
            <w:pPr>
              <w:rPr>
                <w:rFonts w:ascii="Arial" w:hAnsi="Arial" w:cs="Arial"/>
                <w:color w:val="000000"/>
                <w:sz w:val="22"/>
                <w:szCs w:val="22"/>
              </w:rPr>
            </w:pPr>
          </w:p>
        </w:tc>
        <w:tc>
          <w:tcPr>
            <w:tcW w:w="1340" w:type="dxa"/>
            <w:hideMark/>
          </w:tcPr>
          <w:p w14:paraId="7FB383E3"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LOS RÍOS</w:t>
            </w:r>
          </w:p>
        </w:tc>
        <w:tc>
          <w:tcPr>
            <w:tcW w:w="3740" w:type="dxa"/>
            <w:hideMark/>
          </w:tcPr>
          <w:p w14:paraId="24D790F4"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LOS RIOS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2</w:t>
            </w:r>
          </w:p>
        </w:tc>
        <w:tc>
          <w:tcPr>
            <w:tcW w:w="1240" w:type="dxa"/>
            <w:hideMark/>
          </w:tcPr>
          <w:p w14:paraId="7CE0B348"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416 </w:t>
            </w:r>
          </w:p>
        </w:tc>
        <w:tc>
          <w:tcPr>
            <w:tcW w:w="760" w:type="dxa"/>
            <w:hideMark/>
          </w:tcPr>
          <w:p w14:paraId="534ADEC5"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733 </w:t>
            </w:r>
          </w:p>
        </w:tc>
      </w:tr>
      <w:tr w:rsidR="009E0A9E" w:rsidRPr="00775AE5" w14:paraId="0B9CAA05" w14:textId="77777777" w:rsidTr="00525437">
        <w:trPr>
          <w:trHeight w:val="288"/>
          <w:jc w:val="center"/>
        </w:trPr>
        <w:tc>
          <w:tcPr>
            <w:tcW w:w="740" w:type="dxa"/>
            <w:vMerge w:val="restart"/>
            <w:noWrap/>
            <w:hideMark/>
          </w:tcPr>
          <w:p w14:paraId="1309A448"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ZONA 6</w:t>
            </w:r>
          </w:p>
        </w:tc>
        <w:tc>
          <w:tcPr>
            <w:tcW w:w="1340" w:type="dxa"/>
            <w:hideMark/>
          </w:tcPr>
          <w:p w14:paraId="73F01A9F"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AZUAY</w:t>
            </w:r>
          </w:p>
        </w:tc>
        <w:tc>
          <w:tcPr>
            <w:tcW w:w="3740" w:type="dxa"/>
            <w:hideMark/>
          </w:tcPr>
          <w:p w14:paraId="5D3A3601"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AZUAY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1D36A21A"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1.782 </w:t>
            </w:r>
          </w:p>
        </w:tc>
        <w:tc>
          <w:tcPr>
            <w:tcW w:w="760" w:type="dxa"/>
            <w:hideMark/>
          </w:tcPr>
          <w:p w14:paraId="53F57BD6"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988 </w:t>
            </w:r>
          </w:p>
        </w:tc>
      </w:tr>
      <w:tr w:rsidR="009E0A9E" w:rsidRPr="00775AE5" w14:paraId="21D5B07D" w14:textId="77777777" w:rsidTr="00525437">
        <w:trPr>
          <w:trHeight w:val="288"/>
          <w:jc w:val="center"/>
        </w:trPr>
        <w:tc>
          <w:tcPr>
            <w:tcW w:w="740" w:type="dxa"/>
            <w:vMerge/>
            <w:hideMark/>
          </w:tcPr>
          <w:p w14:paraId="14333D2A" w14:textId="77777777" w:rsidR="009E0A9E" w:rsidRPr="00775AE5" w:rsidRDefault="009E0A9E" w:rsidP="00525437">
            <w:pPr>
              <w:rPr>
                <w:rFonts w:ascii="Arial" w:hAnsi="Arial" w:cs="Arial"/>
                <w:color w:val="000000"/>
                <w:sz w:val="22"/>
                <w:szCs w:val="22"/>
              </w:rPr>
            </w:pPr>
          </w:p>
        </w:tc>
        <w:tc>
          <w:tcPr>
            <w:tcW w:w="1340" w:type="dxa"/>
            <w:vMerge w:val="restart"/>
            <w:hideMark/>
          </w:tcPr>
          <w:p w14:paraId="0CBE2258"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CAÑAR</w:t>
            </w:r>
          </w:p>
        </w:tc>
        <w:tc>
          <w:tcPr>
            <w:tcW w:w="3740" w:type="dxa"/>
            <w:hideMark/>
          </w:tcPr>
          <w:p w14:paraId="75383247"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CAÑAR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2</w:t>
            </w:r>
          </w:p>
        </w:tc>
        <w:tc>
          <w:tcPr>
            <w:tcW w:w="1240" w:type="dxa"/>
            <w:hideMark/>
          </w:tcPr>
          <w:p w14:paraId="07EDC35C"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116 </w:t>
            </w:r>
          </w:p>
        </w:tc>
        <w:tc>
          <w:tcPr>
            <w:tcW w:w="760" w:type="dxa"/>
            <w:hideMark/>
          </w:tcPr>
          <w:p w14:paraId="476C53BF"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176 </w:t>
            </w:r>
          </w:p>
        </w:tc>
      </w:tr>
      <w:tr w:rsidR="009E0A9E" w:rsidRPr="00775AE5" w14:paraId="5697AF6D" w14:textId="77777777" w:rsidTr="00525437">
        <w:trPr>
          <w:trHeight w:val="288"/>
          <w:jc w:val="center"/>
        </w:trPr>
        <w:tc>
          <w:tcPr>
            <w:tcW w:w="740" w:type="dxa"/>
            <w:vMerge/>
            <w:hideMark/>
          </w:tcPr>
          <w:p w14:paraId="1DE066AE" w14:textId="77777777" w:rsidR="009E0A9E" w:rsidRPr="00775AE5" w:rsidRDefault="009E0A9E" w:rsidP="00525437">
            <w:pPr>
              <w:rPr>
                <w:rFonts w:ascii="Arial" w:hAnsi="Arial" w:cs="Arial"/>
                <w:color w:val="000000"/>
                <w:sz w:val="22"/>
                <w:szCs w:val="22"/>
              </w:rPr>
            </w:pPr>
          </w:p>
        </w:tc>
        <w:tc>
          <w:tcPr>
            <w:tcW w:w="1340" w:type="dxa"/>
            <w:vMerge/>
            <w:hideMark/>
          </w:tcPr>
          <w:p w14:paraId="44CFEEB0" w14:textId="77777777" w:rsidR="009E0A9E" w:rsidRPr="00775AE5" w:rsidRDefault="009E0A9E" w:rsidP="00525437">
            <w:pPr>
              <w:rPr>
                <w:rFonts w:ascii="Arial" w:hAnsi="Arial" w:cs="Arial"/>
                <w:color w:val="000000"/>
                <w:sz w:val="22"/>
                <w:szCs w:val="22"/>
              </w:rPr>
            </w:pPr>
          </w:p>
        </w:tc>
        <w:tc>
          <w:tcPr>
            <w:tcW w:w="3740" w:type="dxa"/>
            <w:hideMark/>
          </w:tcPr>
          <w:p w14:paraId="7804A8BB"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CRS MASCULINO CAÑAR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65CA031F"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94 </w:t>
            </w:r>
          </w:p>
        </w:tc>
        <w:tc>
          <w:tcPr>
            <w:tcW w:w="760" w:type="dxa"/>
            <w:hideMark/>
          </w:tcPr>
          <w:p w14:paraId="11E69967"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97 </w:t>
            </w:r>
          </w:p>
        </w:tc>
      </w:tr>
      <w:tr w:rsidR="009E0A9E" w:rsidRPr="00775AE5" w14:paraId="17DE3C28" w14:textId="77777777" w:rsidTr="00525437">
        <w:trPr>
          <w:trHeight w:val="480"/>
          <w:jc w:val="center"/>
        </w:trPr>
        <w:tc>
          <w:tcPr>
            <w:tcW w:w="740" w:type="dxa"/>
            <w:vMerge/>
            <w:hideMark/>
          </w:tcPr>
          <w:p w14:paraId="1431CC7B" w14:textId="77777777" w:rsidR="009E0A9E" w:rsidRPr="00775AE5" w:rsidRDefault="009E0A9E" w:rsidP="00525437">
            <w:pPr>
              <w:rPr>
                <w:rFonts w:ascii="Arial" w:hAnsi="Arial" w:cs="Arial"/>
                <w:color w:val="000000"/>
                <w:sz w:val="22"/>
                <w:szCs w:val="22"/>
              </w:rPr>
            </w:pPr>
          </w:p>
        </w:tc>
        <w:tc>
          <w:tcPr>
            <w:tcW w:w="1340" w:type="dxa"/>
            <w:hideMark/>
          </w:tcPr>
          <w:p w14:paraId="557E4307"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MORONA SANTIAGO</w:t>
            </w:r>
          </w:p>
        </w:tc>
        <w:tc>
          <w:tcPr>
            <w:tcW w:w="3740" w:type="dxa"/>
            <w:hideMark/>
          </w:tcPr>
          <w:p w14:paraId="67DE5428"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MORONA SANTIAGO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574F82F5"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194 </w:t>
            </w:r>
          </w:p>
        </w:tc>
        <w:tc>
          <w:tcPr>
            <w:tcW w:w="760" w:type="dxa"/>
            <w:hideMark/>
          </w:tcPr>
          <w:p w14:paraId="205FD795"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331 </w:t>
            </w:r>
          </w:p>
        </w:tc>
      </w:tr>
      <w:tr w:rsidR="009E0A9E" w:rsidRPr="00775AE5" w14:paraId="6DCD4E20" w14:textId="77777777" w:rsidTr="00525437">
        <w:trPr>
          <w:trHeight w:val="300"/>
          <w:jc w:val="center"/>
        </w:trPr>
        <w:tc>
          <w:tcPr>
            <w:tcW w:w="740" w:type="dxa"/>
            <w:vMerge w:val="restart"/>
            <w:noWrap/>
            <w:hideMark/>
          </w:tcPr>
          <w:p w14:paraId="43B699E1"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ZONA 7</w:t>
            </w:r>
          </w:p>
        </w:tc>
        <w:tc>
          <w:tcPr>
            <w:tcW w:w="1340" w:type="dxa"/>
            <w:vMerge w:val="restart"/>
            <w:hideMark/>
          </w:tcPr>
          <w:p w14:paraId="4F3A344A"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EL ORO</w:t>
            </w:r>
          </w:p>
        </w:tc>
        <w:tc>
          <w:tcPr>
            <w:tcW w:w="3740" w:type="dxa"/>
            <w:hideMark/>
          </w:tcPr>
          <w:p w14:paraId="06F4D5C6"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EL ORO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79B9CD11"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630 </w:t>
            </w:r>
          </w:p>
        </w:tc>
        <w:tc>
          <w:tcPr>
            <w:tcW w:w="760" w:type="dxa"/>
            <w:hideMark/>
          </w:tcPr>
          <w:p w14:paraId="67FCF198"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1.261 </w:t>
            </w:r>
          </w:p>
        </w:tc>
      </w:tr>
      <w:tr w:rsidR="009E0A9E" w:rsidRPr="00775AE5" w14:paraId="5358B893" w14:textId="77777777" w:rsidTr="00525437">
        <w:trPr>
          <w:trHeight w:val="288"/>
          <w:jc w:val="center"/>
        </w:trPr>
        <w:tc>
          <w:tcPr>
            <w:tcW w:w="740" w:type="dxa"/>
            <w:vMerge/>
            <w:hideMark/>
          </w:tcPr>
          <w:p w14:paraId="783B0FC4" w14:textId="77777777" w:rsidR="009E0A9E" w:rsidRPr="00775AE5" w:rsidRDefault="009E0A9E" w:rsidP="00525437">
            <w:pPr>
              <w:rPr>
                <w:rFonts w:ascii="Arial" w:hAnsi="Arial" w:cs="Arial"/>
                <w:color w:val="000000"/>
                <w:sz w:val="22"/>
                <w:szCs w:val="22"/>
              </w:rPr>
            </w:pPr>
          </w:p>
        </w:tc>
        <w:tc>
          <w:tcPr>
            <w:tcW w:w="1340" w:type="dxa"/>
            <w:vMerge/>
            <w:hideMark/>
          </w:tcPr>
          <w:p w14:paraId="0CD8D302" w14:textId="77777777" w:rsidR="009E0A9E" w:rsidRPr="00775AE5" w:rsidRDefault="009E0A9E" w:rsidP="00525437">
            <w:pPr>
              <w:rPr>
                <w:rFonts w:ascii="Arial" w:hAnsi="Arial" w:cs="Arial"/>
                <w:color w:val="000000"/>
                <w:sz w:val="22"/>
                <w:szCs w:val="22"/>
              </w:rPr>
            </w:pPr>
          </w:p>
        </w:tc>
        <w:tc>
          <w:tcPr>
            <w:tcW w:w="3740" w:type="dxa"/>
            <w:hideMark/>
          </w:tcPr>
          <w:p w14:paraId="7523B07E"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EL ORO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2</w:t>
            </w:r>
          </w:p>
        </w:tc>
        <w:tc>
          <w:tcPr>
            <w:tcW w:w="1240" w:type="dxa"/>
            <w:hideMark/>
          </w:tcPr>
          <w:p w14:paraId="7536B786"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65 </w:t>
            </w:r>
          </w:p>
        </w:tc>
        <w:tc>
          <w:tcPr>
            <w:tcW w:w="760" w:type="dxa"/>
            <w:hideMark/>
          </w:tcPr>
          <w:p w14:paraId="4F2B834B"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32 </w:t>
            </w:r>
          </w:p>
        </w:tc>
      </w:tr>
      <w:tr w:rsidR="009E0A9E" w:rsidRPr="00775AE5" w14:paraId="25B4FE05" w14:textId="77777777" w:rsidTr="00525437">
        <w:trPr>
          <w:trHeight w:val="288"/>
          <w:jc w:val="center"/>
        </w:trPr>
        <w:tc>
          <w:tcPr>
            <w:tcW w:w="740" w:type="dxa"/>
            <w:vMerge/>
            <w:hideMark/>
          </w:tcPr>
          <w:p w14:paraId="0DADC190" w14:textId="77777777" w:rsidR="009E0A9E" w:rsidRPr="00775AE5" w:rsidRDefault="009E0A9E" w:rsidP="00525437">
            <w:pPr>
              <w:rPr>
                <w:rFonts w:ascii="Arial" w:hAnsi="Arial" w:cs="Arial"/>
                <w:color w:val="000000"/>
                <w:sz w:val="22"/>
                <w:szCs w:val="22"/>
              </w:rPr>
            </w:pPr>
          </w:p>
        </w:tc>
        <w:tc>
          <w:tcPr>
            <w:tcW w:w="1340" w:type="dxa"/>
            <w:hideMark/>
          </w:tcPr>
          <w:p w14:paraId="5DE762D7"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LOJA</w:t>
            </w:r>
          </w:p>
        </w:tc>
        <w:tc>
          <w:tcPr>
            <w:tcW w:w="3740" w:type="dxa"/>
            <w:hideMark/>
          </w:tcPr>
          <w:p w14:paraId="10C7AE6C"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LOJA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577B1051"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779 </w:t>
            </w:r>
          </w:p>
        </w:tc>
        <w:tc>
          <w:tcPr>
            <w:tcW w:w="760" w:type="dxa"/>
            <w:hideMark/>
          </w:tcPr>
          <w:p w14:paraId="272DDE46"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802 </w:t>
            </w:r>
          </w:p>
        </w:tc>
      </w:tr>
      <w:tr w:rsidR="009E0A9E" w:rsidRPr="00775AE5" w14:paraId="47F05587" w14:textId="77777777" w:rsidTr="00525437">
        <w:trPr>
          <w:trHeight w:val="288"/>
          <w:jc w:val="center"/>
        </w:trPr>
        <w:tc>
          <w:tcPr>
            <w:tcW w:w="740" w:type="dxa"/>
            <w:vMerge w:val="restart"/>
            <w:noWrap/>
            <w:hideMark/>
          </w:tcPr>
          <w:p w14:paraId="2B81D072"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ZONA 8</w:t>
            </w:r>
          </w:p>
        </w:tc>
        <w:tc>
          <w:tcPr>
            <w:tcW w:w="1340" w:type="dxa"/>
            <w:vMerge w:val="restart"/>
            <w:hideMark/>
          </w:tcPr>
          <w:p w14:paraId="2E267BF5"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GUAYAS</w:t>
            </w:r>
          </w:p>
        </w:tc>
        <w:tc>
          <w:tcPr>
            <w:tcW w:w="3740" w:type="dxa"/>
            <w:hideMark/>
          </w:tcPr>
          <w:p w14:paraId="156E37FA"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GUAYAS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406640B8"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3.909 </w:t>
            </w:r>
          </w:p>
        </w:tc>
        <w:tc>
          <w:tcPr>
            <w:tcW w:w="760" w:type="dxa"/>
            <w:hideMark/>
          </w:tcPr>
          <w:p w14:paraId="2DCDB6F3"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6.243 </w:t>
            </w:r>
          </w:p>
        </w:tc>
      </w:tr>
      <w:tr w:rsidR="009E0A9E" w:rsidRPr="00775AE5" w14:paraId="1DFCE33B" w14:textId="77777777" w:rsidTr="00525437">
        <w:trPr>
          <w:trHeight w:val="288"/>
          <w:jc w:val="center"/>
        </w:trPr>
        <w:tc>
          <w:tcPr>
            <w:tcW w:w="740" w:type="dxa"/>
            <w:vMerge/>
            <w:hideMark/>
          </w:tcPr>
          <w:p w14:paraId="6A0E004B" w14:textId="77777777" w:rsidR="009E0A9E" w:rsidRPr="00775AE5" w:rsidRDefault="009E0A9E" w:rsidP="00525437">
            <w:pPr>
              <w:rPr>
                <w:rFonts w:ascii="Arial" w:hAnsi="Arial" w:cs="Arial"/>
                <w:color w:val="000000"/>
                <w:sz w:val="22"/>
                <w:szCs w:val="22"/>
              </w:rPr>
            </w:pPr>
          </w:p>
        </w:tc>
        <w:tc>
          <w:tcPr>
            <w:tcW w:w="1340" w:type="dxa"/>
            <w:vMerge/>
            <w:hideMark/>
          </w:tcPr>
          <w:p w14:paraId="362E3ECC" w14:textId="77777777" w:rsidR="009E0A9E" w:rsidRPr="00775AE5" w:rsidRDefault="009E0A9E" w:rsidP="00525437">
            <w:pPr>
              <w:rPr>
                <w:rFonts w:ascii="Arial" w:hAnsi="Arial" w:cs="Arial"/>
                <w:color w:val="000000"/>
                <w:sz w:val="22"/>
                <w:szCs w:val="22"/>
              </w:rPr>
            </w:pPr>
          </w:p>
        </w:tc>
        <w:tc>
          <w:tcPr>
            <w:tcW w:w="3740" w:type="dxa"/>
            <w:hideMark/>
          </w:tcPr>
          <w:p w14:paraId="272BF420"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GUAYAS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2</w:t>
            </w:r>
          </w:p>
        </w:tc>
        <w:tc>
          <w:tcPr>
            <w:tcW w:w="1240" w:type="dxa"/>
            <w:hideMark/>
          </w:tcPr>
          <w:p w14:paraId="5C412533"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573 </w:t>
            </w:r>
          </w:p>
        </w:tc>
        <w:tc>
          <w:tcPr>
            <w:tcW w:w="760" w:type="dxa"/>
            <w:hideMark/>
          </w:tcPr>
          <w:p w14:paraId="4A3CEA7F"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621 </w:t>
            </w:r>
          </w:p>
        </w:tc>
      </w:tr>
      <w:tr w:rsidR="009E0A9E" w:rsidRPr="00775AE5" w14:paraId="6CD5C9FC" w14:textId="77777777" w:rsidTr="00525437">
        <w:trPr>
          <w:trHeight w:val="288"/>
          <w:jc w:val="center"/>
        </w:trPr>
        <w:tc>
          <w:tcPr>
            <w:tcW w:w="740" w:type="dxa"/>
            <w:vMerge/>
            <w:hideMark/>
          </w:tcPr>
          <w:p w14:paraId="09A600CA" w14:textId="77777777" w:rsidR="009E0A9E" w:rsidRPr="00775AE5" w:rsidRDefault="009E0A9E" w:rsidP="00525437">
            <w:pPr>
              <w:rPr>
                <w:rFonts w:ascii="Arial" w:hAnsi="Arial" w:cs="Arial"/>
                <w:color w:val="000000"/>
                <w:sz w:val="22"/>
                <w:szCs w:val="22"/>
              </w:rPr>
            </w:pPr>
          </w:p>
        </w:tc>
        <w:tc>
          <w:tcPr>
            <w:tcW w:w="1340" w:type="dxa"/>
            <w:vMerge/>
            <w:hideMark/>
          </w:tcPr>
          <w:p w14:paraId="4078FB42" w14:textId="77777777" w:rsidR="009E0A9E" w:rsidRPr="00775AE5" w:rsidRDefault="009E0A9E" w:rsidP="00525437">
            <w:pPr>
              <w:rPr>
                <w:rFonts w:ascii="Arial" w:hAnsi="Arial" w:cs="Arial"/>
                <w:color w:val="000000"/>
                <w:sz w:val="22"/>
                <w:szCs w:val="22"/>
              </w:rPr>
            </w:pPr>
          </w:p>
        </w:tc>
        <w:tc>
          <w:tcPr>
            <w:tcW w:w="3740" w:type="dxa"/>
            <w:hideMark/>
          </w:tcPr>
          <w:p w14:paraId="7C4BDD74"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GUAYAS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3</w:t>
            </w:r>
          </w:p>
        </w:tc>
        <w:tc>
          <w:tcPr>
            <w:tcW w:w="1240" w:type="dxa"/>
            <w:hideMark/>
          </w:tcPr>
          <w:p w14:paraId="057B9A1D"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158 </w:t>
            </w:r>
          </w:p>
        </w:tc>
        <w:tc>
          <w:tcPr>
            <w:tcW w:w="760" w:type="dxa"/>
            <w:hideMark/>
          </w:tcPr>
          <w:p w14:paraId="71D3FE75"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45 </w:t>
            </w:r>
          </w:p>
        </w:tc>
      </w:tr>
      <w:tr w:rsidR="009E0A9E" w:rsidRPr="00775AE5" w14:paraId="6135D58F" w14:textId="77777777" w:rsidTr="00525437">
        <w:trPr>
          <w:trHeight w:val="288"/>
          <w:jc w:val="center"/>
        </w:trPr>
        <w:tc>
          <w:tcPr>
            <w:tcW w:w="740" w:type="dxa"/>
            <w:vMerge/>
            <w:hideMark/>
          </w:tcPr>
          <w:p w14:paraId="60B2AF92" w14:textId="77777777" w:rsidR="009E0A9E" w:rsidRPr="00775AE5" w:rsidRDefault="009E0A9E" w:rsidP="00525437">
            <w:pPr>
              <w:rPr>
                <w:rFonts w:ascii="Arial" w:hAnsi="Arial" w:cs="Arial"/>
                <w:color w:val="000000"/>
                <w:sz w:val="22"/>
                <w:szCs w:val="22"/>
              </w:rPr>
            </w:pPr>
          </w:p>
        </w:tc>
        <w:tc>
          <w:tcPr>
            <w:tcW w:w="1340" w:type="dxa"/>
            <w:vMerge/>
            <w:hideMark/>
          </w:tcPr>
          <w:p w14:paraId="42066AF3" w14:textId="77777777" w:rsidR="009E0A9E" w:rsidRPr="00775AE5" w:rsidRDefault="009E0A9E" w:rsidP="00525437">
            <w:pPr>
              <w:rPr>
                <w:rFonts w:ascii="Arial" w:hAnsi="Arial" w:cs="Arial"/>
                <w:color w:val="000000"/>
                <w:sz w:val="22"/>
                <w:szCs w:val="22"/>
              </w:rPr>
            </w:pPr>
          </w:p>
        </w:tc>
        <w:tc>
          <w:tcPr>
            <w:tcW w:w="3740" w:type="dxa"/>
            <w:hideMark/>
          </w:tcPr>
          <w:p w14:paraId="0B41D03C"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GUAYAS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5</w:t>
            </w:r>
          </w:p>
        </w:tc>
        <w:tc>
          <w:tcPr>
            <w:tcW w:w="1240" w:type="dxa"/>
            <w:hideMark/>
          </w:tcPr>
          <w:p w14:paraId="76DE4D1C"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545 </w:t>
            </w:r>
          </w:p>
        </w:tc>
        <w:tc>
          <w:tcPr>
            <w:tcW w:w="760" w:type="dxa"/>
            <w:hideMark/>
          </w:tcPr>
          <w:p w14:paraId="494117AB"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1.303 </w:t>
            </w:r>
          </w:p>
        </w:tc>
      </w:tr>
      <w:tr w:rsidR="009E0A9E" w:rsidRPr="00775AE5" w14:paraId="6B93955F" w14:textId="77777777" w:rsidTr="00525437">
        <w:trPr>
          <w:trHeight w:val="300"/>
          <w:jc w:val="center"/>
        </w:trPr>
        <w:tc>
          <w:tcPr>
            <w:tcW w:w="740" w:type="dxa"/>
            <w:vMerge/>
            <w:hideMark/>
          </w:tcPr>
          <w:p w14:paraId="694EB201" w14:textId="77777777" w:rsidR="009E0A9E" w:rsidRPr="00775AE5" w:rsidRDefault="009E0A9E" w:rsidP="00525437">
            <w:pPr>
              <w:rPr>
                <w:rFonts w:ascii="Arial" w:hAnsi="Arial" w:cs="Arial"/>
                <w:color w:val="000000"/>
                <w:sz w:val="22"/>
                <w:szCs w:val="22"/>
              </w:rPr>
            </w:pPr>
          </w:p>
        </w:tc>
        <w:tc>
          <w:tcPr>
            <w:tcW w:w="1340" w:type="dxa"/>
            <w:vMerge/>
            <w:hideMark/>
          </w:tcPr>
          <w:p w14:paraId="0B0FAF27" w14:textId="77777777" w:rsidR="009E0A9E" w:rsidRPr="00775AE5" w:rsidRDefault="009E0A9E" w:rsidP="00525437">
            <w:pPr>
              <w:rPr>
                <w:rFonts w:ascii="Arial" w:hAnsi="Arial" w:cs="Arial"/>
                <w:color w:val="000000"/>
                <w:sz w:val="22"/>
                <w:szCs w:val="22"/>
              </w:rPr>
            </w:pPr>
          </w:p>
        </w:tc>
        <w:tc>
          <w:tcPr>
            <w:tcW w:w="3740" w:type="dxa"/>
            <w:hideMark/>
          </w:tcPr>
          <w:p w14:paraId="73BF1606"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CRS MASCULINO GUAYAS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4</w:t>
            </w:r>
          </w:p>
        </w:tc>
        <w:tc>
          <w:tcPr>
            <w:tcW w:w="1240" w:type="dxa"/>
            <w:hideMark/>
          </w:tcPr>
          <w:p w14:paraId="04BCE07D"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4.505 </w:t>
            </w:r>
          </w:p>
        </w:tc>
        <w:tc>
          <w:tcPr>
            <w:tcW w:w="760" w:type="dxa"/>
            <w:hideMark/>
          </w:tcPr>
          <w:p w14:paraId="5CFCDC12"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4.252 </w:t>
            </w:r>
          </w:p>
        </w:tc>
      </w:tr>
      <w:tr w:rsidR="009E0A9E" w:rsidRPr="00775AE5" w14:paraId="6C6CECDC" w14:textId="77777777" w:rsidTr="00525437">
        <w:trPr>
          <w:trHeight w:val="288"/>
          <w:jc w:val="center"/>
        </w:trPr>
        <w:tc>
          <w:tcPr>
            <w:tcW w:w="740" w:type="dxa"/>
            <w:vMerge w:val="restart"/>
            <w:noWrap/>
            <w:hideMark/>
          </w:tcPr>
          <w:p w14:paraId="17D660DD"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ZONA 9</w:t>
            </w:r>
          </w:p>
        </w:tc>
        <w:tc>
          <w:tcPr>
            <w:tcW w:w="1340" w:type="dxa"/>
            <w:vMerge w:val="restart"/>
            <w:hideMark/>
          </w:tcPr>
          <w:p w14:paraId="164EC1CC"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PICHINCHA</w:t>
            </w:r>
          </w:p>
        </w:tc>
        <w:tc>
          <w:tcPr>
            <w:tcW w:w="3740" w:type="dxa"/>
            <w:hideMark/>
          </w:tcPr>
          <w:p w14:paraId="666D7BD5"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CPL PICHINCHA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3</w:t>
            </w:r>
          </w:p>
        </w:tc>
        <w:tc>
          <w:tcPr>
            <w:tcW w:w="1240" w:type="dxa"/>
            <w:hideMark/>
          </w:tcPr>
          <w:p w14:paraId="11349A96"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58 </w:t>
            </w:r>
          </w:p>
        </w:tc>
        <w:tc>
          <w:tcPr>
            <w:tcW w:w="760" w:type="dxa"/>
            <w:hideMark/>
          </w:tcPr>
          <w:p w14:paraId="2A1B17CD"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58 </w:t>
            </w:r>
          </w:p>
        </w:tc>
      </w:tr>
      <w:tr w:rsidR="009E0A9E" w:rsidRPr="00775AE5" w14:paraId="47E787EA" w14:textId="77777777" w:rsidTr="00525437">
        <w:trPr>
          <w:trHeight w:val="288"/>
          <w:jc w:val="center"/>
        </w:trPr>
        <w:tc>
          <w:tcPr>
            <w:tcW w:w="740" w:type="dxa"/>
            <w:vMerge/>
            <w:hideMark/>
          </w:tcPr>
          <w:p w14:paraId="29C7A883" w14:textId="77777777" w:rsidR="009E0A9E" w:rsidRPr="00775AE5" w:rsidRDefault="009E0A9E" w:rsidP="00525437">
            <w:pPr>
              <w:rPr>
                <w:rFonts w:ascii="Arial" w:hAnsi="Arial" w:cs="Arial"/>
                <w:color w:val="000000"/>
                <w:sz w:val="22"/>
                <w:szCs w:val="22"/>
              </w:rPr>
            </w:pPr>
          </w:p>
        </w:tc>
        <w:tc>
          <w:tcPr>
            <w:tcW w:w="1340" w:type="dxa"/>
            <w:vMerge/>
            <w:hideMark/>
          </w:tcPr>
          <w:p w14:paraId="6B987557" w14:textId="77777777" w:rsidR="009E0A9E" w:rsidRPr="00775AE5" w:rsidRDefault="009E0A9E" w:rsidP="00525437">
            <w:pPr>
              <w:rPr>
                <w:rFonts w:ascii="Arial" w:hAnsi="Arial" w:cs="Arial"/>
                <w:color w:val="000000"/>
                <w:sz w:val="22"/>
                <w:szCs w:val="22"/>
              </w:rPr>
            </w:pPr>
          </w:p>
        </w:tc>
        <w:tc>
          <w:tcPr>
            <w:tcW w:w="3740" w:type="dxa"/>
            <w:hideMark/>
          </w:tcPr>
          <w:p w14:paraId="52DA7CF2"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CPPL MASCULINO PICHINCHA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1</w:t>
            </w:r>
          </w:p>
        </w:tc>
        <w:tc>
          <w:tcPr>
            <w:tcW w:w="1240" w:type="dxa"/>
            <w:hideMark/>
          </w:tcPr>
          <w:p w14:paraId="22F830F3"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959 </w:t>
            </w:r>
          </w:p>
        </w:tc>
        <w:tc>
          <w:tcPr>
            <w:tcW w:w="760" w:type="dxa"/>
            <w:hideMark/>
          </w:tcPr>
          <w:p w14:paraId="267A965F"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1.412 </w:t>
            </w:r>
          </w:p>
        </w:tc>
      </w:tr>
      <w:tr w:rsidR="009E0A9E" w:rsidRPr="00775AE5" w14:paraId="55470B65" w14:textId="77777777" w:rsidTr="00525437">
        <w:trPr>
          <w:trHeight w:val="288"/>
          <w:jc w:val="center"/>
        </w:trPr>
        <w:tc>
          <w:tcPr>
            <w:tcW w:w="740" w:type="dxa"/>
            <w:vMerge/>
            <w:hideMark/>
          </w:tcPr>
          <w:p w14:paraId="1855E7D7" w14:textId="77777777" w:rsidR="009E0A9E" w:rsidRPr="00775AE5" w:rsidRDefault="009E0A9E" w:rsidP="00525437">
            <w:pPr>
              <w:rPr>
                <w:rFonts w:ascii="Arial" w:hAnsi="Arial" w:cs="Arial"/>
                <w:color w:val="000000"/>
                <w:sz w:val="22"/>
                <w:szCs w:val="22"/>
              </w:rPr>
            </w:pPr>
          </w:p>
        </w:tc>
        <w:tc>
          <w:tcPr>
            <w:tcW w:w="1340" w:type="dxa"/>
            <w:vMerge/>
            <w:hideMark/>
          </w:tcPr>
          <w:p w14:paraId="32ABCFB0" w14:textId="77777777" w:rsidR="009E0A9E" w:rsidRPr="00775AE5" w:rsidRDefault="009E0A9E" w:rsidP="00525437">
            <w:pPr>
              <w:rPr>
                <w:rFonts w:ascii="Arial" w:hAnsi="Arial" w:cs="Arial"/>
                <w:color w:val="000000"/>
                <w:sz w:val="22"/>
                <w:szCs w:val="22"/>
              </w:rPr>
            </w:pPr>
          </w:p>
        </w:tc>
        <w:tc>
          <w:tcPr>
            <w:tcW w:w="3740" w:type="dxa"/>
            <w:hideMark/>
          </w:tcPr>
          <w:p w14:paraId="044B6FB4"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CRS MASCULINO PICHINCHA </w:t>
            </w:r>
            <w:proofErr w:type="spellStart"/>
            <w:r w:rsidRPr="00775AE5">
              <w:rPr>
                <w:rFonts w:ascii="Arial" w:hAnsi="Arial" w:cs="Arial"/>
                <w:color w:val="000000"/>
                <w:sz w:val="22"/>
                <w:szCs w:val="22"/>
              </w:rPr>
              <w:t>Nº</w:t>
            </w:r>
            <w:proofErr w:type="spellEnd"/>
            <w:r w:rsidRPr="00775AE5">
              <w:rPr>
                <w:rFonts w:ascii="Arial" w:hAnsi="Arial" w:cs="Arial"/>
                <w:color w:val="000000"/>
                <w:sz w:val="22"/>
                <w:szCs w:val="22"/>
              </w:rPr>
              <w:t xml:space="preserve"> 2</w:t>
            </w:r>
          </w:p>
        </w:tc>
        <w:tc>
          <w:tcPr>
            <w:tcW w:w="1240" w:type="dxa"/>
            <w:hideMark/>
          </w:tcPr>
          <w:p w14:paraId="5D08FAEB"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64 </w:t>
            </w:r>
          </w:p>
        </w:tc>
        <w:tc>
          <w:tcPr>
            <w:tcW w:w="760" w:type="dxa"/>
            <w:hideMark/>
          </w:tcPr>
          <w:p w14:paraId="3C8F01DB"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67 </w:t>
            </w:r>
          </w:p>
        </w:tc>
      </w:tr>
      <w:tr w:rsidR="009E0A9E" w:rsidRPr="00775AE5" w14:paraId="2C94DABC" w14:textId="77777777" w:rsidTr="00525437">
        <w:trPr>
          <w:trHeight w:val="300"/>
          <w:jc w:val="center"/>
        </w:trPr>
        <w:tc>
          <w:tcPr>
            <w:tcW w:w="5820" w:type="dxa"/>
            <w:gridSpan w:val="3"/>
            <w:hideMark/>
          </w:tcPr>
          <w:p w14:paraId="218CFD8E" w14:textId="77777777" w:rsidR="009E0A9E" w:rsidRPr="00775AE5" w:rsidRDefault="009E0A9E" w:rsidP="00525437">
            <w:pPr>
              <w:jc w:val="center"/>
              <w:rPr>
                <w:rFonts w:ascii="Arial" w:hAnsi="Arial" w:cs="Arial"/>
                <w:b/>
                <w:bCs/>
                <w:color w:val="000000"/>
                <w:sz w:val="22"/>
                <w:szCs w:val="22"/>
              </w:rPr>
            </w:pPr>
            <w:r w:rsidRPr="00775AE5">
              <w:rPr>
                <w:rFonts w:ascii="Arial" w:hAnsi="Arial" w:cs="Arial"/>
                <w:b/>
                <w:bCs/>
                <w:color w:val="000000"/>
                <w:sz w:val="22"/>
                <w:szCs w:val="22"/>
              </w:rPr>
              <w:t>TOTAL PPL</w:t>
            </w:r>
          </w:p>
        </w:tc>
        <w:tc>
          <w:tcPr>
            <w:tcW w:w="1240" w:type="dxa"/>
            <w:hideMark/>
          </w:tcPr>
          <w:p w14:paraId="38E7FE96" w14:textId="77777777" w:rsidR="009E0A9E" w:rsidRPr="00775AE5" w:rsidRDefault="009E0A9E" w:rsidP="00525437">
            <w:pPr>
              <w:jc w:val="center"/>
              <w:rPr>
                <w:rFonts w:ascii="Arial" w:hAnsi="Arial" w:cs="Arial"/>
                <w:b/>
                <w:bCs/>
                <w:color w:val="000000"/>
                <w:sz w:val="22"/>
                <w:szCs w:val="22"/>
              </w:rPr>
            </w:pPr>
            <w:r w:rsidRPr="00775AE5">
              <w:rPr>
                <w:rFonts w:ascii="Arial" w:hAnsi="Arial" w:cs="Arial"/>
                <w:b/>
                <w:bCs/>
                <w:color w:val="000000"/>
                <w:sz w:val="22"/>
                <w:szCs w:val="22"/>
              </w:rPr>
              <w:t xml:space="preserve"> 27.714 </w:t>
            </w:r>
          </w:p>
        </w:tc>
        <w:tc>
          <w:tcPr>
            <w:tcW w:w="760" w:type="dxa"/>
            <w:hideMark/>
          </w:tcPr>
          <w:p w14:paraId="371E9DB4" w14:textId="77777777" w:rsidR="009E0A9E" w:rsidRPr="00775AE5" w:rsidRDefault="009E0A9E" w:rsidP="00525437">
            <w:pPr>
              <w:jc w:val="center"/>
              <w:rPr>
                <w:rFonts w:ascii="Arial" w:hAnsi="Arial" w:cs="Arial"/>
                <w:b/>
                <w:bCs/>
                <w:color w:val="000000"/>
                <w:sz w:val="22"/>
                <w:szCs w:val="22"/>
              </w:rPr>
            </w:pPr>
            <w:r w:rsidRPr="00775AE5">
              <w:rPr>
                <w:rFonts w:ascii="Arial" w:hAnsi="Arial" w:cs="Arial"/>
                <w:b/>
                <w:bCs/>
                <w:color w:val="000000"/>
                <w:sz w:val="22"/>
                <w:szCs w:val="22"/>
              </w:rPr>
              <w:t xml:space="preserve"> 32.274 </w:t>
            </w:r>
          </w:p>
        </w:tc>
      </w:tr>
    </w:tbl>
    <w:p w14:paraId="659817B1" w14:textId="77777777" w:rsidR="009E0A9E" w:rsidRPr="00775AE5" w:rsidRDefault="009E0A9E" w:rsidP="009E0A9E">
      <w:pPr>
        <w:widowControl w:val="0"/>
        <w:suppressAutoHyphens/>
        <w:spacing w:line="276" w:lineRule="auto"/>
        <w:jc w:val="center"/>
        <w:rPr>
          <w:rFonts w:ascii="Arial" w:eastAsia="DejaVu Sans" w:hAnsi="Arial" w:cs="Arial"/>
          <w:sz w:val="22"/>
          <w:szCs w:val="22"/>
          <w:lang w:val="es-VE" w:eastAsia="es-EC"/>
        </w:rPr>
      </w:pPr>
      <w:r w:rsidRPr="00775AE5">
        <w:rPr>
          <w:rFonts w:ascii="Arial" w:eastAsia="DejaVu Sans" w:hAnsi="Arial" w:cs="Arial"/>
          <w:sz w:val="22"/>
          <w:szCs w:val="22"/>
          <w:lang w:val="es-VE" w:eastAsia="es-EC"/>
        </w:rPr>
        <w:t>Fuente: SNAI, Marzo 2024.Tomado de: https://www.atencionintegral.gob.ec/estadisticas/</w:t>
      </w:r>
    </w:p>
    <w:p w14:paraId="16D1C06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7CE5CB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No obstante, al observar la población de cada centro, se concluye que existen centros con un nivel de hacinamiento superior al promedio, como es el caso de: CPL Esmeraldas N°2 (34,41%), el CPPL Pichincha N°1(47.23%), el CPL Guayas N°1 (59,7%); y, el centro con mayor hacinamiento es el CPL El Oro N°1 con el 100% de hacinamiento.</w:t>
      </w:r>
    </w:p>
    <w:p w14:paraId="12C7047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803F17E" w14:textId="77777777" w:rsidR="009E0A9E" w:rsidRPr="00775AE5" w:rsidRDefault="009E0A9E" w:rsidP="009E0A9E">
      <w:pPr>
        <w:spacing w:line="276" w:lineRule="auto"/>
        <w:jc w:val="both"/>
        <w:rPr>
          <w:rFonts w:ascii="Arial" w:eastAsia="DejaVu Sans" w:hAnsi="Arial" w:cs="Arial"/>
          <w:sz w:val="22"/>
          <w:szCs w:val="22"/>
          <w:lang w:val="es-VE" w:eastAsia="es-EC"/>
        </w:rPr>
      </w:pPr>
      <w:bookmarkStart w:id="23" w:name="_Toc44847365"/>
      <w:r w:rsidRPr="00775AE5">
        <w:rPr>
          <w:rFonts w:ascii="Arial" w:eastAsia="DejaVu Sans" w:hAnsi="Arial" w:cs="Arial"/>
          <w:sz w:val="22"/>
          <w:szCs w:val="22"/>
          <w:lang w:val="es-VE" w:eastAsia="es-EC"/>
        </w:rPr>
        <w:t xml:space="preserve">Así también hay que considerar que existen centros donde si bien en términos generales no existe un porcentaje de hacinamiento superior al promedio, presentan pabellones con sobrepoblación, como es el caso del pabellón de “transitoria” en el CPL Azuay Nº1. O casos como el del CPL Pichincha N°3 donde varias de las PPL se encuentran alojadas con sus hijos e hijas, sin embargo, los niños/as no son considerados al momento del cálculo del hacinamiento. Residiendo en celdas donde comparten cama con sus madres y que cuentan con infraestructura reducida. </w:t>
      </w:r>
    </w:p>
    <w:bookmarkEnd w:id="23"/>
    <w:p w14:paraId="4A5476E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562F0D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La misma problemática puede trasladarse al análisis de las celdas, que en apariencia albergarían al número de PPL de acuerdo con su capacidad instalada. No obstante, del Censo penitenciario se desprenden datos que llevarían a considerar que, en más de un caso, las camas están siendo compartidas por PPL, cuestiones que han sido verificadas por el MNPT a lo largo de sus visitas. Encontrando inclusive, PPL que han realizado adaptaciones en la infraestructura sanitaria para adecuar espacios para pernoctar; o mediante la ocupación del piso, debajo de las literas de cemento. </w:t>
      </w:r>
    </w:p>
    <w:p w14:paraId="3C7455D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22B8535"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Gráfico 2</w:t>
      </w:r>
    </w:p>
    <w:p w14:paraId="3AA23B30" w14:textId="77777777" w:rsidR="009E0A9E" w:rsidRPr="00775AE5" w:rsidRDefault="009E0A9E" w:rsidP="009E0A9E">
      <w:pPr>
        <w:widowControl w:val="0"/>
        <w:suppressAutoHyphens/>
        <w:spacing w:line="276" w:lineRule="auto"/>
        <w:jc w:val="both"/>
        <w:rPr>
          <w:rFonts w:ascii="Arial" w:eastAsia="DejaVu Sans" w:hAnsi="Arial" w:cs="Arial"/>
          <w:i/>
          <w:sz w:val="22"/>
          <w:szCs w:val="22"/>
          <w:lang w:val="es-VE" w:eastAsia="es-EC"/>
        </w:rPr>
      </w:pPr>
      <w:r w:rsidRPr="00775AE5">
        <w:rPr>
          <w:rFonts w:ascii="Arial" w:eastAsia="DejaVu Sans" w:hAnsi="Arial" w:cs="Arial"/>
          <w:i/>
          <w:sz w:val="22"/>
          <w:szCs w:val="22"/>
          <w:lang w:val="es-VE" w:eastAsia="es-EC"/>
        </w:rPr>
        <w:t>Número de personas que comparten celda</w:t>
      </w:r>
    </w:p>
    <w:p w14:paraId="7CC580B8" w14:textId="77777777" w:rsidR="009E0A9E" w:rsidRPr="00775AE5" w:rsidRDefault="009E0A9E" w:rsidP="009E0A9E">
      <w:pPr>
        <w:widowControl w:val="0"/>
        <w:suppressAutoHyphens/>
        <w:spacing w:line="276" w:lineRule="auto"/>
        <w:jc w:val="center"/>
        <w:rPr>
          <w:rFonts w:ascii="Arial" w:eastAsia="DejaVu Sans" w:hAnsi="Arial" w:cs="Arial"/>
          <w:sz w:val="22"/>
          <w:szCs w:val="22"/>
          <w:lang w:val="es-VE" w:eastAsia="es-EC"/>
        </w:rPr>
      </w:pPr>
      <w:r w:rsidRPr="00775AE5">
        <w:rPr>
          <w:rFonts w:ascii="Arial" w:hAnsi="Arial" w:cs="Arial"/>
          <w:noProof/>
          <w:sz w:val="22"/>
          <w:szCs w:val="22"/>
          <w:lang w:val="es-ES" w:eastAsia="es-ES"/>
        </w:rPr>
        <w:drawing>
          <wp:inline distT="0" distB="0" distL="0" distR="0" wp14:anchorId="017B1E2D" wp14:editId="6B414876">
            <wp:extent cx="4505325" cy="2047875"/>
            <wp:effectExtent l="0" t="0" r="9525" b="9525"/>
            <wp:docPr id="506469767"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FE7FC5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Fuente: Censo penitenciario, 2022</w:t>
      </w:r>
    </w:p>
    <w:p w14:paraId="41C88C3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5B8086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Un tema adicional para considerar es el método de cálculo de las plazas al interior de los centros. Dado que el SNAI reporta la capacidad de alojamiento, pero esta no cumple con los estándares internacionales que establece que 7m</w:t>
      </w:r>
      <w:r w:rsidRPr="00775AE5">
        <w:rPr>
          <w:rFonts w:ascii="Arial" w:eastAsia="DejaVu Sans" w:hAnsi="Arial" w:cs="Arial"/>
          <w:sz w:val="22"/>
          <w:szCs w:val="22"/>
          <w:vertAlign w:val="superscript"/>
          <w:lang w:val="es-VE" w:eastAsia="es-EC"/>
        </w:rPr>
        <w:t>2</w:t>
      </w:r>
      <w:r w:rsidRPr="00775AE5">
        <w:rPr>
          <w:rFonts w:ascii="Arial" w:eastAsia="DejaVu Sans" w:hAnsi="Arial" w:cs="Arial"/>
          <w:sz w:val="22"/>
          <w:szCs w:val="22"/>
          <w:lang w:val="es-VE" w:eastAsia="es-EC"/>
        </w:rPr>
        <w:t xml:space="preserve"> de espacio de habitación en una celda de detención por PPL</w:t>
      </w:r>
      <w:r w:rsidRPr="00775AE5">
        <w:rPr>
          <w:rStyle w:val="FootnoteReference"/>
          <w:rFonts w:ascii="Arial" w:eastAsia="DejaVu Sans" w:hAnsi="Arial" w:cs="Arial"/>
          <w:sz w:val="22"/>
          <w:szCs w:val="22"/>
          <w:lang w:val="es-VE" w:eastAsia="es-EC"/>
        </w:rPr>
        <w:footnoteReference w:id="34"/>
      </w:r>
      <w:r w:rsidRPr="00775AE5">
        <w:rPr>
          <w:rFonts w:ascii="Arial" w:eastAsia="DejaVu Sans" w:hAnsi="Arial" w:cs="Arial"/>
          <w:sz w:val="22"/>
          <w:szCs w:val="22"/>
          <w:lang w:val="es-VE" w:eastAsia="es-EC"/>
        </w:rPr>
        <w:t>.</w:t>
      </w:r>
    </w:p>
    <w:p w14:paraId="40280D6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B96C6B0" w14:textId="77777777" w:rsidR="009E0A9E" w:rsidRPr="00775AE5" w:rsidRDefault="009E0A9E" w:rsidP="009E0A9E">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En cuanto a la situación de los adolescentes infractores no han existido problemas graves de hacimiento; sin embargo, es importante mencionar que en 2021 se cerró el CAI de Machala; y, se planificó hacer lo mismo con el CAI de Loja e Ibarra. Por lo que los adolescentes fueron ubicados en otros centros, esto no solo representó un cambió en la capacidad de alojamiento de los centros, sino que representó un problema en cuanto a la vinculación familiar de los adolescentes, y discontinuidad de sus procesos educativos; cuestión que fue presentada por DPE ante las autoridades del DOT en la Décima primera Sesión Ordinaria del 8 de abril del 2023.</w:t>
      </w:r>
    </w:p>
    <w:p w14:paraId="42513676" w14:textId="77777777" w:rsidR="009E0A9E" w:rsidRPr="00775AE5" w:rsidRDefault="009E0A9E" w:rsidP="009E0A9E">
      <w:pPr>
        <w:spacing w:line="276" w:lineRule="auto"/>
        <w:jc w:val="both"/>
        <w:rPr>
          <w:rFonts w:ascii="Arial" w:eastAsia="Calibri" w:hAnsi="Arial" w:cs="Arial"/>
          <w:sz w:val="22"/>
          <w:szCs w:val="22"/>
          <w:lang w:val="es-ES"/>
        </w:rPr>
      </w:pPr>
    </w:p>
    <w:p w14:paraId="40A3359E" w14:textId="77777777" w:rsidR="009E0A9E" w:rsidRPr="00775AE5" w:rsidRDefault="009E0A9E" w:rsidP="009E0A9E">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Así también, la DPE realizó acciones (acción de protección, e investigación defensorial) en el marco de sus competencias, a favor de los adolescentes ubicados en los CAI de Loja e Ibarra.</w:t>
      </w:r>
    </w:p>
    <w:p w14:paraId="504CC5B0" w14:textId="77777777" w:rsidR="009E0A9E" w:rsidRPr="00775AE5" w:rsidRDefault="009E0A9E" w:rsidP="009E0A9E">
      <w:pPr>
        <w:spacing w:line="276" w:lineRule="auto"/>
        <w:rPr>
          <w:rFonts w:ascii="Arial" w:eastAsia="Calibri" w:hAnsi="Arial" w:cs="Arial"/>
          <w:sz w:val="22"/>
          <w:szCs w:val="22"/>
          <w:lang w:val="es-ES"/>
        </w:rPr>
      </w:pPr>
    </w:p>
    <w:p w14:paraId="34661940" w14:textId="77777777" w:rsidR="009E0A9E" w:rsidRPr="00775AE5" w:rsidRDefault="009E0A9E" w:rsidP="009E0A9E">
      <w:pPr>
        <w:spacing w:line="276" w:lineRule="auto"/>
        <w:rPr>
          <w:rFonts w:ascii="Arial" w:eastAsia="Calibri" w:hAnsi="Arial" w:cs="Arial"/>
          <w:sz w:val="22"/>
          <w:szCs w:val="22"/>
          <w:lang w:val="es-ES"/>
        </w:rPr>
      </w:pPr>
      <w:r w:rsidRPr="00775AE5">
        <w:rPr>
          <w:rFonts w:ascii="Arial" w:eastAsia="Calibri" w:hAnsi="Arial" w:cs="Arial"/>
          <w:sz w:val="22"/>
          <w:szCs w:val="22"/>
          <w:lang w:val="es-ES"/>
        </w:rPr>
        <w:t>Tabla 6</w:t>
      </w:r>
    </w:p>
    <w:p w14:paraId="4BE37275" w14:textId="77777777" w:rsidR="009E0A9E" w:rsidRPr="00775AE5" w:rsidRDefault="009E0A9E" w:rsidP="009E0A9E">
      <w:pPr>
        <w:spacing w:line="276" w:lineRule="auto"/>
        <w:rPr>
          <w:rFonts w:ascii="Arial" w:eastAsia="Calibri" w:hAnsi="Arial" w:cs="Arial"/>
          <w:i/>
          <w:sz w:val="22"/>
          <w:szCs w:val="22"/>
          <w:lang w:val="es-ES"/>
        </w:rPr>
      </w:pPr>
      <w:r w:rsidRPr="00775AE5">
        <w:rPr>
          <w:rFonts w:ascii="Arial" w:eastAsia="Calibri" w:hAnsi="Arial" w:cs="Arial"/>
          <w:i/>
          <w:sz w:val="22"/>
          <w:szCs w:val="22"/>
          <w:lang w:val="es-ES"/>
        </w:rPr>
        <w:t>Hacinamiento en centros de adolescentes infractores, 2024</w:t>
      </w:r>
    </w:p>
    <w:tbl>
      <w:tblPr>
        <w:tblStyle w:val="TableGrid"/>
        <w:tblW w:w="7820" w:type="dxa"/>
        <w:jc w:val="center"/>
        <w:tblLook w:val="04A0" w:firstRow="1" w:lastRow="0" w:firstColumn="1" w:lastColumn="0" w:noHBand="0" w:noVBand="1"/>
      </w:tblPr>
      <w:tblGrid>
        <w:gridCol w:w="840"/>
        <w:gridCol w:w="1769"/>
        <w:gridCol w:w="2981"/>
        <w:gridCol w:w="1536"/>
        <w:gridCol w:w="694"/>
      </w:tblGrid>
      <w:tr w:rsidR="009E0A9E" w:rsidRPr="00775AE5" w14:paraId="7C007839" w14:textId="77777777" w:rsidTr="00525437">
        <w:trPr>
          <w:trHeight w:val="1320"/>
          <w:jc w:val="center"/>
        </w:trPr>
        <w:tc>
          <w:tcPr>
            <w:tcW w:w="740" w:type="dxa"/>
            <w:hideMark/>
          </w:tcPr>
          <w:p w14:paraId="6FAAD3E8" w14:textId="77777777" w:rsidR="009E0A9E" w:rsidRPr="00775AE5" w:rsidRDefault="009E0A9E" w:rsidP="00525437">
            <w:pPr>
              <w:jc w:val="center"/>
              <w:rPr>
                <w:rFonts w:ascii="Arial" w:hAnsi="Arial" w:cs="Arial"/>
                <w:b/>
                <w:bCs/>
                <w:sz w:val="22"/>
                <w:szCs w:val="22"/>
                <w:lang w:val="en-US" w:eastAsia="en-US"/>
              </w:rPr>
            </w:pPr>
            <w:r w:rsidRPr="00775AE5">
              <w:rPr>
                <w:rFonts w:ascii="Arial" w:hAnsi="Arial" w:cs="Arial"/>
                <w:b/>
                <w:bCs/>
                <w:sz w:val="22"/>
                <w:szCs w:val="22"/>
              </w:rPr>
              <w:t>ZONA</w:t>
            </w:r>
          </w:p>
        </w:tc>
        <w:tc>
          <w:tcPr>
            <w:tcW w:w="1340" w:type="dxa"/>
            <w:hideMark/>
          </w:tcPr>
          <w:p w14:paraId="07907095" w14:textId="77777777" w:rsidR="009E0A9E" w:rsidRPr="00775AE5" w:rsidRDefault="009E0A9E" w:rsidP="00525437">
            <w:pPr>
              <w:jc w:val="center"/>
              <w:rPr>
                <w:rFonts w:ascii="Arial" w:hAnsi="Arial" w:cs="Arial"/>
                <w:b/>
                <w:bCs/>
                <w:sz w:val="22"/>
                <w:szCs w:val="22"/>
              </w:rPr>
            </w:pPr>
            <w:r w:rsidRPr="00775AE5">
              <w:rPr>
                <w:rFonts w:ascii="Arial" w:hAnsi="Arial" w:cs="Arial"/>
                <w:b/>
                <w:bCs/>
                <w:sz w:val="22"/>
                <w:szCs w:val="22"/>
              </w:rPr>
              <w:t>PROVINCIA</w:t>
            </w:r>
          </w:p>
        </w:tc>
        <w:tc>
          <w:tcPr>
            <w:tcW w:w="3740" w:type="dxa"/>
            <w:hideMark/>
          </w:tcPr>
          <w:p w14:paraId="4B3BBD00" w14:textId="77777777" w:rsidR="009E0A9E" w:rsidRPr="00775AE5" w:rsidRDefault="009E0A9E" w:rsidP="00525437">
            <w:pPr>
              <w:jc w:val="center"/>
              <w:rPr>
                <w:rFonts w:ascii="Arial" w:hAnsi="Arial" w:cs="Arial"/>
                <w:b/>
                <w:bCs/>
                <w:sz w:val="22"/>
                <w:szCs w:val="22"/>
              </w:rPr>
            </w:pPr>
            <w:r w:rsidRPr="00775AE5">
              <w:rPr>
                <w:rFonts w:ascii="Arial" w:hAnsi="Arial" w:cs="Arial"/>
                <w:b/>
                <w:bCs/>
                <w:sz w:val="22"/>
                <w:szCs w:val="22"/>
              </w:rPr>
              <w:t>NOMBRE DEL CAI</w:t>
            </w:r>
          </w:p>
        </w:tc>
        <w:tc>
          <w:tcPr>
            <w:tcW w:w="1240" w:type="dxa"/>
            <w:hideMark/>
          </w:tcPr>
          <w:p w14:paraId="4DCE7DAB" w14:textId="77777777" w:rsidR="009E0A9E" w:rsidRPr="00775AE5" w:rsidRDefault="009E0A9E" w:rsidP="00525437">
            <w:pPr>
              <w:jc w:val="center"/>
              <w:rPr>
                <w:rFonts w:ascii="Arial" w:hAnsi="Arial" w:cs="Arial"/>
                <w:b/>
                <w:bCs/>
                <w:color w:val="000000"/>
                <w:sz w:val="22"/>
                <w:szCs w:val="22"/>
              </w:rPr>
            </w:pPr>
            <w:r w:rsidRPr="00775AE5">
              <w:rPr>
                <w:rFonts w:ascii="Arial" w:hAnsi="Arial" w:cs="Arial"/>
                <w:b/>
                <w:bCs/>
                <w:color w:val="000000"/>
                <w:sz w:val="22"/>
                <w:szCs w:val="22"/>
              </w:rPr>
              <w:t>CAPACIDAD INSTALADA EFECTIVA</w:t>
            </w:r>
          </w:p>
        </w:tc>
        <w:tc>
          <w:tcPr>
            <w:tcW w:w="760" w:type="dxa"/>
            <w:textDirection w:val="btLr"/>
            <w:hideMark/>
          </w:tcPr>
          <w:p w14:paraId="05B7ECB4" w14:textId="77777777" w:rsidR="009E0A9E" w:rsidRPr="00775AE5" w:rsidRDefault="009E0A9E" w:rsidP="00525437">
            <w:pPr>
              <w:jc w:val="center"/>
              <w:rPr>
                <w:rFonts w:ascii="Arial" w:hAnsi="Arial" w:cs="Arial"/>
                <w:b/>
                <w:bCs/>
                <w:color w:val="000000"/>
                <w:sz w:val="22"/>
                <w:szCs w:val="22"/>
              </w:rPr>
            </w:pPr>
            <w:r w:rsidRPr="00775AE5">
              <w:rPr>
                <w:rFonts w:ascii="Arial" w:hAnsi="Arial" w:cs="Arial"/>
                <w:b/>
                <w:bCs/>
                <w:color w:val="000000"/>
                <w:sz w:val="22"/>
                <w:szCs w:val="22"/>
              </w:rPr>
              <w:t>29-mar.-2024</w:t>
            </w:r>
          </w:p>
        </w:tc>
      </w:tr>
      <w:tr w:rsidR="009E0A9E" w:rsidRPr="00775AE5" w14:paraId="16A65CF6" w14:textId="77777777" w:rsidTr="00525437">
        <w:trPr>
          <w:trHeight w:val="288"/>
          <w:jc w:val="center"/>
        </w:trPr>
        <w:tc>
          <w:tcPr>
            <w:tcW w:w="740" w:type="dxa"/>
            <w:vMerge w:val="restart"/>
            <w:hideMark/>
          </w:tcPr>
          <w:p w14:paraId="391123CF"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ZONA 1</w:t>
            </w:r>
          </w:p>
        </w:tc>
        <w:tc>
          <w:tcPr>
            <w:tcW w:w="1340" w:type="dxa"/>
            <w:hideMark/>
          </w:tcPr>
          <w:p w14:paraId="619794D6"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ESMERALDAS</w:t>
            </w:r>
          </w:p>
        </w:tc>
        <w:tc>
          <w:tcPr>
            <w:tcW w:w="3740" w:type="dxa"/>
            <w:hideMark/>
          </w:tcPr>
          <w:p w14:paraId="0F35D161"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CAI MASCULINO - ESMERALDAS</w:t>
            </w:r>
          </w:p>
        </w:tc>
        <w:tc>
          <w:tcPr>
            <w:tcW w:w="1240" w:type="dxa"/>
            <w:hideMark/>
          </w:tcPr>
          <w:p w14:paraId="1EAE1E7A"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45 </w:t>
            </w:r>
          </w:p>
        </w:tc>
        <w:tc>
          <w:tcPr>
            <w:tcW w:w="760" w:type="dxa"/>
            <w:hideMark/>
          </w:tcPr>
          <w:p w14:paraId="18D3F68E"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49 </w:t>
            </w:r>
          </w:p>
        </w:tc>
      </w:tr>
      <w:tr w:rsidR="009E0A9E" w:rsidRPr="00775AE5" w14:paraId="0FF5C2D8" w14:textId="77777777" w:rsidTr="00525437">
        <w:trPr>
          <w:trHeight w:val="288"/>
          <w:jc w:val="center"/>
        </w:trPr>
        <w:tc>
          <w:tcPr>
            <w:tcW w:w="740" w:type="dxa"/>
            <w:vMerge/>
            <w:hideMark/>
          </w:tcPr>
          <w:p w14:paraId="074905C3" w14:textId="77777777" w:rsidR="009E0A9E" w:rsidRPr="00775AE5" w:rsidRDefault="009E0A9E" w:rsidP="00525437">
            <w:pPr>
              <w:rPr>
                <w:rFonts w:ascii="Arial" w:hAnsi="Arial" w:cs="Arial"/>
                <w:color w:val="000000"/>
                <w:sz w:val="22"/>
                <w:szCs w:val="22"/>
              </w:rPr>
            </w:pPr>
          </w:p>
        </w:tc>
        <w:tc>
          <w:tcPr>
            <w:tcW w:w="1340" w:type="dxa"/>
            <w:hideMark/>
          </w:tcPr>
          <w:p w14:paraId="176ECCC1"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IMBABURA</w:t>
            </w:r>
          </w:p>
        </w:tc>
        <w:tc>
          <w:tcPr>
            <w:tcW w:w="3740" w:type="dxa"/>
            <w:hideMark/>
          </w:tcPr>
          <w:p w14:paraId="10B1C376"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CAI MASCULINO - IBARRA</w:t>
            </w:r>
          </w:p>
        </w:tc>
        <w:tc>
          <w:tcPr>
            <w:tcW w:w="1240" w:type="dxa"/>
            <w:hideMark/>
          </w:tcPr>
          <w:p w14:paraId="0EA433F4"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50 </w:t>
            </w:r>
          </w:p>
        </w:tc>
        <w:tc>
          <w:tcPr>
            <w:tcW w:w="760" w:type="dxa"/>
            <w:hideMark/>
          </w:tcPr>
          <w:p w14:paraId="4C69BFF4"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39 </w:t>
            </w:r>
          </w:p>
        </w:tc>
      </w:tr>
      <w:tr w:rsidR="009E0A9E" w:rsidRPr="00775AE5" w14:paraId="712F5331" w14:textId="77777777" w:rsidTr="00525437">
        <w:trPr>
          <w:trHeight w:val="288"/>
          <w:jc w:val="center"/>
        </w:trPr>
        <w:tc>
          <w:tcPr>
            <w:tcW w:w="740" w:type="dxa"/>
            <w:vMerge w:val="restart"/>
            <w:hideMark/>
          </w:tcPr>
          <w:p w14:paraId="62408BB8"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ZONA 3</w:t>
            </w:r>
          </w:p>
        </w:tc>
        <w:tc>
          <w:tcPr>
            <w:tcW w:w="1340" w:type="dxa"/>
            <w:hideMark/>
          </w:tcPr>
          <w:p w14:paraId="613CF4F9"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CHIMBORAZO</w:t>
            </w:r>
          </w:p>
        </w:tc>
        <w:tc>
          <w:tcPr>
            <w:tcW w:w="3740" w:type="dxa"/>
            <w:hideMark/>
          </w:tcPr>
          <w:p w14:paraId="7A8EDA35"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CAI MASCULINO - RIOBAMBA</w:t>
            </w:r>
          </w:p>
        </w:tc>
        <w:tc>
          <w:tcPr>
            <w:tcW w:w="1240" w:type="dxa"/>
            <w:hideMark/>
          </w:tcPr>
          <w:p w14:paraId="555616B8"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35 </w:t>
            </w:r>
          </w:p>
        </w:tc>
        <w:tc>
          <w:tcPr>
            <w:tcW w:w="760" w:type="dxa"/>
            <w:hideMark/>
          </w:tcPr>
          <w:p w14:paraId="62B2673C"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61 </w:t>
            </w:r>
          </w:p>
        </w:tc>
      </w:tr>
      <w:tr w:rsidR="009E0A9E" w:rsidRPr="00775AE5" w14:paraId="69CEB3AA" w14:textId="77777777" w:rsidTr="00525437">
        <w:trPr>
          <w:trHeight w:val="288"/>
          <w:jc w:val="center"/>
        </w:trPr>
        <w:tc>
          <w:tcPr>
            <w:tcW w:w="740" w:type="dxa"/>
            <w:vMerge/>
            <w:hideMark/>
          </w:tcPr>
          <w:p w14:paraId="3F977C4E" w14:textId="77777777" w:rsidR="009E0A9E" w:rsidRPr="00775AE5" w:rsidRDefault="009E0A9E" w:rsidP="00525437">
            <w:pPr>
              <w:rPr>
                <w:rFonts w:ascii="Arial" w:hAnsi="Arial" w:cs="Arial"/>
                <w:color w:val="000000"/>
                <w:sz w:val="22"/>
                <w:szCs w:val="22"/>
              </w:rPr>
            </w:pPr>
          </w:p>
        </w:tc>
        <w:tc>
          <w:tcPr>
            <w:tcW w:w="1340" w:type="dxa"/>
            <w:hideMark/>
          </w:tcPr>
          <w:p w14:paraId="31889FC4"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TUNGURAHUA</w:t>
            </w:r>
          </w:p>
        </w:tc>
        <w:tc>
          <w:tcPr>
            <w:tcW w:w="3740" w:type="dxa"/>
            <w:hideMark/>
          </w:tcPr>
          <w:p w14:paraId="6165FD77"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CAI MASCULINO - AMBATO</w:t>
            </w:r>
          </w:p>
        </w:tc>
        <w:tc>
          <w:tcPr>
            <w:tcW w:w="1240" w:type="dxa"/>
            <w:hideMark/>
          </w:tcPr>
          <w:p w14:paraId="20B9A137"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55 </w:t>
            </w:r>
          </w:p>
        </w:tc>
        <w:tc>
          <w:tcPr>
            <w:tcW w:w="760" w:type="dxa"/>
            <w:hideMark/>
          </w:tcPr>
          <w:p w14:paraId="0C6A6C70"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41 </w:t>
            </w:r>
          </w:p>
        </w:tc>
      </w:tr>
      <w:tr w:rsidR="009E0A9E" w:rsidRPr="00775AE5" w14:paraId="439A1B14" w14:textId="77777777" w:rsidTr="00525437">
        <w:trPr>
          <w:trHeight w:val="288"/>
          <w:jc w:val="center"/>
        </w:trPr>
        <w:tc>
          <w:tcPr>
            <w:tcW w:w="740" w:type="dxa"/>
            <w:hideMark/>
          </w:tcPr>
          <w:p w14:paraId="39CF7CB1"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ZONA 6</w:t>
            </w:r>
          </w:p>
        </w:tc>
        <w:tc>
          <w:tcPr>
            <w:tcW w:w="1340" w:type="dxa"/>
            <w:hideMark/>
          </w:tcPr>
          <w:p w14:paraId="67EF5669"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AZUAY</w:t>
            </w:r>
          </w:p>
        </w:tc>
        <w:tc>
          <w:tcPr>
            <w:tcW w:w="3740" w:type="dxa"/>
            <w:hideMark/>
          </w:tcPr>
          <w:p w14:paraId="63D2D841"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CAI MASCULINO - CUENCA</w:t>
            </w:r>
          </w:p>
        </w:tc>
        <w:tc>
          <w:tcPr>
            <w:tcW w:w="1240" w:type="dxa"/>
            <w:hideMark/>
          </w:tcPr>
          <w:p w14:paraId="2ABF14D9"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35 </w:t>
            </w:r>
          </w:p>
        </w:tc>
        <w:tc>
          <w:tcPr>
            <w:tcW w:w="760" w:type="dxa"/>
            <w:hideMark/>
          </w:tcPr>
          <w:p w14:paraId="7F8F9D7F"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16 </w:t>
            </w:r>
          </w:p>
        </w:tc>
      </w:tr>
      <w:tr w:rsidR="009E0A9E" w:rsidRPr="00775AE5" w14:paraId="131E0079" w14:textId="77777777" w:rsidTr="00525437">
        <w:trPr>
          <w:trHeight w:val="288"/>
          <w:jc w:val="center"/>
        </w:trPr>
        <w:tc>
          <w:tcPr>
            <w:tcW w:w="740" w:type="dxa"/>
            <w:vMerge w:val="restart"/>
            <w:hideMark/>
          </w:tcPr>
          <w:p w14:paraId="0A0DB78B"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ZONA 7</w:t>
            </w:r>
          </w:p>
        </w:tc>
        <w:tc>
          <w:tcPr>
            <w:tcW w:w="1340" w:type="dxa"/>
            <w:hideMark/>
          </w:tcPr>
          <w:p w14:paraId="4B470AD7"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EL ORO</w:t>
            </w:r>
          </w:p>
        </w:tc>
        <w:tc>
          <w:tcPr>
            <w:tcW w:w="3740" w:type="dxa"/>
            <w:hideMark/>
          </w:tcPr>
          <w:p w14:paraId="7F77AE8C"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CAI MASCULINO - MACHALA</w:t>
            </w:r>
          </w:p>
        </w:tc>
        <w:tc>
          <w:tcPr>
            <w:tcW w:w="1240" w:type="dxa"/>
            <w:hideMark/>
          </w:tcPr>
          <w:p w14:paraId="2D7025E6"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35 </w:t>
            </w:r>
          </w:p>
        </w:tc>
        <w:tc>
          <w:tcPr>
            <w:tcW w:w="760" w:type="dxa"/>
            <w:hideMark/>
          </w:tcPr>
          <w:p w14:paraId="426AB7E7"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 -</w:t>
            </w:r>
          </w:p>
        </w:tc>
      </w:tr>
      <w:tr w:rsidR="009E0A9E" w:rsidRPr="00775AE5" w14:paraId="30D537C9" w14:textId="77777777" w:rsidTr="00525437">
        <w:trPr>
          <w:trHeight w:val="288"/>
          <w:jc w:val="center"/>
        </w:trPr>
        <w:tc>
          <w:tcPr>
            <w:tcW w:w="740" w:type="dxa"/>
            <w:vMerge/>
            <w:hideMark/>
          </w:tcPr>
          <w:p w14:paraId="0104D67C" w14:textId="77777777" w:rsidR="009E0A9E" w:rsidRPr="00775AE5" w:rsidRDefault="009E0A9E" w:rsidP="00525437">
            <w:pPr>
              <w:rPr>
                <w:rFonts w:ascii="Arial" w:hAnsi="Arial" w:cs="Arial"/>
                <w:color w:val="000000"/>
                <w:sz w:val="22"/>
                <w:szCs w:val="22"/>
              </w:rPr>
            </w:pPr>
          </w:p>
        </w:tc>
        <w:tc>
          <w:tcPr>
            <w:tcW w:w="1340" w:type="dxa"/>
            <w:hideMark/>
          </w:tcPr>
          <w:p w14:paraId="31A51330"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LOJA</w:t>
            </w:r>
          </w:p>
        </w:tc>
        <w:tc>
          <w:tcPr>
            <w:tcW w:w="3740" w:type="dxa"/>
            <w:hideMark/>
          </w:tcPr>
          <w:p w14:paraId="24DDDE80"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CAI MASCULINO - LOJA</w:t>
            </w:r>
          </w:p>
        </w:tc>
        <w:tc>
          <w:tcPr>
            <w:tcW w:w="1240" w:type="dxa"/>
            <w:hideMark/>
          </w:tcPr>
          <w:p w14:paraId="6EAD8D1B"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35 </w:t>
            </w:r>
          </w:p>
        </w:tc>
        <w:tc>
          <w:tcPr>
            <w:tcW w:w="760" w:type="dxa"/>
            <w:hideMark/>
          </w:tcPr>
          <w:p w14:paraId="130B3AA3"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18 </w:t>
            </w:r>
          </w:p>
        </w:tc>
      </w:tr>
      <w:tr w:rsidR="009E0A9E" w:rsidRPr="00775AE5" w14:paraId="4099263D" w14:textId="77777777" w:rsidTr="00525437">
        <w:trPr>
          <w:trHeight w:val="288"/>
          <w:jc w:val="center"/>
        </w:trPr>
        <w:tc>
          <w:tcPr>
            <w:tcW w:w="740" w:type="dxa"/>
            <w:vMerge w:val="restart"/>
            <w:hideMark/>
          </w:tcPr>
          <w:p w14:paraId="7EC9F92D"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ZONA 8</w:t>
            </w:r>
          </w:p>
        </w:tc>
        <w:tc>
          <w:tcPr>
            <w:tcW w:w="1340" w:type="dxa"/>
            <w:vMerge w:val="restart"/>
            <w:hideMark/>
          </w:tcPr>
          <w:p w14:paraId="2569276A"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GUAYAS</w:t>
            </w:r>
          </w:p>
        </w:tc>
        <w:tc>
          <w:tcPr>
            <w:tcW w:w="3740" w:type="dxa"/>
            <w:hideMark/>
          </w:tcPr>
          <w:p w14:paraId="4E19CEEB"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CAI FEMENINO - GUAYAQUIL</w:t>
            </w:r>
          </w:p>
        </w:tc>
        <w:tc>
          <w:tcPr>
            <w:tcW w:w="1240" w:type="dxa"/>
            <w:hideMark/>
          </w:tcPr>
          <w:p w14:paraId="4F23FD2A"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25 </w:t>
            </w:r>
          </w:p>
        </w:tc>
        <w:tc>
          <w:tcPr>
            <w:tcW w:w="760" w:type="dxa"/>
            <w:hideMark/>
          </w:tcPr>
          <w:p w14:paraId="32B40E66"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4 </w:t>
            </w:r>
          </w:p>
        </w:tc>
      </w:tr>
      <w:tr w:rsidR="009E0A9E" w:rsidRPr="00775AE5" w14:paraId="4CCDC026" w14:textId="77777777" w:rsidTr="00525437">
        <w:trPr>
          <w:trHeight w:val="288"/>
          <w:jc w:val="center"/>
        </w:trPr>
        <w:tc>
          <w:tcPr>
            <w:tcW w:w="740" w:type="dxa"/>
            <w:vMerge/>
            <w:hideMark/>
          </w:tcPr>
          <w:p w14:paraId="4E5CBB11" w14:textId="77777777" w:rsidR="009E0A9E" w:rsidRPr="00775AE5" w:rsidRDefault="009E0A9E" w:rsidP="00525437">
            <w:pPr>
              <w:rPr>
                <w:rFonts w:ascii="Arial" w:hAnsi="Arial" w:cs="Arial"/>
                <w:color w:val="000000"/>
                <w:sz w:val="22"/>
                <w:szCs w:val="22"/>
              </w:rPr>
            </w:pPr>
          </w:p>
        </w:tc>
        <w:tc>
          <w:tcPr>
            <w:tcW w:w="1340" w:type="dxa"/>
            <w:vMerge/>
            <w:hideMark/>
          </w:tcPr>
          <w:p w14:paraId="56814AE6" w14:textId="77777777" w:rsidR="009E0A9E" w:rsidRPr="00775AE5" w:rsidRDefault="009E0A9E" w:rsidP="00525437">
            <w:pPr>
              <w:rPr>
                <w:rFonts w:ascii="Arial" w:hAnsi="Arial" w:cs="Arial"/>
                <w:color w:val="000000"/>
                <w:sz w:val="22"/>
                <w:szCs w:val="22"/>
              </w:rPr>
            </w:pPr>
          </w:p>
        </w:tc>
        <w:tc>
          <w:tcPr>
            <w:tcW w:w="3740" w:type="dxa"/>
            <w:hideMark/>
          </w:tcPr>
          <w:p w14:paraId="39233D96"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CAI MASCULINO - GUAYAQUIL</w:t>
            </w:r>
          </w:p>
        </w:tc>
        <w:tc>
          <w:tcPr>
            <w:tcW w:w="1240" w:type="dxa"/>
            <w:hideMark/>
          </w:tcPr>
          <w:p w14:paraId="17FE69C7"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164 </w:t>
            </w:r>
          </w:p>
        </w:tc>
        <w:tc>
          <w:tcPr>
            <w:tcW w:w="760" w:type="dxa"/>
            <w:hideMark/>
          </w:tcPr>
          <w:p w14:paraId="162CB94F"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139 </w:t>
            </w:r>
          </w:p>
        </w:tc>
      </w:tr>
      <w:tr w:rsidR="009E0A9E" w:rsidRPr="00775AE5" w14:paraId="45AE05A6" w14:textId="77777777" w:rsidTr="00525437">
        <w:trPr>
          <w:trHeight w:val="288"/>
          <w:jc w:val="center"/>
        </w:trPr>
        <w:tc>
          <w:tcPr>
            <w:tcW w:w="740" w:type="dxa"/>
            <w:vMerge w:val="restart"/>
            <w:hideMark/>
          </w:tcPr>
          <w:p w14:paraId="0C515157"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ZONA 9</w:t>
            </w:r>
          </w:p>
        </w:tc>
        <w:tc>
          <w:tcPr>
            <w:tcW w:w="1340" w:type="dxa"/>
            <w:vMerge w:val="restart"/>
            <w:hideMark/>
          </w:tcPr>
          <w:p w14:paraId="26AA40C9"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PICHINCHA</w:t>
            </w:r>
          </w:p>
        </w:tc>
        <w:tc>
          <w:tcPr>
            <w:tcW w:w="3740" w:type="dxa"/>
            <w:hideMark/>
          </w:tcPr>
          <w:p w14:paraId="6C84321D"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CAI FEMENINO - QUITO</w:t>
            </w:r>
          </w:p>
        </w:tc>
        <w:tc>
          <w:tcPr>
            <w:tcW w:w="1240" w:type="dxa"/>
            <w:hideMark/>
          </w:tcPr>
          <w:p w14:paraId="26836D3C"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40 </w:t>
            </w:r>
          </w:p>
        </w:tc>
        <w:tc>
          <w:tcPr>
            <w:tcW w:w="760" w:type="dxa"/>
            <w:hideMark/>
          </w:tcPr>
          <w:p w14:paraId="1B026373"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14 </w:t>
            </w:r>
          </w:p>
        </w:tc>
      </w:tr>
      <w:tr w:rsidR="009E0A9E" w:rsidRPr="00775AE5" w14:paraId="11E53F34" w14:textId="77777777" w:rsidTr="00525437">
        <w:trPr>
          <w:trHeight w:val="288"/>
          <w:jc w:val="center"/>
        </w:trPr>
        <w:tc>
          <w:tcPr>
            <w:tcW w:w="740" w:type="dxa"/>
            <w:vMerge/>
            <w:hideMark/>
          </w:tcPr>
          <w:p w14:paraId="401B8719" w14:textId="77777777" w:rsidR="009E0A9E" w:rsidRPr="00775AE5" w:rsidRDefault="009E0A9E" w:rsidP="00525437">
            <w:pPr>
              <w:rPr>
                <w:rFonts w:ascii="Arial" w:hAnsi="Arial" w:cs="Arial"/>
                <w:color w:val="000000"/>
                <w:sz w:val="22"/>
                <w:szCs w:val="22"/>
              </w:rPr>
            </w:pPr>
          </w:p>
        </w:tc>
        <w:tc>
          <w:tcPr>
            <w:tcW w:w="1340" w:type="dxa"/>
            <w:vMerge/>
            <w:hideMark/>
          </w:tcPr>
          <w:p w14:paraId="7B1AA318" w14:textId="77777777" w:rsidR="009E0A9E" w:rsidRPr="00775AE5" w:rsidRDefault="009E0A9E" w:rsidP="00525437">
            <w:pPr>
              <w:rPr>
                <w:rFonts w:ascii="Arial" w:hAnsi="Arial" w:cs="Arial"/>
                <w:color w:val="000000"/>
                <w:sz w:val="22"/>
                <w:szCs w:val="22"/>
              </w:rPr>
            </w:pPr>
          </w:p>
        </w:tc>
        <w:tc>
          <w:tcPr>
            <w:tcW w:w="3740" w:type="dxa"/>
            <w:hideMark/>
          </w:tcPr>
          <w:p w14:paraId="47EFC7D4"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CAI MASCULINO - QUITO</w:t>
            </w:r>
          </w:p>
        </w:tc>
        <w:tc>
          <w:tcPr>
            <w:tcW w:w="1240" w:type="dxa"/>
            <w:hideMark/>
          </w:tcPr>
          <w:p w14:paraId="54D1F073"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90 </w:t>
            </w:r>
          </w:p>
        </w:tc>
        <w:tc>
          <w:tcPr>
            <w:tcW w:w="760" w:type="dxa"/>
            <w:hideMark/>
          </w:tcPr>
          <w:p w14:paraId="15023CDA"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 xml:space="preserve">82 </w:t>
            </w:r>
          </w:p>
        </w:tc>
      </w:tr>
      <w:tr w:rsidR="009E0A9E" w:rsidRPr="00775AE5" w14:paraId="543DDC39" w14:textId="77777777" w:rsidTr="00525437">
        <w:trPr>
          <w:trHeight w:val="300"/>
          <w:jc w:val="center"/>
        </w:trPr>
        <w:tc>
          <w:tcPr>
            <w:tcW w:w="5820" w:type="dxa"/>
            <w:gridSpan w:val="3"/>
            <w:hideMark/>
          </w:tcPr>
          <w:p w14:paraId="22B676B9" w14:textId="77777777" w:rsidR="009E0A9E" w:rsidRPr="00775AE5" w:rsidRDefault="009E0A9E" w:rsidP="00525437">
            <w:pPr>
              <w:jc w:val="center"/>
              <w:rPr>
                <w:rFonts w:ascii="Arial" w:hAnsi="Arial" w:cs="Arial"/>
                <w:b/>
                <w:bCs/>
                <w:sz w:val="22"/>
                <w:szCs w:val="22"/>
              </w:rPr>
            </w:pPr>
            <w:r w:rsidRPr="00775AE5">
              <w:rPr>
                <w:rFonts w:ascii="Arial" w:hAnsi="Arial" w:cs="Arial"/>
                <w:b/>
                <w:bCs/>
                <w:sz w:val="22"/>
                <w:szCs w:val="22"/>
              </w:rPr>
              <w:t>TOTAL</w:t>
            </w:r>
          </w:p>
        </w:tc>
        <w:tc>
          <w:tcPr>
            <w:tcW w:w="1240" w:type="dxa"/>
            <w:hideMark/>
          </w:tcPr>
          <w:p w14:paraId="4CF55FF6" w14:textId="77777777" w:rsidR="009E0A9E" w:rsidRPr="00775AE5" w:rsidRDefault="009E0A9E" w:rsidP="00525437">
            <w:pPr>
              <w:jc w:val="center"/>
              <w:rPr>
                <w:rFonts w:ascii="Arial" w:hAnsi="Arial" w:cs="Arial"/>
                <w:b/>
                <w:bCs/>
                <w:sz w:val="22"/>
                <w:szCs w:val="22"/>
              </w:rPr>
            </w:pPr>
            <w:r w:rsidRPr="00775AE5">
              <w:rPr>
                <w:rFonts w:ascii="Arial" w:hAnsi="Arial" w:cs="Arial"/>
                <w:b/>
                <w:bCs/>
                <w:sz w:val="22"/>
                <w:szCs w:val="22"/>
              </w:rPr>
              <w:t xml:space="preserve">609 </w:t>
            </w:r>
          </w:p>
        </w:tc>
        <w:tc>
          <w:tcPr>
            <w:tcW w:w="760" w:type="dxa"/>
            <w:hideMark/>
          </w:tcPr>
          <w:p w14:paraId="7C6F4884" w14:textId="77777777" w:rsidR="009E0A9E" w:rsidRPr="00775AE5" w:rsidRDefault="009E0A9E" w:rsidP="00525437">
            <w:pPr>
              <w:jc w:val="center"/>
              <w:rPr>
                <w:rFonts w:ascii="Arial" w:hAnsi="Arial" w:cs="Arial"/>
                <w:b/>
                <w:bCs/>
                <w:sz w:val="22"/>
                <w:szCs w:val="22"/>
              </w:rPr>
            </w:pPr>
            <w:r w:rsidRPr="00775AE5">
              <w:rPr>
                <w:rFonts w:ascii="Arial" w:hAnsi="Arial" w:cs="Arial"/>
                <w:b/>
                <w:bCs/>
                <w:sz w:val="22"/>
                <w:szCs w:val="22"/>
              </w:rPr>
              <w:t xml:space="preserve">463 </w:t>
            </w:r>
          </w:p>
        </w:tc>
      </w:tr>
    </w:tbl>
    <w:p w14:paraId="643662AD" w14:textId="77777777" w:rsidR="009E0A9E" w:rsidRPr="00775AE5" w:rsidRDefault="009E0A9E" w:rsidP="009E0A9E">
      <w:pPr>
        <w:spacing w:line="276" w:lineRule="auto"/>
        <w:rPr>
          <w:rFonts w:ascii="Arial" w:eastAsia="Calibri" w:hAnsi="Arial" w:cs="Arial"/>
          <w:i/>
          <w:sz w:val="22"/>
          <w:szCs w:val="22"/>
          <w:lang w:val="es-ES"/>
        </w:rPr>
      </w:pPr>
    </w:p>
    <w:p w14:paraId="15747D3D" w14:textId="77777777" w:rsidR="009E0A9E" w:rsidRPr="00775AE5" w:rsidRDefault="009E0A9E" w:rsidP="009E0A9E">
      <w:pPr>
        <w:spacing w:line="276" w:lineRule="auto"/>
        <w:rPr>
          <w:rFonts w:ascii="Arial" w:eastAsia="Calibri" w:hAnsi="Arial" w:cs="Arial"/>
          <w:i/>
          <w:sz w:val="22"/>
          <w:szCs w:val="22"/>
          <w:lang w:val="es-EC"/>
        </w:rPr>
      </w:pPr>
      <w:r w:rsidRPr="00775AE5">
        <w:rPr>
          <w:rFonts w:ascii="Arial" w:eastAsia="DejaVu Sans" w:hAnsi="Arial" w:cs="Arial"/>
          <w:sz w:val="22"/>
          <w:szCs w:val="22"/>
          <w:lang w:val="es-VE" w:eastAsia="es-EC"/>
        </w:rPr>
        <w:t>Fuente: SNAI, Marzo 2024.Tomado de: https://www.atencionintegral.gob.ec/estadisticas/</w:t>
      </w:r>
    </w:p>
    <w:p w14:paraId="30F54056" w14:textId="77777777" w:rsidR="009E0A9E" w:rsidRPr="00775AE5" w:rsidRDefault="009E0A9E" w:rsidP="009E0A9E">
      <w:pPr>
        <w:spacing w:line="276" w:lineRule="auto"/>
        <w:rPr>
          <w:rFonts w:ascii="Arial" w:eastAsia="Calibri" w:hAnsi="Arial" w:cs="Arial"/>
          <w:i/>
          <w:sz w:val="22"/>
          <w:szCs w:val="22"/>
          <w:lang w:val="es-EC"/>
        </w:rPr>
      </w:pPr>
    </w:p>
    <w:p w14:paraId="4BB1FF67" w14:textId="77777777" w:rsidR="009E0A9E" w:rsidRPr="00775AE5" w:rsidRDefault="009E0A9E" w:rsidP="009E0A9E">
      <w:pPr>
        <w:spacing w:line="276" w:lineRule="auto"/>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En cuanto a los datos presentados en la tabla 6, se observa una sobrepoblación en CAI de Esmeraldas y hacinamiento en el CAI de Riobamba. </w:t>
      </w:r>
    </w:p>
    <w:p w14:paraId="069FFC4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29E95F9"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Adicionalmente, es importante resaltar que centros como el CAI Esmeraldas, CAI Masculino Guayaquil, CAI Loja no cumplen con lo dispuesto en el Modelo Integral Restaurativo</w:t>
      </w:r>
      <w:r w:rsidRPr="00775AE5">
        <w:rPr>
          <w:rStyle w:val="FootnoteReference"/>
          <w:rFonts w:ascii="Arial" w:eastAsia="DejaVu Sans" w:hAnsi="Arial" w:cs="Arial"/>
          <w:sz w:val="22"/>
          <w:szCs w:val="22"/>
          <w:lang w:val="es-VE" w:eastAsia="es-EC"/>
        </w:rPr>
        <w:footnoteReference w:id="35"/>
      </w:r>
      <w:r w:rsidRPr="00775AE5">
        <w:rPr>
          <w:rFonts w:ascii="Arial" w:eastAsia="DejaVu Sans" w:hAnsi="Arial" w:cs="Arial"/>
          <w:sz w:val="22"/>
          <w:szCs w:val="22"/>
          <w:lang w:val="es-VE" w:eastAsia="es-EC"/>
        </w:rPr>
        <w:t xml:space="preserve"> (modelo de gestión de los CAI), respecto a la garantía de privacidad en las habitaciones. </w:t>
      </w:r>
    </w:p>
    <w:p w14:paraId="58EC4B4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C117447" w14:textId="56F9F20B" w:rsidR="009E0A9E" w:rsidRPr="00775AE5" w:rsidRDefault="009E0A9E" w:rsidP="009E0A9E">
      <w:pPr>
        <w:widowControl w:val="0"/>
        <w:suppressAutoHyphens/>
        <w:spacing w:line="276" w:lineRule="auto"/>
        <w:jc w:val="both"/>
        <w:rPr>
          <w:rFonts w:ascii="Arial" w:hAnsi="Arial" w:cs="Arial"/>
          <w:sz w:val="22"/>
          <w:szCs w:val="22"/>
        </w:rPr>
      </w:pPr>
      <w:r w:rsidRPr="00775AE5">
        <w:rPr>
          <w:rFonts w:ascii="Arial" w:eastAsia="DejaVu Sans" w:hAnsi="Arial" w:cs="Arial"/>
          <w:sz w:val="22"/>
          <w:szCs w:val="22"/>
          <w:lang w:val="es-VE" w:eastAsia="es-EC"/>
        </w:rPr>
        <w:t xml:space="preserve">Al respecto de las </w:t>
      </w:r>
      <w:r w:rsidRPr="00775AE5">
        <w:rPr>
          <w:rFonts w:ascii="Arial" w:hAnsi="Arial" w:cs="Arial"/>
          <w:sz w:val="22"/>
          <w:szCs w:val="22"/>
        </w:rPr>
        <w:t xml:space="preserve">medidas adoptadas para reducir el hacinamiento, se puede concluir ni los diversos estados de excepción (a las que se hará referencia en lo posterior), ni la declaratoria de emergencia en el Sistema de Rehabilitación Social (2019) han sido efectivos para disminuir </w:t>
      </w:r>
      <w:r w:rsidR="00CA38EB" w:rsidRPr="00775AE5">
        <w:rPr>
          <w:rFonts w:ascii="Arial" w:hAnsi="Arial" w:cs="Arial"/>
          <w:sz w:val="22"/>
          <w:szCs w:val="22"/>
        </w:rPr>
        <w:t>el hacinamiento</w:t>
      </w:r>
      <w:r w:rsidRPr="00775AE5">
        <w:rPr>
          <w:rFonts w:ascii="Arial" w:hAnsi="Arial" w:cs="Arial"/>
          <w:sz w:val="22"/>
          <w:szCs w:val="22"/>
        </w:rPr>
        <w:t xml:space="preserve"> o garantizar mejores condiciones a la población penitenciaria. No obstante, el MNPT identifica la aplicación de cuatro medidas como cuestiones importantes para la reducción del hacinamiento.</w:t>
      </w:r>
    </w:p>
    <w:p w14:paraId="44A6C78C" w14:textId="77777777" w:rsidR="009E0A9E" w:rsidRPr="00775AE5" w:rsidRDefault="009E0A9E" w:rsidP="009E0A9E">
      <w:pPr>
        <w:widowControl w:val="0"/>
        <w:suppressAutoHyphens/>
        <w:spacing w:line="276" w:lineRule="auto"/>
        <w:jc w:val="both"/>
        <w:rPr>
          <w:rFonts w:ascii="Arial" w:hAnsi="Arial" w:cs="Arial"/>
          <w:sz w:val="22"/>
          <w:szCs w:val="22"/>
        </w:rPr>
      </w:pPr>
    </w:p>
    <w:p w14:paraId="4D421429" w14:textId="77777777" w:rsidR="009E0A9E" w:rsidRPr="00775AE5" w:rsidRDefault="009E0A9E" w:rsidP="00B17DD2">
      <w:pPr>
        <w:numPr>
          <w:ilvl w:val="0"/>
          <w:numId w:val="39"/>
        </w:num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A través del Decreto Ejecutivo No 1086, de 26 de junio de 2020, se declara el indulto presidencial a favor de las personas privadas de libertad que han cumplido con los requisitos reglamentarios correspondientes y que pertenecen a grupos de atención prioritaria y con doble vulnerabilidad, con excepción de las personas condenadas por delitos contra la integridad sexual y reproductiva, la eficiencia de la administración pública , contra la inviolabilidad de la vida, delitos violentos y por infracciones dolosas de mayor gravedad. Decreto que extendió la libertad para 66 PPL, mayoritariamente mujeres, un número evidentemente marginal, en comparación a la totalidad de la población penitenciaria en nuestro país.</w:t>
      </w:r>
    </w:p>
    <w:p w14:paraId="7B0C3B9D" w14:textId="77777777" w:rsidR="009E0A9E" w:rsidRPr="00775AE5" w:rsidRDefault="009E0A9E" w:rsidP="00B17DD2">
      <w:pPr>
        <w:widowControl w:val="0"/>
        <w:numPr>
          <w:ilvl w:val="0"/>
          <w:numId w:val="39"/>
        </w:numPr>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Publicación de la Resolución sobre las Directrices para la aplicación de la Prisión Preventiva, emitida por la Corte Constitucional, el 15 de diciembre del 2021 (estado vigente).</w:t>
      </w:r>
    </w:p>
    <w:p w14:paraId="1F57E442" w14:textId="77777777" w:rsidR="009E0A9E" w:rsidRPr="00775AE5" w:rsidRDefault="009E0A9E" w:rsidP="00B17DD2">
      <w:pPr>
        <w:widowControl w:val="0"/>
        <w:numPr>
          <w:ilvl w:val="0"/>
          <w:numId w:val="39"/>
        </w:numPr>
        <w:suppressAutoHyphens/>
        <w:spacing w:line="276" w:lineRule="auto"/>
        <w:jc w:val="both"/>
        <w:rPr>
          <w:rFonts w:ascii="Arial" w:eastAsia="DejaVu Sans" w:hAnsi="Arial" w:cs="Arial"/>
          <w:sz w:val="22"/>
          <w:szCs w:val="22"/>
          <w:lang w:val="es-VE" w:eastAsia="es-EC"/>
        </w:rPr>
      </w:pPr>
      <w:r w:rsidRPr="00775AE5">
        <w:rPr>
          <w:rFonts w:ascii="Arial" w:hAnsi="Arial" w:cs="Arial"/>
          <w:sz w:val="22"/>
          <w:szCs w:val="22"/>
          <w:lang w:val="es-VE"/>
        </w:rPr>
        <w:t xml:space="preserve">Aplicación del </w:t>
      </w:r>
      <w:r w:rsidRPr="00775AE5">
        <w:rPr>
          <w:rFonts w:ascii="Arial" w:hAnsi="Arial" w:cs="Arial"/>
          <w:sz w:val="22"/>
          <w:szCs w:val="22"/>
        </w:rPr>
        <w:t>Proyecto Renacer que concibió la contratación de profesionales abogados, psicólogos y trabajadores sociales para la aplicación de beneficios penitenciarios, cambios de régimen, conforme marco legal, casos prácticos, socialización de formatos.  Misma que permitió el acceso a beneficios penitenciarios y con esto la reducción del hacinamiento en 19.97%, alcanzando a final del 2022 un hacinamiento del 9.68%</w:t>
      </w:r>
      <w:r w:rsidRPr="00775AE5">
        <w:rPr>
          <w:rStyle w:val="FootnoteReference"/>
          <w:rFonts w:ascii="Arial" w:hAnsi="Arial" w:cs="Arial"/>
          <w:sz w:val="22"/>
          <w:szCs w:val="22"/>
        </w:rPr>
        <w:footnoteReference w:id="36"/>
      </w:r>
      <w:r w:rsidRPr="00775AE5">
        <w:rPr>
          <w:rFonts w:ascii="Arial" w:hAnsi="Arial" w:cs="Arial"/>
          <w:sz w:val="22"/>
          <w:szCs w:val="22"/>
        </w:rPr>
        <w:t>.</w:t>
      </w:r>
    </w:p>
    <w:p w14:paraId="09DC72F3" w14:textId="77777777" w:rsidR="009E0A9E" w:rsidRPr="00775AE5" w:rsidRDefault="009E0A9E" w:rsidP="00B17DD2">
      <w:pPr>
        <w:pStyle w:val="ListParagraph"/>
        <w:widowControl w:val="0"/>
        <w:numPr>
          <w:ilvl w:val="0"/>
          <w:numId w:val="39"/>
        </w:numPr>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Decreto Ejecutivo N°949, mediante el cual se otorga el indulto presidencial a las personas privadas de la libertad que padezcan una de 10 patologías médicas; entre ellas enfermedades catastróficas, terminales, tuberculosis </w:t>
      </w:r>
      <w:proofErr w:type="spellStart"/>
      <w:r w:rsidRPr="00775AE5">
        <w:rPr>
          <w:rFonts w:ascii="Arial" w:eastAsia="DejaVu Sans" w:hAnsi="Arial" w:cs="Arial"/>
          <w:sz w:val="22"/>
          <w:szCs w:val="22"/>
          <w:lang w:val="es-VE" w:eastAsia="es-EC"/>
        </w:rPr>
        <w:t>multidrogorresistentes</w:t>
      </w:r>
      <w:proofErr w:type="spellEnd"/>
      <w:r w:rsidRPr="00775AE5">
        <w:rPr>
          <w:rFonts w:ascii="Arial" w:eastAsia="DejaVu Sans" w:hAnsi="Arial" w:cs="Arial"/>
          <w:sz w:val="22"/>
          <w:szCs w:val="22"/>
          <w:lang w:val="es-VE" w:eastAsia="es-EC"/>
        </w:rPr>
        <w:t xml:space="preserve"> o coinfección TB-VIH, etc. Más de 230 personas privadas de libertad (PPL) se han beneficiado del Indulto Presidencial durante 2023, como resultado del análisis de la data obtenida en el Censo Penitenciario, que indica las características sociodemográficas de las PPL, de acuerdo con el SNAI</w:t>
      </w:r>
      <w:r w:rsidRPr="00775AE5">
        <w:rPr>
          <w:rStyle w:val="FootnoteReference"/>
          <w:rFonts w:ascii="Arial" w:eastAsia="DejaVu Sans" w:hAnsi="Arial" w:cs="Arial"/>
          <w:sz w:val="22"/>
          <w:szCs w:val="22"/>
          <w:lang w:val="es-VE" w:eastAsia="es-EC"/>
        </w:rPr>
        <w:footnoteReference w:id="37"/>
      </w:r>
      <w:r w:rsidRPr="00775AE5">
        <w:rPr>
          <w:rFonts w:ascii="Arial" w:eastAsia="DejaVu Sans" w:hAnsi="Arial" w:cs="Arial"/>
          <w:sz w:val="22"/>
          <w:szCs w:val="22"/>
          <w:lang w:val="es-VE" w:eastAsia="es-EC"/>
        </w:rPr>
        <w:t>.</w:t>
      </w:r>
    </w:p>
    <w:p w14:paraId="693285E1"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246EC04" w14:textId="77777777" w:rsidR="009E0A9E" w:rsidRPr="00775AE5" w:rsidRDefault="009E0A9E" w:rsidP="009E0A9E">
      <w:pPr>
        <w:widowControl w:val="0"/>
        <w:suppressAutoHyphens/>
        <w:spacing w:line="276" w:lineRule="auto"/>
        <w:jc w:val="both"/>
        <w:rPr>
          <w:rFonts w:ascii="Arial" w:eastAsia="DejaVu Sans" w:hAnsi="Arial" w:cs="Arial"/>
          <w:b/>
          <w:sz w:val="22"/>
          <w:szCs w:val="22"/>
          <w:lang w:val="es-VE" w:eastAsia="es-EC"/>
        </w:rPr>
      </w:pPr>
      <w:r w:rsidRPr="00775AE5">
        <w:rPr>
          <w:rFonts w:ascii="Arial" w:eastAsia="DejaVu Sans" w:hAnsi="Arial" w:cs="Arial"/>
          <w:sz w:val="22"/>
          <w:szCs w:val="22"/>
          <w:lang w:val="es-VE" w:eastAsia="es-EC"/>
        </w:rPr>
        <w:t xml:space="preserve">1.3.2 </w:t>
      </w:r>
      <w:r w:rsidRPr="00775AE5">
        <w:rPr>
          <w:rFonts w:ascii="Arial" w:eastAsia="DejaVu Sans" w:hAnsi="Arial" w:cs="Arial"/>
          <w:b/>
          <w:sz w:val="22"/>
          <w:szCs w:val="22"/>
          <w:lang w:val="es-VE" w:eastAsia="es-EC"/>
        </w:rPr>
        <w:t>Declaratorias de Estado de Excepción</w:t>
      </w:r>
    </w:p>
    <w:p w14:paraId="05D94925" w14:textId="77777777" w:rsidR="009E0A9E" w:rsidRPr="00775AE5" w:rsidRDefault="009E0A9E" w:rsidP="009E0A9E">
      <w:pPr>
        <w:widowControl w:val="0"/>
        <w:suppressAutoHyphens/>
        <w:spacing w:line="276" w:lineRule="auto"/>
        <w:jc w:val="both"/>
        <w:rPr>
          <w:rFonts w:ascii="Arial" w:eastAsia="DejaVu Sans" w:hAnsi="Arial" w:cs="Arial"/>
          <w:b/>
          <w:sz w:val="22"/>
          <w:szCs w:val="22"/>
          <w:lang w:val="es-VE" w:eastAsia="es-EC"/>
        </w:rPr>
      </w:pPr>
    </w:p>
    <w:p w14:paraId="7BD7D54C"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Es importante mencionar que desde el año 2006 se han emitido varios decretos ejecutivos y resoluciones, que han declarado en emergencia y/o estado de excepción el sistema de rehabilitación social, con la finalidad de atender las problemáticas como el hacinamiento, los cuales se detallan a continuación:</w:t>
      </w:r>
    </w:p>
    <w:p w14:paraId="6FFC2C43"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p>
    <w:p w14:paraId="383AECC5"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Tabla 7</w:t>
      </w:r>
    </w:p>
    <w:p w14:paraId="479A00BB" w14:textId="77777777" w:rsidR="009E0A9E" w:rsidRPr="00775AE5" w:rsidRDefault="009E0A9E" w:rsidP="009E0A9E">
      <w:pPr>
        <w:spacing w:line="276" w:lineRule="auto"/>
        <w:ind w:right="141"/>
        <w:jc w:val="both"/>
        <w:rPr>
          <w:rFonts w:ascii="Arial" w:eastAsia="DejaVu Sans" w:hAnsi="Arial" w:cs="Arial"/>
          <w:i/>
          <w:sz w:val="22"/>
          <w:szCs w:val="22"/>
          <w:lang w:val="es-VE" w:eastAsia="es-EC"/>
        </w:rPr>
      </w:pPr>
      <w:r w:rsidRPr="00775AE5">
        <w:rPr>
          <w:rFonts w:ascii="Arial" w:eastAsia="DejaVu Sans" w:hAnsi="Arial" w:cs="Arial"/>
          <w:i/>
          <w:sz w:val="22"/>
          <w:szCs w:val="22"/>
          <w:lang w:val="es-VE" w:eastAsia="es-EC"/>
        </w:rPr>
        <w:t xml:space="preserve">Estados de excepción de injerencia en el Sistema Nacional de Rehabilitación Social </w:t>
      </w:r>
    </w:p>
    <w:tbl>
      <w:tblPr>
        <w:tblStyle w:val="TableGrid"/>
        <w:tblW w:w="9060" w:type="dxa"/>
        <w:tblLook w:val="04A0" w:firstRow="1" w:lastRow="0" w:firstColumn="1" w:lastColumn="0" w:noHBand="0" w:noVBand="1"/>
      </w:tblPr>
      <w:tblGrid>
        <w:gridCol w:w="1240"/>
        <w:gridCol w:w="1960"/>
        <w:gridCol w:w="1700"/>
        <w:gridCol w:w="4160"/>
      </w:tblGrid>
      <w:tr w:rsidR="009E0A9E" w:rsidRPr="00775AE5" w14:paraId="1BEBF35C" w14:textId="77777777" w:rsidTr="00525437">
        <w:trPr>
          <w:trHeight w:val="408"/>
        </w:trPr>
        <w:tc>
          <w:tcPr>
            <w:tcW w:w="1240" w:type="dxa"/>
            <w:hideMark/>
          </w:tcPr>
          <w:p w14:paraId="7A1AE47D" w14:textId="77777777" w:rsidR="009E0A9E" w:rsidRPr="00775AE5" w:rsidRDefault="009E0A9E" w:rsidP="00525437">
            <w:pPr>
              <w:jc w:val="center"/>
              <w:rPr>
                <w:rFonts w:ascii="Arial" w:hAnsi="Arial" w:cs="Arial"/>
                <w:b/>
                <w:bCs/>
                <w:sz w:val="22"/>
                <w:szCs w:val="22"/>
                <w:lang w:val="en-US" w:eastAsia="en-US"/>
              </w:rPr>
            </w:pPr>
            <w:r w:rsidRPr="00775AE5">
              <w:rPr>
                <w:rFonts w:ascii="Arial" w:hAnsi="Arial" w:cs="Arial"/>
                <w:b/>
                <w:bCs/>
                <w:sz w:val="22"/>
                <w:szCs w:val="22"/>
              </w:rPr>
              <w:t>Número de decreto</w:t>
            </w:r>
          </w:p>
        </w:tc>
        <w:tc>
          <w:tcPr>
            <w:tcW w:w="1960" w:type="dxa"/>
            <w:hideMark/>
          </w:tcPr>
          <w:p w14:paraId="74BC9873" w14:textId="77777777" w:rsidR="009E0A9E" w:rsidRPr="00775AE5" w:rsidRDefault="009E0A9E" w:rsidP="00525437">
            <w:pPr>
              <w:jc w:val="center"/>
              <w:rPr>
                <w:rFonts w:ascii="Arial" w:hAnsi="Arial" w:cs="Arial"/>
                <w:b/>
                <w:bCs/>
                <w:sz w:val="22"/>
                <w:szCs w:val="22"/>
              </w:rPr>
            </w:pPr>
            <w:r w:rsidRPr="00775AE5">
              <w:rPr>
                <w:rFonts w:ascii="Arial" w:hAnsi="Arial" w:cs="Arial"/>
                <w:b/>
                <w:bCs/>
                <w:sz w:val="22"/>
                <w:szCs w:val="22"/>
              </w:rPr>
              <w:t>Año</w:t>
            </w:r>
          </w:p>
        </w:tc>
        <w:tc>
          <w:tcPr>
            <w:tcW w:w="1700" w:type="dxa"/>
            <w:hideMark/>
          </w:tcPr>
          <w:p w14:paraId="02317C87" w14:textId="77777777" w:rsidR="009E0A9E" w:rsidRPr="00775AE5" w:rsidRDefault="009E0A9E" w:rsidP="00525437">
            <w:pPr>
              <w:jc w:val="center"/>
              <w:rPr>
                <w:rFonts w:ascii="Arial" w:hAnsi="Arial" w:cs="Arial"/>
                <w:b/>
                <w:bCs/>
                <w:sz w:val="22"/>
                <w:szCs w:val="22"/>
              </w:rPr>
            </w:pPr>
            <w:r w:rsidRPr="00775AE5">
              <w:rPr>
                <w:rFonts w:ascii="Arial" w:hAnsi="Arial" w:cs="Arial"/>
                <w:b/>
                <w:bCs/>
                <w:sz w:val="22"/>
                <w:szCs w:val="22"/>
              </w:rPr>
              <w:t>Tipo</w:t>
            </w:r>
          </w:p>
        </w:tc>
        <w:tc>
          <w:tcPr>
            <w:tcW w:w="4160" w:type="dxa"/>
            <w:hideMark/>
          </w:tcPr>
          <w:p w14:paraId="3F82E730" w14:textId="77777777" w:rsidR="009E0A9E" w:rsidRPr="00775AE5" w:rsidRDefault="009E0A9E" w:rsidP="00525437">
            <w:pPr>
              <w:jc w:val="center"/>
              <w:rPr>
                <w:rFonts w:ascii="Arial" w:hAnsi="Arial" w:cs="Arial"/>
                <w:b/>
                <w:bCs/>
                <w:sz w:val="22"/>
                <w:szCs w:val="22"/>
              </w:rPr>
            </w:pPr>
            <w:r w:rsidRPr="00775AE5">
              <w:rPr>
                <w:rFonts w:ascii="Arial" w:hAnsi="Arial" w:cs="Arial"/>
                <w:b/>
                <w:bCs/>
                <w:sz w:val="22"/>
                <w:szCs w:val="22"/>
              </w:rPr>
              <w:t>Motivo</w:t>
            </w:r>
          </w:p>
        </w:tc>
      </w:tr>
      <w:tr w:rsidR="009E0A9E" w:rsidRPr="00775AE5" w14:paraId="563B2DAA" w14:textId="77777777" w:rsidTr="00525437">
        <w:trPr>
          <w:trHeight w:val="408"/>
        </w:trPr>
        <w:tc>
          <w:tcPr>
            <w:tcW w:w="1240" w:type="dxa"/>
            <w:hideMark/>
          </w:tcPr>
          <w:p w14:paraId="45E3CF83"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1330-A</w:t>
            </w:r>
          </w:p>
        </w:tc>
        <w:tc>
          <w:tcPr>
            <w:tcW w:w="1960" w:type="dxa"/>
            <w:hideMark/>
          </w:tcPr>
          <w:p w14:paraId="4F9CAC2E"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7/4/2006</w:t>
            </w:r>
          </w:p>
        </w:tc>
        <w:tc>
          <w:tcPr>
            <w:tcW w:w="1700" w:type="dxa"/>
            <w:hideMark/>
          </w:tcPr>
          <w:p w14:paraId="48864783" w14:textId="77777777" w:rsidR="009E0A9E" w:rsidRPr="00775AE5" w:rsidRDefault="009E0A9E" w:rsidP="00525437">
            <w:pPr>
              <w:rPr>
                <w:rFonts w:ascii="Arial" w:hAnsi="Arial" w:cs="Arial"/>
                <w:sz w:val="22"/>
                <w:szCs w:val="22"/>
              </w:rPr>
            </w:pPr>
            <w:r w:rsidRPr="00775AE5">
              <w:rPr>
                <w:rFonts w:ascii="Arial" w:hAnsi="Arial" w:cs="Arial"/>
                <w:sz w:val="22"/>
                <w:szCs w:val="22"/>
              </w:rPr>
              <w:t>Declaratoria de Emergencia</w:t>
            </w:r>
          </w:p>
        </w:tc>
        <w:tc>
          <w:tcPr>
            <w:tcW w:w="4160" w:type="dxa"/>
            <w:hideMark/>
          </w:tcPr>
          <w:p w14:paraId="62724E85" w14:textId="77777777" w:rsidR="009E0A9E" w:rsidRPr="00775AE5" w:rsidRDefault="009E0A9E" w:rsidP="00525437">
            <w:pPr>
              <w:rPr>
                <w:rFonts w:ascii="Arial" w:hAnsi="Arial" w:cs="Arial"/>
                <w:sz w:val="22"/>
                <w:szCs w:val="22"/>
              </w:rPr>
            </w:pPr>
            <w:r w:rsidRPr="00775AE5">
              <w:rPr>
                <w:rFonts w:ascii="Arial" w:hAnsi="Arial" w:cs="Arial"/>
                <w:sz w:val="22"/>
                <w:szCs w:val="22"/>
              </w:rPr>
              <w:t>Condiciones de precariedad, colapso condiciones de habitabilidad, hacinamiento</w:t>
            </w:r>
          </w:p>
        </w:tc>
      </w:tr>
      <w:tr w:rsidR="009E0A9E" w:rsidRPr="00775AE5" w14:paraId="4E1C59AB" w14:textId="77777777" w:rsidTr="00525437">
        <w:trPr>
          <w:trHeight w:val="408"/>
        </w:trPr>
        <w:tc>
          <w:tcPr>
            <w:tcW w:w="1240" w:type="dxa"/>
            <w:hideMark/>
          </w:tcPr>
          <w:p w14:paraId="3753BB6F"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1500</w:t>
            </w:r>
          </w:p>
        </w:tc>
        <w:tc>
          <w:tcPr>
            <w:tcW w:w="1960" w:type="dxa"/>
            <w:hideMark/>
          </w:tcPr>
          <w:p w14:paraId="224A61A6"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7/6/2006</w:t>
            </w:r>
          </w:p>
        </w:tc>
        <w:tc>
          <w:tcPr>
            <w:tcW w:w="1700" w:type="dxa"/>
            <w:hideMark/>
          </w:tcPr>
          <w:p w14:paraId="1A90EC5B" w14:textId="77777777" w:rsidR="009E0A9E" w:rsidRPr="00775AE5" w:rsidRDefault="009E0A9E" w:rsidP="00525437">
            <w:pPr>
              <w:rPr>
                <w:rFonts w:ascii="Arial" w:hAnsi="Arial" w:cs="Arial"/>
                <w:sz w:val="22"/>
                <w:szCs w:val="22"/>
              </w:rPr>
            </w:pPr>
            <w:r w:rsidRPr="00775AE5">
              <w:rPr>
                <w:rFonts w:ascii="Arial" w:hAnsi="Arial" w:cs="Arial"/>
                <w:sz w:val="22"/>
                <w:szCs w:val="22"/>
              </w:rPr>
              <w:t>Renovación estado emergencia por 60 días</w:t>
            </w:r>
          </w:p>
        </w:tc>
        <w:tc>
          <w:tcPr>
            <w:tcW w:w="4160" w:type="dxa"/>
            <w:hideMark/>
          </w:tcPr>
          <w:p w14:paraId="44C82ABC" w14:textId="77777777" w:rsidR="009E0A9E" w:rsidRPr="00775AE5" w:rsidRDefault="009E0A9E" w:rsidP="00525437">
            <w:pPr>
              <w:rPr>
                <w:rFonts w:ascii="Arial" w:hAnsi="Arial" w:cs="Arial"/>
                <w:sz w:val="22"/>
                <w:szCs w:val="22"/>
              </w:rPr>
            </w:pPr>
            <w:r w:rsidRPr="00775AE5">
              <w:rPr>
                <w:rFonts w:ascii="Arial" w:hAnsi="Arial" w:cs="Arial"/>
                <w:sz w:val="22"/>
                <w:szCs w:val="22"/>
              </w:rPr>
              <w:t> </w:t>
            </w:r>
          </w:p>
        </w:tc>
      </w:tr>
      <w:tr w:rsidR="009E0A9E" w:rsidRPr="00775AE5" w14:paraId="0AC79985" w14:textId="77777777" w:rsidTr="00525437">
        <w:trPr>
          <w:trHeight w:val="408"/>
        </w:trPr>
        <w:tc>
          <w:tcPr>
            <w:tcW w:w="1240" w:type="dxa"/>
            <w:hideMark/>
          </w:tcPr>
          <w:p w14:paraId="30A8DA20"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1711</w:t>
            </w:r>
          </w:p>
        </w:tc>
        <w:tc>
          <w:tcPr>
            <w:tcW w:w="1960" w:type="dxa"/>
            <w:hideMark/>
          </w:tcPr>
          <w:p w14:paraId="58C4D1C5"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3/8/2006</w:t>
            </w:r>
          </w:p>
        </w:tc>
        <w:tc>
          <w:tcPr>
            <w:tcW w:w="1700" w:type="dxa"/>
            <w:hideMark/>
          </w:tcPr>
          <w:p w14:paraId="11B04BBC" w14:textId="77777777" w:rsidR="009E0A9E" w:rsidRPr="00775AE5" w:rsidRDefault="009E0A9E" w:rsidP="00525437">
            <w:pPr>
              <w:rPr>
                <w:rFonts w:ascii="Arial" w:hAnsi="Arial" w:cs="Arial"/>
                <w:sz w:val="22"/>
                <w:szCs w:val="22"/>
              </w:rPr>
            </w:pPr>
            <w:r w:rsidRPr="00775AE5">
              <w:rPr>
                <w:rFonts w:ascii="Arial" w:hAnsi="Arial" w:cs="Arial"/>
                <w:sz w:val="22"/>
                <w:szCs w:val="22"/>
              </w:rPr>
              <w:t>Renovación estado emergencia por 60 días</w:t>
            </w:r>
          </w:p>
        </w:tc>
        <w:tc>
          <w:tcPr>
            <w:tcW w:w="4160" w:type="dxa"/>
            <w:hideMark/>
          </w:tcPr>
          <w:p w14:paraId="3356249E" w14:textId="77777777" w:rsidR="009E0A9E" w:rsidRPr="00775AE5" w:rsidRDefault="009E0A9E" w:rsidP="00525437">
            <w:pPr>
              <w:rPr>
                <w:rFonts w:ascii="Arial" w:hAnsi="Arial" w:cs="Arial"/>
                <w:sz w:val="22"/>
                <w:szCs w:val="22"/>
              </w:rPr>
            </w:pPr>
            <w:r w:rsidRPr="00775AE5">
              <w:rPr>
                <w:rFonts w:ascii="Arial" w:hAnsi="Arial" w:cs="Arial"/>
                <w:sz w:val="22"/>
                <w:szCs w:val="22"/>
              </w:rPr>
              <w:t> </w:t>
            </w:r>
          </w:p>
        </w:tc>
      </w:tr>
      <w:tr w:rsidR="009E0A9E" w:rsidRPr="00775AE5" w14:paraId="6D6D75A1" w14:textId="77777777" w:rsidTr="00525437">
        <w:trPr>
          <w:trHeight w:val="816"/>
        </w:trPr>
        <w:tc>
          <w:tcPr>
            <w:tcW w:w="1240" w:type="dxa"/>
            <w:hideMark/>
          </w:tcPr>
          <w:p w14:paraId="265927CF"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441</w:t>
            </w:r>
          </w:p>
        </w:tc>
        <w:tc>
          <w:tcPr>
            <w:tcW w:w="1960" w:type="dxa"/>
            <w:hideMark/>
          </w:tcPr>
          <w:p w14:paraId="4558F548"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26/6/2007</w:t>
            </w:r>
          </w:p>
        </w:tc>
        <w:tc>
          <w:tcPr>
            <w:tcW w:w="1700" w:type="dxa"/>
            <w:hideMark/>
          </w:tcPr>
          <w:p w14:paraId="00C6B722" w14:textId="77777777" w:rsidR="009E0A9E" w:rsidRPr="00775AE5" w:rsidRDefault="009E0A9E" w:rsidP="00525437">
            <w:pPr>
              <w:rPr>
                <w:rFonts w:ascii="Arial" w:hAnsi="Arial" w:cs="Arial"/>
                <w:sz w:val="22"/>
                <w:szCs w:val="22"/>
              </w:rPr>
            </w:pPr>
            <w:r w:rsidRPr="00775AE5">
              <w:rPr>
                <w:rFonts w:ascii="Arial" w:hAnsi="Arial" w:cs="Arial"/>
                <w:sz w:val="22"/>
                <w:szCs w:val="22"/>
              </w:rPr>
              <w:t>Estado de emergencia por grave conmoción del sistema penitenciario</w:t>
            </w:r>
          </w:p>
        </w:tc>
        <w:tc>
          <w:tcPr>
            <w:tcW w:w="4160" w:type="dxa"/>
            <w:hideMark/>
          </w:tcPr>
          <w:p w14:paraId="626C3D03" w14:textId="77777777" w:rsidR="009E0A9E" w:rsidRPr="00775AE5" w:rsidRDefault="009E0A9E" w:rsidP="00525437">
            <w:pPr>
              <w:rPr>
                <w:rFonts w:ascii="Arial" w:hAnsi="Arial" w:cs="Arial"/>
                <w:sz w:val="22"/>
                <w:szCs w:val="22"/>
              </w:rPr>
            </w:pPr>
            <w:r w:rsidRPr="00775AE5">
              <w:rPr>
                <w:rFonts w:ascii="Arial" w:hAnsi="Arial" w:cs="Arial"/>
                <w:sz w:val="22"/>
                <w:szCs w:val="22"/>
              </w:rPr>
              <w:t>Crisis penitenciaria, hacinamiento, PPL sin sentencia, deterioro CRS, conmoción interna</w:t>
            </w:r>
          </w:p>
        </w:tc>
      </w:tr>
      <w:tr w:rsidR="009E0A9E" w:rsidRPr="00775AE5" w14:paraId="7BEAA61D" w14:textId="77777777" w:rsidTr="00525437">
        <w:trPr>
          <w:trHeight w:val="408"/>
        </w:trPr>
        <w:tc>
          <w:tcPr>
            <w:tcW w:w="1240" w:type="dxa"/>
            <w:hideMark/>
          </w:tcPr>
          <w:p w14:paraId="1B46891E"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585-A</w:t>
            </w:r>
          </w:p>
        </w:tc>
        <w:tc>
          <w:tcPr>
            <w:tcW w:w="1960" w:type="dxa"/>
            <w:hideMark/>
          </w:tcPr>
          <w:p w14:paraId="7C06FF77"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24/8/2007</w:t>
            </w:r>
          </w:p>
        </w:tc>
        <w:tc>
          <w:tcPr>
            <w:tcW w:w="1700" w:type="dxa"/>
            <w:hideMark/>
          </w:tcPr>
          <w:p w14:paraId="33836195" w14:textId="77777777" w:rsidR="009E0A9E" w:rsidRPr="00775AE5" w:rsidRDefault="009E0A9E" w:rsidP="00525437">
            <w:pPr>
              <w:rPr>
                <w:rFonts w:ascii="Arial" w:hAnsi="Arial" w:cs="Arial"/>
                <w:sz w:val="22"/>
                <w:szCs w:val="22"/>
              </w:rPr>
            </w:pPr>
            <w:r w:rsidRPr="00775AE5">
              <w:rPr>
                <w:rFonts w:ascii="Arial" w:hAnsi="Arial" w:cs="Arial"/>
                <w:sz w:val="22"/>
                <w:szCs w:val="22"/>
              </w:rPr>
              <w:t>Renovación estado emergencia por 60 días</w:t>
            </w:r>
          </w:p>
        </w:tc>
        <w:tc>
          <w:tcPr>
            <w:tcW w:w="4160" w:type="dxa"/>
            <w:hideMark/>
          </w:tcPr>
          <w:p w14:paraId="52435397" w14:textId="77777777" w:rsidR="009E0A9E" w:rsidRPr="00775AE5" w:rsidRDefault="009E0A9E" w:rsidP="00525437">
            <w:pPr>
              <w:rPr>
                <w:rFonts w:ascii="Arial" w:hAnsi="Arial" w:cs="Arial"/>
                <w:sz w:val="22"/>
                <w:szCs w:val="22"/>
              </w:rPr>
            </w:pPr>
            <w:r w:rsidRPr="00775AE5">
              <w:rPr>
                <w:rFonts w:ascii="Arial" w:hAnsi="Arial" w:cs="Arial"/>
                <w:sz w:val="22"/>
                <w:szCs w:val="22"/>
              </w:rPr>
              <w:t> </w:t>
            </w:r>
          </w:p>
        </w:tc>
      </w:tr>
      <w:tr w:rsidR="009E0A9E" w:rsidRPr="00775AE5" w14:paraId="1E72845F" w14:textId="77777777" w:rsidTr="00525437">
        <w:trPr>
          <w:trHeight w:val="816"/>
        </w:trPr>
        <w:tc>
          <w:tcPr>
            <w:tcW w:w="1240" w:type="dxa"/>
            <w:hideMark/>
          </w:tcPr>
          <w:p w14:paraId="73F393B4"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807</w:t>
            </w:r>
          </w:p>
        </w:tc>
        <w:tc>
          <w:tcPr>
            <w:tcW w:w="1960" w:type="dxa"/>
            <w:hideMark/>
          </w:tcPr>
          <w:p w14:paraId="62765341"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19/12/2007</w:t>
            </w:r>
          </w:p>
        </w:tc>
        <w:tc>
          <w:tcPr>
            <w:tcW w:w="1700" w:type="dxa"/>
            <w:hideMark/>
          </w:tcPr>
          <w:p w14:paraId="7064CFFC" w14:textId="77777777" w:rsidR="009E0A9E" w:rsidRPr="00775AE5" w:rsidRDefault="009E0A9E" w:rsidP="00525437">
            <w:pPr>
              <w:rPr>
                <w:rFonts w:ascii="Arial" w:hAnsi="Arial" w:cs="Arial"/>
                <w:sz w:val="22"/>
                <w:szCs w:val="22"/>
              </w:rPr>
            </w:pPr>
            <w:r w:rsidRPr="00775AE5">
              <w:rPr>
                <w:rFonts w:ascii="Arial" w:hAnsi="Arial" w:cs="Arial"/>
                <w:sz w:val="22"/>
                <w:szCs w:val="22"/>
              </w:rPr>
              <w:t>Estado de emergencia por grave conmoción del sistema penitenciario</w:t>
            </w:r>
          </w:p>
        </w:tc>
        <w:tc>
          <w:tcPr>
            <w:tcW w:w="4160" w:type="dxa"/>
            <w:hideMark/>
          </w:tcPr>
          <w:p w14:paraId="668BDB8C" w14:textId="77777777" w:rsidR="009E0A9E" w:rsidRPr="00775AE5" w:rsidRDefault="009E0A9E" w:rsidP="00525437">
            <w:pPr>
              <w:rPr>
                <w:rFonts w:ascii="Arial" w:hAnsi="Arial" w:cs="Arial"/>
                <w:sz w:val="22"/>
                <w:szCs w:val="22"/>
              </w:rPr>
            </w:pPr>
            <w:r w:rsidRPr="00775AE5">
              <w:rPr>
                <w:rFonts w:ascii="Arial" w:hAnsi="Arial" w:cs="Arial"/>
                <w:sz w:val="22"/>
                <w:szCs w:val="22"/>
              </w:rPr>
              <w:t>Condiciones de vida infrahumana prevalecen. Construcción de centros de rehabilitación social (Unidad Transitoria de Gestión Emergente para la Construcción y Puesta en Funcionamiento de los Centros de Rehabilitación Social)</w:t>
            </w:r>
          </w:p>
        </w:tc>
      </w:tr>
      <w:tr w:rsidR="009E0A9E" w:rsidRPr="00775AE5" w14:paraId="134DA901" w14:textId="77777777" w:rsidTr="00525437">
        <w:trPr>
          <w:trHeight w:val="408"/>
        </w:trPr>
        <w:tc>
          <w:tcPr>
            <w:tcW w:w="1240" w:type="dxa"/>
            <w:hideMark/>
          </w:tcPr>
          <w:p w14:paraId="2A4CE351"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922</w:t>
            </w:r>
          </w:p>
        </w:tc>
        <w:tc>
          <w:tcPr>
            <w:tcW w:w="1960" w:type="dxa"/>
            <w:hideMark/>
          </w:tcPr>
          <w:p w14:paraId="62B953BE"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20/2/2008</w:t>
            </w:r>
          </w:p>
        </w:tc>
        <w:tc>
          <w:tcPr>
            <w:tcW w:w="1700" w:type="dxa"/>
            <w:hideMark/>
          </w:tcPr>
          <w:p w14:paraId="7ACE9E80" w14:textId="77777777" w:rsidR="009E0A9E" w:rsidRPr="00775AE5" w:rsidRDefault="009E0A9E" w:rsidP="00525437">
            <w:pPr>
              <w:rPr>
                <w:rFonts w:ascii="Arial" w:hAnsi="Arial" w:cs="Arial"/>
                <w:sz w:val="22"/>
                <w:szCs w:val="22"/>
              </w:rPr>
            </w:pPr>
            <w:r w:rsidRPr="00775AE5">
              <w:rPr>
                <w:rFonts w:ascii="Arial" w:hAnsi="Arial" w:cs="Arial"/>
                <w:sz w:val="22"/>
                <w:szCs w:val="22"/>
              </w:rPr>
              <w:t>Renovación estado emergencia</w:t>
            </w:r>
          </w:p>
        </w:tc>
        <w:tc>
          <w:tcPr>
            <w:tcW w:w="4160" w:type="dxa"/>
            <w:hideMark/>
          </w:tcPr>
          <w:p w14:paraId="63A385B7" w14:textId="77777777" w:rsidR="009E0A9E" w:rsidRPr="00775AE5" w:rsidRDefault="009E0A9E" w:rsidP="00525437">
            <w:pPr>
              <w:rPr>
                <w:rFonts w:ascii="Arial" w:hAnsi="Arial" w:cs="Arial"/>
                <w:sz w:val="22"/>
                <w:szCs w:val="22"/>
              </w:rPr>
            </w:pPr>
            <w:r w:rsidRPr="00775AE5">
              <w:rPr>
                <w:rFonts w:ascii="Arial" w:hAnsi="Arial" w:cs="Arial"/>
                <w:sz w:val="22"/>
                <w:szCs w:val="22"/>
              </w:rPr>
              <w:t> </w:t>
            </w:r>
          </w:p>
        </w:tc>
      </w:tr>
      <w:tr w:rsidR="009E0A9E" w:rsidRPr="00775AE5" w14:paraId="2152F1EA" w14:textId="77777777" w:rsidTr="00525437">
        <w:trPr>
          <w:trHeight w:val="408"/>
        </w:trPr>
        <w:tc>
          <w:tcPr>
            <w:tcW w:w="1240" w:type="dxa"/>
            <w:hideMark/>
          </w:tcPr>
          <w:p w14:paraId="255957F1"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1032</w:t>
            </w:r>
          </w:p>
        </w:tc>
        <w:tc>
          <w:tcPr>
            <w:tcW w:w="1960" w:type="dxa"/>
            <w:hideMark/>
          </w:tcPr>
          <w:p w14:paraId="6F8F8473"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18/4/2008</w:t>
            </w:r>
          </w:p>
        </w:tc>
        <w:tc>
          <w:tcPr>
            <w:tcW w:w="1700" w:type="dxa"/>
            <w:hideMark/>
          </w:tcPr>
          <w:p w14:paraId="6FD9300D" w14:textId="77777777" w:rsidR="009E0A9E" w:rsidRPr="00775AE5" w:rsidRDefault="009E0A9E" w:rsidP="00525437">
            <w:pPr>
              <w:rPr>
                <w:rFonts w:ascii="Arial" w:hAnsi="Arial" w:cs="Arial"/>
                <w:sz w:val="22"/>
                <w:szCs w:val="22"/>
              </w:rPr>
            </w:pPr>
            <w:r w:rsidRPr="00775AE5">
              <w:rPr>
                <w:rFonts w:ascii="Arial" w:hAnsi="Arial" w:cs="Arial"/>
                <w:sz w:val="22"/>
                <w:szCs w:val="22"/>
              </w:rPr>
              <w:t>Renovación estado emergencia</w:t>
            </w:r>
          </w:p>
        </w:tc>
        <w:tc>
          <w:tcPr>
            <w:tcW w:w="4160" w:type="dxa"/>
            <w:hideMark/>
          </w:tcPr>
          <w:p w14:paraId="7A1561B9" w14:textId="77777777" w:rsidR="009E0A9E" w:rsidRPr="00775AE5" w:rsidRDefault="009E0A9E" w:rsidP="00525437">
            <w:pPr>
              <w:rPr>
                <w:rFonts w:ascii="Arial" w:hAnsi="Arial" w:cs="Arial"/>
                <w:sz w:val="22"/>
                <w:szCs w:val="22"/>
              </w:rPr>
            </w:pPr>
            <w:r w:rsidRPr="00775AE5">
              <w:rPr>
                <w:rFonts w:ascii="Arial" w:hAnsi="Arial" w:cs="Arial"/>
                <w:sz w:val="22"/>
                <w:szCs w:val="22"/>
              </w:rPr>
              <w:t> </w:t>
            </w:r>
          </w:p>
        </w:tc>
      </w:tr>
      <w:tr w:rsidR="009E0A9E" w:rsidRPr="00775AE5" w14:paraId="57265931" w14:textId="77777777" w:rsidTr="00525437">
        <w:trPr>
          <w:trHeight w:val="408"/>
        </w:trPr>
        <w:tc>
          <w:tcPr>
            <w:tcW w:w="1240" w:type="dxa"/>
            <w:hideMark/>
          </w:tcPr>
          <w:p w14:paraId="061773A8"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1042</w:t>
            </w:r>
          </w:p>
        </w:tc>
        <w:tc>
          <w:tcPr>
            <w:tcW w:w="1960" w:type="dxa"/>
            <w:hideMark/>
          </w:tcPr>
          <w:p w14:paraId="4CBC98BF"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17/6/2008</w:t>
            </w:r>
          </w:p>
        </w:tc>
        <w:tc>
          <w:tcPr>
            <w:tcW w:w="1700" w:type="dxa"/>
            <w:hideMark/>
          </w:tcPr>
          <w:p w14:paraId="7A3CB15F" w14:textId="77777777" w:rsidR="009E0A9E" w:rsidRPr="00775AE5" w:rsidRDefault="009E0A9E" w:rsidP="00525437">
            <w:pPr>
              <w:rPr>
                <w:rFonts w:ascii="Arial" w:hAnsi="Arial" w:cs="Arial"/>
                <w:sz w:val="22"/>
                <w:szCs w:val="22"/>
              </w:rPr>
            </w:pPr>
            <w:r w:rsidRPr="00775AE5">
              <w:rPr>
                <w:rFonts w:ascii="Arial" w:hAnsi="Arial" w:cs="Arial"/>
                <w:sz w:val="22"/>
                <w:szCs w:val="22"/>
              </w:rPr>
              <w:t>Renovación estado emergencia</w:t>
            </w:r>
          </w:p>
        </w:tc>
        <w:tc>
          <w:tcPr>
            <w:tcW w:w="4160" w:type="dxa"/>
            <w:hideMark/>
          </w:tcPr>
          <w:p w14:paraId="056D8F7D" w14:textId="77777777" w:rsidR="009E0A9E" w:rsidRPr="00775AE5" w:rsidRDefault="009E0A9E" w:rsidP="00525437">
            <w:pPr>
              <w:rPr>
                <w:rFonts w:ascii="Arial" w:hAnsi="Arial" w:cs="Arial"/>
                <w:sz w:val="22"/>
                <w:szCs w:val="22"/>
              </w:rPr>
            </w:pPr>
            <w:r w:rsidRPr="00775AE5">
              <w:rPr>
                <w:rFonts w:ascii="Arial" w:hAnsi="Arial" w:cs="Arial"/>
                <w:sz w:val="22"/>
                <w:szCs w:val="22"/>
              </w:rPr>
              <w:t> </w:t>
            </w:r>
          </w:p>
        </w:tc>
      </w:tr>
      <w:tr w:rsidR="009E0A9E" w:rsidRPr="00775AE5" w14:paraId="070160E8" w14:textId="77777777" w:rsidTr="00525437">
        <w:trPr>
          <w:trHeight w:val="612"/>
        </w:trPr>
        <w:tc>
          <w:tcPr>
            <w:tcW w:w="1240" w:type="dxa"/>
            <w:hideMark/>
          </w:tcPr>
          <w:p w14:paraId="7538A223"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741</w:t>
            </w:r>
          </w:p>
        </w:tc>
        <w:tc>
          <w:tcPr>
            <w:tcW w:w="1960" w:type="dxa"/>
            <w:hideMark/>
          </w:tcPr>
          <w:p w14:paraId="18B103CA"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16/5/2019</w:t>
            </w:r>
          </w:p>
        </w:tc>
        <w:tc>
          <w:tcPr>
            <w:tcW w:w="1700" w:type="dxa"/>
            <w:hideMark/>
          </w:tcPr>
          <w:p w14:paraId="59EB2596" w14:textId="77777777" w:rsidR="009E0A9E" w:rsidRPr="00775AE5" w:rsidRDefault="009E0A9E" w:rsidP="00525437">
            <w:pPr>
              <w:rPr>
                <w:rFonts w:ascii="Arial" w:hAnsi="Arial" w:cs="Arial"/>
                <w:sz w:val="22"/>
                <w:szCs w:val="22"/>
              </w:rPr>
            </w:pPr>
            <w:r w:rsidRPr="00775AE5">
              <w:rPr>
                <w:rFonts w:ascii="Arial" w:hAnsi="Arial" w:cs="Arial"/>
                <w:sz w:val="22"/>
                <w:szCs w:val="22"/>
              </w:rPr>
              <w:t>Estado de excepción del SNRS por conmoción interna en CRS</w:t>
            </w:r>
          </w:p>
        </w:tc>
        <w:tc>
          <w:tcPr>
            <w:tcW w:w="4160" w:type="dxa"/>
            <w:hideMark/>
          </w:tcPr>
          <w:p w14:paraId="2D0DD717" w14:textId="77777777" w:rsidR="009E0A9E" w:rsidRPr="00775AE5" w:rsidRDefault="009E0A9E" w:rsidP="00525437">
            <w:pPr>
              <w:rPr>
                <w:rFonts w:ascii="Arial" w:hAnsi="Arial" w:cs="Arial"/>
                <w:sz w:val="22"/>
                <w:szCs w:val="22"/>
              </w:rPr>
            </w:pPr>
            <w:r w:rsidRPr="00775AE5">
              <w:rPr>
                <w:rFonts w:ascii="Arial" w:hAnsi="Arial" w:cs="Arial"/>
                <w:sz w:val="22"/>
                <w:szCs w:val="22"/>
              </w:rPr>
              <w:t>Atender las necesidades emergentes de dicho sistema a fin de precautelar los derechos de las personas privadas de libertad como grupo de atención prioritaria.</w:t>
            </w:r>
          </w:p>
        </w:tc>
      </w:tr>
      <w:tr w:rsidR="009E0A9E" w:rsidRPr="00775AE5" w14:paraId="75DF4226" w14:textId="77777777" w:rsidTr="00525437">
        <w:trPr>
          <w:trHeight w:val="288"/>
        </w:trPr>
        <w:tc>
          <w:tcPr>
            <w:tcW w:w="1240" w:type="dxa"/>
            <w:hideMark/>
          </w:tcPr>
          <w:p w14:paraId="5AEF45B3"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754</w:t>
            </w:r>
          </w:p>
        </w:tc>
        <w:tc>
          <w:tcPr>
            <w:tcW w:w="1960" w:type="dxa"/>
            <w:hideMark/>
          </w:tcPr>
          <w:p w14:paraId="2851BE51"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27/5/2019</w:t>
            </w:r>
          </w:p>
        </w:tc>
        <w:tc>
          <w:tcPr>
            <w:tcW w:w="1700" w:type="dxa"/>
            <w:hideMark/>
          </w:tcPr>
          <w:p w14:paraId="62FEFE8B" w14:textId="77777777" w:rsidR="009E0A9E" w:rsidRPr="00775AE5" w:rsidRDefault="009E0A9E" w:rsidP="00525437">
            <w:pPr>
              <w:rPr>
                <w:rFonts w:ascii="Arial" w:hAnsi="Arial" w:cs="Arial"/>
                <w:sz w:val="22"/>
                <w:szCs w:val="22"/>
              </w:rPr>
            </w:pPr>
            <w:r w:rsidRPr="00775AE5">
              <w:rPr>
                <w:rFonts w:ascii="Arial" w:hAnsi="Arial" w:cs="Arial"/>
                <w:sz w:val="22"/>
                <w:szCs w:val="22"/>
              </w:rPr>
              <w:t>Alcance Decreto 741</w:t>
            </w:r>
          </w:p>
        </w:tc>
        <w:tc>
          <w:tcPr>
            <w:tcW w:w="4160" w:type="dxa"/>
            <w:hideMark/>
          </w:tcPr>
          <w:p w14:paraId="6B780185" w14:textId="77777777" w:rsidR="009E0A9E" w:rsidRPr="00775AE5" w:rsidRDefault="009E0A9E" w:rsidP="00525437">
            <w:pPr>
              <w:rPr>
                <w:rFonts w:ascii="Arial" w:hAnsi="Arial" w:cs="Arial"/>
                <w:sz w:val="22"/>
                <w:szCs w:val="22"/>
              </w:rPr>
            </w:pPr>
            <w:r w:rsidRPr="00775AE5">
              <w:rPr>
                <w:rFonts w:ascii="Arial" w:hAnsi="Arial" w:cs="Arial"/>
                <w:sz w:val="22"/>
                <w:szCs w:val="22"/>
              </w:rPr>
              <w:t>Parámetros del estado de excepción</w:t>
            </w:r>
          </w:p>
        </w:tc>
      </w:tr>
      <w:tr w:rsidR="009E0A9E" w:rsidRPr="00775AE5" w14:paraId="488FDEC5" w14:textId="77777777" w:rsidTr="00525437">
        <w:trPr>
          <w:trHeight w:val="408"/>
        </w:trPr>
        <w:tc>
          <w:tcPr>
            <w:tcW w:w="1240" w:type="dxa"/>
            <w:hideMark/>
          </w:tcPr>
          <w:p w14:paraId="10F9AF4F"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823</w:t>
            </w:r>
          </w:p>
        </w:tc>
        <w:tc>
          <w:tcPr>
            <w:tcW w:w="1960" w:type="dxa"/>
            <w:hideMark/>
          </w:tcPr>
          <w:p w14:paraId="55C714C8"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15/7/2019</w:t>
            </w:r>
          </w:p>
        </w:tc>
        <w:tc>
          <w:tcPr>
            <w:tcW w:w="1700" w:type="dxa"/>
            <w:hideMark/>
          </w:tcPr>
          <w:p w14:paraId="51752781" w14:textId="77777777" w:rsidR="009E0A9E" w:rsidRPr="00775AE5" w:rsidRDefault="009E0A9E" w:rsidP="00525437">
            <w:pPr>
              <w:rPr>
                <w:rFonts w:ascii="Arial" w:hAnsi="Arial" w:cs="Arial"/>
                <w:sz w:val="22"/>
                <w:szCs w:val="22"/>
              </w:rPr>
            </w:pPr>
            <w:r w:rsidRPr="00775AE5">
              <w:rPr>
                <w:rFonts w:ascii="Arial" w:hAnsi="Arial" w:cs="Arial"/>
                <w:sz w:val="22"/>
                <w:szCs w:val="22"/>
              </w:rPr>
              <w:t>Renovación estado de excepción</w:t>
            </w:r>
          </w:p>
        </w:tc>
        <w:tc>
          <w:tcPr>
            <w:tcW w:w="4160" w:type="dxa"/>
            <w:hideMark/>
          </w:tcPr>
          <w:p w14:paraId="16795A74" w14:textId="77777777" w:rsidR="009E0A9E" w:rsidRPr="00775AE5" w:rsidRDefault="009E0A9E" w:rsidP="00525437">
            <w:pPr>
              <w:rPr>
                <w:rFonts w:ascii="Arial" w:hAnsi="Arial" w:cs="Arial"/>
                <w:sz w:val="22"/>
                <w:szCs w:val="22"/>
              </w:rPr>
            </w:pPr>
            <w:r w:rsidRPr="00775AE5">
              <w:rPr>
                <w:rFonts w:ascii="Arial" w:hAnsi="Arial" w:cs="Arial"/>
                <w:sz w:val="22"/>
                <w:szCs w:val="22"/>
              </w:rPr>
              <w:t> </w:t>
            </w:r>
          </w:p>
        </w:tc>
      </w:tr>
      <w:tr w:rsidR="009E0A9E" w:rsidRPr="00775AE5" w14:paraId="4FE28C5E" w14:textId="77777777" w:rsidTr="00525437">
        <w:trPr>
          <w:trHeight w:val="1632"/>
        </w:trPr>
        <w:tc>
          <w:tcPr>
            <w:tcW w:w="1240" w:type="dxa"/>
            <w:hideMark/>
          </w:tcPr>
          <w:p w14:paraId="5262021C"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1125</w:t>
            </w:r>
          </w:p>
        </w:tc>
        <w:tc>
          <w:tcPr>
            <w:tcW w:w="1960" w:type="dxa"/>
            <w:hideMark/>
          </w:tcPr>
          <w:p w14:paraId="14F7BE25"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11/8/2020</w:t>
            </w:r>
          </w:p>
        </w:tc>
        <w:tc>
          <w:tcPr>
            <w:tcW w:w="1700" w:type="dxa"/>
            <w:hideMark/>
          </w:tcPr>
          <w:p w14:paraId="7F466056" w14:textId="77777777" w:rsidR="009E0A9E" w:rsidRPr="00775AE5" w:rsidRDefault="009E0A9E" w:rsidP="00525437">
            <w:pPr>
              <w:rPr>
                <w:rFonts w:ascii="Arial" w:hAnsi="Arial" w:cs="Arial"/>
                <w:sz w:val="22"/>
                <w:szCs w:val="22"/>
              </w:rPr>
            </w:pPr>
            <w:r w:rsidRPr="00775AE5">
              <w:rPr>
                <w:rFonts w:ascii="Arial" w:hAnsi="Arial" w:cs="Arial"/>
                <w:sz w:val="22"/>
                <w:szCs w:val="22"/>
              </w:rPr>
              <w:t>Estado de excepción del SNRS por conmoción interna en CRS</w:t>
            </w:r>
          </w:p>
        </w:tc>
        <w:tc>
          <w:tcPr>
            <w:tcW w:w="4160" w:type="dxa"/>
            <w:hideMark/>
          </w:tcPr>
          <w:p w14:paraId="49EACDB6" w14:textId="77777777" w:rsidR="009E0A9E" w:rsidRPr="00775AE5" w:rsidRDefault="009E0A9E" w:rsidP="00525437">
            <w:pPr>
              <w:rPr>
                <w:rFonts w:ascii="Arial" w:hAnsi="Arial" w:cs="Arial"/>
                <w:sz w:val="22"/>
                <w:szCs w:val="22"/>
              </w:rPr>
            </w:pPr>
            <w:r w:rsidRPr="00775AE5">
              <w:rPr>
                <w:rFonts w:ascii="Arial" w:hAnsi="Arial" w:cs="Arial"/>
                <w:sz w:val="22"/>
                <w:szCs w:val="22"/>
              </w:rPr>
              <w:t xml:space="preserve">En atención a circunstancias de violencia al interior de los centros, cabe señalar que sobre este estado de excepción la Corte Constitucional emitió el dictamen 4-20 y posteriormente realizó la acumulación de seguimiento del caso 14-12 AN, la DPE a través del MNPT hasta la actualidad ha venido informando las situaciones identificadas en las visitas a los LPL, el avance de la política pública  </w:t>
            </w:r>
          </w:p>
        </w:tc>
      </w:tr>
      <w:tr w:rsidR="009E0A9E" w:rsidRPr="00775AE5" w14:paraId="62E1938A" w14:textId="77777777" w:rsidTr="00525437">
        <w:trPr>
          <w:trHeight w:val="408"/>
        </w:trPr>
        <w:tc>
          <w:tcPr>
            <w:tcW w:w="1240" w:type="dxa"/>
            <w:hideMark/>
          </w:tcPr>
          <w:p w14:paraId="412FD667"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1169</w:t>
            </w:r>
          </w:p>
        </w:tc>
        <w:tc>
          <w:tcPr>
            <w:tcW w:w="1960" w:type="dxa"/>
            <w:hideMark/>
          </w:tcPr>
          <w:p w14:paraId="6341089B"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10/10/2020</w:t>
            </w:r>
          </w:p>
        </w:tc>
        <w:tc>
          <w:tcPr>
            <w:tcW w:w="1700" w:type="dxa"/>
            <w:hideMark/>
          </w:tcPr>
          <w:p w14:paraId="50F3FE52" w14:textId="77777777" w:rsidR="009E0A9E" w:rsidRPr="00775AE5" w:rsidRDefault="009E0A9E" w:rsidP="00525437">
            <w:pPr>
              <w:rPr>
                <w:rFonts w:ascii="Arial" w:hAnsi="Arial" w:cs="Arial"/>
                <w:sz w:val="22"/>
                <w:szCs w:val="22"/>
              </w:rPr>
            </w:pPr>
            <w:r w:rsidRPr="00775AE5">
              <w:rPr>
                <w:rFonts w:ascii="Arial" w:hAnsi="Arial" w:cs="Arial"/>
                <w:sz w:val="22"/>
                <w:szCs w:val="22"/>
              </w:rPr>
              <w:t>Renovación estado de excepción</w:t>
            </w:r>
          </w:p>
        </w:tc>
        <w:tc>
          <w:tcPr>
            <w:tcW w:w="4160" w:type="dxa"/>
            <w:hideMark/>
          </w:tcPr>
          <w:p w14:paraId="3B706BBA" w14:textId="77777777" w:rsidR="009E0A9E" w:rsidRPr="00775AE5" w:rsidRDefault="009E0A9E" w:rsidP="00525437">
            <w:pPr>
              <w:rPr>
                <w:rFonts w:ascii="Arial" w:hAnsi="Arial" w:cs="Arial"/>
                <w:sz w:val="22"/>
                <w:szCs w:val="22"/>
              </w:rPr>
            </w:pPr>
            <w:r w:rsidRPr="00775AE5">
              <w:rPr>
                <w:rFonts w:ascii="Arial" w:hAnsi="Arial" w:cs="Arial"/>
                <w:sz w:val="22"/>
                <w:szCs w:val="22"/>
              </w:rPr>
              <w:t> </w:t>
            </w:r>
          </w:p>
        </w:tc>
      </w:tr>
      <w:tr w:rsidR="009E0A9E" w:rsidRPr="00775AE5" w14:paraId="78696CE4" w14:textId="77777777" w:rsidTr="00525437">
        <w:trPr>
          <w:trHeight w:val="1833"/>
        </w:trPr>
        <w:tc>
          <w:tcPr>
            <w:tcW w:w="1240" w:type="dxa"/>
            <w:noWrap/>
            <w:hideMark/>
          </w:tcPr>
          <w:p w14:paraId="02E5EE3A"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210</w:t>
            </w:r>
          </w:p>
        </w:tc>
        <w:tc>
          <w:tcPr>
            <w:tcW w:w="1960" w:type="dxa"/>
            <w:noWrap/>
            <w:hideMark/>
          </w:tcPr>
          <w:p w14:paraId="49F0D96C"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29/9/2021</w:t>
            </w:r>
          </w:p>
        </w:tc>
        <w:tc>
          <w:tcPr>
            <w:tcW w:w="1700" w:type="dxa"/>
            <w:hideMark/>
          </w:tcPr>
          <w:p w14:paraId="37D1E079" w14:textId="77777777" w:rsidR="009E0A9E" w:rsidRPr="00775AE5" w:rsidRDefault="009E0A9E" w:rsidP="00525437">
            <w:pPr>
              <w:rPr>
                <w:rFonts w:ascii="Arial" w:hAnsi="Arial" w:cs="Arial"/>
                <w:sz w:val="22"/>
                <w:szCs w:val="22"/>
              </w:rPr>
            </w:pPr>
            <w:r w:rsidRPr="00775AE5">
              <w:rPr>
                <w:rFonts w:ascii="Arial" w:hAnsi="Arial" w:cs="Arial"/>
                <w:sz w:val="22"/>
                <w:szCs w:val="22"/>
              </w:rPr>
              <w:t>Estado de excepción del SNRS por grave conmoción interna en CRS</w:t>
            </w:r>
          </w:p>
        </w:tc>
        <w:tc>
          <w:tcPr>
            <w:tcW w:w="4160" w:type="dxa"/>
            <w:hideMark/>
          </w:tcPr>
          <w:p w14:paraId="099D6371" w14:textId="77777777" w:rsidR="009E0A9E" w:rsidRPr="00775AE5" w:rsidRDefault="009E0A9E" w:rsidP="00525437">
            <w:pPr>
              <w:rPr>
                <w:rFonts w:ascii="Arial" w:hAnsi="Arial" w:cs="Arial"/>
                <w:color w:val="000000"/>
                <w:sz w:val="22"/>
                <w:szCs w:val="22"/>
              </w:rPr>
            </w:pPr>
            <w:r w:rsidRPr="00775AE5">
              <w:rPr>
                <w:rFonts w:ascii="Arial" w:hAnsi="Arial" w:cs="Arial"/>
                <w:color w:val="000000"/>
                <w:sz w:val="22"/>
                <w:szCs w:val="22"/>
              </w:rPr>
              <w:t xml:space="preserve">El día 28 de septiembre de 2021 se reportó un nuevo amotinamiento en el Centro de Rehabilitación Social </w:t>
            </w:r>
            <w:proofErr w:type="spellStart"/>
            <w:r w:rsidRPr="00775AE5">
              <w:rPr>
                <w:rFonts w:ascii="Arial" w:hAnsi="Arial" w:cs="Arial"/>
                <w:color w:val="000000"/>
                <w:sz w:val="22"/>
                <w:szCs w:val="22"/>
              </w:rPr>
              <w:t>N.°</w:t>
            </w:r>
            <w:proofErr w:type="spellEnd"/>
            <w:r w:rsidRPr="00775AE5">
              <w:rPr>
                <w:rFonts w:ascii="Arial" w:hAnsi="Arial" w:cs="Arial"/>
                <w:color w:val="000000"/>
                <w:sz w:val="22"/>
                <w:szCs w:val="22"/>
              </w:rPr>
              <w:t xml:space="preserve"> l en la ciudad de Guayaquil que ocasionó cuarenta y seis muertes entre las personas privadas de libertad, esto pese a la intervención dentro del ámbito de sus competencias de la Policía Nacional y de los agentes de seguridad del SNAI.</w:t>
            </w:r>
          </w:p>
          <w:p w14:paraId="75FCA596" w14:textId="77777777" w:rsidR="009E0A9E" w:rsidRPr="00775AE5" w:rsidRDefault="009E0A9E" w:rsidP="00525437">
            <w:pPr>
              <w:rPr>
                <w:rFonts w:ascii="Arial" w:hAnsi="Arial" w:cs="Arial"/>
                <w:color w:val="000000"/>
                <w:sz w:val="22"/>
                <w:szCs w:val="22"/>
              </w:rPr>
            </w:pPr>
            <w:r w:rsidRPr="00775AE5">
              <w:rPr>
                <w:rFonts w:ascii="Arial" w:hAnsi="Arial" w:cs="Arial"/>
                <w:color w:val="000000"/>
                <w:sz w:val="22"/>
                <w:szCs w:val="22"/>
              </w:rPr>
              <w:br/>
              <w:t>Que los últimos hechos suscitados se suman a una serie de sucesos de violencia en los centros de privación de libertad del país durante el año, que en total han causado la</w:t>
            </w:r>
            <w:r w:rsidRPr="00775AE5">
              <w:rPr>
                <w:rFonts w:ascii="Arial" w:hAnsi="Arial" w:cs="Arial"/>
                <w:color w:val="000000"/>
                <w:sz w:val="22"/>
                <w:szCs w:val="22"/>
              </w:rPr>
              <w:br/>
              <w:t>muerte de más de un centenar de personas privadas de libertad, así como ataques a la integridad física y sexual de personal del cuerpo de seguridad penitenciaria y de los</w:t>
            </w:r>
            <w:r w:rsidRPr="00775AE5">
              <w:rPr>
                <w:rFonts w:ascii="Arial" w:hAnsi="Arial" w:cs="Arial"/>
                <w:color w:val="000000"/>
                <w:sz w:val="22"/>
                <w:szCs w:val="22"/>
              </w:rPr>
              <w:br/>
              <w:t>miembros de la Policía Nacional</w:t>
            </w:r>
          </w:p>
        </w:tc>
      </w:tr>
      <w:tr w:rsidR="009E0A9E" w:rsidRPr="00775AE5" w14:paraId="25A200A2" w14:textId="77777777" w:rsidTr="00525437">
        <w:trPr>
          <w:trHeight w:val="816"/>
        </w:trPr>
        <w:tc>
          <w:tcPr>
            <w:tcW w:w="1240" w:type="dxa"/>
            <w:noWrap/>
            <w:hideMark/>
          </w:tcPr>
          <w:p w14:paraId="7F835B57"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823</w:t>
            </w:r>
          </w:p>
        </w:tc>
        <w:tc>
          <w:tcPr>
            <w:tcW w:w="1960" w:type="dxa"/>
            <w:noWrap/>
            <w:hideMark/>
          </w:tcPr>
          <w:p w14:paraId="6D5403D3" w14:textId="77777777" w:rsidR="009E0A9E" w:rsidRPr="00775AE5" w:rsidRDefault="009E0A9E" w:rsidP="00525437">
            <w:pPr>
              <w:jc w:val="center"/>
              <w:rPr>
                <w:rFonts w:ascii="Arial" w:hAnsi="Arial" w:cs="Arial"/>
                <w:sz w:val="22"/>
                <w:szCs w:val="22"/>
              </w:rPr>
            </w:pPr>
            <w:r w:rsidRPr="00775AE5">
              <w:rPr>
                <w:rFonts w:ascii="Arial" w:hAnsi="Arial" w:cs="Arial"/>
                <w:sz w:val="22"/>
                <w:szCs w:val="22"/>
              </w:rPr>
              <w:t>24/7/2023</w:t>
            </w:r>
          </w:p>
        </w:tc>
        <w:tc>
          <w:tcPr>
            <w:tcW w:w="1700" w:type="dxa"/>
            <w:hideMark/>
          </w:tcPr>
          <w:p w14:paraId="4B23B328" w14:textId="77777777" w:rsidR="009E0A9E" w:rsidRPr="00775AE5" w:rsidRDefault="009E0A9E" w:rsidP="00525437">
            <w:pPr>
              <w:rPr>
                <w:rFonts w:ascii="Arial" w:hAnsi="Arial" w:cs="Arial"/>
                <w:sz w:val="22"/>
                <w:szCs w:val="22"/>
              </w:rPr>
            </w:pPr>
            <w:r w:rsidRPr="00775AE5">
              <w:rPr>
                <w:rFonts w:ascii="Arial" w:hAnsi="Arial" w:cs="Arial"/>
                <w:sz w:val="22"/>
                <w:szCs w:val="22"/>
              </w:rPr>
              <w:t>Estado de excepción del SNRS por grave conmoción interna en CRS</w:t>
            </w:r>
          </w:p>
        </w:tc>
        <w:tc>
          <w:tcPr>
            <w:tcW w:w="4160" w:type="dxa"/>
            <w:noWrap/>
            <w:hideMark/>
          </w:tcPr>
          <w:p w14:paraId="339CE8F6" w14:textId="77777777" w:rsidR="009E0A9E" w:rsidRPr="00775AE5" w:rsidRDefault="009E0A9E" w:rsidP="00525437">
            <w:pPr>
              <w:rPr>
                <w:rFonts w:ascii="Arial" w:hAnsi="Arial" w:cs="Arial"/>
                <w:sz w:val="22"/>
                <w:szCs w:val="22"/>
              </w:rPr>
            </w:pPr>
            <w:r w:rsidRPr="00775AE5">
              <w:rPr>
                <w:rFonts w:ascii="Arial" w:hAnsi="Arial" w:cs="Arial"/>
                <w:sz w:val="22"/>
                <w:szCs w:val="22"/>
              </w:rPr>
              <w:t> </w:t>
            </w:r>
          </w:p>
        </w:tc>
      </w:tr>
      <w:tr w:rsidR="009E0A9E" w:rsidRPr="00775AE5" w14:paraId="765D1C4A" w14:textId="77777777" w:rsidTr="00525437">
        <w:trPr>
          <w:trHeight w:val="408"/>
        </w:trPr>
        <w:tc>
          <w:tcPr>
            <w:tcW w:w="1240" w:type="dxa"/>
            <w:noWrap/>
            <w:hideMark/>
          </w:tcPr>
          <w:p w14:paraId="52FF0378"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878</w:t>
            </w:r>
          </w:p>
        </w:tc>
        <w:tc>
          <w:tcPr>
            <w:tcW w:w="1960" w:type="dxa"/>
            <w:noWrap/>
            <w:hideMark/>
          </w:tcPr>
          <w:p w14:paraId="1C34EA6A" w14:textId="77777777" w:rsidR="009E0A9E" w:rsidRPr="00775AE5" w:rsidRDefault="009E0A9E" w:rsidP="00525437">
            <w:pPr>
              <w:jc w:val="center"/>
              <w:rPr>
                <w:rFonts w:ascii="Arial" w:hAnsi="Arial" w:cs="Arial"/>
                <w:color w:val="000000"/>
                <w:sz w:val="22"/>
                <w:szCs w:val="22"/>
              </w:rPr>
            </w:pPr>
            <w:r w:rsidRPr="00775AE5">
              <w:rPr>
                <w:rFonts w:ascii="Arial" w:hAnsi="Arial" w:cs="Arial"/>
                <w:color w:val="000000"/>
                <w:sz w:val="22"/>
                <w:szCs w:val="22"/>
              </w:rPr>
              <w:t>21/9/2023</w:t>
            </w:r>
          </w:p>
        </w:tc>
        <w:tc>
          <w:tcPr>
            <w:tcW w:w="1700" w:type="dxa"/>
            <w:hideMark/>
          </w:tcPr>
          <w:p w14:paraId="3511937D" w14:textId="77777777" w:rsidR="009E0A9E" w:rsidRPr="00775AE5" w:rsidRDefault="009E0A9E" w:rsidP="00525437">
            <w:pPr>
              <w:rPr>
                <w:rFonts w:ascii="Arial" w:hAnsi="Arial" w:cs="Arial"/>
                <w:sz w:val="22"/>
                <w:szCs w:val="22"/>
              </w:rPr>
            </w:pPr>
            <w:r w:rsidRPr="00775AE5">
              <w:rPr>
                <w:rFonts w:ascii="Arial" w:hAnsi="Arial" w:cs="Arial"/>
                <w:sz w:val="22"/>
                <w:szCs w:val="22"/>
              </w:rPr>
              <w:t>Renovación estado de excepción</w:t>
            </w:r>
          </w:p>
        </w:tc>
        <w:tc>
          <w:tcPr>
            <w:tcW w:w="4160" w:type="dxa"/>
            <w:noWrap/>
            <w:hideMark/>
          </w:tcPr>
          <w:p w14:paraId="7E53F7FA" w14:textId="77777777" w:rsidR="009E0A9E" w:rsidRPr="00775AE5" w:rsidRDefault="009E0A9E" w:rsidP="00525437">
            <w:pPr>
              <w:rPr>
                <w:rFonts w:ascii="Arial" w:hAnsi="Arial" w:cs="Arial"/>
                <w:color w:val="000000"/>
                <w:sz w:val="22"/>
                <w:szCs w:val="22"/>
              </w:rPr>
            </w:pPr>
            <w:r w:rsidRPr="00775AE5">
              <w:rPr>
                <w:rFonts w:ascii="Arial" w:hAnsi="Arial" w:cs="Arial"/>
                <w:color w:val="000000"/>
                <w:sz w:val="22"/>
                <w:szCs w:val="22"/>
              </w:rPr>
              <w:t> </w:t>
            </w:r>
          </w:p>
        </w:tc>
      </w:tr>
    </w:tbl>
    <w:p w14:paraId="6D13476E"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Elaborado por: MNPT, 2024</w:t>
      </w:r>
    </w:p>
    <w:p w14:paraId="17A82D3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9DC54C1" w14:textId="0B5C93B9" w:rsidR="009E0A9E" w:rsidRPr="00775AE5" w:rsidRDefault="00AC3F0B" w:rsidP="009E0A9E">
      <w:pPr>
        <w:widowControl w:val="0"/>
        <w:suppressAutoHyphens/>
        <w:spacing w:line="276" w:lineRule="auto"/>
        <w:jc w:val="both"/>
        <w:rPr>
          <w:rFonts w:ascii="Arial" w:hAnsi="Arial" w:cs="Arial"/>
          <w:sz w:val="22"/>
          <w:szCs w:val="22"/>
        </w:rPr>
      </w:pPr>
      <w:r w:rsidRPr="00775AE5">
        <w:rPr>
          <w:rFonts w:ascii="Arial" w:eastAsia="DejaVu Sans" w:hAnsi="Arial" w:cs="Arial"/>
          <w:sz w:val="22"/>
          <w:szCs w:val="22"/>
          <w:lang w:val="es-VE" w:eastAsia="es-EC"/>
        </w:rPr>
        <w:t>En relación con</w:t>
      </w:r>
      <w:r w:rsidR="009E0A9E" w:rsidRPr="00775AE5">
        <w:rPr>
          <w:rFonts w:ascii="Arial" w:eastAsia="DejaVu Sans" w:hAnsi="Arial" w:cs="Arial"/>
          <w:sz w:val="22"/>
          <w:szCs w:val="22"/>
          <w:lang w:val="es-VE" w:eastAsia="es-EC"/>
        </w:rPr>
        <w:t xml:space="preserve"> </w:t>
      </w:r>
      <w:r w:rsidR="009E0A9E" w:rsidRPr="00775AE5">
        <w:rPr>
          <w:rFonts w:ascii="Arial" w:hAnsi="Arial" w:cs="Arial"/>
          <w:sz w:val="22"/>
          <w:szCs w:val="22"/>
        </w:rPr>
        <w:t xml:space="preserve">los Decretos Ejecutivos mencionados en el listado de cuestiones, </w:t>
      </w:r>
      <w:r w:rsidR="00CA38EB" w:rsidRPr="00775AE5">
        <w:rPr>
          <w:rFonts w:ascii="Arial" w:hAnsi="Arial" w:cs="Arial"/>
          <w:sz w:val="22"/>
          <w:szCs w:val="22"/>
        </w:rPr>
        <w:t>número 741</w:t>
      </w:r>
      <w:r w:rsidR="009E0A9E" w:rsidRPr="00775AE5">
        <w:rPr>
          <w:rFonts w:ascii="Arial" w:hAnsi="Arial" w:cs="Arial"/>
          <w:sz w:val="22"/>
          <w:szCs w:val="22"/>
        </w:rPr>
        <w:t xml:space="preserve"> y 754 del 2019, donde se declaró el Estado de Excepción en el Sistema de Rehabilitación Social a nivel nacional para atender las necesidades emergentes de dicho sistema a fin de precautelar los derechos de las personas privadas de libertad como grupo de atención prioritaria. </w:t>
      </w:r>
    </w:p>
    <w:p w14:paraId="04AC308E"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p>
    <w:p w14:paraId="5CCF7327"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Los Decretos Ejecutivos </w:t>
      </w:r>
      <w:proofErr w:type="spellStart"/>
      <w:r w:rsidRPr="00775AE5">
        <w:rPr>
          <w:rFonts w:ascii="Arial" w:eastAsia="DejaVu Sans" w:hAnsi="Arial" w:cs="Arial"/>
          <w:sz w:val="22"/>
          <w:szCs w:val="22"/>
          <w:lang w:val="es-VE" w:eastAsia="es-EC"/>
        </w:rPr>
        <w:t>N°</w:t>
      </w:r>
      <w:proofErr w:type="spellEnd"/>
      <w:r w:rsidRPr="00775AE5">
        <w:rPr>
          <w:rFonts w:ascii="Arial" w:eastAsia="DejaVu Sans" w:hAnsi="Arial" w:cs="Arial"/>
          <w:sz w:val="22"/>
          <w:szCs w:val="22"/>
          <w:lang w:val="es-VE" w:eastAsia="es-EC"/>
        </w:rPr>
        <w:t xml:space="preserve"> </w:t>
      </w:r>
      <w:r w:rsidRPr="00775AE5">
        <w:rPr>
          <w:rFonts w:ascii="Arial" w:hAnsi="Arial" w:cs="Arial"/>
          <w:sz w:val="22"/>
          <w:szCs w:val="22"/>
        </w:rPr>
        <w:t>741 y 754, de la misma forma que los posteriores decretos realizados en la materia,</w:t>
      </w:r>
      <w:r w:rsidRPr="00775AE5">
        <w:rPr>
          <w:rFonts w:ascii="Arial" w:eastAsia="DejaVu Sans" w:hAnsi="Arial" w:cs="Arial"/>
          <w:sz w:val="22"/>
          <w:szCs w:val="22"/>
          <w:lang w:val="es-VE" w:eastAsia="es-EC"/>
        </w:rPr>
        <w:t xml:space="preserve"> establecían que las Fuerzas Armadas, Policía Nacional se movilicen hacia los centros de privación de libertad con el  fin de que apoyen en actividades de seguridad interna y externa del centro; esto a pesar de que el Art. 686 del COIP determina que la supervisión y vigilancia les corresponde a las o los servidores encargados de la seguridad penitenciaria y custodia de las personas privadas de libertad, dentro o fuera del centro, quienes podrán recurrir a las técnicas de uso progresivo de la fuerza para sofocar amotinamientos o contener y evitar fugas; aspecto entendible por cuanto su formación es distinta, cabe señalar que la gestión de seguridad de los centros conforme lo determinan las Reglas Mínimas de las Naciones Unidas para el Tratamiento de los Reclusos (Reglas Mandela) (2015) dicha gestión requiere una preparación especial, de esta forma la Regla 76 establece:</w:t>
      </w:r>
    </w:p>
    <w:p w14:paraId="1D818885"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p>
    <w:p w14:paraId="0D5F18A2"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La formación mencionada en el párrafo 2 de la regla 75 comprenderá, como mínimo, los ámbitos siguientes: c) La seguridad, incluido el concepto de seguridad dinámica, el empleo de la fuerza y de instrumentos de coerción física, y el control de delincuentes violentos, con la debida consideración al uso de técnicas preventivas y de distensión, como la negociación y la mediación.</w:t>
      </w:r>
    </w:p>
    <w:p w14:paraId="1440A8D0"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p>
    <w:p w14:paraId="0F99029D"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La falta de fortalecimiento del personal de seguridad especializado para custodiar a las personas privadas de libertad, es lo que ha llevado en los últimos años a las autoridades a promover la participación de la Policía Nacional y de las Fuerzas Armadas para responder a la violencia generada en los centros, permitiendo su participación en la gestión de seguridad interna y externa de los centros, situación que no debería darse si las autoridades establecieran de forma oportuna acciones dirigidas a promover la atención de las problemáticas estructurales que afectan el sistema, que parte de la falta de una adecuada separación, en cuya identificación debe participar otro personal técnico, el cual también es reducido. En este sentido la gestión en la seguridad no solo parte de fortalecer la intervención a través de la intervención de personal de otras ramas de seguridad, ya que la verdadera necesidad se encuentra en la intervención técnica del diagnóstico y ubicación que se realiza a partir de los informes psicológicos, sociales y jurídicos que se deben realizar a cada persona privada de libertad.</w:t>
      </w:r>
    </w:p>
    <w:p w14:paraId="7C060CB6"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p>
    <w:p w14:paraId="0F228D7E"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30 de mayo de 2019, la Corte Constitucional del Ecuador emitió Dictamen favorable de constitucionalidad del Estado de Excepción y dispuso a la Defensoría del Pueblo en el marco de sus competencias constitucionales y legales el seguimiento a la implementación de las medidas dispuestas en el Estado de Excepción, en los términos del dictamen. </w:t>
      </w:r>
    </w:p>
    <w:p w14:paraId="3B9AD97D"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p>
    <w:p w14:paraId="3E966B86"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Estado de Excepción tuvo una duración de dos meses (posteriormente fue ampliado un mes más).  Desde el 12 de junio al 12 de julio de 2019 la Defensoría del Pueblo del Ecuador a través de sus Coordinaciones Zonales y Delegaciones Provinciales realizó ochenta (80) visitas a centros de privación de libertad, entre CRS, CDP, CAI y Casas de Confianza, en veinte (20) provincias. En el marco de estas visitas, preocupa ampliamente que en los centros de privación de libertad de la ciudad de Cuenca (Azuay) como de Guayaquil (Guayas) no se permitió el ingreso al personal de la Defensoría del Pueblo usando como argumento la misma declaratoria del estado de excepción. </w:t>
      </w:r>
    </w:p>
    <w:p w14:paraId="2BA7C8BA"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p>
    <w:p w14:paraId="5ECC4143"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De la información obtenida durante las visitas realizadas por las Coordinaciones Zonales y Delegaciones Provinciales a los Centros de Privación de la Libertad a nivel nacional, como de la información remitida por la autoridad competente en el tema de Rehabilitación Social, esto es, el Servicio Nacional de Atención Integral a Personas Privadas de la Libertad y a Adolescentes Infractores SNAI, se llegó a las siguientes conclusiones:</w:t>
      </w:r>
    </w:p>
    <w:p w14:paraId="5CF0A24C"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p>
    <w:p w14:paraId="168F1A39" w14:textId="09DC6A85" w:rsidR="009E0A9E" w:rsidRPr="00775AE5" w:rsidRDefault="009E0A9E" w:rsidP="00B17DD2">
      <w:pPr>
        <w:numPr>
          <w:ilvl w:val="0"/>
          <w:numId w:val="16"/>
        </w:num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Las medidas dispuestas en el Estado de Excepción implementadas han sido únicamente las relacionadas con el tema de seguridad para lo cual se han delineado acciones cuyos resultados no se han sido eficientes, hecho que se evidencia por la creciente situación de violencia que se vive en los centros. Esta efectividad, dependen de la asignación de recursos para obtener a largo plazo la transformación del Sistema de Rehabilitación Social a nivel nacional, sin </w:t>
      </w:r>
      <w:r w:rsidR="00B93283" w:rsidRPr="00775AE5">
        <w:rPr>
          <w:rFonts w:ascii="Arial" w:eastAsia="DejaVu Sans" w:hAnsi="Arial" w:cs="Arial"/>
          <w:sz w:val="22"/>
          <w:szCs w:val="22"/>
          <w:lang w:val="es-VE" w:eastAsia="es-EC"/>
        </w:rPr>
        <w:t>embargo,</w:t>
      </w:r>
      <w:r w:rsidRPr="00775AE5">
        <w:rPr>
          <w:rFonts w:ascii="Arial" w:eastAsia="DejaVu Sans" w:hAnsi="Arial" w:cs="Arial"/>
          <w:sz w:val="22"/>
          <w:szCs w:val="22"/>
          <w:lang w:val="es-VE" w:eastAsia="es-EC"/>
        </w:rPr>
        <w:t xml:space="preserve"> como se ha señalado en el presente informe ni siquiera se logró la contratación de los 500 agentes que pasaron el proceso de selección y debían iniciar el proceso de </w:t>
      </w:r>
      <w:r w:rsidR="00CA38EB" w:rsidRPr="00775AE5">
        <w:rPr>
          <w:rFonts w:ascii="Arial" w:eastAsia="DejaVu Sans" w:hAnsi="Arial" w:cs="Arial"/>
          <w:sz w:val="22"/>
          <w:szCs w:val="22"/>
          <w:lang w:val="es-VE" w:eastAsia="es-EC"/>
        </w:rPr>
        <w:t>formación.</w:t>
      </w:r>
    </w:p>
    <w:p w14:paraId="0AEDC3AB" w14:textId="77777777" w:rsidR="009E0A9E" w:rsidRPr="00775AE5" w:rsidRDefault="009E0A9E" w:rsidP="00B17DD2">
      <w:pPr>
        <w:numPr>
          <w:ilvl w:val="0"/>
          <w:numId w:val="16"/>
        </w:num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En este orden de ideas, la movilización de la Fuerza Pública no ha tenido los resultados esperados, la violencia e inseguridad dentro de los centros de privación de libertad no ha disminuido, se visibiliza un incremento de la violencia que se refleja en la cantidad de amotinamientos, agresiones y muertes producidas desde que se emitió el estado de excepción.</w:t>
      </w:r>
    </w:p>
    <w:p w14:paraId="5E782B1F" w14:textId="77777777" w:rsidR="009E0A9E" w:rsidRPr="00775AE5" w:rsidRDefault="009E0A9E" w:rsidP="00B17DD2">
      <w:pPr>
        <w:numPr>
          <w:ilvl w:val="0"/>
          <w:numId w:val="16"/>
        </w:num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Se evidencia que no han existido ningún tipo de medidas orientadas a la rehabilitación social. De la información recabada incluso en algunos centros de rehabilitación social se han suspendido talleres laborales y culturales que beneficiaban directamente las PPL.</w:t>
      </w:r>
    </w:p>
    <w:p w14:paraId="431B2059" w14:textId="31716545" w:rsidR="009E0A9E" w:rsidRPr="00775AE5" w:rsidRDefault="009E0A9E" w:rsidP="00B17DD2">
      <w:pPr>
        <w:numPr>
          <w:ilvl w:val="0"/>
          <w:numId w:val="16"/>
        </w:num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No existe información suministrada por el SNAI respecto a la reclasificación de las personas privadas de la libertad </w:t>
      </w:r>
      <w:r w:rsidR="00AC3F0B" w:rsidRPr="00775AE5">
        <w:rPr>
          <w:rFonts w:ascii="Arial" w:eastAsia="DejaVu Sans" w:hAnsi="Arial" w:cs="Arial"/>
          <w:sz w:val="22"/>
          <w:szCs w:val="22"/>
          <w:lang w:val="es-VE" w:eastAsia="es-EC"/>
        </w:rPr>
        <w:t>de acuerdo con</w:t>
      </w:r>
      <w:r w:rsidRPr="00775AE5">
        <w:rPr>
          <w:rFonts w:ascii="Arial" w:eastAsia="DejaVu Sans" w:hAnsi="Arial" w:cs="Arial"/>
          <w:sz w:val="22"/>
          <w:szCs w:val="22"/>
          <w:lang w:val="es-VE" w:eastAsia="es-EC"/>
        </w:rPr>
        <w:t xml:space="preserve"> su peligrosidad, que es una de las medidas necesarias en la cual debe intervenir el equipo técnico, sin </w:t>
      </w:r>
      <w:r w:rsidR="00CA38EB" w:rsidRPr="00775AE5">
        <w:rPr>
          <w:rFonts w:ascii="Arial" w:eastAsia="DejaVu Sans" w:hAnsi="Arial" w:cs="Arial"/>
          <w:sz w:val="22"/>
          <w:szCs w:val="22"/>
          <w:lang w:val="es-VE" w:eastAsia="es-EC"/>
        </w:rPr>
        <w:t>embargo,</w:t>
      </w:r>
      <w:r w:rsidRPr="00775AE5">
        <w:rPr>
          <w:rFonts w:ascii="Arial" w:eastAsia="DejaVu Sans" w:hAnsi="Arial" w:cs="Arial"/>
          <w:sz w:val="22"/>
          <w:szCs w:val="22"/>
          <w:lang w:val="es-VE" w:eastAsia="es-EC"/>
        </w:rPr>
        <w:t xml:space="preserve"> el sistema también afronta una reducción del personal especializado que debe llevar a cabo </w:t>
      </w:r>
      <w:r w:rsidR="00B93283" w:rsidRPr="00775AE5">
        <w:rPr>
          <w:rFonts w:ascii="Arial" w:eastAsia="DejaVu Sans" w:hAnsi="Arial" w:cs="Arial"/>
          <w:sz w:val="22"/>
          <w:szCs w:val="22"/>
          <w:lang w:val="es-VE" w:eastAsia="es-EC"/>
        </w:rPr>
        <w:t>estas</w:t>
      </w:r>
      <w:r w:rsidRPr="00775AE5">
        <w:rPr>
          <w:rFonts w:ascii="Arial" w:eastAsia="DejaVu Sans" w:hAnsi="Arial" w:cs="Arial"/>
          <w:sz w:val="22"/>
          <w:szCs w:val="22"/>
          <w:lang w:val="es-VE" w:eastAsia="es-EC"/>
        </w:rPr>
        <w:t xml:space="preserve"> actividades.</w:t>
      </w:r>
    </w:p>
    <w:p w14:paraId="02B4D93E" w14:textId="77777777" w:rsidR="009E0A9E" w:rsidRPr="00775AE5" w:rsidRDefault="009E0A9E" w:rsidP="00B17DD2">
      <w:pPr>
        <w:numPr>
          <w:ilvl w:val="0"/>
          <w:numId w:val="16"/>
        </w:num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Las solicitudes de  </w:t>
      </w:r>
      <w:proofErr w:type="spellStart"/>
      <w:r w:rsidRPr="00775AE5">
        <w:rPr>
          <w:rFonts w:ascii="Arial" w:eastAsia="DejaVu Sans" w:hAnsi="Arial" w:cs="Arial"/>
          <w:sz w:val="22"/>
          <w:szCs w:val="22"/>
          <w:lang w:val="es-VE" w:eastAsia="es-EC"/>
        </w:rPr>
        <w:t>pre-libertad</w:t>
      </w:r>
      <w:proofErr w:type="spellEnd"/>
      <w:r w:rsidRPr="00775AE5">
        <w:rPr>
          <w:rFonts w:ascii="Arial" w:eastAsia="DejaVu Sans" w:hAnsi="Arial" w:cs="Arial"/>
          <w:sz w:val="22"/>
          <w:szCs w:val="22"/>
          <w:lang w:val="es-VE" w:eastAsia="es-EC"/>
        </w:rPr>
        <w:t>, aceptación de beneficios penitenciarios o cambio de régimen de privación de libertad presentadas por los PPL no son atendidas ni despachadas oportunamente, acciones que directamente podrían aportar en la disminución del hacinamiento en los centros, de igual forma se presentan demoras en la atención de libertades por el escaso personal existente en las áreas jurídicas de los centros, esto conlleva que para garantizar los derechos se activen garantías jurisdiccionales.</w:t>
      </w:r>
    </w:p>
    <w:p w14:paraId="6EFECA01" w14:textId="77777777" w:rsidR="009E0A9E" w:rsidRPr="00775AE5" w:rsidRDefault="009E0A9E" w:rsidP="00B17DD2">
      <w:pPr>
        <w:numPr>
          <w:ilvl w:val="0"/>
          <w:numId w:val="16"/>
        </w:num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No existe información brindada por el SNAI, respecto los procesos de repatriación de las PPL de nacionalidad extranjera que se encuentran con sentencia condenatoria de última instancia.</w:t>
      </w:r>
    </w:p>
    <w:p w14:paraId="3F988832"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p>
    <w:p w14:paraId="59ADAC12"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15 de julio de 2019, el Presidente de la República emite el Decreto Ejecutivo No. 823, en el que se especifica que los hechos por los cuales se dispuso renovar el estado de excepción decretado en todos los centros de privación de libertad que integran el sistema de rehabilitación social a nivel nacional son los mismos que los señalados en los Decretos Ejecutivos 741 y 754, esto es "los acontecimientos de violencia presentados en algunos centros de privación de libertad" y "las condiciones de habitabilidad de los centros de privación de libertad"2, los cuales, señala el Decreto, persisten. La causal invocada en la renovación del estado de excepción se mantiene como la de "grave conmoción interna". </w:t>
      </w:r>
    </w:p>
    <w:p w14:paraId="76AF1A6F"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p>
    <w:p w14:paraId="369603BE"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El 23 de julio de 2019, la Corte Constitucional del Ecuador emitió Dictamen favorable de constitucionalidad a la renovación de declaratoria de estado de excepción contenida en el Decreto Ejecutivo No. 823. La implementación de las medidas extraordinarias autorizadas en virtud de este dictamen deberá abarcar de manera integral las causas que motivaron el estado de excepción y dispuso a la Defensoría del Pueblo en el marco de sus competencias constitucionales y legales continúe con el seguimiento a la implementación de las medidas dispuestas en el estado de excepción y, si verifica que se han producido violaciones a derechos constitucionales, considere activar los mecanismos y acciones necesarios.</w:t>
      </w:r>
    </w:p>
    <w:p w14:paraId="341A6DC3"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p>
    <w:p w14:paraId="74F18E3B" w14:textId="77777777" w:rsidR="009E0A9E" w:rsidRPr="00775AE5" w:rsidRDefault="009E0A9E" w:rsidP="009E0A9E">
      <w:pPr>
        <w:pStyle w:val="Introduccin"/>
        <w:rPr>
          <w:rFonts w:ascii="Arial" w:hAnsi="Arial" w:cs="Arial"/>
          <w:sz w:val="22"/>
          <w:szCs w:val="22"/>
        </w:rPr>
      </w:pPr>
      <w:r w:rsidRPr="00775AE5">
        <w:rPr>
          <w:rFonts w:ascii="Arial" w:hAnsi="Arial" w:cs="Arial"/>
          <w:sz w:val="22"/>
          <w:szCs w:val="22"/>
        </w:rPr>
        <w:t>Cabe señalar que el papel que se les ha asignado a los miembros de las fuerzas armadas en todas estas declaratorias de emergencia y estado de excepción, siempre se ha restringido a apoyar en la seguridad perimetral de los centros, principalmente en la tarea de revisión de porte ilegal de armas, tanto a vehículos como a personas en las inmediaciones de los centros. También, es importante mencionar que en el Decreto Ejecutivo Nro. 1125 de 11 de agosto del 2020 se reitera la adopción de las mismas acciones. En relación a la declaratoria de estado de excepción la DPE a través del MNPT informa a la Corte Constitucional las acciones desplegadas en cuanto a la atención del SNRS Mediante Decreto Ejecutivo No. 1125 de fecha 11 de agosto de 2020, se declaró un nuevo estado de excepción del Sistema Nacional de Rehabilitación Social, con duración de 60 días, extendido por 30 más, sobre el cual, la Corte Constitucional en su dictamen su constitucionalidad  volvió a reafirmar su preocupación respecto a la forma reiterada de recurrir al régimen de excepción para hacer frente a las problemáticas que aquejan al SNRS, y además, advierte que esta situación responde a “deficiencias estructurales y a actuaciones deficientes e irresponsables, más que a situaciones urgentes o imprevisibles”, recordándole al Estado que tiene una posición especial frente a los derechos como la vida e integridad personal de las personas privadas de libertad; y, además solicitó al Presidente la presentación de un plan de acción a mediano y largo plazo para afrontar la crisis penitenciaria a través del régimen ordinario, el mismo que fue entregado a la Corte Constitucional a finales de 2020.</w:t>
      </w:r>
    </w:p>
    <w:p w14:paraId="71EA56B5" w14:textId="77777777" w:rsidR="009E0A9E" w:rsidRPr="00775AE5" w:rsidRDefault="009E0A9E" w:rsidP="009E0A9E">
      <w:pPr>
        <w:pStyle w:val="Introduccin"/>
        <w:rPr>
          <w:rFonts w:ascii="Arial" w:hAnsi="Arial" w:cs="Arial"/>
          <w:sz w:val="22"/>
          <w:szCs w:val="22"/>
        </w:rPr>
      </w:pPr>
      <w:r w:rsidRPr="00775AE5">
        <w:rPr>
          <w:rFonts w:ascii="Arial" w:hAnsi="Arial" w:cs="Arial"/>
          <w:sz w:val="22"/>
          <w:szCs w:val="22"/>
        </w:rPr>
        <w:t>Es importante señalar que la Corte Constitucional con fecha 03 de marzo del 2021 en el auto de fase de seguimiento Nro. 4-20 EE/21 y acumulado, estableció varias disposiciones respecto de las cuales la Defensoría del Pueblo en virtud de seguimiento de cumplimiento ordenado deberá remitir el informe correspondiente a la Corte, por lo cual es necesario que las autoridades presten las facilidades del caso para acceder a la información que denote las acciones emprendidas para cumplir con las siguientes disposiciones:</w:t>
      </w:r>
    </w:p>
    <w:p w14:paraId="460D3F89" w14:textId="77777777" w:rsidR="009E0A9E" w:rsidRPr="00775AE5" w:rsidRDefault="009E0A9E" w:rsidP="009E0A9E">
      <w:pPr>
        <w:pStyle w:val="Citas"/>
        <w:rPr>
          <w:rFonts w:ascii="Arial" w:hAnsi="Arial" w:cs="Arial"/>
        </w:rPr>
      </w:pPr>
      <w:r w:rsidRPr="00775AE5">
        <w:rPr>
          <w:rFonts w:ascii="Arial" w:hAnsi="Arial" w:cs="Arial"/>
        </w:rPr>
        <w:t xml:space="preserve">1. Disponer que, en fase de seguimiento, se acumulen los dictámenes de Estado de Excepción N. º 4-20-EE/20 y 6-20-EE/20 e iniciar la fase de seguimiento de los mismos. </w:t>
      </w:r>
    </w:p>
    <w:p w14:paraId="054B4643" w14:textId="77777777" w:rsidR="009E0A9E" w:rsidRPr="00775AE5" w:rsidRDefault="009E0A9E" w:rsidP="009E0A9E">
      <w:pPr>
        <w:pStyle w:val="Citas"/>
        <w:rPr>
          <w:rFonts w:ascii="Arial" w:hAnsi="Arial" w:cs="Arial"/>
        </w:rPr>
      </w:pPr>
      <w:r w:rsidRPr="00775AE5">
        <w:rPr>
          <w:rFonts w:ascii="Arial" w:hAnsi="Arial" w:cs="Arial"/>
        </w:rPr>
        <w:t xml:space="preserve">2. Declarar el cumplimiento integral de la orden de remisión del informe de finalización del estado de excepción por parte de Presidencia, contenida en el numeral 7 del dictamen N.º 6-20-EE/20. </w:t>
      </w:r>
    </w:p>
    <w:p w14:paraId="33D32380" w14:textId="77777777" w:rsidR="009E0A9E" w:rsidRPr="00775AE5" w:rsidRDefault="009E0A9E" w:rsidP="009E0A9E">
      <w:pPr>
        <w:pStyle w:val="Citas"/>
        <w:rPr>
          <w:rFonts w:ascii="Arial" w:hAnsi="Arial" w:cs="Arial"/>
        </w:rPr>
      </w:pPr>
      <w:r w:rsidRPr="00775AE5">
        <w:rPr>
          <w:rFonts w:ascii="Arial" w:hAnsi="Arial" w:cs="Arial"/>
        </w:rPr>
        <w:t xml:space="preserve">3. Disponer al presidente de la República que, a través de la doctora Johana Pesántez Benítez, Secretaria General Jurídica de la Presidencia, convoque al Directorio del Organismo Técnico de Sistema Nacional de Rehabilitación Social. Este Directorio deberá instalarse en sesión permanente de manera inmediata para que, con base en el Plan de Acción propuesto por el SNAI y con la más amplia participación de los sectores involucrados, de conformidad con el artículo 85 de la Constitución: </w:t>
      </w:r>
    </w:p>
    <w:p w14:paraId="4605B0F4" w14:textId="77777777" w:rsidR="009E0A9E" w:rsidRPr="00775AE5" w:rsidRDefault="009E0A9E" w:rsidP="009E0A9E">
      <w:pPr>
        <w:pStyle w:val="Citas"/>
        <w:rPr>
          <w:rFonts w:ascii="Arial" w:hAnsi="Arial" w:cs="Arial"/>
        </w:rPr>
      </w:pPr>
      <w:r w:rsidRPr="00775AE5">
        <w:rPr>
          <w:rFonts w:ascii="Arial" w:hAnsi="Arial" w:cs="Arial"/>
        </w:rPr>
        <w:t xml:space="preserve">a. Adopte decisiones urgentes para garantizar la seguridad en los centros de privación de libertad. </w:t>
      </w:r>
    </w:p>
    <w:p w14:paraId="6362571B" w14:textId="77777777" w:rsidR="009E0A9E" w:rsidRPr="00775AE5" w:rsidRDefault="009E0A9E" w:rsidP="009E0A9E">
      <w:pPr>
        <w:pStyle w:val="Citas"/>
        <w:rPr>
          <w:rFonts w:ascii="Arial" w:hAnsi="Arial" w:cs="Arial"/>
        </w:rPr>
      </w:pPr>
      <w:r w:rsidRPr="00775AE5">
        <w:rPr>
          <w:rFonts w:ascii="Arial" w:hAnsi="Arial" w:cs="Arial"/>
        </w:rPr>
        <w:t xml:space="preserve">b. Diseñe una propuesta de política pública integral, debidamente financiada, que brinde soluciones estructurales efectivas a la crisis en el sistema de rehabilitación social que vive el país con la participación de instituciones estatales y miembros de la sociedad civil. </w:t>
      </w:r>
    </w:p>
    <w:p w14:paraId="4EB4982D" w14:textId="77777777" w:rsidR="009E0A9E" w:rsidRPr="00775AE5" w:rsidRDefault="009E0A9E" w:rsidP="009E0A9E">
      <w:pPr>
        <w:pStyle w:val="Citas"/>
        <w:rPr>
          <w:rFonts w:ascii="Arial" w:hAnsi="Arial" w:cs="Arial"/>
        </w:rPr>
      </w:pPr>
      <w:r w:rsidRPr="00775AE5">
        <w:rPr>
          <w:rFonts w:ascii="Arial" w:hAnsi="Arial" w:cs="Arial"/>
        </w:rPr>
        <w:t xml:space="preserve">c. Coordine con los ministerios rectores en finanzas públicas y trabajo para ejecutar las medidas a corto plazo identificadas por el SNAI en su Plan de Acción con la finalidad de fortalecer la institucionalidad del sistema de rehabilitación social. </w:t>
      </w:r>
    </w:p>
    <w:p w14:paraId="013EC95F" w14:textId="77777777" w:rsidR="009E0A9E" w:rsidRPr="00775AE5" w:rsidRDefault="009E0A9E" w:rsidP="009E0A9E">
      <w:pPr>
        <w:pStyle w:val="Citas"/>
        <w:rPr>
          <w:rFonts w:ascii="Arial" w:hAnsi="Arial" w:cs="Arial"/>
        </w:rPr>
      </w:pPr>
      <w:r w:rsidRPr="00775AE5">
        <w:rPr>
          <w:rFonts w:ascii="Arial" w:hAnsi="Arial" w:cs="Arial"/>
        </w:rPr>
        <w:t xml:space="preserve">El presidente de la República deberá informar mensualmente a esta Corte sobre el avance en el cumplimiento de la disposición establecida en el presente auto hasta su conclusión. </w:t>
      </w:r>
    </w:p>
    <w:p w14:paraId="60BFFEE0" w14:textId="77777777" w:rsidR="009E0A9E" w:rsidRPr="00775AE5" w:rsidRDefault="009E0A9E" w:rsidP="009E0A9E">
      <w:pPr>
        <w:pStyle w:val="Citas"/>
        <w:rPr>
          <w:rFonts w:ascii="Arial" w:hAnsi="Arial" w:cs="Arial"/>
        </w:rPr>
      </w:pPr>
      <w:r w:rsidRPr="00775AE5">
        <w:rPr>
          <w:rFonts w:ascii="Arial" w:hAnsi="Arial" w:cs="Arial"/>
        </w:rPr>
        <w:t xml:space="preserve">4. Exigir a las autoridades competentes de la Función Ejecutiva, en coordinación con las funciones Legislativa, Judicial y de Transparencia y Control Social, la realización de una exhaustiva investigación de los hechos acontecidos en los centros de rehabilitación social del país, conducente a la determinación de responsabilidades civiles, penales, administrativas o políticas que correspondan, por parte de quienes, por su acción u omisión, ocasionaron hechos de tal gravedad. </w:t>
      </w:r>
    </w:p>
    <w:p w14:paraId="40A1CE83" w14:textId="77777777" w:rsidR="009E0A9E" w:rsidRPr="00775AE5" w:rsidRDefault="009E0A9E" w:rsidP="009E0A9E">
      <w:pPr>
        <w:pStyle w:val="Citas"/>
        <w:rPr>
          <w:rFonts w:ascii="Arial" w:hAnsi="Arial" w:cs="Arial"/>
        </w:rPr>
      </w:pPr>
      <w:r w:rsidRPr="00775AE5">
        <w:rPr>
          <w:rFonts w:ascii="Arial" w:hAnsi="Arial" w:cs="Arial"/>
        </w:rPr>
        <w:t xml:space="preserve">5. Ordenar a la DPE que continúe con el seguimiento del estado de la situación de los derechos de las personas privadas de la libertad en los centros que conforman el Sistema Nacional de Rehabilitación Social del país, así como respecto del proceso de diseño, aprobación e implementación de la política pública de rehabilitación social, e informe a esta Corte de manera trimestral, en conjunto con la información que remite en la fase de seguimiento al cumplimiento de la sentencia </w:t>
      </w:r>
      <w:proofErr w:type="spellStart"/>
      <w:r w:rsidRPr="00775AE5">
        <w:rPr>
          <w:rFonts w:ascii="Arial" w:hAnsi="Arial" w:cs="Arial"/>
        </w:rPr>
        <w:t>N°</w:t>
      </w:r>
      <w:proofErr w:type="spellEnd"/>
      <w:r w:rsidRPr="00775AE5">
        <w:rPr>
          <w:rFonts w:ascii="Arial" w:hAnsi="Arial" w:cs="Arial"/>
        </w:rPr>
        <w:t xml:space="preserve"> 1-13-SAN-CC, dictada en la causa </w:t>
      </w:r>
      <w:proofErr w:type="spellStart"/>
      <w:r w:rsidRPr="00775AE5">
        <w:rPr>
          <w:rFonts w:ascii="Arial" w:hAnsi="Arial" w:cs="Arial"/>
        </w:rPr>
        <w:t>N°</w:t>
      </w:r>
      <w:proofErr w:type="spellEnd"/>
      <w:r w:rsidRPr="00775AE5">
        <w:rPr>
          <w:rFonts w:ascii="Arial" w:hAnsi="Arial" w:cs="Arial"/>
        </w:rPr>
        <w:t xml:space="preserve"> 14-12-AN. </w:t>
      </w:r>
    </w:p>
    <w:p w14:paraId="1A7C558D" w14:textId="77777777" w:rsidR="009E0A9E" w:rsidRPr="00775AE5" w:rsidRDefault="009E0A9E" w:rsidP="009E0A9E">
      <w:pPr>
        <w:pStyle w:val="Citas"/>
        <w:rPr>
          <w:rFonts w:ascii="Arial" w:hAnsi="Arial" w:cs="Arial"/>
        </w:rPr>
      </w:pPr>
      <w:r w:rsidRPr="00775AE5">
        <w:rPr>
          <w:rFonts w:ascii="Arial" w:hAnsi="Arial" w:cs="Arial"/>
        </w:rPr>
        <w:t xml:space="preserve">6. Recordar a la DPE su obligación de activar los mecanismos judiciales que considere pertinentes en aras de proteger los derechos de las personas privadas de libertad, para lo cual sugiere la participación de los servidores encargados directamente de la activación de acciones judiciales en las visitas a los distintos centros de privación de libertad. </w:t>
      </w:r>
    </w:p>
    <w:p w14:paraId="2EEAD385" w14:textId="77777777" w:rsidR="009E0A9E" w:rsidRPr="00775AE5" w:rsidRDefault="009E0A9E" w:rsidP="009E0A9E">
      <w:pPr>
        <w:pStyle w:val="Citas"/>
        <w:rPr>
          <w:rFonts w:ascii="Arial" w:hAnsi="Arial" w:cs="Arial"/>
        </w:rPr>
      </w:pPr>
      <w:r w:rsidRPr="00775AE5">
        <w:rPr>
          <w:rFonts w:ascii="Arial" w:hAnsi="Arial" w:cs="Arial"/>
        </w:rPr>
        <w:t xml:space="preserve">7. Requerir a la Sala Especializada de lo Penal, Penal Militar, Penal Policial y Tránsito de la Corte Provincial de Justicia de Pichincha que adopte la sentencia con la celeridad que demanda la gravedad de la situación en la que se encuentra el sistema penitenciario, y remita la sentencia ejecutoriada, en cumplimiento de lo dispuesto en los artículos 86, numeral 5 de la Constitución de la República, y 25, numeral 1 de la LOGJCC. </w:t>
      </w:r>
    </w:p>
    <w:p w14:paraId="01C1723B" w14:textId="77777777" w:rsidR="009E0A9E" w:rsidRPr="00775AE5" w:rsidRDefault="009E0A9E" w:rsidP="009E0A9E">
      <w:pPr>
        <w:pStyle w:val="Citas"/>
        <w:rPr>
          <w:rFonts w:ascii="Arial" w:hAnsi="Arial" w:cs="Arial"/>
        </w:rPr>
      </w:pPr>
      <w:r w:rsidRPr="00775AE5">
        <w:rPr>
          <w:rFonts w:ascii="Arial" w:hAnsi="Arial" w:cs="Arial"/>
        </w:rPr>
        <w:t xml:space="preserve">8. Disponer al SNAI que investigue, determine responsabilidades y, de ser el caso, establezca las sanciones correspondientes por el presunto impedimento a las servidoras y servidores de la DPE para acceder al centro de privación de libertad No.3 de Quito durante el estado de excepción. El SNAI deberá informar sobre lo mencionado a esta Corte, en el plazo de 20 días, contados desde la notificación del presente auto. </w:t>
      </w:r>
    </w:p>
    <w:p w14:paraId="7547FDE6" w14:textId="77777777" w:rsidR="009E0A9E" w:rsidRPr="00775AE5" w:rsidRDefault="009E0A9E" w:rsidP="009E0A9E">
      <w:pPr>
        <w:pStyle w:val="Citas"/>
        <w:rPr>
          <w:rFonts w:ascii="Arial" w:hAnsi="Arial" w:cs="Arial"/>
        </w:rPr>
      </w:pPr>
      <w:r w:rsidRPr="00775AE5">
        <w:rPr>
          <w:rFonts w:ascii="Arial" w:hAnsi="Arial" w:cs="Arial"/>
        </w:rPr>
        <w:t>9. La Corte enfatiza la obligación de las autoridades que conforman el Directorio del Organismo Técnico del Sistema Nacional de Rehabilitación Social de dar cumplimiento de forma integral a los dictámenes constitucionales N.º 4-20-EE/20 y 6-20-EE/20 e informar oportunamente sobre sus acciones, conforme los plazos dispuestos en el presente auto.</w:t>
      </w:r>
    </w:p>
    <w:p w14:paraId="65E450CC" w14:textId="77777777" w:rsidR="009E0A9E" w:rsidRPr="00775AE5" w:rsidRDefault="009E0A9E" w:rsidP="009E0A9E">
      <w:pPr>
        <w:spacing w:line="276" w:lineRule="auto"/>
        <w:ind w:right="141"/>
        <w:jc w:val="both"/>
        <w:rPr>
          <w:rFonts w:ascii="Arial" w:eastAsia="DejaVu Sans" w:hAnsi="Arial" w:cs="Arial"/>
          <w:sz w:val="22"/>
          <w:szCs w:val="22"/>
          <w:lang w:val="es-ES" w:eastAsia="es-EC"/>
        </w:rPr>
      </w:pPr>
    </w:p>
    <w:p w14:paraId="2F30FCA7" w14:textId="77777777" w:rsidR="009E0A9E" w:rsidRPr="00775AE5" w:rsidRDefault="009E0A9E" w:rsidP="009E0A9E">
      <w:pPr>
        <w:spacing w:line="276" w:lineRule="auto"/>
        <w:ind w:right="141"/>
        <w:jc w:val="both"/>
        <w:rPr>
          <w:rFonts w:ascii="Arial" w:eastAsia="DejaVu Sans" w:hAnsi="Arial" w:cs="Arial"/>
          <w:sz w:val="22"/>
          <w:szCs w:val="22"/>
          <w:lang w:val="es-VE" w:eastAsia="es-EC"/>
        </w:rPr>
      </w:pPr>
    </w:p>
    <w:p w14:paraId="05595A88" w14:textId="77777777" w:rsidR="009E0A9E" w:rsidRPr="00775AE5" w:rsidRDefault="009E0A9E" w:rsidP="009E0A9E">
      <w:pPr>
        <w:spacing w:line="276" w:lineRule="auto"/>
        <w:ind w:right="141"/>
        <w:jc w:val="both"/>
        <w:rPr>
          <w:rFonts w:ascii="Arial" w:hAnsi="Arial" w:cs="Arial"/>
          <w:sz w:val="22"/>
          <w:szCs w:val="22"/>
        </w:rPr>
      </w:pPr>
      <w:r w:rsidRPr="00775AE5">
        <w:rPr>
          <w:rFonts w:ascii="Arial" w:eastAsia="DejaVu Sans" w:hAnsi="Arial" w:cs="Arial"/>
          <w:sz w:val="22"/>
          <w:szCs w:val="22"/>
          <w:lang w:val="es-VE" w:eastAsia="es-EC"/>
        </w:rPr>
        <w:t>Con Decreto Ejecutivo Nro. 210 de fecha 29 de septiembre de 2021, el Presidente Constitucional de la República del Ecuador, declaró el estado de excepción en todos los centros de privación de libertad (CPL) que integran el sistema de rehabilitación social a nivel nacional, por el plazo de 60 días. La razón de la declaratoria del estado de</w:t>
      </w:r>
      <w:r w:rsidRPr="00775AE5">
        <w:rPr>
          <w:rFonts w:ascii="Arial" w:hAnsi="Arial" w:cs="Arial"/>
          <w:sz w:val="22"/>
          <w:szCs w:val="22"/>
        </w:rPr>
        <w:t xml:space="preserve"> excepción en las cárceles del país, es la grave conmoción interna que se vive en los mismos; y se fundamenta “en las circunstancias que han afectado gravemente los derechos de las personas privadas de libertad, del personal del cuerpo de seguridad penitenciaria y de miembros de la Policía Nacional, en especial sus derechos a la integridad personal y a la vida”; por lo que uno de sus fines es el “controlar las circunstancias que han alterado el funcionamiento del sistema penitenciario, reestablecer la convivencia pacífica, el orden y el normal funcionamiento de estos, a efectos de que los centros puedan cumplir con su misión constitucional de rehabilitación social.” </w:t>
      </w:r>
    </w:p>
    <w:p w14:paraId="4FF2BEF0" w14:textId="77777777" w:rsidR="009E0A9E" w:rsidRPr="00775AE5" w:rsidRDefault="009E0A9E" w:rsidP="009E0A9E">
      <w:pPr>
        <w:spacing w:line="276" w:lineRule="auto"/>
        <w:ind w:right="141"/>
        <w:jc w:val="both"/>
        <w:rPr>
          <w:rFonts w:ascii="Arial" w:hAnsi="Arial" w:cs="Arial"/>
          <w:sz w:val="22"/>
          <w:szCs w:val="22"/>
        </w:rPr>
      </w:pPr>
    </w:p>
    <w:p w14:paraId="2E93EB7C" w14:textId="77777777" w:rsidR="009E0A9E" w:rsidRPr="00775AE5" w:rsidRDefault="009E0A9E" w:rsidP="009E0A9E">
      <w:pPr>
        <w:spacing w:line="276" w:lineRule="auto"/>
        <w:ind w:right="141"/>
        <w:jc w:val="both"/>
        <w:rPr>
          <w:rFonts w:ascii="Arial" w:hAnsi="Arial" w:cs="Arial"/>
          <w:sz w:val="22"/>
          <w:szCs w:val="22"/>
        </w:rPr>
      </w:pPr>
      <w:r w:rsidRPr="00775AE5">
        <w:rPr>
          <w:rFonts w:ascii="Arial" w:hAnsi="Arial" w:cs="Arial"/>
          <w:sz w:val="22"/>
          <w:szCs w:val="22"/>
        </w:rPr>
        <w:t xml:space="preserve">Dentro de las medidas para cumplir los mencionados fines se dispone la movilización en todo el territorio nacional hacia los centros de privación de libertad de las entidades de la administración pública central e institucional, especialmente del Servicio Nacional de Atención Integral a Personas Adultas Privadas de Libertad y Adolescentes Infractores (SNAI), Fuerzas Armadas y Policía Nacional, coordinando sus acciones para mantener el orden al interior de los centros, y prevenir nuevos acontecimientos de violencia. Se entrega a la Policía Nacional y Fuerzas Armadas la tarea reforzar la seguridad interna y perimetral de los centros de privación de libertad, las vías y las zonas de influencia de estos, en coordinación con el SNAI y demás instituciones competentes. El 28 de noviembre del 2021se renovó por 30 días más el estado de excepción en todos los centros carcelarios del país, tras el asesinato de 65 personas en la Penitenciaría del Litoral. </w:t>
      </w:r>
    </w:p>
    <w:p w14:paraId="7BBDB5E8" w14:textId="77777777" w:rsidR="009E0A9E" w:rsidRPr="00775AE5" w:rsidRDefault="009E0A9E" w:rsidP="009E0A9E">
      <w:pPr>
        <w:spacing w:line="276" w:lineRule="auto"/>
        <w:ind w:right="141"/>
        <w:jc w:val="both"/>
        <w:rPr>
          <w:rFonts w:ascii="Arial" w:hAnsi="Arial" w:cs="Arial"/>
          <w:sz w:val="22"/>
          <w:szCs w:val="22"/>
        </w:rPr>
      </w:pPr>
    </w:p>
    <w:p w14:paraId="37F87886" w14:textId="40A4DEAF" w:rsidR="009E0A9E" w:rsidRPr="00775AE5" w:rsidRDefault="009E0A9E" w:rsidP="009E0A9E">
      <w:pPr>
        <w:spacing w:line="276" w:lineRule="auto"/>
        <w:jc w:val="both"/>
        <w:rPr>
          <w:rFonts w:ascii="Arial" w:hAnsi="Arial" w:cs="Arial"/>
          <w:sz w:val="22"/>
          <w:szCs w:val="22"/>
          <w:lang w:val="es-MX"/>
        </w:rPr>
      </w:pPr>
      <w:r w:rsidRPr="00775AE5">
        <w:rPr>
          <w:rFonts w:ascii="Arial" w:hAnsi="Arial" w:cs="Arial"/>
          <w:sz w:val="22"/>
          <w:szCs w:val="22"/>
        </w:rPr>
        <w:t xml:space="preserve">Otros 8 estados de excepción de decretaron además de los ya mencionados, hasta abril del 2023, justificados en temas de seguridad nacional. Hasta que en agosto del 2023, tras la muerte del candidato a la presidencia Fernando Villavicencio, activó la declaración de </w:t>
      </w:r>
      <w:r w:rsidR="00434BA9">
        <w:rPr>
          <w:rFonts w:ascii="Arial" w:hAnsi="Arial" w:cs="Arial"/>
          <w:sz w:val="22"/>
          <w:szCs w:val="22"/>
        </w:rPr>
        <w:t xml:space="preserve">un </w:t>
      </w:r>
      <w:r w:rsidRPr="00775AE5">
        <w:rPr>
          <w:rFonts w:ascii="Arial" w:hAnsi="Arial" w:cs="Arial"/>
          <w:sz w:val="22"/>
          <w:szCs w:val="22"/>
        </w:rPr>
        <w:t xml:space="preserve">nuevo estado de excepción. Los últimos que involucran directamente acciones en los centros de privación de libertad son los </w:t>
      </w:r>
      <w:r w:rsidRPr="00775AE5">
        <w:rPr>
          <w:rFonts w:ascii="Arial" w:hAnsi="Arial" w:cs="Arial"/>
          <w:sz w:val="22"/>
          <w:szCs w:val="22"/>
          <w:lang w:val="es-MX"/>
        </w:rPr>
        <w:t xml:space="preserve">Decretos Ejecutivos </w:t>
      </w:r>
      <w:proofErr w:type="spellStart"/>
      <w:r w:rsidRPr="00775AE5">
        <w:rPr>
          <w:rFonts w:ascii="Arial" w:hAnsi="Arial" w:cs="Arial"/>
          <w:sz w:val="22"/>
          <w:szCs w:val="22"/>
          <w:lang w:val="es-MX"/>
        </w:rPr>
        <w:t>N°</w:t>
      </w:r>
      <w:proofErr w:type="spellEnd"/>
      <w:r w:rsidRPr="00775AE5">
        <w:rPr>
          <w:rFonts w:ascii="Arial" w:hAnsi="Arial" w:cs="Arial"/>
          <w:sz w:val="22"/>
          <w:szCs w:val="22"/>
          <w:lang w:val="es-MX"/>
        </w:rPr>
        <w:t xml:space="preserve"> 110 y N°111, que declaran el Estado de Excepción en todo el territorio nacional por grave conmoción interna; y cuya aplicación ha tenido injerencia en los centros de privación de libertad que integran el Sistema Nacional de Rehabilitación social, donde el rol de la fuerza pública ha sido similar al de decretos que les anteceden. </w:t>
      </w:r>
    </w:p>
    <w:p w14:paraId="52346E3E" w14:textId="77777777" w:rsidR="009E0A9E" w:rsidRPr="00775AE5" w:rsidRDefault="009E0A9E" w:rsidP="009E0A9E">
      <w:pPr>
        <w:spacing w:line="276" w:lineRule="auto"/>
        <w:jc w:val="both"/>
        <w:rPr>
          <w:rFonts w:ascii="Arial" w:hAnsi="Arial" w:cs="Arial"/>
          <w:sz w:val="22"/>
          <w:szCs w:val="22"/>
          <w:lang w:val="es-MX"/>
        </w:rPr>
      </w:pPr>
    </w:p>
    <w:p w14:paraId="407617E4" w14:textId="77777777" w:rsidR="009E0A9E" w:rsidRPr="00775AE5" w:rsidRDefault="009E0A9E" w:rsidP="009E0A9E">
      <w:pPr>
        <w:spacing w:line="276" w:lineRule="auto"/>
        <w:jc w:val="both"/>
        <w:rPr>
          <w:rFonts w:ascii="Arial" w:hAnsi="Arial" w:cs="Arial"/>
          <w:sz w:val="22"/>
          <w:szCs w:val="22"/>
          <w:lang w:val="es-MX"/>
        </w:rPr>
      </w:pPr>
      <w:r w:rsidRPr="00775AE5">
        <w:rPr>
          <w:rFonts w:ascii="Arial" w:eastAsia="DejaVu Sans" w:hAnsi="Arial" w:cs="Arial"/>
          <w:sz w:val="22"/>
          <w:szCs w:val="22"/>
          <w:lang w:val="es-VE" w:eastAsia="es-EC"/>
        </w:rPr>
        <w:t xml:space="preserve">La Corte Constitucional del Ecuador emitió Dictamen favorable de constitucionalidad a la declaratoria de estado de excepción y renovación de la misma, y dispuso a la Defensoría del Pueblo mediante dictamen </w:t>
      </w:r>
      <w:r w:rsidRPr="00775AE5">
        <w:rPr>
          <w:rFonts w:ascii="Arial" w:hAnsi="Arial" w:cs="Arial"/>
          <w:sz w:val="22"/>
          <w:szCs w:val="22"/>
          <w:lang w:val="es-MX"/>
        </w:rPr>
        <w:t>1-24-EE/24 y 2/24-EE/24, lo siguiente: “</w:t>
      </w:r>
      <w:r w:rsidRPr="00775AE5">
        <w:rPr>
          <w:rFonts w:ascii="Arial" w:hAnsi="Arial" w:cs="Arial"/>
          <w:i/>
          <w:color w:val="000000"/>
          <w:sz w:val="22"/>
          <w:szCs w:val="22"/>
          <w:lang w:val="es-MX" w:eastAsia="ja-JP"/>
        </w:rPr>
        <w:t>en el marco de sus competencias constitucionales y legales, realice el seguimiento a las acciones que corresponden al estado de excepción contenido en los Decretos Ejecutivos 110, 111 y 135 e informe al respecto a la Corte Constitucional”</w:t>
      </w:r>
      <w:r w:rsidRPr="00775AE5">
        <w:rPr>
          <w:rFonts w:ascii="Arial" w:hAnsi="Arial" w:cs="Arial"/>
          <w:color w:val="000000"/>
          <w:sz w:val="22"/>
          <w:szCs w:val="22"/>
          <w:lang w:val="es-MX" w:eastAsia="ja-JP"/>
        </w:rPr>
        <w:t xml:space="preserve">. </w:t>
      </w:r>
    </w:p>
    <w:p w14:paraId="0D7F57BA" w14:textId="77777777" w:rsidR="009E0A9E" w:rsidRPr="00775AE5" w:rsidRDefault="009E0A9E" w:rsidP="009E0A9E">
      <w:pPr>
        <w:spacing w:line="276" w:lineRule="auto"/>
        <w:jc w:val="both"/>
        <w:rPr>
          <w:rFonts w:ascii="Arial" w:hAnsi="Arial" w:cs="Arial"/>
          <w:sz w:val="22"/>
          <w:szCs w:val="22"/>
          <w:lang w:val="es-MX"/>
        </w:rPr>
      </w:pPr>
    </w:p>
    <w:p w14:paraId="69554280" w14:textId="77777777" w:rsidR="009E0A9E" w:rsidRPr="00775AE5" w:rsidRDefault="009E0A9E" w:rsidP="009E0A9E">
      <w:pPr>
        <w:spacing w:line="276" w:lineRule="auto"/>
        <w:jc w:val="both"/>
        <w:rPr>
          <w:rFonts w:ascii="Arial" w:hAnsi="Arial" w:cs="Arial"/>
          <w:sz w:val="22"/>
          <w:szCs w:val="22"/>
          <w:lang w:val="es-MX"/>
        </w:rPr>
      </w:pPr>
      <w:r w:rsidRPr="00775AE5">
        <w:rPr>
          <w:rFonts w:ascii="Arial" w:hAnsi="Arial" w:cs="Arial"/>
          <w:sz w:val="22"/>
          <w:szCs w:val="22"/>
          <w:lang w:val="es-MX"/>
        </w:rPr>
        <w:t>Entre algunas preocupaciones del MNPT frente a las visitas realizadas durante la vigencia del último de excepción y de la información recolectada está:</w:t>
      </w:r>
    </w:p>
    <w:p w14:paraId="06E510BB" w14:textId="77777777" w:rsidR="009E0A9E" w:rsidRPr="00775AE5" w:rsidRDefault="009E0A9E" w:rsidP="009E0A9E">
      <w:pPr>
        <w:spacing w:line="276" w:lineRule="auto"/>
        <w:jc w:val="both"/>
        <w:rPr>
          <w:rFonts w:ascii="Arial" w:hAnsi="Arial" w:cs="Arial"/>
          <w:sz w:val="22"/>
          <w:szCs w:val="22"/>
          <w:lang w:val="es-MX"/>
        </w:rPr>
      </w:pPr>
    </w:p>
    <w:p w14:paraId="1CBF7C73" w14:textId="77777777" w:rsidR="009E0A9E" w:rsidRPr="00775AE5" w:rsidRDefault="009E0A9E" w:rsidP="009E0A9E">
      <w:pPr>
        <w:pStyle w:val="ListParagraph"/>
        <w:spacing w:line="276" w:lineRule="auto"/>
        <w:ind w:right="141"/>
        <w:jc w:val="both"/>
        <w:rPr>
          <w:rFonts w:ascii="Arial" w:eastAsia="DejaVu Sans" w:hAnsi="Arial" w:cs="Arial"/>
          <w:sz w:val="22"/>
          <w:szCs w:val="22"/>
          <w:lang w:val="es-VE" w:eastAsia="es-EC"/>
        </w:rPr>
      </w:pPr>
    </w:p>
    <w:p w14:paraId="79160930" w14:textId="77777777" w:rsidR="009E0A9E" w:rsidRPr="00775AE5" w:rsidRDefault="009E0A9E" w:rsidP="00B17DD2">
      <w:pPr>
        <w:numPr>
          <w:ilvl w:val="0"/>
          <w:numId w:val="17"/>
        </w:num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La única medida que se sigue implementando es la relacionada con el tema de seguridad, esto es la movilización de la Fuerza Pública: Fuerzas Armadas y Policía Nacional. Pese a ello los incidentes de violencia al interior de los centros de privación de libertad no se han detenido y se siguen agudizando.</w:t>
      </w:r>
    </w:p>
    <w:p w14:paraId="5D6B663B" w14:textId="77777777" w:rsidR="009E0A9E" w:rsidRPr="00775AE5" w:rsidRDefault="009E0A9E" w:rsidP="00B17DD2">
      <w:pPr>
        <w:numPr>
          <w:ilvl w:val="0"/>
          <w:numId w:val="17"/>
        </w:num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tema del hacinamiento no ha sido resuelto, tampoco se han tomado medidas concretas y adecuadas para solucionar el mismo. </w:t>
      </w:r>
    </w:p>
    <w:p w14:paraId="7C3DBF92" w14:textId="77777777" w:rsidR="009E0A9E" w:rsidRPr="00775AE5" w:rsidRDefault="009E0A9E" w:rsidP="00B17DD2">
      <w:pPr>
        <w:numPr>
          <w:ilvl w:val="0"/>
          <w:numId w:val="17"/>
        </w:num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El presupuesto asignado sigue siendo insuficiente para solucionar la crisis que atraviesa el sistema de rehabilitación social.</w:t>
      </w:r>
    </w:p>
    <w:p w14:paraId="67EB3195" w14:textId="5D8D8ACE" w:rsidR="009E0A9E" w:rsidRPr="00775AE5" w:rsidRDefault="009E0A9E" w:rsidP="00B17DD2">
      <w:pPr>
        <w:numPr>
          <w:ilvl w:val="0"/>
          <w:numId w:val="17"/>
        </w:num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Las declaratorias del Estado de Excepción no ha cumplido con el objetivo de atender las problemáticas estructurales que afronta desde larga data el Sistema de Rehabilitación Social y solucionar </w:t>
      </w:r>
      <w:r w:rsidR="00434BA9" w:rsidRPr="00775AE5">
        <w:rPr>
          <w:rFonts w:ascii="Arial" w:eastAsia="DejaVu Sans" w:hAnsi="Arial" w:cs="Arial"/>
          <w:sz w:val="22"/>
          <w:szCs w:val="22"/>
          <w:lang w:val="es-VE" w:eastAsia="es-EC"/>
        </w:rPr>
        <w:t>las necesidades</w:t>
      </w:r>
      <w:r w:rsidRPr="00775AE5">
        <w:rPr>
          <w:rFonts w:ascii="Arial" w:eastAsia="DejaVu Sans" w:hAnsi="Arial" w:cs="Arial"/>
          <w:sz w:val="22"/>
          <w:szCs w:val="22"/>
          <w:lang w:val="es-VE" w:eastAsia="es-EC"/>
        </w:rPr>
        <w:t xml:space="preserve"> emergentes del sistema de rehabilitación social a fin de precautelar los derechos de las personas privadas de libertad como grupo de atención prioritaria. A esto se suma que no se ha implementado una política criminal y de prevención del delito.</w:t>
      </w:r>
    </w:p>
    <w:p w14:paraId="5FE335F3" w14:textId="77777777" w:rsidR="00434BA9" w:rsidRDefault="009E0A9E" w:rsidP="00B17DD2">
      <w:pPr>
        <w:numPr>
          <w:ilvl w:val="0"/>
          <w:numId w:val="17"/>
        </w:num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Organismo Técnico del Sistema de Rehabilitación Social no se ha reunido desde  </w:t>
      </w:r>
    </w:p>
    <w:p w14:paraId="44DA108C" w14:textId="1A12D788" w:rsidR="009E0A9E" w:rsidRPr="00775AE5" w:rsidRDefault="009E0A9E" w:rsidP="00B17DD2">
      <w:pPr>
        <w:numPr>
          <w:ilvl w:val="0"/>
          <w:numId w:val="17"/>
        </w:numPr>
        <w:spacing w:line="276" w:lineRule="auto"/>
        <w:ind w:right="141"/>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con la regularidad necesaria para afrontar las necesidades a pesar de que se decretó y amplió el Estado de Excepción. </w:t>
      </w:r>
      <w:bookmarkStart w:id="24" w:name="_Toc44847366"/>
    </w:p>
    <w:p w14:paraId="7CB9A884" w14:textId="77777777" w:rsidR="009E0A9E" w:rsidRPr="00775AE5" w:rsidRDefault="009E0A9E" w:rsidP="00B17DD2">
      <w:pPr>
        <w:widowControl w:val="0"/>
        <w:numPr>
          <w:ilvl w:val="0"/>
          <w:numId w:val="17"/>
        </w:numPr>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Infraestructura deteriorada tanto en los CPL de adultos como de adolescentes infractores. </w:t>
      </w:r>
    </w:p>
    <w:p w14:paraId="7982D21A" w14:textId="77777777" w:rsidR="009E0A9E" w:rsidRPr="00775AE5" w:rsidRDefault="009E0A9E" w:rsidP="00B17DD2">
      <w:pPr>
        <w:widowControl w:val="0"/>
        <w:numPr>
          <w:ilvl w:val="0"/>
          <w:numId w:val="17"/>
        </w:numPr>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Las revisiones invasivas y de cavidades a las que son sometidas las mujeres familiares de las PPL, convirtiéndose en un atentado a la integridad de las personas. </w:t>
      </w:r>
    </w:p>
    <w:p w14:paraId="2AC31CEB" w14:textId="77777777" w:rsidR="009E0A9E" w:rsidRPr="00775AE5" w:rsidRDefault="009E0A9E" w:rsidP="00B17DD2">
      <w:pPr>
        <w:widowControl w:val="0"/>
        <w:numPr>
          <w:ilvl w:val="0"/>
          <w:numId w:val="17"/>
        </w:numPr>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Incremento de situaciones violentas al interior con resultado de muertes masivas. </w:t>
      </w:r>
    </w:p>
    <w:p w14:paraId="1A392563" w14:textId="77777777" w:rsidR="009E0A9E" w:rsidRPr="00775AE5" w:rsidRDefault="009E0A9E" w:rsidP="00B17DD2">
      <w:pPr>
        <w:widowControl w:val="0"/>
        <w:numPr>
          <w:ilvl w:val="0"/>
          <w:numId w:val="17"/>
        </w:numPr>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Quejas generalizadas sobre el servicio de alimentación debido a la cantidad y calidad de los alimentos, la falta de servicio permanente de agua potable. En el 2024 se realizó un informe respecto a la suspensión del servicio de alimentación. </w:t>
      </w:r>
    </w:p>
    <w:p w14:paraId="1D5BFB6B" w14:textId="77777777" w:rsidR="009E0A9E" w:rsidRPr="00775AE5" w:rsidRDefault="009E0A9E" w:rsidP="00B17DD2">
      <w:pPr>
        <w:widowControl w:val="0"/>
        <w:numPr>
          <w:ilvl w:val="0"/>
          <w:numId w:val="17"/>
        </w:numPr>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Traslado de PPL a CPL alejados de su lugar de origen o residencia habitual, que afecta directamente a su derecho de vinculación familiar, eje fundamental de la rehabilitación, sin que ello incida en reducir las problemáticas y efectos que causa el hacinamiento. </w:t>
      </w:r>
    </w:p>
    <w:p w14:paraId="6CC8F10A" w14:textId="77777777" w:rsidR="009E0A9E" w:rsidRPr="00775AE5" w:rsidRDefault="009E0A9E" w:rsidP="00B17DD2">
      <w:pPr>
        <w:widowControl w:val="0"/>
        <w:numPr>
          <w:ilvl w:val="0"/>
          <w:numId w:val="17"/>
        </w:numPr>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Limitado personal para la atención de los ejes de tratamiento.</w:t>
      </w:r>
    </w:p>
    <w:p w14:paraId="73D3FD2C" w14:textId="48368B68" w:rsidR="009E0A9E" w:rsidRPr="00775AE5" w:rsidRDefault="009E0A9E" w:rsidP="00B17DD2">
      <w:pPr>
        <w:widowControl w:val="0"/>
        <w:numPr>
          <w:ilvl w:val="0"/>
          <w:numId w:val="17"/>
        </w:numPr>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Falta de equipos tecnológicos de seguridad en los CPL, así como la falta de agentes de seguridad penitenciaria </w:t>
      </w:r>
      <w:r w:rsidR="00AC3F0B" w:rsidRPr="00775AE5">
        <w:rPr>
          <w:rFonts w:ascii="Arial" w:eastAsia="DejaVu Sans" w:hAnsi="Arial" w:cs="Arial"/>
          <w:sz w:val="22"/>
          <w:szCs w:val="22"/>
          <w:lang w:val="es-VE" w:eastAsia="es-EC"/>
        </w:rPr>
        <w:t>en relación con el</w:t>
      </w:r>
      <w:r w:rsidRPr="00775AE5">
        <w:rPr>
          <w:rFonts w:ascii="Arial" w:eastAsia="DejaVu Sans" w:hAnsi="Arial" w:cs="Arial"/>
          <w:sz w:val="22"/>
          <w:szCs w:val="22"/>
          <w:lang w:val="es-VE" w:eastAsia="es-EC"/>
        </w:rPr>
        <w:t xml:space="preserve"> número de PPL.</w:t>
      </w:r>
    </w:p>
    <w:p w14:paraId="26A47A98" w14:textId="77777777" w:rsidR="009E0A9E" w:rsidRPr="00775AE5" w:rsidRDefault="009E0A9E" w:rsidP="00B17DD2">
      <w:pPr>
        <w:widowControl w:val="0"/>
        <w:numPr>
          <w:ilvl w:val="0"/>
          <w:numId w:val="17"/>
        </w:numPr>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Falta de presupuesto para el cumplimiento de los objetivos del sistema de rehabilitación social.</w:t>
      </w:r>
    </w:p>
    <w:p w14:paraId="0EFFEB91" w14:textId="77777777" w:rsidR="009E0A9E" w:rsidRPr="00775AE5" w:rsidRDefault="009E0A9E" w:rsidP="00B17DD2">
      <w:pPr>
        <w:widowControl w:val="0"/>
        <w:numPr>
          <w:ilvl w:val="0"/>
          <w:numId w:val="17"/>
        </w:numPr>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La presencia de fuerzas armadas y policía nacional al interior de los CPL. Cuestión que no responde a sus atribuciones y que no cuentan en su totalidad con capacitación al respecto de derechos de las PPL y prevención de la tortura. </w:t>
      </w:r>
    </w:p>
    <w:p w14:paraId="0AFCE50F" w14:textId="77777777" w:rsidR="009E0A9E" w:rsidRPr="00775AE5" w:rsidRDefault="009E0A9E" w:rsidP="00B17DD2">
      <w:pPr>
        <w:widowControl w:val="0"/>
        <w:numPr>
          <w:ilvl w:val="0"/>
          <w:numId w:val="17"/>
        </w:numPr>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La aprobación en la Consulta Popular 2024 de nuevas atribuciones para las Fuerzas Armadas, que incluyen su presencia permanente en los CPL del Sistema Nacional de Rehabilitación Social. </w:t>
      </w:r>
    </w:p>
    <w:p w14:paraId="22EC1996" w14:textId="77777777" w:rsidR="009E0A9E" w:rsidRPr="00775AE5" w:rsidRDefault="009E0A9E" w:rsidP="009E0A9E">
      <w:pPr>
        <w:spacing w:line="276" w:lineRule="auto"/>
        <w:ind w:left="720" w:right="141"/>
        <w:jc w:val="both"/>
        <w:rPr>
          <w:rFonts w:ascii="Arial" w:eastAsia="DejaVu Sans" w:hAnsi="Arial" w:cs="Arial"/>
          <w:sz w:val="22"/>
          <w:szCs w:val="22"/>
          <w:highlight w:val="yellow"/>
          <w:lang w:val="es-VE" w:eastAsia="es-EC"/>
        </w:rPr>
      </w:pPr>
    </w:p>
    <w:bookmarkEnd w:id="24"/>
    <w:p w14:paraId="569E5E9E" w14:textId="77777777" w:rsidR="009E0A9E" w:rsidRPr="00775AE5" w:rsidRDefault="009E0A9E" w:rsidP="009E0A9E">
      <w:pPr>
        <w:spacing w:line="276" w:lineRule="auto"/>
        <w:rPr>
          <w:rFonts w:ascii="Arial" w:eastAsia="DejaVu Sans" w:hAnsi="Arial" w:cs="Arial"/>
          <w:sz w:val="22"/>
          <w:szCs w:val="22"/>
          <w:lang w:val="es-VE" w:eastAsia="es-EC"/>
        </w:rPr>
      </w:pPr>
    </w:p>
    <w:p w14:paraId="14A0A60C" w14:textId="77777777" w:rsidR="009E0A9E" w:rsidRPr="00775AE5" w:rsidRDefault="009E0A9E" w:rsidP="009E0A9E">
      <w:pPr>
        <w:pStyle w:val="Heading4"/>
        <w:spacing w:before="0" w:after="0" w:line="276" w:lineRule="auto"/>
        <w:rPr>
          <w:rFonts w:ascii="Arial" w:hAnsi="Arial" w:cs="Arial"/>
          <w:i w:val="0"/>
          <w:sz w:val="22"/>
          <w:szCs w:val="22"/>
          <w:lang w:val="es-ES"/>
        </w:rPr>
      </w:pPr>
      <w:r w:rsidRPr="00775AE5">
        <w:rPr>
          <w:rFonts w:ascii="Arial" w:hAnsi="Arial" w:cs="Arial"/>
          <w:i w:val="0"/>
          <w:sz w:val="22"/>
          <w:szCs w:val="22"/>
          <w:lang w:val="es-ES"/>
        </w:rPr>
        <w:t>1.3.2. Declaración de emergencia del Sistema Nacional de Rehabilitación Social y formulación de la Política Pública de Rehabilitación Social</w:t>
      </w:r>
    </w:p>
    <w:p w14:paraId="720EDB3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3EFDE54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A partir de la declaratoria de emergencia del sistema penitenciario en el año 2011, el Estado generó una nueva política pública con la que se quería implementar un nuevo modelo de gestión penitenciaria, mismo que debía ajustarse al objetivo constitucional de la rehabilitación social, para lo cual se construyeron los denominados centros de rehabilitación social regionales en Cuenca, Guayaquil y Latacunga que entraron en funcionamiento entre 2013 y 2014. La finalidad de estos centros era tener las condiciones físicas necesarias para implementar el referido nuevo modelo, y disminuir la presión del hacinamiento en los centros carcelarios a nivel nacional, pues se pretendía que las nuevas edificaciones alberguen a la mitad de la población penitenciaria del país.</w:t>
      </w:r>
    </w:p>
    <w:p w14:paraId="2D51326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F0764F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Sin embargo, a lo largo del tiempo, según lo que ha podido observar el MNPT durante sus visitas a los centros de rehabilitación social, la realidad dista mucho de los objetivos planteados por el sistema. Se ha evidenciado el constante incremento de la población penitenciaria a nivel nacional, verificando sobrepoblación en todos los centros de rehabilitación social provinciales y regionales visitados, comprobando tasas de hacinamiento que llegan a triplicar la capacidad de los mismos. </w:t>
      </w:r>
    </w:p>
    <w:p w14:paraId="79B87559"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347AC49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En ese sentido, se ha observado que el hacinamiento ha constituido un factor transversal que ha afecta al ejercicio de los derechos de las PPL, puesto que este ha impedido ofrecer condiciones dignas de habitabilidad, generando ambientes propicios para el contagio de enfermedades; dificulta el acceso a servicios básicos y falta de salubridad, restringe la participación de las PPL en actividades productivas, deportivas, educativas; además del acceso a servicios de salud, no ha permitido un grado de privacidad de las PPL ni de sus familiares al momento de visitas, impide la separación entre procesados y sentenciados, etc., afectando al derecho de una vida digna, integridad física, psicológica, moral y sexual de las PPL, y por consiguiente, incumpliendo los derechos y garantías de las PPL establecidos en la Constitución y en la normativa nacional e internacional sobre la materia.</w:t>
      </w:r>
    </w:p>
    <w:p w14:paraId="64D4354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3C0E05D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Por lo expuesto, desde la Defensoría del Pueblo y el MNPT solicitaron al SNAI la declaratoria de emergencia al sistema de rehabilitación social, con la finalidad de abordar la problemática estructural que afecta al sistema, en el cual debe existir una articulación con las distintas funciones que tienen una relación directa con el SNRS, para de esta manera, se diseñen e implementen políticas públicas integrales que permitan responder a la problemática actual que aqueja al sistema carcelario.</w:t>
      </w:r>
    </w:p>
    <w:p w14:paraId="010309C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C9A2C98" w14:textId="61748076"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En este contexto, y luego de algunas reuniones con el SNAI, esto sumado al aumento de la violencia intracarcelaria, llevó a que con fecha 16 de mayo de 2019, el Presidente Constitucional de la </w:t>
      </w:r>
      <w:r w:rsidR="00434BA9" w:rsidRPr="00775AE5">
        <w:rPr>
          <w:rFonts w:ascii="Arial" w:eastAsia="DejaVu Sans" w:hAnsi="Arial" w:cs="Arial"/>
          <w:sz w:val="22"/>
          <w:szCs w:val="22"/>
          <w:lang w:val="es-VE" w:eastAsia="es-EC"/>
        </w:rPr>
        <w:t>República</w:t>
      </w:r>
      <w:r w:rsidRPr="00775AE5">
        <w:rPr>
          <w:rFonts w:ascii="Arial" w:eastAsia="DejaVu Sans" w:hAnsi="Arial" w:cs="Arial"/>
          <w:sz w:val="22"/>
          <w:szCs w:val="22"/>
          <w:lang w:val="es-VE" w:eastAsia="es-EC"/>
        </w:rPr>
        <w:t>, mediante Decreto Ejecutivo No. 741 (Decreto No.754 de 27 de mayo de 2019, ampliación del estado de excepción), declare el Estado de Excepción en el Sistema de Rehabilitación Social a nivel nacional para atender las necesidades emergentes de dicho sistema; y con fecha 17 de mayo de 2019, a través de la Resolución Nro. SNAI-SNAI-2019-0005-R, el SNAI emitió la emergencia institucional.</w:t>
      </w:r>
    </w:p>
    <w:p w14:paraId="71ADAA3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E690EFA"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Sin embargo, la mencionada declaratoria no se tradujo en mejora alguna en las condiciones de vida de las personas privadas de libertad, a parte de algunas adecuaciones puntuales en algunos centros, mismos que no generaron el impacto deseado ante la grave situación por la que atravesaba y atraviesan los centros de privación de libertad a nivel nacional. </w:t>
      </w:r>
    </w:p>
    <w:p w14:paraId="0F704971"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1BE2580" w14:textId="09E521D5"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Lo propio sucedió con las subsiguientes declaratorias de estado de excepción en el 2020, detalladas en el apartado precedente. Esto generó el pronunciamiento de la Corte Constitucional, mediante </w:t>
      </w:r>
      <w:r w:rsidR="00434BA9" w:rsidRPr="00775AE5">
        <w:rPr>
          <w:rFonts w:ascii="Arial" w:eastAsia="DejaVu Sans" w:hAnsi="Arial" w:cs="Arial"/>
          <w:sz w:val="22"/>
          <w:szCs w:val="22"/>
          <w:lang w:val="es-VE" w:eastAsia="es-EC"/>
        </w:rPr>
        <w:t>dictamen</w:t>
      </w:r>
      <w:r w:rsidRPr="00775AE5">
        <w:rPr>
          <w:rFonts w:ascii="Arial" w:eastAsia="DejaVu Sans" w:hAnsi="Arial" w:cs="Arial"/>
          <w:sz w:val="22"/>
          <w:szCs w:val="22"/>
          <w:lang w:val="es-VE" w:eastAsia="es-EC"/>
        </w:rPr>
        <w:t xml:space="preserve"> signado con el </w:t>
      </w:r>
      <w:proofErr w:type="spellStart"/>
      <w:r w:rsidRPr="00775AE5">
        <w:rPr>
          <w:rFonts w:ascii="Arial" w:eastAsia="DejaVu Sans" w:hAnsi="Arial" w:cs="Arial"/>
          <w:sz w:val="22"/>
          <w:szCs w:val="22"/>
          <w:lang w:val="es-VE" w:eastAsia="es-EC"/>
        </w:rPr>
        <w:t>N°</w:t>
      </w:r>
      <w:proofErr w:type="spellEnd"/>
      <w:r w:rsidRPr="00775AE5">
        <w:rPr>
          <w:rFonts w:ascii="Arial" w:eastAsia="DejaVu Sans" w:hAnsi="Arial" w:cs="Arial"/>
          <w:sz w:val="22"/>
          <w:szCs w:val="22"/>
          <w:lang w:val="es-VE" w:eastAsia="es-EC"/>
        </w:rPr>
        <w:t xml:space="preserve"> 4-20-EE/20 respecto al Decreto Ejecutivo </w:t>
      </w:r>
      <w:proofErr w:type="spellStart"/>
      <w:r w:rsidRPr="00775AE5">
        <w:rPr>
          <w:rFonts w:ascii="Arial" w:eastAsia="DejaVu Sans" w:hAnsi="Arial" w:cs="Arial"/>
          <w:sz w:val="22"/>
          <w:szCs w:val="22"/>
          <w:lang w:val="es-VE" w:eastAsia="es-EC"/>
        </w:rPr>
        <w:t>N°</w:t>
      </w:r>
      <w:proofErr w:type="spellEnd"/>
      <w:r w:rsidRPr="00775AE5">
        <w:rPr>
          <w:rFonts w:ascii="Arial" w:eastAsia="DejaVu Sans" w:hAnsi="Arial" w:cs="Arial"/>
          <w:sz w:val="22"/>
          <w:szCs w:val="22"/>
          <w:lang w:val="es-VE" w:eastAsia="es-EC"/>
        </w:rPr>
        <w:t xml:space="preserve"> 1125 de 11 de agosto de 2020; y, el dictamen signado con el </w:t>
      </w:r>
      <w:proofErr w:type="spellStart"/>
      <w:r w:rsidRPr="00775AE5">
        <w:rPr>
          <w:rFonts w:ascii="Arial" w:eastAsia="DejaVu Sans" w:hAnsi="Arial" w:cs="Arial"/>
          <w:sz w:val="22"/>
          <w:szCs w:val="22"/>
          <w:lang w:val="es-VE" w:eastAsia="es-EC"/>
        </w:rPr>
        <w:t>N°</w:t>
      </w:r>
      <w:proofErr w:type="spellEnd"/>
      <w:r w:rsidRPr="00775AE5">
        <w:rPr>
          <w:rFonts w:ascii="Arial" w:eastAsia="DejaVu Sans" w:hAnsi="Arial" w:cs="Arial"/>
          <w:sz w:val="22"/>
          <w:szCs w:val="22"/>
          <w:lang w:val="es-VE" w:eastAsia="es-EC"/>
        </w:rPr>
        <w:t xml:space="preserve"> 6-20-EE/20 respecto al del Decreto Ejecutivo </w:t>
      </w:r>
      <w:proofErr w:type="spellStart"/>
      <w:r w:rsidRPr="00775AE5">
        <w:rPr>
          <w:rFonts w:ascii="Arial" w:eastAsia="DejaVu Sans" w:hAnsi="Arial" w:cs="Arial"/>
          <w:sz w:val="22"/>
          <w:szCs w:val="22"/>
          <w:lang w:val="es-VE" w:eastAsia="es-EC"/>
        </w:rPr>
        <w:t>N°</w:t>
      </w:r>
      <w:proofErr w:type="spellEnd"/>
      <w:r w:rsidRPr="00775AE5">
        <w:rPr>
          <w:rFonts w:ascii="Arial" w:eastAsia="DejaVu Sans" w:hAnsi="Arial" w:cs="Arial"/>
          <w:sz w:val="22"/>
          <w:szCs w:val="22"/>
          <w:lang w:val="es-VE" w:eastAsia="es-EC"/>
        </w:rPr>
        <w:t xml:space="preserve"> 1169 de 10 de octubre de 2020. Ambos dictámenes de constitucionalidad mantienen identidad de objeto en la fase de seguimiento, por lo cual la Corte Constitucional procedió a emitir un auto (Auto de fase de seguimiento No. 4-20-EE/21 y Acumulado Causa No.: 4-20-EE y 6-20-EE) para a la acumulación </w:t>
      </w:r>
      <w:r w:rsidR="00434BA9" w:rsidRPr="00775AE5">
        <w:rPr>
          <w:rFonts w:ascii="Arial" w:eastAsia="DejaVu Sans" w:hAnsi="Arial" w:cs="Arial"/>
          <w:sz w:val="22"/>
          <w:szCs w:val="22"/>
          <w:lang w:val="es-VE" w:eastAsia="es-EC"/>
        </w:rPr>
        <w:t>y verificación</w:t>
      </w:r>
      <w:r w:rsidRPr="00775AE5">
        <w:rPr>
          <w:rFonts w:ascii="Arial" w:eastAsia="DejaVu Sans" w:hAnsi="Arial" w:cs="Arial"/>
          <w:sz w:val="22"/>
          <w:szCs w:val="22"/>
          <w:lang w:val="es-VE" w:eastAsia="es-EC"/>
        </w:rPr>
        <w:t xml:space="preserve"> conjunta. </w:t>
      </w:r>
    </w:p>
    <w:p w14:paraId="56B19B35"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69C15D2" w14:textId="2549472F"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En el mencionado se </w:t>
      </w:r>
      <w:r w:rsidR="00434BA9" w:rsidRPr="00775AE5">
        <w:rPr>
          <w:rFonts w:ascii="Arial" w:eastAsia="DejaVu Sans" w:hAnsi="Arial" w:cs="Arial"/>
          <w:sz w:val="22"/>
          <w:szCs w:val="22"/>
          <w:lang w:val="es-VE" w:eastAsia="es-EC"/>
        </w:rPr>
        <w:t>decidió</w:t>
      </w:r>
      <w:r w:rsidRPr="00775AE5">
        <w:rPr>
          <w:rFonts w:ascii="Arial" w:eastAsia="DejaVu Sans" w:hAnsi="Arial" w:cs="Arial"/>
          <w:sz w:val="22"/>
          <w:szCs w:val="22"/>
          <w:lang w:val="es-VE" w:eastAsia="es-EC"/>
        </w:rPr>
        <w:t>: “</w:t>
      </w:r>
      <w:r w:rsidRPr="00775AE5">
        <w:rPr>
          <w:rFonts w:ascii="Arial" w:eastAsia="DejaVu Sans" w:hAnsi="Arial" w:cs="Arial"/>
          <w:i/>
          <w:sz w:val="22"/>
          <w:szCs w:val="22"/>
          <w:lang w:val="es-VE" w:eastAsia="es-EC"/>
        </w:rPr>
        <w:t>Disponer al presidente de la República que, a través de la doctora Johana Pesántez Benítez, Secretaria General Jurídica de la Presidencia, convoque al Directorio del Organismo Técnico de Sistema Nacional de Rehabilitación Social. Este Directorio deberá instalarse en sesión permanente de manera inmediata para que, con base en el Plan de Acción propuesto por el SNAI y con la más amplia participación de los sectores involucrados, de conformidad con el artículo 85 de la Constitución</w:t>
      </w:r>
      <w:r w:rsidRPr="00775AE5">
        <w:rPr>
          <w:rFonts w:ascii="Arial" w:eastAsia="DejaVu Sans" w:hAnsi="Arial" w:cs="Arial"/>
          <w:sz w:val="22"/>
          <w:szCs w:val="22"/>
          <w:lang w:val="es-VE" w:eastAsia="es-EC"/>
        </w:rPr>
        <w:t>”</w:t>
      </w:r>
    </w:p>
    <w:p w14:paraId="5CFE03C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7E32E0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Ministerio de Gobierno mediante oficio Nro. MDG-2021-1423-of, del 12 de mayo del 2021, nos socializó la “Política Nacional del Sistema de Rehabilitación Social” y convocó a una Mesa Técnica para su validación. El horizonte de cumplimiento de esta política fue de 2020 a 2021, con consistencia con el periodo de gobierno de ese entonces. Esta política fue aprobada pese a las observaciones emitidas por la Defensoría del Pueblo. </w:t>
      </w:r>
    </w:p>
    <w:p w14:paraId="0169826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7BBBA2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Con la entrada de la nueva administración, y frente a los continuos hechos de violencia al interior de los centros de privación de libertad, se convocó a las diferentes instituciones vinculadas al Sistema Nacional de Rehabilitación Social para construir una nueva política pública con enfoque de derechos humanos. </w:t>
      </w:r>
    </w:p>
    <w:p w14:paraId="07E127C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3BF2E9E" w14:textId="77777777" w:rsidR="009E0A9E" w:rsidRPr="00775AE5" w:rsidRDefault="009E0A9E" w:rsidP="009E0A9E">
      <w:pPr>
        <w:shd w:val="clear" w:color="auto" w:fill="FFFFFF"/>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El proceso de construcción de este documento de política pública se desarrolló entre los meses de octubre de 2021 y febrero de 2022 y contó con el apoyo y asesoría del Alto Comisionado de Naciones Unidas para los Derechos Humanos (ACNUDH). Su construcción culminó con la aprobación del documento por unanimidad en sesión del Directorio del Organismo Técnico del Sistema Nacional de Rehabilitación Social de fecha 21 de febrero de 2022</w:t>
      </w:r>
      <w:r w:rsidRPr="00775AE5">
        <w:rPr>
          <w:rStyle w:val="FootnoteReference"/>
          <w:rFonts w:ascii="Arial" w:eastAsia="DejaVu Sans" w:hAnsi="Arial" w:cs="Arial"/>
          <w:sz w:val="22"/>
          <w:szCs w:val="22"/>
          <w:lang w:val="es-VE" w:eastAsia="es-EC"/>
        </w:rPr>
        <w:footnoteReference w:id="38"/>
      </w:r>
      <w:r w:rsidRPr="00775AE5">
        <w:rPr>
          <w:rFonts w:ascii="Arial" w:eastAsia="DejaVu Sans" w:hAnsi="Arial" w:cs="Arial"/>
          <w:sz w:val="22"/>
          <w:szCs w:val="22"/>
          <w:lang w:val="es-VE" w:eastAsia="es-EC"/>
        </w:rPr>
        <w:t>. Posterior a su aprobación fue validada por la Secretaría Nacional de Planificación con base a la “Guía metodológica para la formulación de política pública”, mediante Oficio Nro. SNP-SPN-2022-0339-OF de 09 de marzo de 2022.  </w:t>
      </w:r>
    </w:p>
    <w:p w14:paraId="386C47E1"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D0E4C78"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La ex Secretaría de Derechos Humanos, actual Ministerio de la Mujer y Derechos Humanos, como parte de la ejecución de la Política Pública de la Rehabilitación Social 2022–2025, conformó mesas técnicas, desarrolladas entre el 19 de abril y el 06 de mayo de 2022, con la participación de las entidades a cargo de la ejecución de esta política, en dónde definieron 32 indicadores que fueron aprobados por unanimidad en sesión extraordinaria del DOT-SNRS, al igual que las 308 Líneas de Acción de la Política Pública de Rehabilitación Social.  Las Líneas de Acción definitivas de la PPRS, fueron aprobadas por unanimidad en sesión extraordinaria del DOT-SNRS de fecha 21 de febrero de 2022.</w:t>
      </w:r>
    </w:p>
    <w:p w14:paraId="1898673F"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p>
    <w:p w14:paraId="29BD9296"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En marzo de 2023 se emitió por parte del Ministerio de la Mujer y Derechos Humanos, como ente que preside el Directorio del Organismos Técnico de Rehabilitación Social (DOT), un informe preliminar sobre el avance en la implementación de la Política Pública de Rehabilitación Social 2022-2023, específicamente sobre las líneas de acción a corto plazo que constituyen 88 de las 308 líneas totales.</w:t>
      </w:r>
    </w:p>
    <w:p w14:paraId="68AD4EE5"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p>
    <w:p w14:paraId="5BB88F31"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El 04 de abril de 2023, el Ministerio de la Mujer y Derechos Humanos (MMDH), como ente que preside el Directorio del Organismos Técnico de Rehabilitación Social (DOT), presentó para conocimiento de este órgano colegiado el borrador del informe sobre el avance en la implementación de la Política Pública de Rehabilitación Social 2022-2023, específicamente sobre las líneas de acción a corto plazo que constituyen 88 de las 308 líneas totales.</w:t>
      </w:r>
    </w:p>
    <w:p w14:paraId="525A2922"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p>
    <w:p w14:paraId="67E8F17D"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Este informe se hizo a base las reuniones efectuadas del 01 al 22 de febrero con las distintas instituciones que conforman el DOT, a más de otros organismos que tienen relación con los ejes de tratamiento de rehabilitación social.</w:t>
      </w:r>
    </w:p>
    <w:p w14:paraId="6E853714"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p>
    <w:p w14:paraId="079EDEF9"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Posteriormente con Oficio Nro. MMDH-MMDH-2023-0358-OF, del 16 de abril de 2023, se solicitó a los organismos miembros del DOT, realicen las observaciones que consideren pertinentes al contenido del borrador del informe en mención, realizándose una insistencia a este pedido mediante Oficio Nro. MMDH-MMDH-2023-0578-OF, al 16 de mayo de 2023.</w:t>
      </w:r>
    </w:p>
    <w:p w14:paraId="74DCAEBA"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p>
    <w:p w14:paraId="5127FF38"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Finalmente, en el mes de junio de 2023, se emitió la versión final del informe, el cual de manera general concluye:</w:t>
      </w:r>
    </w:p>
    <w:p w14:paraId="0676E5AF"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p>
    <w:p w14:paraId="1A5611FD" w14:textId="77777777" w:rsidR="009E0A9E" w:rsidRPr="00775AE5" w:rsidRDefault="009E0A9E" w:rsidP="009E0A9E">
      <w:pPr>
        <w:autoSpaceDE w:val="0"/>
        <w:autoSpaceDN w:val="0"/>
        <w:adjustRightInd w:val="0"/>
        <w:spacing w:line="276" w:lineRule="auto"/>
        <w:jc w:val="both"/>
        <w:rPr>
          <w:rFonts w:ascii="Arial" w:eastAsia="DejaVu Sans" w:hAnsi="Arial" w:cs="Arial"/>
          <w:i/>
          <w:sz w:val="22"/>
          <w:szCs w:val="22"/>
          <w:lang w:val="es-VE" w:eastAsia="es-EC"/>
        </w:rPr>
      </w:pPr>
      <w:r w:rsidRPr="00775AE5">
        <w:rPr>
          <w:rFonts w:ascii="Arial" w:eastAsia="DejaVu Sans" w:hAnsi="Arial" w:cs="Arial"/>
          <w:sz w:val="22"/>
          <w:szCs w:val="22"/>
          <w:lang w:val="es-VE" w:eastAsia="es-EC"/>
        </w:rPr>
        <w:t>“</w:t>
      </w:r>
      <w:r w:rsidRPr="00775AE5">
        <w:rPr>
          <w:rFonts w:ascii="Arial" w:eastAsia="DejaVu Sans" w:hAnsi="Arial" w:cs="Arial"/>
          <w:i/>
          <w:sz w:val="22"/>
          <w:szCs w:val="22"/>
          <w:lang w:val="es-VE" w:eastAsia="es-EC"/>
        </w:rPr>
        <w:t>Se identifica el cumplimiento en su totalidad del eje de cultura y avances sustanciales en los ejes de educación y adolescentes en conflicto con la ley penal, que con el trabajo regular realizado por las instituciones ejecutoras se cumplirán al 100% en los próximos meses. Por otro lado, se identifica, en menor escala, avances considerables en los ejes de salud, deporte, recursos humanos y social arraigo, que serán cumplidos en los próximos meses gracias a los acuerdos alcanzados en las reuniones de seguimiento a la implementación de la PPS. Se requiere intensificar las acciones en estos ejes para cumplirlos en su totalidad durante el año 2023.</w:t>
      </w:r>
    </w:p>
    <w:p w14:paraId="72FCDF37" w14:textId="77777777" w:rsidR="009E0A9E" w:rsidRPr="00775AE5" w:rsidRDefault="009E0A9E" w:rsidP="009E0A9E">
      <w:pPr>
        <w:autoSpaceDE w:val="0"/>
        <w:autoSpaceDN w:val="0"/>
        <w:adjustRightInd w:val="0"/>
        <w:spacing w:line="276" w:lineRule="auto"/>
        <w:jc w:val="both"/>
        <w:rPr>
          <w:rFonts w:ascii="Arial" w:eastAsia="DejaVu Sans" w:hAnsi="Arial" w:cs="Arial"/>
          <w:i/>
          <w:sz w:val="22"/>
          <w:szCs w:val="22"/>
          <w:lang w:val="es-VE" w:eastAsia="es-EC"/>
        </w:rPr>
      </w:pPr>
    </w:p>
    <w:p w14:paraId="6A0C25AF"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r w:rsidRPr="00775AE5">
        <w:rPr>
          <w:rFonts w:ascii="Arial" w:eastAsia="DejaVu Sans" w:hAnsi="Arial" w:cs="Arial"/>
          <w:i/>
          <w:sz w:val="22"/>
          <w:szCs w:val="22"/>
          <w:lang w:val="es-VE" w:eastAsia="es-EC"/>
        </w:rPr>
        <w:t>Adicionalmente, hay ejes con avances poco significativos, que se requieren reforzar con urgencia: trabajo, información, alianzas, convenios y cooperación. Finalmente, se identifica con preocupación los pocos avances alcanzados en los ejes de rehabilitación e infraestructura, cuya atención deberá ser inmediata para iniciar su cumplimiento</w:t>
      </w:r>
      <w:r w:rsidRPr="00775AE5">
        <w:rPr>
          <w:rFonts w:ascii="Arial" w:eastAsia="DejaVu Sans" w:hAnsi="Arial" w:cs="Arial"/>
          <w:sz w:val="22"/>
          <w:szCs w:val="22"/>
          <w:lang w:val="es-VE" w:eastAsia="es-EC"/>
        </w:rPr>
        <w:t>.”</w:t>
      </w:r>
    </w:p>
    <w:p w14:paraId="6F0E8935"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p>
    <w:p w14:paraId="1BB29FE8"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Mediante Oficio Nro. MMDH-SDH-DPIDH-2023-0132-O, de 05 de junio de 2023, el Ministerio de la Mujer y Derechos Humanos (MMDH), remitió adjunta la correspondiente matriz para ser llenada por las entidades responsables y así continuar con el proceso de seguimiento a la implementación de la Política Pública de Rehabilitación Social (PPRS), particularmente sobre lo avanzado en las líneas de acción priorizadas a mediano plazo (semaforización amarilla), hasta el mes de junio de 2023; para ello además se estableció un cronograma de reuniones técnicas bilaterales con las distintas entidades, que se realizó en el mes de julio de 2023, con el objeto de revisar la información remitida en las matrices respectivas. </w:t>
      </w:r>
    </w:p>
    <w:p w14:paraId="2EAD3F41"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p>
    <w:p w14:paraId="47606E64"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Para el caso de la DPE, esta reunión se llevó a cabo el 07 de julio de 2023, en las oficinas del MMDH, (previamente se había remitido la matriz correspondiente a las líneas de acción en las que la DPE constaba como corresponsable); en la misma a más de ampliar y explicar la data remitida, se aportó información sobre el avance en líneas de acción de responsabilidad de otras entidades, desde la observación directa efectuada en las visitas a los distintos CPL en el rol como MNPT de la DPE.  Cabe señalar que esta reunión se efectuó tanto con representantes del MMDH como del SNAI, debido a que debido a las reformas efectuadas al COIP, la rectoría del SNRS pasó responsabilidad del SNAI, y por consiguiente también la Presidencia del Directorio del Organismo Técnico de Rehabilitación Social, quien justamente tiene a cargo el seguimiento de la implementación de la PPRS. </w:t>
      </w:r>
    </w:p>
    <w:p w14:paraId="5977BAA2"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p>
    <w:p w14:paraId="613FBD8E" w14:textId="77777777" w:rsidR="009E0A9E" w:rsidRPr="00775AE5" w:rsidRDefault="009E0A9E" w:rsidP="009E0A9E">
      <w:pPr>
        <w:pStyle w:val="xelementtoproof"/>
        <w:shd w:val="clear" w:color="auto" w:fill="FFFFFF"/>
        <w:spacing w:before="0" w:beforeAutospacing="0" w:after="0" w:afterAutospacing="0"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Mediante Oficio Nro. DPE-DPE-2024-0012-O, de 09 de enero de 2024, se requirió al SNAI, se remita información acerca del estado de avance de la implementación de las líneas de acción de la PPRS, de acuerdo a la priorización, plazos y objetivos constantes en la misma; por cuanto de acuerdo a lo determinado en la última sesión del Directorio del Organismo Técnico de Rehabilitación Social (DOTRS),  la Presidencia de este organismo pasó del Ministerio de la Mujer y Derechos Humanos al SNAI de acuerdo a las últimas reformas legales al Código Orgánico Integral Penal (COIP).</w:t>
      </w:r>
    </w:p>
    <w:p w14:paraId="6557CF38" w14:textId="77777777" w:rsidR="009E0A9E" w:rsidRPr="00775AE5" w:rsidRDefault="009E0A9E" w:rsidP="009E0A9E">
      <w:pPr>
        <w:pStyle w:val="xelementtoproof"/>
        <w:shd w:val="clear" w:color="auto" w:fill="FFFFFF"/>
        <w:spacing w:before="0" w:beforeAutospacing="0" w:after="0" w:afterAutospacing="0" w:line="276" w:lineRule="auto"/>
        <w:jc w:val="both"/>
        <w:rPr>
          <w:rFonts w:ascii="Arial" w:eastAsia="DejaVu Sans" w:hAnsi="Arial" w:cs="Arial"/>
          <w:sz w:val="22"/>
          <w:szCs w:val="22"/>
          <w:lang w:val="es-VE" w:eastAsia="es-EC"/>
        </w:rPr>
      </w:pPr>
    </w:p>
    <w:p w14:paraId="74B580FD" w14:textId="77777777" w:rsidR="009E0A9E" w:rsidRPr="00775AE5" w:rsidRDefault="009E0A9E" w:rsidP="009E0A9E">
      <w:pPr>
        <w:pStyle w:val="NormalWeb"/>
        <w:shd w:val="clear" w:color="auto" w:fill="FFFFFF"/>
        <w:spacing w:before="0" w:beforeAutospacing="0" w:after="0" w:afterAutospacing="0" w:line="276" w:lineRule="auto"/>
        <w:jc w:val="both"/>
        <w:rPr>
          <w:rFonts w:ascii="Arial" w:eastAsia="DejaVu Sans" w:hAnsi="Arial" w:cs="Arial"/>
          <w:sz w:val="22"/>
          <w:szCs w:val="22"/>
          <w:lang w:val="es-VE"/>
        </w:rPr>
      </w:pPr>
      <w:r w:rsidRPr="00775AE5">
        <w:rPr>
          <w:rFonts w:ascii="Arial" w:eastAsia="DejaVu Sans" w:hAnsi="Arial" w:cs="Arial"/>
          <w:sz w:val="22"/>
          <w:szCs w:val="22"/>
          <w:lang w:val="es-VE"/>
        </w:rPr>
        <w:t xml:space="preserve">Al respecto el SNAI dio contestación al requerimiento mediante Oficio Nro. SNAI-DAJ-2024-0226-O, de 19 de marzo de 2024, en el cual realiza un análisis jurídico respecto al traspaso de la Presidencia del DOTRS en virtud de las reformas legales del año 2023, concluyendo que el mismo no se ha podido efectivizar por la falta de expedición de la normativa secundaria de parte de la Presidencia de la República, necesaria para que dicho Servicio pase a convertirse en Ministerio, conforme lo establecido en las disposiciones transitorias de las reformas antes mencionadas. </w:t>
      </w:r>
    </w:p>
    <w:p w14:paraId="72226E75" w14:textId="77777777" w:rsidR="009E0A9E" w:rsidRPr="00775AE5" w:rsidRDefault="009E0A9E" w:rsidP="009E0A9E">
      <w:pPr>
        <w:pStyle w:val="NormalWeb"/>
        <w:shd w:val="clear" w:color="auto" w:fill="FFFFFF"/>
        <w:spacing w:before="0" w:beforeAutospacing="0" w:after="0" w:afterAutospacing="0" w:line="276" w:lineRule="auto"/>
        <w:jc w:val="both"/>
        <w:rPr>
          <w:rFonts w:ascii="Arial" w:eastAsia="DejaVu Sans" w:hAnsi="Arial" w:cs="Arial"/>
          <w:sz w:val="22"/>
          <w:szCs w:val="22"/>
          <w:lang w:val="es-VE"/>
        </w:rPr>
      </w:pPr>
    </w:p>
    <w:p w14:paraId="2DF464C8" w14:textId="77777777" w:rsidR="009E0A9E" w:rsidRPr="00775AE5" w:rsidRDefault="009E0A9E" w:rsidP="009E0A9E">
      <w:pPr>
        <w:pStyle w:val="NormalWeb"/>
        <w:shd w:val="clear" w:color="auto" w:fill="FFFFFF"/>
        <w:spacing w:before="0" w:beforeAutospacing="0" w:after="0" w:afterAutospacing="0" w:line="276" w:lineRule="auto"/>
        <w:jc w:val="both"/>
        <w:rPr>
          <w:rFonts w:ascii="Arial" w:eastAsia="DejaVu Sans" w:hAnsi="Arial" w:cs="Arial"/>
          <w:sz w:val="22"/>
          <w:szCs w:val="22"/>
          <w:lang w:val="es-VE"/>
        </w:rPr>
      </w:pPr>
      <w:r w:rsidRPr="00775AE5">
        <w:rPr>
          <w:rFonts w:ascii="Arial" w:eastAsia="DejaVu Sans" w:hAnsi="Arial" w:cs="Arial"/>
          <w:sz w:val="22"/>
          <w:szCs w:val="22"/>
          <w:lang w:val="es-VE"/>
        </w:rPr>
        <w:t>Así mismo, el cambio en la conformación de los miembros del Directorio del Organismo técnico DOTRS, de los que la DPE ya no formaría parte,  requería de la expedición de la normativa para que este órgano pueda conformarse, y así poder sesionar; por lo que desde 12 de mayo de 2023, fecha establecida en las disposiciones transitorias antes mencionadas, no existe un ente que ejerza la rectoría del Sistema Nacional de Rehabilitación Social, ni puede reunirse el órgano colegiado denominado Directorio del Organismo Técnico, al no contar con la totalidad de sus miembros.</w:t>
      </w:r>
    </w:p>
    <w:p w14:paraId="13CB2440" w14:textId="77777777" w:rsidR="009E0A9E" w:rsidRPr="00775AE5" w:rsidRDefault="009E0A9E" w:rsidP="009E0A9E">
      <w:pPr>
        <w:autoSpaceDE w:val="0"/>
        <w:autoSpaceDN w:val="0"/>
        <w:adjustRightInd w:val="0"/>
        <w:rPr>
          <w:rFonts w:ascii="Arial" w:hAnsi="Arial" w:cs="Arial"/>
          <w:color w:val="000000"/>
          <w:sz w:val="22"/>
          <w:szCs w:val="22"/>
          <w:lang w:val="es-MX" w:eastAsia="ja-JP"/>
        </w:rPr>
      </w:pPr>
    </w:p>
    <w:p w14:paraId="733A6BAF" w14:textId="77777777" w:rsidR="009E0A9E" w:rsidRPr="00775AE5" w:rsidRDefault="009E0A9E" w:rsidP="009E0A9E">
      <w:pPr>
        <w:autoSpaceDE w:val="0"/>
        <w:autoSpaceDN w:val="0"/>
        <w:adjustRightInd w:val="0"/>
        <w:rPr>
          <w:rFonts w:ascii="Arial" w:hAnsi="Arial" w:cs="Arial"/>
          <w:color w:val="000000"/>
          <w:sz w:val="22"/>
          <w:szCs w:val="22"/>
          <w:lang w:val="es-MX" w:eastAsia="ja-JP"/>
        </w:rPr>
      </w:pPr>
    </w:p>
    <w:p w14:paraId="234220DF" w14:textId="77777777" w:rsidR="009E0A9E" w:rsidRPr="00775AE5" w:rsidRDefault="009E0A9E" w:rsidP="009E0A9E">
      <w:pPr>
        <w:pStyle w:val="Heading4"/>
        <w:spacing w:before="0" w:after="0" w:line="276" w:lineRule="auto"/>
        <w:rPr>
          <w:rFonts w:ascii="Arial" w:hAnsi="Arial" w:cs="Arial"/>
          <w:i w:val="0"/>
          <w:sz w:val="22"/>
          <w:szCs w:val="22"/>
          <w:lang w:val="es-ES"/>
        </w:rPr>
      </w:pPr>
      <w:r w:rsidRPr="00775AE5">
        <w:rPr>
          <w:rFonts w:ascii="Arial" w:hAnsi="Arial" w:cs="Arial"/>
          <w:i w:val="0"/>
          <w:sz w:val="22"/>
          <w:szCs w:val="22"/>
          <w:lang w:val="es-ES"/>
        </w:rPr>
        <w:t>1.3.3. Infraestructura de los centros</w:t>
      </w:r>
    </w:p>
    <w:p w14:paraId="3AF3CE13" w14:textId="77777777" w:rsidR="009E0A9E" w:rsidRPr="00775AE5" w:rsidRDefault="009E0A9E" w:rsidP="009E0A9E">
      <w:pPr>
        <w:rPr>
          <w:rFonts w:ascii="Arial" w:hAnsi="Arial" w:cs="Arial"/>
          <w:sz w:val="22"/>
          <w:szCs w:val="22"/>
          <w:lang w:val="es-ES"/>
        </w:rPr>
      </w:pPr>
    </w:p>
    <w:p w14:paraId="3635782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La infraestructura de los centros de privación de libertad son edificaciones que tienen graves limitaciones económicas y administrativas, de igual forma, los centros mantienen la misma problemática, es decir las construcciones son muy antiguas (por ejemplo el CPL Imbabura N°1 y el CPL Chimborazo N°2 tienen más de 100 años de construcción) o presentan deterioros en pisos, techos y paredes, la carencia de servicios públicos, el incremento de la cantidad de internos con respecto a la capacidad de alojamiento y la falta de mantenimiento, atentan contra las condiciones mínimas de una vida digna.</w:t>
      </w:r>
    </w:p>
    <w:p w14:paraId="3C506F4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4C9C63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De las visitas realizadas por el equipo del MNPT durante el año 2023 se puede deducir que existen varias deficiencias que afectan la calidad de vida de las personas privadas de libertad y de los Agentes de Seguridad Penitenciaria. No obstante, el propósito de las visitas consiste en conocer la apreciación de las PPL y evaluar las condiciones reales de la infraestructura, pues su importancia radica en que estos asuntos influyen en la rehabilitación y posterior reinserción a la sociedad.</w:t>
      </w:r>
    </w:p>
    <w:p w14:paraId="7BC61A7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9F37757" w14:textId="7FA6392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La infraestructura comprende varios aspectos, a </w:t>
      </w:r>
      <w:r w:rsidR="00B93283" w:rsidRPr="00775AE5">
        <w:rPr>
          <w:rFonts w:ascii="Arial" w:eastAsia="DejaVu Sans" w:hAnsi="Arial" w:cs="Arial"/>
          <w:sz w:val="22"/>
          <w:szCs w:val="22"/>
          <w:lang w:val="es-VE" w:eastAsia="es-EC"/>
        </w:rPr>
        <w:t>propósito,</w:t>
      </w:r>
      <w:r w:rsidRPr="00775AE5">
        <w:rPr>
          <w:rFonts w:ascii="Arial" w:eastAsia="DejaVu Sans" w:hAnsi="Arial" w:cs="Arial"/>
          <w:sz w:val="22"/>
          <w:szCs w:val="22"/>
          <w:lang w:val="es-VE" w:eastAsia="es-EC"/>
        </w:rPr>
        <w:t xml:space="preserve"> las Reglas Nelson Mandela establecen que las condiciones de vida generales se aplicarán a todos los reclusos sin excepción</w:t>
      </w:r>
      <w:r w:rsidRPr="00775AE5">
        <w:rPr>
          <w:rFonts w:ascii="Arial" w:eastAsia="DejaVu Sans" w:hAnsi="Arial" w:cs="Arial"/>
          <w:i/>
          <w:sz w:val="22"/>
          <w:szCs w:val="22"/>
          <w:lang w:val="es-VE" w:eastAsia="es-EC"/>
        </w:rPr>
        <w:t xml:space="preserve">; </w:t>
      </w:r>
      <w:r w:rsidRPr="00775AE5">
        <w:rPr>
          <w:rFonts w:ascii="Arial" w:eastAsia="DejaVu Sans" w:hAnsi="Arial" w:cs="Arial"/>
          <w:sz w:val="22"/>
          <w:szCs w:val="22"/>
          <w:lang w:val="es-VE" w:eastAsia="es-EC"/>
        </w:rPr>
        <w:t>“</w:t>
      </w:r>
      <w:r w:rsidR="00434BA9" w:rsidRPr="00775AE5">
        <w:rPr>
          <w:rFonts w:ascii="Arial" w:eastAsia="DejaVu Sans" w:hAnsi="Arial" w:cs="Arial"/>
          <w:sz w:val="22"/>
          <w:szCs w:val="22"/>
          <w:lang w:val="es-VE" w:eastAsia="es-EC"/>
        </w:rPr>
        <w:t>incluidas las</w:t>
      </w:r>
      <w:r w:rsidRPr="00775AE5">
        <w:rPr>
          <w:rFonts w:ascii="Arial" w:eastAsia="DejaVu Sans" w:hAnsi="Arial" w:cs="Arial"/>
          <w:sz w:val="22"/>
          <w:szCs w:val="22"/>
          <w:lang w:val="es-VE" w:eastAsia="es-EC"/>
        </w:rPr>
        <w:t xml:space="preserve"> relativas a la iluminación, la ventilación, la climatización, el saneamiento, la nutrición, el agua potable, el acceso al aire libre y el ejercicio físico, la higiene personal, a atención de la salud y un espacio personal suficiente</w:t>
      </w:r>
      <w:r w:rsidRPr="00775AE5">
        <w:rPr>
          <w:rFonts w:ascii="Arial" w:eastAsia="DejaVu Sans" w:hAnsi="Arial" w:cs="Arial"/>
          <w:i/>
          <w:sz w:val="22"/>
          <w:szCs w:val="22"/>
          <w:lang w:val="es-VE" w:eastAsia="es-EC"/>
        </w:rPr>
        <w:t>”</w:t>
      </w:r>
      <w:r w:rsidRPr="00775AE5">
        <w:rPr>
          <w:rFonts w:ascii="Arial" w:eastAsia="DejaVu Sans" w:hAnsi="Arial" w:cs="Arial"/>
          <w:sz w:val="22"/>
          <w:szCs w:val="22"/>
          <w:lang w:val="es-VE" w:eastAsia="es-EC"/>
        </w:rPr>
        <w:t xml:space="preserve"> (Reglas Nelson Mandela 2015, regla 42).</w:t>
      </w:r>
    </w:p>
    <w:p w14:paraId="0C36328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63D2A81" w14:textId="30CB029D"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En términos generales, los pabellones y las celdas de los centros de privación de libertad resultan insuficientes en torno a la cantidad de PPL, pues el número de camas y colchones no abastecen, no existe el espacio suficiente </w:t>
      </w:r>
      <w:r w:rsidR="00AC3F0B" w:rsidRPr="00775AE5">
        <w:rPr>
          <w:rFonts w:ascii="Arial" w:eastAsia="DejaVu Sans" w:hAnsi="Arial" w:cs="Arial"/>
          <w:sz w:val="22"/>
          <w:szCs w:val="22"/>
          <w:lang w:val="es-VE" w:eastAsia="es-EC"/>
        </w:rPr>
        <w:t>en relación con</w:t>
      </w:r>
      <w:r w:rsidRPr="00775AE5">
        <w:rPr>
          <w:rFonts w:ascii="Arial" w:eastAsia="DejaVu Sans" w:hAnsi="Arial" w:cs="Arial"/>
          <w:sz w:val="22"/>
          <w:szCs w:val="22"/>
          <w:lang w:val="es-VE" w:eastAsia="es-EC"/>
        </w:rPr>
        <w:t xml:space="preserve"> los estándares internacionales, en algunos centros incluso las PPL no cuentan con una cama, un colchón o ropa de cama. Por lo tanto, duermen en el piso sobre esponjas, cartones o cobijas, o se comparte cama entre PPL. Esta última situación se reportó en el CPL Napo N°1, </w:t>
      </w:r>
      <w:r w:rsidRPr="00775AE5">
        <w:rPr>
          <w:rFonts w:ascii="Arial" w:hAnsi="Arial" w:cs="Arial"/>
          <w:sz w:val="22"/>
          <w:szCs w:val="22"/>
          <w:lang w:val="es-MX"/>
        </w:rPr>
        <w:t>CPL de Chimborazo No.1 y Bolívar No. 1</w:t>
      </w:r>
    </w:p>
    <w:p w14:paraId="439458F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D25440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Las instalaciones sanitarias son insuficientes y no todas son funcionales. Gran parte de estas se encuentran en pésimas condiciones. Y otras no se encuentran dentro de la infraestructura de las celdas, lo que ocasiona que en las noches las PPL tengan que realizar sus necesidades biológicas en baldes o botellas plásticas, que generan malos olores y contaminación cruzada. Estas cuestiones se suscitan en el CPL El Oro N°2 y el CPL Carchi N°1.</w:t>
      </w:r>
    </w:p>
    <w:p w14:paraId="09B0CED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EFCBED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La ventilación e iluminación son insuficientes en la mayoría de los centros de privación de libertad. Esto se debe a que algunos CPL son muy antiguos o fueron adaptados para alojar a un mayor número de PPL, consecuentemente la sobrepoblación carcelaria impide una adecuada ventilación e iluminación. En ciertas ocasiones, las conexiones de energía eléctrica son realizadas de forma artesanal, por los mismos PPL, lo que podría ocasionar cortocircuitos y poner en riesgo la vida de las y los internos.</w:t>
      </w:r>
    </w:p>
    <w:p w14:paraId="21320DA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843A24E" w14:textId="6D8296FC"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Ningún CPL ha realizado adecuaciones en las instalaciones para las personas que pertenecen a los grupos de atención prioritaria o para las personas con movilidad reducida, aun cuando existen PPL con discapacidad y personas adultas mayores con movilidad reducida. Las pocas adecuaciones observadas en la infraestructura como pintura y mantenimiento </w:t>
      </w:r>
      <w:r w:rsidR="00434BA9" w:rsidRPr="00775AE5">
        <w:rPr>
          <w:rFonts w:ascii="Arial" w:eastAsia="DejaVu Sans" w:hAnsi="Arial" w:cs="Arial"/>
          <w:sz w:val="22"/>
          <w:szCs w:val="22"/>
          <w:lang w:val="es-VE" w:eastAsia="es-EC"/>
        </w:rPr>
        <w:t>son</w:t>
      </w:r>
      <w:r w:rsidRPr="00775AE5">
        <w:rPr>
          <w:rFonts w:ascii="Arial" w:eastAsia="DejaVu Sans" w:hAnsi="Arial" w:cs="Arial"/>
          <w:sz w:val="22"/>
          <w:szCs w:val="22"/>
          <w:lang w:val="es-VE" w:eastAsia="es-EC"/>
        </w:rPr>
        <w:t xml:space="preserve"> </w:t>
      </w:r>
      <w:r w:rsidR="00B93283" w:rsidRPr="00775AE5">
        <w:rPr>
          <w:rFonts w:ascii="Arial" w:eastAsia="DejaVu Sans" w:hAnsi="Arial" w:cs="Arial"/>
          <w:sz w:val="22"/>
          <w:szCs w:val="22"/>
          <w:lang w:val="es-VE" w:eastAsia="es-EC"/>
        </w:rPr>
        <w:t>realizadas</w:t>
      </w:r>
      <w:r w:rsidRPr="00775AE5">
        <w:rPr>
          <w:rFonts w:ascii="Arial" w:eastAsia="DejaVu Sans" w:hAnsi="Arial" w:cs="Arial"/>
          <w:sz w:val="22"/>
          <w:szCs w:val="22"/>
          <w:lang w:val="es-VE" w:eastAsia="es-EC"/>
        </w:rPr>
        <w:t xml:space="preserve"> por autogestión de las PPL; a excepción de las adecuaciones presenciada en el CPL Guayas N°2, gestionadas por del SNAI (dotación de colchones e instalación de nueva infraestructura sanitaria).</w:t>
      </w:r>
    </w:p>
    <w:p w14:paraId="75B658D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F7BD78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Los espacios destinados para realizar actividades deportivas, educativas, laborales o para talleres son reducidos razón por la cual no todos las PPL pueden acceder a las diferentes ocupaciones. Incluso por los hechos violentos, áreas como el Consultorio médico de CPL Azuay N°1 quedaron deshabilitados, el personal brinda atención en una carpa. En efecto, estas zonas son imprescindibles para lograr una adecuada reinserción social por lo que se debe incentivar a la educación, instrucción y fortalecimiento de las capacidades de los internos para que se puedan desenvolverse en la sociedad de forma productiva, sin necesidad de reincidir. </w:t>
      </w:r>
    </w:p>
    <w:p w14:paraId="7D08F7CA"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C16E9C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Generalmente, los centros de privación de libertad son afectados por la humedad en paredes y techos como en el CPL de Azuay N°1, CPL Imbabura N°1, CPL Los Ríos N°2, CPL Manabí N°3, CPL Pichincha N°3 (población de atención prioritaria); y, los CAI Virgilio Guerrero y Riobamba. Una condición especial que considerar es la proliferación de plagas, principalmente de roedores encontrada en el CPL Cotopaxi N°1. </w:t>
      </w:r>
    </w:p>
    <w:p w14:paraId="7614738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9A1E1C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Existen espacios que forman parte de la infraestructura y que se encuentran invisibilizados, por ejemplo: 1) el espacio para recibir las visitas familiares, el cual no siempre está en buenas condiciones; 2) el espacio para recibir visitas íntimas, que generalmente no existe porque se realiza en las mismas celdas o en adaptaciones que no disponen de áreas para el aseo y la privacidad; 3) el espacio para la reflexión u observación que es un área cualquiera que no cuenta con las condiciones mínimas de habitabilidad; 4) el espacio donde viven los niños y niñas con sus madres privadas de libertad, el mismo que se debe compartir con su(s) hijo/a(s). </w:t>
      </w:r>
    </w:p>
    <w:p w14:paraId="225E9AE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26A72E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Debido a las condiciones reales y actuales de los centros de privación de libertad sumado al incumplimiento del marco jurídico normativo por parte de las autoridades competentes se señala que los problemas de la infraestructura son tan complejos que afectan la calidad de vida de las personas privadas de libertad y de los Agentes de Seguridad Penitenciaria porque se encuentran y viven en las mismas condiciones.</w:t>
      </w:r>
    </w:p>
    <w:p w14:paraId="68C7DF7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6D4AB4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Además, la población penitenciaria no siempre puede desarrollar actividades recreativas, laborales, deportivas o educativas, las mismas que son imprescindibles para la rehabilitación, en otras palabras, la falta de atención a este grupo de personas ante las evidentes necesidades que se relacionan con la infraestructura impide que el sistema funcione y consecuentemente que la rehabilitación social sea efectiva. </w:t>
      </w:r>
    </w:p>
    <w:p w14:paraId="37BA99F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CB202F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En este sentido, la infraestructura carcelaria resulta insuficiente para las personas privadas de libertad, sin embargo, el Estado ecuatoriano a través de los órganos competentes debe considerar las necesidades de los Centros de Rehabilitación Social, pues el objetivo es lograr una adecuada rehabilitación y reinserción social, evitando que estos centros sean utilizados únicamente para recluir y reprender a los internos.</w:t>
      </w:r>
    </w:p>
    <w:p w14:paraId="24284381"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37B25ED1" w14:textId="0AF625E9"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De igual forma, la infraestructura carcelaria requiere mayor atención e inversión </w:t>
      </w:r>
      <w:r w:rsidR="00434BA9" w:rsidRPr="00775AE5">
        <w:rPr>
          <w:rFonts w:ascii="Arial" w:eastAsia="DejaVu Sans" w:hAnsi="Arial" w:cs="Arial"/>
          <w:sz w:val="22"/>
          <w:szCs w:val="22"/>
          <w:lang w:val="es-VE" w:eastAsia="es-EC"/>
        </w:rPr>
        <w:t>presupuestaria puesto</w:t>
      </w:r>
      <w:r w:rsidRPr="00775AE5">
        <w:rPr>
          <w:rFonts w:ascii="Arial" w:eastAsia="DejaVu Sans" w:hAnsi="Arial" w:cs="Arial"/>
          <w:sz w:val="22"/>
          <w:szCs w:val="22"/>
          <w:lang w:val="es-VE" w:eastAsia="es-EC"/>
        </w:rPr>
        <w:t xml:space="preserve"> que la población penitenciaria carece de las condiciones mínimas de habitabilidad que cualquier ser humano necesita como un lugar donde pernoctar, instalaciones sanitarias funcionales y servicios públicos básicos de calidad que respeten la dignidad humana.</w:t>
      </w:r>
    </w:p>
    <w:p w14:paraId="50EC3F2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240BDF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Para concluir, los CPL requieren de mantenimiento institucional por cuanto las condiciones de la infraestructura no son adecuadas y tampoco cumplen con la normativa jurídica nacional e internacional. La permanencia de estos problemas de infraestructura imposibilita la rehabilitación de la población penitenciaria y la mitigación de la reincidencia.</w:t>
      </w:r>
    </w:p>
    <w:p w14:paraId="58C3DEE1" w14:textId="77777777" w:rsidR="009E0A9E" w:rsidRPr="00775AE5" w:rsidRDefault="009E0A9E" w:rsidP="009E0A9E">
      <w:pPr>
        <w:pStyle w:val="Heading4"/>
        <w:spacing w:before="0" w:after="0" w:line="276" w:lineRule="auto"/>
        <w:rPr>
          <w:rFonts w:ascii="Arial" w:hAnsi="Arial" w:cs="Arial"/>
          <w:i w:val="0"/>
          <w:sz w:val="22"/>
          <w:szCs w:val="22"/>
          <w:lang w:val="es-VE"/>
        </w:rPr>
      </w:pPr>
    </w:p>
    <w:p w14:paraId="6D4A4224" w14:textId="77777777" w:rsidR="009E0A9E" w:rsidRPr="00775AE5" w:rsidRDefault="009E0A9E" w:rsidP="00B17DD2">
      <w:pPr>
        <w:pStyle w:val="Heading4"/>
        <w:numPr>
          <w:ilvl w:val="2"/>
          <w:numId w:val="14"/>
        </w:numPr>
        <w:spacing w:before="0" w:after="0" w:line="276" w:lineRule="auto"/>
        <w:ind w:hanging="360"/>
        <w:rPr>
          <w:rFonts w:ascii="Arial" w:hAnsi="Arial" w:cs="Arial"/>
          <w:i w:val="0"/>
          <w:sz w:val="22"/>
          <w:szCs w:val="22"/>
          <w:lang w:val="es-VE"/>
        </w:rPr>
      </w:pPr>
      <w:r w:rsidRPr="00775AE5">
        <w:rPr>
          <w:rFonts w:ascii="Arial" w:hAnsi="Arial" w:cs="Arial"/>
          <w:i w:val="0"/>
          <w:sz w:val="22"/>
          <w:szCs w:val="22"/>
          <w:lang w:val="es-VE"/>
        </w:rPr>
        <w:t>Acceso a salud</w:t>
      </w:r>
    </w:p>
    <w:p w14:paraId="54D84834" w14:textId="77777777" w:rsidR="009E0A9E" w:rsidRPr="00775AE5" w:rsidRDefault="009E0A9E" w:rsidP="009E0A9E">
      <w:pPr>
        <w:jc w:val="both"/>
        <w:rPr>
          <w:rFonts w:ascii="Arial" w:eastAsia="DejaVu Sans" w:hAnsi="Arial" w:cs="Arial"/>
          <w:sz w:val="22"/>
          <w:szCs w:val="22"/>
          <w:lang w:val="es-VE" w:eastAsia="es-EC" w:bidi="hi-IN"/>
        </w:rPr>
      </w:pPr>
    </w:p>
    <w:p w14:paraId="0856C6BD" w14:textId="77777777" w:rsidR="009E0A9E" w:rsidRPr="00775AE5" w:rsidRDefault="009E0A9E" w:rsidP="009E0A9E">
      <w:pPr>
        <w:jc w:val="both"/>
        <w:rPr>
          <w:rFonts w:ascii="Arial" w:eastAsia="DejaVu Sans" w:hAnsi="Arial" w:cs="Arial"/>
          <w:sz w:val="22"/>
          <w:szCs w:val="22"/>
          <w:lang w:val="es-VE" w:eastAsia="es-EC" w:bidi="hi-IN"/>
        </w:rPr>
      </w:pPr>
      <w:r w:rsidRPr="00775AE5">
        <w:rPr>
          <w:rFonts w:ascii="Arial" w:eastAsia="DejaVu Sans" w:hAnsi="Arial" w:cs="Arial"/>
          <w:sz w:val="22"/>
          <w:szCs w:val="22"/>
          <w:lang w:val="es-VE" w:eastAsia="es-EC" w:bidi="hi-IN"/>
        </w:rPr>
        <w:t>La información recolectada con respecto al acceso a la salud es variada, debido a que no en todos los centros, durante las visitas realizadas por el MNPT, se encontró laborando al personal de salud. Esto porque los días y horarios de atención son diferentes en cada centro. Así mismo el número de personal sanitario varía, en el marco de los equipos de atención integral de salud (EAIS)</w:t>
      </w:r>
      <w:r w:rsidRPr="00775AE5">
        <w:rPr>
          <w:rFonts w:ascii="Arial" w:eastAsia="DejaVu Sans" w:hAnsi="Arial" w:cs="Arial"/>
          <w:sz w:val="22"/>
          <w:szCs w:val="22"/>
          <w:vertAlign w:val="superscript"/>
          <w:lang w:val="es-VE" w:eastAsia="es-EC" w:bidi="hi-IN"/>
        </w:rPr>
        <w:footnoteReference w:id="39"/>
      </w:r>
      <w:r w:rsidRPr="00775AE5">
        <w:rPr>
          <w:rFonts w:ascii="Arial" w:eastAsia="DejaVu Sans" w:hAnsi="Arial" w:cs="Arial"/>
          <w:sz w:val="22"/>
          <w:szCs w:val="22"/>
          <w:lang w:val="es-VE" w:eastAsia="es-EC" w:bidi="hi-IN"/>
        </w:rPr>
        <w:t>:</w:t>
      </w:r>
    </w:p>
    <w:p w14:paraId="0412FDF5" w14:textId="77777777" w:rsidR="009E0A9E" w:rsidRPr="00775AE5" w:rsidRDefault="009E0A9E" w:rsidP="009E0A9E">
      <w:pPr>
        <w:jc w:val="both"/>
        <w:rPr>
          <w:rFonts w:ascii="Arial" w:eastAsia="DejaVu Sans" w:hAnsi="Arial" w:cs="Arial"/>
          <w:sz w:val="22"/>
          <w:szCs w:val="22"/>
          <w:lang w:val="es-VE" w:eastAsia="es-EC" w:bidi="hi-IN"/>
        </w:rPr>
      </w:pPr>
    </w:p>
    <w:p w14:paraId="67A54371" w14:textId="77777777" w:rsidR="009E0A9E" w:rsidRPr="00775AE5" w:rsidRDefault="009E0A9E" w:rsidP="009E0A9E">
      <w:pPr>
        <w:rPr>
          <w:rFonts w:ascii="Arial" w:hAnsi="Arial" w:cs="Arial"/>
          <w:color w:val="000000"/>
          <w:sz w:val="22"/>
          <w:szCs w:val="22"/>
          <w:lang w:val="es-MX"/>
        </w:rPr>
      </w:pPr>
      <w:r w:rsidRPr="00775AE5">
        <w:rPr>
          <w:rFonts w:ascii="Arial" w:hAnsi="Arial" w:cs="Arial"/>
          <w:color w:val="000000"/>
          <w:sz w:val="22"/>
          <w:szCs w:val="22"/>
          <w:lang w:val="es-MX"/>
        </w:rPr>
        <w:t>Tabla 8</w:t>
      </w:r>
    </w:p>
    <w:p w14:paraId="4A194308" w14:textId="77777777" w:rsidR="009E0A9E" w:rsidRPr="00775AE5" w:rsidRDefault="009E0A9E" w:rsidP="009E0A9E">
      <w:pPr>
        <w:rPr>
          <w:rFonts w:ascii="Arial" w:hAnsi="Arial" w:cs="Arial"/>
          <w:i/>
          <w:color w:val="000000"/>
          <w:sz w:val="22"/>
          <w:szCs w:val="22"/>
          <w:lang w:val="es-MX"/>
        </w:rPr>
      </w:pPr>
      <w:r w:rsidRPr="00775AE5">
        <w:rPr>
          <w:rFonts w:ascii="Arial" w:hAnsi="Arial" w:cs="Arial"/>
          <w:i/>
          <w:color w:val="000000"/>
          <w:sz w:val="22"/>
          <w:szCs w:val="22"/>
          <w:lang w:val="es-MX"/>
        </w:rPr>
        <w:t xml:space="preserve">Personal de salud en los CPL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3827"/>
      </w:tblGrid>
      <w:tr w:rsidR="009E0A9E" w:rsidRPr="00775AE5" w14:paraId="6D4FEA26" w14:textId="77777777" w:rsidTr="00525437">
        <w:trPr>
          <w:jc w:val="center"/>
        </w:trPr>
        <w:tc>
          <w:tcPr>
            <w:tcW w:w="2547" w:type="dxa"/>
            <w:shd w:val="clear" w:color="auto" w:fill="auto"/>
          </w:tcPr>
          <w:p w14:paraId="462D62D9" w14:textId="77777777" w:rsidR="009E0A9E" w:rsidRPr="00775AE5" w:rsidRDefault="009E0A9E" w:rsidP="00525437">
            <w:pPr>
              <w:jc w:val="center"/>
              <w:rPr>
                <w:rFonts w:ascii="Arial" w:hAnsi="Arial" w:cs="Arial"/>
                <w:b/>
                <w:bCs/>
                <w:color w:val="000000"/>
                <w:sz w:val="22"/>
                <w:szCs w:val="22"/>
                <w:lang w:val="es-MX"/>
              </w:rPr>
            </w:pPr>
            <w:r w:rsidRPr="00775AE5">
              <w:rPr>
                <w:rFonts w:ascii="Arial" w:hAnsi="Arial" w:cs="Arial"/>
                <w:b/>
                <w:bCs/>
                <w:color w:val="000000"/>
                <w:sz w:val="22"/>
                <w:szCs w:val="22"/>
                <w:lang w:val="es-MX"/>
              </w:rPr>
              <w:t>Nombre del Centro</w:t>
            </w:r>
          </w:p>
        </w:tc>
        <w:tc>
          <w:tcPr>
            <w:tcW w:w="3827" w:type="dxa"/>
            <w:shd w:val="clear" w:color="auto" w:fill="auto"/>
          </w:tcPr>
          <w:p w14:paraId="5635E99C" w14:textId="77777777" w:rsidR="009E0A9E" w:rsidRPr="00775AE5" w:rsidRDefault="009E0A9E" w:rsidP="00525437">
            <w:pPr>
              <w:jc w:val="center"/>
              <w:rPr>
                <w:rFonts w:ascii="Arial" w:hAnsi="Arial" w:cs="Arial"/>
                <w:b/>
                <w:bCs/>
                <w:color w:val="000000"/>
                <w:sz w:val="22"/>
                <w:szCs w:val="22"/>
                <w:lang w:val="es-MX"/>
              </w:rPr>
            </w:pPr>
            <w:r w:rsidRPr="00775AE5">
              <w:rPr>
                <w:rFonts w:ascii="Arial" w:hAnsi="Arial" w:cs="Arial"/>
                <w:b/>
                <w:bCs/>
                <w:color w:val="000000"/>
                <w:sz w:val="22"/>
                <w:szCs w:val="22"/>
                <w:lang w:val="es-MX"/>
              </w:rPr>
              <w:t>Personal de salud con el que cuenta</w:t>
            </w:r>
          </w:p>
        </w:tc>
      </w:tr>
      <w:tr w:rsidR="009E0A9E" w:rsidRPr="00775AE5" w14:paraId="56A8DB3B" w14:textId="77777777" w:rsidTr="00525437">
        <w:trPr>
          <w:trHeight w:val="280"/>
          <w:jc w:val="center"/>
        </w:trPr>
        <w:tc>
          <w:tcPr>
            <w:tcW w:w="2547" w:type="dxa"/>
            <w:shd w:val="clear" w:color="auto" w:fill="auto"/>
          </w:tcPr>
          <w:p w14:paraId="2DD6A3E6"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CPL Guayas N°3</w:t>
            </w:r>
          </w:p>
        </w:tc>
        <w:tc>
          <w:tcPr>
            <w:tcW w:w="3827" w:type="dxa"/>
            <w:shd w:val="clear" w:color="auto" w:fill="auto"/>
          </w:tcPr>
          <w:p w14:paraId="1E5A7E35" w14:textId="77777777" w:rsidR="009E0A9E" w:rsidRPr="00775AE5" w:rsidRDefault="009E0A9E" w:rsidP="00525437">
            <w:pPr>
              <w:pStyle w:val="Redaccin"/>
              <w:numPr>
                <w:ilvl w:val="0"/>
                <w:numId w:val="0"/>
              </w:numPr>
              <w:spacing w:line="240" w:lineRule="auto"/>
              <w:jc w:val="left"/>
              <w:rPr>
                <w:rFonts w:ascii="Arial" w:hAnsi="Arial" w:cs="Arial"/>
                <w:sz w:val="22"/>
                <w:szCs w:val="22"/>
              </w:rPr>
            </w:pPr>
            <w:r w:rsidRPr="00775AE5">
              <w:rPr>
                <w:rFonts w:ascii="Arial" w:hAnsi="Arial" w:cs="Arial"/>
                <w:sz w:val="22"/>
                <w:szCs w:val="22"/>
              </w:rPr>
              <w:t>1 médico general</w:t>
            </w:r>
          </w:p>
          <w:p w14:paraId="10A86DF4" w14:textId="77777777" w:rsidR="009E0A9E" w:rsidRPr="00775AE5" w:rsidRDefault="009E0A9E" w:rsidP="00525437">
            <w:pPr>
              <w:pStyle w:val="Redaccin"/>
              <w:numPr>
                <w:ilvl w:val="0"/>
                <w:numId w:val="0"/>
              </w:numPr>
              <w:spacing w:line="240" w:lineRule="auto"/>
              <w:jc w:val="left"/>
              <w:rPr>
                <w:rFonts w:ascii="Arial" w:hAnsi="Arial" w:cs="Arial"/>
                <w:sz w:val="22"/>
                <w:szCs w:val="22"/>
              </w:rPr>
            </w:pPr>
            <w:r w:rsidRPr="00775AE5">
              <w:rPr>
                <w:rFonts w:ascii="Arial" w:hAnsi="Arial" w:cs="Arial"/>
                <w:sz w:val="22"/>
                <w:szCs w:val="22"/>
              </w:rPr>
              <w:t>1 odontóloga</w:t>
            </w:r>
          </w:p>
          <w:p w14:paraId="288EF40C" w14:textId="77777777" w:rsidR="009E0A9E" w:rsidRPr="00775AE5" w:rsidRDefault="009E0A9E" w:rsidP="00525437">
            <w:pPr>
              <w:pStyle w:val="Redaccin"/>
              <w:numPr>
                <w:ilvl w:val="0"/>
                <w:numId w:val="0"/>
              </w:numPr>
              <w:spacing w:line="240" w:lineRule="auto"/>
              <w:jc w:val="left"/>
              <w:rPr>
                <w:rFonts w:ascii="Arial" w:hAnsi="Arial" w:cs="Arial"/>
                <w:sz w:val="22"/>
                <w:szCs w:val="22"/>
              </w:rPr>
            </w:pPr>
            <w:r w:rsidRPr="00775AE5">
              <w:rPr>
                <w:rFonts w:ascii="Arial" w:hAnsi="Arial" w:cs="Arial"/>
                <w:sz w:val="22"/>
                <w:szCs w:val="22"/>
              </w:rPr>
              <w:t>1 enfermera</w:t>
            </w:r>
          </w:p>
          <w:p w14:paraId="0F353200" w14:textId="77777777" w:rsidR="009E0A9E" w:rsidRPr="00775AE5" w:rsidRDefault="009E0A9E" w:rsidP="00525437">
            <w:pPr>
              <w:pStyle w:val="Redaccin"/>
              <w:numPr>
                <w:ilvl w:val="0"/>
                <w:numId w:val="0"/>
              </w:numPr>
              <w:spacing w:line="240" w:lineRule="auto"/>
              <w:jc w:val="left"/>
              <w:rPr>
                <w:rFonts w:ascii="Arial" w:hAnsi="Arial" w:cs="Arial"/>
                <w:sz w:val="22"/>
                <w:szCs w:val="22"/>
              </w:rPr>
            </w:pPr>
            <w:r w:rsidRPr="00775AE5">
              <w:rPr>
                <w:rFonts w:ascii="Arial" w:hAnsi="Arial" w:cs="Arial"/>
                <w:sz w:val="22"/>
                <w:szCs w:val="22"/>
              </w:rPr>
              <w:t xml:space="preserve">1 psicóloga del MSP </w:t>
            </w:r>
          </w:p>
          <w:p w14:paraId="06CBE1FA" w14:textId="77777777" w:rsidR="009E0A9E" w:rsidRPr="00775AE5" w:rsidRDefault="009E0A9E" w:rsidP="00525437">
            <w:pPr>
              <w:pStyle w:val="Redaccin"/>
              <w:numPr>
                <w:ilvl w:val="0"/>
                <w:numId w:val="0"/>
              </w:numPr>
              <w:spacing w:line="240" w:lineRule="auto"/>
              <w:jc w:val="left"/>
              <w:rPr>
                <w:rFonts w:ascii="Arial" w:hAnsi="Arial" w:cs="Arial"/>
                <w:sz w:val="22"/>
                <w:szCs w:val="22"/>
              </w:rPr>
            </w:pPr>
            <w:r w:rsidRPr="00775AE5">
              <w:rPr>
                <w:rFonts w:ascii="Arial" w:hAnsi="Arial" w:cs="Arial"/>
                <w:sz w:val="22"/>
                <w:szCs w:val="22"/>
              </w:rPr>
              <w:t>1 psicólogo del SNAI</w:t>
            </w:r>
          </w:p>
        </w:tc>
      </w:tr>
      <w:tr w:rsidR="009E0A9E" w:rsidRPr="00775AE5" w14:paraId="30AE85CD" w14:textId="77777777" w:rsidTr="00525437">
        <w:trPr>
          <w:jc w:val="center"/>
        </w:trPr>
        <w:tc>
          <w:tcPr>
            <w:tcW w:w="2547" w:type="dxa"/>
            <w:shd w:val="clear" w:color="auto" w:fill="auto"/>
          </w:tcPr>
          <w:p w14:paraId="26EF551B"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CPL Napo N°1</w:t>
            </w:r>
          </w:p>
        </w:tc>
        <w:tc>
          <w:tcPr>
            <w:tcW w:w="3827" w:type="dxa"/>
            <w:shd w:val="clear" w:color="auto" w:fill="auto"/>
          </w:tcPr>
          <w:p w14:paraId="46A0AB26"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médico</w:t>
            </w:r>
          </w:p>
          <w:p w14:paraId="1CD2AF71"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enfermera</w:t>
            </w:r>
          </w:p>
          <w:p w14:paraId="59A14556"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odontólogo</w:t>
            </w:r>
          </w:p>
          <w:p w14:paraId="1AEDD26E"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psicólogo</w:t>
            </w:r>
          </w:p>
        </w:tc>
      </w:tr>
      <w:tr w:rsidR="009E0A9E" w:rsidRPr="00775AE5" w14:paraId="5B17BDAB" w14:textId="77777777" w:rsidTr="00525437">
        <w:trPr>
          <w:jc w:val="center"/>
        </w:trPr>
        <w:tc>
          <w:tcPr>
            <w:tcW w:w="2547" w:type="dxa"/>
            <w:shd w:val="clear" w:color="auto" w:fill="auto"/>
          </w:tcPr>
          <w:p w14:paraId="324FDA06"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CPL Santo Domingo N°1</w:t>
            </w:r>
          </w:p>
        </w:tc>
        <w:tc>
          <w:tcPr>
            <w:tcW w:w="3827" w:type="dxa"/>
            <w:shd w:val="clear" w:color="auto" w:fill="auto"/>
          </w:tcPr>
          <w:p w14:paraId="3C6BD5C5"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médico</w:t>
            </w:r>
          </w:p>
          <w:p w14:paraId="0FF4CC3F"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enfermero</w:t>
            </w:r>
          </w:p>
          <w:p w14:paraId="3D4C5305"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odontólogo</w:t>
            </w:r>
          </w:p>
          <w:p w14:paraId="3419C142"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psicólogo</w:t>
            </w:r>
          </w:p>
        </w:tc>
      </w:tr>
      <w:tr w:rsidR="009E0A9E" w:rsidRPr="00775AE5" w14:paraId="0219DC78" w14:textId="77777777" w:rsidTr="00525437">
        <w:trPr>
          <w:jc w:val="center"/>
        </w:trPr>
        <w:tc>
          <w:tcPr>
            <w:tcW w:w="2547" w:type="dxa"/>
            <w:shd w:val="clear" w:color="auto" w:fill="auto"/>
          </w:tcPr>
          <w:p w14:paraId="38D427E8"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CPL Bolívar N°1</w:t>
            </w:r>
          </w:p>
        </w:tc>
        <w:tc>
          <w:tcPr>
            <w:tcW w:w="3827" w:type="dxa"/>
            <w:shd w:val="clear" w:color="auto" w:fill="auto"/>
          </w:tcPr>
          <w:p w14:paraId="3E0BC081"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médico general</w:t>
            </w:r>
          </w:p>
          <w:p w14:paraId="63E4EACE"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médico familiar</w:t>
            </w:r>
          </w:p>
          <w:p w14:paraId="6010C7C9"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enfermero</w:t>
            </w:r>
          </w:p>
          <w:p w14:paraId="7ECD59E2"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odontólogo</w:t>
            </w:r>
          </w:p>
          <w:p w14:paraId="26FE3A93"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psicólogo</w:t>
            </w:r>
          </w:p>
        </w:tc>
      </w:tr>
      <w:tr w:rsidR="009E0A9E" w:rsidRPr="00775AE5" w14:paraId="35293648" w14:textId="77777777" w:rsidTr="00525437">
        <w:trPr>
          <w:jc w:val="center"/>
        </w:trPr>
        <w:tc>
          <w:tcPr>
            <w:tcW w:w="2547" w:type="dxa"/>
            <w:shd w:val="clear" w:color="auto" w:fill="auto"/>
          </w:tcPr>
          <w:p w14:paraId="352B8A83" w14:textId="77777777" w:rsidR="009E0A9E" w:rsidRPr="00775AE5" w:rsidRDefault="009E0A9E" w:rsidP="00525437">
            <w:pPr>
              <w:rPr>
                <w:rFonts w:ascii="Arial" w:hAnsi="Arial" w:cs="Arial"/>
                <w:color w:val="000000"/>
                <w:sz w:val="22"/>
                <w:szCs w:val="22"/>
                <w:lang w:val="es-MX"/>
              </w:rPr>
            </w:pPr>
            <w:proofErr w:type="spellStart"/>
            <w:r w:rsidRPr="00775AE5">
              <w:rPr>
                <w:rFonts w:ascii="Arial" w:hAnsi="Arial" w:cs="Arial"/>
                <w:color w:val="000000"/>
                <w:sz w:val="22"/>
                <w:szCs w:val="22"/>
                <w:lang w:val="es-MX"/>
              </w:rPr>
              <w:t>CPLTungurahua</w:t>
            </w:r>
            <w:proofErr w:type="spellEnd"/>
            <w:r w:rsidRPr="00775AE5">
              <w:rPr>
                <w:rFonts w:ascii="Arial" w:hAnsi="Arial" w:cs="Arial"/>
                <w:color w:val="000000"/>
                <w:sz w:val="22"/>
                <w:szCs w:val="22"/>
                <w:lang w:val="es-MX"/>
              </w:rPr>
              <w:t xml:space="preserve"> N°1</w:t>
            </w:r>
          </w:p>
        </w:tc>
        <w:tc>
          <w:tcPr>
            <w:tcW w:w="3827" w:type="dxa"/>
            <w:shd w:val="clear" w:color="auto" w:fill="auto"/>
          </w:tcPr>
          <w:p w14:paraId="626D8FCB"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médico general</w:t>
            </w:r>
          </w:p>
          <w:p w14:paraId="2032452D"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odontólogo</w:t>
            </w:r>
          </w:p>
          <w:p w14:paraId="43948E70"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psicólogo</w:t>
            </w:r>
          </w:p>
        </w:tc>
      </w:tr>
      <w:tr w:rsidR="009E0A9E" w:rsidRPr="00775AE5" w14:paraId="056D35CA" w14:textId="77777777" w:rsidTr="00525437">
        <w:trPr>
          <w:jc w:val="center"/>
        </w:trPr>
        <w:tc>
          <w:tcPr>
            <w:tcW w:w="2547" w:type="dxa"/>
            <w:shd w:val="clear" w:color="auto" w:fill="auto"/>
          </w:tcPr>
          <w:p w14:paraId="09142899" w14:textId="23DFF59C"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 xml:space="preserve">CPL </w:t>
            </w:r>
            <w:r w:rsidR="00434BA9" w:rsidRPr="00775AE5">
              <w:rPr>
                <w:rFonts w:ascii="Arial" w:hAnsi="Arial" w:cs="Arial"/>
                <w:color w:val="000000"/>
                <w:sz w:val="22"/>
                <w:szCs w:val="22"/>
                <w:lang w:val="es-MX"/>
              </w:rPr>
              <w:t>Chimborazo</w:t>
            </w:r>
            <w:r w:rsidRPr="00775AE5">
              <w:rPr>
                <w:rFonts w:ascii="Arial" w:hAnsi="Arial" w:cs="Arial"/>
                <w:color w:val="000000"/>
                <w:sz w:val="22"/>
                <w:szCs w:val="22"/>
                <w:lang w:val="es-MX"/>
              </w:rPr>
              <w:t xml:space="preserve"> N°1</w:t>
            </w:r>
          </w:p>
        </w:tc>
        <w:tc>
          <w:tcPr>
            <w:tcW w:w="3827" w:type="dxa"/>
            <w:shd w:val="clear" w:color="auto" w:fill="auto"/>
          </w:tcPr>
          <w:p w14:paraId="65663126"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médico</w:t>
            </w:r>
          </w:p>
          <w:p w14:paraId="1C786828"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enfermero</w:t>
            </w:r>
          </w:p>
          <w:p w14:paraId="524088D8"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odontólogo</w:t>
            </w:r>
          </w:p>
          <w:p w14:paraId="10CE96CC"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psicólogo</w:t>
            </w:r>
          </w:p>
          <w:p w14:paraId="607BB8CB"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nutricionista</w:t>
            </w:r>
          </w:p>
        </w:tc>
      </w:tr>
      <w:tr w:rsidR="009E0A9E" w:rsidRPr="00775AE5" w14:paraId="44573106" w14:textId="77777777" w:rsidTr="00525437">
        <w:trPr>
          <w:jc w:val="center"/>
        </w:trPr>
        <w:tc>
          <w:tcPr>
            <w:tcW w:w="2547" w:type="dxa"/>
            <w:shd w:val="clear" w:color="auto" w:fill="auto"/>
          </w:tcPr>
          <w:p w14:paraId="49B54B64"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CPL Azuay N°1</w:t>
            </w:r>
          </w:p>
        </w:tc>
        <w:tc>
          <w:tcPr>
            <w:tcW w:w="3827" w:type="dxa"/>
            <w:shd w:val="clear" w:color="auto" w:fill="auto"/>
          </w:tcPr>
          <w:p w14:paraId="4B1A2055"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No se cuenta con información</w:t>
            </w:r>
          </w:p>
        </w:tc>
      </w:tr>
      <w:tr w:rsidR="009E0A9E" w:rsidRPr="00775AE5" w14:paraId="383BD4A0" w14:textId="77777777" w:rsidTr="00525437">
        <w:trPr>
          <w:jc w:val="center"/>
        </w:trPr>
        <w:tc>
          <w:tcPr>
            <w:tcW w:w="2547" w:type="dxa"/>
            <w:shd w:val="clear" w:color="auto" w:fill="auto"/>
          </w:tcPr>
          <w:p w14:paraId="60008C58"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CPL El Oro N°2</w:t>
            </w:r>
          </w:p>
        </w:tc>
        <w:tc>
          <w:tcPr>
            <w:tcW w:w="3827" w:type="dxa"/>
            <w:shd w:val="clear" w:color="auto" w:fill="auto"/>
          </w:tcPr>
          <w:p w14:paraId="1014EBA8"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médico familiar</w:t>
            </w:r>
          </w:p>
          <w:p w14:paraId="0DA13DC9"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 xml:space="preserve">1 obstetra </w:t>
            </w:r>
          </w:p>
          <w:p w14:paraId="7DCC12DF"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odontólogo</w:t>
            </w:r>
          </w:p>
          <w:p w14:paraId="18FCE076" w14:textId="77777777" w:rsidR="009E0A9E" w:rsidRPr="00775AE5" w:rsidRDefault="009E0A9E" w:rsidP="00525437">
            <w:pPr>
              <w:rPr>
                <w:rFonts w:ascii="Arial" w:hAnsi="Arial" w:cs="Arial"/>
                <w:color w:val="000000"/>
                <w:sz w:val="22"/>
                <w:szCs w:val="22"/>
                <w:lang w:val="es-MX"/>
              </w:rPr>
            </w:pPr>
            <w:r w:rsidRPr="00775AE5">
              <w:rPr>
                <w:rFonts w:ascii="Arial" w:hAnsi="Arial" w:cs="Arial"/>
                <w:color w:val="000000"/>
                <w:sz w:val="22"/>
                <w:szCs w:val="22"/>
                <w:lang w:val="es-MX"/>
              </w:rPr>
              <w:t>1 psicólogo</w:t>
            </w:r>
          </w:p>
        </w:tc>
      </w:tr>
    </w:tbl>
    <w:p w14:paraId="6A58DC15" w14:textId="77777777" w:rsidR="009E0A9E" w:rsidRPr="00775AE5" w:rsidRDefault="009E0A9E" w:rsidP="009E0A9E">
      <w:pPr>
        <w:rPr>
          <w:rFonts w:ascii="Arial" w:hAnsi="Arial" w:cs="Arial"/>
          <w:color w:val="000000"/>
          <w:sz w:val="22"/>
          <w:szCs w:val="22"/>
          <w:lang w:val="es-MX"/>
        </w:rPr>
      </w:pPr>
      <w:r w:rsidRPr="00775AE5">
        <w:rPr>
          <w:rFonts w:ascii="Arial" w:hAnsi="Arial" w:cs="Arial"/>
          <w:color w:val="000000"/>
          <w:sz w:val="22"/>
          <w:szCs w:val="22"/>
          <w:lang w:val="es-MX"/>
        </w:rPr>
        <w:t>Fuente: Entrevista a personal de salud y PPL</w:t>
      </w:r>
    </w:p>
    <w:p w14:paraId="6E000949" w14:textId="77777777" w:rsidR="009E0A9E" w:rsidRPr="00775AE5" w:rsidRDefault="009E0A9E" w:rsidP="009E0A9E">
      <w:pPr>
        <w:rPr>
          <w:rFonts w:ascii="Arial" w:hAnsi="Arial" w:cs="Arial"/>
          <w:color w:val="000000"/>
          <w:sz w:val="22"/>
          <w:szCs w:val="22"/>
          <w:lang w:val="es-MX"/>
        </w:rPr>
      </w:pPr>
      <w:r w:rsidRPr="00775AE5">
        <w:rPr>
          <w:rFonts w:ascii="Arial" w:hAnsi="Arial" w:cs="Arial"/>
          <w:color w:val="000000"/>
          <w:sz w:val="22"/>
          <w:szCs w:val="22"/>
          <w:lang w:val="es-MX"/>
        </w:rPr>
        <w:t>Elaborado por: MNPT, 2024</w:t>
      </w:r>
    </w:p>
    <w:p w14:paraId="127138CC" w14:textId="77777777" w:rsidR="009E0A9E" w:rsidRPr="00775AE5" w:rsidRDefault="009E0A9E" w:rsidP="009E0A9E">
      <w:pPr>
        <w:jc w:val="both"/>
        <w:rPr>
          <w:rFonts w:ascii="Arial" w:eastAsia="DejaVu Sans" w:hAnsi="Arial" w:cs="Arial"/>
          <w:sz w:val="22"/>
          <w:szCs w:val="22"/>
          <w:lang w:val="es-VE" w:eastAsia="es-EC" w:bidi="hi-IN"/>
        </w:rPr>
      </w:pPr>
    </w:p>
    <w:p w14:paraId="1C9CA694" w14:textId="77777777" w:rsidR="009E0A9E" w:rsidRPr="00775AE5" w:rsidRDefault="009E0A9E" w:rsidP="009E0A9E">
      <w:pPr>
        <w:jc w:val="both"/>
        <w:rPr>
          <w:rFonts w:ascii="Arial" w:eastAsia="DejaVu Sans" w:hAnsi="Arial" w:cs="Arial"/>
          <w:sz w:val="22"/>
          <w:szCs w:val="22"/>
          <w:lang w:val="es-VE" w:eastAsia="es-EC" w:bidi="hi-IN"/>
        </w:rPr>
      </w:pPr>
      <w:r w:rsidRPr="00775AE5">
        <w:rPr>
          <w:rFonts w:ascii="Arial" w:eastAsia="DejaVu Sans" w:hAnsi="Arial" w:cs="Arial"/>
          <w:sz w:val="22"/>
          <w:szCs w:val="22"/>
          <w:lang w:val="es-VE" w:eastAsia="es-EC" w:bidi="hi-IN"/>
        </w:rPr>
        <w:t>La atención de los EAIS es de lunes a viernes, mientras que otros especialistas como nutricionistas asisten cada 15 días. Los horarios de atención son en la generalidad los mismos del área administrativa del centro. Y la atención de emergencias se realiza a través del Ecu 911.</w:t>
      </w:r>
    </w:p>
    <w:p w14:paraId="40AF45A5" w14:textId="77777777" w:rsidR="009E0A9E" w:rsidRPr="00775AE5" w:rsidRDefault="009E0A9E" w:rsidP="009E0A9E">
      <w:pPr>
        <w:jc w:val="both"/>
        <w:rPr>
          <w:rFonts w:ascii="Arial" w:eastAsia="DejaVu Sans" w:hAnsi="Arial" w:cs="Arial"/>
          <w:sz w:val="22"/>
          <w:szCs w:val="22"/>
          <w:lang w:val="es-VE" w:eastAsia="es-EC" w:bidi="hi-IN"/>
        </w:rPr>
      </w:pPr>
    </w:p>
    <w:p w14:paraId="1F0FA887" w14:textId="77777777" w:rsidR="009E0A9E" w:rsidRPr="00775AE5" w:rsidRDefault="009E0A9E" w:rsidP="009E0A9E">
      <w:pPr>
        <w:jc w:val="both"/>
        <w:rPr>
          <w:rFonts w:ascii="Arial" w:eastAsia="DejaVu Sans" w:hAnsi="Arial" w:cs="Arial"/>
          <w:sz w:val="22"/>
          <w:szCs w:val="22"/>
          <w:lang w:val="es-VE" w:eastAsia="es-EC" w:bidi="hi-IN"/>
        </w:rPr>
      </w:pPr>
      <w:r w:rsidRPr="00775AE5">
        <w:rPr>
          <w:rFonts w:ascii="Arial" w:eastAsia="DejaVu Sans" w:hAnsi="Arial" w:cs="Arial"/>
          <w:sz w:val="22"/>
          <w:szCs w:val="22"/>
          <w:lang w:val="es-VE" w:eastAsia="es-EC" w:bidi="hi-IN"/>
        </w:rPr>
        <w:t xml:space="preserve">Entre las problemáticas recabadas están, la falta de medicamentos, la insuficiencia de turnos de atención, espacios no adecuados para las atenciones, la falta de programa para rehabilitación de adicciones (a excepción del CPL Chimborazo N°1 que cuenta con un espacio específico para la atención de esta afección) y problemas para asistir a las citas con especialistas externos. </w:t>
      </w:r>
    </w:p>
    <w:p w14:paraId="36C117DD" w14:textId="77777777" w:rsidR="009E0A9E" w:rsidRPr="00775AE5" w:rsidRDefault="009E0A9E" w:rsidP="009E0A9E">
      <w:pPr>
        <w:jc w:val="both"/>
        <w:rPr>
          <w:rFonts w:ascii="Arial" w:eastAsia="DejaVu Sans" w:hAnsi="Arial" w:cs="Arial"/>
          <w:sz w:val="22"/>
          <w:szCs w:val="22"/>
          <w:lang w:val="es-VE" w:eastAsia="es-EC" w:bidi="hi-IN"/>
        </w:rPr>
      </w:pPr>
    </w:p>
    <w:p w14:paraId="28BD4471" w14:textId="77777777" w:rsidR="009E0A9E" w:rsidRPr="00775AE5" w:rsidRDefault="009E0A9E" w:rsidP="009E0A9E">
      <w:pPr>
        <w:jc w:val="both"/>
        <w:rPr>
          <w:rFonts w:ascii="Arial" w:eastAsia="DejaVu Sans" w:hAnsi="Arial" w:cs="Arial"/>
          <w:sz w:val="22"/>
          <w:szCs w:val="22"/>
          <w:lang w:val="es-VE" w:eastAsia="es-EC" w:bidi="hi-IN"/>
        </w:rPr>
      </w:pPr>
      <w:r w:rsidRPr="00775AE5">
        <w:rPr>
          <w:rFonts w:ascii="Arial" w:eastAsia="DejaVu Sans" w:hAnsi="Arial" w:cs="Arial"/>
          <w:sz w:val="22"/>
          <w:szCs w:val="22"/>
          <w:lang w:val="es-VE" w:eastAsia="es-EC" w:bidi="hi-IN"/>
        </w:rPr>
        <w:t>De manera pormenorizada también se registró que: en el CPL Napo N°1 manifestaron inconformidad por no permitirles el ingreso de vitaminas; en el CPL Santo Domingo N°1 por la falta de acceso oportuno a la atención de emergencias y el auxilio de ambulancias; en el CPL Bolívar N°1 por la falta de medicación psiquiátrica.</w:t>
      </w:r>
    </w:p>
    <w:p w14:paraId="7FF75DA4" w14:textId="77777777" w:rsidR="009E0A9E" w:rsidRPr="00775AE5" w:rsidRDefault="009E0A9E" w:rsidP="009E0A9E">
      <w:pPr>
        <w:jc w:val="both"/>
        <w:rPr>
          <w:rFonts w:ascii="Arial" w:eastAsia="DejaVu Sans" w:hAnsi="Arial" w:cs="Arial"/>
          <w:sz w:val="22"/>
          <w:szCs w:val="22"/>
          <w:lang w:val="es-VE" w:eastAsia="es-EC" w:bidi="hi-IN"/>
        </w:rPr>
      </w:pPr>
    </w:p>
    <w:p w14:paraId="4FD05E6E" w14:textId="77777777" w:rsidR="009E0A9E" w:rsidRPr="00775AE5" w:rsidRDefault="009E0A9E" w:rsidP="009E0A9E">
      <w:pPr>
        <w:jc w:val="both"/>
        <w:rPr>
          <w:rFonts w:ascii="Arial" w:eastAsia="DejaVu Sans" w:hAnsi="Arial" w:cs="Arial"/>
          <w:sz w:val="22"/>
          <w:szCs w:val="22"/>
          <w:lang w:val="es-VE" w:eastAsia="es-EC" w:bidi="hi-IN"/>
        </w:rPr>
      </w:pPr>
      <w:r w:rsidRPr="00775AE5">
        <w:rPr>
          <w:rFonts w:ascii="Arial" w:eastAsia="DejaVu Sans" w:hAnsi="Arial" w:cs="Arial"/>
          <w:sz w:val="22"/>
          <w:szCs w:val="22"/>
          <w:lang w:val="es-VE" w:eastAsia="es-EC" w:bidi="hi-IN"/>
        </w:rPr>
        <w:t>Se registró mejora en cuanto a que las PPL cuenten con historia clínica, lo que representa que las PPL al menos cuentan con una atención médica desde su ingreso a los CPL.</w:t>
      </w:r>
    </w:p>
    <w:p w14:paraId="07C37390" w14:textId="77777777" w:rsidR="009E0A9E" w:rsidRPr="00775AE5" w:rsidRDefault="009E0A9E" w:rsidP="009E0A9E">
      <w:pPr>
        <w:jc w:val="both"/>
        <w:rPr>
          <w:rFonts w:ascii="Arial" w:eastAsia="DejaVu Sans" w:hAnsi="Arial" w:cs="Arial"/>
          <w:sz w:val="22"/>
          <w:szCs w:val="22"/>
          <w:lang w:val="es-VE" w:eastAsia="es-EC" w:bidi="hi-IN"/>
        </w:rPr>
      </w:pPr>
    </w:p>
    <w:p w14:paraId="7035075E" w14:textId="77777777" w:rsidR="009E0A9E" w:rsidRPr="00775AE5" w:rsidRDefault="009E0A9E" w:rsidP="009E0A9E">
      <w:pPr>
        <w:jc w:val="both"/>
        <w:rPr>
          <w:rFonts w:ascii="Arial" w:eastAsia="DejaVu Sans" w:hAnsi="Arial" w:cs="Arial"/>
          <w:sz w:val="22"/>
          <w:szCs w:val="22"/>
          <w:lang w:val="es-VE" w:eastAsia="es-EC" w:bidi="hi-IN"/>
        </w:rPr>
      </w:pPr>
      <w:r w:rsidRPr="00775AE5">
        <w:rPr>
          <w:rFonts w:ascii="Arial" w:eastAsia="DejaVu Sans" w:hAnsi="Arial" w:cs="Arial"/>
          <w:sz w:val="22"/>
          <w:szCs w:val="22"/>
          <w:lang w:val="es-VE" w:eastAsia="es-EC" w:bidi="hi-IN"/>
        </w:rPr>
        <w:t>Acerca del CDP de Santa Elena, las PPL indicaron que en el momento de la detención los llevan al centro médico Valdivia o el Hospital Libertad del MSP para la obtención del certificado médico. La medicación les puede traer familiares y les permiten ingresar a través de personal policial.  En casos de emergencia viene la ambulancia de los bomberos o llaman al 911 y si hay conflicto entre las personas se los separa en otra celda. Personal policial señaló que se le realiza el examen médico previo al ingreso, si la PPL viene con prescripción médica se facilita el ingreso del tratamiento médico que recomendó el médico.</w:t>
      </w:r>
    </w:p>
    <w:p w14:paraId="3D6899DC" w14:textId="77777777" w:rsidR="009E0A9E" w:rsidRPr="00775AE5" w:rsidRDefault="009E0A9E" w:rsidP="009E0A9E">
      <w:pPr>
        <w:jc w:val="both"/>
        <w:rPr>
          <w:rFonts w:ascii="Arial" w:eastAsia="DejaVu Sans" w:hAnsi="Arial" w:cs="Arial"/>
          <w:sz w:val="22"/>
          <w:szCs w:val="22"/>
          <w:lang w:val="es-VE" w:eastAsia="es-EC" w:bidi="hi-IN"/>
        </w:rPr>
      </w:pPr>
    </w:p>
    <w:p w14:paraId="70E3585F" w14:textId="77777777" w:rsidR="009E0A9E" w:rsidRPr="00775AE5" w:rsidRDefault="009E0A9E" w:rsidP="009E0A9E">
      <w:pPr>
        <w:jc w:val="both"/>
        <w:rPr>
          <w:rFonts w:ascii="Arial" w:eastAsia="DejaVu Sans" w:hAnsi="Arial" w:cs="Arial"/>
          <w:sz w:val="22"/>
          <w:szCs w:val="22"/>
          <w:lang w:val="es-VE" w:eastAsia="es-EC" w:bidi="hi-IN"/>
        </w:rPr>
      </w:pPr>
      <w:r w:rsidRPr="00775AE5">
        <w:rPr>
          <w:rFonts w:ascii="Arial" w:eastAsia="DejaVu Sans" w:hAnsi="Arial" w:cs="Arial"/>
          <w:sz w:val="22"/>
          <w:szCs w:val="22"/>
          <w:lang w:val="es-VE" w:eastAsia="es-EC" w:bidi="hi-IN"/>
        </w:rPr>
        <w:t>En cuanto a los CAIS la situación es similar a la de los adultos en cuanto a las problemáticas que se presenta; sin embargo, existen cuestiones adicionales que pueden resultar agravantes en el acceso a la salud de las y los adolescentes. Entre estas están: que existe menores días de atención a los centros, es decir, no existe personal del MSP de planta, sino que son parte de los centros y subcentros de salud, y dan atención a los CAI, en promedio dos días a la semana. Así también, resulta problemático el no contar con atención psicológica sostenida, puesto que tampoco tienen atención diaria, y en casos como el del CAI Femenino Guayas la atención es cada 15 días.</w:t>
      </w:r>
    </w:p>
    <w:p w14:paraId="5CC2315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0EBC82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0692E39" w14:textId="77777777" w:rsidR="009E0A9E" w:rsidRPr="00775AE5" w:rsidRDefault="009E0A9E" w:rsidP="00640CCA">
      <w:pPr>
        <w:pStyle w:val="Heading3"/>
        <w:rPr>
          <w:rFonts w:ascii="Arial" w:hAnsi="Arial" w:cs="Arial"/>
          <w:sz w:val="22"/>
          <w:szCs w:val="22"/>
        </w:rPr>
      </w:pPr>
      <w:bookmarkStart w:id="25" w:name="_Toc168907348"/>
      <w:r w:rsidRPr="00775AE5">
        <w:rPr>
          <w:rFonts w:ascii="Arial" w:hAnsi="Arial" w:cs="Arial"/>
          <w:sz w:val="22"/>
          <w:szCs w:val="22"/>
        </w:rPr>
        <w:t>1.4. Artículo 11 (Párrafo 21 de la Lista de Cuestiones)</w:t>
      </w:r>
      <w:bookmarkEnd w:id="25"/>
    </w:p>
    <w:p w14:paraId="2E1EF5D5" w14:textId="77777777" w:rsidR="009E0A9E" w:rsidRPr="00775AE5" w:rsidRDefault="009E0A9E" w:rsidP="009E0A9E">
      <w:pPr>
        <w:rPr>
          <w:rFonts w:ascii="Arial" w:hAnsi="Arial" w:cs="Arial"/>
          <w:sz w:val="22"/>
          <w:szCs w:val="22"/>
        </w:rPr>
      </w:pPr>
    </w:p>
    <w:p w14:paraId="74C9BDE6" w14:textId="77777777" w:rsidR="009E0A9E" w:rsidRPr="00775AE5" w:rsidRDefault="009E0A9E" w:rsidP="00640CCA">
      <w:pPr>
        <w:pStyle w:val="Heading3"/>
        <w:rPr>
          <w:rFonts w:ascii="Arial" w:hAnsi="Arial" w:cs="Arial"/>
          <w:sz w:val="22"/>
          <w:szCs w:val="22"/>
        </w:rPr>
      </w:pPr>
      <w:bookmarkStart w:id="26" w:name="_Toc168907349"/>
      <w:r w:rsidRPr="00775AE5">
        <w:rPr>
          <w:rFonts w:ascii="Arial" w:hAnsi="Arial" w:cs="Arial"/>
          <w:sz w:val="22"/>
          <w:szCs w:val="22"/>
        </w:rPr>
        <w:t>Condiciones de reclusión</w:t>
      </w:r>
      <w:bookmarkEnd w:id="26"/>
    </w:p>
    <w:p w14:paraId="7A87125E" w14:textId="77777777" w:rsidR="009E0A9E" w:rsidRPr="00775AE5" w:rsidRDefault="009E0A9E" w:rsidP="009E0A9E">
      <w:pPr>
        <w:rPr>
          <w:rFonts w:ascii="Arial" w:hAnsi="Arial" w:cs="Arial"/>
          <w:sz w:val="22"/>
          <w:szCs w:val="22"/>
        </w:rPr>
      </w:pPr>
    </w:p>
    <w:p w14:paraId="2AD89D0E" w14:textId="77777777" w:rsidR="009E0A9E" w:rsidRPr="00775AE5" w:rsidRDefault="009E0A9E" w:rsidP="009E0A9E">
      <w:pPr>
        <w:pStyle w:val="Heading4"/>
        <w:spacing w:before="0" w:after="0" w:line="276" w:lineRule="auto"/>
        <w:rPr>
          <w:rFonts w:ascii="Arial" w:hAnsi="Arial" w:cs="Arial"/>
          <w:i w:val="0"/>
          <w:sz w:val="22"/>
          <w:szCs w:val="22"/>
          <w:lang w:val="es-ES" w:bidi="hi-IN"/>
        </w:rPr>
      </w:pPr>
      <w:r w:rsidRPr="00775AE5">
        <w:rPr>
          <w:rFonts w:ascii="Arial" w:hAnsi="Arial" w:cs="Arial"/>
          <w:i w:val="0"/>
          <w:sz w:val="22"/>
          <w:szCs w:val="22"/>
          <w:lang w:val="es-ES" w:bidi="hi-IN"/>
        </w:rPr>
        <w:t xml:space="preserve">1.4.1. Revisiones invasivas </w:t>
      </w:r>
    </w:p>
    <w:p w14:paraId="530DF422" w14:textId="77777777" w:rsidR="009E0A9E" w:rsidRPr="00775AE5" w:rsidRDefault="009E0A9E" w:rsidP="009E0A9E">
      <w:pPr>
        <w:rPr>
          <w:rFonts w:ascii="Arial" w:hAnsi="Arial" w:cs="Arial"/>
          <w:sz w:val="22"/>
          <w:szCs w:val="22"/>
          <w:lang w:val="es-ES" w:bidi="hi-IN"/>
        </w:rPr>
      </w:pPr>
    </w:p>
    <w:p w14:paraId="595B923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bidi="hi-IN"/>
        </w:rPr>
      </w:pPr>
      <w:r w:rsidRPr="00775AE5">
        <w:rPr>
          <w:rFonts w:ascii="Arial" w:eastAsia="DejaVu Sans" w:hAnsi="Arial" w:cs="Arial"/>
          <w:sz w:val="22"/>
          <w:szCs w:val="22"/>
          <w:lang w:val="es-VE" w:eastAsia="es-EC" w:bidi="hi-IN"/>
        </w:rPr>
        <w:t>En el trabajo realizado por el MNPT desde el inicio de sus visitas a los distintos LPL del Ecuador, particularmente a los CPL, que incluyen tanto CRS, CPPL y CAI, se ha verificado que una de las quejas recurrentes manifestadas en los espacios de diálogo con PPL (hombres y mujeres) y con sus familiares, es la aplicación de revisiones invasivas al ingreso a los centros, a las que son sometidas las personas, especialmente las mujeres. Este tipo de revisiones también se aplican a las mujeres PPL durante las requisas.</w:t>
      </w:r>
    </w:p>
    <w:p w14:paraId="29054E5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bidi="hi-IN"/>
        </w:rPr>
      </w:pPr>
    </w:p>
    <w:p w14:paraId="4B9ABA2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bidi="hi-IN"/>
        </w:rPr>
      </w:pPr>
      <w:r w:rsidRPr="00775AE5">
        <w:rPr>
          <w:rFonts w:ascii="Arial" w:eastAsia="DejaVu Sans" w:hAnsi="Arial" w:cs="Arial"/>
          <w:sz w:val="22"/>
          <w:szCs w:val="22"/>
          <w:lang w:val="es-VE" w:eastAsia="es-EC" w:bidi="hi-IN"/>
        </w:rPr>
        <w:t xml:space="preserve">Las revisiones invasivas son efectuadas por parte del personal de seguridad a cargo de los filtros de seguridad de ingreso a los mismos, ya sean ASP o miembros de la Policía Nacional, con el fin de evitar el ingreso de sustancias u objetos prohibidos a los centros. Las revisiones invasivas incluyen el desnudar a la persona, e incluso puede incluir la manipulación de partes íntimas, disponer la realización de distintos ejercicios físicos mientras se encuentran desprendidos de su vestimenta, e incluso la revisión de cavidades </w:t>
      </w:r>
      <w:proofErr w:type="spellStart"/>
      <w:r w:rsidRPr="00775AE5">
        <w:rPr>
          <w:rFonts w:ascii="Arial" w:eastAsia="DejaVu Sans" w:hAnsi="Arial" w:cs="Arial"/>
          <w:sz w:val="22"/>
          <w:szCs w:val="22"/>
          <w:lang w:val="es-VE" w:eastAsia="es-EC" w:bidi="hi-IN"/>
        </w:rPr>
        <w:t>genito</w:t>
      </w:r>
      <w:proofErr w:type="spellEnd"/>
      <w:r w:rsidRPr="00775AE5">
        <w:rPr>
          <w:rFonts w:ascii="Arial" w:eastAsia="DejaVu Sans" w:hAnsi="Arial" w:cs="Arial"/>
          <w:sz w:val="22"/>
          <w:szCs w:val="22"/>
          <w:lang w:val="es-VE" w:eastAsia="es-EC" w:bidi="hi-IN"/>
        </w:rPr>
        <w:t xml:space="preserve">-anales. </w:t>
      </w:r>
    </w:p>
    <w:p w14:paraId="09E3D7D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bidi="hi-IN"/>
        </w:rPr>
      </w:pPr>
    </w:p>
    <w:p w14:paraId="04DB0D2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bidi="hi-IN"/>
        </w:rPr>
      </w:pPr>
      <w:r w:rsidRPr="00775AE5">
        <w:rPr>
          <w:rFonts w:ascii="Arial" w:eastAsia="DejaVu Sans" w:hAnsi="Arial" w:cs="Arial"/>
          <w:sz w:val="22"/>
          <w:szCs w:val="22"/>
          <w:lang w:val="es-VE" w:eastAsia="es-EC" w:bidi="hi-IN"/>
        </w:rPr>
        <w:t>Esta problemática ha sido reportada en la mayoría de los informes de visita levantados por el MNPT; así, por ejemplo, de los 45 centros visitados (entre regionales, CPL y CPPL) bajo la administración del SNAI, en 26 centros se reportó la aplicación de revisiones invasivas</w:t>
      </w:r>
      <w:r w:rsidRPr="00775AE5">
        <w:rPr>
          <w:rFonts w:ascii="Arial" w:eastAsia="DejaVu Sans" w:hAnsi="Arial" w:cs="Arial"/>
          <w:sz w:val="22"/>
          <w:szCs w:val="22"/>
          <w:vertAlign w:val="superscript"/>
          <w:lang w:val="es-VE" w:eastAsia="es-EC" w:bidi="hi-IN"/>
        </w:rPr>
        <w:footnoteReference w:id="40"/>
      </w:r>
      <w:r w:rsidRPr="00775AE5">
        <w:rPr>
          <w:rFonts w:ascii="Arial" w:eastAsia="DejaVu Sans" w:hAnsi="Arial" w:cs="Arial"/>
          <w:sz w:val="22"/>
          <w:szCs w:val="22"/>
          <w:lang w:val="es-VE" w:eastAsia="es-EC" w:bidi="hi-IN"/>
        </w:rPr>
        <w:t>. Lo que ha generado que el MNPT realice constantes recomendaciones a los órganos competentes, en este caso tanto al Servicio Nacional de Atención Integral a Personas Privadas de la Libertad y Adolescentes Infractores (SNAI) como el Ministerio del Interior.</w:t>
      </w:r>
    </w:p>
    <w:p w14:paraId="6294225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bidi="hi-IN"/>
        </w:rPr>
      </w:pPr>
    </w:p>
    <w:p w14:paraId="67F5BAD8" w14:textId="2000A2ED" w:rsidR="009E0A9E" w:rsidRPr="00775AE5" w:rsidRDefault="009E0A9E" w:rsidP="009E0A9E">
      <w:pPr>
        <w:widowControl w:val="0"/>
        <w:suppressAutoHyphens/>
        <w:spacing w:line="276" w:lineRule="auto"/>
        <w:jc w:val="both"/>
        <w:rPr>
          <w:rFonts w:ascii="Arial" w:eastAsia="DejaVu Sans" w:hAnsi="Arial" w:cs="Arial"/>
          <w:bCs/>
          <w:sz w:val="22"/>
          <w:szCs w:val="22"/>
          <w:lang w:val="es-VE" w:eastAsia="es-EC"/>
        </w:rPr>
      </w:pPr>
      <w:r w:rsidRPr="00775AE5">
        <w:rPr>
          <w:rFonts w:ascii="Arial" w:eastAsia="DejaVu Sans" w:hAnsi="Arial" w:cs="Arial"/>
          <w:sz w:val="22"/>
          <w:szCs w:val="22"/>
          <w:lang w:val="es-VE" w:eastAsia="es-EC" w:bidi="hi-IN"/>
        </w:rPr>
        <w:t xml:space="preserve">Mediante Acuerdo Ministerial No. 1355, de 01 de noviembre de 2016, el </w:t>
      </w:r>
      <w:r w:rsidR="00434BA9" w:rsidRPr="00775AE5">
        <w:rPr>
          <w:rFonts w:ascii="Arial" w:eastAsia="DejaVu Sans" w:hAnsi="Arial" w:cs="Arial"/>
          <w:sz w:val="22"/>
          <w:szCs w:val="22"/>
          <w:lang w:val="es-VE" w:eastAsia="es-EC" w:bidi="hi-IN"/>
        </w:rPr>
        <w:t>anterior MJDHC</w:t>
      </w:r>
      <w:r w:rsidRPr="00775AE5">
        <w:rPr>
          <w:rFonts w:ascii="Arial" w:eastAsia="DejaVu Sans" w:hAnsi="Arial" w:cs="Arial"/>
          <w:sz w:val="22"/>
          <w:szCs w:val="22"/>
          <w:lang w:val="es-VE" w:eastAsia="es-EC" w:bidi="hi-IN"/>
        </w:rPr>
        <w:t xml:space="preserve"> expidió el Protocolo de Ingreso a los Centros de Privación de Libertad, en el cual regulaba los procedimientos a ser aplicados para las revisiones de las personas que ingresan a los establecimientos. No obstante, este no consideraba procedimientos específicos para grupos de atención prioritaria como niños y niñas, personas adultas mayores, personas con discapacidad, et.; por lo cual, posteriormente se emitió </w:t>
      </w:r>
      <w:r w:rsidRPr="00775AE5">
        <w:rPr>
          <w:rFonts w:ascii="Arial" w:eastAsia="DejaVu Sans" w:hAnsi="Arial" w:cs="Arial"/>
          <w:sz w:val="22"/>
          <w:szCs w:val="22"/>
          <w:lang w:val="es-VE" w:eastAsia="es-EC"/>
        </w:rPr>
        <w:t xml:space="preserve">mediante Registro Oficial </w:t>
      </w:r>
      <w:proofErr w:type="spellStart"/>
      <w:r w:rsidRPr="00775AE5">
        <w:rPr>
          <w:rFonts w:ascii="Arial" w:eastAsia="DejaVu Sans" w:hAnsi="Arial" w:cs="Arial"/>
          <w:sz w:val="22"/>
          <w:szCs w:val="22"/>
          <w:lang w:val="es-VE" w:eastAsia="es-EC"/>
        </w:rPr>
        <w:t>N°</w:t>
      </w:r>
      <w:proofErr w:type="spellEnd"/>
      <w:r w:rsidRPr="00775AE5">
        <w:rPr>
          <w:rFonts w:ascii="Arial" w:eastAsia="DejaVu Sans" w:hAnsi="Arial" w:cs="Arial"/>
          <w:sz w:val="22"/>
          <w:szCs w:val="22"/>
          <w:lang w:val="es-VE" w:eastAsia="es-EC"/>
        </w:rPr>
        <w:t xml:space="preserve"> 316, de 30 de agosto de 2018 el “</w:t>
      </w:r>
      <w:r w:rsidRPr="00775AE5">
        <w:rPr>
          <w:rFonts w:ascii="Arial" w:eastAsia="DejaVu Sans" w:hAnsi="Arial" w:cs="Arial"/>
          <w:bCs/>
          <w:sz w:val="22"/>
          <w:szCs w:val="22"/>
          <w:lang w:val="es-VE" w:eastAsia="es-EC"/>
        </w:rPr>
        <w:t xml:space="preserve">Protocolo para la gestión de seguridad y vigilancia penitenciaria en los centros de privación de libertad”, en el que se expresa claramente la prohibición de la aplicación de procedimientos invasivos y que afecten a la dignidad personal.  </w:t>
      </w:r>
    </w:p>
    <w:p w14:paraId="590DD180" w14:textId="77777777" w:rsidR="009E0A9E" w:rsidRPr="00775AE5" w:rsidRDefault="009E0A9E" w:rsidP="009E0A9E">
      <w:pPr>
        <w:widowControl w:val="0"/>
        <w:suppressAutoHyphens/>
        <w:spacing w:line="276" w:lineRule="auto"/>
        <w:jc w:val="both"/>
        <w:rPr>
          <w:rFonts w:ascii="Arial" w:eastAsia="DejaVu Sans" w:hAnsi="Arial" w:cs="Arial"/>
          <w:bCs/>
          <w:sz w:val="22"/>
          <w:szCs w:val="22"/>
          <w:lang w:val="es-VE" w:eastAsia="es-EC"/>
        </w:rPr>
      </w:pPr>
    </w:p>
    <w:p w14:paraId="022AFDF6" w14:textId="77777777" w:rsidR="009E0A9E" w:rsidRPr="00775AE5" w:rsidRDefault="009E0A9E" w:rsidP="009E0A9E">
      <w:pPr>
        <w:widowControl w:val="0"/>
        <w:suppressAutoHyphens/>
        <w:spacing w:line="276" w:lineRule="auto"/>
        <w:jc w:val="both"/>
        <w:rPr>
          <w:rFonts w:ascii="Arial" w:eastAsia="DejaVu Sans" w:hAnsi="Arial" w:cs="Arial"/>
          <w:bCs/>
          <w:sz w:val="22"/>
          <w:szCs w:val="22"/>
          <w:lang w:val="es-VE" w:eastAsia="es-EC"/>
        </w:rPr>
      </w:pPr>
      <w:r w:rsidRPr="00775AE5">
        <w:rPr>
          <w:rFonts w:ascii="Arial" w:eastAsia="DejaVu Sans" w:hAnsi="Arial" w:cs="Arial"/>
          <w:bCs/>
          <w:sz w:val="22"/>
          <w:szCs w:val="22"/>
          <w:lang w:val="es-VE" w:eastAsia="es-EC"/>
        </w:rPr>
        <w:t>A continuación, un extracto de los artículos que manifiestan esta prohibición:</w:t>
      </w:r>
    </w:p>
    <w:p w14:paraId="465D6D68" w14:textId="77777777" w:rsidR="009E0A9E" w:rsidRPr="00775AE5" w:rsidRDefault="009E0A9E" w:rsidP="009E0A9E">
      <w:pPr>
        <w:widowControl w:val="0"/>
        <w:suppressAutoHyphens/>
        <w:spacing w:line="276" w:lineRule="auto"/>
        <w:ind w:firstLine="708"/>
        <w:jc w:val="both"/>
        <w:rPr>
          <w:rFonts w:ascii="Arial" w:eastAsia="DejaVu Sans" w:hAnsi="Arial" w:cs="Arial"/>
          <w:sz w:val="22"/>
          <w:szCs w:val="22"/>
          <w:lang w:val="es-VE" w:eastAsia="es-EC" w:bidi="hi-IN"/>
        </w:rPr>
      </w:pPr>
    </w:p>
    <w:p w14:paraId="093AFA9D" w14:textId="786FF525"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bCs/>
          <w:sz w:val="22"/>
          <w:szCs w:val="22"/>
          <w:lang w:val="es-ES"/>
        </w:rPr>
        <w:t xml:space="preserve">Artículo 31.- Procedimiento de la revisión </w:t>
      </w:r>
      <w:r w:rsidR="00434BA9" w:rsidRPr="00775AE5">
        <w:rPr>
          <w:rFonts w:ascii="Arial" w:eastAsia="Calibri" w:hAnsi="Arial" w:cs="Arial"/>
          <w:bCs/>
          <w:sz w:val="22"/>
          <w:szCs w:val="22"/>
          <w:lang w:val="es-ES"/>
        </w:rPr>
        <w:t>corporal. -</w:t>
      </w:r>
      <w:r w:rsidRPr="00775AE5">
        <w:rPr>
          <w:rFonts w:ascii="Arial" w:eastAsia="Calibri" w:hAnsi="Arial" w:cs="Arial"/>
          <w:bCs/>
          <w:sz w:val="22"/>
          <w:szCs w:val="22"/>
          <w:lang w:val="es-ES"/>
        </w:rPr>
        <w:t xml:space="preserve"> </w:t>
      </w:r>
      <w:r w:rsidRPr="00775AE5">
        <w:rPr>
          <w:rFonts w:ascii="Arial" w:eastAsia="Calibri" w:hAnsi="Arial" w:cs="Arial"/>
          <w:sz w:val="22"/>
          <w:szCs w:val="22"/>
          <w:lang w:val="es-ES"/>
        </w:rPr>
        <w:t>Las y los servidores públicos encargados del control de la seguridad y vigilancia penitenciaria asignados a este registro observarán el siguiente procedimiento:</w:t>
      </w:r>
    </w:p>
    <w:p w14:paraId="36AD1C9F"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w:t>
      </w:r>
    </w:p>
    <w:p w14:paraId="2A2FD375"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Se procederá con la revisión corporal, garantizando en todo momento que no exista una invasión a la intimidad de la persona registrada; […]</w:t>
      </w:r>
    </w:p>
    <w:p w14:paraId="07D0053A" w14:textId="17707E6B"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bCs/>
          <w:sz w:val="22"/>
          <w:szCs w:val="22"/>
          <w:lang w:val="es-ES"/>
        </w:rPr>
        <w:t xml:space="preserve">Artículo. 32.- Del ingreso de niñas y </w:t>
      </w:r>
      <w:r w:rsidR="00434BA9" w:rsidRPr="00775AE5">
        <w:rPr>
          <w:rFonts w:ascii="Arial" w:eastAsia="Calibri" w:hAnsi="Arial" w:cs="Arial"/>
          <w:bCs/>
          <w:sz w:val="22"/>
          <w:szCs w:val="22"/>
          <w:lang w:val="es-ES"/>
        </w:rPr>
        <w:t>niños. -</w:t>
      </w:r>
      <w:r w:rsidRPr="00775AE5">
        <w:rPr>
          <w:rFonts w:ascii="Arial" w:eastAsia="Calibri" w:hAnsi="Arial" w:cs="Arial"/>
          <w:bCs/>
          <w:sz w:val="22"/>
          <w:szCs w:val="22"/>
          <w:lang w:val="es-ES"/>
        </w:rPr>
        <w:t xml:space="preserve"> </w:t>
      </w:r>
      <w:r w:rsidRPr="00775AE5">
        <w:rPr>
          <w:rFonts w:ascii="Arial" w:eastAsia="Calibri" w:hAnsi="Arial" w:cs="Arial"/>
          <w:sz w:val="22"/>
          <w:szCs w:val="22"/>
          <w:lang w:val="es-ES"/>
        </w:rPr>
        <w:t>En el caso de ingreso de niñas y niños, la o el servidor público encargado del control de la seguridad y vigilancia penitenciaria, deberá proceder de la siguiente manera:</w:t>
      </w:r>
    </w:p>
    <w:p w14:paraId="52652DC1"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1. Durante el ingreso de niñas y niños está prohibida la revisión corporal y se podrá utilizar dispositivos de seguridad electrónica; […]</w:t>
      </w:r>
    </w:p>
    <w:p w14:paraId="0E991AFC" w14:textId="6E53346F" w:rsidR="009E0A9E" w:rsidRPr="00775AE5" w:rsidRDefault="009E0A9E" w:rsidP="009E0A9E">
      <w:pPr>
        <w:spacing w:line="276" w:lineRule="auto"/>
        <w:ind w:left="709"/>
        <w:jc w:val="both"/>
        <w:rPr>
          <w:rFonts w:ascii="Arial" w:eastAsia="Calibri" w:hAnsi="Arial" w:cs="Arial"/>
          <w:bCs/>
          <w:sz w:val="22"/>
          <w:szCs w:val="22"/>
          <w:lang w:val="es-EC"/>
        </w:rPr>
      </w:pPr>
      <w:r w:rsidRPr="00775AE5">
        <w:rPr>
          <w:rFonts w:ascii="Arial" w:eastAsia="Calibri" w:hAnsi="Arial" w:cs="Arial"/>
          <w:bCs/>
          <w:sz w:val="22"/>
          <w:szCs w:val="22"/>
          <w:lang w:val="es-ES"/>
        </w:rPr>
        <w:t xml:space="preserve">Artículo 34.- Del ingreso de representantes consulares, diplomáticos, operadores de justicia, derechos humanos o delegados del Organismo </w:t>
      </w:r>
      <w:r w:rsidR="00434BA9" w:rsidRPr="00775AE5">
        <w:rPr>
          <w:rFonts w:ascii="Arial" w:eastAsia="Calibri" w:hAnsi="Arial" w:cs="Arial"/>
          <w:bCs/>
          <w:sz w:val="22"/>
          <w:szCs w:val="22"/>
          <w:lang w:val="es-ES"/>
        </w:rPr>
        <w:t>Técnico. -</w:t>
      </w:r>
      <w:r w:rsidRPr="00775AE5">
        <w:rPr>
          <w:rFonts w:ascii="Arial" w:eastAsia="Calibri" w:hAnsi="Arial" w:cs="Arial"/>
          <w:bCs/>
          <w:sz w:val="22"/>
          <w:szCs w:val="22"/>
          <w:lang w:val="es-ES"/>
        </w:rPr>
        <w:t xml:space="preserve"> </w:t>
      </w:r>
      <w:r w:rsidRPr="00775AE5">
        <w:rPr>
          <w:rFonts w:ascii="Arial" w:eastAsia="Calibri" w:hAnsi="Arial" w:cs="Arial"/>
          <w:sz w:val="22"/>
          <w:szCs w:val="22"/>
          <w:lang w:val="es-ES"/>
        </w:rPr>
        <w:t>Las y los servidores</w:t>
      </w:r>
      <w:r w:rsidRPr="00775AE5">
        <w:rPr>
          <w:rFonts w:ascii="Arial" w:eastAsia="Calibri" w:hAnsi="Arial" w:cs="Arial"/>
          <w:bCs/>
          <w:sz w:val="22"/>
          <w:szCs w:val="22"/>
          <w:lang w:val="es-ES"/>
        </w:rPr>
        <w:t xml:space="preserve"> </w:t>
      </w:r>
      <w:r w:rsidRPr="00775AE5">
        <w:rPr>
          <w:rFonts w:ascii="Arial" w:eastAsia="Calibri" w:hAnsi="Arial" w:cs="Arial"/>
          <w:sz w:val="22"/>
          <w:szCs w:val="22"/>
          <w:lang w:val="es-ES"/>
        </w:rPr>
        <w:t>públicos encargados del control de la seguridad y vigilancia penitenciaria deberán</w:t>
      </w:r>
      <w:r w:rsidRPr="00775AE5">
        <w:rPr>
          <w:rFonts w:ascii="Arial" w:eastAsia="Calibri" w:hAnsi="Arial" w:cs="Arial"/>
          <w:bCs/>
          <w:sz w:val="22"/>
          <w:szCs w:val="22"/>
          <w:lang w:val="es-ES"/>
        </w:rPr>
        <w:t xml:space="preserve"> </w:t>
      </w:r>
      <w:r w:rsidRPr="00775AE5">
        <w:rPr>
          <w:rFonts w:ascii="Arial" w:eastAsia="Calibri" w:hAnsi="Arial" w:cs="Arial"/>
          <w:sz w:val="22"/>
          <w:szCs w:val="22"/>
          <w:lang w:val="es-ES"/>
        </w:rPr>
        <w:t>proceder de la siguiente manera: […]</w:t>
      </w:r>
    </w:p>
    <w:p w14:paraId="22ACEF2B"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6. Pasarán por los dispositivos de seguridad electrónica, cumpliendo con los procedimientos establecidos y no se les realizará ningún tipo de registro corporal; […]</w:t>
      </w:r>
    </w:p>
    <w:p w14:paraId="5F60123F" w14:textId="2E2B480D" w:rsidR="009E0A9E" w:rsidRPr="00775AE5" w:rsidRDefault="009E0A9E" w:rsidP="009E0A9E">
      <w:pPr>
        <w:spacing w:line="276" w:lineRule="auto"/>
        <w:ind w:left="709"/>
        <w:jc w:val="both"/>
        <w:rPr>
          <w:rFonts w:ascii="Arial" w:eastAsia="Calibri" w:hAnsi="Arial" w:cs="Arial"/>
          <w:sz w:val="22"/>
          <w:szCs w:val="22"/>
          <w:lang w:val="es-EC"/>
        </w:rPr>
      </w:pPr>
      <w:r w:rsidRPr="00775AE5">
        <w:rPr>
          <w:rFonts w:ascii="Arial" w:eastAsia="Calibri" w:hAnsi="Arial" w:cs="Arial"/>
          <w:bCs/>
          <w:sz w:val="22"/>
          <w:szCs w:val="22"/>
          <w:lang w:val="es-ES"/>
        </w:rPr>
        <w:t xml:space="preserve">Artículo 37.- Del registro </w:t>
      </w:r>
      <w:r w:rsidR="00434BA9" w:rsidRPr="00775AE5">
        <w:rPr>
          <w:rFonts w:ascii="Arial" w:eastAsia="Calibri" w:hAnsi="Arial" w:cs="Arial"/>
          <w:bCs/>
          <w:sz w:val="22"/>
          <w:szCs w:val="22"/>
          <w:lang w:val="es-ES"/>
        </w:rPr>
        <w:t>corporal. -</w:t>
      </w:r>
      <w:r w:rsidRPr="00775AE5">
        <w:rPr>
          <w:rFonts w:ascii="Arial" w:eastAsia="Calibri" w:hAnsi="Arial" w:cs="Arial"/>
          <w:bCs/>
          <w:sz w:val="22"/>
          <w:szCs w:val="22"/>
          <w:lang w:val="es-ES"/>
        </w:rPr>
        <w:t xml:space="preserve"> </w:t>
      </w:r>
      <w:r w:rsidRPr="00775AE5">
        <w:rPr>
          <w:rFonts w:ascii="Arial" w:eastAsia="Calibri" w:hAnsi="Arial" w:cs="Arial"/>
          <w:sz w:val="22"/>
          <w:szCs w:val="22"/>
          <w:lang w:val="es-ES"/>
        </w:rPr>
        <w:t>La revisión corporal se realizará por servidores públicos encargados del control de la seguridad y vigilancia penitenciaria del mismo sexo de la persona registrada.</w:t>
      </w:r>
    </w:p>
    <w:p w14:paraId="03A8DBA0" w14:textId="77777777" w:rsidR="009E0A9E" w:rsidRPr="00775AE5" w:rsidRDefault="009E0A9E" w:rsidP="009E0A9E">
      <w:pPr>
        <w:spacing w:line="276" w:lineRule="auto"/>
        <w:ind w:left="709"/>
        <w:jc w:val="both"/>
        <w:rPr>
          <w:rFonts w:ascii="Arial" w:eastAsia="Calibri" w:hAnsi="Arial" w:cs="Arial"/>
          <w:sz w:val="22"/>
          <w:szCs w:val="22"/>
          <w:lang w:val="es-ES"/>
        </w:rPr>
      </w:pPr>
    </w:p>
    <w:p w14:paraId="7FFE2957"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A las personas con identidades de género diversas se les consultará su auto identificación respecto al género, con la finalidad de que se realice la revisión corporal por personal de seguridad del género con la cual se identifica.</w:t>
      </w:r>
    </w:p>
    <w:p w14:paraId="5484F2DA" w14:textId="77777777" w:rsidR="009E0A9E" w:rsidRPr="00775AE5" w:rsidRDefault="009E0A9E" w:rsidP="009E0A9E">
      <w:pPr>
        <w:spacing w:line="276" w:lineRule="auto"/>
        <w:ind w:left="709"/>
        <w:jc w:val="both"/>
        <w:rPr>
          <w:rFonts w:ascii="Arial" w:eastAsia="Calibri" w:hAnsi="Arial" w:cs="Arial"/>
          <w:sz w:val="22"/>
          <w:szCs w:val="22"/>
          <w:lang w:val="es-ES"/>
        </w:rPr>
      </w:pPr>
    </w:p>
    <w:p w14:paraId="0B6585F7" w14:textId="668D9E76"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bCs/>
          <w:sz w:val="22"/>
          <w:szCs w:val="22"/>
          <w:lang w:val="es-ES"/>
        </w:rPr>
        <w:t xml:space="preserve">Artículo 38.- Procedimiento del registro </w:t>
      </w:r>
      <w:r w:rsidR="00434BA9" w:rsidRPr="00775AE5">
        <w:rPr>
          <w:rFonts w:ascii="Arial" w:eastAsia="Calibri" w:hAnsi="Arial" w:cs="Arial"/>
          <w:bCs/>
          <w:sz w:val="22"/>
          <w:szCs w:val="22"/>
          <w:lang w:val="es-ES"/>
        </w:rPr>
        <w:t>corporal. -</w:t>
      </w:r>
      <w:r w:rsidRPr="00775AE5">
        <w:rPr>
          <w:rFonts w:ascii="Arial" w:eastAsia="Calibri" w:hAnsi="Arial" w:cs="Arial"/>
          <w:bCs/>
          <w:sz w:val="22"/>
          <w:szCs w:val="22"/>
          <w:lang w:val="es-ES"/>
        </w:rPr>
        <w:t xml:space="preserve"> </w:t>
      </w:r>
      <w:r w:rsidRPr="00775AE5">
        <w:rPr>
          <w:rFonts w:ascii="Arial" w:eastAsia="Calibri" w:hAnsi="Arial" w:cs="Arial"/>
          <w:sz w:val="22"/>
          <w:szCs w:val="22"/>
          <w:lang w:val="es-ES"/>
        </w:rPr>
        <w:t>Las y los servidor público encargado del control de la seguridad y vigilancia penitenciaria asignados a este registro observarán el siguiente procedimiento:</w:t>
      </w:r>
    </w:p>
    <w:p w14:paraId="50D1165E" w14:textId="77777777" w:rsidR="009E0A9E" w:rsidRPr="00775AE5" w:rsidRDefault="009E0A9E" w:rsidP="009E0A9E">
      <w:pPr>
        <w:spacing w:line="276" w:lineRule="auto"/>
        <w:ind w:left="709"/>
        <w:jc w:val="both"/>
        <w:rPr>
          <w:rFonts w:ascii="Arial" w:eastAsia="Calibri" w:hAnsi="Arial" w:cs="Arial"/>
          <w:sz w:val="22"/>
          <w:szCs w:val="22"/>
          <w:lang w:val="es-ES"/>
        </w:rPr>
      </w:pPr>
    </w:p>
    <w:p w14:paraId="0053F27D"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1. En cada revisión corporal el personal designado se colocarán guantes quirúrgicos y mascarillas desechables, para el efecto, se contará con dichos insumos de forma permanente;</w:t>
      </w:r>
    </w:p>
    <w:p w14:paraId="2F8A4CD3"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2. Solicitar que la persona que ingrese al cubículo de control;</w:t>
      </w:r>
    </w:p>
    <w:p w14:paraId="67B202F5"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3. Se procederá con la revisión corporal, garantizando que no exista invasión a la intimidad de la persona registrada […]</w:t>
      </w:r>
    </w:p>
    <w:p w14:paraId="3328641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F94C68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Si bien este instrumento establece procesos más detallados, estos no son aplicados por el personal de seguridad. Esto en gran medida porque la mayoría de centros no cuentan con la tecnología para revisiones mediante escáneres corporales y detectores de metales. Este equipamiento electrónico se encuentra principalmente en los centros regionales; sin embargo, no todos se encuentran operativos. </w:t>
      </w:r>
    </w:p>
    <w:p w14:paraId="79922D9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bidi="hi-IN"/>
        </w:rPr>
      </w:pPr>
    </w:p>
    <w:p w14:paraId="77ED062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EC" w:eastAsia="es-EC" w:bidi="hi-IN"/>
        </w:rPr>
      </w:pPr>
      <w:r w:rsidRPr="00775AE5">
        <w:rPr>
          <w:rFonts w:ascii="Arial" w:eastAsia="DejaVu Sans" w:hAnsi="Arial" w:cs="Arial"/>
          <w:sz w:val="22"/>
          <w:szCs w:val="22"/>
          <w:lang w:val="es-VE" w:eastAsia="es-EC" w:bidi="hi-IN"/>
        </w:rPr>
        <w:t>Las recomendaciones internacionales concluyen que este tipo de requisas deben ser prohibidas legalmente; sin embargo, la APT</w:t>
      </w:r>
      <w:r w:rsidRPr="00775AE5">
        <w:rPr>
          <w:rFonts w:ascii="Arial" w:eastAsia="DejaVu Sans" w:hAnsi="Arial" w:cs="Arial"/>
          <w:sz w:val="22"/>
          <w:szCs w:val="22"/>
          <w:vertAlign w:val="superscript"/>
          <w:lang w:val="es-VE" w:eastAsia="es-EC" w:bidi="hi-IN"/>
        </w:rPr>
        <w:footnoteReference w:id="41"/>
      </w:r>
      <w:r w:rsidRPr="00775AE5">
        <w:rPr>
          <w:rFonts w:ascii="Arial" w:eastAsia="DejaVu Sans" w:hAnsi="Arial" w:cs="Arial"/>
          <w:sz w:val="22"/>
          <w:szCs w:val="22"/>
          <w:lang w:val="es-VE" w:eastAsia="es-EC" w:bidi="hi-IN"/>
        </w:rPr>
        <w:t xml:space="preserve"> manifiesta que en caso de no estar prohibidas están deben ser efectuadas por médicos/as capacitados/as y autorizados/as para dicho fin. Esta recomendación tampoco se aplica en la actualidad, dado que como ya se mencionó las revisiones las realiza el personal de seguridad. </w:t>
      </w:r>
    </w:p>
    <w:p w14:paraId="5B11D477" w14:textId="77777777" w:rsidR="009E0A9E" w:rsidRPr="00775AE5" w:rsidRDefault="009E0A9E" w:rsidP="009E0A9E">
      <w:pPr>
        <w:widowControl w:val="0"/>
        <w:suppressAutoHyphens/>
        <w:spacing w:line="276" w:lineRule="auto"/>
        <w:jc w:val="both"/>
        <w:rPr>
          <w:rFonts w:ascii="Arial" w:hAnsi="Arial" w:cs="Arial"/>
          <w:sz w:val="22"/>
          <w:szCs w:val="22"/>
          <w:lang w:val="es-EC" w:eastAsia="es-EC"/>
        </w:rPr>
      </w:pPr>
    </w:p>
    <w:p w14:paraId="5610D263" w14:textId="77777777" w:rsidR="009E0A9E" w:rsidRPr="00775AE5" w:rsidRDefault="009E0A9E" w:rsidP="009E0A9E">
      <w:pPr>
        <w:widowControl w:val="0"/>
        <w:suppressAutoHyphens/>
        <w:spacing w:line="276" w:lineRule="auto"/>
        <w:jc w:val="both"/>
        <w:rPr>
          <w:rFonts w:ascii="Arial" w:hAnsi="Arial" w:cs="Arial"/>
          <w:sz w:val="22"/>
          <w:szCs w:val="22"/>
          <w:lang w:val="es-EC" w:eastAsia="es-EC"/>
        </w:rPr>
      </w:pPr>
      <w:r w:rsidRPr="00775AE5">
        <w:rPr>
          <w:rFonts w:ascii="Arial" w:hAnsi="Arial" w:cs="Arial"/>
          <w:sz w:val="22"/>
          <w:szCs w:val="22"/>
          <w:lang w:val="es-EC" w:eastAsia="es-EC"/>
        </w:rPr>
        <w:t>Los registros sin ropa se han convertido en una forma rutinaria de revisión atentando contra el pudor y la dignidad de los familiares y las PPL revisadas, quienes pese a la humillación que representa el proceso, han normalizado la situación como la única habilitante para ingresar a los centros. De ahí, que exista muy poca denuncia formal al respecto. Lo que lleva a las siguientes conclusiones respecto al tema:</w:t>
      </w:r>
    </w:p>
    <w:p w14:paraId="5E641527" w14:textId="77777777" w:rsidR="009E0A9E" w:rsidRPr="00775AE5" w:rsidRDefault="009E0A9E" w:rsidP="009E0A9E">
      <w:pPr>
        <w:widowControl w:val="0"/>
        <w:suppressAutoHyphens/>
        <w:spacing w:line="276" w:lineRule="auto"/>
        <w:jc w:val="both"/>
        <w:rPr>
          <w:rFonts w:ascii="Arial" w:hAnsi="Arial" w:cs="Arial"/>
          <w:sz w:val="22"/>
          <w:szCs w:val="22"/>
          <w:lang w:val="es-EC" w:eastAsia="es-EC"/>
        </w:rPr>
      </w:pPr>
    </w:p>
    <w:p w14:paraId="408C564E" w14:textId="77A7497A" w:rsidR="009E0A9E" w:rsidRPr="00775AE5" w:rsidRDefault="009E0A9E" w:rsidP="00B17DD2">
      <w:pPr>
        <w:numPr>
          <w:ilvl w:val="0"/>
          <w:numId w:val="12"/>
        </w:numPr>
        <w:spacing w:line="276" w:lineRule="auto"/>
        <w:contextualSpacing/>
        <w:jc w:val="both"/>
        <w:rPr>
          <w:rFonts w:ascii="Arial" w:eastAsia="Calibri" w:hAnsi="Arial" w:cs="Arial"/>
          <w:sz w:val="22"/>
          <w:szCs w:val="22"/>
          <w:lang w:val="es-ES"/>
        </w:rPr>
      </w:pPr>
      <w:r w:rsidRPr="00775AE5">
        <w:rPr>
          <w:rFonts w:ascii="Arial" w:eastAsia="Calibri" w:hAnsi="Arial" w:cs="Arial"/>
          <w:sz w:val="22"/>
          <w:szCs w:val="22"/>
          <w:lang w:val="es-ES"/>
        </w:rPr>
        <w:t xml:space="preserve">La problemática de revisiones invasivas a las visitas, especialmente mujeres, que acuden a los distintos lugares de privación de libertad de nuestro país, efectuadas por parte de los y las agentes de seguridad del Estado, encargados del control de los </w:t>
      </w:r>
      <w:r w:rsidR="00434BA9" w:rsidRPr="00775AE5">
        <w:rPr>
          <w:rFonts w:ascii="Arial" w:eastAsia="Calibri" w:hAnsi="Arial" w:cs="Arial"/>
          <w:sz w:val="22"/>
          <w:szCs w:val="22"/>
          <w:lang w:val="es-ES"/>
        </w:rPr>
        <w:t>filtros de</w:t>
      </w:r>
      <w:r w:rsidRPr="00775AE5">
        <w:rPr>
          <w:rFonts w:ascii="Arial" w:eastAsia="Calibri" w:hAnsi="Arial" w:cs="Arial"/>
          <w:sz w:val="22"/>
          <w:szCs w:val="22"/>
          <w:lang w:val="es-ES"/>
        </w:rPr>
        <w:t xml:space="preserve"> ingreso a los establecimientos penitenciarios, constituyen una de las quejas más frecuentes de las personas internas y sus familiares.</w:t>
      </w:r>
    </w:p>
    <w:p w14:paraId="62D7BFB5" w14:textId="77777777" w:rsidR="009E0A9E" w:rsidRPr="00775AE5" w:rsidRDefault="009E0A9E" w:rsidP="00B17DD2">
      <w:pPr>
        <w:numPr>
          <w:ilvl w:val="0"/>
          <w:numId w:val="12"/>
        </w:numPr>
        <w:spacing w:line="276" w:lineRule="auto"/>
        <w:contextualSpacing/>
        <w:jc w:val="both"/>
        <w:rPr>
          <w:rFonts w:ascii="Arial" w:eastAsia="Calibri" w:hAnsi="Arial" w:cs="Arial"/>
          <w:sz w:val="22"/>
          <w:szCs w:val="22"/>
          <w:lang w:val="es-ES"/>
        </w:rPr>
      </w:pPr>
      <w:r w:rsidRPr="00775AE5">
        <w:rPr>
          <w:rFonts w:ascii="Arial" w:eastAsia="Calibri" w:hAnsi="Arial" w:cs="Arial"/>
          <w:sz w:val="22"/>
          <w:szCs w:val="22"/>
          <w:lang w:val="es-ES"/>
        </w:rPr>
        <w:t>Las revisiones corporales a las personas que ingresan a los centros de privación de libertad, no se sujetan a lo que contempla la normativa vigente al respecto, tanto nacional como internacional.</w:t>
      </w:r>
    </w:p>
    <w:p w14:paraId="09E266A3" w14:textId="77777777" w:rsidR="009E0A9E" w:rsidRPr="00775AE5" w:rsidRDefault="009E0A9E" w:rsidP="00B17DD2">
      <w:pPr>
        <w:numPr>
          <w:ilvl w:val="0"/>
          <w:numId w:val="12"/>
        </w:numPr>
        <w:spacing w:line="276" w:lineRule="auto"/>
        <w:contextualSpacing/>
        <w:jc w:val="both"/>
        <w:rPr>
          <w:rFonts w:ascii="Arial" w:eastAsia="Calibri" w:hAnsi="Arial" w:cs="Arial"/>
          <w:sz w:val="22"/>
          <w:szCs w:val="22"/>
          <w:lang w:val="es-ES"/>
        </w:rPr>
      </w:pPr>
      <w:r w:rsidRPr="00775AE5">
        <w:rPr>
          <w:rFonts w:ascii="Arial" w:eastAsia="Calibri" w:hAnsi="Arial" w:cs="Arial"/>
          <w:sz w:val="22"/>
          <w:szCs w:val="22"/>
          <w:lang w:val="es-ES"/>
        </w:rPr>
        <w:t xml:space="preserve">Los registros invasivos perpetrados en las personas que visitan los LPL y PPL mujeres, se aplican de manera discrecional y sin que exista una justificación o motivación suficiente; lo que se constituye un trato cruel, inhumano y degradante hacia estas, y vulneran sus derechos constitucionales y los de sus familiares detenidos, especialmente los referidos a su integridad física y psíquica, salud y vinculación familiar y social.   </w:t>
      </w:r>
    </w:p>
    <w:p w14:paraId="4D88338F" w14:textId="77777777" w:rsidR="009E0A9E" w:rsidRPr="00775AE5" w:rsidRDefault="009E0A9E" w:rsidP="00B17DD2">
      <w:pPr>
        <w:numPr>
          <w:ilvl w:val="0"/>
          <w:numId w:val="12"/>
        </w:numPr>
        <w:spacing w:line="276" w:lineRule="auto"/>
        <w:contextualSpacing/>
        <w:jc w:val="both"/>
        <w:rPr>
          <w:rFonts w:ascii="Arial" w:eastAsia="Calibri" w:hAnsi="Arial" w:cs="Arial"/>
          <w:sz w:val="22"/>
          <w:szCs w:val="22"/>
          <w:lang w:val="es-ES"/>
        </w:rPr>
      </w:pPr>
      <w:r w:rsidRPr="00775AE5">
        <w:rPr>
          <w:rFonts w:ascii="Arial" w:eastAsia="Calibri" w:hAnsi="Arial" w:cs="Arial"/>
          <w:sz w:val="22"/>
          <w:szCs w:val="22"/>
          <w:lang w:val="es-ES"/>
        </w:rPr>
        <w:t xml:space="preserve">Se requiere dar a conocer los derechos de las PPL y de sus familiares con respecto al derecho de vinculación familiar y social, así como de la correcta aplicación del procedimiento de revisiones, para que las personas puedan demandar el respeto de sus derechos. </w:t>
      </w:r>
    </w:p>
    <w:p w14:paraId="7D2EE590" w14:textId="77777777" w:rsidR="009E0A9E" w:rsidRPr="00775AE5" w:rsidRDefault="009E0A9E" w:rsidP="009E0A9E">
      <w:pPr>
        <w:spacing w:line="276" w:lineRule="auto"/>
        <w:contextualSpacing/>
        <w:jc w:val="both"/>
        <w:rPr>
          <w:rFonts w:ascii="Arial" w:eastAsia="Calibri" w:hAnsi="Arial" w:cs="Arial"/>
          <w:sz w:val="22"/>
          <w:szCs w:val="22"/>
          <w:lang w:val="es-ES"/>
        </w:rPr>
      </w:pPr>
    </w:p>
    <w:p w14:paraId="0B29C5BE" w14:textId="77777777" w:rsidR="009E0A9E" w:rsidRPr="00775AE5" w:rsidRDefault="009E0A9E" w:rsidP="009E0A9E">
      <w:pPr>
        <w:spacing w:line="276" w:lineRule="auto"/>
        <w:contextualSpacing/>
        <w:jc w:val="both"/>
        <w:rPr>
          <w:rFonts w:ascii="Arial" w:eastAsia="Calibri" w:hAnsi="Arial" w:cs="Arial"/>
          <w:sz w:val="22"/>
          <w:szCs w:val="22"/>
          <w:lang w:val="es-ES"/>
        </w:rPr>
      </w:pPr>
      <w:r w:rsidRPr="00775AE5">
        <w:rPr>
          <w:rFonts w:ascii="Arial" w:eastAsia="Calibri" w:hAnsi="Arial" w:cs="Arial"/>
          <w:sz w:val="22"/>
          <w:szCs w:val="22"/>
          <w:lang w:val="es-ES"/>
        </w:rPr>
        <w:t>Con el fin de evitar la ocurrencia de estos acontecimientos el MNPT durante sus visitas ha entregado desde el 2020 al personal a cargo de los filtros de seguridad (policía nacional, fuerzas armadas y agentes de seguridad penitenciaria) de los CPL el folleto de “</w:t>
      </w:r>
      <w:r w:rsidRPr="00775AE5">
        <w:rPr>
          <w:rFonts w:ascii="Arial" w:hAnsi="Arial" w:cs="Arial"/>
          <w:sz w:val="22"/>
          <w:szCs w:val="22"/>
        </w:rPr>
        <w:t>Compilación de estándares y normativa relacionada con las revisiones invasivas en lugares de privación de la libertad”.</w:t>
      </w:r>
    </w:p>
    <w:p w14:paraId="5C93CA63" w14:textId="77777777" w:rsidR="009E0A9E" w:rsidRPr="00775AE5" w:rsidRDefault="009E0A9E" w:rsidP="009E0A9E">
      <w:pPr>
        <w:pStyle w:val="Heading4"/>
        <w:spacing w:before="0" w:after="0" w:line="276" w:lineRule="auto"/>
        <w:rPr>
          <w:rFonts w:ascii="Arial" w:hAnsi="Arial" w:cs="Arial"/>
          <w:i w:val="0"/>
          <w:sz w:val="22"/>
          <w:szCs w:val="22"/>
          <w:lang w:val="es-VE"/>
        </w:rPr>
      </w:pPr>
    </w:p>
    <w:p w14:paraId="2CC812EE" w14:textId="77777777" w:rsidR="009E0A9E" w:rsidRPr="00775AE5" w:rsidRDefault="009E0A9E" w:rsidP="009E0A9E">
      <w:pPr>
        <w:pStyle w:val="Heading4"/>
        <w:spacing w:before="0" w:after="0" w:line="276" w:lineRule="auto"/>
        <w:rPr>
          <w:rFonts w:ascii="Arial" w:hAnsi="Arial" w:cs="Arial"/>
          <w:i w:val="0"/>
          <w:sz w:val="22"/>
          <w:szCs w:val="22"/>
          <w:lang w:val="es-VE"/>
        </w:rPr>
      </w:pPr>
      <w:r w:rsidRPr="00775AE5">
        <w:rPr>
          <w:rFonts w:ascii="Arial" w:hAnsi="Arial" w:cs="Arial"/>
          <w:i w:val="0"/>
          <w:sz w:val="22"/>
          <w:szCs w:val="22"/>
          <w:lang w:val="es-VE"/>
        </w:rPr>
        <w:t>1.4.2. Vinculación familiar</w:t>
      </w:r>
    </w:p>
    <w:p w14:paraId="128AFB9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8E1D1F9"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Durante las visitas otra situación que ha persistido y se ha evidenciado en las visitas del MNPT hasta el año 2023, se relacionan con: la falta de espacios específicos para la realización de las visitas familiares e íntimas en los centros antiguos (es decir, aquellos que no son centros regionales: CPL Azuay N°1, CPL Cotopaxi N°1 y CRS Masculino Guayas N°4); no acceso a visitas íntimas para los/as adolescentes mayores de edad; daños generales en cabinas telefónicas, costos altos de llamadas y dificultad para el acceso a otros medios de contacto con el mundo exterior; y finalmente, la falta de personal de trabajo social para brindar atención a las personas privadas de libertad. </w:t>
      </w:r>
    </w:p>
    <w:p w14:paraId="0A4137A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301587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Se han recabado quejas de las PPL y de sus familiares en relación con la lejanía entre los CPL y el lugar de domicilio de su familia, pues esto les representa altos costos económicos para la movilización que en muchos casos es entre provincias. De la misma manera se puede señalar la falta de análisis técnicos desde las áreas de trabajo social para determinar la necesidad del acercamiento familiar como parte de fundamental en la rehabilitación y reinserción de las personas. Así mismo, actualmente los días de visita son rotativos, y se planifican desde la matriz del SNAI para que no se filtre la información y así evitar posibles percances entre grupos de delincuencia organizada (GDO) al interior de los centros. Si bien, esta es una medida de seguridad, ha producido malestar entre las PPL debido a que los días de visita se anuncian sin anticipación y pueden ser entre semana, lo que dificulta la asistencia de familiares. </w:t>
      </w:r>
    </w:p>
    <w:p w14:paraId="65AC842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657D19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Además, la demora en los filtros de ingreso que acortan el tiempo de la visita continúa siendo una constante en los diferentes centros. Se puede destacar además que las declaratorias de estado de excepción (tanto por el tema sanitario como por temas de seguridad, que se han suscitado entre el 2019 y 2024) han influido negativamente en la vinculación familiar por las limitaciones que se han determinado para la realización de visitas. </w:t>
      </w:r>
    </w:p>
    <w:p w14:paraId="120FBE5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1068D9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Actualmente se encuentran autorizadas tres visitas al mes para cada PPL. Dos visitas familiares de hasta cuatro personas, y una visita íntima al mes. La realización de las visitas tiene una temporalidad de dos horas.</w:t>
      </w:r>
    </w:p>
    <w:p w14:paraId="737390B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338447D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Otras dificultades detectadas son: la imposibilidad de visitas entre PPL dada por la normativa, la falta de apoyo administrativo para el reconocimiento y cedulación de niños/as hijos/as de PPL para su registro de ingreso. </w:t>
      </w:r>
    </w:p>
    <w:p w14:paraId="74C452A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AA2B05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La inexistencia de espacios físicos para la realización de las visitas familiares e íntimas continúa siendo una constante en los centros de rehabilitación provinciales, debido a la falta de privacidad y de seguridad al tener que utilizar las mismas celdas donde pernoctan las PPL, y que, en algunos casos, existen cobros de estas para la utilización de sus celdas para mantener una visita conyugal.  </w:t>
      </w:r>
    </w:p>
    <w:p w14:paraId="3E531EB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5CE4606" w14:textId="77777777" w:rsidR="009E0A9E" w:rsidRPr="00775AE5" w:rsidRDefault="009E0A9E" w:rsidP="009E0A9E">
      <w:pPr>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Asimismo, persiste la falta de cabinas telefónicas para la comunicación entre PPL y familiares o abogados. Y no en todos los centros se permite el ingreso de televisiones o radios para uso de las PPL. </w:t>
      </w:r>
    </w:p>
    <w:p w14:paraId="25610B1B" w14:textId="77777777" w:rsidR="009E0A9E" w:rsidRPr="00775AE5" w:rsidRDefault="009E0A9E" w:rsidP="009E0A9E">
      <w:pPr>
        <w:spacing w:line="276" w:lineRule="auto"/>
        <w:jc w:val="both"/>
        <w:rPr>
          <w:rFonts w:ascii="Arial" w:eastAsia="DejaVu Sans" w:hAnsi="Arial" w:cs="Arial"/>
          <w:sz w:val="22"/>
          <w:szCs w:val="22"/>
          <w:lang w:val="es-VE" w:eastAsia="es-EC"/>
        </w:rPr>
      </w:pPr>
    </w:p>
    <w:p w14:paraId="16F3C3C2" w14:textId="77777777" w:rsidR="009E0A9E" w:rsidRPr="00775AE5" w:rsidRDefault="009E0A9E" w:rsidP="009E0A9E">
      <w:pPr>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En el caso particular del centro de Guayas No 3 no cuenta con medios de contacto como televisión, radio o prensa, tampoco cuentan con el servicio de cabinas telefónicas, mismas que fueron desconectadas en la última requisa (en diciembre del 2023).  Al ser consultado el director sobre las cabinas, manifestó que fueron desinstaladas por cuestiones de seguridad y para la prevención de cometimiento de delitos</w:t>
      </w:r>
    </w:p>
    <w:p w14:paraId="20A99EC1" w14:textId="77777777" w:rsidR="009E0A9E" w:rsidRPr="00775AE5" w:rsidRDefault="009E0A9E" w:rsidP="009E0A9E">
      <w:pPr>
        <w:spacing w:line="276" w:lineRule="auto"/>
        <w:jc w:val="both"/>
        <w:rPr>
          <w:rFonts w:ascii="Arial" w:eastAsia="DejaVu Sans" w:hAnsi="Arial" w:cs="Arial"/>
          <w:sz w:val="22"/>
          <w:szCs w:val="22"/>
          <w:lang w:val="es-VE" w:eastAsia="es-EC"/>
        </w:rPr>
      </w:pPr>
    </w:p>
    <w:p w14:paraId="263C0B36" w14:textId="77777777" w:rsidR="009E0A9E" w:rsidRPr="00775AE5" w:rsidRDefault="009E0A9E" w:rsidP="009E0A9E">
      <w:pPr>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En cuanto a los resultados obtenidos en el Censo Penitenciario (2022) se visibiliza que las problemáticas antes manifestadas tienen directa implicación en el porcentaje de PPL que reciben visitas:</w:t>
      </w:r>
    </w:p>
    <w:p w14:paraId="6886D9D3" w14:textId="77777777" w:rsidR="009E0A9E" w:rsidRDefault="009E0A9E" w:rsidP="009E0A9E">
      <w:pPr>
        <w:spacing w:line="276" w:lineRule="auto"/>
        <w:jc w:val="both"/>
        <w:rPr>
          <w:rFonts w:ascii="Arial" w:eastAsia="DejaVu Sans" w:hAnsi="Arial" w:cs="Arial"/>
          <w:sz w:val="22"/>
          <w:szCs w:val="22"/>
          <w:lang w:val="es-VE" w:eastAsia="es-EC"/>
        </w:rPr>
      </w:pPr>
    </w:p>
    <w:p w14:paraId="185F713C" w14:textId="77777777" w:rsidR="009E0A9E" w:rsidRPr="00775AE5" w:rsidRDefault="009E0A9E" w:rsidP="009E0A9E">
      <w:pPr>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Gráfico 3</w:t>
      </w:r>
    </w:p>
    <w:p w14:paraId="2087CEC2" w14:textId="77777777" w:rsidR="009E0A9E" w:rsidRPr="00775AE5" w:rsidRDefault="009E0A9E" w:rsidP="009E0A9E">
      <w:pPr>
        <w:spacing w:line="276" w:lineRule="auto"/>
        <w:jc w:val="both"/>
        <w:rPr>
          <w:rFonts w:ascii="Arial" w:eastAsia="DejaVu Sans" w:hAnsi="Arial" w:cs="Arial"/>
          <w:i/>
          <w:sz w:val="22"/>
          <w:szCs w:val="22"/>
          <w:lang w:val="es-VE" w:eastAsia="es-EC"/>
        </w:rPr>
      </w:pPr>
      <w:r w:rsidRPr="00775AE5">
        <w:rPr>
          <w:rFonts w:ascii="Arial" w:eastAsia="DejaVu Sans" w:hAnsi="Arial" w:cs="Arial"/>
          <w:i/>
          <w:sz w:val="22"/>
          <w:szCs w:val="22"/>
          <w:lang w:val="es-VE" w:eastAsia="es-EC"/>
        </w:rPr>
        <w:t>Porcentaje de PPL que reciben visitas familiares</w:t>
      </w:r>
    </w:p>
    <w:p w14:paraId="1513B8A7" w14:textId="77777777" w:rsidR="009E0A9E" w:rsidRPr="00775AE5" w:rsidRDefault="009E0A9E" w:rsidP="009E0A9E">
      <w:pPr>
        <w:jc w:val="both"/>
        <w:rPr>
          <w:rFonts w:ascii="Arial" w:eastAsia="DejaVu Sans" w:hAnsi="Arial" w:cs="Arial"/>
          <w:sz w:val="22"/>
          <w:szCs w:val="22"/>
          <w:lang w:val="es-VE" w:eastAsia="es-EC"/>
        </w:rPr>
      </w:pPr>
    </w:p>
    <w:p w14:paraId="309F9FC8" w14:textId="77777777" w:rsidR="009E0A9E" w:rsidRPr="00775AE5" w:rsidRDefault="009E0A9E" w:rsidP="009E0A9E">
      <w:pPr>
        <w:jc w:val="center"/>
        <w:rPr>
          <w:rFonts w:ascii="Arial" w:eastAsia="DejaVu Sans" w:hAnsi="Arial" w:cs="Arial"/>
          <w:sz w:val="22"/>
          <w:szCs w:val="22"/>
          <w:lang w:val="es-VE" w:eastAsia="es-EC"/>
        </w:rPr>
      </w:pPr>
      <w:r w:rsidRPr="00775AE5">
        <w:rPr>
          <w:rFonts w:ascii="Arial" w:hAnsi="Arial" w:cs="Arial"/>
          <w:noProof/>
          <w:sz w:val="22"/>
          <w:szCs w:val="22"/>
          <w:lang w:val="es-ES" w:eastAsia="es-ES"/>
        </w:rPr>
        <w:drawing>
          <wp:inline distT="0" distB="0" distL="0" distR="0" wp14:anchorId="4285C5D6" wp14:editId="21038892">
            <wp:extent cx="4572000" cy="2743200"/>
            <wp:effectExtent l="0" t="0" r="0" b="0"/>
            <wp:docPr id="37980080" name="Gráfico 3798008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6C18F93" w14:textId="77777777" w:rsidR="009E0A9E" w:rsidRPr="00775AE5" w:rsidRDefault="009E0A9E" w:rsidP="009E0A9E">
      <w:pPr>
        <w:jc w:val="center"/>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Fuente: Censo penitenciario, 2022. Tomado de: </w:t>
      </w:r>
      <w:hyperlink r:id="rId23" w:history="1">
        <w:r w:rsidRPr="00775AE5">
          <w:rPr>
            <w:rStyle w:val="Hyperlink"/>
            <w:rFonts w:ascii="Arial" w:eastAsia="DejaVu Sans" w:hAnsi="Arial" w:cs="Arial"/>
            <w:sz w:val="22"/>
            <w:szCs w:val="22"/>
            <w:lang w:val="es-VE" w:eastAsia="es-EC"/>
          </w:rPr>
          <w:t>https://www.ecuadorencifras.gob.ec/documentos/web-inec/Poblacion_y_Demografia/Censo_penitenciario%20/2023/Principales_Resultados_CP2022.pdf</w:t>
        </w:r>
      </w:hyperlink>
    </w:p>
    <w:p w14:paraId="7AADE506" w14:textId="77777777" w:rsidR="009E0A9E" w:rsidRPr="00775AE5" w:rsidRDefault="009E0A9E" w:rsidP="009E0A9E">
      <w:pPr>
        <w:jc w:val="center"/>
        <w:rPr>
          <w:rFonts w:ascii="Arial" w:eastAsia="DejaVu Sans" w:hAnsi="Arial" w:cs="Arial"/>
          <w:sz w:val="22"/>
          <w:szCs w:val="22"/>
          <w:lang w:val="es-VE" w:eastAsia="es-EC"/>
        </w:rPr>
      </w:pPr>
    </w:p>
    <w:p w14:paraId="7C38034C" w14:textId="77777777" w:rsidR="009E0A9E" w:rsidRPr="00775AE5" w:rsidRDefault="009E0A9E" w:rsidP="009E0A9E">
      <w:pPr>
        <w:jc w:val="both"/>
        <w:rPr>
          <w:rFonts w:ascii="Arial" w:eastAsia="DejaVu Sans" w:hAnsi="Arial" w:cs="Arial"/>
          <w:sz w:val="22"/>
          <w:szCs w:val="22"/>
          <w:lang w:val="es-VE" w:eastAsia="es-EC"/>
        </w:rPr>
      </w:pPr>
    </w:p>
    <w:p w14:paraId="0BE37F03" w14:textId="3278FD38" w:rsidR="009E0A9E" w:rsidRPr="00775AE5" w:rsidRDefault="009E0A9E" w:rsidP="009E0A9E">
      <w:pPr>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En el caso de la población masculina de PPL el mayor porcentaje de visitas que reciben proviene de sus cónyuges (38,8%); mientras </w:t>
      </w:r>
      <w:r w:rsidR="00434BA9" w:rsidRPr="00775AE5">
        <w:rPr>
          <w:rFonts w:ascii="Arial" w:eastAsia="DejaVu Sans" w:hAnsi="Arial" w:cs="Arial"/>
          <w:sz w:val="22"/>
          <w:szCs w:val="22"/>
          <w:lang w:val="es-VE" w:eastAsia="es-EC"/>
        </w:rPr>
        <w:t>que,</w:t>
      </w:r>
      <w:r w:rsidRPr="00775AE5">
        <w:rPr>
          <w:rFonts w:ascii="Arial" w:eastAsia="DejaVu Sans" w:hAnsi="Arial" w:cs="Arial"/>
          <w:sz w:val="22"/>
          <w:szCs w:val="22"/>
          <w:lang w:val="es-VE" w:eastAsia="es-EC"/>
        </w:rPr>
        <w:t xml:space="preserve"> en el caso de las mujeres, el mayor porcentaje de personas que las visitan son sus madres (32,2%). </w:t>
      </w:r>
    </w:p>
    <w:p w14:paraId="318C4811" w14:textId="77777777" w:rsidR="009E0A9E" w:rsidRPr="00775AE5" w:rsidRDefault="009E0A9E" w:rsidP="009E0A9E">
      <w:pPr>
        <w:spacing w:line="276" w:lineRule="auto"/>
        <w:rPr>
          <w:rFonts w:ascii="Arial" w:eastAsia="DejaVu Sans" w:hAnsi="Arial" w:cs="Arial"/>
          <w:sz w:val="22"/>
          <w:szCs w:val="22"/>
          <w:lang w:val="es-VE" w:eastAsia="es-EC"/>
        </w:rPr>
      </w:pPr>
    </w:p>
    <w:p w14:paraId="6DB593EF" w14:textId="77777777" w:rsidR="009E0A9E" w:rsidRPr="00775AE5" w:rsidRDefault="009E0A9E" w:rsidP="009E0A9E">
      <w:pPr>
        <w:spacing w:line="276" w:lineRule="auto"/>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Una situación particular que se desprende de la declaratoria de Estado de Excepción del 2024 es que se han suspendido las visitas tanto familiares como íntimas en todos los centros del Sistema Nacional de Rehabilitación Social. </w:t>
      </w:r>
    </w:p>
    <w:p w14:paraId="69F916E8" w14:textId="77777777" w:rsidR="009E0A9E" w:rsidRPr="00775AE5" w:rsidRDefault="009E0A9E" w:rsidP="009E0A9E">
      <w:pPr>
        <w:pStyle w:val="Introduccin"/>
        <w:ind w:firstLine="0"/>
        <w:rPr>
          <w:rFonts w:ascii="Arial" w:hAnsi="Arial" w:cs="Arial"/>
          <w:sz w:val="22"/>
          <w:szCs w:val="22"/>
        </w:rPr>
      </w:pPr>
      <w:r w:rsidRPr="00775AE5">
        <w:rPr>
          <w:rFonts w:ascii="Arial" w:hAnsi="Arial" w:cs="Arial"/>
          <w:sz w:val="22"/>
          <w:szCs w:val="22"/>
        </w:rPr>
        <w:t>Ingreso de FFAA a CPL</w:t>
      </w:r>
    </w:p>
    <w:p w14:paraId="13F0AF74" w14:textId="77777777" w:rsidR="009E0A9E" w:rsidRPr="00775AE5" w:rsidRDefault="009E0A9E" w:rsidP="009E0A9E">
      <w:pPr>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En las entrevistas realizadas a las PPL en  las visitas realizadas a los CPL Cotopaxi Nro. 1 y CPL Azuay Nro. 1 se logró entrevistar con dificultad por el extremo control ejercido por personal de las FFAA, que en caso del último centro ni siquiera permitió la apertura de puertas de determinados pabellones, por lo que se tuvo dificultad para entrevistar a las PPL a través de las rendijas de puertas o pequeños espacios de las ventanas ubicada en las puertas de las celdas; en los distintos pabellones coincidían en manifestar haber recibido malos tratos por parte del personal militar que consistían en insultos, golpes con la mano y objetos contundentes como palos, tubos y fusiles, patadas, pisadas en pies, aplicación de electricidad en el cuerpo para obtener información, lanzamiento de gas en las celdas, salidas en la madrugada a hacer ejercicios, insultos, burlas, amenazas, entre otras que pueden recaer en prácticas de tortura y otros malos tratos. </w:t>
      </w:r>
    </w:p>
    <w:p w14:paraId="1387C192" w14:textId="77777777" w:rsidR="009E0A9E" w:rsidRPr="00775AE5" w:rsidRDefault="009E0A9E" w:rsidP="009E0A9E">
      <w:pPr>
        <w:spacing w:line="276" w:lineRule="auto"/>
        <w:jc w:val="both"/>
        <w:rPr>
          <w:rFonts w:ascii="Arial" w:eastAsia="DejaVu Sans" w:hAnsi="Arial" w:cs="Arial"/>
          <w:sz w:val="22"/>
          <w:szCs w:val="22"/>
          <w:lang w:val="es-VE" w:eastAsia="es-EC"/>
        </w:rPr>
      </w:pPr>
    </w:p>
    <w:p w14:paraId="5A19BC01" w14:textId="77777777" w:rsidR="009E0A9E" w:rsidRPr="00775AE5" w:rsidRDefault="009E0A9E" w:rsidP="009E0A9E">
      <w:pPr>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Conforme las entrevistas realizadas las prácticas antes referidas habrían sido especialmente frecuentes al inicio de la incursión militar. Aunque algunas de las PPL también se refirieron al accionar de las PPL integrantes de las GDO quienes al estar en control del centro atentaban contra la vida de las PPL y su integridad, los extorsionaban, les cobraban por usar las camas e incluso les impedían alimentarse, dentro de los testimonios de las dos visitas desde el mecanismo, por lo que reconocían como favorable el ingreso de las FFAA.</w:t>
      </w:r>
    </w:p>
    <w:p w14:paraId="284E5485" w14:textId="77777777" w:rsidR="009E0A9E" w:rsidRPr="00775AE5" w:rsidRDefault="009E0A9E" w:rsidP="009E0A9E">
      <w:pPr>
        <w:spacing w:line="276" w:lineRule="auto"/>
        <w:jc w:val="both"/>
        <w:rPr>
          <w:rFonts w:ascii="Arial" w:eastAsia="DejaVu Sans" w:hAnsi="Arial" w:cs="Arial"/>
          <w:sz w:val="22"/>
          <w:szCs w:val="22"/>
          <w:lang w:val="es-VE" w:eastAsia="es-EC"/>
        </w:rPr>
      </w:pPr>
    </w:p>
    <w:p w14:paraId="600D4A35" w14:textId="77777777" w:rsidR="009E0A9E" w:rsidRPr="00775AE5" w:rsidRDefault="009E0A9E" w:rsidP="009E0A9E">
      <w:pPr>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Lamentablemente lejos de reducirse las alertas respecto a la vulneración de derechos de las PPL en este contexto, la DPE ha debido activarse para poner en conocimiento situaciones de tortura y malos tratos e incluso de afectación a la vida en contexto de custodia, a lo que se suma la problemática de alimentación , en el monitoreo realizado a través de visitas realizadas por el MNPT, reuniones con instituciones públicas, organizaciones de sociedad civil y familiares se ha intervenido en los siguiente:</w:t>
      </w:r>
    </w:p>
    <w:p w14:paraId="78E4AF90" w14:textId="77777777" w:rsidR="009E0A9E" w:rsidRPr="00775AE5" w:rsidRDefault="009E0A9E" w:rsidP="009E0A9E">
      <w:pPr>
        <w:spacing w:line="276" w:lineRule="auto"/>
        <w:jc w:val="both"/>
        <w:rPr>
          <w:rFonts w:ascii="Arial" w:eastAsia="DejaVu Sans" w:hAnsi="Arial" w:cs="Arial"/>
          <w:sz w:val="22"/>
          <w:szCs w:val="22"/>
          <w:lang w:val="es-VE" w:eastAsia="es-EC"/>
        </w:rPr>
      </w:pPr>
    </w:p>
    <w:p w14:paraId="78301F1F" w14:textId="3748A3B8" w:rsidR="009E0A9E" w:rsidRPr="00775AE5" w:rsidRDefault="00434BA9" w:rsidP="009E0A9E">
      <w:pPr>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Tabla. -</w:t>
      </w:r>
      <w:r w:rsidR="009E0A9E" w:rsidRPr="00775AE5">
        <w:rPr>
          <w:rFonts w:ascii="Arial" w:eastAsia="DejaVu Sans" w:hAnsi="Arial" w:cs="Arial"/>
          <w:sz w:val="22"/>
          <w:szCs w:val="22"/>
          <w:lang w:val="es-VE" w:eastAsia="es-EC"/>
        </w:rPr>
        <w:t xml:space="preserve"> Situaciones identificadas por la DPE al interior de los centros desde el ingreso de FFAA</w:t>
      </w:r>
    </w:p>
    <w:p w14:paraId="6926D32F" w14:textId="77777777" w:rsidR="009E0A9E" w:rsidRPr="00775AE5" w:rsidRDefault="009E0A9E" w:rsidP="009E0A9E">
      <w:pPr>
        <w:spacing w:line="276" w:lineRule="auto"/>
        <w:jc w:val="both"/>
        <w:rPr>
          <w:rFonts w:ascii="Arial" w:eastAsia="DejaVu Sans" w:hAnsi="Arial" w:cs="Arial"/>
          <w:sz w:val="22"/>
          <w:szCs w:val="22"/>
          <w:lang w:val="es-VE" w:eastAsia="es-EC"/>
        </w:rPr>
      </w:pPr>
    </w:p>
    <w:p w14:paraId="118093B5" w14:textId="77777777" w:rsidR="009E0A9E" w:rsidRPr="00775AE5" w:rsidRDefault="009E0A9E" w:rsidP="009E0A9E">
      <w:pPr>
        <w:spacing w:line="276" w:lineRule="auto"/>
        <w:jc w:val="both"/>
        <w:rPr>
          <w:rFonts w:ascii="Arial" w:eastAsia="DejaVu Sans" w:hAnsi="Arial" w:cs="Arial"/>
          <w:sz w:val="22"/>
          <w:szCs w:val="22"/>
          <w:lang w:val="es-VE" w:eastAsia="es-EC"/>
        </w:rPr>
      </w:pPr>
    </w:p>
    <w:p w14:paraId="0CAF543C" w14:textId="77777777" w:rsidR="009E0A9E" w:rsidRPr="00775AE5" w:rsidRDefault="009E0A9E" w:rsidP="009E0A9E">
      <w:pPr>
        <w:pStyle w:val="Introduccin"/>
        <w:ind w:firstLine="0"/>
        <w:rPr>
          <w:rFonts w:ascii="Arial" w:hAnsi="Arial" w:cs="Arial"/>
          <w:sz w:val="22"/>
          <w:szCs w:val="22"/>
          <w:lang w:val="es-CO"/>
        </w:rPr>
      </w:pPr>
    </w:p>
    <w:p w14:paraId="3D3F2E3B" w14:textId="77777777" w:rsidR="009E0A9E" w:rsidRPr="00775AE5" w:rsidRDefault="009E0A9E" w:rsidP="009E0A9E">
      <w:pPr>
        <w:pStyle w:val="Introduccin"/>
        <w:ind w:firstLine="0"/>
        <w:rPr>
          <w:rFonts w:ascii="Arial" w:hAnsi="Arial" w:cs="Arial"/>
          <w:sz w:val="22"/>
          <w:szCs w:val="22"/>
          <w:lang w:val="es-CO"/>
        </w:rPr>
      </w:pPr>
    </w:p>
    <w:p w14:paraId="3BDD5C42" w14:textId="77777777" w:rsidR="009E0A9E" w:rsidRPr="00775AE5" w:rsidRDefault="009E0A9E" w:rsidP="009E0A9E">
      <w:pPr>
        <w:pStyle w:val="Introduccin"/>
        <w:ind w:firstLine="0"/>
        <w:rPr>
          <w:rFonts w:ascii="Arial" w:hAnsi="Arial" w:cs="Arial"/>
          <w:sz w:val="22"/>
          <w:szCs w:val="22"/>
          <w:lang w:val="es-CO"/>
        </w:rPr>
      </w:pPr>
    </w:p>
    <w:p w14:paraId="36292D1D" w14:textId="77777777" w:rsidR="009E0A9E" w:rsidRPr="00775AE5" w:rsidRDefault="009E0A9E" w:rsidP="009E0A9E">
      <w:pPr>
        <w:pStyle w:val="Introduccin"/>
        <w:ind w:firstLine="0"/>
        <w:rPr>
          <w:rFonts w:ascii="Arial" w:hAnsi="Arial" w:cs="Arial"/>
          <w:sz w:val="22"/>
          <w:szCs w:val="22"/>
          <w:lang w:val="es-CO"/>
        </w:rPr>
        <w:sectPr w:rsidR="009E0A9E" w:rsidRPr="00775AE5" w:rsidSect="00DE4A3F">
          <w:headerReference w:type="even" r:id="rId24"/>
          <w:headerReference w:type="default" r:id="rId25"/>
          <w:footerReference w:type="default" r:id="rId26"/>
          <w:pgSz w:w="12242" w:h="15842" w:code="1"/>
          <w:pgMar w:top="1440" w:right="1440" w:bottom="1440" w:left="1440" w:header="624" w:footer="680" w:gutter="0"/>
          <w:pgNumType w:start="1"/>
          <w:cols w:space="720"/>
          <w:noEndnote/>
          <w:docGrid w:linePitch="326"/>
        </w:sectPr>
      </w:pPr>
    </w:p>
    <w:tbl>
      <w:tblPr>
        <w:tblW w:w="5000" w:type="pct"/>
        <w:tblCellMar>
          <w:left w:w="70" w:type="dxa"/>
          <w:right w:w="70" w:type="dxa"/>
        </w:tblCellMar>
        <w:tblLook w:val="04A0" w:firstRow="1" w:lastRow="0" w:firstColumn="1" w:lastColumn="0" w:noHBand="0" w:noVBand="1"/>
      </w:tblPr>
      <w:tblGrid>
        <w:gridCol w:w="1406"/>
        <w:gridCol w:w="1238"/>
        <w:gridCol w:w="1205"/>
        <w:gridCol w:w="1047"/>
        <w:gridCol w:w="642"/>
        <w:gridCol w:w="1272"/>
        <w:gridCol w:w="1088"/>
        <w:gridCol w:w="1150"/>
        <w:gridCol w:w="1194"/>
        <w:gridCol w:w="2710"/>
      </w:tblGrid>
      <w:tr w:rsidR="009E0A9E" w:rsidRPr="00CD484A" w14:paraId="7C0EE228" w14:textId="77777777" w:rsidTr="00CD484A">
        <w:trPr>
          <w:trHeight w:val="30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482E8"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Detalle de situaciones alertadas por PPL en las visitas realizadas por el MNPT y de familiares u organizaciones de sociedad civil</w:t>
            </w:r>
          </w:p>
        </w:tc>
      </w:tr>
      <w:tr w:rsidR="009E0A9E" w:rsidRPr="00CD484A" w14:paraId="43F6E73C" w14:textId="77777777" w:rsidTr="00CD484A">
        <w:trPr>
          <w:trHeight w:val="960"/>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62071D9A"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Espacio donde se obtuvo la información</w:t>
            </w:r>
          </w:p>
        </w:tc>
        <w:tc>
          <w:tcPr>
            <w:tcW w:w="478" w:type="pct"/>
            <w:tcBorders>
              <w:top w:val="nil"/>
              <w:left w:val="nil"/>
              <w:bottom w:val="single" w:sz="4" w:space="0" w:color="auto"/>
              <w:right w:val="single" w:sz="4" w:space="0" w:color="auto"/>
            </w:tcBorders>
            <w:shd w:val="clear" w:color="auto" w:fill="auto"/>
            <w:noWrap/>
            <w:vAlign w:val="center"/>
            <w:hideMark/>
          </w:tcPr>
          <w:p w14:paraId="46078D90"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Vida</w:t>
            </w:r>
          </w:p>
        </w:tc>
        <w:tc>
          <w:tcPr>
            <w:tcW w:w="465" w:type="pct"/>
            <w:tcBorders>
              <w:top w:val="nil"/>
              <w:left w:val="nil"/>
              <w:bottom w:val="single" w:sz="4" w:space="0" w:color="auto"/>
              <w:right w:val="single" w:sz="4" w:space="0" w:color="auto"/>
            </w:tcBorders>
            <w:shd w:val="clear" w:color="auto" w:fill="auto"/>
            <w:noWrap/>
            <w:vAlign w:val="center"/>
            <w:hideMark/>
          </w:tcPr>
          <w:p w14:paraId="2ACEA761"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Aislamiento</w:t>
            </w:r>
          </w:p>
        </w:tc>
        <w:tc>
          <w:tcPr>
            <w:tcW w:w="404" w:type="pct"/>
            <w:tcBorders>
              <w:top w:val="nil"/>
              <w:left w:val="nil"/>
              <w:bottom w:val="single" w:sz="4" w:space="0" w:color="auto"/>
              <w:right w:val="single" w:sz="4" w:space="0" w:color="auto"/>
            </w:tcBorders>
            <w:shd w:val="clear" w:color="auto" w:fill="auto"/>
            <w:noWrap/>
            <w:vAlign w:val="center"/>
            <w:hideMark/>
          </w:tcPr>
          <w:p w14:paraId="54F7F473"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Integridad</w:t>
            </w:r>
          </w:p>
        </w:tc>
        <w:tc>
          <w:tcPr>
            <w:tcW w:w="248" w:type="pct"/>
            <w:tcBorders>
              <w:top w:val="nil"/>
              <w:left w:val="nil"/>
              <w:bottom w:val="single" w:sz="4" w:space="0" w:color="auto"/>
              <w:right w:val="single" w:sz="4" w:space="0" w:color="auto"/>
            </w:tcBorders>
            <w:shd w:val="clear" w:color="auto" w:fill="auto"/>
            <w:noWrap/>
            <w:vAlign w:val="center"/>
            <w:hideMark/>
          </w:tcPr>
          <w:p w14:paraId="4769D32B"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Salud</w:t>
            </w:r>
          </w:p>
        </w:tc>
        <w:tc>
          <w:tcPr>
            <w:tcW w:w="491" w:type="pct"/>
            <w:tcBorders>
              <w:top w:val="nil"/>
              <w:left w:val="nil"/>
              <w:bottom w:val="single" w:sz="4" w:space="0" w:color="auto"/>
              <w:right w:val="single" w:sz="4" w:space="0" w:color="auto"/>
            </w:tcBorders>
            <w:shd w:val="clear" w:color="auto" w:fill="auto"/>
            <w:vAlign w:val="center"/>
            <w:hideMark/>
          </w:tcPr>
          <w:p w14:paraId="41D6E7F8"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Vinculación social y familiar</w:t>
            </w:r>
          </w:p>
        </w:tc>
        <w:tc>
          <w:tcPr>
            <w:tcW w:w="420" w:type="pct"/>
            <w:tcBorders>
              <w:top w:val="nil"/>
              <w:left w:val="nil"/>
              <w:bottom w:val="single" w:sz="4" w:space="0" w:color="auto"/>
              <w:right w:val="single" w:sz="4" w:space="0" w:color="auto"/>
            </w:tcBorders>
            <w:shd w:val="clear" w:color="auto" w:fill="auto"/>
            <w:noWrap/>
            <w:vAlign w:val="center"/>
            <w:hideMark/>
          </w:tcPr>
          <w:p w14:paraId="6C8DFCA4"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Educación</w:t>
            </w:r>
          </w:p>
        </w:tc>
        <w:tc>
          <w:tcPr>
            <w:tcW w:w="444" w:type="pct"/>
            <w:tcBorders>
              <w:top w:val="nil"/>
              <w:left w:val="nil"/>
              <w:bottom w:val="single" w:sz="4" w:space="0" w:color="auto"/>
              <w:right w:val="single" w:sz="4" w:space="0" w:color="auto"/>
            </w:tcBorders>
            <w:shd w:val="clear" w:color="auto" w:fill="auto"/>
            <w:vAlign w:val="center"/>
            <w:hideMark/>
          </w:tcPr>
          <w:p w14:paraId="1E2220D5"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 xml:space="preserve">Acceso a Defensor Publico </w:t>
            </w:r>
          </w:p>
        </w:tc>
        <w:tc>
          <w:tcPr>
            <w:tcW w:w="461" w:type="pct"/>
            <w:tcBorders>
              <w:top w:val="nil"/>
              <w:left w:val="nil"/>
              <w:bottom w:val="single" w:sz="4" w:space="0" w:color="auto"/>
              <w:right w:val="single" w:sz="4" w:space="0" w:color="auto"/>
            </w:tcBorders>
            <w:shd w:val="clear" w:color="auto" w:fill="auto"/>
            <w:vAlign w:val="center"/>
            <w:hideMark/>
          </w:tcPr>
          <w:p w14:paraId="1E524B98"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 xml:space="preserve">Libertad inmediata tras recibir orden de autoridad </w:t>
            </w:r>
          </w:p>
        </w:tc>
        <w:tc>
          <w:tcPr>
            <w:tcW w:w="1046" w:type="pct"/>
            <w:tcBorders>
              <w:top w:val="nil"/>
              <w:left w:val="nil"/>
              <w:bottom w:val="single" w:sz="4" w:space="0" w:color="auto"/>
              <w:right w:val="single" w:sz="4" w:space="0" w:color="auto"/>
            </w:tcBorders>
            <w:shd w:val="clear" w:color="auto" w:fill="auto"/>
            <w:noWrap/>
            <w:vAlign w:val="center"/>
            <w:hideMark/>
          </w:tcPr>
          <w:p w14:paraId="562AD33E" w14:textId="1B912107" w:rsidR="009E0A9E" w:rsidRPr="00CD484A" w:rsidRDefault="00434BA9"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Alimentación</w:t>
            </w:r>
          </w:p>
        </w:tc>
      </w:tr>
      <w:tr w:rsidR="009E0A9E" w:rsidRPr="00CD484A" w14:paraId="46145D8E" w14:textId="77777777" w:rsidTr="00CD484A">
        <w:trPr>
          <w:trHeight w:val="480"/>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7211D058"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xml:space="preserve">Visita a CPL Cotopaxi Nro. 1 </w:t>
            </w:r>
          </w:p>
        </w:tc>
        <w:tc>
          <w:tcPr>
            <w:tcW w:w="478" w:type="pct"/>
            <w:tcBorders>
              <w:top w:val="nil"/>
              <w:left w:val="nil"/>
              <w:bottom w:val="single" w:sz="4" w:space="0" w:color="auto"/>
              <w:right w:val="single" w:sz="4" w:space="0" w:color="auto"/>
            </w:tcBorders>
            <w:shd w:val="clear" w:color="auto" w:fill="auto"/>
            <w:noWrap/>
            <w:vAlign w:val="center"/>
            <w:hideMark/>
          </w:tcPr>
          <w:p w14:paraId="3072C139"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65" w:type="pct"/>
            <w:tcBorders>
              <w:top w:val="nil"/>
              <w:left w:val="nil"/>
              <w:bottom w:val="single" w:sz="4" w:space="0" w:color="auto"/>
              <w:right w:val="single" w:sz="4" w:space="0" w:color="auto"/>
            </w:tcBorders>
            <w:shd w:val="clear" w:color="auto" w:fill="auto"/>
            <w:noWrap/>
            <w:vAlign w:val="center"/>
            <w:hideMark/>
          </w:tcPr>
          <w:p w14:paraId="3D6B67EC"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2</w:t>
            </w:r>
          </w:p>
        </w:tc>
        <w:tc>
          <w:tcPr>
            <w:tcW w:w="404" w:type="pct"/>
            <w:tcBorders>
              <w:top w:val="nil"/>
              <w:left w:val="nil"/>
              <w:bottom w:val="single" w:sz="4" w:space="0" w:color="auto"/>
              <w:right w:val="single" w:sz="4" w:space="0" w:color="auto"/>
            </w:tcBorders>
            <w:shd w:val="clear" w:color="auto" w:fill="auto"/>
            <w:noWrap/>
            <w:vAlign w:val="center"/>
            <w:hideMark/>
          </w:tcPr>
          <w:p w14:paraId="5C7E95C2"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27</w:t>
            </w:r>
          </w:p>
        </w:tc>
        <w:tc>
          <w:tcPr>
            <w:tcW w:w="248" w:type="pct"/>
            <w:tcBorders>
              <w:top w:val="nil"/>
              <w:left w:val="nil"/>
              <w:bottom w:val="single" w:sz="4" w:space="0" w:color="auto"/>
              <w:right w:val="single" w:sz="4" w:space="0" w:color="auto"/>
            </w:tcBorders>
            <w:shd w:val="clear" w:color="auto" w:fill="auto"/>
            <w:noWrap/>
            <w:vAlign w:val="center"/>
            <w:hideMark/>
          </w:tcPr>
          <w:p w14:paraId="7F44292F"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38</w:t>
            </w:r>
          </w:p>
        </w:tc>
        <w:tc>
          <w:tcPr>
            <w:tcW w:w="491" w:type="pct"/>
            <w:tcBorders>
              <w:top w:val="nil"/>
              <w:left w:val="nil"/>
              <w:bottom w:val="single" w:sz="4" w:space="0" w:color="auto"/>
              <w:right w:val="single" w:sz="4" w:space="0" w:color="auto"/>
            </w:tcBorders>
            <w:shd w:val="clear" w:color="auto" w:fill="auto"/>
            <w:noWrap/>
            <w:vAlign w:val="center"/>
            <w:hideMark/>
          </w:tcPr>
          <w:p w14:paraId="74ECFDFC"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7</w:t>
            </w:r>
          </w:p>
        </w:tc>
        <w:tc>
          <w:tcPr>
            <w:tcW w:w="420" w:type="pct"/>
            <w:tcBorders>
              <w:top w:val="nil"/>
              <w:left w:val="nil"/>
              <w:bottom w:val="single" w:sz="4" w:space="0" w:color="auto"/>
              <w:right w:val="single" w:sz="4" w:space="0" w:color="auto"/>
            </w:tcBorders>
            <w:shd w:val="clear" w:color="auto" w:fill="auto"/>
            <w:noWrap/>
            <w:vAlign w:val="center"/>
            <w:hideMark/>
          </w:tcPr>
          <w:p w14:paraId="42D8ADF3"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4</w:t>
            </w:r>
          </w:p>
        </w:tc>
        <w:tc>
          <w:tcPr>
            <w:tcW w:w="444" w:type="pct"/>
            <w:tcBorders>
              <w:top w:val="nil"/>
              <w:left w:val="nil"/>
              <w:bottom w:val="single" w:sz="4" w:space="0" w:color="auto"/>
              <w:right w:val="single" w:sz="4" w:space="0" w:color="auto"/>
            </w:tcBorders>
            <w:shd w:val="clear" w:color="auto" w:fill="auto"/>
            <w:noWrap/>
            <w:vAlign w:val="center"/>
            <w:hideMark/>
          </w:tcPr>
          <w:p w14:paraId="0D96116E"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16</w:t>
            </w:r>
          </w:p>
        </w:tc>
        <w:tc>
          <w:tcPr>
            <w:tcW w:w="461" w:type="pct"/>
            <w:tcBorders>
              <w:top w:val="nil"/>
              <w:left w:val="nil"/>
              <w:bottom w:val="single" w:sz="4" w:space="0" w:color="auto"/>
              <w:right w:val="single" w:sz="4" w:space="0" w:color="auto"/>
            </w:tcBorders>
            <w:shd w:val="clear" w:color="auto" w:fill="auto"/>
            <w:noWrap/>
            <w:vAlign w:val="center"/>
            <w:hideMark/>
          </w:tcPr>
          <w:p w14:paraId="51276DBF"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1</w:t>
            </w:r>
          </w:p>
        </w:tc>
        <w:tc>
          <w:tcPr>
            <w:tcW w:w="1046" w:type="pct"/>
            <w:tcBorders>
              <w:top w:val="nil"/>
              <w:left w:val="nil"/>
              <w:bottom w:val="single" w:sz="4" w:space="0" w:color="auto"/>
              <w:right w:val="single" w:sz="4" w:space="0" w:color="auto"/>
            </w:tcBorders>
            <w:shd w:val="clear" w:color="auto" w:fill="auto"/>
            <w:vAlign w:val="center"/>
            <w:hideMark/>
          </w:tcPr>
          <w:p w14:paraId="70AA087B"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xml:space="preserve">1 Alerta general sobre poso tiempo para recibir alimentación </w:t>
            </w:r>
          </w:p>
        </w:tc>
      </w:tr>
      <w:tr w:rsidR="009E0A9E" w:rsidRPr="00CD484A" w14:paraId="4871FD79" w14:textId="77777777" w:rsidTr="00CD484A">
        <w:trPr>
          <w:trHeight w:val="480"/>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655E8A1"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xml:space="preserve">Visita a </w:t>
            </w:r>
            <w:proofErr w:type="spellStart"/>
            <w:r w:rsidRPr="00CD484A">
              <w:rPr>
                <w:rFonts w:ascii="Arial" w:hAnsi="Arial" w:cs="Arial"/>
                <w:color w:val="000000"/>
                <w:sz w:val="18"/>
                <w:szCs w:val="18"/>
                <w:lang w:eastAsia="es-EC"/>
              </w:rPr>
              <w:t>CPLAzuay</w:t>
            </w:r>
            <w:proofErr w:type="spellEnd"/>
            <w:r w:rsidRPr="00CD484A">
              <w:rPr>
                <w:rFonts w:ascii="Arial" w:hAnsi="Arial" w:cs="Arial"/>
                <w:color w:val="000000"/>
                <w:sz w:val="18"/>
                <w:szCs w:val="18"/>
                <w:lang w:eastAsia="es-EC"/>
              </w:rPr>
              <w:t xml:space="preserve"> Nro. 1</w:t>
            </w:r>
          </w:p>
        </w:tc>
        <w:tc>
          <w:tcPr>
            <w:tcW w:w="478" w:type="pct"/>
            <w:tcBorders>
              <w:top w:val="nil"/>
              <w:left w:val="nil"/>
              <w:bottom w:val="single" w:sz="4" w:space="0" w:color="auto"/>
              <w:right w:val="single" w:sz="4" w:space="0" w:color="auto"/>
            </w:tcBorders>
            <w:shd w:val="clear" w:color="auto" w:fill="auto"/>
            <w:noWrap/>
            <w:vAlign w:val="center"/>
            <w:hideMark/>
          </w:tcPr>
          <w:p w14:paraId="78CA2C5F"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65" w:type="pct"/>
            <w:tcBorders>
              <w:top w:val="nil"/>
              <w:left w:val="nil"/>
              <w:bottom w:val="single" w:sz="4" w:space="0" w:color="auto"/>
              <w:right w:val="single" w:sz="4" w:space="0" w:color="auto"/>
            </w:tcBorders>
            <w:shd w:val="clear" w:color="auto" w:fill="auto"/>
            <w:noWrap/>
            <w:vAlign w:val="center"/>
            <w:hideMark/>
          </w:tcPr>
          <w:p w14:paraId="7F152814"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04" w:type="pct"/>
            <w:tcBorders>
              <w:top w:val="nil"/>
              <w:left w:val="nil"/>
              <w:bottom w:val="single" w:sz="4" w:space="0" w:color="auto"/>
              <w:right w:val="single" w:sz="4" w:space="0" w:color="auto"/>
            </w:tcBorders>
            <w:shd w:val="clear" w:color="auto" w:fill="auto"/>
            <w:noWrap/>
            <w:vAlign w:val="center"/>
            <w:hideMark/>
          </w:tcPr>
          <w:p w14:paraId="69AF72EF"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51</w:t>
            </w:r>
          </w:p>
        </w:tc>
        <w:tc>
          <w:tcPr>
            <w:tcW w:w="248" w:type="pct"/>
            <w:tcBorders>
              <w:top w:val="nil"/>
              <w:left w:val="nil"/>
              <w:bottom w:val="single" w:sz="4" w:space="0" w:color="auto"/>
              <w:right w:val="single" w:sz="4" w:space="0" w:color="auto"/>
            </w:tcBorders>
            <w:shd w:val="clear" w:color="auto" w:fill="auto"/>
            <w:noWrap/>
            <w:vAlign w:val="center"/>
            <w:hideMark/>
          </w:tcPr>
          <w:p w14:paraId="0AD93BC8"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84</w:t>
            </w:r>
          </w:p>
        </w:tc>
        <w:tc>
          <w:tcPr>
            <w:tcW w:w="491" w:type="pct"/>
            <w:tcBorders>
              <w:top w:val="nil"/>
              <w:left w:val="nil"/>
              <w:bottom w:val="single" w:sz="4" w:space="0" w:color="auto"/>
              <w:right w:val="single" w:sz="4" w:space="0" w:color="auto"/>
            </w:tcBorders>
            <w:shd w:val="clear" w:color="auto" w:fill="auto"/>
            <w:noWrap/>
            <w:vAlign w:val="center"/>
            <w:hideMark/>
          </w:tcPr>
          <w:p w14:paraId="4AD70BEC"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3</w:t>
            </w:r>
          </w:p>
        </w:tc>
        <w:tc>
          <w:tcPr>
            <w:tcW w:w="420" w:type="pct"/>
            <w:tcBorders>
              <w:top w:val="nil"/>
              <w:left w:val="nil"/>
              <w:bottom w:val="single" w:sz="4" w:space="0" w:color="auto"/>
              <w:right w:val="single" w:sz="4" w:space="0" w:color="auto"/>
            </w:tcBorders>
            <w:shd w:val="clear" w:color="auto" w:fill="auto"/>
            <w:noWrap/>
            <w:vAlign w:val="center"/>
            <w:hideMark/>
          </w:tcPr>
          <w:p w14:paraId="36F13347"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44" w:type="pct"/>
            <w:tcBorders>
              <w:top w:val="nil"/>
              <w:left w:val="nil"/>
              <w:bottom w:val="single" w:sz="4" w:space="0" w:color="auto"/>
              <w:right w:val="single" w:sz="4" w:space="0" w:color="auto"/>
            </w:tcBorders>
            <w:shd w:val="clear" w:color="auto" w:fill="auto"/>
            <w:noWrap/>
            <w:vAlign w:val="center"/>
            <w:hideMark/>
          </w:tcPr>
          <w:p w14:paraId="5E48FCC3"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18</w:t>
            </w:r>
          </w:p>
        </w:tc>
        <w:tc>
          <w:tcPr>
            <w:tcW w:w="461" w:type="pct"/>
            <w:tcBorders>
              <w:top w:val="nil"/>
              <w:left w:val="nil"/>
              <w:bottom w:val="single" w:sz="4" w:space="0" w:color="auto"/>
              <w:right w:val="single" w:sz="4" w:space="0" w:color="auto"/>
            </w:tcBorders>
            <w:shd w:val="clear" w:color="auto" w:fill="auto"/>
            <w:noWrap/>
            <w:vAlign w:val="center"/>
            <w:hideMark/>
          </w:tcPr>
          <w:p w14:paraId="3115BA1B"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1</w:t>
            </w:r>
          </w:p>
        </w:tc>
        <w:tc>
          <w:tcPr>
            <w:tcW w:w="1046" w:type="pct"/>
            <w:tcBorders>
              <w:top w:val="nil"/>
              <w:left w:val="nil"/>
              <w:bottom w:val="single" w:sz="4" w:space="0" w:color="auto"/>
              <w:right w:val="single" w:sz="4" w:space="0" w:color="auto"/>
            </w:tcBorders>
            <w:shd w:val="clear" w:color="auto" w:fill="auto"/>
            <w:vAlign w:val="center"/>
            <w:hideMark/>
          </w:tcPr>
          <w:p w14:paraId="29915B8D" w14:textId="660C95C2"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xml:space="preserve">1 Alerta general PPL del CPL reciben una sola </w:t>
            </w:r>
            <w:r w:rsidR="00434BA9" w:rsidRPr="00CD484A">
              <w:rPr>
                <w:rFonts w:ascii="Arial" w:hAnsi="Arial" w:cs="Arial"/>
                <w:color w:val="000000"/>
                <w:sz w:val="18"/>
                <w:szCs w:val="18"/>
                <w:lang w:eastAsia="es-EC"/>
              </w:rPr>
              <w:t>alimentación</w:t>
            </w:r>
            <w:r w:rsidRPr="00CD484A">
              <w:rPr>
                <w:rFonts w:ascii="Arial" w:hAnsi="Arial" w:cs="Arial"/>
                <w:color w:val="000000"/>
                <w:sz w:val="18"/>
                <w:szCs w:val="18"/>
                <w:lang w:eastAsia="es-EC"/>
              </w:rPr>
              <w:t xml:space="preserve"> al día</w:t>
            </w:r>
          </w:p>
        </w:tc>
      </w:tr>
      <w:tr w:rsidR="009E0A9E" w:rsidRPr="00CD484A" w14:paraId="3BCD1A5D" w14:textId="77777777" w:rsidTr="00CD484A">
        <w:trPr>
          <w:trHeight w:val="480"/>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815EF36"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Visita a CPL Guayas Nro. 1</w:t>
            </w:r>
          </w:p>
        </w:tc>
        <w:tc>
          <w:tcPr>
            <w:tcW w:w="478" w:type="pct"/>
            <w:tcBorders>
              <w:top w:val="nil"/>
              <w:left w:val="nil"/>
              <w:bottom w:val="single" w:sz="4" w:space="0" w:color="auto"/>
              <w:right w:val="single" w:sz="4" w:space="0" w:color="auto"/>
            </w:tcBorders>
            <w:shd w:val="clear" w:color="auto" w:fill="auto"/>
            <w:noWrap/>
            <w:vAlign w:val="center"/>
            <w:hideMark/>
          </w:tcPr>
          <w:p w14:paraId="5C86C5CE"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65" w:type="pct"/>
            <w:tcBorders>
              <w:top w:val="nil"/>
              <w:left w:val="nil"/>
              <w:bottom w:val="single" w:sz="4" w:space="0" w:color="auto"/>
              <w:right w:val="single" w:sz="4" w:space="0" w:color="auto"/>
            </w:tcBorders>
            <w:shd w:val="clear" w:color="auto" w:fill="auto"/>
            <w:noWrap/>
            <w:vAlign w:val="center"/>
            <w:hideMark/>
          </w:tcPr>
          <w:p w14:paraId="395F4BD9"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04" w:type="pct"/>
            <w:tcBorders>
              <w:top w:val="nil"/>
              <w:left w:val="nil"/>
              <w:bottom w:val="single" w:sz="4" w:space="0" w:color="auto"/>
              <w:right w:val="single" w:sz="4" w:space="0" w:color="auto"/>
            </w:tcBorders>
            <w:shd w:val="clear" w:color="auto" w:fill="auto"/>
            <w:noWrap/>
            <w:vAlign w:val="center"/>
            <w:hideMark/>
          </w:tcPr>
          <w:p w14:paraId="17ED9FC6"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18</w:t>
            </w:r>
          </w:p>
        </w:tc>
        <w:tc>
          <w:tcPr>
            <w:tcW w:w="248" w:type="pct"/>
            <w:tcBorders>
              <w:top w:val="nil"/>
              <w:left w:val="nil"/>
              <w:bottom w:val="single" w:sz="4" w:space="0" w:color="auto"/>
              <w:right w:val="single" w:sz="4" w:space="0" w:color="auto"/>
            </w:tcBorders>
            <w:shd w:val="clear" w:color="auto" w:fill="auto"/>
            <w:noWrap/>
            <w:vAlign w:val="center"/>
            <w:hideMark/>
          </w:tcPr>
          <w:p w14:paraId="12171D8A"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16</w:t>
            </w:r>
          </w:p>
        </w:tc>
        <w:tc>
          <w:tcPr>
            <w:tcW w:w="491" w:type="pct"/>
            <w:tcBorders>
              <w:top w:val="nil"/>
              <w:left w:val="nil"/>
              <w:bottom w:val="single" w:sz="4" w:space="0" w:color="auto"/>
              <w:right w:val="single" w:sz="4" w:space="0" w:color="auto"/>
            </w:tcBorders>
            <w:shd w:val="clear" w:color="auto" w:fill="auto"/>
            <w:noWrap/>
            <w:vAlign w:val="center"/>
            <w:hideMark/>
          </w:tcPr>
          <w:p w14:paraId="1BD4E9DD"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20" w:type="pct"/>
            <w:tcBorders>
              <w:top w:val="nil"/>
              <w:left w:val="nil"/>
              <w:bottom w:val="single" w:sz="4" w:space="0" w:color="auto"/>
              <w:right w:val="single" w:sz="4" w:space="0" w:color="auto"/>
            </w:tcBorders>
            <w:shd w:val="clear" w:color="auto" w:fill="auto"/>
            <w:noWrap/>
            <w:vAlign w:val="center"/>
            <w:hideMark/>
          </w:tcPr>
          <w:p w14:paraId="521C75A3"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44" w:type="pct"/>
            <w:tcBorders>
              <w:top w:val="nil"/>
              <w:left w:val="nil"/>
              <w:bottom w:val="single" w:sz="4" w:space="0" w:color="auto"/>
              <w:right w:val="single" w:sz="4" w:space="0" w:color="auto"/>
            </w:tcBorders>
            <w:shd w:val="clear" w:color="auto" w:fill="auto"/>
            <w:noWrap/>
            <w:vAlign w:val="center"/>
            <w:hideMark/>
          </w:tcPr>
          <w:p w14:paraId="28D9CA74"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4</w:t>
            </w:r>
          </w:p>
        </w:tc>
        <w:tc>
          <w:tcPr>
            <w:tcW w:w="461" w:type="pct"/>
            <w:tcBorders>
              <w:top w:val="nil"/>
              <w:left w:val="nil"/>
              <w:bottom w:val="single" w:sz="4" w:space="0" w:color="auto"/>
              <w:right w:val="single" w:sz="4" w:space="0" w:color="auto"/>
            </w:tcBorders>
            <w:shd w:val="clear" w:color="auto" w:fill="auto"/>
            <w:noWrap/>
            <w:vAlign w:val="center"/>
            <w:hideMark/>
          </w:tcPr>
          <w:p w14:paraId="46388E9F"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1046" w:type="pct"/>
            <w:tcBorders>
              <w:top w:val="nil"/>
              <w:left w:val="nil"/>
              <w:bottom w:val="single" w:sz="4" w:space="0" w:color="auto"/>
              <w:right w:val="single" w:sz="4" w:space="0" w:color="auto"/>
            </w:tcBorders>
            <w:shd w:val="clear" w:color="auto" w:fill="auto"/>
            <w:noWrap/>
            <w:vAlign w:val="center"/>
            <w:hideMark/>
          </w:tcPr>
          <w:p w14:paraId="02C4325F"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r>
      <w:tr w:rsidR="009E0A9E" w:rsidRPr="00CD484A" w14:paraId="3C419874" w14:textId="77777777" w:rsidTr="00CD484A">
        <w:trPr>
          <w:trHeight w:val="480"/>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46792FF0"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Visita CPL Guayas Nro. 4</w:t>
            </w:r>
          </w:p>
        </w:tc>
        <w:tc>
          <w:tcPr>
            <w:tcW w:w="478" w:type="pct"/>
            <w:tcBorders>
              <w:top w:val="nil"/>
              <w:left w:val="nil"/>
              <w:bottom w:val="single" w:sz="4" w:space="0" w:color="auto"/>
              <w:right w:val="single" w:sz="4" w:space="0" w:color="auto"/>
            </w:tcBorders>
            <w:shd w:val="clear" w:color="auto" w:fill="auto"/>
            <w:noWrap/>
            <w:vAlign w:val="center"/>
            <w:hideMark/>
          </w:tcPr>
          <w:p w14:paraId="3230E5FA"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65" w:type="pct"/>
            <w:tcBorders>
              <w:top w:val="nil"/>
              <w:left w:val="nil"/>
              <w:bottom w:val="single" w:sz="4" w:space="0" w:color="auto"/>
              <w:right w:val="single" w:sz="4" w:space="0" w:color="auto"/>
            </w:tcBorders>
            <w:shd w:val="clear" w:color="auto" w:fill="auto"/>
            <w:noWrap/>
            <w:vAlign w:val="center"/>
            <w:hideMark/>
          </w:tcPr>
          <w:p w14:paraId="18F36EDB"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04" w:type="pct"/>
            <w:tcBorders>
              <w:top w:val="nil"/>
              <w:left w:val="nil"/>
              <w:bottom w:val="single" w:sz="4" w:space="0" w:color="auto"/>
              <w:right w:val="single" w:sz="4" w:space="0" w:color="auto"/>
            </w:tcBorders>
            <w:shd w:val="clear" w:color="auto" w:fill="auto"/>
            <w:noWrap/>
            <w:vAlign w:val="center"/>
            <w:hideMark/>
          </w:tcPr>
          <w:p w14:paraId="4DF08287"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2</w:t>
            </w:r>
          </w:p>
        </w:tc>
        <w:tc>
          <w:tcPr>
            <w:tcW w:w="248" w:type="pct"/>
            <w:tcBorders>
              <w:top w:val="nil"/>
              <w:left w:val="nil"/>
              <w:bottom w:val="single" w:sz="4" w:space="0" w:color="auto"/>
              <w:right w:val="single" w:sz="4" w:space="0" w:color="auto"/>
            </w:tcBorders>
            <w:shd w:val="clear" w:color="auto" w:fill="auto"/>
            <w:noWrap/>
            <w:vAlign w:val="center"/>
            <w:hideMark/>
          </w:tcPr>
          <w:p w14:paraId="1ECC4D03"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6</w:t>
            </w:r>
          </w:p>
        </w:tc>
        <w:tc>
          <w:tcPr>
            <w:tcW w:w="491" w:type="pct"/>
            <w:tcBorders>
              <w:top w:val="nil"/>
              <w:left w:val="nil"/>
              <w:bottom w:val="single" w:sz="4" w:space="0" w:color="auto"/>
              <w:right w:val="single" w:sz="4" w:space="0" w:color="auto"/>
            </w:tcBorders>
            <w:shd w:val="clear" w:color="auto" w:fill="auto"/>
            <w:noWrap/>
            <w:vAlign w:val="center"/>
            <w:hideMark/>
          </w:tcPr>
          <w:p w14:paraId="1EB32902"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20" w:type="pct"/>
            <w:tcBorders>
              <w:top w:val="nil"/>
              <w:left w:val="nil"/>
              <w:bottom w:val="single" w:sz="4" w:space="0" w:color="auto"/>
              <w:right w:val="single" w:sz="4" w:space="0" w:color="auto"/>
            </w:tcBorders>
            <w:shd w:val="clear" w:color="auto" w:fill="auto"/>
            <w:noWrap/>
            <w:vAlign w:val="center"/>
            <w:hideMark/>
          </w:tcPr>
          <w:p w14:paraId="5A38FF0D"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44" w:type="pct"/>
            <w:tcBorders>
              <w:top w:val="nil"/>
              <w:left w:val="nil"/>
              <w:bottom w:val="single" w:sz="4" w:space="0" w:color="auto"/>
              <w:right w:val="single" w:sz="4" w:space="0" w:color="auto"/>
            </w:tcBorders>
            <w:shd w:val="clear" w:color="auto" w:fill="auto"/>
            <w:noWrap/>
            <w:vAlign w:val="center"/>
            <w:hideMark/>
          </w:tcPr>
          <w:p w14:paraId="579D80F2"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1</w:t>
            </w:r>
          </w:p>
        </w:tc>
        <w:tc>
          <w:tcPr>
            <w:tcW w:w="461" w:type="pct"/>
            <w:tcBorders>
              <w:top w:val="nil"/>
              <w:left w:val="nil"/>
              <w:bottom w:val="single" w:sz="4" w:space="0" w:color="auto"/>
              <w:right w:val="single" w:sz="4" w:space="0" w:color="auto"/>
            </w:tcBorders>
            <w:shd w:val="clear" w:color="auto" w:fill="auto"/>
            <w:noWrap/>
            <w:vAlign w:val="center"/>
            <w:hideMark/>
          </w:tcPr>
          <w:p w14:paraId="50689AFB"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1046" w:type="pct"/>
            <w:tcBorders>
              <w:top w:val="nil"/>
              <w:left w:val="nil"/>
              <w:bottom w:val="single" w:sz="4" w:space="0" w:color="auto"/>
              <w:right w:val="single" w:sz="4" w:space="0" w:color="auto"/>
            </w:tcBorders>
            <w:shd w:val="clear" w:color="auto" w:fill="auto"/>
            <w:noWrap/>
            <w:vAlign w:val="center"/>
            <w:hideMark/>
          </w:tcPr>
          <w:p w14:paraId="580E6B92"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r>
      <w:tr w:rsidR="009E0A9E" w:rsidRPr="00CD484A" w14:paraId="7709380B" w14:textId="77777777" w:rsidTr="00CD484A">
        <w:trPr>
          <w:trHeight w:val="480"/>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B8280DE"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Visita CPL Guayas Nro. 3</w:t>
            </w:r>
          </w:p>
        </w:tc>
        <w:tc>
          <w:tcPr>
            <w:tcW w:w="478" w:type="pct"/>
            <w:tcBorders>
              <w:top w:val="nil"/>
              <w:left w:val="nil"/>
              <w:bottom w:val="single" w:sz="4" w:space="0" w:color="auto"/>
              <w:right w:val="single" w:sz="4" w:space="0" w:color="auto"/>
            </w:tcBorders>
            <w:shd w:val="clear" w:color="auto" w:fill="auto"/>
            <w:noWrap/>
            <w:vAlign w:val="center"/>
            <w:hideMark/>
          </w:tcPr>
          <w:p w14:paraId="18969F9D"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65" w:type="pct"/>
            <w:tcBorders>
              <w:top w:val="nil"/>
              <w:left w:val="nil"/>
              <w:bottom w:val="single" w:sz="4" w:space="0" w:color="auto"/>
              <w:right w:val="single" w:sz="4" w:space="0" w:color="auto"/>
            </w:tcBorders>
            <w:shd w:val="clear" w:color="auto" w:fill="auto"/>
            <w:noWrap/>
            <w:vAlign w:val="center"/>
            <w:hideMark/>
          </w:tcPr>
          <w:p w14:paraId="65761124"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04" w:type="pct"/>
            <w:tcBorders>
              <w:top w:val="nil"/>
              <w:left w:val="nil"/>
              <w:bottom w:val="single" w:sz="4" w:space="0" w:color="auto"/>
              <w:right w:val="single" w:sz="4" w:space="0" w:color="auto"/>
            </w:tcBorders>
            <w:shd w:val="clear" w:color="auto" w:fill="auto"/>
            <w:noWrap/>
            <w:vAlign w:val="center"/>
            <w:hideMark/>
          </w:tcPr>
          <w:p w14:paraId="7D7C7A60"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248" w:type="pct"/>
            <w:tcBorders>
              <w:top w:val="nil"/>
              <w:left w:val="nil"/>
              <w:bottom w:val="single" w:sz="4" w:space="0" w:color="auto"/>
              <w:right w:val="single" w:sz="4" w:space="0" w:color="auto"/>
            </w:tcBorders>
            <w:shd w:val="clear" w:color="auto" w:fill="auto"/>
            <w:noWrap/>
            <w:vAlign w:val="center"/>
            <w:hideMark/>
          </w:tcPr>
          <w:p w14:paraId="2B6FAF16"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10</w:t>
            </w:r>
          </w:p>
        </w:tc>
        <w:tc>
          <w:tcPr>
            <w:tcW w:w="491" w:type="pct"/>
            <w:tcBorders>
              <w:top w:val="nil"/>
              <w:left w:val="nil"/>
              <w:bottom w:val="single" w:sz="4" w:space="0" w:color="auto"/>
              <w:right w:val="single" w:sz="4" w:space="0" w:color="auto"/>
            </w:tcBorders>
            <w:shd w:val="clear" w:color="auto" w:fill="auto"/>
            <w:noWrap/>
            <w:vAlign w:val="center"/>
            <w:hideMark/>
          </w:tcPr>
          <w:p w14:paraId="769C9C5B"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20" w:type="pct"/>
            <w:tcBorders>
              <w:top w:val="nil"/>
              <w:left w:val="nil"/>
              <w:bottom w:val="single" w:sz="4" w:space="0" w:color="auto"/>
              <w:right w:val="single" w:sz="4" w:space="0" w:color="auto"/>
            </w:tcBorders>
            <w:shd w:val="clear" w:color="auto" w:fill="auto"/>
            <w:noWrap/>
            <w:vAlign w:val="center"/>
            <w:hideMark/>
          </w:tcPr>
          <w:p w14:paraId="71274631"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44" w:type="pct"/>
            <w:tcBorders>
              <w:top w:val="nil"/>
              <w:left w:val="nil"/>
              <w:bottom w:val="single" w:sz="4" w:space="0" w:color="auto"/>
              <w:right w:val="single" w:sz="4" w:space="0" w:color="auto"/>
            </w:tcBorders>
            <w:shd w:val="clear" w:color="auto" w:fill="auto"/>
            <w:noWrap/>
            <w:vAlign w:val="center"/>
            <w:hideMark/>
          </w:tcPr>
          <w:p w14:paraId="0ABCBED0"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61" w:type="pct"/>
            <w:tcBorders>
              <w:top w:val="nil"/>
              <w:left w:val="nil"/>
              <w:bottom w:val="single" w:sz="4" w:space="0" w:color="auto"/>
              <w:right w:val="single" w:sz="4" w:space="0" w:color="auto"/>
            </w:tcBorders>
            <w:shd w:val="clear" w:color="auto" w:fill="auto"/>
            <w:noWrap/>
            <w:vAlign w:val="center"/>
            <w:hideMark/>
          </w:tcPr>
          <w:p w14:paraId="05F0F287"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1046" w:type="pct"/>
            <w:tcBorders>
              <w:top w:val="nil"/>
              <w:left w:val="nil"/>
              <w:bottom w:val="single" w:sz="4" w:space="0" w:color="auto"/>
              <w:right w:val="single" w:sz="4" w:space="0" w:color="auto"/>
            </w:tcBorders>
            <w:shd w:val="clear" w:color="auto" w:fill="auto"/>
            <w:noWrap/>
            <w:vAlign w:val="center"/>
            <w:hideMark/>
          </w:tcPr>
          <w:p w14:paraId="0794EB08"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r>
      <w:tr w:rsidR="009E0A9E" w:rsidRPr="00CD484A" w14:paraId="07B6F60B" w14:textId="77777777" w:rsidTr="00CD484A">
        <w:trPr>
          <w:trHeight w:val="1200"/>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37B7E94B" w14:textId="5CEED810"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xml:space="preserve">Alerta sobre el deceso de PPL </w:t>
            </w:r>
            <w:r w:rsidR="00434BA9" w:rsidRPr="00CD484A">
              <w:rPr>
                <w:rFonts w:ascii="Arial" w:hAnsi="Arial" w:cs="Arial"/>
                <w:color w:val="000000"/>
                <w:sz w:val="18"/>
                <w:szCs w:val="18"/>
                <w:lang w:eastAsia="es-EC"/>
              </w:rPr>
              <w:t>respecto</w:t>
            </w:r>
            <w:r w:rsidRPr="00CD484A">
              <w:rPr>
                <w:rFonts w:ascii="Arial" w:hAnsi="Arial" w:cs="Arial"/>
                <w:color w:val="000000"/>
                <w:sz w:val="18"/>
                <w:szCs w:val="18"/>
                <w:lang w:eastAsia="es-EC"/>
              </w:rPr>
              <w:t xml:space="preserve"> a </w:t>
            </w:r>
            <w:r w:rsidR="00434BA9" w:rsidRPr="00CD484A">
              <w:rPr>
                <w:rFonts w:ascii="Arial" w:hAnsi="Arial" w:cs="Arial"/>
                <w:color w:val="000000"/>
                <w:sz w:val="18"/>
                <w:szCs w:val="18"/>
                <w:lang w:eastAsia="es-EC"/>
              </w:rPr>
              <w:t>información</w:t>
            </w:r>
            <w:r w:rsidRPr="00CD484A">
              <w:rPr>
                <w:rFonts w:ascii="Arial" w:hAnsi="Arial" w:cs="Arial"/>
                <w:color w:val="000000"/>
                <w:sz w:val="18"/>
                <w:szCs w:val="18"/>
                <w:lang w:eastAsia="es-EC"/>
              </w:rPr>
              <w:t xml:space="preserve"> cuantitativa otorgada por el SNAI</w:t>
            </w:r>
          </w:p>
        </w:tc>
        <w:tc>
          <w:tcPr>
            <w:tcW w:w="478" w:type="pct"/>
            <w:tcBorders>
              <w:top w:val="nil"/>
              <w:left w:val="nil"/>
              <w:bottom w:val="single" w:sz="4" w:space="0" w:color="auto"/>
              <w:right w:val="single" w:sz="4" w:space="0" w:color="auto"/>
            </w:tcBorders>
            <w:shd w:val="clear" w:color="auto" w:fill="auto"/>
            <w:noWrap/>
            <w:vAlign w:val="center"/>
            <w:hideMark/>
          </w:tcPr>
          <w:p w14:paraId="257DC048"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24</w:t>
            </w:r>
          </w:p>
        </w:tc>
        <w:tc>
          <w:tcPr>
            <w:tcW w:w="465" w:type="pct"/>
            <w:tcBorders>
              <w:top w:val="nil"/>
              <w:left w:val="nil"/>
              <w:bottom w:val="single" w:sz="4" w:space="0" w:color="auto"/>
              <w:right w:val="single" w:sz="4" w:space="0" w:color="auto"/>
            </w:tcBorders>
            <w:shd w:val="clear" w:color="auto" w:fill="auto"/>
            <w:noWrap/>
            <w:vAlign w:val="center"/>
            <w:hideMark/>
          </w:tcPr>
          <w:p w14:paraId="6446626B"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04" w:type="pct"/>
            <w:tcBorders>
              <w:top w:val="nil"/>
              <w:left w:val="nil"/>
              <w:bottom w:val="single" w:sz="4" w:space="0" w:color="auto"/>
              <w:right w:val="single" w:sz="4" w:space="0" w:color="auto"/>
            </w:tcBorders>
            <w:shd w:val="clear" w:color="auto" w:fill="auto"/>
            <w:noWrap/>
            <w:vAlign w:val="center"/>
            <w:hideMark/>
          </w:tcPr>
          <w:p w14:paraId="7B3AA205"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248" w:type="pct"/>
            <w:tcBorders>
              <w:top w:val="nil"/>
              <w:left w:val="nil"/>
              <w:bottom w:val="single" w:sz="4" w:space="0" w:color="auto"/>
              <w:right w:val="single" w:sz="4" w:space="0" w:color="auto"/>
            </w:tcBorders>
            <w:shd w:val="clear" w:color="auto" w:fill="auto"/>
            <w:noWrap/>
            <w:vAlign w:val="center"/>
            <w:hideMark/>
          </w:tcPr>
          <w:p w14:paraId="1366A363"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91" w:type="pct"/>
            <w:tcBorders>
              <w:top w:val="nil"/>
              <w:left w:val="nil"/>
              <w:bottom w:val="single" w:sz="4" w:space="0" w:color="auto"/>
              <w:right w:val="single" w:sz="4" w:space="0" w:color="auto"/>
            </w:tcBorders>
            <w:shd w:val="clear" w:color="auto" w:fill="auto"/>
            <w:noWrap/>
            <w:vAlign w:val="center"/>
            <w:hideMark/>
          </w:tcPr>
          <w:p w14:paraId="6396D352"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20" w:type="pct"/>
            <w:tcBorders>
              <w:top w:val="nil"/>
              <w:left w:val="nil"/>
              <w:bottom w:val="single" w:sz="4" w:space="0" w:color="auto"/>
              <w:right w:val="single" w:sz="4" w:space="0" w:color="auto"/>
            </w:tcBorders>
            <w:shd w:val="clear" w:color="auto" w:fill="auto"/>
            <w:noWrap/>
            <w:vAlign w:val="center"/>
            <w:hideMark/>
          </w:tcPr>
          <w:p w14:paraId="2C35E022"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44" w:type="pct"/>
            <w:tcBorders>
              <w:top w:val="nil"/>
              <w:left w:val="nil"/>
              <w:bottom w:val="single" w:sz="4" w:space="0" w:color="auto"/>
              <w:right w:val="single" w:sz="4" w:space="0" w:color="auto"/>
            </w:tcBorders>
            <w:shd w:val="clear" w:color="auto" w:fill="auto"/>
            <w:noWrap/>
            <w:vAlign w:val="center"/>
            <w:hideMark/>
          </w:tcPr>
          <w:p w14:paraId="29E44F0C"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61" w:type="pct"/>
            <w:tcBorders>
              <w:top w:val="nil"/>
              <w:left w:val="nil"/>
              <w:bottom w:val="single" w:sz="4" w:space="0" w:color="auto"/>
              <w:right w:val="single" w:sz="4" w:space="0" w:color="auto"/>
            </w:tcBorders>
            <w:shd w:val="clear" w:color="auto" w:fill="auto"/>
            <w:noWrap/>
            <w:vAlign w:val="center"/>
            <w:hideMark/>
          </w:tcPr>
          <w:p w14:paraId="36B938E8"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1046" w:type="pct"/>
            <w:tcBorders>
              <w:top w:val="nil"/>
              <w:left w:val="nil"/>
              <w:bottom w:val="single" w:sz="4" w:space="0" w:color="auto"/>
              <w:right w:val="single" w:sz="4" w:space="0" w:color="auto"/>
            </w:tcBorders>
            <w:shd w:val="clear" w:color="auto" w:fill="auto"/>
            <w:noWrap/>
            <w:vAlign w:val="bottom"/>
            <w:hideMark/>
          </w:tcPr>
          <w:p w14:paraId="7AC8E2EF" w14:textId="77777777" w:rsidR="009E0A9E" w:rsidRPr="00CD484A" w:rsidRDefault="009E0A9E" w:rsidP="00525437">
            <w:pPr>
              <w:rPr>
                <w:rFonts w:ascii="Arial" w:hAnsi="Arial" w:cs="Arial"/>
                <w:color w:val="000000"/>
                <w:sz w:val="18"/>
                <w:szCs w:val="18"/>
                <w:lang w:eastAsia="es-EC"/>
              </w:rPr>
            </w:pPr>
            <w:r w:rsidRPr="00CD484A">
              <w:rPr>
                <w:rFonts w:ascii="Arial" w:hAnsi="Arial" w:cs="Arial"/>
                <w:color w:val="000000"/>
                <w:sz w:val="18"/>
                <w:szCs w:val="18"/>
                <w:lang w:eastAsia="es-EC"/>
              </w:rPr>
              <w:t> </w:t>
            </w:r>
          </w:p>
        </w:tc>
      </w:tr>
      <w:tr w:rsidR="009E0A9E" w:rsidRPr="00CD484A" w14:paraId="28B902F5" w14:textId="77777777" w:rsidTr="00CD484A">
        <w:trPr>
          <w:trHeight w:val="960"/>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1109CA5B"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Familiares de PPL, organizaciones de sociedad civil, medios de comunicación</w:t>
            </w:r>
          </w:p>
        </w:tc>
        <w:tc>
          <w:tcPr>
            <w:tcW w:w="478" w:type="pct"/>
            <w:tcBorders>
              <w:top w:val="nil"/>
              <w:left w:val="nil"/>
              <w:bottom w:val="single" w:sz="4" w:space="0" w:color="auto"/>
              <w:right w:val="single" w:sz="4" w:space="0" w:color="auto"/>
            </w:tcBorders>
            <w:shd w:val="clear" w:color="auto" w:fill="auto"/>
            <w:noWrap/>
            <w:vAlign w:val="center"/>
            <w:hideMark/>
          </w:tcPr>
          <w:p w14:paraId="3FA4CE0A"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7</w:t>
            </w:r>
          </w:p>
        </w:tc>
        <w:tc>
          <w:tcPr>
            <w:tcW w:w="465" w:type="pct"/>
            <w:tcBorders>
              <w:top w:val="nil"/>
              <w:left w:val="nil"/>
              <w:bottom w:val="single" w:sz="4" w:space="0" w:color="auto"/>
              <w:right w:val="single" w:sz="4" w:space="0" w:color="auto"/>
            </w:tcBorders>
            <w:shd w:val="clear" w:color="auto" w:fill="auto"/>
            <w:noWrap/>
            <w:vAlign w:val="center"/>
            <w:hideMark/>
          </w:tcPr>
          <w:p w14:paraId="30812C53"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w:t>
            </w:r>
          </w:p>
        </w:tc>
        <w:tc>
          <w:tcPr>
            <w:tcW w:w="404" w:type="pct"/>
            <w:tcBorders>
              <w:top w:val="nil"/>
              <w:left w:val="nil"/>
              <w:bottom w:val="single" w:sz="4" w:space="0" w:color="auto"/>
              <w:right w:val="single" w:sz="4" w:space="0" w:color="auto"/>
            </w:tcBorders>
            <w:shd w:val="clear" w:color="auto" w:fill="auto"/>
            <w:noWrap/>
            <w:vAlign w:val="center"/>
            <w:hideMark/>
          </w:tcPr>
          <w:p w14:paraId="668E4C0F"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60</w:t>
            </w:r>
          </w:p>
        </w:tc>
        <w:tc>
          <w:tcPr>
            <w:tcW w:w="248" w:type="pct"/>
            <w:tcBorders>
              <w:top w:val="nil"/>
              <w:left w:val="nil"/>
              <w:bottom w:val="single" w:sz="4" w:space="0" w:color="auto"/>
              <w:right w:val="single" w:sz="4" w:space="0" w:color="auto"/>
            </w:tcBorders>
            <w:shd w:val="clear" w:color="auto" w:fill="auto"/>
            <w:noWrap/>
            <w:vAlign w:val="center"/>
            <w:hideMark/>
          </w:tcPr>
          <w:p w14:paraId="7C08C877"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23</w:t>
            </w:r>
          </w:p>
        </w:tc>
        <w:tc>
          <w:tcPr>
            <w:tcW w:w="491" w:type="pct"/>
            <w:tcBorders>
              <w:top w:val="nil"/>
              <w:left w:val="nil"/>
              <w:bottom w:val="single" w:sz="4" w:space="0" w:color="auto"/>
              <w:right w:val="single" w:sz="4" w:space="0" w:color="auto"/>
            </w:tcBorders>
            <w:shd w:val="clear" w:color="auto" w:fill="auto"/>
            <w:noWrap/>
            <w:vAlign w:val="center"/>
            <w:hideMark/>
          </w:tcPr>
          <w:p w14:paraId="77FF8872"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1</w:t>
            </w:r>
          </w:p>
        </w:tc>
        <w:tc>
          <w:tcPr>
            <w:tcW w:w="420" w:type="pct"/>
            <w:tcBorders>
              <w:top w:val="nil"/>
              <w:left w:val="nil"/>
              <w:bottom w:val="single" w:sz="4" w:space="0" w:color="auto"/>
              <w:right w:val="single" w:sz="4" w:space="0" w:color="auto"/>
            </w:tcBorders>
            <w:shd w:val="clear" w:color="auto" w:fill="auto"/>
            <w:noWrap/>
            <w:vAlign w:val="center"/>
            <w:hideMark/>
          </w:tcPr>
          <w:p w14:paraId="21226A23"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2</w:t>
            </w:r>
          </w:p>
        </w:tc>
        <w:tc>
          <w:tcPr>
            <w:tcW w:w="444" w:type="pct"/>
            <w:tcBorders>
              <w:top w:val="nil"/>
              <w:left w:val="nil"/>
              <w:bottom w:val="single" w:sz="4" w:space="0" w:color="auto"/>
              <w:right w:val="single" w:sz="4" w:space="0" w:color="auto"/>
            </w:tcBorders>
            <w:shd w:val="clear" w:color="auto" w:fill="auto"/>
            <w:noWrap/>
            <w:vAlign w:val="center"/>
            <w:hideMark/>
          </w:tcPr>
          <w:p w14:paraId="404E89C5"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4</w:t>
            </w:r>
          </w:p>
        </w:tc>
        <w:tc>
          <w:tcPr>
            <w:tcW w:w="461" w:type="pct"/>
            <w:tcBorders>
              <w:top w:val="nil"/>
              <w:left w:val="nil"/>
              <w:bottom w:val="single" w:sz="4" w:space="0" w:color="auto"/>
              <w:right w:val="single" w:sz="4" w:space="0" w:color="auto"/>
            </w:tcBorders>
            <w:shd w:val="clear" w:color="auto" w:fill="auto"/>
            <w:noWrap/>
            <w:vAlign w:val="center"/>
            <w:hideMark/>
          </w:tcPr>
          <w:p w14:paraId="2008283B" w14:textId="77777777"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10</w:t>
            </w:r>
          </w:p>
        </w:tc>
        <w:tc>
          <w:tcPr>
            <w:tcW w:w="1046" w:type="pct"/>
            <w:tcBorders>
              <w:top w:val="nil"/>
              <w:left w:val="nil"/>
              <w:bottom w:val="single" w:sz="4" w:space="0" w:color="auto"/>
              <w:right w:val="single" w:sz="4" w:space="0" w:color="auto"/>
            </w:tcBorders>
            <w:shd w:val="clear" w:color="auto" w:fill="auto"/>
            <w:vAlign w:val="center"/>
            <w:hideMark/>
          </w:tcPr>
          <w:p w14:paraId="73FC14DB" w14:textId="5F7F6F22" w:rsidR="009E0A9E" w:rsidRPr="00CD484A" w:rsidRDefault="009E0A9E" w:rsidP="00525437">
            <w:pPr>
              <w:jc w:val="center"/>
              <w:rPr>
                <w:rFonts w:ascii="Arial" w:hAnsi="Arial" w:cs="Arial"/>
                <w:color w:val="000000"/>
                <w:sz w:val="18"/>
                <w:szCs w:val="18"/>
                <w:lang w:eastAsia="es-EC"/>
              </w:rPr>
            </w:pPr>
            <w:r w:rsidRPr="00CD484A">
              <w:rPr>
                <w:rFonts w:ascii="Arial" w:hAnsi="Arial" w:cs="Arial"/>
                <w:color w:val="000000"/>
                <w:sz w:val="18"/>
                <w:szCs w:val="18"/>
                <w:lang w:eastAsia="es-EC"/>
              </w:rPr>
              <w:t xml:space="preserve">3 Alerta general PPL del CPL Loja, y centros de zona 1 y </w:t>
            </w:r>
            <w:r w:rsidR="00434BA9" w:rsidRPr="00CD484A">
              <w:rPr>
                <w:rFonts w:ascii="Arial" w:hAnsi="Arial" w:cs="Arial"/>
                <w:color w:val="000000"/>
                <w:sz w:val="18"/>
                <w:szCs w:val="18"/>
                <w:lang w:eastAsia="es-EC"/>
              </w:rPr>
              <w:t>Guayas reciben</w:t>
            </w:r>
            <w:r w:rsidRPr="00CD484A">
              <w:rPr>
                <w:rFonts w:ascii="Arial" w:hAnsi="Arial" w:cs="Arial"/>
                <w:color w:val="000000"/>
                <w:sz w:val="18"/>
                <w:szCs w:val="18"/>
                <w:lang w:eastAsia="es-EC"/>
              </w:rPr>
              <w:t xml:space="preserve"> una sola </w:t>
            </w:r>
            <w:r w:rsidR="00434BA9" w:rsidRPr="00CD484A">
              <w:rPr>
                <w:rFonts w:ascii="Arial" w:hAnsi="Arial" w:cs="Arial"/>
                <w:color w:val="000000"/>
                <w:sz w:val="18"/>
                <w:szCs w:val="18"/>
                <w:lang w:eastAsia="es-EC"/>
              </w:rPr>
              <w:t>alimentación</w:t>
            </w:r>
            <w:r w:rsidRPr="00CD484A">
              <w:rPr>
                <w:rFonts w:ascii="Arial" w:hAnsi="Arial" w:cs="Arial"/>
                <w:color w:val="000000"/>
                <w:sz w:val="18"/>
                <w:szCs w:val="18"/>
                <w:lang w:eastAsia="es-EC"/>
              </w:rPr>
              <w:t xml:space="preserve"> al día</w:t>
            </w:r>
          </w:p>
        </w:tc>
      </w:tr>
      <w:tr w:rsidR="009E0A9E" w:rsidRPr="00CD484A" w14:paraId="1328979F" w14:textId="77777777" w:rsidTr="00CD484A">
        <w:trPr>
          <w:trHeight w:val="2160"/>
        </w:trPr>
        <w:tc>
          <w:tcPr>
            <w:tcW w:w="543" w:type="pct"/>
            <w:tcBorders>
              <w:top w:val="nil"/>
              <w:left w:val="single" w:sz="4" w:space="0" w:color="auto"/>
              <w:bottom w:val="single" w:sz="4" w:space="0" w:color="auto"/>
              <w:right w:val="single" w:sz="4" w:space="0" w:color="auto"/>
            </w:tcBorders>
            <w:shd w:val="clear" w:color="auto" w:fill="auto"/>
            <w:vAlign w:val="center"/>
            <w:hideMark/>
          </w:tcPr>
          <w:p w14:paraId="5CB32BF9"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TOTAL</w:t>
            </w:r>
          </w:p>
        </w:tc>
        <w:tc>
          <w:tcPr>
            <w:tcW w:w="478" w:type="pct"/>
            <w:tcBorders>
              <w:top w:val="nil"/>
              <w:left w:val="nil"/>
              <w:bottom w:val="single" w:sz="4" w:space="0" w:color="auto"/>
              <w:right w:val="single" w:sz="4" w:space="0" w:color="auto"/>
            </w:tcBorders>
            <w:shd w:val="clear" w:color="auto" w:fill="auto"/>
            <w:vAlign w:val="center"/>
            <w:hideMark/>
          </w:tcPr>
          <w:p w14:paraId="60AAC76C"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 xml:space="preserve">31 </w:t>
            </w:r>
          </w:p>
          <w:p w14:paraId="12B15D84" w14:textId="50F6FDAC"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Considerar que pueden estar inmersos los casos enviados de St</w:t>
            </w:r>
            <w:r w:rsidR="00434BA9" w:rsidRPr="00CD484A">
              <w:rPr>
                <w:rFonts w:ascii="Arial" w:hAnsi="Arial" w:cs="Arial"/>
                <w:b/>
                <w:bCs/>
                <w:color w:val="000000"/>
                <w:sz w:val="18"/>
                <w:szCs w:val="18"/>
                <w:lang w:eastAsia="es-EC"/>
              </w:rPr>
              <w:t>o.</w:t>
            </w:r>
            <w:r w:rsidRPr="00CD484A">
              <w:rPr>
                <w:rFonts w:ascii="Arial" w:hAnsi="Arial" w:cs="Arial"/>
                <w:b/>
                <w:bCs/>
                <w:color w:val="000000"/>
                <w:sz w:val="18"/>
                <w:szCs w:val="18"/>
                <w:lang w:eastAsia="es-EC"/>
              </w:rPr>
              <w:t xml:space="preserve"> Domingo que reporta SNAI</w:t>
            </w:r>
          </w:p>
        </w:tc>
        <w:tc>
          <w:tcPr>
            <w:tcW w:w="465" w:type="pct"/>
            <w:tcBorders>
              <w:top w:val="nil"/>
              <w:left w:val="nil"/>
              <w:bottom w:val="single" w:sz="4" w:space="0" w:color="auto"/>
              <w:right w:val="single" w:sz="4" w:space="0" w:color="auto"/>
            </w:tcBorders>
            <w:shd w:val="clear" w:color="auto" w:fill="auto"/>
            <w:noWrap/>
            <w:vAlign w:val="center"/>
            <w:hideMark/>
          </w:tcPr>
          <w:p w14:paraId="395D5E48"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2</w:t>
            </w:r>
          </w:p>
        </w:tc>
        <w:tc>
          <w:tcPr>
            <w:tcW w:w="404" w:type="pct"/>
            <w:tcBorders>
              <w:top w:val="nil"/>
              <w:left w:val="nil"/>
              <w:bottom w:val="single" w:sz="4" w:space="0" w:color="auto"/>
              <w:right w:val="single" w:sz="4" w:space="0" w:color="auto"/>
            </w:tcBorders>
            <w:shd w:val="clear" w:color="auto" w:fill="auto"/>
            <w:noWrap/>
            <w:vAlign w:val="center"/>
            <w:hideMark/>
          </w:tcPr>
          <w:p w14:paraId="4DF6B504"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158</w:t>
            </w:r>
          </w:p>
        </w:tc>
        <w:tc>
          <w:tcPr>
            <w:tcW w:w="248" w:type="pct"/>
            <w:tcBorders>
              <w:top w:val="nil"/>
              <w:left w:val="nil"/>
              <w:bottom w:val="single" w:sz="4" w:space="0" w:color="auto"/>
              <w:right w:val="single" w:sz="4" w:space="0" w:color="auto"/>
            </w:tcBorders>
            <w:shd w:val="clear" w:color="auto" w:fill="auto"/>
            <w:noWrap/>
            <w:vAlign w:val="center"/>
            <w:hideMark/>
          </w:tcPr>
          <w:p w14:paraId="0C8B3186"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177</w:t>
            </w:r>
          </w:p>
        </w:tc>
        <w:tc>
          <w:tcPr>
            <w:tcW w:w="491" w:type="pct"/>
            <w:tcBorders>
              <w:top w:val="nil"/>
              <w:left w:val="nil"/>
              <w:bottom w:val="single" w:sz="4" w:space="0" w:color="auto"/>
              <w:right w:val="single" w:sz="4" w:space="0" w:color="auto"/>
            </w:tcBorders>
            <w:shd w:val="clear" w:color="auto" w:fill="auto"/>
            <w:noWrap/>
            <w:vAlign w:val="center"/>
            <w:hideMark/>
          </w:tcPr>
          <w:p w14:paraId="52F797B4"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11</w:t>
            </w:r>
          </w:p>
        </w:tc>
        <w:tc>
          <w:tcPr>
            <w:tcW w:w="420" w:type="pct"/>
            <w:tcBorders>
              <w:top w:val="nil"/>
              <w:left w:val="nil"/>
              <w:bottom w:val="single" w:sz="4" w:space="0" w:color="auto"/>
              <w:right w:val="single" w:sz="4" w:space="0" w:color="auto"/>
            </w:tcBorders>
            <w:shd w:val="clear" w:color="auto" w:fill="auto"/>
            <w:noWrap/>
            <w:vAlign w:val="center"/>
            <w:hideMark/>
          </w:tcPr>
          <w:p w14:paraId="7F83ACCD"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6</w:t>
            </w:r>
          </w:p>
        </w:tc>
        <w:tc>
          <w:tcPr>
            <w:tcW w:w="444" w:type="pct"/>
            <w:tcBorders>
              <w:top w:val="nil"/>
              <w:left w:val="nil"/>
              <w:bottom w:val="single" w:sz="4" w:space="0" w:color="auto"/>
              <w:right w:val="single" w:sz="4" w:space="0" w:color="auto"/>
            </w:tcBorders>
            <w:shd w:val="clear" w:color="auto" w:fill="auto"/>
            <w:noWrap/>
            <w:vAlign w:val="center"/>
            <w:hideMark/>
          </w:tcPr>
          <w:p w14:paraId="7989418F"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43</w:t>
            </w:r>
          </w:p>
        </w:tc>
        <w:tc>
          <w:tcPr>
            <w:tcW w:w="461" w:type="pct"/>
            <w:tcBorders>
              <w:top w:val="nil"/>
              <w:left w:val="nil"/>
              <w:bottom w:val="single" w:sz="4" w:space="0" w:color="auto"/>
              <w:right w:val="single" w:sz="4" w:space="0" w:color="auto"/>
            </w:tcBorders>
            <w:shd w:val="clear" w:color="auto" w:fill="auto"/>
            <w:noWrap/>
            <w:vAlign w:val="center"/>
            <w:hideMark/>
          </w:tcPr>
          <w:p w14:paraId="21A50C5A"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12</w:t>
            </w:r>
          </w:p>
        </w:tc>
        <w:tc>
          <w:tcPr>
            <w:tcW w:w="1046" w:type="pct"/>
            <w:tcBorders>
              <w:top w:val="nil"/>
              <w:left w:val="nil"/>
              <w:bottom w:val="single" w:sz="4" w:space="0" w:color="auto"/>
              <w:right w:val="single" w:sz="4" w:space="0" w:color="auto"/>
            </w:tcBorders>
            <w:shd w:val="clear" w:color="auto" w:fill="auto"/>
            <w:noWrap/>
            <w:vAlign w:val="center"/>
            <w:hideMark/>
          </w:tcPr>
          <w:p w14:paraId="53D7A6D8" w14:textId="77777777" w:rsidR="009E0A9E" w:rsidRPr="00CD484A" w:rsidRDefault="009E0A9E" w:rsidP="00525437">
            <w:pPr>
              <w:jc w:val="center"/>
              <w:rPr>
                <w:rFonts w:ascii="Arial" w:hAnsi="Arial" w:cs="Arial"/>
                <w:b/>
                <w:bCs/>
                <w:color w:val="000000"/>
                <w:sz w:val="18"/>
                <w:szCs w:val="18"/>
                <w:lang w:eastAsia="es-EC"/>
              </w:rPr>
            </w:pPr>
            <w:r w:rsidRPr="00CD484A">
              <w:rPr>
                <w:rFonts w:ascii="Arial" w:hAnsi="Arial" w:cs="Arial"/>
                <w:b/>
                <w:bCs/>
                <w:color w:val="000000"/>
                <w:sz w:val="18"/>
                <w:szCs w:val="18"/>
                <w:lang w:eastAsia="es-EC"/>
              </w:rPr>
              <w:t>6</w:t>
            </w:r>
          </w:p>
        </w:tc>
      </w:tr>
    </w:tbl>
    <w:p w14:paraId="174D5880" w14:textId="77777777" w:rsidR="009E0A9E" w:rsidRPr="00775AE5" w:rsidRDefault="009E0A9E" w:rsidP="009E0A9E">
      <w:pPr>
        <w:pStyle w:val="Introduccin"/>
        <w:ind w:firstLine="0"/>
        <w:rPr>
          <w:rFonts w:ascii="Arial" w:hAnsi="Arial" w:cs="Arial"/>
          <w:sz w:val="22"/>
          <w:szCs w:val="22"/>
          <w:lang w:val="es-CO"/>
        </w:rPr>
      </w:pPr>
    </w:p>
    <w:p w14:paraId="66F6146E" w14:textId="77777777" w:rsidR="009E0A9E" w:rsidRPr="00775AE5" w:rsidRDefault="009E0A9E" w:rsidP="009E0A9E">
      <w:pPr>
        <w:pStyle w:val="Introduccin"/>
        <w:ind w:firstLine="0"/>
        <w:rPr>
          <w:rFonts w:ascii="Arial" w:hAnsi="Arial" w:cs="Arial"/>
          <w:sz w:val="22"/>
          <w:szCs w:val="22"/>
          <w:lang w:val="es-CO"/>
        </w:rPr>
        <w:sectPr w:rsidR="009E0A9E" w:rsidRPr="00775AE5" w:rsidSect="0080333A">
          <w:footerReference w:type="default" r:id="rId27"/>
          <w:pgSz w:w="15842" w:h="12242" w:orient="landscape" w:code="1"/>
          <w:pgMar w:top="1440" w:right="1440" w:bottom="1440" w:left="1440" w:header="709" w:footer="680" w:gutter="0"/>
          <w:cols w:space="720"/>
          <w:noEndnote/>
          <w:docGrid w:linePitch="326"/>
        </w:sectPr>
      </w:pPr>
    </w:p>
    <w:p w14:paraId="775A9C1F" w14:textId="77777777" w:rsidR="009E0A9E" w:rsidRPr="00775AE5" w:rsidRDefault="009E0A9E" w:rsidP="009E0A9E">
      <w:pPr>
        <w:pStyle w:val="Introduccin"/>
        <w:ind w:firstLine="0"/>
        <w:rPr>
          <w:rFonts w:ascii="Arial" w:hAnsi="Arial" w:cs="Arial"/>
          <w:sz w:val="22"/>
          <w:szCs w:val="22"/>
        </w:rPr>
      </w:pPr>
      <w:r w:rsidRPr="00775AE5">
        <w:rPr>
          <w:rFonts w:ascii="Arial" w:hAnsi="Arial" w:cs="Arial"/>
          <w:sz w:val="22"/>
          <w:szCs w:val="22"/>
        </w:rPr>
        <w:t xml:space="preserve">La Defensoría del Pueblo ha expresado reiteradamente su preocupación frente a las condiciones de las PPL que se encuentran en los distintos centros de rehabilitación social a escala nacional, situaciones que en su conjunto son vulneraciones de derechos humanos y que están asociadas a tortura, tratos crueles, inhumanos y degradantes, respecto a la falta de resultados que no han logrado mejoras significativas en las condiciones de vida de las PPL. </w:t>
      </w:r>
    </w:p>
    <w:p w14:paraId="6A243F6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BA15339" w14:textId="61E3D234"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A pesar de la extensión de este acápite consideramos necesario informar al Comité sobre la intervención de la DPE en casos de garantías jurisdiccionales vinculados a </w:t>
      </w:r>
      <w:r w:rsidR="00434BA9" w:rsidRPr="00775AE5">
        <w:rPr>
          <w:rFonts w:ascii="Arial" w:eastAsia="DejaVu Sans" w:hAnsi="Arial" w:cs="Arial"/>
          <w:sz w:val="22"/>
          <w:szCs w:val="22"/>
          <w:lang w:val="es-VE" w:eastAsia="es-EC"/>
        </w:rPr>
        <w:t>las condiciones</w:t>
      </w:r>
      <w:r w:rsidRPr="00775AE5">
        <w:rPr>
          <w:rFonts w:ascii="Arial" w:eastAsia="DejaVu Sans" w:hAnsi="Arial" w:cs="Arial"/>
          <w:sz w:val="22"/>
          <w:szCs w:val="22"/>
          <w:lang w:val="es-VE" w:eastAsia="es-EC"/>
        </w:rPr>
        <w:t xml:space="preserve"> de privación de la libertad</w:t>
      </w:r>
    </w:p>
    <w:p w14:paraId="47026E6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3521DD7" w14:textId="77777777" w:rsidR="009E0A9E" w:rsidRPr="00775AE5" w:rsidRDefault="009E0A9E" w:rsidP="00B17DD2">
      <w:pPr>
        <w:pStyle w:val="Heading2"/>
        <w:numPr>
          <w:ilvl w:val="0"/>
          <w:numId w:val="42"/>
        </w:numPr>
        <w:ind w:left="720"/>
        <w:rPr>
          <w:rFonts w:ascii="Arial" w:hAnsi="Arial"/>
          <w:sz w:val="22"/>
          <w:szCs w:val="22"/>
        </w:rPr>
      </w:pPr>
      <w:bookmarkStart w:id="27" w:name="_Toc85683555"/>
      <w:bookmarkStart w:id="28" w:name="_Toc168907350"/>
      <w:r w:rsidRPr="00775AE5">
        <w:rPr>
          <w:rFonts w:ascii="Arial" w:hAnsi="Arial"/>
          <w:sz w:val="22"/>
          <w:szCs w:val="22"/>
        </w:rPr>
        <w:t>Seguimiento de Cumplimiento de sentencia No. 14-12 AN</w:t>
      </w:r>
      <w:bookmarkEnd w:id="27"/>
      <w:bookmarkEnd w:id="28"/>
      <w:r w:rsidRPr="00775AE5">
        <w:rPr>
          <w:rFonts w:ascii="Arial" w:hAnsi="Arial"/>
          <w:sz w:val="22"/>
          <w:szCs w:val="22"/>
        </w:rPr>
        <w:t xml:space="preserve"> </w:t>
      </w:r>
    </w:p>
    <w:p w14:paraId="404F9254" w14:textId="77777777" w:rsidR="009E0A9E" w:rsidRPr="00775AE5" w:rsidRDefault="009E0A9E" w:rsidP="009E0A9E">
      <w:pPr>
        <w:pStyle w:val="Introduccin"/>
        <w:rPr>
          <w:rFonts w:ascii="Arial" w:hAnsi="Arial" w:cs="Arial"/>
          <w:sz w:val="22"/>
          <w:szCs w:val="22"/>
        </w:rPr>
      </w:pPr>
      <w:r w:rsidRPr="00775AE5">
        <w:rPr>
          <w:rFonts w:ascii="Arial" w:hAnsi="Arial" w:cs="Arial"/>
          <w:sz w:val="22"/>
          <w:szCs w:val="22"/>
        </w:rPr>
        <w:t>La Defensoría del Pueblo en atención a sentencia emitida por el Pleno de la Corte Constitucional el 25 de abril de 2013 dentro del Caso 0014-12-AN, ha realizado visitas a fin de verificar que los centros de privación de libertad cumplan con la apertura de expedientes de las PPL una vez que ingresan a los centros. De la información obtenida durante las visitas realizadas a los centros de privación de libertad para la revisión de los expedientes de las PPL, se concluyó que:</w:t>
      </w:r>
    </w:p>
    <w:p w14:paraId="47AD7675" w14:textId="77777777" w:rsidR="009E0A9E" w:rsidRPr="00775AE5" w:rsidRDefault="009E0A9E" w:rsidP="009E0A9E">
      <w:pPr>
        <w:pStyle w:val="Citas"/>
        <w:rPr>
          <w:rFonts w:ascii="Arial" w:hAnsi="Arial" w:cs="Arial"/>
        </w:rPr>
      </w:pPr>
      <w:r w:rsidRPr="00775AE5">
        <w:rPr>
          <w:rFonts w:ascii="Arial" w:hAnsi="Arial" w:cs="Arial"/>
        </w:rPr>
        <w:t xml:space="preserve">Se ha podido constatar que las inconsistencias en el manejo de los expedientes físicos como en el sistema de gestión penitenciaria de las personas privadas de libertad se mantienen y siguen sin solucionarse. </w:t>
      </w:r>
    </w:p>
    <w:p w14:paraId="64A64D74" w14:textId="77777777" w:rsidR="009E0A9E" w:rsidRPr="00775AE5" w:rsidRDefault="009E0A9E" w:rsidP="009E0A9E">
      <w:pPr>
        <w:pStyle w:val="Citas"/>
        <w:rPr>
          <w:rFonts w:ascii="Arial" w:hAnsi="Arial" w:cs="Arial"/>
        </w:rPr>
      </w:pPr>
      <w:r w:rsidRPr="00775AE5">
        <w:rPr>
          <w:rFonts w:ascii="Arial" w:hAnsi="Arial" w:cs="Arial"/>
        </w:rPr>
        <w:t>En la mayoría de los centros de privación de libertad visitados no existe un expediente unificado de cada persona privada de la libertad, la información se encuentra dispersa en los diferentes departamentos o ejes de tratamiento. Solo el CPPL de Pastaza al ser un centro provisional de privación de libertad la información se encuentra en las carpetas físicas, las mismas que están unificadas en delitos, contravenciones y apremios.</w:t>
      </w:r>
    </w:p>
    <w:p w14:paraId="5AF64B02" w14:textId="77777777" w:rsidR="009E0A9E" w:rsidRPr="00775AE5" w:rsidRDefault="009E0A9E" w:rsidP="009E0A9E">
      <w:pPr>
        <w:pStyle w:val="Citas"/>
        <w:rPr>
          <w:rFonts w:ascii="Arial" w:hAnsi="Arial" w:cs="Arial"/>
        </w:rPr>
      </w:pPr>
      <w:r w:rsidRPr="00775AE5">
        <w:rPr>
          <w:rFonts w:ascii="Arial" w:hAnsi="Arial" w:cs="Arial"/>
        </w:rPr>
        <w:t xml:space="preserve">El sistema de gestión penitenciaria (sistema informático) es el mecanismo de registro digital de la información, ya que permite almacenar, procesar, organizar y mantener actualizada la información de las PPL, sin embargo solamente en  cuatro de los centros (Bolívar, Carchi y Femenino de Esmeralda y el  Oro - Zaruma) visitados se identificó su uso, en los centros de Cotopaxi y Loja no se pudo verificar debido ya que no se contaba con las calves de acceso del personal designado, en el centro de Santo Domingo de los Tsáchilas  y en el CPPL de Pastaza no tienen acceso o no está actualizado el sistema.  </w:t>
      </w:r>
    </w:p>
    <w:p w14:paraId="35A86CD6" w14:textId="77777777" w:rsidR="009E0A9E" w:rsidRPr="00775AE5" w:rsidRDefault="009E0A9E" w:rsidP="009E0A9E">
      <w:pPr>
        <w:pStyle w:val="Citas"/>
        <w:rPr>
          <w:rFonts w:ascii="Arial" w:hAnsi="Arial" w:cs="Arial"/>
        </w:rPr>
      </w:pPr>
      <w:r w:rsidRPr="00775AE5">
        <w:rPr>
          <w:rFonts w:ascii="Arial" w:hAnsi="Arial" w:cs="Arial"/>
        </w:rPr>
        <w:t>La información sobre los ejes de tratamiento y modelos de gestión en todos los centros visitados se encuentra incompleta y dispersa. Unos centros cuentan con la información de determinados parámetros, mientras que en otros se cuenta con otra información, lo que no permite verificar si se está cumpliendo con el plan de desarrollo de actividades de cada uno de los ejes de tratamiento. L</w:t>
      </w:r>
      <w:r w:rsidRPr="00775AE5">
        <w:rPr>
          <w:rFonts w:ascii="Arial" w:hAnsi="Arial" w:cs="Arial"/>
          <w:lang w:val="es-EC"/>
        </w:rPr>
        <w:t xml:space="preserve">os planes, programas y/o actividades que se desarrollan con las personas privadas de libertad y que son fundamentales para el efectivo desarrollo de la ejecución del plan individualizado de la pena, que permita a las PPL superar las causas que influyeron en el cometimiento del delito, procurando el desarrollo de habilidades, competencias y destrezas para una buena convivencia en el centro y para la rehabilitación y reinserción social, no se evidencia se cumpla a cabalidad en ninguno de los centros de acuerdo a la información constante en los expedientes revisados. </w:t>
      </w:r>
    </w:p>
    <w:p w14:paraId="196410CE" w14:textId="77777777" w:rsidR="009E0A9E" w:rsidRPr="00775AE5" w:rsidRDefault="009E0A9E" w:rsidP="009E0A9E">
      <w:pPr>
        <w:pStyle w:val="Citas"/>
        <w:rPr>
          <w:rFonts w:ascii="Arial" w:hAnsi="Arial" w:cs="Arial"/>
        </w:rPr>
      </w:pPr>
      <w:r w:rsidRPr="00775AE5">
        <w:rPr>
          <w:rFonts w:ascii="Arial" w:hAnsi="Arial" w:cs="Arial"/>
        </w:rPr>
        <w:t xml:space="preserve">El tema de los beneficios penitenciarios continúa siendo una grave problemática, debido a la tardanza en el armado y trámite de carpetas en los centros carcelarios, convirtiéndose en queja constate de las PPL, a lo que se suma la dilación  en el despacho de estas en la matriz de la SNAI y por parte de los jueces de garantías que conocen los pedidos y deben resolverlos, afectando directamente los principios de inmediación y celeridad establecidos en la Constitución y por ende el debido proceso tanto administrativo como judicial. </w:t>
      </w:r>
    </w:p>
    <w:p w14:paraId="2EE5781E" w14:textId="77777777" w:rsidR="009E0A9E" w:rsidRPr="00775AE5" w:rsidRDefault="009E0A9E" w:rsidP="009E0A9E">
      <w:pPr>
        <w:pStyle w:val="Citas"/>
        <w:rPr>
          <w:rFonts w:ascii="Arial" w:hAnsi="Arial" w:cs="Arial"/>
        </w:rPr>
      </w:pPr>
      <w:r w:rsidRPr="00775AE5">
        <w:rPr>
          <w:rFonts w:ascii="Arial" w:hAnsi="Arial" w:cs="Arial"/>
        </w:rPr>
        <w:t xml:space="preserve">Otra de las falencias que se pudo evidenciar en las visitas realizadas está relacionada con la información del ingreso y permanencia de una persona privada de la libertad en los centros carcelarios se encuentra incompleta. La documentación de ingreso, registro de propiedades de la PPL, </w:t>
      </w:r>
      <w:r w:rsidRPr="00775AE5">
        <w:rPr>
          <w:rFonts w:ascii="Arial" w:hAnsi="Arial" w:cs="Arial"/>
          <w:lang w:val="es-EC"/>
        </w:rPr>
        <w:t xml:space="preserve">información inicial de derechos, obligaciones y régimen disciplinario, parámetros de información inicial, registro de datos personales, no son recogidos y no se les da el seguimiento respectivo por parte del personal responsable en los centros de privación de libertad. Ninguna de las carpetas revisadas tiene la información completa en estos temas. </w:t>
      </w:r>
    </w:p>
    <w:p w14:paraId="343DE31A" w14:textId="77777777" w:rsidR="009E0A9E" w:rsidRPr="00775AE5" w:rsidRDefault="009E0A9E" w:rsidP="009E0A9E">
      <w:pPr>
        <w:pStyle w:val="Citas"/>
        <w:rPr>
          <w:rFonts w:ascii="Arial" w:hAnsi="Arial" w:cs="Arial"/>
        </w:rPr>
      </w:pPr>
      <w:r w:rsidRPr="00775AE5">
        <w:rPr>
          <w:rFonts w:ascii="Arial" w:hAnsi="Arial" w:cs="Arial"/>
        </w:rPr>
        <w:t xml:space="preserve">Respecto a la evaluación médica inicial en nueve (CRS de Cañar, CPL de </w:t>
      </w:r>
      <w:r w:rsidRPr="00775AE5">
        <w:rPr>
          <w:rFonts w:ascii="Arial" w:hAnsi="Arial" w:cs="Arial"/>
          <w:bCs/>
        </w:rPr>
        <w:t xml:space="preserve">Bolívar, Chimborazo, Los Ríos (Quevedo), </w:t>
      </w:r>
      <w:r w:rsidRPr="00775AE5">
        <w:rPr>
          <w:rFonts w:ascii="Arial" w:hAnsi="Arial" w:cs="Arial"/>
        </w:rPr>
        <w:t xml:space="preserve">Femenino de El Oro (Zaruma), Carchi, Imbabura, </w:t>
      </w:r>
      <w:r w:rsidRPr="00775AE5">
        <w:rPr>
          <w:rFonts w:ascii="Arial" w:hAnsi="Arial" w:cs="Arial"/>
          <w:bCs/>
        </w:rPr>
        <w:t>Femenino de Esmeraldas, Napo)</w:t>
      </w:r>
      <w:r w:rsidRPr="00775AE5">
        <w:rPr>
          <w:rFonts w:ascii="Arial" w:hAnsi="Arial" w:cs="Arial"/>
        </w:rPr>
        <w:t xml:space="preserve"> de los 17 centros visitados, no existe información al respecto en las carpetas de las PPL, ésta se encontraría en los expedientes de los departamentos médicos de cada centro. En los demás centros la información es parcial. En el CPPL de Pastaza la información al ser un centro provisional, ninguno de los PPL dispone de fichas médicas, las historias clínicas las mantiene en el Centro de Salud en Madre Tierra y no tienen acceso. Por lo cual se recomienda poner en conocimiento al Ministerio de Salud a fin de establezcan los correctivos pertinentes.</w:t>
      </w:r>
    </w:p>
    <w:p w14:paraId="453E2BDF" w14:textId="77777777" w:rsidR="009E0A9E" w:rsidRPr="00775AE5" w:rsidRDefault="009E0A9E" w:rsidP="009E0A9E">
      <w:pPr>
        <w:pStyle w:val="Citas"/>
        <w:rPr>
          <w:rFonts w:ascii="Arial" w:hAnsi="Arial" w:cs="Arial"/>
        </w:rPr>
      </w:pPr>
      <w:r w:rsidRPr="00775AE5">
        <w:rPr>
          <w:rFonts w:ascii="Arial" w:hAnsi="Arial" w:cs="Arial"/>
        </w:rPr>
        <w:t>Sobre el régimen disciplinario la información también es parcial, en ocho de los 17 centros visitados se encontró información sobre procedimiento a seguir en la comisión de faltas disciplinarias como en el proceso de impugnación, en los nueve centros restantes la información no consta.</w:t>
      </w:r>
    </w:p>
    <w:p w14:paraId="7D25D22A" w14:textId="77777777" w:rsidR="009E0A9E" w:rsidRPr="00775AE5" w:rsidRDefault="009E0A9E" w:rsidP="009E0A9E">
      <w:pPr>
        <w:pStyle w:val="Citas"/>
        <w:rPr>
          <w:rFonts w:ascii="Arial" w:hAnsi="Arial" w:cs="Arial"/>
        </w:rPr>
      </w:pPr>
      <w:r w:rsidRPr="00775AE5">
        <w:rPr>
          <w:rFonts w:ascii="Arial" w:hAnsi="Arial" w:cs="Arial"/>
        </w:rPr>
        <w:t xml:space="preserve">Las problemáticas antes referidas pueden estar asociadas a insuficiente personal como el caso de Cotopaxi, en este sentido es necesario que el SNAI levante un diagnóstico o estrategia que permita identificar el número de personal óptimo que se requiere para el adecuado manejo de los expedientes. </w:t>
      </w:r>
    </w:p>
    <w:p w14:paraId="2EFC9264" w14:textId="77777777" w:rsidR="009E0A9E" w:rsidRPr="00775AE5" w:rsidRDefault="009E0A9E" w:rsidP="009E0A9E">
      <w:pPr>
        <w:pStyle w:val="Citas"/>
        <w:rPr>
          <w:rFonts w:ascii="Arial" w:hAnsi="Arial" w:cs="Arial"/>
        </w:rPr>
      </w:pPr>
      <w:r w:rsidRPr="00775AE5">
        <w:rPr>
          <w:rFonts w:ascii="Arial" w:hAnsi="Arial" w:cs="Arial"/>
        </w:rPr>
        <w:t>De lo señalado en los puntos anteriores se concluye de manera general que, en ninguno de los centros de privación de libertad, se cumple con las disposiciones establecidas en el Reglamento del Sistema Nacional de Rehabilitación Social respecto los temas analizados, por tanto, no se cumple con la</w:t>
      </w:r>
      <w:r w:rsidRPr="00775AE5">
        <w:rPr>
          <w:rFonts w:ascii="Arial" w:eastAsia="Times New Roman" w:hAnsi="Arial" w:cs="Arial"/>
          <w:iCs/>
        </w:rPr>
        <w:t xml:space="preserve"> garantía de no repetición dispuesta por la Corte Constitucional, en la sentencia N. 001-13-SAN-CC, emitida dentro de la causa N. 0014-12-AN. </w:t>
      </w:r>
    </w:p>
    <w:p w14:paraId="2A88C6FE" w14:textId="77777777" w:rsidR="009E0A9E" w:rsidRPr="00775AE5" w:rsidRDefault="009E0A9E" w:rsidP="009E0A9E">
      <w:pPr>
        <w:pStyle w:val="Citas"/>
        <w:rPr>
          <w:rFonts w:ascii="Arial" w:hAnsi="Arial" w:cs="Arial"/>
        </w:rPr>
      </w:pPr>
      <w:r w:rsidRPr="00775AE5">
        <w:rPr>
          <w:rFonts w:ascii="Arial" w:hAnsi="Arial" w:cs="Arial"/>
        </w:rPr>
        <w:t>Dentro del seguimiento del cumplimiento de sentencia se han presentado varios informes que detallan las problemáticas existentes respecto al cumplimiento de apertura de expediente de las PPL y su gestión; en este sentido es imprescindible que desde el Organismo Técnico como órgano rector del sistema de rehabilitación social del país en coordinación con la SNAI  se tomen las medidas inmediatas pertinentes a fin de que se subsane estas omisiones, emitiendo directrices claras, precisas y de obligatorio cumplimiento al personal responsables en los centros, acompañadas del seguimiento respectivo, contratación de personal y capacitación de ser necesario.</w:t>
      </w:r>
    </w:p>
    <w:p w14:paraId="5C46CEBF" w14:textId="77777777" w:rsidR="009E0A9E" w:rsidRPr="00775AE5" w:rsidRDefault="009E0A9E" w:rsidP="009E0A9E">
      <w:pPr>
        <w:pStyle w:val="Citas"/>
        <w:rPr>
          <w:rFonts w:ascii="Arial" w:hAnsi="Arial" w:cs="Arial"/>
        </w:rPr>
      </w:pPr>
      <w:r w:rsidRPr="00775AE5">
        <w:rPr>
          <w:rFonts w:ascii="Arial" w:eastAsia="Times New Roman" w:hAnsi="Arial" w:cs="Arial"/>
          <w:iCs/>
        </w:rPr>
        <w:t>La Institución Nacional de Derechos Humanos,</w:t>
      </w:r>
      <w:r w:rsidRPr="00775AE5">
        <w:rPr>
          <w:rFonts w:ascii="Arial" w:hAnsi="Arial" w:cs="Arial"/>
        </w:rPr>
        <w:t xml:space="preserve">  como ya se mencionó, a nivel de las Delegaciones Provinciales, cuenta con 158 servidoras y servidores públicos, distribuidos en las 24 provincias,  quienes procuran responder a todos los aspectos misionales de la institución respecto a la prevención, protección, promoción de derechos humanos que se encuentran en el ámbito de competencia de la Institución, presentados en territorio; a más de los temas administrativos que conlleva el funcionamiento de cada delegación y el apoyo a los mecanismos nacionales. En el caso particular del Mecanismo Nacional de Prevención contra la Tortura y otros Tratos o Penas Crueles, Inhumanos y Degradantes, está conformado por cinco personas para responder a los aspectos de prevención, protección y misionales a nivel nacional, lo que provoca que sobre pase la capacidad operativa del personal a nivel local como nacional.</w:t>
      </w:r>
    </w:p>
    <w:p w14:paraId="23765260" w14:textId="77777777" w:rsidR="009E0A9E" w:rsidRPr="00775AE5" w:rsidRDefault="009E0A9E" w:rsidP="009E0A9E">
      <w:pPr>
        <w:pStyle w:val="Citas"/>
        <w:rPr>
          <w:rFonts w:ascii="Arial" w:hAnsi="Arial" w:cs="Arial"/>
        </w:rPr>
      </w:pPr>
      <w:r w:rsidRPr="00775AE5">
        <w:rPr>
          <w:rFonts w:ascii="Arial" w:hAnsi="Arial" w:cs="Arial"/>
        </w:rPr>
        <w:t>En base a las limitaciones expuesta en el acápite del 9 al 14 de este informe, se solicita a los señores jueces constitucionales, se analice la posibilidad de que los informes periódicos de estos seguimientos se los realice de manera semestral.</w:t>
      </w:r>
    </w:p>
    <w:p w14:paraId="0D42F050" w14:textId="77777777" w:rsidR="009E0A9E" w:rsidRPr="00775AE5" w:rsidRDefault="009E0A9E" w:rsidP="009E0A9E">
      <w:pPr>
        <w:pStyle w:val="Introduccin"/>
        <w:rPr>
          <w:rFonts w:ascii="Arial" w:hAnsi="Arial" w:cs="Arial"/>
          <w:sz w:val="22"/>
          <w:szCs w:val="22"/>
        </w:rPr>
      </w:pPr>
      <w:r w:rsidRPr="00775AE5">
        <w:rPr>
          <w:rFonts w:ascii="Arial" w:hAnsi="Arial" w:cs="Arial"/>
          <w:sz w:val="22"/>
          <w:szCs w:val="22"/>
        </w:rPr>
        <w:t xml:space="preserve"> Cabe señalar que, una de las necesidades para la verificación de las condiciones de privación de libertad, radica en contar con un registro audiovisual de dichas condiciones como evidencia de las mismas. En ese contexto, luego de varias gestiones ante el SNAI, a través de Oficio Nro. SNAI-STRS-2019-0223-O, de 31 de octubre de 2019, finalmente se consiguió la autorización para el ingreso de cámaras fotográficas, grabadoras de voz, e intercomunicadores portátiles, a fin de poder registrar los hallazgos encontrados por el MNPT durante las visitas. Lo cual fue ratificado por la corte Constitucional en el Auto de seguimiento No. 4-20-EE/20, de 03 de marzo de 2021. </w:t>
      </w:r>
    </w:p>
    <w:p w14:paraId="5C09F2D2" w14:textId="77777777" w:rsidR="009E0A9E" w:rsidRPr="00775AE5" w:rsidRDefault="009E0A9E" w:rsidP="00B17DD2">
      <w:pPr>
        <w:pStyle w:val="Heading2"/>
        <w:numPr>
          <w:ilvl w:val="0"/>
          <w:numId w:val="42"/>
        </w:numPr>
        <w:ind w:left="720"/>
        <w:rPr>
          <w:rFonts w:ascii="Arial" w:hAnsi="Arial"/>
          <w:sz w:val="22"/>
          <w:szCs w:val="22"/>
        </w:rPr>
      </w:pPr>
      <w:bookmarkStart w:id="29" w:name="_Toc85683556"/>
      <w:bookmarkStart w:id="30" w:name="_Toc168907351"/>
      <w:r w:rsidRPr="00775AE5">
        <w:rPr>
          <w:rFonts w:ascii="Arial" w:hAnsi="Arial"/>
          <w:sz w:val="22"/>
          <w:szCs w:val="22"/>
        </w:rPr>
        <w:t>Condiciones de privación de libertad de PPL por apremio</w:t>
      </w:r>
      <w:bookmarkEnd w:id="29"/>
      <w:bookmarkEnd w:id="30"/>
    </w:p>
    <w:p w14:paraId="04B54041" w14:textId="17090487" w:rsidR="009E0A9E" w:rsidRPr="00775AE5" w:rsidRDefault="009E0A9E" w:rsidP="009E0A9E">
      <w:pPr>
        <w:pStyle w:val="Introduccin"/>
        <w:rPr>
          <w:rFonts w:ascii="Arial" w:hAnsi="Arial" w:cs="Arial"/>
          <w:sz w:val="22"/>
          <w:szCs w:val="22"/>
        </w:rPr>
      </w:pPr>
      <w:r w:rsidRPr="00775AE5">
        <w:rPr>
          <w:rFonts w:ascii="Arial" w:hAnsi="Arial" w:cs="Arial"/>
          <w:sz w:val="22"/>
          <w:szCs w:val="22"/>
        </w:rPr>
        <w:t xml:space="preserve">El 11 de septiembre de 2018, el Juez de la Unidad Judicial con sede en la parroquia Carcelén del distrito metropolitano de Quito, a través de  sentencia acepta parcialmente la acción de Habeas Corpus, en la cual dispuso varias medidas a llevarse a cabo respecto a las condiciones de las personas privadas de libertad del pabellón “La Ronda” del CDP de Quito, y que ordenó a la Defensoría del Pueblo supervisar el cumplimiento dentro de la acción de Habeas Corpus Nro. 17295-2018-00255, en la cual se  dispuso el seguimiento del cumplimiento de la sentencia a la Defensoría del Pueblo del Ecuador. Cabe señalar </w:t>
      </w:r>
      <w:r w:rsidR="00434BA9" w:rsidRPr="00775AE5">
        <w:rPr>
          <w:rFonts w:ascii="Arial" w:hAnsi="Arial" w:cs="Arial"/>
          <w:sz w:val="22"/>
          <w:szCs w:val="22"/>
        </w:rPr>
        <w:t>que,</w:t>
      </w:r>
      <w:r w:rsidRPr="00775AE5">
        <w:rPr>
          <w:rFonts w:ascii="Arial" w:hAnsi="Arial" w:cs="Arial"/>
          <w:sz w:val="22"/>
          <w:szCs w:val="22"/>
        </w:rPr>
        <w:t xml:space="preserve"> en dicha sentencia, en la cual entre otros aspectos se dispuso lo siguiente: Se ordena que el ministerio de justicia en un plazo máximo de 90 días elabore y ejecute un plan en el cual se haga constar un régimen especial para los PPL con apremio por alimentos (MJDHC).</w:t>
      </w:r>
    </w:p>
    <w:p w14:paraId="386EA88C" w14:textId="77777777" w:rsidR="009E0A9E" w:rsidRPr="00775AE5" w:rsidRDefault="009E0A9E" w:rsidP="009E0A9E">
      <w:pPr>
        <w:pStyle w:val="Introduccin"/>
        <w:rPr>
          <w:rFonts w:ascii="Arial" w:hAnsi="Arial" w:cs="Arial"/>
          <w:sz w:val="22"/>
          <w:szCs w:val="22"/>
        </w:rPr>
      </w:pPr>
      <w:r w:rsidRPr="00775AE5">
        <w:rPr>
          <w:rFonts w:ascii="Arial" w:hAnsi="Arial" w:cs="Arial"/>
          <w:sz w:val="22"/>
          <w:szCs w:val="22"/>
        </w:rPr>
        <w:t>Los informes relativos al seguimiento fueron puestos en conocimiento del Juez de la Unidad Judicial con sede en la parroquia Carcelén por parte de la Delegación Provincial de Pichincha de la Defensoría del Pueblo.</w:t>
      </w:r>
    </w:p>
    <w:p w14:paraId="0844DFC6" w14:textId="77777777" w:rsidR="009E0A9E" w:rsidRPr="00775AE5" w:rsidRDefault="009E0A9E" w:rsidP="00B17DD2">
      <w:pPr>
        <w:pStyle w:val="Heading2"/>
        <w:numPr>
          <w:ilvl w:val="0"/>
          <w:numId w:val="42"/>
        </w:numPr>
        <w:ind w:left="720"/>
        <w:rPr>
          <w:rFonts w:ascii="Arial" w:hAnsi="Arial"/>
          <w:sz w:val="22"/>
          <w:szCs w:val="22"/>
        </w:rPr>
      </w:pPr>
      <w:bookmarkStart w:id="31" w:name="_Toc85683557"/>
      <w:bookmarkStart w:id="32" w:name="_Toc168907352"/>
      <w:r w:rsidRPr="00775AE5">
        <w:rPr>
          <w:rFonts w:ascii="Arial" w:hAnsi="Arial"/>
          <w:sz w:val="22"/>
          <w:szCs w:val="22"/>
        </w:rPr>
        <w:t>Hacinamiento CRS Ibarra</w:t>
      </w:r>
      <w:bookmarkEnd w:id="31"/>
      <w:bookmarkEnd w:id="32"/>
    </w:p>
    <w:p w14:paraId="55496B65" w14:textId="77777777" w:rsidR="009E0A9E" w:rsidRPr="00775AE5" w:rsidRDefault="009E0A9E" w:rsidP="009E0A9E">
      <w:pPr>
        <w:pStyle w:val="Introduccin"/>
        <w:rPr>
          <w:rFonts w:ascii="Arial" w:hAnsi="Arial" w:cs="Arial"/>
          <w:sz w:val="22"/>
          <w:szCs w:val="22"/>
        </w:rPr>
      </w:pPr>
      <w:r w:rsidRPr="00775AE5">
        <w:rPr>
          <w:rFonts w:ascii="Arial" w:hAnsi="Arial" w:cs="Arial"/>
          <w:sz w:val="22"/>
          <w:szCs w:val="22"/>
        </w:rPr>
        <w:t>De igual forma en el marco de las atribuciones establecidas a la DPE, en atención a la disposición judicial emitida por la Sala Multicompetente de la Corte Provincial de Justicia de Imbabura, en la acción de hábeas corpus No. 10103-2019-00029, la Delegación Provincial de Imbabura de la Defensoría del Pueblo presidió y coordinó la Comisión conformada por los delegados de la Corporación de Solidaridad y Derechos Humanos de Imbabura; el Centro de Privación de Libertad de Ibarra, el Ministerio de Gobierno; la Procuraduría General del Estado; y un delegado del Servicio Nacional de Atención Integral a Personas Adultas Privadas de Libertad, a fin que la Comisión realice una visita pormenorizada al Centro de Privación de Libertad de Ibarra, y verifique las situación o condiciones en que se encuentran las personas privadas de libertad, para que se determine la capacidad física del  Centro de Privación de Libertad de Ibarra, población, condición jurídica, condiciones de salubridad de las celdas y si en ellas cohabitan tanto personas sentenciadas como personas con medida cautelar de prisión preventiva; con cuántas celdas cuenta el Centro y cuántas personas cohabitan en cada una de ellas; y finalmente, recabe información en cuanto a la programación,  proyección y presupuesto para afrontar la situación del Centro de Privación de Libertad de Ibarra.</w:t>
      </w:r>
    </w:p>
    <w:p w14:paraId="7CA9F1E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EB33B69" w14:textId="77777777" w:rsidR="009E0A9E" w:rsidRPr="00775AE5" w:rsidRDefault="009E0A9E" w:rsidP="00640CCA">
      <w:pPr>
        <w:pStyle w:val="Heading3"/>
        <w:numPr>
          <w:ilvl w:val="1"/>
          <w:numId w:val="14"/>
        </w:numPr>
        <w:rPr>
          <w:rFonts w:ascii="Arial" w:hAnsi="Arial" w:cs="Arial"/>
          <w:sz w:val="22"/>
          <w:szCs w:val="22"/>
        </w:rPr>
      </w:pPr>
      <w:bookmarkStart w:id="33" w:name="_Toc168907353"/>
      <w:r w:rsidRPr="00775AE5">
        <w:rPr>
          <w:rFonts w:ascii="Arial" w:hAnsi="Arial" w:cs="Arial"/>
          <w:sz w:val="22"/>
          <w:szCs w:val="22"/>
        </w:rPr>
        <w:t>Artículo 11 (Párrafo 22 de la Lista de Cuestiones)</w:t>
      </w:r>
      <w:bookmarkEnd w:id="33"/>
    </w:p>
    <w:p w14:paraId="5CFB0009" w14:textId="77777777" w:rsidR="009E0A9E" w:rsidRPr="00775AE5" w:rsidRDefault="009E0A9E" w:rsidP="009E0A9E">
      <w:pPr>
        <w:jc w:val="both"/>
        <w:rPr>
          <w:rFonts w:ascii="Arial" w:hAnsi="Arial" w:cs="Arial"/>
          <w:sz w:val="22"/>
          <w:szCs w:val="22"/>
        </w:rPr>
      </w:pPr>
    </w:p>
    <w:p w14:paraId="243D51C2" w14:textId="77777777" w:rsidR="009E0A9E" w:rsidRPr="00775AE5" w:rsidRDefault="009E0A9E" w:rsidP="009E0A9E">
      <w:pPr>
        <w:spacing w:line="276" w:lineRule="auto"/>
        <w:jc w:val="both"/>
        <w:rPr>
          <w:rFonts w:ascii="Arial" w:hAnsi="Arial" w:cs="Arial"/>
          <w:sz w:val="22"/>
          <w:szCs w:val="22"/>
        </w:rPr>
      </w:pPr>
      <w:r w:rsidRPr="00775AE5">
        <w:rPr>
          <w:rFonts w:ascii="Arial" w:hAnsi="Arial" w:cs="Arial"/>
          <w:sz w:val="22"/>
          <w:szCs w:val="22"/>
        </w:rPr>
        <w:t xml:space="preserve">La información estadística para la realización de esta sección se solicitó al SNAI mediante </w:t>
      </w:r>
      <w:r w:rsidRPr="00775AE5">
        <w:rPr>
          <w:rFonts w:ascii="Arial" w:hAnsi="Arial" w:cs="Arial"/>
          <w:sz w:val="22"/>
          <w:szCs w:val="22"/>
          <w:shd w:val="clear" w:color="auto" w:fill="FFFFFF"/>
        </w:rPr>
        <w:t xml:space="preserve">Oficio Nro. DPE-DNMPCTOTPCID-2024-0072-O, sin obtener respuesta, por lo que se elaboró con la información pública disponible en la web del SNAI (2024), los resultados del censo penitenciario (2022), Información estadística sobre grupos de atención prioritaria del SNAI (2021) y la información recabada en las visitas del MNPT (2023- 2024). </w:t>
      </w:r>
    </w:p>
    <w:p w14:paraId="5F7635F3" w14:textId="77777777" w:rsidR="009E0A9E" w:rsidRPr="00775AE5" w:rsidRDefault="009E0A9E" w:rsidP="00640CCA">
      <w:pPr>
        <w:pStyle w:val="Heading3"/>
        <w:rPr>
          <w:rFonts w:ascii="Arial" w:hAnsi="Arial" w:cs="Arial"/>
          <w:sz w:val="22"/>
          <w:szCs w:val="22"/>
        </w:rPr>
      </w:pPr>
    </w:p>
    <w:p w14:paraId="55008723" w14:textId="77777777" w:rsidR="009E0A9E" w:rsidRPr="00775AE5" w:rsidRDefault="009E0A9E" w:rsidP="00640CCA">
      <w:pPr>
        <w:pStyle w:val="Heading3"/>
        <w:numPr>
          <w:ilvl w:val="0"/>
          <w:numId w:val="20"/>
        </w:numPr>
        <w:rPr>
          <w:rFonts w:ascii="Arial" w:hAnsi="Arial" w:cs="Arial"/>
          <w:sz w:val="22"/>
          <w:szCs w:val="22"/>
        </w:rPr>
      </w:pPr>
      <w:bookmarkStart w:id="34" w:name="_Toc168907354"/>
      <w:r w:rsidRPr="00775AE5">
        <w:rPr>
          <w:rFonts w:ascii="Arial" w:hAnsi="Arial" w:cs="Arial"/>
          <w:sz w:val="22"/>
          <w:szCs w:val="22"/>
        </w:rPr>
        <w:t>PPL mujeres y personas de diversidades sexo-genéricas</w:t>
      </w:r>
      <w:bookmarkEnd w:id="34"/>
    </w:p>
    <w:p w14:paraId="104D3E15"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E536279" w14:textId="77777777" w:rsidR="009E0A9E" w:rsidRPr="00775AE5" w:rsidRDefault="009E0A9E" w:rsidP="009E0A9E">
      <w:pPr>
        <w:widowControl w:val="0"/>
        <w:suppressAutoHyphens/>
        <w:spacing w:line="276" w:lineRule="auto"/>
        <w:jc w:val="both"/>
        <w:rPr>
          <w:rFonts w:ascii="Arial" w:eastAsia="Calibri" w:hAnsi="Arial" w:cs="Arial"/>
          <w:color w:val="00000A"/>
          <w:kern w:val="1"/>
          <w:sz w:val="22"/>
          <w:szCs w:val="22"/>
          <w:lang w:val="es-ES" w:eastAsia="zh-CN"/>
        </w:rPr>
      </w:pPr>
      <w:r w:rsidRPr="00775AE5">
        <w:rPr>
          <w:rFonts w:ascii="Arial" w:eastAsia="DejaVu Sans" w:hAnsi="Arial" w:cs="Arial"/>
          <w:sz w:val="22"/>
          <w:szCs w:val="22"/>
          <w:lang w:val="es-VE" w:eastAsia="es-EC"/>
        </w:rPr>
        <w:t xml:space="preserve">De los centros que conforman el Sistema Nacional de Rehabilitación social, existen 12 centros para mujeres, de los cuales únicamente siete se encuentran en una infraestructura diferente a la de la población masculina, y de estas, una está destinada exclusivamente para PPL gestantes o con niños menores de tres años (aunque en las visitas se han evidenciado niños/as en otros centros, como el CPL Esmeraldas N°1). </w:t>
      </w:r>
    </w:p>
    <w:p w14:paraId="5FF5BAA9" w14:textId="77777777" w:rsidR="009E0A9E" w:rsidRPr="00775AE5" w:rsidRDefault="009E0A9E" w:rsidP="009E0A9E">
      <w:pPr>
        <w:spacing w:line="276" w:lineRule="auto"/>
        <w:rPr>
          <w:rFonts w:ascii="Arial" w:eastAsia="Calibri" w:hAnsi="Arial" w:cs="Arial"/>
          <w:sz w:val="22"/>
          <w:szCs w:val="22"/>
          <w:lang w:val="es-ES"/>
        </w:rPr>
      </w:pPr>
    </w:p>
    <w:p w14:paraId="7106C53A" w14:textId="77777777" w:rsidR="009E0A9E" w:rsidRPr="00775AE5" w:rsidRDefault="009E0A9E" w:rsidP="009E0A9E">
      <w:pPr>
        <w:spacing w:line="276" w:lineRule="auto"/>
        <w:rPr>
          <w:rFonts w:ascii="Arial" w:eastAsia="Calibri" w:hAnsi="Arial" w:cs="Arial"/>
          <w:sz w:val="22"/>
          <w:szCs w:val="22"/>
          <w:lang w:val="es-ES"/>
        </w:rPr>
      </w:pPr>
      <w:r w:rsidRPr="00775AE5">
        <w:rPr>
          <w:rFonts w:ascii="Arial" w:eastAsia="Calibri" w:hAnsi="Arial" w:cs="Arial"/>
          <w:sz w:val="22"/>
          <w:szCs w:val="22"/>
          <w:lang w:val="es-ES"/>
        </w:rPr>
        <w:t>Tabla 9</w:t>
      </w:r>
    </w:p>
    <w:p w14:paraId="2BC92820" w14:textId="77777777" w:rsidR="009E0A9E" w:rsidRPr="00775AE5" w:rsidRDefault="009E0A9E" w:rsidP="009E0A9E">
      <w:pPr>
        <w:spacing w:line="276" w:lineRule="auto"/>
        <w:rPr>
          <w:rFonts w:ascii="Arial" w:eastAsia="Calibri" w:hAnsi="Arial" w:cs="Arial"/>
          <w:i/>
          <w:sz w:val="22"/>
          <w:szCs w:val="22"/>
          <w:lang w:val="es-ES"/>
        </w:rPr>
      </w:pPr>
      <w:r w:rsidRPr="00775AE5">
        <w:rPr>
          <w:rFonts w:ascii="Arial" w:eastAsia="Calibri" w:hAnsi="Arial" w:cs="Arial"/>
          <w:i/>
          <w:sz w:val="22"/>
          <w:szCs w:val="22"/>
          <w:lang w:val="es-ES"/>
        </w:rPr>
        <w:t>Número de PPL por sexo</w:t>
      </w:r>
    </w:p>
    <w:tbl>
      <w:tblPr>
        <w:tblStyle w:val="TableGrid"/>
        <w:tblW w:w="9329" w:type="dxa"/>
        <w:tblLook w:val="04A0" w:firstRow="1" w:lastRow="0" w:firstColumn="1" w:lastColumn="0" w:noHBand="0" w:noVBand="1"/>
      </w:tblPr>
      <w:tblGrid>
        <w:gridCol w:w="2114"/>
        <w:gridCol w:w="2177"/>
        <w:gridCol w:w="1701"/>
        <w:gridCol w:w="1701"/>
        <w:gridCol w:w="1636"/>
      </w:tblGrid>
      <w:tr w:rsidR="009E0A9E" w:rsidRPr="00775AE5" w14:paraId="7433F0FC" w14:textId="77777777" w:rsidTr="00525437">
        <w:trPr>
          <w:trHeight w:val="401"/>
        </w:trPr>
        <w:tc>
          <w:tcPr>
            <w:tcW w:w="2114" w:type="dxa"/>
            <w:noWrap/>
            <w:hideMark/>
          </w:tcPr>
          <w:p w14:paraId="5F151662" w14:textId="77777777" w:rsidR="009E0A9E" w:rsidRPr="00775AE5" w:rsidRDefault="009E0A9E" w:rsidP="00525437">
            <w:pPr>
              <w:spacing w:line="276" w:lineRule="auto"/>
              <w:jc w:val="center"/>
              <w:rPr>
                <w:rFonts w:ascii="Arial" w:hAnsi="Arial" w:cs="Arial"/>
                <w:b/>
                <w:bCs/>
                <w:sz w:val="22"/>
                <w:szCs w:val="22"/>
                <w:lang w:val="es-ES" w:eastAsia="es-EC"/>
              </w:rPr>
            </w:pPr>
            <w:r w:rsidRPr="00775AE5">
              <w:rPr>
                <w:rFonts w:ascii="Arial" w:eastAsia="Calibri" w:hAnsi="Arial" w:cs="Arial"/>
                <w:b/>
                <w:sz w:val="22"/>
                <w:szCs w:val="22"/>
                <w:lang w:val="es-ES"/>
              </w:rPr>
              <w:t xml:space="preserve">      </w:t>
            </w:r>
            <w:r w:rsidRPr="00775AE5">
              <w:rPr>
                <w:rFonts w:ascii="Arial" w:hAnsi="Arial" w:cs="Arial"/>
                <w:b/>
                <w:bCs/>
                <w:sz w:val="22"/>
                <w:szCs w:val="22"/>
                <w:lang w:val="es-ES" w:eastAsia="es-EC"/>
              </w:rPr>
              <w:t>Total PPL</w:t>
            </w:r>
          </w:p>
        </w:tc>
        <w:tc>
          <w:tcPr>
            <w:tcW w:w="2177" w:type="dxa"/>
            <w:noWrap/>
            <w:hideMark/>
          </w:tcPr>
          <w:p w14:paraId="4708A7BC" w14:textId="77777777" w:rsidR="009E0A9E" w:rsidRPr="00775AE5" w:rsidRDefault="009E0A9E" w:rsidP="00525437">
            <w:pPr>
              <w:spacing w:line="276" w:lineRule="auto"/>
              <w:jc w:val="center"/>
              <w:rPr>
                <w:rFonts w:ascii="Arial" w:hAnsi="Arial" w:cs="Arial"/>
                <w:b/>
                <w:bCs/>
                <w:sz w:val="22"/>
                <w:szCs w:val="22"/>
                <w:lang w:val="es-ES" w:eastAsia="es-EC"/>
              </w:rPr>
            </w:pPr>
            <w:r w:rsidRPr="00775AE5">
              <w:rPr>
                <w:rFonts w:ascii="Arial" w:hAnsi="Arial" w:cs="Arial"/>
                <w:b/>
                <w:bCs/>
                <w:sz w:val="22"/>
                <w:szCs w:val="22"/>
                <w:lang w:val="es-ES" w:eastAsia="es-EC"/>
              </w:rPr>
              <w:t>Hombres</w:t>
            </w:r>
          </w:p>
        </w:tc>
        <w:tc>
          <w:tcPr>
            <w:tcW w:w="1701" w:type="dxa"/>
            <w:hideMark/>
          </w:tcPr>
          <w:p w14:paraId="3217B3FC" w14:textId="77777777" w:rsidR="009E0A9E" w:rsidRPr="00775AE5" w:rsidRDefault="009E0A9E" w:rsidP="00525437">
            <w:pPr>
              <w:spacing w:line="276" w:lineRule="auto"/>
              <w:jc w:val="center"/>
              <w:rPr>
                <w:rFonts w:ascii="Arial" w:hAnsi="Arial" w:cs="Arial"/>
                <w:b/>
                <w:bCs/>
                <w:sz w:val="22"/>
                <w:szCs w:val="22"/>
                <w:lang w:val="es-ES" w:eastAsia="es-EC"/>
              </w:rPr>
            </w:pPr>
            <w:r w:rsidRPr="00775AE5">
              <w:rPr>
                <w:rFonts w:ascii="Arial" w:hAnsi="Arial" w:cs="Arial"/>
                <w:b/>
                <w:bCs/>
                <w:sz w:val="22"/>
                <w:szCs w:val="22"/>
                <w:lang w:val="es-ES" w:eastAsia="es-EC"/>
              </w:rPr>
              <w:t>(%) Hombres</w:t>
            </w:r>
          </w:p>
        </w:tc>
        <w:tc>
          <w:tcPr>
            <w:tcW w:w="1701" w:type="dxa"/>
            <w:noWrap/>
            <w:hideMark/>
          </w:tcPr>
          <w:p w14:paraId="52609879" w14:textId="77777777" w:rsidR="009E0A9E" w:rsidRPr="00775AE5" w:rsidRDefault="009E0A9E" w:rsidP="00525437">
            <w:pPr>
              <w:spacing w:line="276" w:lineRule="auto"/>
              <w:jc w:val="center"/>
              <w:rPr>
                <w:rFonts w:ascii="Arial" w:hAnsi="Arial" w:cs="Arial"/>
                <w:b/>
                <w:bCs/>
                <w:sz w:val="22"/>
                <w:szCs w:val="22"/>
                <w:lang w:val="es-ES" w:eastAsia="es-EC"/>
              </w:rPr>
            </w:pPr>
            <w:r w:rsidRPr="00775AE5">
              <w:rPr>
                <w:rFonts w:ascii="Arial" w:hAnsi="Arial" w:cs="Arial"/>
                <w:b/>
                <w:bCs/>
                <w:sz w:val="22"/>
                <w:szCs w:val="22"/>
                <w:lang w:val="es-ES" w:eastAsia="es-EC"/>
              </w:rPr>
              <w:t>Mujeres</w:t>
            </w:r>
          </w:p>
        </w:tc>
        <w:tc>
          <w:tcPr>
            <w:tcW w:w="1636" w:type="dxa"/>
            <w:hideMark/>
          </w:tcPr>
          <w:p w14:paraId="5EC63033" w14:textId="77777777" w:rsidR="009E0A9E" w:rsidRPr="00775AE5" w:rsidRDefault="009E0A9E" w:rsidP="00525437">
            <w:pPr>
              <w:spacing w:line="276" w:lineRule="auto"/>
              <w:jc w:val="center"/>
              <w:rPr>
                <w:rFonts w:ascii="Arial" w:hAnsi="Arial" w:cs="Arial"/>
                <w:b/>
                <w:bCs/>
                <w:sz w:val="22"/>
                <w:szCs w:val="22"/>
                <w:lang w:val="es-ES" w:eastAsia="es-EC"/>
              </w:rPr>
            </w:pPr>
            <w:r w:rsidRPr="00775AE5">
              <w:rPr>
                <w:rFonts w:ascii="Arial" w:hAnsi="Arial" w:cs="Arial"/>
                <w:b/>
                <w:bCs/>
                <w:sz w:val="22"/>
                <w:szCs w:val="22"/>
                <w:lang w:val="es-ES" w:eastAsia="es-EC"/>
              </w:rPr>
              <w:t>(%) Mujeres</w:t>
            </w:r>
          </w:p>
        </w:tc>
      </w:tr>
      <w:tr w:rsidR="009E0A9E" w:rsidRPr="00775AE5" w14:paraId="4FDEDA92" w14:textId="77777777" w:rsidTr="00525437">
        <w:trPr>
          <w:trHeight w:val="309"/>
        </w:trPr>
        <w:tc>
          <w:tcPr>
            <w:tcW w:w="2114" w:type="dxa"/>
            <w:noWrap/>
            <w:hideMark/>
          </w:tcPr>
          <w:p w14:paraId="07B0F94C" w14:textId="77777777" w:rsidR="009E0A9E" w:rsidRPr="00775AE5" w:rsidRDefault="009E0A9E" w:rsidP="00525437">
            <w:pPr>
              <w:spacing w:line="276" w:lineRule="auto"/>
              <w:jc w:val="center"/>
              <w:rPr>
                <w:rFonts w:ascii="Arial" w:hAnsi="Arial" w:cs="Arial"/>
                <w:b/>
                <w:bCs/>
                <w:color w:val="000000"/>
                <w:sz w:val="22"/>
                <w:szCs w:val="22"/>
                <w:lang w:val="es-ES" w:eastAsia="es-EC"/>
              </w:rPr>
            </w:pPr>
            <w:r w:rsidRPr="00775AE5">
              <w:rPr>
                <w:rFonts w:ascii="Arial" w:hAnsi="Arial" w:cs="Arial"/>
                <w:b/>
                <w:bCs/>
                <w:color w:val="000000"/>
                <w:sz w:val="22"/>
                <w:szCs w:val="22"/>
                <w:lang w:val="es-ES" w:eastAsia="es-EC"/>
              </w:rPr>
              <w:t>31.869</w:t>
            </w:r>
          </w:p>
        </w:tc>
        <w:tc>
          <w:tcPr>
            <w:tcW w:w="2177" w:type="dxa"/>
            <w:noWrap/>
            <w:hideMark/>
          </w:tcPr>
          <w:p w14:paraId="2B5894EE" w14:textId="77777777" w:rsidR="009E0A9E" w:rsidRPr="00775AE5" w:rsidRDefault="009E0A9E" w:rsidP="00525437">
            <w:pPr>
              <w:spacing w:line="276" w:lineRule="auto"/>
              <w:jc w:val="center"/>
              <w:rPr>
                <w:rFonts w:ascii="Arial" w:hAnsi="Arial" w:cs="Arial"/>
                <w:color w:val="000000"/>
                <w:sz w:val="22"/>
                <w:szCs w:val="22"/>
                <w:lang w:val="es-ES" w:eastAsia="es-EC"/>
              </w:rPr>
            </w:pPr>
            <w:r w:rsidRPr="00775AE5">
              <w:rPr>
                <w:rFonts w:ascii="Arial" w:hAnsi="Arial" w:cs="Arial"/>
                <w:color w:val="000000"/>
                <w:sz w:val="22"/>
                <w:szCs w:val="22"/>
                <w:lang w:val="es-ES" w:eastAsia="es-EC"/>
              </w:rPr>
              <w:t>30.073</w:t>
            </w:r>
          </w:p>
        </w:tc>
        <w:tc>
          <w:tcPr>
            <w:tcW w:w="1701" w:type="dxa"/>
            <w:hideMark/>
          </w:tcPr>
          <w:p w14:paraId="00562A68" w14:textId="77777777" w:rsidR="009E0A9E" w:rsidRPr="00775AE5" w:rsidRDefault="009E0A9E" w:rsidP="00525437">
            <w:pPr>
              <w:spacing w:line="276" w:lineRule="auto"/>
              <w:jc w:val="center"/>
              <w:rPr>
                <w:rFonts w:ascii="Arial" w:hAnsi="Arial" w:cs="Arial"/>
                <w:color w:val="000000"/>
                <w:sz w:val="22"/>
                <w:szCs w:val="22"/>
                <w:lang w:val="es-ES" w:eastAsia="es-EC"/>
              </w:rPr>
            </w:pPr>
            <w:r w:rsidRPr="00775AE5">
              <w:rPr>
                <w:rFonts w:ascii="Arial" w:hAnsi="Arial" w:cs="Arial"/>
                <w:color w:val="000000"/>
                <w:sz w:val="22"/>
                <w:szCs w:val="22"/>
                <w:lang w:val="es-ES" w:eastAsia="es-EC"/>
              </w:rPr>
              <w:t>94.36%</w:t>
            </w:r>
          </w:p>
        </w:tc>
        <w:tc>
          <w:tcPr>
            <w:tcW w:w="1701" w:type="dxa"/>
            <w:noWrap/>
            <w:hideMark/>
          </w:tcPr>
          <w:p w14:paraId="04A59740" w14:textId="77777777" w:rsidR="009E0A9E" w:rsidRPr="00775AE5" w:rsidRDefault="009E0A9E" w:rsidP="00525437">
            <w:pPr>
              <w:spacing w:line="276" w:lineRule="auto"/>
              <w:jc w:val="center"/>
              <w:rPr>
                <w:rFonts w:ascii="Arial" w:hAnsi="Arial" w:cs="Arial"/>
                <w:color w:val="000000"/>
                <w:sz w:val="22"/>
                <w:szCs w:val="22"/>
                <w:lang w:val="es-ES" w:eastAsia="es-EC"/>
              </w:rPr>
            </w:pPr>
            <w:r w:rsidRPr="00775AE5">
              <w:rPr>
                <w:rFonts w:ascii="Arial" w:hAnsi="Arial" w:cs="Arial"/>
                <w:color w:val="000000"/>
                <w:sz w:val="22"/>
                <w:szCs w:val="22"/>
                <w:lang w:val="es-ES" w:eastAsia="es-EC"/>
              </w:rPr>
              <w:t>1.795</w:t>
            </w:r>
          </w:p>
        </w:tc>
        <w:tc>
          <w:tcPr>
            <w:tcW w:w="1636" w:type="dxa"/>
            <w:hideMark/>
          </w:tcPr>
          <w:p w14:paraId="5FA81FF5" w14:textId="77777777" w:rsidR="009E0A9E" w:rsidRPr="00775AE5" w:rsidRDefault="009E0A9E" w:rsidP="00525437">
            <w:pPr>
              <w:spacing w:line="276" w:lineRule="auto"/>
              <w:jc w:val="center"/>
              <w:rPr>
                <w:rFonts w:ascii="Arial" w:hAnsi="Arial" w:cs="Arial"/>
                <w:color w:val="000000"/>
                <w:sz w:val="22"/>
                <w:szCs w:val="22"/>
                <w:lang w:val="es-ES" w:eastAsia="es-EC"/>
              </w:rPr>
            </w:pPr>
            <w:r w:rsidRPr="00775AE5">
              <w:rPr>
                <w:rFonts w:ascii="Arial" w:hAnsi="Arial" w:cs="Arial"/>
                <w:color w:val="000000"/>
                <w:sz w:val="22"/>
                <w:szCs w:val="22"/>
                <w:lang w:val="es-ES" w:eastAsia="es-EC"/>
              </w:rPr>
              <w:t>5.64%</w:t>
            </w:r>
          </w:p>
        </w:tc>
      </w:tr>
    </w:tbl>
    <w:p w14:paraId="3374018F" w14:textId="77777777" w:rsidR="009E0A9E" w:rsidRPr="00775AE5" w:rsidRDefault="009E0A9E" w:rsidP="009E0A9E">
      <w:pPr>
        <w:spacing w:line="276" w:lineRule="auto"/>
        <w:rPr>
          <w:rFonts w:ascii="Arial" w:eastAsia="Calibri" w:hAnsi="Arial" w:cs="Arial"/>
          <w:i/>
          <w:sz w:val="22"/>
          <w:szCs w:val="22"/>
          <w:lang w:val="es-EC"/>
        </w:rPr>
      </w:pPr>
      <w:r w:rsidRPr="00775AE5">
        <w:rPr>
          <w:rFonts w:ascii="Arial" w:eastAsia="DejaVu Sans" w:hAnsi="Arial" w:cs="Arial"/>
          <w:sz w:val="22"/>
          <w:szCs w:val="22"/>
          <w:lang w:val="es-VE" w:eastAsia="es-EC"/>
        </w:rPr>
        <w:t>Fuente: SNAI, Marzo 2024.Tomado de: https://www.atencionintegral.gob.ec/estadisticas/</w:t>
      </w:r>
    </w:p>
    <w:p w14:paraId="046CA1B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684D05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Se observa que la población femenina es representativamente menor que la masculina; sin embargo, este grupo además de los problemas comunes a todos los centros que conforman el SNRS</w:t>
      </w:r>
      <w:r w:rsidRPr="00775AE5">
        <w:rPr>
          <w:rFonts w:ascii="Arial" w:eastAsia="Calibri" w:hAnsi="Arial" w:cs="Arial"/>
          <w:color w:val="00000A"/>
          <w:kern w:val="1"/>
          <w:sz w:val="22"/>
          <w:szCs w:val="22"/>
          <w:vertAlign w:val="superscript"/>
          <w:lang w:val="es-VE" w:eastAsia="zh-CN"/>
        </w:rPr>
        <w:footnoteReference w:id="42"/>
      </w:r>
      <w:r w:rsidRPr="00775AE5">
        <w:rPr>
          <w:rFonts w:ascii="Arial" w:eastAsia="DejaVu Sans" w:hAnsi="Arial" w:cs="Arial"/>
          <w:sz w:val="22"/>
          <w:szCs w:val="22"/>
          <w:lang w:val="es-VE" w:eastAsia="es-EC"/>
        </w:rPr>
        <w:t>, poseen limitaciones específicas, que serán resumidas en el siguiente cuadro:</w:t>
      </w:r>
    </w:p>
    <w:p w14:paraId="403A1BF5"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04F6B3C" w14:textId="77777777" w:rsidR="009E0A9E" w:rsidRPr="00775AE5" w:rsidRDefault="009E0A9E" w:rsidP="009E0A9E">
      <w:pPr>
        <w:spacing w:line="276" w:lineRule="auto"/>
        <w:rPr>
          <w:rFonts w:ascii="Arial" w:eastAsia="Calibri" w:hAnsi="Arial" w:cs="Arial"/>
          <w:sz w:val="22"/>
          <w:szCs w:val="22"/>
          <w:lang w:val="es-ES"/>
        </w:rPr>
      </w:pPr>
      <w:r w:rsidRPr="00775AE5">
        <w:rPr>
          <w:rFonts w:ascii="Arial" w:eastAsia="Calibri" w:hAnsi="Arial" w:cs="Arial"/>
          <w:sz w:val="22"/>
          <w:szCs w:val="22"/>
          <w:lang w:val="es-ES"/>
        </w:rPr>
        <w:t>Tabla 10</w:t>
      </w:r>
    </w:p>
    <w:p w14:paraId="51D19F7B" w14:textId="77777777" w:rsidR="009E0A9E" w:rsidRPr="00775AE5" w:rsidRDefault="009E0A9E" w:rsidP="009E0A9E">
      <w:pPr>
        <w:spacing w:line="276" w:lineRule="auto"/>
        <w:rPr>
          <w:rFonts w:ascii="Arial" w:eastAsia="Calibri" w:hAnsi="Arial" w:cs="Arial"/>
          <w:i/>
          <w:sz w:val="22"/>
          <w:szCs w:val="22"/>
          <w:lang w:val="es-ES" w:eastAsia="zh-CN"/>
        </w:rPr>
      </w:pPr>
      <w:r w:rsidRPr="00775AE5">
        <w:rPr>
          <w:rFonts w:ascii="Arial" w:eastAsia="Calibri" w:hAnsi="Arial" w:cs="Arial"/>
          <w:i/>
          <w:sz w:val="22"/>
          <w:szCs w:val="22"/>
          <w:lang w:val="es-ES" w:eastAsia="zh-CN"/>
        </w:rPr>
        <w:t>Resumen de problemáticas para las mujeres privadas de libertad</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6945"/>
      </w:tblGrid>
      <w:tr w:rsidR="009E0A9E" w:rsidRPr="00775AE5" w14:paraId="77315620" w14:textId="77777777" w:rsidTr="00525437">
        <w:tc>
          <w:tcPr>
            <w:tcW w:w="2235" w:type="dxa"/>
            <w:shd w:val="clear" w:color="auto" w:fill="auto"/>
            <w:vAlign w:val="center"/>
          </w:tcPr>
          <w:p w14:paraId="71E024D8" w14:textId="77777777" w:rsidR="009E0A9E" w:rsidRPr="00775AE5" w:rsidRDefault="009E0A9E" w:rsidP="00525437">
            <w:pPr>
              <w:spacing w:line="276" w:lineRule="auto"/>
              <w:jc w:val="center"/>
              <w:rPr>
                <w:rFonts w:ascii="Arial" w:eastAsia="Calibri" w:hAnsi="Arial" w:cs="Arial"/>
                <w:b/>
                <w:color w:val="FFFFFF"/>
                <w:sz w:val="22"/>
                <w:szCs w:val="22"/>
                <w:lang w:val="es-ES"/>
              </w:rPr>
            </w:pPr>
            <w:r w:rsidRPr="00775AE5">
              <w:rPr>
                <w:rFonts w:ascii="Arial" w:eastAsia="Calibri" w:hAnsi="Arial" w:cs="Arial"/>
                <w:b/>
                <w:color w:val="FFFFFF"/>
                <w:sz w:val="22"/>
                <w:szCs w:val="22"/>
                <w:lang w:val="es-ES"/>
              </w:rPr>
              <w:t>Temática</w:t>
            </w:r>
          </w:p>
        </w:tc>
        <w:tc>
          <w:tcPr>
            <w:tcW w:w="6945" w:type="dxa"/>
            <w:shd w:val="clear" w:color="auto" w:fill="auto"/>
            <w:vAlign w:val="center"/>
          </w:tcPr>
          <w:p w14:paraId="3EF279A4" w14:textId="77777777" w:rsidR="009E0A9E" w:rsidRPr="00775AE5" w:rsidRDefault="009E0A9E" w:rsidP="00525437">
            <w:pPr>
              <w:spacing w:line="276" w:lineRule="auto"/>
              <w:jc w:val="center"/>
              <w:rPr>
                <w:rFonts w:ascii="Arial" w:eastAsia="Calibri" w:hAnsi="Arial" w:cs="Arial"/>
                <w:b/>
                <w:color w:val="000000"/>
                <w:sz w:val="22"/>
                <w:szCs w:val="22"/>
                <w:lang w:val="es-ES"/>
              </w:rPr>
            </w:pPr>
            <w:r w:rsidRPr="00775AE5">
              <w:rPr>
                <w:rFonts w:ascii="Arial" w:eastAsia="Calibri" w:hAnsi="Arial" w:cs="Arial"/>
                <w:b/>
                <w:color w:val="000000"/>
                <w:sz w:val="22"/>
                <w:szCs w:val="22"/>
                <w:lang w:val="es-ES"/>
              </w:rPr>
              <w:t>Problemática</w:t>
            </w:r>
          </w:p>
        </w:tc>
      </w:tr>
      <w:tr w:rsidR="009E0A9E" w:rsidRPr="00775AE5" w14:paraId="2F2A69D0" w14:textId="77777777" w:rsidTr="00525437">
        <w:tc>
          <w:tcPr>
            <w:tcW w:w="2235" w:type="dxa"/>
            <w:shd w:val="clear" w:color="auto" w:fill="auto"/>
          </w:tcPr>
          <w:p w14:paraId="3AC209C1" w14:textId="77777777" w:rsidR="009E0A9E" w:rsidRPr="00775AE5" w:rsidRDefault="009E0A9E" w:rsidP="00525437">
            <w:pPr>
              <w:spacing w:line="276" w:lineRule="auto"/>
              <w:jc w:val="center"/>
              <w:rPr>
                <w:rFonts w:ascii="Arial" w:eastAsia="Calibri" w:hAnsi="Arial" w:cs="Arial"/>
                <w:sz w:val="22"/>
                <w:szCs w:val="22"/>
                <w:lang w:val="es-ES"/>
              </w:rPr>
            </w:pPr>
          </w:p>
          <w:p w14:paraId="40FCFBF8" w14:textId="77777777" w:rsidR="009E0A9E" w:rsidRPr="00775AE5" w:rsidRDefault="009E0A9E" w:rsidP="00525437">
            <w:pPr>
              <w:spacing w:line="276" w:lineRule="auto"/>
              <w:jc w:val="center"/>
              <w:rPr>
                <w:rFonts w:ascii="Arial" w:eastAsia="Calibri" w:hAnsi="Arial" w:cs="Arial"/>
                <w:sz w:val="22"/>
                <w:szCs w:val="22"/>
                <w:lang w:val="es-ES"/>
              </w:rPr>
            </w:pPr>
            <w:r w:rsidRPr="00775AE5">
              <w:rPr>
                <w:rFonts w:ascii="Arial" w:eastAsia="Calibri" w:hAnsi="Arial" w:cs="Arial"/>
                <w:sz w:val="22"/>
                <w:szCs w:val="22"/>
                <w:lang w:val="es-ES"/>
              </w:rPr>
              <w:t>Infraestructura</w:t>
            </w:r>
          </w:p>
        </w:tc>
        <w:tc>
          <w:tcPr>
            <w:tcW w:w="6945" w:type="dxa"/>
            <w:shd w:val="clear" w:color="auto" w:fill="auto"/>
          </w:tcPr>
          <w:p w14:paraId="445B1E2D" w14:textId="77777777" w:rsidR="009E0A9E" w:rsidRPr="00775AE5" w:rsidRDefault="009E0A9E" w:rsidP="00525437">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En los CPL mixtos, dado que la población femenina es proporcionalmente inferior que la masculina, cuentan con menos espacios o no cuentan con espacios específicos; principalmente en lo que refiere a talleres, espacios educativos u otros espacios comunes</w:t>
            </w:r>
          </w:p>
          <w:p w14:paraId="76A19051" w14:textId="1381B958" w:rsidR="009E0A9E" w:rsidRPr="00775AE5" w:rsidRDefault="009E0A9E" w:rsidP="00525437">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No existe infraestructura adaptada, ni espacios adecuados – incluyendo áreas infantiles- (o los existentes se encuentran deteriorados</w:t>
            </w:r>
            <w:r w:rsidR="00434BA9" w:rsidRPr="00775AE5">
              <w:rPr>
                <w:rFonts w:ascii="Arial" w:eastAsia="Calibri" w:hAnsi="Arial" w:cs="Arial"/>
                <w:sz w:val="22"/>
                <w:szCs w:val="22"/>
                <w:lang w:val="es-ES"/>
              </w:rPr>
              <w:t>), para</w:t>
            </w:r>
            <w:r w:rsidRPr="00775AE5">
              <w:rPr>
                <w:rFonts w:ascii="Arial" w:eastAsia="Calibri" w:hAnsi="Arial" w:cs="Arial"/>
                <w:sz w:val="22"/>
                <w:szCs w:val="22"/>
                <w:lang w:val="es-ES"/>
              </w:rPr>
              <w:t xml:space="preserve"> los niños/as que habitan los CPL junto a sus madres PPL.</w:t>
            </w:r>
          </w:p>
        </w:tc>
      </w:tr>
      <w:tr w:rsidR="009E0A9E" w:rsidRPr="00775AE5" w14:paraId="2ED446CD" w14:textId="77777777" w:rsidTr="00525437">
        <w:tc>
          <w:tcPr>
            <w:tcW w:w="2235" w:type="dxa"/>
            <w:shd w:val="clear" w:color="auto" w:fill="auto"/>
          </w:tcPr>
          <w:p w14:paraId="092A2A1B" w14:textId="77777777" w:rsidR="009E0A9E" w:rsidRPr="00775AE5" w:rsidRDefault="009E0A9E" w:rsidP="00525437">
            <w:pPr>
              <w:spacing w:line="276" w:lineRule="auto"/>
              <w:jc w:val="center"/>
              <w:rPr>
                <w:rFonts w:ascii="Arial" w:eastAsia="Calibri" w:hAnsi="Arial" w:cs="Arial"/>
                <w:sz w:val="22"/>
                <w:szCs w:val="22"/>
                <w:lang w:val="es-ES"/>
              </w:rPr>
            </w:pPr>
          </w:p>
          <w:p w14:paraId="319E039C" w14:textId="77777777" w:rsidR="009E0A9E" w:rsidRPr="00775AE5" w:rsidRDefault="009E0A9E" w:rsidP="00525437">
            <w:pPr>
              <w:spacing w:line="276" w:lineRule="auto"/>
              <w:jc w:val="center"/>
              <w:rPr>
                <w:rFonts w:ascii="Arial" w:eastAsia="Calibri" w:hAnsi="Arial" w:cs="Arial"/>
                <w:sz w:val="22"/>
                <w:szCs w:val="22"/>
                <w:lang w:val="es-ES"/>
              </w:rPr>
            </w:pPr>
            <w:r w:rsidRPr="00775AE5">
              <w:rPr>
                <w:rFonts w:ascii="Arial" w:eastAsia="Calibri" w:hAnsi="Arial" w:cs="Arial"/>
                <w:sz w:val="22"/>
                <w:szCs w:val="22"/>
                <w:lang w:val="es-ES"/>
              </w:rPr>
              <w:t>Condiciones materiales</w:t>
            </w:r>
          </w:p>
        </w:tc>
        <w:tc>
          <w:tcPr>
            <w:tcW w:w="6945" w:type="dxa"/>
            <w:shd w:val="clear" w:color="auto" w:fill="auto"/>
          </w:tcPr>
          <w:p w14:paraId="15FD3B2F" w14:textId="77777777" w:rsidR="009E0A9E" w:rsidRPr="00775AE5" w:rsidRDefault="009E0A9E" w:rsidP="00525437">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No existe alimentación diferenciada para mujeres gestantes, puérperas y lactantes. Tampoco existen raciones alimenticias adicionales para los hijos/as de las PPL que se encuentran al interior de los CPL.</w:t>
            </w:r>
          </w:p>
        </w:tc>
      </w:tr>
      <w:tr w:rsidR="009E0A9E" w:rsidRPr="00775AE5" w14:paraId="1AB1C004" w14:textId="77777777" w:rsidTr="00525437">
        <w:trPr>
          <w:trHeight w:val="542"/>
        </w:trPr>
        <w:tc>
          <w:tcPr>
            <w:tcW w:w="2235" w:type="dxa"/>
            <w:shd w:val="clear" w:color="auto" w:fill="auto"/>
          </w:tcPr>
          <w:p w14:paraId="20AD0050" w14:textId="77777777" w:rsidR="009E0A9E" w:rsidRPr="00775AE5" w:rsidRDefault="009E0A9E" w:rsidP="00525437">
            <w:pPr>
              <w:spacing w:line="276" w:lineRule="auto"/>
              <w:jc w:val="center"/>
              <w:rPr>
                <w:rFonts w:ascii="Arial" w:eastAsia="Calibri" w:hAnsi="Arial" w:cs="Arial"/>
                <w:sz w:val="22"/>
                <w:szCs w:val="22"/>
                <w:lang w:val="es-ES"/>
              </w:rPr>
            </w:pPr>
          </w:p>
          <w:p w14:paraId="27F1CEBC" w14:textId="77777777" w:rsidR="009E0A9E" w:rsidRPr="00775AE5" w:rsidRDefault="009E0A9E" w:rsidP="00525437">
            <w:pPr>
              <w:spacing w:line="276" w:lineRule="auto"/>
              <w:jc w:val="center"/>
              <w:rPr>
                <w:rFonts w:ascii="Arial" w:eastAsia="Calibri" w:hAnsi="Arial" w:cs="Arial"/>
                <w:sz w:val="22"/>
                <w:szCs w:val="22"/>
                <w:lang w:val="es-ES"/>
              </w:rPr>
            </w:pPr>
            <w:r w:rsidRPr="00775AE5">
              <w:rPr>
                <w:rFonts w:ascii="Arial" w:eastAsia="Calibri" w:hAnsi="Arial" w:cs="Arial"/>
                <w:sz w:val="22"/>
                <w:szCs w:val="22"/>
                <w:lang w:val="es-ES"/>
              </w:rPr>
              <w:t>Régimen de actividades</w:t>
            </w:r>
          </w:p>
        </w:tc>
        <w:tc>
          <w:tcPr>
            <w:tcW w:w="6945" w:type="dxa"/>
            <w:shd w:val="clear" w:color="auto" w:fill="auto"/>
          </w:tcPr>
          <w:p w14:paraId="0294DBB1" w14:textId="77777777" w:rsidR="009E0A9E" w:rsidRPr="00775AE5" w:rsidRDefault="009E0A9E" w:rsidP="00525437">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 xml:space="preserve">Oferta de actividades que refuerzan roles de género (costura, belleza, limpieza, etc.). Y menor o nula oferta de actividades en CPL mixtos. </w:t>
            </w:r>
          </w:p>
          <w:p w14:paraId="23BCBD2A" w14:textId="77777777" w:rsidR="009E0A9E" w:rsidRPr="00775AE5" w:rsidRDefault="009E0A9E" w:rsidP="00525437">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 xml:space="preserve">No se cuenta con servicios de cuidado para niños/as con el fin de que las madres puedan asistir a actividades laborales, educativas, etc. </w:t>
            </w:r>
          </w:p>
        </w:tc>
      </w:tr>
      <w:tr w:rsidR="009E0A9E" w:rsidRPr="00775AE5" w14:paraId="70FF3E54" w14:textId="77777777" w:rsidTr="00525437">
        <w:tc>
          <w:tcPr>
            <w:tcW w:w="2235" w:type="dxa"/>
            <w:shd w:val="clear" w:color="auto" w:fill="auto"/>
          </w:tcPr>
          <w:p w14:paraId="30201612" w14:textId="77777777" w:rsidR="009E0A9E" w:rsidRPr="00775AE5" w:rsidRDefault="009E0A9E" w:rsidP="00525437">
            <w:pPr>
              <w:spacing w:line="276" w:lineRule="auto"/>
              <w:jc w:val="center"/>
              <w:rPr>
                <w:rFonts w:ascii="Arial" w:eastAsia="Calibri" w:hAnsi="Arial" w:cs="Arial"/>
                <w:sz w:val="22"/>
                <w:szCs w:val="22"/>
                <w:lang w:val="es-ES"/>
              </w:rPr>
            </w:pPr>
          </w:p>
          <w:p w14:paraId="59FB885B" w14:textId="77777777" w:rsidR="009E0A9E" w:rsidRPr="00775AE5" w:rsidRDefault="009E0A9E" w:rsidP="00525437">
            <w:pPr>
              <w:spacing w:line="276" w:lineRule="auto"/>
              <w:rPr>
                <w:rFonts w:ascii="Arial" w:eastAsia="Calibri" w:hAnsi="Arial" w:cs="Arial"/>
                <w:sz w:val="22"/>
                <w:szCs w:val="22"/>
                <w:lang w:val="es-ES"/>
              </w:rPr>
            </w:pPr>
          </w:p>
          <w:p w14:paraId="21AAE067" w14:textId="77777777" w:rsidR="009E0A9E" w:rsidRPr="00775AE5" w:rsidRDefault="009E0A9E" w:rsidP="00525437">
            <w:pPr>
              <w:spacing w:line="276" w:lineRule="auto"/>
              <w:jc w:val="center"/>
              <w:rPr>
                <w:rFonts w:ascii="Arial" w:eastAsia="Calibri" w:hAnsi="Arial" w:cs="Arial"/>
                <w:sz w:val="22"/>
                <w:szCs w:val="22"/>
                <w:lang w:val="es-ES"/>
              </w:rPr>
            </w:pPr>
            <w:r w:rsidRPr="00775AE5">
              <w:rPr>
                <w:rFonts w:ascii="Arial" w:eastAsia="Calibri" w:hAnsi="Arial" w:cs="Arial"/>
                <w:sz w:val="22"/>
                <w:szCs w:val="22"/>
                <w:lang w:val="es-ES"/>
              </w:rPr>
              <w:t>Vinculación Familiar</w:t>
            </w:r>
          </w:p>
        </w:tc>
        <w:tc>
          <w:tcPr>
            <w:tcW w:w="6945" w:type="dxa"/>
            <w:shd w:val="clear" w:color="auto" w:fill="auto"/>
          </w:tcPr>
          <w:p w14:paraId="336FA4FD" w14:textId="77777777" w:rsidR="009E0A9E" w:rsidRPr="00775AE5" w:rsidRDefault="009E0A9E" w:rsidP="00525437">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 xml:space="preserve">Dado que no existen CPL mixtos o femeninos en todas las provincias, las mujeres deben cumplir sus medidas en centros que no coinciden con su lugar de residencia, lo que dificulta la realización de derecho a la vinculación familiar y social. </w:t>
            </w:r>
          </w:p>
          <w:p w14:paraId="5D194205" w14:textId="77777777" w:rsidR="009E0A9E" w:rsidRPr="00775AE5" w:rsidRDefault="009E0A9E" w:rsidP="00525437">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 xml:space="preserve">No se cuenta con servicios de cuidado para niños/as con el fin de que las madres puedan acceder a las visitas íntimas. </w:t>
            </w:r>
          </w:p>
          <w:p w14:paraId="2D0697EE" w14:textId="77777777" w:rsidR="009E0A9E" w:rsidRPr="00775AE5" w:rsidRDefault="009E0A9E" w:rsidP="00525437">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Falta de seguimiento a los hijos/as que salen de los CPL por procesos de acogimiento familiar o institucional.</w:t>
            </w:r>
          </w:p>
        </w:tc>
      </w:tr>
      <w:tr w:rsidR="009E0A9E" w:rsidRPr="00775AE5" w14:paraId="025514FD" w14:textId="77777777" w:rsidTr="00525437">
        <w:tc>
          <w:tcPr>
            <w:tcW w:w="2235" w:type="dxa"/>
            <w:shd w:val="clear" w:color="auto" w:fill="auto"/>
          </w:tcPr>
          <w:p w14:paraId="0B07178D" w14:textId="77777777" w:rsidR="009E0A9E" w:rsidRPr="00775AE5" w:rsidRDefault="009E0A9E" w:rsidP="00525437">
            <w:pPr>
              <w:spacing w:line="276" w:lineRule="auto"/>
              <w:jc w:val="center"/>
              <w:rPr>
                <w:rFonts w:ascii="Arial" w:eastAsia="Calibri" w:hAnsi="Arial" w:cs="Arial"/>
                <w:sz w:val="22"/>
                <w:szCs w:val="22"/>
                <w:lang w:val="es-ES"/>
              </w:rPr>
            </w:pPr>
          </w:p>
          <w:p w14:paraId="2A1F3997" w14:textId="77777777" w:rsidR="009E0A9E" w:rsidRPr="00775AE5" w:rsidRDefault="009E0A9E" w:rsidP="00525437">
            <w:pPr>
              <w:spacing w:line="276" w:lineRule="auto"/>
              <w:jc w:val="center"/>
              <w:rPr>
                <w:rFonts w:ascii="Arial" w:eastAsia="Calibri" w:hAnsi="Arial" w:cs="Arial"/>
                <w:sz w:val="22"/>
                <w:szCs w:val="22"/>
                <w:lang w:val="es-ES"/>
              </w:rPr>
            </w:pPr>
          </w:p>
          <w:p w14:paraId="0AF126A2" w14:textId="77777777" w:rsidR="009E0A9E" w:rsidRPr="00775AE5" w:rsidRDefault="009E0A9E" w:rsidP="00525437">
            <w:pPr>
              <w:spacing w:line="276" w:lineRule="auto"/>
              <w:jc w:val="center"/>
              <w:rPr>
                <w:rFonts w:ascii="Arial" w:eastAsia="Calibri" w:hAnsi="Arial" w:cs="Arial"/>
                <w:sz w:val="22"/>
                <w:szCs w:val="22"/>
                <w:lang w:val="es-ES"/>
              </w:rPr>
            </w:pPr>
          </w:p>
          <w:p w14:paraId="6063C0FC" w14:textId="77777777" w:rsidR="009E0A9E" w:rsidRPr="00775AE5" w:rsidRDefault="009E0A9E" w:rsidP="00525437">
            <w:pPr>
              <w:spacing w:line="276" w:lineRule="auto"/>
              <w:jc w:val="center"/>
              <w:rPr>
                <w:rFonts w:ascii="Arial" w:eastAsia="Calibri" w:hAnsi="Arial" w:cs="Arial"/>
                <w:sz w:val="22"/>
                <w:szCs w:val="22"/>
                <w:lang w:val="es-ES"/>
              </w:rPr>
            </w:pPr>
            <w:r w:rsidRPr="00775AE5">
              <w:rPr>
                <w:rFonts w:ascii="Arial" w:eastAsia="Calibri" w:hAnsi="Arial" w:cs="Arial"/>
                <w:sz w:val="22"/>
                <w:szCs w:val="22"/>
                <w:lang w:val="es-ES"/>
              </w:rPr>
              <w:t>Salud</w:t>
            </w:r>
          </w:p>
        </w:tc>
        <w:tc>
          <w:tcPr>
            <w:tcW w:w="6945" w:type="dxa"/>
            <w:shd w:val="clear" w:color="auto" w:fill="auto"/>
          </w:tcPr>
          <w:p w14:paraId="6DEF5CDC" w14:textId="77777777" w:rsidR="009E0A9E" w:rsidRPr="00775AE5" w:rsidRDefault="009E0A9E" w:rsidP="00525437">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 xml:space="preserve">Ginecólogos, obstetras y pediatras no son parte del personal básico de salud de los CPL. </w:t>
            </w:r>
          </w:p>
          <w:p w14:paraId="12CA518C" w14:textId="77777777" w:rsidR="009E0A9E" w:rsidRPr="00775AE5" w:rsidRDefault="009E0A9E" w:rsidP="00525437">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No existe oferta variada de métodos anticonceptivos, ni un programa de planificación familiar para las PPL, así como salud preventiva (que incluya exámenes especializados) en patologías que son más comunes en mujeres como cáncer de mama.</w:t>
            </w:r>
          </w:p>
          <w:p w14:paraId="76A71171" w14:textId="77777777" w:rsidR="009E0A9E" w:rsidRPr="00775AE5" w:rsidRDefault="009E0A9E" w:rsidP="00525437">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Falta de tratamientos hormonales para mujeres trans.</w:t>
            </w:r>
          </w:p>
        </w:tc>
      </w:tr>
      <w:tr w:rsidR="009E0A9E" w:rsidRPr="00775AE5" w14:paraId="19082A6E" w14:textId="77777777" w:rsidTr="00525437">
        <w:tc>
          <w:tcPr>
            <w:tcW w:w="2235" w:type="dxa"/>
            <w:shd w:val="clear" w:color="auto" w:fill="auto"/>
          </w:tcPr>
          <w:p w14:paraId="1512E7FC" w14:textId="77777777" w:rsidR="009E0A9E" w:rsidRPr="00775AE5" w:rsidRDefault="009E0A9E" w:rsidP="00525437">
            <w:pPr>
              <w:spacing w:line="276" w:lineRule="auto"/>
              <w:jc w:val="center"/>
              <w:rPr>
                <w:rFonts w:ascii="Arial" w:eastAsia="Calibri" w:hAnsi="Arial" w:cs="Arial"/>
                <w:sz w:val="22"/>
                <w:szCs w:val="22"/>
                <w:lang w:val="es-ES"/>
              </w:rPr>
            </w:pPr>
          </w:p>
          <w:p w14:paraId="115A5943" w14:textId="77777777" w:rsidR="009E0A9E" w:rsidRPr="00775AE5" w:rsidRDefault="009E0A9E" w:rsidP="00525437">
            <w:pPr>
              <w:spacing w:line="276" w:lineRule="auto"/>
              <w:jc w:val="center"/>
              <w:rPr>
                <w:rFonts w:ascii="Arial" w:eastAsia="Calibri" w:hAnsi="Arial" w:cs="Arial"/>
                <w:sz w:val="22"/>
                <w:szCs w:val="22"/>
                <w:lang w:val="es-ES"/>
              </w:rPr>
            </w:pPr>
            <w:r w:rsidRPr="00775AE5">
              <w:rPr>
                <w:rFonts w:ascii="Arial" w:eastAsia="Calibri" w:hAnsi="Arial" w:cs="Arial"/>
                <w:sz w:val="22"/>
                <w:szCs w:val="22"/>
                <w:lang w:val="es-ES"/>
              </w:rPr>
              <w:t>Medidas de protección</w:t>
            </w:r>
          </w:p>
        </w:tc>
        <w:tc>
          <w:tcPr>
            <w:tcW w:w="6945" w:type="dxa"/>
            <w:shd w:val="clear" w:color="auto" w:fill="auto"/>
          </w:tcPr>
          <w:p w14:paraId="521F17FC" w14:textId="77777777" w:rsidR="009E0A9E" w:rsidRPr="00775AE5" w:rsidRDefault="009E0A9E" w:rsidP="00525437">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 xml:space="preserve">Escaso personal judicial con conocimiento en temas de género, que dificulta el acceso y atención de casos como solicitudes de traslado por vinculación familiar, juicios de alimentos o de reconocimiento de paternidad, etc. </w:t>
            </w:r>
          </w:p>
          <w:p w14:paraId="0DE804AD" w14:textId="77777777" w:rsidR="009E0A9E" w:rsidRPr="00775AE5" w:rsidRDefault="009E0A9E" w:rsidP="00525437">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*Esto aplica a todos los funcionarios encargados de los centros femeninos.</w:t>
            </w:r>
          </w:p>
        </w:tc>
      </w:tr>
      <w:tr w:rsidR="009E0A9E" w:rsidRPr="00775AE5" w14:paraId="59729966" w14:textId="77777777" w:rsidTr="00525437">
        <w:tc>
          <w:tcPr>
            <w:tcW w:w="2235" w:type="dxa"/>
            <w:shd w:val="clear" w:color="auto" w:fill="auto"/>
          </w:tcPr>
          <w:p w14:paraId="69507FAC" w14:textId="77777777" w:rsidR="009E0A9E" w:rsidRPr="00775AE5" w:rsidRDefault="009E0A9E" w:rsidP="00525437">
            <w:pPr>
              <w:spacing w:line="276" w:lineRule="auto"/>
              <w:jc w:val="center"/>
              <w:rPr>
                <w:rFonts w:ascii="Arial" w:eastAsia="Calibri" w:hAnsi="Arial" w:cs="Arial"/>
                <w:sz w:val="22"/>
                <w:szCs w:val="22"/>
                <w:lang w:val="es-ES"/>
              </w:rPr>
            </w:pPr>
          </w:p>
          <w:p w14:paraId="503ECEC9" w14:textId="77777777" w:rsidR="009E0A9E" w:rsidRPr="00775AE5" w:rsidRDefault="009E0A9E" w:rsidP="00525437">
            <w:pPr>
              <w:spacing w:line="276" w:lineRule="auto"/>
              <w:jc w:val="center"/>
              <w:rPr>
                <w:rFonts w:ascii="Arial" w:eastAsia="Calibri" w:hAnsi="Arial" w:cs="Arial"/>
                <w:sz w:val="22"/>
                <w:szCs w:val="22"/>
                <w:lang w:val="es-ES"/>
              </w:rPr>
            </w:pPr>
          </w:p>
          <w:p w14:paraId="148FE50A" w14:textId="77777777" w:rsidR="009E0A9E" w:rsidRPr="00775AE5" w:rsidRDefault="009E0A9E" w:rsidP="00525437">
            <w:pPr>
              <w:spacing w:line="276" w:lineRule="auto"/>
              <w:jc w:val="center"/>
              <w:rPr>
                <w:rFonts w:ascii="Arial" w:eastAsia="Calibri" w:hAnsi="Arial" w:cs="Arial"/>
                <w:sz w:val="22"/>
                <w:szCs w:val="22"/>
                <w:lang w:val="es-ES"/>
              </w:rPr>
            </w:pPr>
          </w:p>
          <w:p w14:paraId="6F527950" w14:textId="77777777" w:rsidR="009E0A9E" w:rsidRPr="00775AE5" w:rsidRDefault="009E0A9E" w:rsidP="00525437">
            <w:pPr>
              <w:spacing w:line="276" w:lineRule="auto"/>
              <w:jc w:val="center"/>
              <w:rPr>
                <w:rFonts w:ascii="Arial" w:eastAsia="Calibri" w:hAnsi="Arial" w:cs="Arial"/>
                <w:sz w:val="22"/>
                <w:szCs w:val="22"/>
                <w:lang w:val="es-ES"/>
              </w:rPr>
            </w:pPr>
            <w:r w:rsidRPr="00775AE5">
              <w:rPr>
                <w:rFonts w:ascii="Arial" w:eastAsia="Calibri" w:hAnsi="Arial" w:cs="Arial"/>
                <w:sz w:val="22"/>
                <w:szCs w:val="22"/>
                <w:lang w:val="es-ES"/>
              </w:rPr>
              <w:t>Trato</w:t>
            </w:r>
          </w:p>
        </w:tc>
        <w:tc>
          <w:tcPr>
            <w:tcW w:w="6945" w:type="dxa"/>
            <w:shd w:val="clear" w:color="auto" w:fill="auto"/>
          </w:tcPr>
          <w:p w14:paraId="4A04D33F" w14:textId="72B029C0" w:rsidR="009E0A9E" w:rsidRPr="00775AE5" w:rsidRDefault="009E0A9E" w:rsidP="00525437">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 xml:space="preserve">Revisiones invasivas (incluye familiares mujeres de las PPL), incluso durante los operativos de seguridad –requisas-. Principalmente después de que las PPL retornan a los CPL tras citas médicas en el exterior o audiencias; y en procedimientos de seguridad interna, donde se les realiza revisiones con despojo de sus prendas de vestir y en algunos casos la manipulación de sus cavidades </w:t>
            </w:r>
            <w:proofErr w:type="spellStart"/>
            <w:r w:rsidRPr="00775AE5">
              <w:rPr>
                <w:rFonts w:ascii="Arial" w:eastAsia="Calibri" w:hAnsi="Arial" w:cs="Arial"/>
                <w:sz w:val="22"/>
                <w:szCs w:val="22"/>
                <w:lang w:val="es-ES"/>
              </w:rPr>
              <w:t>genito</w:t>
            </w:r>
            <w:proofErr w:type="spellEnd"/>
            <w:r w:rsidR="00434BA9">
              <w:rPr>
                <w:rFonts w:ascii="Arial" w:eastAsia="Calibri" w:hAnsi="Arial" w:cs="Arial"/>
                <w:sz w:val="22"/>
                <w:szCs w:val="22"/>
                <w:lang w:val="es-ES"/>
              </w:rPr>
              <w:t>-</w:t>
            </w:r>
            <w:r w:rsidRPr="00775AE5">
              <w:rPr>
                <w:rFonts w:ascii="Arial" w:eastAsia="Calibri" w:hAnsi="Arial" w:cs="Arial"/>
                <w:sz w:val="22"/>
                <w:szCs w:val="22"/>
                <w:lang w:val="es-ES"/>
              </w:rPr>
              <w:t xml:space="preserve">anales, por parte de personal no capacitado (principalmente Policía Nacional y Agentes de Seguridad Penitencia). </w:t>
            </w:r>
          </w:p>
          <w:p w14:paraId="3628E1FE" w14:textId="77777777" w:rsidR="009E0A9E" w:rsidRPr="00775AE5" w:rsidRDefault="009E0A9E" w:rsidP="00525437">
            <w:p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 xml:space="preserve">Adicionalmente al hacinamiento generalizados de los centros, no se contabiliza la a los hijos e hijas de las PPL que habitan en los centros, para dar una real dimensión de la ocupación del espacio y condiciones de alojamiento de los centros. </w:t>
            </w:r>
          </w:p>
        </w:tc>
      </w:tr>
    </w:tbl>
    <w:p w14:paraId="1C73CCE0" w14:textId="77777777" w:rsidR="009E0A9E" w:rsidRPr="00775AE5" w:rsidRDefault="009E0A9E" w:rsidP="009E0A9E">
      <w:pPr>
        <w:spacing w:line="276" w:lineRule="auto"/>
        <w:jc w:val="both"/>
        <w:rPr>
          <w:rFonts w:ascii="Arial" w:eastAsia="Calibri" w:hAnsi="Arial" w:cs="Arial"/>
          <w:sz w:val="22"/>
          <w:szCs w:val="22"/>
          <w:lang w:val="es-ES"/>
        </w:rPr>
      </w:pPr>
      <w:r w:rsidRPr="00775AE5">
        <w:rPr>
          <w:rFonts w:ascii="Arial" w:eastAsia="Calibri" w:hAnsi="Arial" w:cs="Arial"/>
          <w:i/>
          <w:sz w:val="22"/>
          <w:szCs w:val="22"/>
          <w:lang w:val="es-ES"/>
        </w:rPr>
        <w:t>Nota:</w:t>
      </w:r>
      <w:r w:rsidRPr="00775AE5">
        <w:rPr>
          <w:rFonts w:ascii="Arial" w:eastAsia="Calibri" w:hAnsi="Arial" w:cs="Arial"/>
          <w:sz w:val="22"/>
          <w:szCs w:val="22"/>
          <w:lang w:val="es-ES"/>
        </w:rPr>
        <w:t xml:space="preserve"> Tomado de los informes MNPT 2013-2023. </w:t>
      </w:r>
    </w:p>
    <w:p w14:paraId="218779A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552D20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A las problemáticas antes expuestas se suman dos que han sido más frecuentes en la población femenina que en la masculina de los centros visitados: las relaciones afectivas entre PPL mujeres y funcionarios públicos (especialmente con ASP); y, la falta de normativa y protocolos específicos para grupos con orientaciones sexo genéricas diversas, empezando por el tema de la ubicación de mujeres transgénero y transexuales en los centros. </w:t>
      </w:r>
    </w:p>
    <w:p w14:paraId="355173D9"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0D622FA" w14:textId="5CBB7533" w:rsidR="009E0A9E" w:rsidRPr="00775AE5" w:rsidRDefault="009E0A9E" w:rsidP="009E0A9E">
      <w:pPr>
        <w:widowControl w:val="0"/>
        <w:suppressAutoHyphens/>
        <w:spacing w:line="276" w:lineRule="auto"/>
        <w:jc w:val="both"/>
        <w:rPr>
          <w:rFonts w:ascii="Arial" w:eastAsia="Calibri" w:hAnsi="Arial" w:cs="Arial"/>
          <w:color w:val="00000A"/>
          <w:kern w:val="1"/>
          <w:sz w:val="22"/>
          <w:szCs w:val="22"/>
          <w:lang w:val="es-VE" w:eastAsia="zh-CN"/>
        </w:rPr>
      </w:pPr>
      <w:r w:rsidRPr="00775AE5">
        <w:rPr>
          <w:rFonts w:ascii="Arial" w:eastAsia="DejaVu Sans" w:hAnsi="Arial" w:cs="Arial"/>
          <w:sz w:val="22"/>
          <w:szCs w:val="22"/>
          <w:lang w:val="es-VE" w:eastAsia="es-EC"/>
        </w:rPr>
        <w:t xml:space="preserve">Durante las visitas se ha conocido acusaciones del uso de la posición de poder de los funcionarios para acceder a relaciones con las PPL, algunas de las cuales han carecido de consentimiento o se han propiciado a cambio de </w:t>
      </w:r>
      <w:r w:rsidR="00434BA9" w:rsidRPr="00775AE5">
        <w:rPr>
          <w:rFonts w:ascii="Arial" w:eastAsia="DejaVu Sans" w:hAnsi="Arial" w:cs="Arial"/>
          <w:sz w:val="22"/>
          <w:szCs w:val="22"/>
          <w:lang w:val="es-VE" w:eastAsia="es-EC"/>
        </w:rPr>
        <w:t>recibir “</w:t>
      </w:r>
      <w:r w:rsidRPr="00775AE5">
        <w:rPr>
          <w:rFonts w:ascii="Arial" w:eastAsia="DejaVu Sans" w:hAnsi="Arial" w:cs="Arial"/>
          <w:sz w:val="22"/>
          <w:szCs w:val="22"/>
          <w:lang w:val="es-VE" w:eastAsia="es-EC"/>
        </w:rPr>
        <w:t>prerrogativas” al interior de los Centros. No obstante, por la misma relación inequitativa de poder entre los actores (PPL versus funcionarios), las PPL han optado por no presentar denuncias formales; razón por la cual, existe escasas evidencias de la problemática, pese a su recurrencia en los centros</w:t>
      </w:r>
      <w:r w:rsidRPr="00775AE5">
        <w:rPr>
          <w:rFonts w:ascii="Arial" w:eastAsia="Calibri" w:hAnsi="Arial" w:cs="Arial"/>
          <w:color w:val="00000A"/>
          <w:kern w:val="1"/>
          <w:sz w:val="22"/>
          <w:szCs w:val="22"/>
          <w:lang w:val="es-VE" w:eastAsia="zh-CN"/>
        </w:rPr>
        <w:t>.</w:t>
      </w:r>
    </w:p>
    <w:p w14:paraId="02088DD1" w14:textId="77777777" w:rsidR="009E0A9E" w:rsidRPr="00775AE5" w:rsidRDefault="009E0A9E" w:rsidP="009E0A9E">
      <w:pPr>
        <w:widowControl w:val="0"/>
        <w:suppressAutoHyphens/>
        <w:spacing w:line="276" w:lineRule="auto"/>
        <w:jc w:val="both"/>
        <w:rPr>
          <w:rFonts w:ascii="Arial" w:eastAsia="Calibri" w:hAnsi="Arial" w:cs="Arial"/>
          <w:color w:val="00000A"/>
          <w:kern w:val="1"/>
          <w:sz w:val="22"/>
          <w:szCs w:val="22"/>
          <w:lang w:val="es-VE" w:eastAsia="zh-CN"/>
        </w:rPr>
      </w:pPr>
    </w:p>
    <w:p w14:paraId="1D3538DC" w14:textId="03C7A9B3"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Por otro lado, un caso importante que evidenció el MNPT en su visita al CPL Cotopaxi N°1 donde identificaron a varias mujeres en aislamiento, sin contar con las condiciones higiénicas y de habitabilidad mínima. Las PPL, entre otros malos tratos, refirieron que -desconociendo sus condiciones fisiológicas femeninas-</w:t>
      </w:r>
      <w:r w:rsidR="00434BA9" w:rsidRPr="00775AE5">
        <w:rPr>
          <w:rFonts w:ascii="Arial" w:eastAsia="DejaVu Sans" w:hAnsi="Arial" w:cs="Arial"/>
          <w:sz w:val="22"/>
          <w:szCs w:val="22"/>
          <w:lang w:val="es-VE" w:eastAsia="es-EC"/>
        </w:rPr>
        <w:t>, no</w:t>
      </w:r>
      <w:r w:rsidRPr="00775AE5">
        <w:rPr>
          <w:rFonts w:ascii="Arial" w:eastAsia="DejaVu Sans" w:hAnsi="Arial" w:cs="Arial"/>
          <w:sz w:val="22"/>
          <w:szCs w:val="22"/>
          <w:lang w:val="es-VE" w:eastAsia="es-EC"/>
        </w:rPr>
        <w:t xml:space="preserve"> recibieron toallas sanitarias durante su </w:t>
      </w:r>
      <w:r w:rsidR="00B93283" w:rsidRPr="00775AE5">
        <w:rPr>
          <w:rFonts w:ascii="Arial" w:eastAsia="DejaVu Sans" w:hAnsi="Arial" w:cs="Arial"/>
          <w:sz w:val="22"/>
          <w:szCs w:val="22"/>
          <w:lang w:val="es-VE" w:eastAsia="es-EC"/>
        </w:rPr>
        <w:t>período,</w:t>
      </w:r>
      <w:r w:rsidRPr="00775AE5">
        <w:rPr>
          <w:rFonts w:ascii="Arial" w:eastAsia="DejaVu Sans" w:hAnsi="Arial" w:cs="Arial"/>
          <w:sz w:val="22"/>
          <w:szCs w:val="22"/>
          <w:lang w:val="es-VE" w:eastAsia="es-EC"/>
        </w:rPr>
        <w:t xml:space="preserve"> sino que tuvieron que arrancar pedazos de la </w:t>
      </w:r>
      <w:r w:rsidR="00B93283" w:rsidRPr="00775AE5">
        <w:rPr>
          <w:rFonts w:ascii="Arial" w:eastAsia="DejaVu Sans" w:hAnsi="Arial" w:cs="Arial"/>
          <w:sz w:val="22"/>
          <w:szCs w:val="22"/>
          <w:lang w:val="es-VE" w:eastAsia="es-EC"/>
        </w:rPr>
        <w:t>colchoneta donde</w:t>
      </w:r>
      <w:r w:rsidRPr="00775AE5">
        <w:rPr>
          <w:rFonts w:ascii="Arial" w:eastAsia="DejaVu Sans" w:hAnsi="Arial" w:cs="Arial"/>
          <w:sz w:val="22"/>
          <w:szCs w:val="22"/>
          <w:lang w:val="es-VE" w:eastAsia="es-EC"/>
        </w:rPr>
        <w:t xml:space="preserve"> dormían, para usarlas como compresas.  Un extracto de lo ocurrido, a continuación:</w:t>
      </w:r>
    </w:p>
    <w:p w14:paraId="1DD310AA"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53311D7" w14:textId="77777777" w:rsidR="009E0A9E" w:rsidRPr="00775AE5" w:rsidRDefault="009E0A9E" w:rsidP="009E0A9E">
      <w:pPr>
        <w:spacing w:line="276" w:lineRule="auto"/>
        <w:ind w:left="709"/>
        <w:jc w:val="both"/>
        <w:rPr>
          <w:rFonts w:ascii="Arial" w:eastAsia="Calibri" w:hAnsi="Arial" w:cs="Arial"/>
          <w:sz w:val="22"/>
          <w:szCs w:val="22"/>
          <w:lang w:val="es-EC"/>
        </w:rPr>
      </w:pPr>
      <w:r w:rsidRPr="00775AE5">
        <w:rPr>
          <w:rFonts w:ascii="Arial" w:eastAsia="Calibri" w:hAnsi="Arial" w:cs="Arial"/>
          <w:sz w:val="22"/>
          <w:szCs w:val="22"/>
          <w:lang w:val="es-ES"/>
        </w:rPr>
        <w:t xml:space="preserve">Por denuncia de las PPL, el equipo del MNPT visitó las denominadas “cápsulas” o celdas de aislamientos donde se </w:t>
      </w:r>
      <w:r w:rsidRPr="00775AE5">
        <w:rPr>
          <w:rFonts w:ascii="Arial" w:eastAsia="Calibri" w:hAnsi="Arial" w:cs="Arial"/>
          <w:sz w:val="22"/>
          <w:szCs w:val="22"/>
          <w:lang w:val="es-EC"/>
        </w:rPr>
        <w:t>observó a cuatro personas encerradas en dos celdas (3 PPL y 1PPL respectivamente)</w:t>
      </w:r>
      <w:r w:rsidRPr="00775AE5">
        <w:rPr>
          <w:rFonts w:ascii="Arial" w:eastAsia="Calibri" w:hAnsi="Arial" w:cs="Arial"/>
          <w:sz w:val="22"/>
          <w:szCs w:val="22"/>
          <w:lang w:val="es-ES"/>
        </w:rPr>
        <w:t xml:space="preserve">. Estas son distintas a las celdas de castigo que se encuentran dentro de los pabellones </w:t>
      </w:r>
      <w:r w:rsidRPr="00775AE5">
        <w:rPr>
          <w:rFonts w:ascii="Arial" w:eastAsia="Calibri" w:hAnsi="Arial" w:cs="Arial"/>
          <w:sz w:val="22"/>
          <w:szCs w:val="22"/>
          <w:lang w:val="es-EC"/>
        </w:rPr>
        <w:t>de aproximadamente 3 x 2 metros, donde no había luz eléctrica, infraestructura sanitaria, ni ventilación. La celda cuenta únicamente con una cama de cemento y una rendija en la parte inferior de la puerta de metal (por donde les aprovisionan de alimentación).</w:t>
      </w:r>
    </w:p>
    <w:p w14:paraId="534034E7"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Al ingresar a la primera celda, se observó a tres mujeres (habían sido 5 PPL en total pero ya habían salido 2 PPL), quienes manifestaron estar encerradas durante trece días, de los cuales los dos primeros habrían dormido sin colchones ni cobijas. Las PPL afirmaron también que habían sido encerradas por personal de la policía nacional (20 policías aproximadamente), que en un operativo las habían sacado de sus respectivas celdas y encerrado en la "cápsula", donde les habían aplicado gas lacrimógeno, como forma de amedrentamiento.</w:t>
      </w:r>
    </w:p>
    <w:p w14:paraId="613A6CEA"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 xml:space="preserve">Dado que las "cápsulas" no cuentan con infraestructura sanitaria, las PPL depositaban sus desechos biológicos en botellas plásticas, ubicadas en un rincón de la celda. Para su aseo personal, se les permitía ocasionalmente la salida a un baño común (compuesto por inodoro y lavabo), ubicado en el exterior de los espacios, mismo que al ser revisado por el equipo del MNPT se encontraba sucio y con un fuerte olor a heces (debido a que el centro no cuenta con dotación permanente de agua).  </w:t>
      </w:r>
    </w:p>
    <w:p w14:paraId="19713589"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Las personas confinadas entre otras cosas manifestaron que quienes les proveían de la alimentación eran sus propias compañeras PPL y que por ejemplo, al día de la visita les había llegado la ración sólo de dos personas, por lo que tuvieron que compartir los alimentos. Así también, afirmaron que durante su estancia estuvieron privadas de sus objetos personales (aun cuando el MNPT observó cepillos y pasta dental), por lo que no tuvieron acceso a toallas sanitarias durante su periodo (habrían usado retazos de la esponja del colchón como compresas).  (MNPT, Informe de la Visita al Centro de Rehabilitación Social Regional Sierra Centro Norte “Cotopaxi”, 2019)</w:t>
      </w:r>
    </w:p>
    <w:p w14:paraId="271F8B28" w14:textId="77777777" w:rsidR="009E0A9E" w:rsidRPr="00775AE5" w:rsidRDefault="009E0A9E" w:rsidP="009E0A9E">
      <w:pPr>
        <w:widowControl w:val="0"/>
        <w:suppressAutoHyphens/>
        <w:spacing w:line="276" w:lineRule="auto"/>
        <w:jc w:val="both"/>
        <w:rPr>
          <w:rFonts w:ascii="Arial" w:eastAsia="Calibri" w:hAnsi="Arial" w:cs="Arial"/>
          <w:color w:val="00000A"/>
          <w:kern w:val="1"/>
          <w:sz w:val="22"/>
          <w:szCs w:val="22"/>
          <w:lang w:val="es-VE" w:eastAsia="zh-CN"/>
        </w:rPr>
      </w:pPr>
    </w:p>
    <w:p w14:paraId="002A54D4" w14:textId="33088F68" w:rsidR="009E0A9E" w:rsidRPr="00775AE5" w:rsidRDefault="009E0A9E" w:rsidP="009E0A9E">
      <w:pPr>
        <w:widowControl w:val="0"/>
        <w:suppressAutoHyphens/>
        <w:spacing w:line="276" w:lineRule="auto"/>
        <w:jc w:val="both"/>
        <w:rPr>
          <w:rFonts w:ascii="Arial" w:eastAsia="Calibri" w:hAnsi="Arial" w:cs="Arial"/>
          <w:color w:val="00000A"/>
          <w:kern w:val="1"/>
          <w:sz w:val="22"/>
          <w:szCs w:val="22"/>
          <w:lang w:val="es-VE" w:eastAsia="zh-CN"/>
        </w:rPr>
      </w:pPr>
      <w:r w:rsidRPr="00775AE5">
        <w:rPr>
          <w:rFonts w:ascii="Arial" w:eastAsia="Calibri" w:hAnsi="Arial" w:cs="Arial"/>
          <w:color w:val="00000A"/>
          <w:kern w:val="1"/>
          <w:sz w:val="22"/>
          <w:szCs w:val="22"/>
          <w:lang w:val="es-VE" w:eastAsia="zh-CN"/>
        </w:rPr>
        <w:t xml:space="preserve">Además, con los últimos hechos de violencia han generado problemáticas adicionales. La utilización de mujeres como “botín de guerra” en los enfrentamientos entre bandas, caracterizados por la toma de control de los centros por parte de las </w:t>
      </w:r>
      <w:r w:rsidR="00B93283" w:rsidRPr="00775AE5">
        <w:rPr>
          <w:rFonts w:ascii="Arial" w:eastAsia="Calibri" w:hAnsi="Arial" w:cs="Arial"/>
          <w:color w:val="00000A"/>
          <w:kern w:val="1"/>
          <w:sz w:val="22"/>
          <w:szCs w:val="22"/>
          <w:lang w:val="es-VE" w:eastAsia="zh-CN"/>
        </w:rPr>
        <w:t>PPL, han</w:t>
      </w:r>
      <w:r w:rsidRPr="00775AE5">
        <w:rPr>
          <w:rFonts w:ascii="Arial" w:eastAsia="Calibri" w:hAnsi="Arial" w:cs="Arial"/>
          <w:color w:val="00000A"/>
          <w:kern w:val="1"/>
          <w:sz w:val="22"/>
          <w:szCs w:val="22"/>
          <w:lang w:val="es-VE" w:eastAsia="zh-CN"/>
        </w:rPr>
        <w:t xml:space="preserve"> ocasionado casos de abuso y violencia sexual, física y psicológica de los PPL hombres a las mujeres. Como consecuencia adicional, el aumento registrado de contagios de VIH en la población femenina. </w:t>
      </w:r>
    </w:p>
    <w:p w14:paraId="7304ED94" w14:textId="77777777" w:rsidR="009E0A9E" w:rsidRPr="00775AE5" w:rsidRDefault="009E0A9E" w:rsidP="009E0A9E">
      <w:pPr>
        <w:widowControl w:val="0"/>
        <w:suppressAutoHyphens/>
        <w:spacing w:line="276" w:lineRule="auto"/>
        <w:jc w:val="both"/>
        <w:rPr>
          <w:rFonts w:ascii="Arial" w:eastAsia="Calibri" w:hAnsi="Arial" w:cs="Arial"/>
          <w:color w:val="00000A"/>
          <w:kern w:val="1"/>
          <w:sz w:val="22"/>
          <w:szCs w:val="22"/>
          <w:lang w:val="es-VE" w:eastAsia="zh-CN"/>
        </w:rPr>
      </w:pPr>
    </w:p>
    <w:p w14:paraId="1F1B392F" w14:textId="77777777" w:rsidR="009E0A9E" w:rsidRPr="00775AE5" w:rsidRDefault="009E0A9E" w:rsidP="009E0A9E">
      <w:pPr>
        <w:widowControl w:val="0"/>
        <w:suppressAutoHyphens/>
        <w:spacing w:line="276" w:lineRule="auto"/>
        <w:jc w:val="both"/>
        <w:rPr>
          <w:rFonts w:ascii="Arial" w:eastAsia="Calibri" w:hAnsi="Arial" w:cs="Arial"/>
          <w:color w:val="00000A"/>
          <w:kern w:val="1"/>
          <w:sz w:val="22"/>
          <w:szCs w:val="22"/>
          <w:lang w:val="es-VE" w:eastAsia="zh-CN"/>
        </w:rPr>
      </w:pPr>
      <w:r w:rsidRPr="00775AE5">
        <w:rPr>
          <w:rFonts w:ascii="Arial" w:eastAsia="Calibri" w:hAnsi="Arial" w:cs="Arial"/>
          <w:color w:val="00000A"/>
          <w:kern w:val="1"/>
          <w:sz w:val="22"/>
          <w:szCs w:val="22"/>
          <w:lang w:val="es-VE" w:eastAsia="zh-CN"/>
        </w:rPr>
        <w:t xml:space="preserve">Esto ha fue alertado en varias ocasiones por parte del MNPT a las instituciones competentes, quienes como resultado tomaron la decisión de sacar a la población femenina del CPL Santo Domingo y del CPL Chimborazo, y ubicarlas en centros diferenciados. También de trasladar a las mujeres del CPL Ríos N°2 al CPL Santo Domingo N°2. Sin embargo, la población femenina del CPL Cotopaxi N°1 y Azuay N°1 siguen siendo población de riesgo al compartir infraestructura con la población masculina. </w:t>
      </w:r>
    </w:p>
    <w:p w14:paraId="726D9005" w14:textId="77777777" w:rsidR="009E0A9E" w:rsidRPr="00775AE5" w:rsidRDefault="009E0A9E" w:rsidP="009E0A9E">
      <w:pPr>
        <w:widowControl w:val="0"/>
        <w:suppressAutoHyphens/>
        <w:spacing w:line="276" w:lineRule="auto"/>
        <w:jc w:val="both"/>
        <w:rPr>
          <w:rFonts w:ascii="Arial" w:eastAsia="Calibri" w:hAnsi="Arial" w:cs="Arial"/>
          <w:color w:val="00000A"/>
          <w:kern w:val="1"/>
          <w:sz w:val="22"/>
          <w:szCs w:val="22"/>
          <w:lang w:val="es-VE" w:eastAsia="zh-CN"/>
        </w:rPr>
      </w:pPr>
    </w:p>
    <w:p w14:paraId="703B08C0" w14:textId="25CA3371" w:rsidR="009E0A9E" w:rsidRPr="00775AE5" w:rsidRDefault="009E0A9E" w:rsidP="009E0A9E">
      <w:pPr>
        <w:widowControl w:val="0"/>
        <w:suppressAutoHyphens/>
        <w:spacing w:line="276" w:lineRule="auto"/>
        <w:jc w:val="both"/>
        <w:rPr>
          <w:rFonts w:ascii="Arial" w:eastAsia="Calibri" w:hAnsi="Arial" w:cs="Arial"/>
          <w:color w:val="00000A"/>
          <w:kern w:val="1"/>
          <w:sz w:val="22"/>
          <w:szCs w:val="22"/>
          <w:lang w:val="es-VE" w:eastAsia="zh-CN"/>
        </w:rPr>
      </w:pPr>
      <w:r w:rsidRPr="00775AE5">
        <w:rPr>
          <w:rFonts w:ascii="Arial" w:eastAsia="Calibri" w:hAnsi="Arial" w:cs="Arial"/>
          <w:color w:val="00000A"/>
          <w:kern w:val="1"/>
          <w:sz w:val="22"/>
          <w:szCs w:val="22"/>
          <w:lang w:val="es-VE" w:eastAsia="zh-CN"/>
        </w:rPr>
        <w:t xml:space="preserve">Con el último Estado de Excepción, se han registrado además denuncias de malos tratos a las PPL en </w:t>
      </w:r>
      <w:r w:rsidR="00434BA9" w:rsidRPr="00775AE5">
        <w:rPr>
          <w:rFonts w:ascii="Arial" w:eastAsia="Calibri" w:hAnsi="Arial" w:cs="Arial"/>
          <w:color w:val="00000A"/>
          <w:kern w:val="1"/>
          <w:sz w:val="22"/>
          <w:szCs w:val="22"/>
          <w:lang w:val="es-VE" w:eastAsia="zh-CN"/>
        </w:rPr>
        <w:t>general,</w:t>
      </w:r>
      <w:r w:rsidRPr="00775AE5">
        <w:rPr>
          <w:rFonts w:ascii="Arial" w:eastAsia="Calibri" w:hAnsi="Arial" w:cs="Arial"/>
          <w:color w:val="00000A"/>
          <w:kern w:val="1"/>
          <w:sz w:val="22"/>
          <w:szCs w:val="22"/>
          <w:lang w:val="es-VE" w:eastAsia="zh-CN"/>
        </w:rPr>
        <w:t xml:space="preserve"> pero en el caso de las mujeres, fueron sometidas a desprenderse de sus vestimentas (quedándose en ropa interior) para ser requisadas, durante los operativos de toma de control de los centros. Así también, se ha conocido de casos de PPL en estado de gestación presuntamente embarazadas por parte del personal militar, dado que actualmente no pueden recibir visitas familiares y conyugales desde enero del 2024. </w:t>
      </w:r>
    </w:p>
    <w:p w14:paraId="23CB8E2F" w14:textId="77777777" w:rsidR="009E0A9E" w:rsidRPr="00775AE5" w:rsidRDefault="009E0A9E" w:rsidP="009E0A9E">
      <w:pPr>
        <w:widowControl w:val="0"/>
        <w:suppressAutoHyphens/>
        <w:spacing w:line="276" w:lineRule="auto"/>
        <w:jc w:val="both"/>
        <w:rPr>
          <w:rFonts w:ascii="Arial" w:eastAsia="Calibri" w:hAnsi="Arial" w:cs="Arial"/>
          <w:color w:val="00000A"/>
          <w:kern w:val="1"/>
          <w:sz w:val="22"/>
          <w:szCs w:val="22"/>
          <w:lang w:val="es-VE" w:eastAsia="zh-CN"/>
        </w:rPr>
      </w:pPr>
    </w:p>
    <w:p w14:paraId="531A7239" w14:textId="77777777" w:rsidR="009E0A9E" w:rsidRPr="00775AE5" w:rsidRDefault="009E0A9E" w:rsidP="009E0A9E">
      <w:pPr>
        <w:widowControl w:val="0"/>
        <w:suppressAutoHyphens/>
        <w:spacing w:line="276" w:lineRule="auto"/>
        <w:jc w:val="both"/>
        <w:rPr>
          <w:rFonts w:ascii="Arial" w:eastAsia="Calibri" w:hAnsi="Arial" w:cs="Arial"/>
          <w:color w:val="00000A"/>
          <w:kern w:val="1"/>
          <w:sz w:val="22"/>
          <w:szCs w:val="22"/>
          <w:lang w:val="es-VE" w:eastAsia="zh-CN"/>
        </w:rPr>
      </w:pPr>
      <w:r w:rsidRPr="00775AE5">
        <w:rPr>
          <w:rFonts w:ascii="Arial" w:eastAsia="Calibri" w:hAnsi="Arial" w:cs="Arial"/>
          <w:color w:val="00000A"/>
          <w:kern w:val="1"/>
          <w:sz w:val="22"/>
          <w:szCs w:val="22"/>
          <w:lang w:val="es-VE" w:eastAsia="zh-CN"/>
        </w:rPr>
        <w:t xml:space="preserve">Sobre el cuidado de las/as hijos/as de PPL al interior de los centros, se puede observar que si bien se logró la inclusión de algunos productos para este segmento población en los economatos, por propuesta impulsada por la Defensoría del Pueblo y el Ministerio de Inclusión Económica y Social; con las políticas de seguridad suscitadas por los hechos violentos y aplicación de los últimos estados de excepción, los economatos han reducido su oferta concentrándose en productos procesados como snacks. Así también, se ha restringido el ingreso de productos para los/as bebés por parte de los familiares de las PPL. Situación que se vuelve más complicada para </w:t>
      </w:r>
      <w:r w:rsidRPr="00775AE5">
        <w:rPr>
          <w:rFonts w:ascii="Arial" w:eastAsia="DejaVu Sans" w:hAnsi="Arial" w:cs="Arial"/>
          <w:sz w:val="22"/>
          <w:szCs w:val="22"/>
          <w:lang w:val="es-VE" w:eastAsia="es-EC"/>
        </w:rPr>
        <w:t>las PPL extranjeras que no reciben visitas permanentes de sus familiares, y, por lo tanto, la provisión de estos artículos les resulta más complicada.</w:t>
      </w:r>
    </w:p>
    <w:p w14:paraId="389CC3AF" w14:textId="77777777" w:rsidR="009E0A9E" w:rsidRPr="00775AE5" w:rsidRDefault="009E0A9E" w:rsidP="009E0A9E">
      <w:pPr>
        <w:widowControl w:val="0"/>
        <w:suppressAutoHyphens/>
        <w:spacing w:line="276" w:lineRule="auto"/>
        <w:jc w:val="both"/>
        <w:rPr>
          <w:rFonts w:ascii="Arial" w:eastAsia="Calibri" w:hAnsi="Arial" w:cs="Arial"/>
          <w:color w:val="00000A"/>
          <w:kern w:val="1"/>
          <w:sz w:val="22"/>
          <w:szCs w:val="22"/>
          <w:lang w:val="es-VE" w:eastAsia="zh-CN"/>
        </w:rPr>
      </w:pPr>
    </w:p>
    <w:p w14:paraId="710BD548" w14:textId="77777777" w:rsidR="009E0A9E" w:rsidRPr="00775AE5" w:rsidRDefault="009E0A9E" w:rsidP="009E0A9E">
      <w:pPr>
        <w:widowControl w:val="0"/>
        <w:suppressAutoHyphens/>
        <w:spacing w:line="276" w:lineRule="auto"/>
        <w:jc w:val="both"/>
        <w:rPr>
          <w:rFonts w:ascii="Arial" w:eastAsia="Calibri" w:hAnsi="Arial" w:cs="Arial"/>
          <w:color w:val="00000A"/>
          <w:kern w:val="1"/>
          <w:sz w:val="22"/>
          <w:szCs w:val="22"/>
          <w:lang w:val="es-VE" w:eastAsia="zh-CN"/>
        </w:rPr>
      </w:pPr>
      <w:r w:rsidRPr="00775AE5">
        <w:rPr>
          <w:rFonts w:ascii="Arial" w:eastAsia="Calibri" w:hAnsi="Arial" w:cs="Arial"/>
          <w:color w:val="00000A"/>
          <w:kern w:val="1"/>
          <w:sz w:val="22"/>
          <w:szCs w:val="22"/>
          <w:lang w:val="es-VE" w:eastAsia="zh-CN"/>
        </w:rPr>
        <w:t>Es importante resaltar que actualmente los centros de privación de libertad están pasando por una nueva problemática al haber culminado el contrato de alimentación</w:t>
      </w:r>
      <w:r w:rsidRPr="00775AE5">
        <w:rPr>
          <w:rStyle w:val="FootnoteReference"/>
          <w:rFonts w:ascii="Arial" w:eastAsia="Calibri" w:hAnsi="Arial" w:cs="Arial"/>
          <w:color w:val="00000A"/>
          <w:kern w:val="1"/>
          <w:sz w:val="22"/>
          <w:szCs w:val="22"/>
          <w:lang w:val="es-VE" w:eastAsia="zh-CN"/>
        </w:rPr>
        <w:footnoteReference w:id="43"/>
      </w:r>
      <w:r w:rsidRPr="00775AE5">
        <w:rPr>
          <w:rFonts w:ascii="Arial" w:eastAsia="Calibri" w:hAnsi="Arial" w:cs="Arial"/>
          <w:color w:val="00000A"/>
          <w:kern w:val="1"/>
          <w:sz w:val="22"/>
          <w:szCs w:val="22"/>
          <w:lang w:val="es-VE" w:eastAsia="zh-CN"/>
        </w:rPr>
        <w:t xml:space="preserve"> y cursar varios procesos de contratación del servicio fallidos. Entre los centros que ya no cuentan con el servicio y que están siendo provistos de alimentos por parte de sus familiares están CPL Esmeraldas N°1, CPL Cotopaxi N°1 y Pichincha N°3, donde se encuentran mujeres embarazadas y niños/as. </w:t>
      </w:r>
    </w:p>
    <w:p w14:paraId="6E021AA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B223C85" w14:textId="68520127" w:rsidR="009E0A9E" w:rsidRPr="00775AE5" w:rsidRDefault="009E0A9E" w:rsidP="009E0A9E">
      <w:pPr>
        <w:pStyle w:val="Default"/>
        <w:spacing w:line="276" w:lineRule="auto"/>
        <w:ind w:firstLine="0"/>
        <w:rPr>
          <w:rFonts w:ascii="Arial" w:hAnsi="Arial" w:cs="Arial"/>
          <w:color w:val="00000A"/>
          <w:kern w:val="1"/>
          <w:sz w:val="22"/>
          <w:szCs w:val="22"/>
          <w:lang w:val="es-VE" w:eastAsia="zh-CN"/>
        </w:rPr>
      </w:pPr>
      <w:r w:rsidRPr="00775AE5">
        <w:rPr>
          <w:rFonts w:ascii="Arial" w:hAnsi="Arial" w:cs="Arial"/>
          <w:color w:val="00000A"/>
          <w:kern w:val="1"/>
          <w:sz w:val="22"/>
          <w:szCs w:val="22"/>
          <w:lang w:val="es-VE" w:eastAsia="zh-CN"/>
        </w:rPr>
        <w:t>Respecto a la población de diversidades sexo genéricas no se cuenta con información estadística reciente. La última información proporcionada por SNAI (2021) mencionaba que la población de personas LGBTI en el Sistema Penitenciario era de 146 con corte al mes de marzo 2021. Entre sus principales problemáticas se ha evidenciado las siguientes:</w:t>
      </w:r>
    </w:p>
    <w:p w14:paraId="791F625E" w14:textId="77777777" w:rsidR="009E0A9E" w:rsidRPr="00775AE5" w:rsidRDefault="009E0A9E" w:rsidP="009E0A9E">
      <w:pPr>
        <w:pStyle w:val="Default"/>
        <w:spacing w:line="276" w:lineRule="auto"/>
        <w:ind w:firstLine="0"/>
        <w:rPr>
          <w:rFonts w:ascii="Arial" w:hAnsi="Arial" w:cs="Arial"/>
          <w:color w:val="00000A"/>
          <w:kern w:val="1"/>
          <w:sz w:val="22"/>
          <w:szCs w:val="22"/>
          <w:lang w:val="es-VE" w:eastAsia="zh-CN"/>
        </w:rPr>
      </w:pPr>
      <w:r w:rsidRPr="00775AE5">
        <w:rPr>
          <w:rFonts w:ascii="Arial" w:hAnsi="Arial" w:cs="Arial"/>
          <w:noProof/>
          <w:color w:val="00000A"/>
          <w:kern w:val="1"/>
          <w:sz w:val="22"/>
          <w:szCs w:val="22"/>
          <w:lang w:val="es-ES" w:eastAsia="es-ES"/>
        </w:rPr>
        <mc:AlternateContent>
          <mc:Choice Requires="wps">
            <w:drawing>
              <wp:anchor distT="0" distB="0" distL="114300" distR="114300" simplePos="0" relativeHeight="251659264" behindDoc="0" locked="0" layoutInCell="1" allowOverlap="1" wp14:anchorId="1F9B1D1C" wp14:editId="1CB88D5F">
                <wp:simplePos x="0" y="0"/>
                <wp:positionH relativeFrom="column">
                  <wp:posOffset>1009650</wp:posOffset>
                </wp:positionH>
                <wp:positionV relativeFrom="paragraph">
                  <wp:posOffset>153035</wp:posOffset>
                </wp:positionV>
                <wp:extent cx="4676775" cy="2781300"/>
                <wp:effectExtent l="0" t="0" r="28575" b="19050"/>
                <wp:wrapNone/>
                <wp:docPr id="22" name="Rectángulo redondeado 22"/>
                <wp:cNvGraphicFramePr/>
                <a:graphic xmlns:a="http://schemas.openxmlformats.org/drawingml/2006/main">
                  <a:graphicData uri="http://schemas.microsoft.com/office/word/2010/wordprocessingShape">
                    <wps:wsp>
                      <wps:cNvSpPr/>
                      <wps:spPr>
                        <a:xfrm>
                          <a:off x="0" y="0"/>
                          <a:ext cx="4676775" cy="278130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2A81ED7B" w14:textId="77777777" w:rsidR="009E0A9E" w:rsidRPr="000A6841" w:rsidRDefault="009E0A9E" w:rsidP="00B17DD2">
                            <w:pPr>
                              <w:pStyle w:val="ListParagraph"/>
                              <w:numPr>
                                <w:ilvl w:val="0"/>
                                <w:numId w:val="40"/>
                              </w:numPr>
                              <w:rPr>
                                <w:lang w:val="es-MX"/>
                              </w:rPr>
                            </w:pPr>
                            <w:r w:rsidRPr="009E3F56">
                              <w:rPr>
                                <w:lang w:val="es-MX"/>
                              </w:rPr>
                              <w:t>No se respeta su condición de género para la asignación a CPL.</w:t>
                            </w:r>
                          </w:p>
                          <w:p w14:paraId="55803EC1" w14:textId="77777777" w:rsidR="009E0A9E" w:rsidRPr="000A6841" w:rsidRDefault="009E0A9E" w:rsidP="00B17DD2">
                            <w:pPr>
                              <w:pStyle w:val="ListParagraph"/>
                              <w:numPr>
                                <w:ilvl w:val="0"/>
                                <w:numId w:val="40"/>
                              </w:numPr>
                              <w:rPr>
                                <w:lang w:val="es-MX"/>
                              </w:rPr>
                            </w:pPr>
                            <w:r w:rsidRPr="009E3F56">
                              <w:rPr>
                                <w:lang w:val="es-MX"/>
                              </w:rPr>
                              <w:t>No reciben tratamiento hormonal en caso de expresar su voluntad de someterse a este.</w:t>
                            </w:r>
                          </w:p>
                          <w:p w14:paraId="33F45F5C" w14:textId="77777777" w:rsidR="009E0A9E" w:rsidRPr="000A6841" w:rsidRDefault="009E0A9E" w:rsidP="00B17DD2">
                            <w:pPr>
                              <w:pStyle w:val="ListParagraph"/>
                              <w:numPr>
                                <w:ilvl w:val="0"/>
                                <w:numId w:val="40"/>
                              </w:numPr>
                              <w:rPr>
                                <w:lang w:val="es-MX"/>
                              </w:rPr>
                            </w:pPr>
                            <w:r w:rsidRPr="009E3F56">
                              <w:rPr>
                                <w:lang w:val="es-MX"/>
                              </w:rPr>
                              <w:t>Están sometidos a riesgos de violencia sexual, y trabajo sexual al interior de los CPL.</w:t>
                            </w:r>
                          </w:p>
                          <w:p w14:paraId="40FB1FD1" w14:textId="77777777" w:rsidR="009E0A9E" w:rsidRPr="009E3F56" w:rsidRDefault="009E0A9E" w:rsidP="00B17DD2">
                            <w:pPr>
                              <w:pStyle w:val="ListParagraph"/>
                              <w:numPr>
                                <w:ilvl w:val="0"/>
                                <w:numId w:val="40"/>
                              </w:numPr>
                              <w:rPr>
                                <w:lang w:val="es-MX"/>
                              </w:rPr>
                            </w:pPr>
                            <w:r w:rsidRPr="009E3F56">
                              <w:rPr>
                                <w:lang w:val="es-MX"/>
                              </w:rPr>
                              <w:t>Falta de acompañamiento psicológico especializado.</w:t>
                            </w:r>
                          </w:p>
                          <w:p w14:paraId="7D007521" w14:textId="77777777" w:rsidR="009E0A9E" w:rsidRPr="000A6841" w:rsidRDefault="009E0A9E" w:rsidP="00B17DD2">
                            <w:pPr>
                              <w:pStyle w:val="ListParagraph"/>
                              <w:numPr>
                                <w:ilvl w:val="0"/>
                                <w:numId w:val="40"/>
                              </w:numPr>
                              <w:rPr>
                                <w:lang w:val="es-MX"/>
                              </w:rPr>
                            </w:pPr>
                            <w:r w:rsidRPr="009E3F56">
                              <w:rPr>
                                <w:lang w:val="es-MX"/>
                              </w:rPr>
                              <w:t>Se reproducen estereotipos de género.</w:t>
                            </w:r>
                          </w:p>
                          <w:p w14:paraId="159A7BE3" w14:textId="77777777" w:rsidR="009E0A9E" w:rsidRPr="009E3F56" w:rsidRDefault="009E0A9E" w:rsidP="00B17DD2">
                            <w:pPr>
                              <w:pStyle w:val="ListParagraph"/>
                              <w:numPr>
                                <w:ilvl w:val="0"/>
                                <w:numId w:val="40"/>
                              </w:numPr>
                              <w:rPr>
                                <w:lang w:val="es-MX"/>
                              </w:rPr>
                            </w:pPr>
                            <w:r w:rsidRPr="009E3F56">
                              <w:rPr>
                                <w:lang w:val="es-MX"/>
                              </w:rPr>
                              <w:t>Enfermedades relacionadas a modificaciones corporales negligentes.</w:t>
                            </w:r>
                          </w:p>
                          <w:p w14:paraId="628F618B" w14:textId="77777777" w:rsidR="009E0A9E" w:rsidRPr="000A6841" w:rsidRDefault="009E0A9E" w:rsidP="00B17DD2">
                            <w:pPr>
                              <w:pStyle w:val="ListParagraph"/>
                              <w:numPr>
                                <w:ilvl w:val="0"/>
                                <w:numId w:val="40"/>
                              </w:numPr>
                              <w:rPr>
                                <w:lang w:val="es-MX"/>
                              </w:rPr>
                            </w:pPr>
                            <w:r w:rsidRPr="009E3F56">
                              <w:rPr>
                                <w:lang w:val="es-MX"/>
                              </w:rPr>
                              <w:t xml:space="preserve">No existe información actualizada y pública de la población privada de libertad (ni desagregada por doble vulnerabilidad). </w:t>
                            </w:r>
                          </w:p>
                          <w:p w14:paraId="319E0689" w14:textId="77777777" w:rsidR="009E0A9E" w:rsidRPr="000A6841" w:rsidRDefault="009E0A9E" w:rsidP="009E0A9E">
                            <w:pPr>
                              <w:jc w:val="center"/>
                              <w:rPr>
                                <w:lang w:val="es-MX"/>
                              </w:rPr>
                            </w:pPr>
                          </w:p>
                          <w:p w14:paraId="166D84F9" w14:textId="77777777" w:rsidR="009E0A9E" w:rsidRPr="00DA773A" w:rsidRDefault="009E0A9E" w:rsidP="009E0A9E">
                            <w:pPr>
                              <w:jc w:val="center"/>
                              <w:rPr>
                                <w:lang w:val="es-MX"/>
                              </w:rPr>
                            </w:pPr>
                          </w:p>
                          <w:p w14:paraId="0292F7B6" w14:textId="77777777" w:rsidR="009E0A9E" w:rsidRDefault="009E0A9E" w:rsidP="009E0A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9B1D1C" id="Rectángulo redondeado 22" o:spid="_x0000_s1026" style="position:absolute;margin-left:79.5pt;margin-top:12.05pt;width:368.25pt;height:2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" fillcolor="white [3201]" strokecolor="#196b24 [3206]" strokeweight="1pt">
                <v:stroke joinstyle="miter"/>
                <v:textbox>
                  <w:txbxContent>
                    <w:p w14:paraId="2A81ED7B" w14:textId="77777777" w:rsidR="009E0A9E" w:rsidRPr="000A6841" w:rsidRDefault="009E0A9E" w:rsidP="00B17DD2">
                      <w:pPr>
                        <w:pStyle w:val="ListParagraph"/>
                        <w:numPr>
                          <w:ilvl w:val="0"/>
                          <w:numId w:val="40"/>
                        </w:numPr>
                        <w:rPr>
                          <w:lang w:val="es-MX"/>
                        </w:rPr>
                      </w:pPr>
                      <w:r w:rsidRPr="009E3F56">
                        <w:rPr>
                          <w:lang w:val="es-MX"/>
                        </w:rPr>
                        <w:t>No se respeta su condición de género para la asignación a CPL.</w:t>
                      </w:r>
                    </w:p>
                    <w:p w14:paraId="55803EC1" w14:textId="77777777" w:rsidR="009E0A9E" w:rsidRPr="000A6841" w:rsidRDefault="009E0A9E" w:rsidP="00B17DD2">
                      <w:pPr>
                        <w:pStyle w:val="ListParagraph"/>
                        <w:numPr>
                          <w:ilvl w:val="0"/>
                          <w:numId w:val="40"/>
                        </w:numPr>
                        <w:rPr>
                          <w:lang w:val="es-MX"/>
                        </w:rPr>
                      </w:pPr>
                      <w:r w:rsidRPr="009E3F56">
                        <w:rPr>
                          <w:lang w:val="es-MX"/>
                        </w:rPr>
                        <w:t>No reciben tratamiento hormonal en caso de expresar su voluntad de someterse a este.</w:t>
                      </w:r>
                    </w:p>
                    <w:p w14:paraId="33F45F5C" w14:textId="77777777" w:rsidR="009E0A9E" w:rsidRPr="000A6841" w:rsidRDefault="009E0A9E" w:rsidP="00B17DD2">
                      <w:pPr>
                        <w:pStyle w:val="ListParagraph"/>
                        <w:numPr>
                          <w:ilvl w:val="0"/>
                          <w:numId w:val="40"/>
                        </w:numPr>
                        <w:rPr>
                          <w:lang w:val="es-MX"/>
                        </w:rPr>
                      </w:pPr>
                      <w:r w:rsidRPr="009E3F56">
                        <w:rPr>
                          <w:lang w:val="es-MX"/>
                        </w:rPr>
                        <w:t>Están sometidos a riesgos de violencia sexual, y trabajo sexual al interior de los CPL.</w:t>
                      </w:r>
                    </w:p>
                    <w:p w14:paraId="40FB1FD1" w14:textId="77777777" w:rsidR="009E0A9E" w:rsidRPr="009E3F56" w:rsidRDefault="009E0A9E" w:rsidP="00B17DD2">
                      <w:pPr>
                        <w:pStyle w:val="ListParagraph"/>
                        <w:numPr>
                          <w:ilvl w:val="0"/>
                          <w:numId w:val="40"/>
                        </w:numPr>
                        <w:rPr>
                          <w:lang w:val="es-MX"/>
                        </w:rPr>
                      </w:pPr>
                      <w:r w:rsidRPr="009E3F56">
                        <w:rPr>
                          <w:lang w:val="es-MX"/>
                        </w:rPr>
                        <w:t>Falta de acompañamiento psicológico especializado.</w:t>
                      </w:r>
                    </w:p>
                    <w:p w14:paraId="7D007521" w14:textId="77777777" w:rsidR="009E0A9E" w:rsidRPr="000A6841" w:rsidRDefault="009E0A9E" w:rsidP="00B17DD2">
                      <w:pPr>
                        <w:pStyle w:val="ListParagraph"/>
                        <w:numPr>
                          <w:ilvl w:val="0"/>
                          <w:numId w:val="40"/>
                        </w:numPr>
                        <w:rPr>
                          <w:lang w:val="es-MX"/>
                        </w:rPr>
                      </w:pPr>
                      <w:r w:rsidRPr="009E3F56">
                        <w:rPr>
                          <w:lang w:val="es-MX"/>
                        </w:rPr>
                        <w:t>Se reproducen estereotipos de género.</w:t>
                      </w:r>
                    </w:p>
                    <w:p w14:paraId="159A7BE3" w14:textId="77777777" w:rsidR="009E0A9E" w:rsidRPr="009E3F56" w:rsidRDefault="009E0A9E" w:rsidP="00B17DD2">
                      <w:pPr>
                        <w:pStyle w:val="ListParagraph"/>
                        <w:numPr>
                          <w:ilvl w:val="0"/>
                          <w:numId w:val="40"/>
                        </w:numPr>
                        <w:rPr>
                          <w:lang w:val="es-MX"/>
                        </w:rPr>
                      </w:pPr>
                      <w:r w:rsidRPr="009E3F56">
                        <w:rPr>
                          <w:lang w:val="es-MX"/>
                        </w:rPr>
                        <w:t>Enfermedades relacionadas a modificaciones corporales negligentes.</w:t>
                      </w:r>
                    </w:p>
                    <w:p w14:paraId="628F618B" w14:textId="77777777" w:rsidR="009E0A9E" w:rsidRPr="000A6841" w:rsidRDefault="009E0A9E" w:rsidP="00B17DD2">
                      <w:pPr>
                        <w:pStyle w:val="ListParagraph"/>
                        <w:numPr>
                          <w:ilvl w:val="0"/>
                          <w:numId w:val="40"/>
                        </w:numPr>
                        <w:rPr>
                          <w:lang w:val="es-MX"/>
                        </w:rPr>
                      </w:pPr>
                      <w:r w:rsidRPr="009E3F56">
                        <w:rPr>
                          <w:lang w:val="es-MX"/>
                        </w:rPr>
                        <w:t xml:space="preserve">No existe información actualizada y pública de la población privada de libertad (ni desagregada por doble vulnerabilidad). </w:t>
                      </w:r>
                    </w:p>
                    <w:p w14:paraId="319E0689" w14:textId="77777777" w:rsidR="009E0A9E" w:rsidRPr="000A6841" w:rsidRDefault="009E0A9E" w:rsidP="009E0A9E">
                      <w:pPr>
                        <w:jc w:val="center"/>
                        <w:rPr>
                          <w:lang w:val="es-MX"/>
                        </w:rPr>
                      </w:pPr>
                    </w:p>
                    <w:p w14:paraId="166D84F9" w14:textId="77777777" w:rsidR="009E0A9E" w:rsidRPr="00DA773A" w:rsidRDefault="009E0A9E" w:rsidP="009E0A9E">
                      <w:pPr>
                        <w:jc w:val="center"/>
                        <w:rPr>
                          <w:lang w:val="es-MX"/>
                        </w:rPr>
                      </w:pPr>
                    </w:p>
                    <w:p w14:paraId="0292F7B6" w14:textId="77777777" w:rsidR="009E0A9E" w:rsidRDefault="009E0A9E" w:rsidP="009E0A9E">
                      <w:pPr>
                        <w:jc w:val="center"/>
                      </w:pPr>
                    </w:p>
                  </w:txbxContent>
                </v:textbox>
              </v:roundrect>
            </w:pict>
          </mc:Fallback>
        </mc:AlternateContent>
      </w:r>
    </w:p>
    <w:p w14:paraId="440DBA8B" w14:textId="77777777" w:rsidR="009E0A9E" w:rsidRPr="00775AE5" w:rsidRDefault="009E0A9E" w:rsidP="009E0A9E">
      <w:pPr>
        <w:pStyle w:val="Default"/>
        <w:spacing w:line="276" w:lineRule="auto"/>
        <w:ind w:firstLine="0"/>
        <w:rPr>
          <w:rFonts w:ascii="Arial" w:hAnsi="Arial" w:cs="Arial"/>
          <w:color w:val="00000A"/>
          <w:kern w:val="1"/>
          <w:sz w:val="22"/>
          <w:szCs w:val="22"/>
          <w:lang w:val="es-VE" w:eastAsia="zh-CN"/>
        </w:rPr>
      </w:pPr>
    </w:p>
    <w:p w14:paraId="5DBA2CDA" w14:textId="77777777" w:rsidR="009E0A9E" w:rsidRPr="00775AE5" w:rsidRDefault="009E0A9E" w:rsidP="009E0A9E">
      <w:pPr>
        <w:pStyle w:val="Default"/>
        <w:spacing w:line="276" w:lineRule="auto"/>
        <w:ind w:firstLine="0"/>
        <w:rPr>
          <w:rFonts w:ascii="Arial" w:hAnsi="Arial" w:cs="Arial"/>
          <w:color w:val="00000A"/>
          <w:kern w:val="1"/>
          <w:sz w:val="22"/>
          <w:szCs w:val="22"/>
          <w:lang w:val="es-VE" w:eastAsia="zh-CN"/>
        </w:rPr>
      </w:pPr>
    </w:p>
    <w:p w14:paraId="4A57968A"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D3702D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274388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FAAB2F9"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2A0B8F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AE4087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39265E8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00546F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357F8CF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94F3AB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F8C62A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7B1C1B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960641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A4C66EC" w14:textId="77777777" w:rsidR="00793C8F" w:rsidRDefault="00793C8F" w:rsidP="009E0A9E">
      <w:pPr>
        <w:widowControl w:val="0"/>
        <w:suppressAutoHyphens/>
        <w:spacing w:line="276" w:lineRule="auto"/>
        <w:jc w:val="both"/>
        <w:rPr>
          <w:rFonts w:ascii="Arial" w:eastAsia="DejaVu Sans" w:hAnsi="Arial" w:cs="Arial"/>
          <w:sz w:val="22"/>
          <w:szCs w:val="22"/>
          <w:lang w:val="es-VE" w:eastAsia="es-EC"/>
        </w:rPr>
      </w:pPr>
    </w:p>
    <w:p w14:paraId="01ED8B06" w14:textId="1015509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Durante las visitas el equipo del MNPT ha encontrado mujeres trans en centros masculinos, algunas ubicadas en pabellones de atención prioritaria (aduciendo temas de seguridad) y otras en los pabellones comunes, desconociendo su autoidentificación; lo que además conlleva a que no reciban un trato conforme a su orientación sexo genérica, teniendo que: compartir duchas comunes con los hombres; sin acceso a implementos autorizados para las mujeres – como el maquillaje-; teniendo restricciones para recibir visitas íntimas; y, sin tratamiento hormonal apropiado para su condición.  </w:t>
      </w:r>
    </w:p>
    <w:p w14:paraId="10FB1A9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C387359" w14:textId="5F08C74B"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La violencia ejercida a personas de diversidades sexo genéricas se vio expuesta en dos casos que sirven para ejemplificar los riesgos que no abordar sus problemáticas específicas. El primer caso fue el de la PPL Helen Maldonado </w:t>
      </w:r>
      <w:proofErr w:type="spellStart"/>
      <w:r w:rsidRPr="00775AE5">
        <w:rPr>
          <w:rFonts w:ascii="Arial" w:eastAsia="DejaVu Sans" w:hAnsi="Arial" w:cs="Arial"/>
          <w:sz w:val="22"/>
          <w:szCs w:val="22"/>
          <w:lang w:val="es-VE" w:eastAsia="es-EC"/>
        </w:rPr>
        <w:t>Maldonado</w:t>
      </w:r>
      <w:proofErr w:type="spellEnd"/>
      <w:r w:rsidRPr="00775AE5">
        <w:rPr>
          <w:rFonts w:ascii="Arial" w:eastAsia="DejaVu Sans" w:hAnsi="Arial" w:cs="Arial"/>
          <w:sz w:val="22"/>
          <w:szCs w:val="22"/>
          <w:lang w:val="es-VE" w:eastAsia="es-EC"/>
        </w:rPr>
        <w:t xml:space="preserve">, una mujer </w:t>
      </w:r>
      <w:r w:rsidR="00434BA9" w:rsidRPr="00775AE5">
        <w:rPr>
          <w:rFonts w:ascii="Arial" w:eastAsia="DejaVu Sans" w:hAnsi="Arial" w:cs="Arial"/>
          <w:sz w:val="22"/>
          <w:szCs w:val="22"/>
          <w:lang w:val="es-VE" w:eastAsia="es-EC"/>
        </w:rPr>
        <w:t>trans, brutalmente</w:t>
      </w:r>
      <w:r w:rsidRPr="00775AE5">
        <w:rPr>
          <w:rFonts w:ascii="Arial" w:eastAsia="DejaVu Sans" w:hAnsi="Arial" w:cs="Arial"/>
          <w:sz w:val="22"/>
          <w:szCs w:val="22"/>
          <w:lang w:val="es-VE" w:eastAsia="es-EC"/>
        </w:rPr>
        <w:t xml:space="preserve"> asesinadas la noche del 12 de noviembre de 2021, cuyo cuerpo no pudo ser reconocido y se presume fue parte de las PPL que fueron incineradas</w:t>
      </w:r>
      <w:r w:rsidRPr="00775AE5">
        <w:rPr>
          <w:rStyle w:val="FootnoteReference"/>
          <w:rFonts w:ascii="Arial" w:eastAsia="DejaVu Sans" w:hAnsi="Arial" w:cs="Arial"/>
          <w:sz w:val="22"/>
          <w:szCs w:val="22"/>
          <w:lang w:val="es-VE" w:eastAsia="es-EC"/>
        </w:rPr>
        <w:footnoteReference w:id="44"/>
      </w:r>
      <w:r w:rsidRPr="00775AE5">
        <w:rPr>
          <w:rFonts w:ascii="Arial" w:eastAsia="DejaVu Sans" w:hAnsi="Arial" w:cs="Arial"/>
          <w:sz w:val="22"/>
          <w:szCs w:val="22"/>
          <w:lang w:val="es-VE" w:eastAsia="es-EC"/>
        </w:rPr>
        <w:t xml:space="preserve">. Ella se encontraba ubicada en el pabellón N°2 de CPL Guayas N°1, sin respetar una correcta división de la población penitenciaria. </w:t>
      </w:r>
    </w:p>
    <w:p w14:paraId="6CADC8F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202947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También la Defensoría del Pueblo conoció, en el marco del último estado de excepción (2024), del presunto caso de violencia física y de género en contra de una PPL transexual ubicada en un centro masculino; violencia ejercida por personas militar que le habría despojado de su vestimenta, le habría cortado el cabello, golpeado y la habrían tratado despectivamente. Actualmente, la defensoría del pueblo hace seguimiento al caso a través de su mecanismo de género. </w:t>
      </w:r>
    </w:p>
    <w:p w14:paraId="1805E3F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35070239"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Además, se han propiciado reuniones interinstitucionales con el fin de establecer una alerta temprana para atender los casos de la </w:t>
      </w:r>
      <w:r w:rsidRPr="00775AE5">
        <w:rPr>
          <w:rFonts w:ascii="Arial" w:eastAsia="Calibri" w:hAnsi="Arial" w:cs="Arial"/>
          <w:sz w:val="22"/>
          <w:szCs w:val="22"/>
          <w:lang w:val="es-ES"/>
        </w:rPr>
        <w:t xml:space="preserve">población LGBTI en contextos de privación de libertad; sin embargo, no se concretó acciones por falta de recursos humanos del ente rector. </w:t>
      </w:r>
    </w:p>
    <w:p w14:paraId="68ED24D6" w14:textId="77777777" w:rsidR="009E0A9E" w:rsidRPr="00775AE5" w:rsidRDefault="009E0A9E" w:rsidP="009E0A9E">
      <w:pPr>
        <w:pStyle w:val="Heading4"/>
        <w:spacing w:before="0" w:after="0" w:line="276" w:lineRule="auto"/>
        <w:rPr>
          <w:rFonts w:ascii="Arial" w:hAnsi="Arial" w:cs="Arial"/>
          <w:i w:val="0"/>
          <w:sz w:val="22"/>
          <w:szCs w:val="22"/>
          <w:lang w:val="es-ES"/>
        </w:rPr>
      </w:pPr>
    </w:p>
    <w:p w14:paraId="6CAB27AA" w14:textId="77777777" w:rsidR="009E0A9E" w:rsidRPr="00775AE5" w:rsidRDefault="009E0A9E" w:rsidP="009E0A9E">
      <w:pPr>
        <w:pStyle w:val="Heading4"/>
        <w:spacing w:before="0" w:after="0" w:line="276" w:lineRule="auto"/>
        <w:rPr>
          <w:rFonts w:ascii="Arial" w:hAnsi="Arial" w:cs="Arial"/>
          <w:i w:val="0"/>
          <w:sz w:val="22"/>
          <w:szCs w:val="22"/>
          <w:lang w:val="es-ES"/>
        </w:rPr>
      </w:pPr>
      <w:r w:rsidRPr="00775AE5">
        <w:rPr>
          <w:rFonts w:ascii="Arial" w:hAnsi="Arial" w:cs="Arial"/>
          <w:i w:val="0"/>
          <w:sz w:val="22"/>
          <w:szCs w:val="22"/>
          <w:lang w:val="es-ES"/>
        </w:rPr>
        <w:t>1.5.1. Situación de mujeres con discapacidad</w:t>
      </w:r>
    </w:p>
    <w:p w14:paraId="7D1DA39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51A857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La Defensoría del Pueblo en atención a las atribuciones establecidas en la Ley Orgánica de Discapacidad, conoció varios procesos de aplicación de medidas de protección a favor de este grupo, dentro del trámite defensorial DPE- DNAPL-1701-170104-19-2017-000505 entre varios aspectos que vulneraban los derechos de una persona con discapacidad que se encontraba en acogimiento institucional dentro de un Centro de Cuidado, dentro de la sustanciación de dichas medidas se identificó problemas en cuanto al ejercicio del derecho al trabajo respecto a la administración de los fondos que la beneficiaria recibió por su vinculación laboral; así como, la práctica de procedimientos definitivo de “esterilización” que se habrían realizado en contra de nueve personas, incluida la beneficiaria, como una medida para evitar embarazos, todo esto sin establecer lineamientos claros para garantizar el consentimiento.</w:t>
      </w:r>
    </w:p>
    <w:p w14:paraId="157E1DF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24F4A9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Dentro de la resolución defensorial ante la gravedad de las situaciones encontradas, entre otras se emitió las siguientes medidas:</w:t>
      </w:r>
    </w:p>
    <w:p w14:paraId="56ED6AD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D2931E4" w14:textId="1C5F45BF" w:rsidR="009E0A9E" w:rsidRPr="00775AE5" w:rsidRDefault="009E0A9E" w:rsidP="00B17DD2">
      <w:pPr>
        <w:numPr>
          <w:ilvl w:val="0"/>
          <w:numId w:val="21"/>
        </w:num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 xml:space="preserve">El presente caso evidencia la necesidad de mejorar los servicios de salud sexual y reproductiva a fin de que se garantice de manera adecuada los derechos sexuales y reproductivos de las personas con discapacidad. En atención al artículo 23 de la Convención sobre Derechos de las Personas con Discapacidad y considerando que la entidad rectora en materia de salud es el Ministerio de Salud </w:t>
      </w:r>
      <w:r w:rsidR="00434BA9" w:rsidRPr="00775AE5">
        <w:rPr>
          <w:rFonts w:ascii="Arial" w:eastAsia="Calibri" w:hAnsi="Arial" w:cs="Arial"/>
          <w:sz w:val="22"/>
          <w:szCs w:val="22"/>
          <w:lang w:val="es-ES"/>
        </w:rPr>
        <w:t>Pública, solicitamos</w:t>
      </w:r>
      <w:r w:rsidRPr="00775AE5">
        <w:rPr>
          <w:rFonts w:ascii="Arial" w:eastAsia="Calibri" w:hAnsi="Arial" w:cs="Arial"/>
          <w:sz w:val="22"/>
          <w:szCs w:val="22"/>
          <w:lang w:val="es-ES"/>
        </w:rPr>
        <w:t xml:space="preserve"> al señor Director Nacional de Discapacidades del Ministerio de Salud Pública. MSP, magister Y P G, que despliegue las acciones necesarias a fin de que en el menor tiempo posible se dicten las directrices o protocolos necesarios para que el servicio de salud garantice de manera efectiva los derechos sexuales y reproductivos de las personas con discapacidad...</w:t>
      </w:r>
    </w:p>
    <w:p w14:paraId="606BEBF7" w14:textId="77777777" w:rsidR="009E0A9E" w:rsidRPr="00775AE5" w:rsidRDefault="009E0A9E" w:rsidP="00B17DD2">
      <w:pPr>
        <w:numPr>
          <w:ilvl w:val="0"/>
          <w:numId w:val="21"/>
        </w:num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Al haber identificado la ausencia de procedimiento referentes a la administración y custodia de valores monetarios de las personas con discapacidad en acogimiento por situación de abandono, es necesario que tanto el Ministerio de Inclusión Económica y Social como el Ministerio de Trabajo aborden esta situación a fin de garantizar los derechos de las personas con discapacidad.</w:t>
      </w:r>
    </w:p>
    <w:p w14:paraId="2748518D" w14:textId="361D444C" w:rsidR="009E0A9E" w:rsidRPr="00775AE5" w:rsidRDefault="009E0A9E" w:rsidP="00B17DD2">
      <w:pPr>
        <w:numPr>
          <w:ilvl w:val="0"/>
          <w:numId w:val="21"/>
        </w:numPr>
        <w:spacing w:line="276" w:lineRule="auto"/>
        <w:jc w:val="both"/>
        <w:rPr>
          <w:rFonts w:ascii="Arial" w:eastAsia="Calibri" w:hAnsi="Arial" w:cs="Arial"/>
          <w:sz w:val="22"/>
          <w:szCs w:val="22"/>
          <w:lang w:val="es-ES"/>
        </w:rPr>
      </w:pPr>
      <w:r w:rsidRPr="00775AE5">
        <w:rPr>
          <w:rFonts w:ascii="Arial" w:eastAsia="Calibri" w:hAnsi="Arial" w:cs="Arial"/>
          <w:sz w:val="22"/>
          <w:szCs w:val="22"/>
          <w:lang w:val="es-ES"/>
        </w:rPr>
        <w:t xml:space="preserve">Ante la posible esterilización de R.I.M.A (Art. 165 COIP) </w:t>
      </w:r>
      <w:r w:rsidR="00434BA9" w:rsidRPr="00775AE5">
        <w:rPr>
          <w:rFonts w:ascii="Arial" w:eastAsia="Calibri" w:hAnsi="Arial" w:cs="Arial"/>
          <w:sz w:val="22"/>
          <w:szCs w:val="22"/>
          <w:lang w:val="es-ES"/>
        </w:rPr>
        <w:t>y fin</w:t>
      </w:r>
      <w:r w:rsidRPr="00775AE5">
        <w:rPr>
          <w:rFonts w:ascii="Arial" w:eastAsia="Calibri" w:hAnsi="Arial" w:cs="Arial"/>
          <w:sz w:val="22"/>
          <w:szCs w:val="22"/>
          <w:lang w:val="es-ES"/>
        </w:rPr>
        <w:t xml:space="preserve"> de que en ejercicio de la acción penal, la Fiscalía investigue el presente caso, remitimos a la doctora L.B, Directora de Gestión Procesal de la Fiscalía General del Estado.</w:t>
      </w:r>
    </w:p>
    <w:p w14:paraId="1C6D5A81" w14:textId="77777777" w:rsidR="009E0A9E" w:rsidRPr="00775AE5" w:rsidRDefault="009E0A9E" w:rsidP="009E0A9E">
      <w:pPr>
        <w:spacing w:line="276" w:lineRule="auto"/>
        <w:ind w:left="1429"/>
        <w:jc w:val="both"/>
        <w:rPr>
          <w:rFonts w:ascii="Arial" w:eastAsia="Calibri" w:hAnsi="Arial" w:cs="Arial"/>
          <w:sz w:val="22"/>
          <w:szCs w:val="22"/>
          <w:lang w:val="es-ES"/>
        </w:rPr>
      </w:pPr>
    </w:p>
    <w:p w14:paraId="2A35B6E5" w14:textId="77777777" w:rsidR="009E0A9E" w:rsidRPr="00775AE5" w:rsidRDefault="009E0A9E" w:rsidP="009E0A9E">
      <w:pPr>
        <w:spacing w:line="276" w:lineRule="auto"/>
        <w:ind w:left="709"/>
        <w:jc w:val="both"/>
        <w:rPr>
          <w:rFonts w:ascii="Arial" w:eastAsia="Calibri" w:hAnsi="Arial" w:cs="Arial"/>
          <w:sz w:val="22"/>
          <w:szCs w:val="22"/>
          <w:lang w:val="es-ES"/>
        </w:rPr>
      </w:pPr>
    </w:p>
    <w:p w14:paraId="69B63339" w14:textId="77777777" w:rsidR="009E0A9E" w:rsidRPr="00775AE5" w:rsidRDefault="009E0A9E" w:rsidP="00640CCA">
      <w:pPr>
        <w:pStyle w:val="Heading3"/>
        <w:rPr>
          <w:rFonts w:ascii="Arial" w:hAnsi="Arial" w:cs="Arial"/>
          <w:sz w:val="22"/>
          <w:szCs w:val="22"/>
        </w:rPr>
      </w:pPr>
      <w:bookmarkStart w:id="35" w:name="_Toc168907355"/>
      <w:r w:rsidRPr="00775AE5">
        <w:rPr>
          <w:rFonts w:ascii="Arial" w:hAnsi="Arial" w:cs="Arial"/>
          <w:sz w:val="22"/>
          <w:szCs w:val="22"/>
        </w:rPr>
        <w:t>1.6. Artículo 11 (Párrafo 23 de la Lista de Cuestiones)</w:t>
      </w:r>
      <w:bookmarkEnd w:id="35"/>
      <w:r w:rsidRPr="00775AE5">
        <w:rPr>
          <w:rFonts w:ascii="Arial" w:hAnsi="Arial" w:cs="Arial"/>
          <w:sz w:val="22"/>
          <w:szCs w:val="22"/>
        </w:rPr>
        <w:t xml:space="preserve"> </w:t>
      </w:r>
    </w:p>
    <w:p w14:paraId="0DD80F37" w14:textId="77777777" w:rsidR="009E0A9E" w:rsidRPr="00775AE5" w:rsidRDefault="009E0A9E" w:rsidP="009E0A9E">
      <w:pPr>
        <w:rPr>
          <w:rFonts w:ascii="Arial" w:eastAsia="Calibri" w:hAnsi="Arial" w:cs="Arial"/>
          <w:sz w:val="22"/>
          <w:szCs w:val="22"/>
        </w:rPr>
      </w:pPr>
    </w:p>
    <w:p w14:paraId="34CC6DF9" w14:textId="77777777" w:rsidR="009E0A9E" w:rsidRPr="00775AE5" w:rsidRDefault="009E0A9E" w:rsidP="009E0A9E">
      <w:pPr>
        <w:pStyle w:val="Heading4"/>
        <w:spacing w:before="0" w:after="0" w:line="276" w:lineRule="auto"/>
        <w:rPr>
          <w:rFonts w:ascii="Arial" w:eastAsia="Calibri" w:hAnsi="Arial" w:cs="Arial"/>
          <w:i w:val="0"/>
          <w:sz w:val="22"/>
          <w:szCs w:val="22"/>
          <w:lang w:val="es-ES" w:eastAsia="zh-CN"/>
        </w:rPr>
      </w:pPr>
      <w:r w:rsidRPr="00775AE5">
        <w:rPr>
          <w:rFonts w:ascii="Arial" w:eastAsia="Calibri" w:hAnsi="Arial" w:cs="Arial"/>
          <w:i w:val="0"/>
          <w:sz w:val="22"/>
          <w:szCs w:val="22"/>
          <w:lang w:val="es-ES" w:eastAsia="zh-CN"/>
        </w:rPr>
        <w:t>1.6.1. Aislamiento a adolescentes infractores</w:t>
      </w:r>
    </w:p>
    <w:p w14:paraId="21A3BDC1" w14:textId="77777777" w:rsidR="009E0A9E" w:rsidRPr="00775AE5" w:rsidRDefault="009E0A9E" w:rsidP="009E0A9E">
      <w:pPr>
        <w:rPr>
          <w:rFonts w:ascii="Arial" w:eastAsia="Calibri" w:hAnsi="Arial" w:cs="Arial"/>
          <w:sz w:val="22"/>
          <w:szCs w:val="22"/>
          <w:lang w:val="es-ES" w:eastAsia="zh-CN"/>
        </w:rPr>
      </w:pPr>
    </w:p>
    <w:p w14:paraId="21B355DA"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De los informes de las visitas a los centros de adolescentes infractores, y en relación a la aplicación de aislamiento como forma de sanción, se observó que en los CAI de varones de Quito (Virgilio Guerrero), Guayaquil e Ibarra se continúa aplicando el aislamiento como forma de sanción. El equipo del MNPT confirmó que existen espacios para la separación de los adolescentes y que estos no se encuentran adecuados para alojar a personas. En el caso del CAI Virgilio Guerrero, los espacios no cuentan con iluminación natural e incluso que presentaban problemas de conexión eléctrica, por lo cual se podía someter a aislamiento en obscuras, ya que el único acceso de luz es una pequeña ventana interna en la puerta de metal de 20 cm x 20 cm aproximadamente que no da ingreso de luz natural, de igual forma los espacios carecen de colchón y tenía mal olor. Mientras que en el caso del CAI de varones Guayaquil se los encerraría en una bodega o en dormitorios unipersonales; y en Ibarra se usarían los propios dormitorios de los adolescentes. </w:t>
      </w:r>
    </w:p>
    <w:p w14:paraId="77F163A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2883D15" w14:textId="40E80350"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En cuanto al tiempo de permanencia en </w:t>
      </w:r>
      <w:r w:rsidR="00B93283" w:rsidRPr="00775AE5">
        <w:rPr>
          <w:rFonts w:ascii="Arial" w:eastAsia="DejaVu Sans" w:hAnsi="Arial" w:cs="Arial"/>
          <w:sz w:val="22"/>
          <w:szCs w:val="22"/>
          <w:lang w:val="es-VE" w:eastAsia="es-EC"/>
        </w:rPr>
        <w:t>estos</w:t>
      </w:r>
      <w:r w:rsidRPr="00775AE5">
        <w:rPr>
          <w:rFonts w:ascii="Arial" w:eastAsia="DejaVu Sans" w:hAnsi="Arial" w:cs="Arial"/>
          <w:sz w:val="22"/>
          <w:szCs w:val="22"/>
          <w:lang w:val="es-VE" w:eastAsia="es-EC"/>
        </w:rPr>
        <w:t xml:space="preserve"> espacios van de uno </w:t>
      </w:r>
      <w:r w:rsidR="00434BA9" w:rsidRPr="00775AE5">
        <w:rPr>
          <w:rFonts w:ascii="Arial" w:eastAsia="DejaVu Sans" w:hAnsi="Arial" w:cs="Arial"/>
          <w:sz w:val="22"/>
          <w:szCs w:val="22"/>
          <w:lang w:val="es-VE" w:eastAsia="es-EC"/>
        </w:rPr>
        <w:t>a tres</w:t>
      </w:r>
      <w:r w:rsidRPr="00775AE5">
        <w:rPr>
          <w:rFonts w:ascii="Arial" w:eastAsia="DejaVu Sans" w:hAnsi="Arial" w:cs="Arial"/>
          <w:sz w:val="22"/>
          <w:szCs w:val="22"/>
          <w:lang w:val="es-VE" w:eastAsia="es-EC"/>
        </w:rPr>
        <w:t xml:space="preserve"> días, y se podría prolongar de acuerdo a la falta cometida, siendo en términos generales la forma de sanción más aplicada. Durante la sanción recibirían </w:t>
      </w:r>
      <w:r w:rsidR="00434BA9" w:rsidRPr="00775AE5">
        <w:rPr>
          <w:rFonts w:ascii="Arial" w:eastAsia="DejaVu Sans" w:hAnsi="Arial" w:cs="Arial"/>
          <w:sz w:val="22"/>
          <w:szCs w:val="22"/>
          <w:lang w:val="es-VE" w:eastAsia="es-EC"/>
        </w:rPr>
        <w:t>alimentos,</w:t>
      </w:r>
      <w:r w:rsidRPr="00775AE5">
        <w:rPr>
          <w:rFonts w:ascii="Arial" w:eastAsia="DejaVu Sans" w:hAnsi="Arial" w:cs="Arial"/>
          <w:sz w:val="22"/>
          <w:szCs w:val="22"/>
          <w:lang w:val="es-VE" w:eastAsia="es-EC"/>
        </w:rPr>
        <w:t xml:space="preserve"> pero no accederían a otras actividades. </w:t>
      </w:r>
      <w:r w:rsidR="00434BA9" w:rsidRPr="00775AE5">
        <w:rPr>
          <w:rFonts w:ascii="Arial" w:eastAsia="DejaVu Sans" w:hAnsi="Arial" w:cs="Arial"/>
          <w:sz w:val="22"/>
          <w:szCs w:val="22"/>
          <w:lang w:val="es-VE" w:eastAsia="es-EC"/>
        </w:rPr>
        <w:t>Además,</w:t>
      </w:r>
      <w:r w:rsidRPr="00775AE5">
        <w:rPr>
          <w:rFonts w:ascii="Arial" w:eastAsia="DejaVu Sans" w:hAnsi="Arial" w:cs="Arial"/>
          <w:sz w:val="22"/>
          <w:szCs w:val="22"/>
          <w:lang w:val="es-VE" w:eastAsia="es-EC"/>
        </w:rPr>
        <w:t xml:space="preserve"> tampoco recibirían la asistencia de profesionales durante el tiempo de encierro. </w:t>
      </w:r>
    </w:p>
    <w:p w14:paraId="3F9C129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181FB0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Pese a que las Reglas de las Naciones Unidas para la protección de los menores privados de libertad (1990) establecen en el párrafo 67 que "Estarán estrictamente prohibidas todas las medidas disciplinarias que constituyan un trato cruel, inhumano o degradante, incluidos los castigos corporales, la reclusión en celda oscura y las penas de aislamiento o de celda solitaria, así como cualquier otra sanción que pueda poner en peligro la salud física o mental del menor." Y que el Modelo Integral Restaurativo (2020) no contempla la posibilidad de separación ni como medida de seguridad hacia las/os adolescentes, ni como forma de castigo. </w:t>
      </w:r>
    </w:p>
    <w:p w14:paraId="52883A05"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F26C308" w14:textId="2190FAA0"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Adicionalmente, en </w:t>
      </w:r>
      <w:r w:rsidR="00434BA9" w:rsidRPr="00775AE5">
        <w:rPr>
          <w:rFonts w:ascii="Arial" w:eastAsia="DejaVu Sans" w:hAnsi="Arial" w:cs="Arial"/>
          <w:sz w:val="22"/>
          <w:szCs w:val="22"/>
          <w:lang w:val="es-VE" w:eastAsia="es-EC"/>
        </w:rPr>
        <w:t>estos</w:t>
      </w:r>
      <w:r w:rsidRPr="00775AE5">
        <w:rPr>
          <w:rFonts w:ascii="Arial" w:eastAsia="DejaVu Sans" w:hAnsi="Arial" w:cs="Arial"/>
          <w:sz w:val="22"/>
          <w:szCs w:val="22"/>
          <w:lang w:val="es-VE" w:eastAsia="es-EC"/>
        </w:rPr>
        <w:t xml:space="preserve"> casos donde todavía se aplica el aislamiento como forma de sanción, no se registra denuncias formales al respecto y las autoridades refieren desconocer la aplicación de dichas medidas, cuestión que llevan a suponer que es el personal de seguridad quien aplica </w:t>
      </w:r>
      <w:r w:rsidR="00B93283" w:rsidRPr="00775AE5">
        <w:rPr>
          <w:rFonts w:ascii="Arial" w:eastAsia="DejaVu Sans" w:hAnsi="Arial" w:cs="Arial"/>
          <w:sz w:val="22"/>
          <w:szCs w:val="22"/>
          <w:lang w:val="es-VE" w:eastAsia="es-EC"/>
        </w:rPr>
        <w:t>estas</w:t>
      </w:r>
      <w:r w:rsidRPr="00775AE5">
        <w:rPr>
          <w:rFonts w:ascii="Arial" w:eastAsia="DejaVu Sans" w:hAnsi="Arial" w:cs="Arial"/>
          <w:sz w:val="22"/>
          <w:szCs w:val="22"/>
          <w:lang w:val="es-VE" w:eastAsia="es-EC"/>
        </w:rPr>
        <w:t xml:space="preserve"> medidas de manera discrecional, sin que con esto se reste la responsabilidad que tienen las autoridades de los centros en hacer cumplir la normativa vigente. </w:t>
      </w:r>
    </w:p>
    <w:p w14:paraId="1D14F55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81569A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En el caso del CAI Machala, Riobamba, Esmeraldas, Riobamba y Femenino Quito (Conocoto) tanto los funcionarios como los/as adolescentes informaron que no se estaría aplicando el aislamiento como forma de sanción sino otras medidas socioeducativas que buscan enmendar las faltas de los adolescentes mediante la conciliación (medidas como disculpas públicas o trabajo comunitario). La separación se utilizaría únicamente como medida de seguridad si la vida o las condiciones de un adolescente refieren algún tipo de riesgo. Únicamente en el caso del CAI femenino se reportó la asistencia de profesionales (psicóloga y trabajadora social) durante el tiempo que dure la separación de una adolescente. </w:t>
      </w:r>
    </w:p>
    <w:p w14:paraId="78839524" w14:textId="77777777" w:rsidR="009E0A9E" w:rsidRPr="00775AE5" w:rsidRDefault="009E0A9E" w:rsidP="009E0A9E">
      <w:pPr>
        <w:pStyle w:val="Heading4"/>
        <w:spacing w:before="0" w:after="0" w:line="276" w:lineRule="auto"/>
        <w:rPr>
          <w:rFonts w:ascii="Arial" w:hAnsi="Arial" w:cs="Arial"/>
          <w:i w:val="0"/>
          <w:sz w:val="22"/>
          <w:szCs w:val="22"/>
          <w:lang w:val="es-ES" w:eastAsia="zh-CN"/>
        </w:rPr>
      </w:pPr>
    </w:p>
    <w:p w14:paraId="6AFD85FA" w14:textId="77777777" w:rsidR="009E0A9E" w:rsidRPr="00775AE5" w:rsidRDefault="009E0A9E" w:rsidP="009E0A9E">
      <w:pPr>
        <w:pStyle w:val="Heading4"/>
        <w:spacing w:before="0" w:after="0" w:line="276" w:lineRule="auto"/>
        <w:rPr>
          <w:rFonts w:ascii="Arial" w:hAnsi="Arial" w:cs="Arial"/>
          <w:i w:val="0"/>
          <w:sz w:val="22"/>
          <w:szCs w:val="22"/>
          <w:lang w:val="es-ES" w:eastAsia="zh-CN"/>
        </w:rPr>
      </w:pPr>
      <w:r w:rsidRPr="00775AE5">
        <w:rPr>
          <w:rFonts w:ascii="Arial" w:hAnsi="Arial" w:cs="Arial"/>
          <w:i w:val="0"/>
          <w:sz w:val="22"/>
          <w:szCs w:val="22"/>
          <w:lang w:val="es-ES" w:eastAsia="zh-CN"/>
        </w:rPr>
        <w:t>1.6.2. Aislamiento a adultos</w:t>
      </w:r>
    </w:p>
    <w:p w14:paraId="1B09CA6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1A75BC9"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La situación en cuanto al aislamiento como medio o método de castigo hacia las PPL que incurren presuntamente en faltas de orden disciplinario, prácticamente no ha variado con lo observado por el equipo del MNPT en años pasados. Si bien las autoridades y funcionarios de los centros insistieron en que el tema del aislamiento se mantiene básicamente por protección a las mismas PPL, ante amenazas o rivalidad con otras personas internas; sigue siendo muy discrecional y ambivalente su uso, ya que como se indicó en la parte correspondiente a infraestructura, en su mayoría los espacios destinados para la separación, se encuentran en peores condiciones de lo que se hallan las celdas regulares, carecen de mobiliario, iluminación  y servicios sanitarios; lo que contribuye a la idea de que la estancia en estas áreas, constituye una sanción.</w:t>
      </w:r>
    </w:p>
    <w:p w14:paraId="6C7923F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E654418" w14:textId="0403FFA2" w:rsidR="009E0A9E" w:rsidRPr="00775AE5" w:rsidRDefault="00434BA9"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Así,</w:t>
      </w:r>
      <w:r w:rsidR="009E0A9E" w:rsidRPr="00775AE5">
        <w:rPr>
          <w:rFonts w:ascii="Arial" w:eastAsia="DejaVu Sans" w:hAnsi="Arial" w:cs="Arial"/>
          <w:sz w:val="22"/>
          <w:szCs w:val="22"/>
          <w:lang w:val="es-VE" w:eastAsia="es-EC"/>
        </w:rPr>
        <w:t xml:space="preserve"> por ejemplo, en el CPL Chimborazo N°1 existe un espacio sin luz y agua para el efecto. El CRS de Imbabura N°1 posee una celda de aislamiento que no cuenta con las adecuaciones físicas ni mobiliarias para que las PPL puedan </w:t>
      </w:r>
      <w:r w:rsidRPr="00775AE5">
        <w:rPr>
          <w:rFonts w:ascii="Arial" w:eastAsia="DejaVu Sans" w:hAnsi="Arial" w:cs="Arial"/>
          <w:sz w:val="22"/>
          <w:szCs w:val="22"/>
          <w:lang w:val="es-VE" w:eastAsia="es-EC"/>
        </w:rPr>
        <w:t>permanecer (</w:t>
      </w:r>
      <w:r w:rsidR="009E0A9E" w:rsidRPr="00775AE5">
        <w:rPr>
          <w:rFonts w:ascii="Arial" w:eastAsia="DejaVu Sans" w:hAnsi="Arial" w:cs="Arial"/>
          <w:sz w:val="22"/>
          <w:szCs w:val="22"/>
          <w:lang w:val="es-VE" w:eastAsia="es-EC"/>
        </w:rPr>
        <w:t xml:space="preserve">no existen camas, colchones, baños, el acceso a luz natural y la ventilación es nula), situación que también se evidenció en el CPL El Oro N°1 tanto en la primera como en la segunda planta. Por otra parte, en Tulcán existe una celda a la que le denominan calabozo que, aunque posee cama e iluminación suficientes, no cuenta con instalaciones sanitarias, e incluso las sanciones de ingreso a este espacio son dispuestas por otros PPL. En Lago Agrio el MNPT verificó que una de las celdas que se destinan para este efecto en el pabellón de mediana seguridad no cumple con las condiciones mínimas de habitabilidad. En el CPPL Pichincha N°1 se continúa utilizando las celdas de reflexión o calabozos como medio de castigo para las personas internas donde las encierran por varios días. Estos espacios no cuentan con las condiciones mínimas de habitabilidad como disponer de mobiliario, iluminación, ventilación e instalaciones sanitarias.  </w:t>
      </w:r>
    </w:p>
    <w:p w14:paraId="0DF241A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1CE9EE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Finalmente, es importante señalar que en la mayoría de veces la sanción de aislamiento o de separación la realiza el agente de seguridad penitenciaria de una manera discrecional, sin que se lleve el debido proceso estipulado en el COIP, en el cual se exige la existencia de una audiencia, donde el acusado pueda defenderse, con acceso a un defensor. </w:t>
      </w:r>
    </w:p>
    <w:p w14:paraId="0EB2027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E1487AF" w14:textId="77777777" w:rsidR="009E0A9E" w:rsidRPr="00775AE5" w:rsidRDefault="009E0A9E" w:rsidP="009E0A9E">
      <w:pPr>
        <w:widowControl w:val="0"/>
        <w:suppressAutoHyphens/>
        <w:spacing w:line="276" w:lineRule="auto"/>
        <w:ind w:firstLine="708"/>
        <w:jc w:val="both"/>
        <w:rPr>
          <w:rFonts w:ascii="Arial" w:eastAsia="DejaVu Sans" w:hAnsi="Arial" w:cs="Arial"/>
          <w:sz w:val="22"/>
          <w:szCs w:val="22"/>
          <w:lang w:val="es-VE" w:eastAsia="es-EC"/>
        </w:rPr>
      </w:pPr>
    </w:p>
    <w:p w14:paraId="54A62E39" w14:textId="77777777" w:rsidR="009E0A9E" w:rsidRPr="00775AE5" w:rsidRDefault="009E0A9E" w:rsidP="00640CCA">
      <w:pPr>
        <w:pStyle w:val="Heading3"/>
        <w:rPr>
          <w:rFonts w:ascii="Arial" w:hAnsi="Arial" w:cs="Arial"/>
          <w:sz w:val="22"/>
          <w:szCs w:val="22"/>
        </w:rPr>
      </w:pPr>
      <w:bookmarkStart w:id="36" w:name="_Toc168907356"/>
      <w:r w:rsidRPr="00775AE5">
        <w:rPr>
          <w:rFonts w:ascii="Arial" w:hAnsi="Arial" w:cs="Arial"/>
          <w:sz w:val="22"/>
          <w:szCs w:val="22"/>
        </w:rPr>
        <w:t>1.7. Artículo 11 (Párrafos 24 y párrafo 25 de la Lista de Cuestiones)</w:t>
      </w:r>
      <w:bookmarkEnd w:id="36"/>
    </w:p>
    <w:p w14:paraId="06481EE5" w14:textId="77777777" w:rsidR="009E0A9E" w:rsidRPr="00775AE5" w:rsidRDefault="009E0A9E" w:rsidP="00640CCA">
      <w:pPr>
        <w:pStyle w:val="Heading3"/>
        <w:rPr>
          <w:rFonts w:ascii="Arial" w:hAnsi="Arial" w:cs="Arial"/>
          <w:sz w:val="22"/>
          <w:szCs w:val="22"/>
        </w:rPr>
      </w:pPr>
    </w:p>
    <w:p w14:paraId="17D5F708" w14:textId="77777777" w:rsidR="009E0A9E" w:rsidRPr="00775AE5" w:rsidRDefault="009E0A9E" w:rsidP="00640CCA">
      <w:pPr>
        <w:pStyle w:val="Heading3"/>
        <w:rPr>
          <w:rFonts w:ascii="Arial" w:hAnsi="Arial" w:cs="Arial"/>
          <w:sz w:val="22"/>
          <w:szCs w:val="22"/>
        </w:rPr>
      </w:pPr>
      <w:bookmarkStart w:id="37" w:name="_Toc168907357"/>
      <w:r w:rsidRPr="00775AE5">
        <w:rPr>
          <w:rFonts w:ascii="Arial" w:hAnsi="Arial" w:cs="Arial"/>
          <w:sz w:val="22"/>
          <w:szCs w:val="22"/>
        </w:rPr>
        <w:t>1.7.1 Actos de violencia</w:t>
      </w:r>
      <w:bookmarkEnd w:id="37"/>
    </w:p>
    <w:p w14:paraId="0672BE75" w14:textId="77777777" w:rsidR="009E0A9E" w:rsidRPr="00775AE5" w:rsidRDefault="009E0A9E" w:rsidP="009E0A9E">
      <w:pPr>
        <w:rPr>
          <w:rFonts w:ascii="Arial" w:eastAsia="Calibri" w:hAnsi="Arial" w:cs="Arial"/>
          <w:sz w:val="22"/>
          <w:szCs w:val="22"/>
        </w:rPr>
      </w:pPr>
    </w:p>
    <w:p w14:paraId="7B014C1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Desde febrero del 2021 se ha presenciado una serie de hechos violentos al interior de los lugares de privación de libertad sin precedentes, que han dejado como resultado centenares de PPL sin vida, en contextos de violencia generalizada justificada en el enfrentamiento entre grupos de delincuencia organizada. </w:t>
      </w:r>
    </w:p>
    <w:p w14:paraId="7BD11A65"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FEE814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Cabe manifestar que las muertes violentas intracarcelarias se han generado únicamente en centros masculinos; sin embargo, han tenido connotaciones para todos los centros del sistema, dado que por las alertas registradas se han suspendido desde la atención por parte del personal administrativo, el área de salud, el servicio de alimentación, hasta las visitas de familiares de PPL.</w:t>
      </w:r>
    </w:p>
    <w:p w14:paraId="1BE1C8D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3FE20631"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Estos hechos además han convocado la activación de las instituciones que conforman el OTRS para establecer protocolos y rutas de intervención frente a los continuos enfrentamientos. Pero también han dilucidado problemáticas conexas a las muertes como por ejemplo: la falta de claridad respecto a la identificación y gestión de cadáveres, falta información sobre los hechos hacia los familiares de las PPL, hijos/as de PPL fallecidos sin registros de reconocimiento de paternidad, PPL sentenciadas con un “alias” (desconociendo su información de identidad), etc. Así también, se evidenció formas claras de autogobierno y la incapacidad del Estado de custodiar y garantizar la seguridad y vida de las PPL. </w:t>
      </w:r>
    </w:p>
    <w:p w14:paraId="5D1460D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1D3E62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Un caso emblemático en este contexto fue el del PPL de iniciales A.J.M.C de nacionalidad venezolana, quién habría fallecido en la primera matanza registrada en el “Penitenciaría” (febrero 2021); pero que, sin embargo, su cuerpo no pudo ser entregado a sus familiares hasta 2023 debido a inconsistencias en su cédula de identidad. Alrededor de este caso, el MNPT tuvo diversas reuniones con autoridad y </w:t>
      </w:r>
      <w:proofErr w:type="spellStart"/>
      <w:r w:rsidRPr="00775AE5">
        <w:rPr>
          <w:rFonts w:ascii="Arial" w:eastAsia="DejaVu Sans" w:hAnsi="Arial" w:cs="Arial"/>
          <w:sz w:val="22"/>
          <w:szCs w:val="22"/>
          <w:lang w:val="es-VE" w:eastAsia="es-EC"/>
        </w:rPr>
        <w:t>ONGs</w:t>
      </w:r>
      <w:proofErr w:type="spellEnd"/>
      <w:r w:rsidRPr="00775AE5">
        <w:rPr>
          <w:rFonts w:ascii="Arial" w:eastAsia="DejaVu Sans" w:hAnsi="Arial" w:cs="Arial"/>
          <w:sz w:val="22"/>
          <w:szCs w:val="22"/>
          <w:lang w:val="es-VE" w:eastAsia="es-EC"/>
        </w:rPr>
        <w:t xml:space="preserve"> con el fin de facilitar la repatriación de los restos del PPL. </w:t>
      </w:r>
    </w:p>
    <w:p w14:paraId="693256E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B3C3D1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Desde el 2021 se registran más de 400 PPL fallecidos en las denominadas “matanzas carcelarias”. No obstante, hasta la fecha no se cuenta con un registro público sobre los decesos en el contexto penitenciario. Pese a que el acceso a la información ha sido una constante recomendación por parte del MNPT. Actualmente, para contar con información de decesos, se debe realizar una solicitud al SNAI, que no siempre es contestada. </w:t>
      </w:r>
    </w:p>
    <w:p w14:paraId="6101B55D" w14:textId="77777777" w:rsidR="009E0A9E" w:rsidRDefault="009E0A9E" w:rsidP="009E0A9E">
      <w:pPr>
        <w:widowControl w:val="0"/>
        <w:suppressAutoHyphens/>
        <w:spacing w:line="276" w:lineRule="auto"/>
        <w:jc w:val="both"/>
        <w:rPr>
          <w:rFonts w:ascii="Arial" w:eastAsia="DejaVu Sans" w:hAnsi="Arial" w:cs="Arial"/>
          <w:sz w:val="22"/>
          <w:szCs w:val="22"/>
          <w:lang w:val="es-VE" w:eastAsia="es-EC"/>
        </w:rPr>
      </w:pPr>
    </w:p>
    <w:p w14:paraId="0FC7BD58" w14:textId="2AA78B2A" w:rsidR="00793C8F" w:rsidRDefault="00793C8F" w:rsidP="009E0A9E">
      <w:pPr>
        <w:widowControl w:val="0"/>
        <w:suppressAutoHyphens/>
        <w:spacing w:line="276" w:lineRule="auto"/>
        <w:jc w:val="both"/>
        <w:rPr>
          <w:rFonts w:ascii="Arial" w:eastAsia="DejaVu Sans" w:hAnsi="Arial" w:cs="Arial"/>
          <w:sz w:val="22"/>
          <w:szCs w:val="22"/>
          <w:lang w:val="es-VE" w:eastAsia="es-EC"/>
        </w:rPr>
      </w:pPr>
    </w:p>
    <w:p w14:paraId="279ADF36" w14:textId="77777777" w:rsidR="00793C8F" w:rsidRDefault="00793C8F" w:rsidP="009E0A9E">
      <w:pPr>
        <w:widowControl w:val="0"/>
        <w:suppressAutoHyphens/>
        <w:spacing w:line="276" w:lineRule="auto"/>
        <w:jc w:val="both"/>
        <w:rPr>
          <w:rFonts w:ascii="Arial" w:eastAsia="DejaVu Sans" w:hAnsi="Arial" w:cs="Arial"/>
          <w:sz w:val="22"/>
          <w:szCs w:val="22"/>
          <w:lang w:val="es-VE" w:eastAsia="es-EC"/>
        </w:rPr>
      </w:pPr>
    </w:p>
    <w:p w14:paraId="5B211C2E" w14:textId="77777777" w:rsidR="00793C8F" w:rsidRPr="00775AE5" w:rsidRDefault="00793C8F" w:rsidP="009E0A9E">
      <w:pPr>
        <w:widowControl w:val="0"/>
        <w:suppressAutoHyphens/>
        <w:spacing w:line="276" w:lineRule="auto"/>
        <w:jc w:val="both"/>
        <w:rPr>
          <w:rFonts w:ascii="Arial" w:eastAsia="DejaVu Sans" w:hAnsi="Arial" w:cs="Arial"/>
          <w:sz w:val="22"/>
          <w:szCs w:val="22"/>
          <w:lang w:val="es-VE" w:eastAsia="es-EC"/>
        </w:rPr>
      </w:pPr>
    </w:p>
    <w:p w14:paraId="1997883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551F1E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Tabla 10</w:t>
      </w:r>
    </w:p>
    <w:p w14:paraId="13BB4800" w14:textId="77777777" w:rsidR="009E0A9E" w:rsidRPr="00775AE5" w:rsidRDefault="009E0A9E" w:rsidP="009E0A9E">
      <w:pPr>
        <w:widowControl w:val="0"/>
        <w:suppressAutoHyphens/>
        <w:spacing w:line="276" w:lineRule="auto"/>
        <w:jc w:val="both"/>
        <w:rPr>
          <w:rFonts w:ascii="Arial" w:eastAsia="DejaVu Sans" w:hAnsi="Arial" w:cs="Arial"/>
          <w:i/>
          <w:iCs/>
          <w:sz w:val="22"/>
          <w:szCs w:val="22"/>
          <w:lang w:val="es-VE" w:eastAsia="es-EC"/>
        </w:rPr>
      </w:pPr>
      <w:r w:rsidRPr="00775AE5">
        <w:rPr>
          <w:rFonts w:ascii="Arial" w:eastAsia="DejaVu Sans" w:hAnsi="Arial" w:cs="Arial"/>
          <w:i/>
          <w:iCs/>
          <w:sz w:val="22"/>
          <w:szCs w:val="22"/>
          <w:lang w:val="es-VE" w:eastAsia="es-EC"/>
        </w:rPr>
        <w:t xml:space="preserve">Decesos colectivos por hechos de violencia intracarcelaria </w:t>
      </w:r>
    </w:p>
    <w:tbl>
      <w:tblPr>
        <w:tblStyle w:val="TableGrid"/>
        <w:tblW w:w="8500" w:type="dxa"/>
        <w:tblLook w:val="04A0" w:firstRow="1" w:lastRow="0" w:firstColumn="1" w:lastColumn="0" w:noHBand="0" w:noVBand="1"/>
      </w:tblPr>
      <w:tblGrid>
        <w:gridCol w:w="1843"/>
        <w:gridCol w:w="2819"/>
        <w:gridCol w:w="3260"/>
        <w:gridCol w:w="1097"/>
      </w:tblGrid>
      <w:tr w:rsidR="009E0A9E" w:rsidRPr="00775AE5" w14:paraId="45304EFE" w14:textId="77777777" w:rsidTr="00525437">
        <w:trPr>
          <w:trHeight w:val="312"/>
        </w:trPr>
        <w:tc>
          <w:tcPr>
            <w:tcW w:w="1571" w:type="dxa"/>
            <w:noWrap/>
            <w:hideMark/>
          </w:tcPr>
          <w:p w14:paraId="12C5EA3D" w14:textId="77777777" w:rsidR="009E0A9E" w:rsidRPr="00775AE5" w:rsidRDefault="009E0A9E" w:rsidP="00525437">
            <w:pPr>
              <w:jc w:val="center"/>
              <w:rPr>
                <w:rFonts w:ascii="Arial" w:eastAsia="Calibri" w:hAnsi="Arial" w:cs="Arial"/>
                <w:b/>
                <w:bCs/>
                <w:color w:val="000000"/>
                <w:sz w:val="22"/>
                <w:szCs w:val="22"/>
                <w:lang w:val="en-US" w:eastAsia="en-US"/>
              </w:rPr>
            </w:pPr>
            <w:r w:rsidRPr="00775AE5">
              <w:rPr>
                <w:rFonts w:ascii="Arial" w:eastAsia="Calibri" w:hAnsi="Arial" w:cs="Arial"/>
                <w:b/>
                <w:bCs/>
                <w:color w:val="000000"/>
                <w:sz w:val="22"/>
                <w:szCs w:val="22"/>
              </w:rPr>
              <w:t>Masacres intracarcelarias</w:t>
            </w:r>
          </w:p>
        </w:tc>
        <w:tc>
          <w:tcPr>
            <w:tcW w:w="2819" w:type="dxa"/>
            <w:noWrap/>
            <w:hideMark/>
          </w:tcPr>
          <w:p w14:paraId="4DB7EF84" w14:textId="77777777" w:rsidR="009E0A9E" w:rsidRPr="00775AE5" w:rsidRDefault="009E0A9E" w:rsidP="00525437">
            <w:pPr>
              <w:jc w:val="center"/>
              <w:rPr>
                <w:rFonts w:ascii="Arial" w:eastAsia="Calibri" w:hAnsi="Arial" w:cs="Arial"/>
                <w:b/>
                <w:bCs/>
                <w:color w:val="000000"/>
                <w:sz w:val="22"/>
                <w:szCs w:val="22"/>
              </w:rPr>
            </w:pPr>
            <w:r w:rsidRPr="00775AE5">
              <w:rPr>
                <w:rFonts w:ascii="Arial" w:eastAsia="Calibri" w:hAnsi="Arial" w:cs="Arial"/>
                <w:b/>
                <w:bCs/>
                <w:color w:val="000000"/>
                <w:sz w:val="22"/>
                <w:szCs w:val="22"/>
              </w:rPr>
              <w:t>Fecha</w:t>
            </w:r>
          </w:p>
        </w:tc>
        <w:tc>
          <w:tcPr>
            <w:tcW w:w="3260" w:type="dxa"/>
            <w:noWrap/>
            <w:hideMark/>
          </w:tcPr>
          <w:p w14:paraId="246C6E20" w14:textId="77777777" w:rsidR="009E0A9E" w:rsidRPr="00775AE5" w:rsidRDefault="009E0A9E" w:rsidP="00525437">
            <w:pPr>
              <w:jc w:val="center"/>
              <w:rPr>
                <w:rFonts w:ascii="Arial" w:eastAsia="Calibri" w:hAnsi="Arial" w:cs="Arial"/>
                <w:b/>
                <w:bCs/>
                <w:color w:val="000000"/>
                <w:sz w:val="22"/>
                <w:szCs w:val="22"/>
              </w:rPr>
            </w:pPr>
            <w:r w:rsidRPr="00775AE5">
              <w:rPr>
                <w:rFonts w:ascii="Arial" w:eastAsia="Calibri" w:hAnsi="Arial" w:cs="Arial"/>
                <w:b/>
                <w:bCs/>
                <w:color w:val="000000"/>
                <w:sz w:val="22"/>
                <w:szCs w:val="22"/>
              </w:rPr>
              <w:t>Centro</w:t>
            </w:r>
          </w:p>
        </w:tc>
        <w:tc>
          <w:tcPr>
            <w:tcW w:w="850" w:type="dxa"/>
            <w:noWrap/>
            <w:hideMark/>
          </w:tcPr>
          <w:p w14:paraId="6EC98CED" w14:textId="77777777" w:rsidR="009E0A9E" w:rsidRPr="00775AE5" w:rsidRDefault="009E0A9E" w:rsidP="00525437">
            <w:pPr>
              <w:jc w:val="center"/>
              <w:rPr>
                <w:rFonts w:ascii="Arial" w:eastAsia="Calibri" w:hAnsi="Arial" w:cs="Arial"/>
                <w:b/>
                <w:bCs/>
                <w:color w:val="000000"/>
                <w:sz w:val="22"/>
                <w:szCs w:val="22"/>
              </w:rPr>
            </w:pPr>
            <w:r w:rsidRPr="00775AE5">
              <w:rPr>
                <w:rFonts w:ascii="Arial" w:eastAsia="Calibri" w:hAnsi="Arial" w:cs="Arial"/>
                <w:b/>
                <w:bCs/>
                <w:color w:val="000000"/>
                <w:sz w:val="22"/>
                <w:szCs w:val="22"/>
              </w:rPr>
              <w:t>Número decesos</w:t>
            </w:r>
          </w:p>
        </w:tc>
      </w:tr>
      <w:tr w:rsidR="009E0A9E" w:rsidRPr="00775AE5" w14:paraId="1EED48E8" w14:textId="77777777" w:rsidTr="00525437">
        <w:trPr>
          <w:trHeight w:val="864"/>
        </w:trPr>
        <w:tc>
          <w:tcPr>
            <w:tcW w:w="1571" w:type="dxa"/>
            <w:vMerge w:val="restart"/>
            <w:noWrap/>
            <w:hideMark/>
          </w:tcPr>
          <w:p w14:paraId="69533984" w14:textId="77777777" w:rsidR="009E0A9E" w:rsidRPr="00775AE5" w:rsidRDefault="009E0A9E" w:rsidP="00525437">
            <w:pPr>
              <w:rPr>
                <w:rFonts w:ascii="Arial" w:eastAsia="Calibri" w:hAnsi="Arial" w:cs="Arial"/>
                <w:b/>
                <w:bCs/>
                <w:color w:val="000000"/>
                <w:sz w:val="22"/>
                <w:szCs w:val="22"/>
              </w:rPr>
            </w:pPr>
            <w:r w:rsidRPr="00775AE5">
              <w:rPr>
                <w:rFonts w:ascii="Arial" w:eastAsia="Calibri" w:hAnsi="Arial" w:cs="Arial"/>
                <w:b/>
                <w:bCs/>
                <w:color w:val="000000"/>
                <w:sz w:val="22"/>
                <w:szCs w:val="22"/>
              </w:rPr>
              <w:t>Primera</w:t>
            </w:r>
          </w:p>
        </w:tc>
        <w:tc>
          <w:tcPr>
            <w:tcW w:w="2819" w:type="dxa"/>
            <w:vMerge w:val="restart"/>
            <w:noWrap/>
            <w:hideMark/>
          </w:tcPr>
          <w:p w14:paraId="38D27597"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23 de febrero de 2021</w:t>
            </w:r>
          </w:p>
        </w:tc>
        <w:tc>
          <w:tcPr>
            <w:tcW w:w="3260" w:type="dxa"/>
            <w:noWrap/>
            <w:hideMark/>
          </w:tcPr>
          <w:p w14:paraId="7CF5E643"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CPL Azuay N.º 1 (Turi)</w:t>
            </w:r>
          </w:p>
        </w:tc>
        <w:tc>
          <w:tcPr>
            <w:tcW w:w="850" w:type="dxa"/>
            <w:noWrap/>
            <w:hideMark/>
          </w:tcPr>
          <w:p w14:paraId="008F9254"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34</w:t>
            </w:r>
          </w:p>
        </w:tc>
      </w:tr>
      <w:tr w:rsidR="009E0A9E" w:rsidRPr="00775AE5" w14:paraId="3C88A820" w14:textId="77777777" w:rsidTr="00525437">
        <w:trPr>
          <w:trHeight w:val="312"/>
        </w:trPr>
        <w:tc>
          <w:tcPr>
            <w:tcW w:w="1571" w:type="dxa"/>
            <w:vMerge/>
            <w:hideMark/>
          </w:tcPr>
          <w:p w14:paraId="10129C17" w14:textId="77777777" w:rsidR="009E0A9E" w:rsidRPr="00775AE5" w:rsidRDefault="009E0A9E" w:rsidP="00525437">
            <w:pPr>
              <w:rPr>
                <w:rFonts w:ascii="Arial" w:eastAsia="Calibri" w:hAnsi="Arial" w:cs="Arial"/>
                <w:b/>
                <w:bCs/>
                <w:color w:val="000000"/>
                <w:sz w:val="22"/>
                <w:szCs w:val="22"/>
              </w:rPr>
            </w:pPr>
          </w:p>
        </w:tc>
        <w:tc>
          <w:tcPr>
            <w:tcW w:w="2819" w:type="dxa"/>
            <w:vMerge/>
            <w:hideMark/>
          </w:tcPr>
          <w:p w14:paraId="34FAD8FD" w14:textId="77777777" w:rsidR="009E0A9E" w:rsidRPr="00775AE5" w:rsidRDefault="009E0A9E" w:rsidP="00525437">
            <w:pPr>
              <w:rPr>
                <w:rFonts w:ascii="Arial" w:eastAsia="Calibri" w:hAnsi="Arial" w:cs="Arial"/>
                <w:color w:val="000000"/>
                <w:sz w:val="22"/>
                <w:szCs w:val="22"/>
              </w:rPr>
            </w:pPr>
          </w:p>
        </w:tc>
        <w:tc>
          <w:tcPr>
            <w:tcW w:w="3260" w:type="dxa"/>
            <w:noWrap/>
            <w:hideMark/>
          </w:tcPr>
          <w:p w14:paraId="16632DB4"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sz w:val="22"/>
                <w:szCs w:val="22"/>
              </w:rPr>
              <w:t>CRS Masculino Guayas N°4 (La Regional)</w:t>
            </w:r>
          </w:p>
        </w:tc>
        <w:tc>
          <w:tcPr>
            <w:tcW w:w="850" w:type="dxa"/>
            <w:noWrap/>
            <w:hideMark/>
          </w:tcPr>
          <w:p w14:paraId="75DD0EAB"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31</w:t>
            </w:r>
          </w:p>
        </w:tc>
      </w:tr>
      <w:tr w:rsidR="009E0A9E" w:rsidRPr="00775AE5" w14:paraId="38D998C2" w14:textId="77777777" w:rsidTr="00525437">
        <w:trPr>
          <w:trHeight w:val="312"/>
        </w:trPr>
        <w:tc>
          <w:tcPr>
            <w:tcW w:w="1571" w:type="dxa"/>
            <w:vMerge/>
            <w:hideMark/>
          </w:tcPr>
          <w:p w14:paraId="61A6A85E" w14:textId="77777777" w:rsidR="009E0A9E" w:rsidRPr="00775AE5" w:rsidRDefault="009E0A9E" w:rsidP="00525437">
            <w:pPr>
              <w:rPr>
                <w:rFonts w:ascii="Arial" w:eastAsia="Calibri" w:hAnsi="Arial" w:cs="Arial"/>
                <w:b/>
                <w:bCs/>
                <w:color w:val="000000"/>
                <w:sz w:val="22"/>
                <w:szCs w:val="22"/>
              </w:rPr>
            </w:pPr>
          </w:p>
        </w:tc>
        <w:tc>
          <w:tcPr>
            <w:tcW w:w="2819" w:type="dxa"/>
            <w:vMerge/>
            <w:hideMark/>
          </w:tcPr>
          <w:p w14:paraId="519608B2" w14:textId="77777777" w:rsidR="009E0A9E" w:rsidRPr="00775AE5" w:rsidRDefault="009E0A9E" w:rsidP="00525437">
            <w:pPr>
              <w:rPr>
                <w:rFonts w:ascii="Arial" w:eastAsia="Calibri" w:hAnsi="Arial" w:cs="Arial"/>
                <w:color w:val="000000"/>
                <w:sz w:val="22"/>
                <w:szCs w:val="22"/>
              </w:rPr>
            </w:pPr>
          </w:p>
        </w:tc>
        <w:tc>
          <w:tcPr>
            <w:tcW w:w="3260" w:type="dxa"/>
            <w:noWrap/>
            <w:hideMark/>
          </w:tcPr>
          <w:p w14:paraId="03D879BF" w14:textId="77777777" w:rsidR="009E0A9E" w:rsidRPr="00775AE5" w:rsidRDefault="009E0A9E" w:rsidP="00525437">
            <w:pPr>
              <w:rPr>
                <w:rFonts w:ascii="Arial" w:eastAsia="Calibri" w:hAnsi="Arial" w:cs="Arial"/>
                <w:color w:val="181818"/>
                <w:sz w:val="22"/>
                <w:szCs w:val="22"/>
              </w:rPr>
            </w:pPr>
            <w:r w:rsidRPr="00775AE5">
              <w:rPr>
                <w:rFonts w:ascii="Arial" w:eastAsia="Calibri" w:hAnsi="Arial" w:cs="Arial"/>
                <w:color w:val="181818"/>
                <w:sz w:val="22"/>
                <w:szCs w:val="22"/>
              </w:rPr>
              <w:t>CPL Cotopaxi N°1</w:t>
            </w:r>
          </w:p>
        </w:tc>
        <w:tc>
          <w:tcPr>
            <w:tcW w:w="850" w:type="dxa"/>
            <w:noWrap/>
            <w:hideMark/>
          </w:tcPr>
          <w:p w14:paraId="22C34923"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8</w:t>
            </w:r>
          </w:p>
        </w:tc>
      </w:tr>
      <w:tr w:rsidR="009E0A9E" w:rsidRPr="00775AE5" w14:paraId="597A5F74" w14:textId="77777777" w:rsidTr="00525437">
        <w:trPr>
          <w:trHeight w:val="312"/>
        </w:trPr>
        <w:tc>
          <w:tcPr>
            <w:tcW w:w="1571" w:type="dxa"/>
            <w:vMerge/>
            <w:hideMark/>
          </w:tcPr>
          <w:p w14:paraId="0EC62A8A" w14:textId="77777777" w:rsidR="009E0A9E" w:rsidRPr="00775AE5" w:rsidRDefault="009E0A9E" w:rsidP="00525437">
            <w:pPr>
              <w:rPr>
                <w:rFonts w:ascii="Arial" w:eastAsia="Calibri" w:hAnsi="Arial" w:cs="Arial"/>
                <w:b/>
                <w:bCs/>
                <w:color w:val="000000"/>
                <w:sz w:val="22"/>
                <w:szCs w:val="22"/>
              </w:rPr>
            </w:pPr>
          </w:p>
        </w:tc>
        <w:tc>
          <w:tcPr>
            <w:tcW w:w="2819" w:type="dxa"/>
            <w:vMerge/>
            <w:hideMark/>
          </w:tcPr>
          <w:p w14:paraId="635A9E5D" w14:textId="77777777" w:rsidR="009E0A9E" w:rsidRPr="00775AE5" w:rsidRDefault="009E0A9E" w:rsidP="00525437">
            <w:pPr>
              <w:rPr>
                <w:rFonts w:ascii="Arial" w:eastAsia="Calibri" w:hAnsi="Arial" w:cs="Arial"/>
                <w:color w:val="000000"/>
                <w:sz w:val="22"/>
                <w:szCs w:val="22"/>
              </w:rPr>
            </w:pPr>
          </w:p>
        </w:tc>
        <w:tc>
          <w:tcPr>
            <w:tcW w:w="3260" w:type="dxa"/>
            <w:noWrap/>
            <w:hideMark/>
          </w:tcPr>
          <w:p w14:paraId="267A3266" w14:textId="77777777" w:rsidR="009E0A9E" w:rsidRPr="00775AE5" w:rsidRDefault="009E0A9E" w:rsidP="00525437">
            <w:pPr>
              <w:rPr>
                <w:rFonts w:ascii="Arial" w:eastAsia="Calibri" w:hAnsi="Arial" w:cs="Arial"/>
                <w:color w:val="181818"/>
                <w:sz w:val="22"/>
                <w:szCs w:val="22"/>
              </w:rPr>
            </w:pPr>
            <w:r w:rsidRPr="00775AE5">
              <w:rPr>
                <w:rFonts w:ascii="Arial" w:eastAsia="Calibri" w:hAnsi="Arial" w:cs="Arial"/>
                <w:color w:val="181818"/>
                <w:sz w:val="22"/>
                <w:szCs w:val="22"/>
              </w:rPr>
              <w:t>CPL Guayas N°1 (Penitenciaría del Litoral)</w:t>
            </w:r>
          </w:p>
        </w:tc>
        <w:tc>
          <w:tcPr>
            <w:tcW w:w="850" w:type="dxa"/>
            <w:noWrap/>
            <w:hideMark/>
          </w:tcPr>
          <w:p w14:paraId="38EC3A03"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6</w:t>
            </w:r>
          </w:p>
        </w:tc>
      </w:tr>
      <w:tr w:rsidR="009E0A9E" w:rsidRPr="00775AE5" w14:paraId="7FEF538E" w14:textId="77777777" w:rsidTr="00525437">
        <w:trPr>
          <w:trHeight w:val="312"/>
        </w:trPr>
        <w:tc>
          <w:tcPr>
            <w:tcW w:w="1571" w:type="dxa"/>
            <w:noWrap/>
            <w:hideMark/>
          </w:tcPr>
          <w:p w14:paraId="46ACC13A" w14:textId="77777777" w:rsidR="009E0A9E" w:rsidRPr="00775AE5" w:rsidRDefault="009E0A9E" w:rsidP="00525437">
            <w:pPr>
              <w:rPr>
                <w:rFonts w:ascii="Arial" w:eastAsia="Calibri" w:hAnsi="Arial" w:cs="Arial"/>
                <w:b/>
                <w:bCs/>
                <w:color w:val="000000"/>
                <w:sz w:val="22"/>
                <w:szCs w:val="22"/>
              </w:rPr>
            </w:pPr>
            <w:r w:rsidRPr="00775AE5">
              <w:rPr>
                <w:rFonts w:ascii="Arial" w:eastAsia="Calibri" w:hAnsi="Arial" w:cs="Arial"/>
                <w:b/>
                <w:bCs/>
                <w:color w:val="000000"/>
                <w:sz w:val="22"/>
                <w:szCs w:val="22"/>
              </w:rPr>
              <w:t>Segunda</w:t>
            </w:r>
          </w:p>
        </w:tc>
        <w:tc>
          <w:tcPr>
            <w:tcW w:w="2819" w:type="dxa"/>
            <w:noWrap/>
            <w:hideMark/>
          </w:tcPr>
          <w:p w14:paraId="6C7DB0F9"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21 de julio de 2021</w:t>
            </w:r>
          </w:p>
        </w:tc>
        <w:tc>
          <w:tcPr>
            <w:tcW w:w="3260" w:type="dxa"/>
            <w:noWrap/>
            <w:hideMark/>
          </w:tcPr>
          <w:p w14:paraId="2CFB37AB"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181818"/>
                <w:sz w:val="22"/>
                <w:szCs w:val="22"/>
              </w:rPr>
              <w:t>CPL Guayas N°1 (Penitenciaría del Litoral)</w:t>
            </w:r>
          </w:p>
        </w:tc>
        <w:tc>
          <w:tcPr>
            <w:tcW w:w="850" w:type="dxa"/>
            <w:noWrap/>
            <w:hideMark/>
          </w:tcPr>
          <w:p w14:paraId="3C9374A9"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8</w:t>
            </w:r>
          </w:p>
        </w:tc>
      </w:tr>
      <w:tr w:rsidR="009E0A9E" w:rsidRPr="00775AE5" w14:paraId="4808A3EE" w14:textId="77777777" w:rsidTr="00525437">
        <w:trPr>
          <w:trHeight w:val="312"/>
        </w:trPr>
        <w:tc>
          <w:tcPr>
            <w:tcW w:w="1571" w:type="dxa"/>
            <w:noWrap/>
            <w:hideMark/>
          </w:tcPr>
          <w:p w14:paraId="1B655876" w14:textId="77777777" w:rsidR="009E0A9E" w:rsidRPr="00775AE5" w:rsidRDefault="009E0A9E" w:rsidP="00525437">
            <w:pPr>
              <w:rPr>
                <w:rFonts w:ascii="Arial" w:eastAsia="Calibri" w:hAnsi="Arial" w:cs="Arial"/>
                <w:b/>
                <w:bCs/>
                <w:color w:val="000000"/>
                <w:sz w:val="22"/>
                <w:szCs w:val="22"/>
              </w:rPr>
            </w:pPr>
            <w:r w:rsidRPr="00775AE5">
              <w:rPr>
                <w:rFonts w:ascii="Arial" w:eastAsia="Calibri" w:hAnsi="Arial" w:cs="Arial"/>
                <w:b/>
                <w:bCs/>
                <w:color w:val="000000"/>
                <w:sz w:val="22"/>
                <w:szCs w:val="22"/>
              </w:rPr>
              <w:t> </w:t>
            </w:r>
          </w:p>
        </w:tc>
        <w:tc>
          <w:tcPr>
            <w:tcW w:w="2819" w:type="dxa"/>
            <w:noWrap/>
            <w:hideMark/>
          </w:tcPr>
          <w:p w14:paraId="19FF73AC"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 </w:t>
            </w:r>
          </w:p>
        </w:tc>
        <w:tc>
          <w:tcPr>
            <w:tcW w:w="3260" w:type="dxa"/>
            <w:noWrap/>
            <w:hideMark/>
          </w:tcPr>
          <w:p w14:paraId="780547ED"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CPL Cotopaxi N°1</w:t>
            </w:r>
          </w:p>
        </w:tc>
        <w:tc>
          <w:tcPr>
            <w:tcW w:w="850" w:type="dxa"/>
            <w:noWrap/>
            <w:hideMark/>
          </w:tcPr>
          <w:p w14:paraId="7DA54302"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19</w:t>
            </w:r>
          </w:p>
        </w:tc>
      </w:tr>
      <w:tr w:rsidR="009E0A9E" w:rsidRPr="00775AE5" w14:paraId="462357B6" w14:textId="77777777" w:rsidTr="00525437">
        <w:trPr>
          <w:trHeight w:val="312"/>
        </w:trPr>
        <w:tc>
          <w:tcPr>
            <w:tcW w:w="1571" w:type="dxa"/>
            <w:noWrap/>
            <w:hideMark/>
          </w:tcPr>
          <w:p w14:paraId="0E85B336" w14:textId="77777777" w:rsidR="009E0A9E" w:rsidRPr="00775AE5" w:rsidRDefault="009E0A9E" w:rsidP="00525437">
            <w:pPr>
              <w:rPr>
                <w:rFonts w:ascii="Arial" w:eastAsia="Calibri" w:hAnsi="Arial" w:cs="Arial"/>
                <w:b/>
                <w:bCs/>
                <w:color w:val="000000"/>
                <w:sz w:val="22"/>
                <w:szCs w:val="22"/>
              </w:rPr>
            </w:pPr>
            <w:r w:rsidRPr="00775AE5">
              <w:rPr>
                <w:rFonts w:ascii="Arial" w:eastAsia="Calibri" w:hAnsi="Arial" w:cs="Arial"/>
                <w:b/>
                <w:bCs/>
                <w:color w:val="000000"/>
                <w:sz w:val="22"/>
                <w:szCs w:val="22"/>
              </w:rPr>
              <w:t>Tercera</w:t>
            </w:r>
          </w:p>
        </w:tc>
        <w:tc>
          <w:tcPr>
            <w:tcW w:w="2819" w:type="dxa"/>
            <w:noWrap/>
            <w:hideMark/>
          </w:tcPr>
          <w:p w14:paraId="3A38D89D"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29 de septiembre de 2021</w:t>
            </w:r>
          </w:p>
        </w:tc>
        <w:tc>
          <w:tcPr>
            <w:tcW w:w="3260" w:type="dxa"/>
            <w:noWrap/>
            <w:hideMark/>
          </w:tcPr>
          <w:p w14:paraId="31DAC924"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181818"/>
                <w:sz w:val="22"/>
                <w:szCs w:val="22"/>
              </w:rPr>
              <w:t>CPL Guayas N°1 (Penitenciaría del Litoral)</w:t>
            </w:r>
          </w:p>
        </w:tc>
        <w:tc>
          <w:tcPr>
            <w:tcW w:w="850" w:type="dxa"/>
            <w:noWrap/>
            <w:hideMark/>
          </w:tcPr>
          <w:p w14:paraId="31633635"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119</w:t>
            </w:r>
          </w:p>
        </w:tc>
      </w:tr>
      <w:tr w:rsidR="009E0A9E" w:rsidRPr="00775AE5" w14:paraId="36F53DEE" w14:textId="77777777" w:rsidTr="00525437">
        <w:trPr>
          <w:trHeight w:val="312"/>
        </w:trPr>
        <w:tc>
          <w:tcPr>
            <w:tcW w:w="1571" w:type="dxa"/>
            <w:noWrap/>
            <w:hideMark/>
          </w:tcPr>
          <w:p w14:paraId="54E8AD65" w14:textId="77777777" w:rsidR="009E0A9E" w:rsidRPr="00775AE5" w:rsidRDefault="009E0A9E" w:rsidP="00525437">
            <w:pPr>
              <w:rPr>
                <w:rFonts w:ascii="Arial" w:eastAsia="Calibri" w:hAnsi="Arial" w:cs="Arial"/>
                <w:b/>
                <w:bCs/>
                <w:color w:val="000000"/>
                <w:sz w:val="22"/>
                <w:szCs w:val="22"/>
              </w:rPr>
            </w:pPr>
            <w:r w:rsidRPr="00775AE5">
              <w:rPr>
                <w:rFonts w:ascii="Arial" w:eastAsia="Calibri" w:hAnsi="Arial" w:cs="Arial"/>
                <w:b/>
                <w:bCs/>
                <w:color w:val="000000"/>
                <w:sz w:val="22"/>
                <w:szCs w:val="22"/>
              </w:rPr>
              <w:t>Cuarta</w:t>
            </w:r>
          </w:p>
        </w:tc>
        <w:tc>
          <w:tcPr>
            <w:tcW w:w="2819" w:type="dxa"/>
            <w:noWrap/>
            <w:hideMark/>
          </w:tcPr>
          <w:p w14:paraId="7D50D215"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12-13 de noviembre de 2021</w:t>
            </w:r>
          </w:p>
        </w:tc>
        <w:tc>
          <w:tcPr>
            <w:tcW w:w="3260" w:type="dxa"/>
            <w:noWrap/>
            <w:hideMark/>
          </w:tcPr>
          <w:p w14:paraId="20985A08"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181818"/>
                <w:sz w:val="22"/>
                <w:szCs w:val="22"/>
              </w:rPr>
              <w:t>CPL Guayas N°1 (Penitenciaría del Litoral)</w:t>
            </w:r>
          </w:p>
        </w:tc>
        <w:tc>
          <w:tcPr>
            <w:tcW w:w="850" w:type="dxa"/>
            <w:noWrap/>
            <w:hideMark/>
          </w:tcPr>
          <w:p w14:paraId="0FC295B0"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68</w:t>
            </w:r>
          </w:p>
        </w:tc>
      </w:tr>
      <w:tr w:rsidR="009E0A9E" w:rsidRPr="00775AE5" w14:paraId="45A28441" w14:textId="77777777" w:rsidTr="00525437">
        <w:trPr>
          <w:trHeight w:val="312"/>
        </w:trPr>
        <w:tc>
          <w:tcPr>
            <w:tcW w:w="1571" w:type="dxa"/>
            <w:noWrap/>
            <w:hideMark/>
          </w:tcPr>
          <w:p w14:paraId="7955A7C1" w14:textId="77777777" w:rsidR="009E0A9E" w:rsidRPr="00775AE5" w:rsidRDefault="009E0A9E" w:rsidP="00525437">
            <w:pPr>
              <w:rPr>
                <w:rFonts w:ascii="Arial" w:eastAsia="Calibri" w:hAnsi="Arial" w:cs="Arial"/>
                <w:b/>
                <w:bCs/>
                <w:color w:val="000000"/>
                <w:sz w:val="22"/>
                <w:szCs w:val="22"/>
              </w:rPr>
            </w:pPr>
            <w:r w:rsidRPr="00775AE5">
              <w:rPr>
                <w:rFonts w:ascii="Arial" w:eastAsia="Calibri" w:hAnsi="Arial" w:cs="Arial"/>
                <w:b/>
                <w:bCs/>
                <w:color w:val="000000"/>
                <w:sz w:val="22"/>
                <w:szCs w:val="22"/>
              </w:rPr>
              <w:t>Quinta</w:t>
            </w:r>
          </w:p>
        </w:tc>
        <w:tc>
          <w:tcPr>
            <w:tcW w:w="2819" w:type="dxa"/>
            <w:noWrap/>
            <w:hideMark/>
          </w:tcPr>
          <w:p w14:paraId="66117E36"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3 de abril de 2022</w:t>
            </w:r>
          </w:p>
        </w:tc>
        <w:tc>
          <w:tcPr>
            <w:tcW w:w="3260" w:type="dxa"/>
            <w:noWrap/>
            <w:hideMark/>
          </w:tcPr>
          <w:p w14:paraId="4823DB6C"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CPL Azuay N.º 1 (Turi)</w:t>
            </w:r>
          </w:p>
        </w:tc>
        <w:tc>
          <w:tcPr>
            <w:tcW w:w="850" w:type="dxa"/>
            <w:noWrap/>
            <w:hideMark/>
          </w:tcPr>
          <w:p w14:paraId="22A5971A"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20</w:t>
            </w:r>
          </w:p>
        </w:tc>
      </w:tr>
      <w:tr w:rsidR="009E0A9E" w:rsidRPr="00775AE5" w14:paraId="7F654FD5" w14:textId="77777777" w:rsidTr="00525437">
        <w:trPr>
          <w:trHeight w:val="312"/>
        </w:trPr>
        <w:tc>
          <w:tcPr>
            <w:tcW w:w="1571" w:type="dxa"/>
            <w:noWrap/>
            <w:hideMark/>
          </w:tcPr>
          <w:p w14:paraId="06B89A38" w14:textId="77777777" w:rsidR="009E0A9E" w:rsidRPr="00775AE5" w:rsidRDefault="009E0A9E" w:rsidP="00525437">
            <w:pPr>
              <w:rPr>
                <w:rFonts w:ascii="Arial" w:eastAsia="Calibri" w:hAnsi="Arial" w:cs="Arial"/>
                <w:b/>
                <w:bCs/>
                <w:color w:val="000000"/>
                <w:sz w:val="22"/>
                <w:szCs w:val="22"/>
              </w:rPr>
            </w:pPr>
            <w:r w:rsidRPr="00775AE5">
              <w:rPr>
                <w:rFonts w:ascii="Arial" w:eastAsia="Calibri" w:hAnsi="Arial" w:cs="Arial"/>
                <w:b/>
                <w:bCs/>
                <w:color w:val="000000"/>
                <w:sz w:val="22"/>
                <w:szCs w:val="22"/>
              </w:rPr>
              <w:t>Sexta</w:t>
            </w:r>
          </w:p>
        </w:tc>
        <w:tc>
          <w:tcPr>
            <w:tcW w:w="2819" w:type="dxa"/>
            <w:noWrap/>
            <w:hideMark/>
          </w:tcPr>
          <w:p w14:paraId="7300F955"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9 de mayo de 2022</w:t>
            </w:r>
          </w:p>
        </w:tc>
        <w:tc>
          <w:tcPr>
            <w:tcW w:w="3260" w:type="dxa"/>
            <w:noWrap/>
            <w:hideMark/>
          </w:tcPr>
          <w:p w14:paraId="076A2B6B"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CPL Santo Domingo N°1</w:t>
            </w:r>
          </w:p>
        </w:tc>
        <w:tc>
          <w:tcPr>
            <w:tcW w:w="850" w:type="dxa"/>
            <w:noWrap/>
            <w:hideMark/>
          </w:tcPr>
          <w:p w14:paraId="0F104CF7"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44</w:t>
            </w:r>
          </w:p>
        </w:tc>
      </w:tr>
      <w:tr w:rsidR="009E0A9E" w:rsidRPr="00775AE5" w14:paraId="71E3E05F" w14:textId="77777777" w:rsidTr="00525437">
        <w:trPr>
          <w:trHeight w:val="312"/>
        </w:trPr>
        <w:tc>
          <w:tcPr>
            <w:tcW w:w="1571" w:type="dxa"/>
            <w:noWrap/>
            <w:hideMark/>
          </w:tcPr>
          <w:p w14:paraId="6CB48FBE" w14:textId="51F8DAF1" w:rsidR="009E0A9E" w:rsidRPr="00775AE5" w:rsidRDefault="00434BA9" w:rsidP="00525437">
            <w:pPr>
              <w:rPr>
                <w:rFonts w:ascii="Arial" w:eastAsia="Calibri" w:hAnsi="Arial" w:cs="Arial"/>
                <w:b/>
                <w:bCs/>
                <w:color w:val="000000"/>
                <w:sz w:val="22"/>
                <w:szCs w:val="22"/>
              </w:rPr>
            </w:pPr>
            <w:r w:rsidRPr="00775AE5">
              <w:rPr>
                <w:rFonts w:ascii="Arial" w:eastAsia="Calibri" w:hAnsi="Arial" w:cs="Arial"/>
                <w:b/>
                <w:bCs/>
                <w:color w:val="000000"/>
                <w:sz w:val="22"/>
                <w:szCs w:val="22"/>
              </w:rPr>
              <w:t>Séptima</w:t>
            </w:r>
          </w:p>
        </w:tc>
        <w:tc>
          <w:tcPr>
            <w:tcW w:w="2819" w:type="dxa"/>
            <w:noWrap/>
            <w:hideMark/>
          </w:tcPr>
          <w:p w14:paraId="65FB657B"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18 de julio 2022</w:t>
            </w:r>
          </w:p>
        </w:tc>
        <w:tc>
          <w:tcPr>
            <w:tcW w:w="3260" w:type="dxa"/>
            <w:noWrap/>
            <w:hideMark/>
          </w:tcPr>
          <w:p w14:paraId="78710A74"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CPL Santo Domingo N°1</w:t>
            </w:r>
          </w:p>
        </w:tc>
        <w:tc>
          <w:tcPr>
            <w:tcW w:w="850" w:type="dxa"/>
            <w:noWrap/>
            <w:hideMark/>
          </w:tcPr>
          <w:p w14:paraId="23AAFE20"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12</w:t>
            </w:r>
          </w:p>
        </w:tc>
      </w:tr>
      <w:tr w:rsidR="009E0A9E" w:rsidRPr="00775AE5" w14:paraId="1BA4486D" w14:textId="77777777" w:rsidTr="00525437">
        <w:trPr>
          <w:trHeight w:val="312"/>
        </w:trPr>
        <w:tc>
          <w:tcPr>
            <w:tcW w:w="1571" w:type="dxa"/>
            <w:noWrap/>
            <w:hideMark/>
          </w:tcPr>
          <w:p w14:paraId="4E23990B" w14:textId="77777777" w:rsidR="009E0A9E" w:rsidRPr="00775AE5" w:rsidRDefault="009E0A9E" w:rsidP="00525437">
            <w:pPr>
              <w:rPr>
                <w:rFonts w:ascii="Arial" w:eastAsia="Calibri" w:hAnsi="Arial" w:cs="Arial"/>
                <w:b/>
                <w:bCs/>
                <w:color w:val="000000"/>
                <w:sz w:val="22"/>
                <w:szCs w:val="22"/>
              </w:rPr>
            </w:pPr>
            <w:r w:rsidRPr="00775AE5">
              <w:rPr>
                <w:rFonts w:ascii="Arial" w:eastAsia="Calibri" w:hAnsi="Arial" w:cs="Arial"/>
                <w:b/>
                <w:bCs/>
                <w:color w:val="000000"/>
                <w:sz w:val="22"/>
                <w:szCs w:val="22"/>
              </w:rPr>
              <w:t>Octava</w:t>
            </w:r>
          </w:p>
        </w:tc>
        <w:tc>
          <w:tcPr>
            <w:tcW w:w="2819" w:type="dxa"/>
            <w:noWrap/>
            <w:hideMark/>
          </w:tcPr>
          <w:p w14:paraId="46B310A4"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3 de octubre 2022</w:t>
            </w:r>
          </w:p>
        </w:tc>
        <w:tc>
          <w:tcPr>
            <w:tcW w:w="3260" w:type="dxa"/>
            <w:noWrap/>
            <w:hideMark/>
          </w:tcPr>
          <w:p w14:paraId="5E922EA8"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CPL Cotopaxi N°1</w:t>
            </w:r>
          </w:p>
        </w:tc>
        <w:tc>
          <w:tcPr>
            <w:tcW w:w="850" w:type="dxa"/>
            <w:noWrap/>
            <w:hideMark/>
          </w:tcPr>
          <w:p w14:paraId="2914BD06"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16</w:t>
            </w:r>
          </w:p>
        </w:tc>
      </w:tr>
      <w:tr w:rsidR="009E0A9E" w:rsidRPr="00775AE5" w14:paraId="52560A34" w14:textId="77777777" w:rsidTr="00525437">
        <w:trPr>
          <w:trHeight w:val="312"/>
        </w:trPr>
        <w:tc>
          <w:tcPr>
            <w:tcW w:w="1571" w:type="dxa"/>
            <w:noWrap/>
            <w:hideMark/>
          </w:tcPr>
          <w:p w14:paraId="087B4EC0" w14:textId="77777777" w:rsidR="009E0A9E" w:rsidRPr="00775AE5" w:rsidRDefault="009E0A9E" w:rsidP="00525437">
            <w:pPr>
              <w:rPr>
                <w:rFonts w:ascii="Arial" w:eastAsia="Calibri" w:hAnsi="Arial" w:cs="Arial"/>
                <w:b/>
                <w:bCs/>
                <w:color w:val="000000"/>
                <w:sz w:val="22"/>
                <w:szCs w:val="22"/>
              </w:rPr>
            </w:pPr>
            <w:r w:rsidRPr="00775AE5">
              <w:rPr>
                <w:rFonts w:ascii="Arial" w:eastAsia="Calibri" w:hAnsi="Arial" w:cs="Arial"/>
                <w:b/>
                <w:bCs/>
                <w:color w:val="000000"/>
                <w:sz w:val="22"/>
                <w:szCs w:val="22"/>
              </w:rPr>
              <w:t>Novena</w:t>
            </w:r>
          </w:p>
        </w:tc>
        <w:tc>
          <w:tcPr>
            <w:tcW w:w="2819" w:type="dxa"/>
            <w:noWrap/>
            <w:hideMark/>
          </w:tcPr>
          <w:p w14:paraId="7D88C45C"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5 de octubre 2022</w:t>
            </w:r>
          </w:p>
        </w:tc>
        <w:tc>
          <w:tcPr>
            <w:tcW w:w="3260" w:type="dxa"/>
            <w:noWrap/>
            <w:hideMark/>
          </w:tcPr>
          <w:p w14:paraId="02E1E880"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181818"/>
                <w:sz w:val="22"/>
                <w:szCs w:val="22"/>
              </w:rPr>
              <w:t>CPL Guayas N°1 (Penitenciaría del Litoral)</w:t>
            </w:r>
          </w:p>
        </w:tc>
        <w:tc>
          <w:tcPr>
            <w:tcW w:w="850" w:type="dxa"/>
            <w:noWrap/>
            <w:hideMark/>
          </w:tcPr>
          <w:p w14:paraId="2FA11958"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13</w:t>
            </w:r>
          </w:p>
        </w:tc>
      </w:tr>
      <w:tr w:rsidR="009E0A9E" w:rsidRPr="00775AE5" w14:paraId="0270E5A8" w14:textId="77777777" w:rsidTr="00525437">
        <w:trPr>
          <w:trHeight w:val="312"/>
        </w:trPr>
        <w:tc>
          <w:tcPr>
            <w:tcW w:w="1571" w:type="dxa"/>
            <w:noWrap/>
            <w:hideMark/>
          </w:tcPr>
          <w:p w14:paraId="49D25770" w14:textId="77777777" w:rsidR="009E0A9E" w:rsidRPr="00775AE5" w:rsidRDefault="009E0A9E" w:rsidP="00525437">
            <w:pPr>
              <w:rPr>
                <w:rFonts w:ascii="Arial" w:eastAsia="Calibri" w:hAnsi="Arial" w:cs="Arial"/>
                <w:b/>
                <w:bCs/>
                <w:color w:val="000000"/>
                <w:sz w:val="22"/>
                <w:szCs w:val="22"/>
              </w:rPr>
            </w:pPr>
            <w:r w:rsidRPr="00775AE5">
              <w:rPr>
                <w:rFonts w:ascii="Arial" w:eastAsia="Calibri" w:hAnsi="Arial" w:cs="Arial"/>
                <w:b/>
                <w:bCs/>
                <w:color w:val="000000"/>
                <w:sz w:val="22"/>
                <w:szCs w:val="22"/>
              </w:rPr>
              <w:t>Décima</w:t>
            </w:r>
          </w:p>
        </w:tc>
        <w:tc>
          <w:tcPr>
            <w:tcW w:w="2819" w:type="dxa"/>
            <w:noWrap/>
            <w:hideMark/>
          </w:tcPr>
          <w:p w14:paraId="257148C5"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7 de noviembre 2022</w:t>
            </w:r>
          </w:p>
        </w:tc>
        <w:tc>
          <w:tcPr>
            <w:tcW w:w="3260" w:type="dxa"/>
            <w:noWrap/>
            <w:hideMark/>
          </w:tcPr>
          <w:p w14:paraId="06016252"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sz w:val="22"/>
                <w:szCs w:val="22"/>
              </w:rPr>
              <w:t>CPPL Masculino Pichincha N°1</w:t>
            </w:r>
          </w:p>
        </w:tc>
        <w:tc>
          <w:tcPr>
            <w:tcW w:w="850" w:type="dxa"/>
            <w:noWrap/>
            <w:hideMark/>
          </w:tcPr>
          <w:p w14:paraId="7E259277"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5</w:t>
            </w:r>
          </w:p>
        </w:tc>
      </w:tr>
      <w:tr w:rsidR="009E0A9E" w:rsidRPr="00775AE5" w14:paraId="553CAF2C" w14:textId="77777777" w:rsidTr="00525437">
        <w:trPr>
          <w:trHeight w:val="312"/>
        </w:trPr>
        <w:tc>
          <w:tcPr>
            <w:tcW w:w="1571" w:type="dxa"/>
            <w:noWrap/>
            <w:hideMark/>
          </w:tcPr>
          <w:p w14:paraId="40270C6A" w14:textId="77777777" w:rsidR="009E0A9E" w:rsidRPr="00775AE5" w:rsidRDefault="009E0A9E" w:rsidP="00525437">
            <w:pPr>
              <w:rPr>
                <w:rFonts w:ascii="Arial" w:eastAsia="Calibri" w:hAnsi="Arial" w:cs="Arial"/>
                <w:b/>
                <w:bCs/>
                <w:color w:val="000000"/>
                <w:sz w:val="22"/>
                <w:szCs w:val="22"/>
              </w:rPr>
            </w:pPr>
            <w:r w:rsidRPr="00775AE5">
              <w:rPr>
                <w:rFonts w:ascii="Arial" w:eastAsia="Calibri" w:hAnsi="Arial" w:cs="Arial"/>
                <w:b/>
                <w:bCs/>
                <w:color w:val="000000"/>
                <w:sz w:val="22"/>
                <w:szCs w:val="22"/>
              </w:rPr>
              <w:t>Undécima</w:t>
            </w:r>
          </w:p>
        </w:tc>
        <w:tc>
          <w:tcPr>
            <w:tcW w:w="2819" w:type="dxa"/>
            <w:noWrap/>
            <w:hideMark/>
          </w:tcPr>
          <w:p w14:paraId="351402B2"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18 de noviembre 2022</w:t>
            </w:r>
          </w:p>
        </w:tc>
        <w:tc>
          <w:tcPr>
            <w:tcW w:w="3260" w:type="dxa"/>
            <w:noWrap/>
            <w:hideMark/>
          </w:tcPr>
          <w:p w14:paraId="5BB83C61"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sz w:val="22"/>
                <w:szCs w:val="22"/>
              </w:rPr>
              <w:t>CPPL Masculino Pichincha N°1</w:t>
            </w:r>
          </w:p>
        </w:tc>
        <w:tc>
          <w:tcPr>
            <w:tcW w:w="850" w:type="dxa"/>
            <w:noWrap/>
            <w:hideMark/>
          </w:tcPr>
          <w:p w14:paraId="45F14DA6"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10</w:t>
            </w:r>
          </w:p>
        </w:tc>
      </w:tr>
      <w:tr w:rsidR="009E0A9E" w:rsidRPr="00775AE5" w14:paraId="05172039" w14:textId="77777777" w:rsidTr="00525437">
        <w:trPr>
          <w:trHeight w:val="312"/>
        </w:trPr>
        <w:tc>
          <w:tcPr>
            <w:tcW w:w="1571" w:type="dxa"/>
            <w:noWrap/>
            <w:hideMark/>
          </w:tcPr>
          <w:p w14:paraId="14190AF8" w14:textId="77777777" w:rsidR="009E0A9E" w:rsidRPr="00775AE5" w:rsidRDefault="009E0A9E" w:rsidP="00525437">
            <w:pPr>
              <w:rPr>
                <w:rFonts w:ascii="Arial" w:eastAsia="Calibri" w:hAnsi="Arial" w:cs="Arial"/>
                <w:b/>
                <w:bCs/>
                <w:color w:val="000000"/>
                <w:sz w:val="22"/>
                <w:szCs w:val="22"/>
              </w:rPr>
            </w:pPr>
            <w:r w:rsidRPr="00775AE5">
              <w:rPr>
                <w:rFonts w:ascii="Arial" w:eastAsia="Calibri" w:hAnsi="Arial" w:cs="Arial"/>
                <w:b/>
                <w:bCs/>
                <w:color w:val="000000"/>
                <w:sz w:val="22"/>
                <w:szCs w:val="22"/>
              </w:rPr>
              <w:t>Décimo segunda</w:t>
            </w:r>
          </w:p>
        </w:tc>
        <w:tc>
          <w:tcPr>
            <w:tcW w:w="2819" w:type="dxa"/>
            <w:noWrap/>
            <w:hideMark/>
          </w:tcPr>
          <w:p w14:paraId="1FC699B9"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4 de abril del 2023</w:t>
            </w:r>
          </w:p>
        </w:tc>
        <w:tc>
          <w:tcPr>
            <w:tcW w:w="3260" w:type="dxa"/>
            <w:noWrap/>
            <w:hideMark/>
          </w:tcPr>
          <w:p w14:paraId="21040894"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sz w:val="22"/>
                <w:szCs w:val="22"/>
              </w:rPr>
              <w:t>CRS Masculino Guayas N°3 (La Roca)</w:t>
            </w:r>
          </w:p>
        </w:tc>
        <w:tc>
          <w:tcPr>
            <w:tcW w:w="850" w:type="dxa"/>
            <w:noWrap/>
            <w:hideMark/>
          </w:tcPr>
          <w:p w14:paraId="32C9DC59"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4</w:t>
            </w:r>
          </w:p>
        </w:tc>
      </w:tr>
      <w:tr w:rsidR="009E0A9E" w:rsidRPr="00775AE5" w14:paraId="23EB76C4" w14:textId="77777777" w:rsidTr="00525437">
        <w:trPr>
          <w:trHeight w:val="312"/>
        </w:trPr>
        <w:tc>
          <w:tcPr>
            <w:tcW w:w="1571" w:type="dxa"/>
            <w:noWrap/>
            <w:hideMark/>
          </w:tcPr>
          <w:p w14:paraId="633BCEAC" w14:textId="77777777" w:rsidR="009E0A9E" w:rsidRPr="00775AE5" w:rsidRDefault="009E0A9E" w:rsidP="00525437">
            <w:pPr>
              <w:rPr>
                <w:rFonts w:ascii="Arial" w:eastAsia="Calibri" w:hAnsi="Arial" w:cs="Arial"/>
                <w:b/>
                <w:bCs/>
                <w:color w:val="000000"/>
                <w:sz w:val="22"/>
                <w:szCs w:val="22"/>
              </w:rPr>
            </w:pPr>
            <w:r w:rsidRPr="00775AE5">
              <w:rPr>
                <w:rFonts w:ascii="Arial" w:eastAsia="Calibri" w:hAnsi="Arial" w:cs="Arial"/>
                <w:b/>
                <w:bCs/>
                <w:color w:val="000000"/>
                <w:sz w:val="22"/>
                <w:szCs w:val="22"/>
              </w:rPr>
              <w:t>Décimo tercera</w:t>
            </w:r>
          </w:p>
        </w:tc>
        <w:tc>
          <w:tcPr>
            <w:tcW w:w="2819" w:type="dxa"/>
            <w:noWrap/>
            <w:hideMark/>
          </w:tcPr>
          <w:p w14:paraId="08747D85"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12 de abril del 2023</w:t>
            </w:r>
          </w:p>
        </w:tc>
        <w:tc>
          <w:tcPr>
            <w:tcW w:w="3260" w:type="dxa"/>
            <w:noWrap/>
            <w:hideMark/>
          </w:tcPr>
          <w:p w14:paraId="78001368"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181818"/>
                <w:sz w:val="22"/>
                <w:szCs w:val="22"/>
              </w:rPr>
              <w:t>CPL Guayas N°1 (Penitenciaría del Litoral)</w:t>
            </w:r>
          </w:p>
        </w:tc>
        <w:tc>
          <w:tcPr>
            <w:tcW w:w="850" w:type="dxa"/>
            <w:noWrap/>
            <w:hideMark/>
          </w:tcPr>
          <w:p w14:paraId="35F5708C"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6</w:t>
            </w:r>
          </w:p>
        </w:tc>
      </w:tr>
      <w:tr w:rsidR="009E0A9E" w:rsidRPr="00775AE5" w14:paraId="1E36A620" w14:textId="77777777" w:rsidTr="00525437">
        <w:trPr>
          <w:trHeight w:val="312"/>
        </w:trPr>
        <w:tc>
          <w:tcPr>
            <w:tcW w:w="1571" w:type="dxa"/>
            <w:noWrap/>
            <w:hideMark/>
          </w:tcPr>
          <w:p w14:paraId="1B37F0C2" w14:textId="77777777" w:rsidR="009E0A9E" w:rsidRPr="00775AE5" w:rsidRDefault="009E0A9E" w:rsidP="00525437">
            <w:pPr>
              <w:rPr>
                <w:rFonts w:ascii="Arial" w:eastAsia="Calibri" w:hAnsi="Arial" w:cs="Arial"/>
                <w:b/>
                <w:bCs/>
                <w:color w:val="000000"/>
                <w:sz w:val="22"/>
                <w:szCs w:val="22"/>
              </w:rPr>
            </w:pPr>
            <w:r w:rsidRPr="00775AE5">
              <w:rPr>
                <w:rFonts w:ascii="Arial" w:eastAsia="Calibri" w:hAnsi="Arial" w:cs="Arial"/>
                <w:b/>
                <w:bCs/>
                <w:color w:val="000000"/>
                <w:sz w:val="22"/>
                <w:szCs w:val="22"/>
              </w:rPr>
              <w:t>Décimo cuarta</w:t>
            </w:r>
          </w:p>
        </w:tc>
        <w:tc>
          <w:tcPr>
            <w:tcW w:w="2819" w:type="dxa"/>
            <w:noWrap/>
            <w:hideMark/>
          </w:tcPr>
          <w:p w14:paraId="4C1BF4C1"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15 de abril del 2023</w:t>
            </w:r>
          </w:p>
        </w:tc>
        <w:tc>
          <w:tcPr>
            <w:tcW w:w="3260" w:type="dxa"/>
            <w:noWrap/>
            <w:hideMark/>
          </w:tcPr>
          <w:p w14:paraId="67896561"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181818"/>
                <w:sz w:val="22"/>
                <w:szCs w:val="22"/>
              </w:rPr>
              <w:t>CPL Guayas N°1 (Penitenciaría del Litoral)</w:t>
            </w:r>
          </w:p>
        </w:tc>
        <w:tc>
          <w:tcPr>
            <w:tcW w:w="850" w:type="dxa"/>
            <w:noWrap/>
            <w:hideMark/>
          </w:tcPr>
          <w:p w14:paraId="1D032F34"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12</w:t>
            </w:r>
          </w:p>
        </w:tc>
      </w:tr>
      <w:tr w:rsidR="009E0A9E" w:rsidRPr="00775AE5" w14:paraId="6B2ED5FB" w14:textId="77777777" w:rsidTr="00525437">
        <w:trPr>
          <w:trHeight w:val="312"/>
        </w:trPr>
        <w:tc>
          <w:tcPr>
            <w:tcW w:w="1571" w:type="dxa"/>
            <w:noWrap/>
            <w:hideMark/>
          </w:tcPr>
          <w:p w14:paraId="318FD100" w14:textId="77777777" w:rsidR="009E0A9E" w:rsidRPr="00775AE5" w:rsidRDefault="009E0A9E" w:rsidP="00525437">
            <w:pPr>
              <w:rPr>
                <w:rFonts w:ascii="Arial" w:eastAsia="Calibri" w:hAnsi="Arial" w:cs="Arial"/>
                <w:b/>
                <w:bCs/>
                <w:color w:val="000000"/>
                <w:sz w:val="22"/>
                <w:szCs w:val="22"/>
              </w:rPr>
            </w:pPr>
            <w:r w:rsidRPr="00775AE5">
              <w:rPr>
                <w:rFonts w:ascii="Arial" w:eastAsia="Calibri" w:hAnsi="Arial" w:cs="Arial"/>
                <w:b/>
                <w:bCs/>
                <w:color w:val="000000"/>
                <w:sz w:val="22"/>
                <w:szCs w:val="22"/>
              </w:rPr>
              <w:t>Décimo quinta</w:t>
            </w:r>
          </w:p>
        </w:tc>
        <w:tc>
          <w:tcPr>
            <w:tcW w:w="2819" w:type="dxa"/>
            <w:noWrap/>
            <w:hideMark/>
          </w:tcPr>
          <w:p w14:paraId="7551A964"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000000"/>
                <w:sz w:val="22"/>
                <w:szCs w:val="22"/>
              </w:rPr>
              <w:t>23 de julio del 2023</w:t>
            </w:r>
          </w:p>
        </w:tc>
        <w:tc>
          <w:tcPr>
            <w:tcW w:w="3260" w:type="dxa"/>
            <w:noWrap/>
            <w:hideMark/>
          </w:tcPr>
          <w:p w14:paraId="58DC4A9A" w14:textId="77777777" w:rsidR="009E0A9E" w:rsidRPr="00775AE5" w:rsidRDefault="009E0A9E" w:rsidP="00525437">
            <w:pPr>
              <w:rPr>
                <w:rFonts w:ascii="Arial" w:eastAsia="Calibri" w:hAnsi="Arial" w:cs="Arial"/>
                <w:color w:val="000000"/>
                <w:sz w:val="22"/>
                <w:szCs w:val="22"/>
              </w:rPr>
            </w:pPr>
            <w:r w:rsidRPr="00775AE5">
              <w:rPr>
                <w:rFonts w:ascii="Arial" w:eastAsia="Calibri" w:hAnsi="Arial" w:cs="Arial"/>
                <w:color w:val="181818"/>
                <w:sz w:val="22"/>
                <w:szCs w:val="22"/>
              </w:rPr>
              <w:t>CPL Guayas N°1 (Penitenciaría del Litoral)</w:t>
            </w:r>
          </w:p>
        </w:tc>
        <w:tc>
          <w:tcPr>
            <w:tcW w:w="850" w:type="dxa"/>
            <w:noWrap/>
            <w:hideMark/>
          </w:tcPr>
          <w:p w14:paraId="1626D7BB" w14:textId="77777777" w:rsidR="009E0A9E" w:rsidRPr="00775AE5" w:rsidRDefault="009E0A9E" w:rsidP="00525437">
            <w:pPr>
              <w:jc w:val="right"/>
              <w:rPr>
                <w:rFonts w:ascii="Arial" w:eastAsia="Calibri" w:hAnsi="Arial" w:cs="Arial"/>
                <w:color w:val="000000"/>
                <w:sz w:val="22"/>
                <w:szCs w:val="22"/>
              </w:rPr>
            </w:pPr>
            <w:r w:rsidRPr="00775AE5">
              <w:rPr>
                <w:rFonts w:ascii="Arial" w:eastAsia="Calibri" w:hAnsi="Arial" w:cs="Arial"/>
                <w:color w:val="000000"/>
                <w:sz w:val="22"/>
                <w:szCs w:val="22"/>
              </w:rPr>
              <w:t>31</w:t>
            </w:r>
          </w:p>
        </w:tc>
      </w:tr>
      <w:tr w:rsidR="009E0A9E" w:rsidRPr="00775AE5" w14:paraId="47D9DDDB" w14:textId="77777777" w:rsidTr="00525437">
        <w:trPr>
          <w:trHeight w:val="312"/>
        </w:trPr>
        <w:tc>
          <w:tcPr>
            <w:tcW w:w="1571" w:type="dxa"/>
            <w:noWrap/>
            <w:hideMark/>
          </w:tcPr>
          <w:p w14:paraId="7ED3EF19" w14:textId="77777777" w:rsidR="009E0A9E" w:rsidRPr="00775AE5" w:rsidRDefault="009E0A9E" w:rsidP="00525437">
            <w:pPr>
              <w:rPr>
                <w:rFonts w:ascii="Arial" w:eastAsia="Calibri" w:hAnsi="Arial" w:cs="Arial"/>
                <w:b/>
                <w:bCs/>
                <w:color w:val="000000"/>
                <w:sz w:val="22"/>
                <w:szCs w:val="22"/>
              </w:rPr>
            </w:pPr>
            <w:r w:rsidRPr="00775AE5">
              <w:rPr>
                <w:rFonts w:ascii="Arial" w:eastAsia="Calibri" w:hAnsi="Arial" w:cs="Arial"/>
                <w:b/>
                <w:bCs/>
                <w:color w:val="000000"/>
                <w:sz w:val="22"/>
                <w:szCs w:val="22"/>
              </w:rPr>
              <w:t>Total decesos</w:t>
            </w:r>
          </w:p>
        </w:tc>
        <w:tc>
          <w:tcPr>
            <w:tcW w:w="6929" w:type="dxa"/>
            <w:gridSpan w:val="3"/>
            <w:noWrap/>
            <w:hideMark/>
          </w:tcPr>
          <w:p w14:paraId="23888819" w14:textId="77777777" w:rsidR="009E0A9E" w:rsidRPr="00775AE5" w:rsidRDefault="009E0A9E" w:rsidP="00525437">
            <w:pPr>
              <w:jc w:val="center"/>
              <w:rPr>
                <w:rFonts w:ascii="Arial" w:eastAsia="Calibri" w:hAnsi="Arial" w:cs="Arial"/>
                <w:color w:val="000000"/>
                <w:sz w:val="22"/>
                <w:szCs w:val="22"/>
              </w:rPr>
            </w:pPr>
            <w:r w:rsidRPr="00775AE5">
              <w:rPr>
                <w:rFonts w:ascii="Arial" w:eastAsia="Calibri" w:hAnsi="Arial" w:cs="Arial"/>
                <w:color w:val="000000"/>
                <w:sz w:val="22"/>
                <w:szCs w:val="22"/>
              </w:rPr>
              <w:t>466 PPL</w:t>
            </w:r>
          </w:p>
        </w:tc>
      </w:tr>
    </w:tbl>
    <w:p w14:paraId="0C20EBE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Fuente: MNTP, 2023. A partir del monitoreo de medios de comunicación.</w:t>
      </w:r>
    </w:p>
    <w:p w14:paraId="6607ED5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929015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De la tabla precedente, se observa que la mayoría de muertes se suscitan en los centros que corresponden a la provincia de Guayas, y particularmente, la mayoría de muertes se han concentrado en el CPL Guayas N°1 (Penitenciaría). Aquí se suscitó la muerte de un gran número de PPL privados de libertad por temas de apremio, como consecuencia de los enfrentamientos entre bandas.</w:t>
      </w:r>
    </w:p>
    <w:p w14:paraId="15244AA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C51CF4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No obstante, es importante ver que las muertes violentas no son un caso exclusivo de la actual crisis, sino una problemática que ha venido agravándose con el pasar de los años y que ha tomado una connotación cada vez más violenta. En este sentido, se puede ver el aumento progresivo de muertes, vista desde los diferentes tipos. </w:t>
      </w:r>
    </w:p>
    <w:p w14:paraId="59899701"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E72F4C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Tabla 11</w:t>
      </w:r>
    </w:p>
    <w:p w14:paraId="6B245F76" w14:textId="77777777" w:rsidR="009E0A9E" w:rsidRPr="00775AE5" w:rsidRDefault="009E0A9E" w:rsidP="009E0A9E">
      <w:pPr>
        <w:widowControl w:val="0"/>
        <w:suppressAutoHyphens/>
        <w:spacing w:line="276" w:lineRule="auto"/>
        <w:jc w:val="both"/>
        <w:rPr>
          <w:rFonts w:ascii="Arial" w:eastAsia="DejaVu Sans" w:hAnsi="Arial" w:cs="Arial"/>
          <w:i/>
          <w:iCs/>
          <w:sz w:val="22"/>
          <w:szCs w:val="22"/>
          <w:lang w:val="es-VE" w:eastAsia="es-EC"/>
        </w:rPr>
      </w:pPr>
      <w:r w:rsidRPr="00775AE5">
        <w:rPr>
          <w:rFonts w:ascii="Arial" w:eastAsia="DejaVu Sans" w:hAnsi="Arial" w:cs="Arial"/>
          <w:i/>
          <w:iCs/>
          <w:sz w:val="22"/>
          <w:szCs w:val="22"/>
          <w:lang w:val="es-VE" w:eastAsia="es-EC"/>
        </w:rPr>
        <w:t>Decesos por tipo de muerte (2014- 2024)</w:t>
      </w:r>
    </w:p>
    <w:tbl>
      <w:tblPr>
        <w:tblStyle w:val="TableGrid"/>
        <w:tblW w:w="0" w:type="auto"/>
        <w:tblLook w:val="04A0" w:firstRow="1" w:lastRow="0" w:firstColumn="1" w:lastColumn="0" w:noHBand="0" w:noVBand="1"/>
      </w:tblPr>
      <w:tblGrid>
        <w:gridCol w:w="885"/>
        <w:gridCol w:w="1185"/>
        <w:gridCol w:w="2153"/>
        <w:gridCol w:w="1107"/>
        <w:gridCol w:w="1519"/>
        <w:gridCol w:w="1307"/>
        <w:gridCol w:w="1196"/>
      </w:tblGrid>
      <w:tr w:rsidR="009E0A9E" w:rsidRPr="00775AE5" w14:paraId="56ED5E78" w14:textId="77777777" w:rsidTr="00525437">
        <w:trPr>
          <w:trHeight w:val="1020"/>
        </w:trPr>
        <w:tc>
          <w:tcPr>
            <w:tcW w:w="0" w:type="auto"/>
            <w:hideMark/>
          </w:tcPr>
          <w:p w14:paraId="6D6F196A" w14:textId="77777777" w:rsidR="009E0A9E" w:rsidRPr="00775AE5" w:rsidRDefault="009E0A9E" w:rsidP="00525437">
            <w:pPr>
              <w:jc w:val="center"/>
              <w:rPr>
                <w:rFonts w:ascii="Arial" w:hAnsi="Arial" w:cs="Arial"/>
                <w:b/>
                <w:bCs/>
                <w:color w:val="000000"/>
                <w:sz w:val="22"/>
                <w:szCs w:val="22"/>
                <w:lang w:val="es-MX" w:eastAsia="es-MX"/>
              </w:rPr>
            </w:pPr>
            <w:r w:rsidRPr="00775AE5">
              <w:rPr>
                <w:rFonts w:ascii="Arial" w:hAnsi="Arial" w:cs="Arial"/>
                <w:b/>
                <w:bCs/>
                <w:color w:val="000000"/>
                <w:sz w:val="22"/>
                <w:szCs w:val="22"/>
              </w:rPr>
              <w:t>AÑO</w:t>
            </w:r>
          </w:p>
        </w:tc>
        <w:tc>
          <w:tcPr>
            <w:tcW w:w="0" w:type="auto"/>
            <w:hideMark/>
          </w:tcPr>
          <w:p w14:paraId="5A2EF8E8" w14:textId="77777777" w:rsidR="009E0A9E" w:rsidRPr="00775AE5" w:rsidRDefault="009E0A9E" w:rsidP="00525437">
            <w:pPr>
              <w:jc w:val="center"/>
              <w:rPr>
                <w:rFonts w:ascii="Arial" w:hAnsi="Arial" w:cs="Arial"/>
                <w:b/>
                <w:bCs/>
                <w:color w:val="000000"/>
                <w:sz w:val="22"/>
                <w:szCs w:val="22"/>
              </w:rPr>
            </w:pPr>
            <w:r w:rsidRPr="00775AE5">
              <w:rPr>
                <w:rFonts w:ascii="Arial" w:hAnsi="Arial" w:cs="Arial"/>
                <w:b/>
                <w:bCs/>
                <w:color w:val="000000"/>
                <w:sz w:val="22"/>
                <w:szCs w:val="22"/>
              </w:rPr>
              <w:t>MUERTE NATURAL</w:t>
            </w:r>
          </w:p>
        </w:tc>
        <w:tc>
          <w:tcPr>
            <w:tcW w:w="0" w:type="auto"/>
            <w:hideMark/>
          </w:tcPr>
          <w:p w14:paraId="570FD0CB" w14:textId="77777777" w:rsidR="009E0A9E" w:rsidRPr="00775AE5" w:rsidRDefault="009E0A9E" w:rsidP="00525437">
            <w:pPr>
              <w:jc w:val="center"/>
              <w:rPr>
                <w:rFonts w:ascii="Arial" w:hAnsi="Arial" w:cs="Arial"/>
                <w:b/>
                <w:bCs/>
                <w:color w:val="000000"/>
                <w:sz w:val="22"/>
                <w:szCs w:val="22"/>
              </w:rPr>
            </w:pPr>
            <w:r w:rsidRPr="00775AE5">
              <w:rPr>
                <w:rFonts w:ascii="Arial" w:hAnsi="Arial" w:cs="Arial"/>
                <w:b/>
                <w:bCs/>
                <w:color w:val="000000"/>
                <w:sz w:val="22"/>
                <w:szCs w:val="22"/>
              </w:rPr>
              <w:t>MUERTE POR VIOLENCIA INTRACARCELARIA</w:t>
            </w:r>
          </w:p>
        </w:tc>
        <w:tc>
          <w:tcPr>
            <w:tcW w:w="0" w:type="auto"/>
            <w:hideMark/>
          </w:tcPr>
          <w:p w14:paraId="14C9E6E6" w14:textId="77777777" w:rsidR="009E0A9E" w:rsidRPr="00775AE5" w:rsidRDefault="009E0A9E" w:rsidP="00525437">
            <w:pPr>
              <w:jc w:val="center"/>
              <w:rPr>
                <w:rFonts w:ascii="Arial" w:hAnsi="Arial" w:cs="Arial"/>
                <w:b/>
                <w:bCs/>
                <w:color w:val="000000"/>
                <w:sz w:val="22"/>
                <w:szCs w:val="22"/>
              </w:rPr>
            </w:pPr>
            <w:r w:rsidRPr="00775AE5">
              <w:rPr>
                <w:rFonts w:ascii="Arial" w:hAnsi="Arial" w:cs="Arial"/>
                <w:b/>
                <w:bCs/>
                <w:color w:val="000000"/>
                <w:sz w:val="22"/>
                <w:szCs w:val="22"/>
              </w:rPr>
              <w:t>MUERTE POR SUICIDIO</w:t>
            </w:r>
          </w:p>
        </w:tc>
        <w:tc>
          <w:tcPr>
            <w:tcW w:w="0" w:type="auto"/>
            <w:hideMark/>
          </w:tcPr>
          <w:p w14:paraId="20ABAF4B" w14:textId="77777777" w:rsidR="009E0A9E" w:rsidRPr="00775AE5" w:rsidRDefault="009E0A9E" w:rsidP="00525437">
            <w:pPr>
              <w:jc w:val="center"/>
              <w:rPr>
                <w:rFonts w:ascii="Arial" w:hAnsi="Arial" w:cs="Arial"/>
                <w:b/>
                <w:bCs/>
                <w:color w:val="000000"/>
                <w:sz w:val="22"/>
                <w:szCs w:val="22"/>
              </w:rPr>
            </w:pPr>
            <w:r w:rsidRPr="00775AE5">
              <w:rPr>
                <w:rFonts w:ascii="Arial" w:hAnsi="Arial" w:cs="Arial"/>
                <w:b/>
                <w:bCs/>
                <w:color w:val="000000"/>
                <w:sz w:val="22"/>
                <w:szCs w:val="22"/>
              </w:rPr>
              <w:t>MUERTE ACCIDENTAL</w:t>
            </w:r>
          </w:p>
        </w:tc>
        <w:tc>
          <w:tcPr>
            <w:tcW w:w="0" w:type="auto"/>
            <w:hideMark/>
          </w:tcPr>
          <w:p w14:paraId="75708A63" w14:textId="77777777" w:rsidR="009E0A9E" w:rsidRPr="00775AE5" w:rsidRDefault="009E0A9E" w:rsidP="00525437">
            <w:pPr>
              <w:jc w:val="center"/>
              <w:rPr>
                <w:rFonts w:ascii="Arial" w:hAnsi="Arial" w:cs="Arial"/>
                <w:b/>
                <w:bCs/>
                <w:color w:val="000000"/>
                <w:sz w:val="22"/>
                <w:szCs w:val="22"/>
              </w:rPr>
            </w:pPr>
            <w:r w:rsidRPr="00775AE5">
              <w:rPr>
                <w:rFonts w:ascii="Arial" w:hAnsi="Arial" w:cs="Arial"/>
                <w:b/>
                <w:bCs/>
                <w:color w:val="000000"/>
                <w:sz w:val="22"/>
                <w:szCs w:val="22"/>
              </w:rPr>
              <w:t>MUERTE POR VIOLENCIA FUERA DEL CPL</w:t>
            </w:r>
          </w:p>
        </w:tc>
        <w:tc>
          <w:tcPr>
            <w:tcW w:w="0" w:type="auto"/>
            <w:hideMark/>
          </w:tcPr>
          <w:p w14:paraId="7979F65E" w14:textId="77777777" w:rsidR="009E0A9E" w:rsidRPr="00775AE5" w:rsidRDefault="009E0A9E" w:rsidP="00525437">
            <w:pPr>
              <w:jc w:val="center"/>
              <w:rPr>
                <w:rFonts w:ascii="Arial" w:hAnsi="Arial" w:cs="Arial"/>
                <w:b/>
                <w:bCs/>
                <w:color w:val="000000"/>
                <w:sz w:val="22"/>
                <w:szCs w:val="22"/>
              </w:rPr>
            </w:pPr>
            <w:r w:rsidRPr="00775AE5">
              <w:rPr>
                <w:rFonts w:ascii="Arial" w:hAnsi="Arial" w:cs="Arial"/>
                <w:b/>
                <w:bCs/>
                <w:color w:val="000000"/>
                <w:sz w:val="22"/>
                <w:szCs w:val="22"/>
              </w:rPr>
              <w:t>TOTAL MUERTES</w:t>
            </w:r>
          </w:p>
        </w:tc>
      </w:tr>
      <w:tr w:rsidR="009E0A9E" w:rsidRPr="00775AE5" w14:paraId="5EBCF6CB" w14:textId="77777777" w:rsidTr="00525437">
        <w:trPr>
          <w:trHeight w:val="300"/>
        </w:trPr>
        <w:tc>
          <w:tcPr>
            <w:tcW w:w="0" w:type="auto"/>
            <w:noWrap/>
            <w:hideMark/>
          </w:tcPr>
          <w:p w14:paraId="6B4E1834" w14:textId="77777777" w:rsidR="009E0A9E" w:rsidRPr="00775AE5" w:rsidRDefault="009E0A9E" w:rsidP="00525437">
            <w:pPr>
              <w:rPr>
                <w:rFonts w:ascii="Arial" w:hAnsi="Arial" w:cs="Arial"/>
                <w:color w:val="000000"/>
                <w:sz w:val="22"/>
                <w:szCs w:val="22"/>
              </w:rPr>
            </w:pPr>
            <w:r w:rsidRPr="00775AE5">
              <w:rPr>
                <w:rFonts w:ascii="Arial" w:hAnsi="Arial" w:cs="Arial"/>
                <w:color w:val="000000"/>
                <w:sz w:val="22"/>
                <w:szCs w:val="22"/>
              </w:rPr>
              <w:t>2014</w:t>
            </w:r>
          </w:p>
        </w:tc>
        <w:tc>
          <w:tcPr>
            <w:tcW w:w="0" w:type="auto"/>
            <w:noWrap/>
            <w:hideMark/>
          </w:tcPr>
          <w:p w14:paraId="2E037156"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47 </w:t>
            </w:r>
          </w:p>
        </w:tc>
        <w:tc>
          <w:tcPr>
            <w:tcW w:w="0" w:type="auto"/>
            <w:noWrap/>
            <w:hideMark/>
          </w:tcPr>
          <w:p w14:paraId="551FC031"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8 </w:t>
            </w:r>
          </w:p>
        </w:tc>
        <w:tc>
          <w:tcPr>
            <w:tcW w:w="0" w:type="auto"/>
            <w:noWrap/>
            <w:hideMark/>
          </w:tcPr>
          <w:p w14:paraId="3E1CEA5F"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 </w:t>
            </w:r>
          </w:p>
        </w:tc>
        <w:tc>
          <w:tcPr>
            <w:tcW w:w="0" w:type="auto"/>
            <w:noWrap/>
            <w:hideMark/>
          </w:tcPr>
          <w:p w14:paraId="76581ECB"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 </w:t>
            </w:r>
          </w:p>
        </w:tc>
        <w:tc>
          <w:tcPr>
            <w:tcW w:w="0" w:type="auto"/>
            <w:noWrap/>
            <w:hideMark/>
          </w:tcPr>
          <w:p w14:paraId="2DA23B3F"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 </w:t>
            </w:r>
          </w:p>
        </w:tc>
        <w:tc>
          <w:tcPr>
            <w:tcW w:w="0" w:type="auto"/>
            <w:noWrap/>
            <w:hideMark/>
          </w:tcPr>
          <w:p w14:paraId="43C7B023"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55 </w:t>
            </w:r>
          </w:p>
        </w:tc>
      </w:tr>
      <w:tr w:rsidR="009E0A9E" w:rsidRPr="00775AE5" w14:paraId="1F8237A5" w14:textId="77777777" w:rsidTr="00525437">
        <w:trPr>
          <w:trHeight w:val="300"/>
        </w:trPr>
        <w:tc>
          <w:tcPr>
            <w:tcW w:w="0" w:type="auto"/>
            <w:noWrap/>
            <w:hideMark/>
          </w:tcPr>
          <w:p w14:paraId="1254BFE9" w14:textId="77777777" w:rsidR="009E0A9E" w:rsidRPr="00775AE5" w:rsidRDefault="009E0A9E" w:rsidP="00525437">
            <w:pPr>
              <w:rPr>
                <w:rFonts w:ascii="Arial" w:hAnsi="Arial" w:cs="Arial"/>
                <w:color w:val="000000"/>
                <w:sz w:val="22"/>
                <w:szCs w:val="22"/>
              </w:rPr>
            </w:pPr>
            <w:r w:rsidRPr="00775AE5">
              <w:rPr>
                <w:rFonts w:ascii="Arial" w:hAnsi="Arial" w:cs="Arial"/>
                <w:color w:val="000000"/>
                <w:sz w:val="22"/>
                <w:szCs w:val="22"/>
              </w:rPr>
              <w:t>2015</w:t>
            </w:r>
          </w:p>
        </w:tc>
        <w:tc>
          <w:tcPr>
            <w:tcW w:w="0" w:type="auto"/>
            <w:noWrap/>
            <w:hideMark/>
          </w:tcPr>
          <w:p w14:paraId="58531247"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65 </w:t>
            </w:r>
          </w:p>
        </w:tc>
        <w:tc>
          <w:tcPr>
            <w:tcW w:w="0" w:type="auto"/>
            <w:noWrap/>
            <w:hideMark/>
          </w:tcPr>
          <w:p w14:paraId="05F11652"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7 </w:t>
            </w:r>
          </w:p>
        </w:tc>
        <w:tc>
          <w:tcPr>
            <w:tcW w:w="0" w:type="auto"/>
            <w:noWrap/>
            <w:hideMark/>
          </w:tcPr>
          <w:p w14:paraId="0CF20A2E" w14:textId="77777777" w:rsidR="009E0A9E" w:rsidRPr="00775AE5" w:rsidRDefault="009E0A9E" w:rsidP="00525437">
            <w:pPr>
              <w:jc w:val="right"/>
              <w:rPr>
                <w:rFonts w:ascii="Arial" w:hAnsi="Arial" w:cs="Arial"/>
                <w:color w:val="000000"/>
                <w:sz w:val="22"/>
                <w:szCs w:val="22"/>
              </w:rPr>
            </w:pPr>
          </w:p>
        </w:tc>
        <w:tc>
          <w:tcPr>
            <w:tcW w:w="0" w:type="auto"/>
            <w:noWrap/>
            <w:hideMark/>
          </w:tcPr>
          <w:p w14:paraId="3C7D37A4"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 </w:t>
            </w:r>
          </w:p>
        </w:tc>
        <w:tc>
          <w:tcPr>
            <w:tcW w:w="0" w:type="auto"/>
            <w:noWrap/>
            <w:hideMark/>
          </w:tcPr>
          <w:p w14:paraId="2ACC5982"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 </w:t>
            </w:r>
          </w:p>
        </w:tc>
        <w:tc>
          <w:tcPr>
            <w:tcW w:w="0" w:type="auto"/>
            <w:noWrap/>
            <w:hideMark/>
          </w:tcPr>
          <w:p w14:paraId="7C929C47"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72 </w:t>
            </w:r>
          </w:p>
        </w:tc>
      </w:tr>
      <w:tr w:rsidR="009E0A9E" w:rsidRPr="00775AE5" w14:paraId="11F89097" w14:textId="77777777" w:rsidTr="00525437">
        <w:trPr>
          <w:trHeight w:val="300"/>
        </w:trPr>
        <w:tc>
          <w:tcPr>
            <w:tcW w:w="0" w:type="auto"/>
            <w:noWrap/>
            <w:hideMark/>
          </w:tcPr>
          <w:p w14:paraId="619D857D" w14:textId="77777777" w:rsidR="009E0A9E" w:rsidRPr="00775AE5" w:rsidRDefault="009E0A9E" w:rsidP="00525437">
            <w:pPr>
              <w:rPr>
                <w:rFonts w:ascii="Arial" w:hAnsi="Arial" w:cs="Arial"/>
                <w:color w:val="000000"/>
                <w:sz w:val="22"/>
                <w:szCs w:val="22"/>
              </w:rPr>
            </w:pPr>
            <w:r w:rsidRPr="00775AE5">
              <w:rPr>
                <w:rFonts w:ascii="Arial" w:hAnsi="Arial" w:cs="Arial"/>
                <w:color w:val="000000"/>
                <w:sz w:val="22"/>
                <w:szCs w:val="22"/>
              </w:rPr>
              <w:t>2016</w:t>
            </w:r>
          </w:p>
        </w:tc>
        <w:tc>
          <w:tcPr>
            <w:tcW w:w="0" w:type="auto"/>
            <w:noWrap/>
            <w:hideMark/>
          </w:tcPr>
          <w:p w14:paraId="7316F05D"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72 </w:t>
            </w:r>
          </w:p>
        </w:tc>
        <w:tc>
          <w:tcPr>
            <w:tcW w:w="0" w:type="auto"/>
            <w:noWrap/>
            <w:hideMark/>
          </w:tcPr>
          <w:p w14:paraId="52100576"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14 </w:t>
            </w:r>
          </w:p>
        </w:tc>
        <w:tc>
          <w:tcPr>
            <w:tcW w:w="0" w:type="auto"/>
            <w:noWrap/>
            <w:hideMark/>
          </w:tcPr>
          <w:p w14:paraId="4BAE6C70"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6 </w:t>
            </w:r>
          </w:p>
        </w:tc>
        <w:tc>
          <w:tcPr>
            <w:tcW w:w="0" w:type="auto"/>
            <w:noWrap/>
            <w:hideMark/>
          </w:tcPr>
          <w:p w14:paraId="7D82E617"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 </w:t>
            </w:r>
          </w:p>
        </w:tc>
        <w:tc>
          <w:tcPr>
            <w:tcW w:w="0" w:type="auto"/>
            <w:noWrap/>
            <w:hideMark/>
          </w:tcPr>
          <w:p w14:paraId="21C205A8"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 </w:t>
            </w:r>
          </w:p>
        </w:tc>
        <w:tc>
          <w:tcPr>
            <w:tcW w:w="0" w:type="auto"/>
            <w:noWrap/>
            <w:hideMark/>
          </w:tcPr>
          <w:p w14:paraId="2B5FB6E7"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92 </w:t>
            </w:r>
          </w:p>
        </w:tc>
      </w:tr>
      <w:tr w:rsidR="009E0A9E" w:rsidRPr="00775AE5" w14:paraId="7724B361" w14:textId="77777777" w:rsidTr="00525437">
        <w:trPr>
          <w:trHeight w:val="300"/>
        </w:trPr>
        <w:tc>
          <w:tcPr>
            <w:tcW w:w="0" w:type="auto"/>
            <w:noWrap/>
            <w:hideMark/>
          </w:tcPr>
          <w:p w14:paraId="07CFAE13" w14:textId="77777777" w:rsidR="009E0A9E" w:rsidRPr="00775AE5" w:rsidRDefault="009E0A9E" w:rsidP="00525437">
            <w:pPr>
              <w:rPr>
                <w:rFonts w:ascii="Arial" w:hAnsi="Arial" w:cs="Arial"/>
                <w:color w:val="000000"/>
                <w:sz w:val="22"/>
                <w:szCs w:val="22"/>
              </w:rPr>
            </w:pPr>
            <w:r w:rsidRPr="00775AE5">
              <w:rPr>
                <w:rFonts w:ascii="Arial" w:hAnsi="Arial" w:cs="Arial"/>
                <w:color w:val="000000"/>
                <w:sz w:val="22"/>
                <w:szCs w:val="22"/>
              </w:rPr>
              <w:t>2017</w:t>
            </w:r>
          </w:p>
        </w:tc>
        <w:tc>
          <w:tcPr>
            <w:tcW w:w="0" w:type="auto"/>
            <w:noWrap/>
            <w:hideMark/>
          </w:tcPr>
          <w:p w14:paraId="4555D1BD" w14:textId="77777777" w:rsidR="009E0A9E" w:rsidRPr="00775AE5" w:rsidRDefault="009E0A9E" w:rsidP="00525437">
            <w:pPr>
              <w:rPr>
                <w:rFonts w:ascii="Arial" w:hAnsi="Arial" w:cs="Arial"/>
                <w:color w:val="000000"/>
                <w:sz w:val="22"/>
                <w:szCs w:val="22"/>
              </w:rPr>
            </w:pPr>
          </w:p>
        </w:tc>
        <w:tc>
          <w:tcPr>
            <w:tcW w:w="0" w:type="auto"/>
            <w:noWrap/>
            <w:hideMark/>
          </w:tcPr>
          <w:p w14:paraId="085C1A67"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w:t>
            </w:r>
          </w:p>
        </w:tc>
        <w:tc>
          <w:tcPr>
            <w:tcW w:w="0" w:type="auto"/>
            <w:noWrap/>
            <w:hideMark/>
          </w:tcPr>
          <w:p w14:paraId="506D939F"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 </w:t>
            </w:r>
          </w:p>
        </w:tc>
        <w:tc>
          <w:tcPr>
            <w:tcW w:w="0" w:type="auto"/>
            <w:noWrap/>
            <w:hideMark/>
          </w:tcPr>
          <w:p w14:paraId="16C50911"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 </w:t>
            </w:r>
          </w:p>
        </w:tc>
        <w:tc>
          <w:tcPr>
            <w:tcW w:w="0" w:type="auto"/>
            <w:noWrap/>
            <w:hideMark/>
          </w:tcPr>
          <w:p w14:paraId="1FF97D89"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 </w:t>
            </w:r>
          </w:p>
        </w:tc>
        <w:tc>
          <w:tcPr>
            <w:tcW w:w="0" w:type="auto"/>
            <w:noWrap/>
            <w:hideMark/>
          </w:tcPr>
          <w:p w14:paraId="4151B8A0"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 </w:t>
            </w:r>
          </w:p>
        </w:tc>
      </w:tr>
      <w:tr w:rsidR="009E0A9E" w:rsidRPr="00775AE5" w14:paraId="6613F0E7" w14:textId="77777777" w:rsidTr="00525437">
        <w:trPr>
          <w:trHeight w:val="300"/>
        </w:trPr>
        <w:tc>
          <w:tcPr>
            <w:tcW w:w="0" w:type="auto"/>
            <w:noWrap/>
            <w:hideMark/>
          </w:tcPr>
          <w:p w14:paraId="56028799" w14:textId="77777777" w:rsidR="009E0A9E" w:rsidRPr="00775AE5" w:rsidRDefault="009E0A9E" w:rsidP="00525437">
            <w:pPr>
              <w:rPr>
                <w:rFonts w:ascii="Arial" w:hAnsi="Arial" w:cs="Arial"/>
                <w:color w:val="000000"/>
                <w:sz w:val="22"/>
                <w:szCs w:val="22"/>
              </w:rPr>
            </w:pPr>
            <w:r w:rsidRPr="00775AE5">
              <w:rPr>
                <w:rFonts w:ascii="Arial" w:hAnsi="Arial" w:cs="Arial"/>
                <w:color w:val="000000"/>
                <w:sz w:val="22"/>
                <w:szCs w:val="22"/>
              </w:rPr>
              <w:t>2018</w:t>
            </w:r>
          </w:p>
        </w:tc>
        <w:tc>
          <w:tcPr>
            <w:tcW w:w="0" w:type="auto"/>
            <w:noWrap/>
            <w:hideMark/>
          </w:tcPr>
          <w:p w14:paraId="3A18E00F"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65 </w:t>
            </w:r>
          </w:p>
        </w:tc>
        <w:tc>
          <w:tcPr>
            <w:tcW w:w="0" w:type="auto"/>
            <w:noWrap/>
            <w:hideMark/>
          </w:tcPr>
          <w:p w14:paraId="6758735E"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11 </w:t>
            </w:r>
          </w:p>
        </w:tc>
        <w:tc>
          <w:tcPr>
            <w:tcW w:w="0" w:type="auto"/>
            <w:noWrap/>
            <w:hideMark/>
          </w:tcPr>
          <w:p w14:paraId="474EC7C5"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11 </w:t>
            </w:r>
          </w:p>
        </w:tc>
        <w:tc>
          <w:tcPr>
            <w:tcW w:w="0" w:type="auto"/>
            <w:noWrap/>
            <w:hideMark/>
          </w:tcPr>
          <w:p w14:paraId="3452BC9D" w14:textId="77777777" w:rsidR="009E0A9E" w:rsidRPr="00775AE5" w:rsidRDefault="009E0A9E" w:rsidP="00525437">
            <w:pPr>
              <w:jc w:val="right"/>
              <w:rPr>
                <w:rFonts w:ascii="Arial" w:hAnsi="Arial" w:cs="Arial"/>
                <w:color w:val="000000"/>
                <w:sz w:val="22"/>
                <w:szCs w:val="22"/>
              </w:rPr>
            </w:pPr>
          </w:p>
        </w:tc>
        <w:tc>
          <w:tcPr>
            <w:tcW w:w="0" w:type="auto"/>
            <w:noWrap/>
            <w:hideMark/>
          </w:tcPr>
          <w:p w14:paraId="651AAA06" w14:textId="77777777" w:rsidR="009E0A9E" w:rsidRPr="00775AE5" w:rsidRDefault="009E0A9E" w:rsidP="00525437">
            <w:pPr>
              <w:rPr>
                <w:rFonts w:ascii="Arial" w:hAnsi="Arial" w:cs="Arial"/>
                <w:sz w:val="22"/>
                <w:szCs w:val="22"/>
              </w:rPr>
            </w:pPr>
          </w:p>
        </w:tc>
        <w:tc>
          <w:tcPr>
            <w:tcW w:w="0" w:type="auto"/>
            <w:noWrap/>
            <w:hideMark/>
          </w:tcPr>
          <w:p w14:paraId="4AF9A3F6"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87 </w:t>
            </w:r>
          </w:p>
        </w:tc>
      </w:tr>
      <w:tr w:rsidR="009E0A9E" w:rsidRPr="00775AE5" w14:paraId="1A0D9C7B" w14:textId="77777777" w:rsidTr="00525437">
        <w:trPr>
          <w:trHeight w:val="300"/>
        </w:trPr>
        <w:tc>
          <w:tcPr>
            <w:tcW w:w="0" w:type="auto"/>
            <w:noWrap/>
            <w:hideMark/>
          </w:tcPr>
          <w:p w14:paraId="260DB446" w14:textId="77777777" w:rsidR="009E0A9E" w:rsidRPr="00775AE5" w:rsidRDefault="009E0A9E" w:rsidP="00525437">
            <w:pPr>
              <w:rPr>
                <w:rFonts w:ascii="Arial" w:hAnsi="Arial" w:cs="Arial"/>
                <w:color w:val="000000"/>
                <w:sz w:val="22"/>
                <w:szCs w:val="22"/>
              </w:rPr>
            </w:pPr>
            <w:r w:rsidRPr="00775AE5">
              <w:rPr>
                <w:rFonts w:ascii="Arial" w:hAnsi="Arial" w:cs="Arial"/>
                <w:color w:val="000000"/>
                <w:sz w:val="22"/>
                <w:szCs w:val="22"/>
              </w:rPr>
              <w:t>2019</w:t>
            </w:r>
          </w:p>
        </w:tc>
        <w:tc>
          <w:tcPr>
            <w:tcW w:w="0" w:type="auto"/>
            <w:noWrap/>
            <w:hideMark/>
          </w:tcPr>
          <w:p w14:paraId="76C9998C"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98 </w:t>
            </w:r>
          </w:p>
        </w:tc>
        <w:tc>
          <w:tcPr>
            <w:tcW w:w="0" w:type="auto"/>
            <w:noWrap/>
            <w:hideMark/>
          </w:tcPr>
          <w:p w14:paraId="2F1491F0"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32 </w:t>
            </w:r>
          </w:p>
        </w:tc>
        <w:tc>
          <w:tcPr>
            <w:tcW w:w="0" w:type="auto"/>
            <w:noWrap/>
            <w:hideMark/>
          </w:tcPr>
          <w:p w14:paraId="432F6440"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14 </w:t>
            </w:r>
          </w:p>
        </w:tc>
        <w:tc>
          <w:tcPr>
            <w:tcW w:w="0" w:type="auto"/>
            <w:noWrap/>
            <w:hideMark/>
          </w:tcPr>
          <w:p w14:paraId="0C25D0B5"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4 </w:t>
            </w:r>
          </w:p>
        </w:tc>
        <w:tc>
          <w:tcPr>
            <w:tcW w:w="0" w:type="auto"/>
            <w:noWrap/>
            <w:hideMark/>
          </w:tcPr>
          <w:p w14:paraId="21C460FC" w14:textId="77777777" w:rsidR="009E0A9E" w:rsidRPr="00775AE5" w:rsidRDefault="009E0A9E" w:rsidP="00525437">
            <w:pPr>
              <w:jc w:val="right"/>
              <w:rPr>
                <w:rFonts w:ascii="Arial" w:hAnsi="Arial" w:cs="Arial"/>
                <w:color w:val="000000"/>
                <w:sz w:val="22"/>
                <w:szCs w:val="22"/>
              </w:rPr>
            </w:pPr>
          </w:p>
        </w:tc>
        <w:tc>
          <w:tcPr>
            <w:tcW w:w="0" w:type="auto"/>
            <w:noWrap/>
            <w:hideMark/>
          </w:tcPr>
          <w:p w14:paraId="05C963FD"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148 </w:t>
            </w:r>
          </w:p>
        </w:tc>
      </w:tr>
      <w:tr w:rsidR="009E0A9E" w:rsidRPr="00775AE5" w14:paraId="206770B9" w14:textId="77777777" w:rsidTr="00525437">
        <w:trPr>
          <w:trHeight w:val="300"/>
        </w:trPr>
        <w:tc>
          <w:tcPr>
            <w:tcW w:w="0" w:type="auto"/>
            <w:noWrap/>
            <w:hideMark/>
          </w:tcPr>
          <w:p w14:paraId="1738DDAC" w14:textId="77777777" w:rsidR="009E0A9E" w:rsidRPr="00775AE5" w:rsidRDefault="009E0A9E" w:rsidP="00525437">
            <w:pPr>
              <w:rPr>
                <w:rFonts w:ascii="Arial" w:hAnsi="Arial" w:cs="Arial"/>
                <w:color w:val="000000"/>
                <w:sz w:val="22"/>
                <w:szCs w:val="22"/>
              </w:rPr>
            </w:pPr>
            <w:r w:rsidRPr="00775AE5">
              <w:rPr>
                <w:rFonts w:ascii="Arial" w:hAnsi="Arial" w:cs="Arial"/>
                <w:color w:val="000000"/>
                <w:sz w:val="22"/>
                <w:szCs w:val="22"/>
              </w:rPr>
              <w:t>2020</w:t>
            </w:r>
          </w:p>
        </w:tc>
        <w:tc>
          <w:tcPr>
            <w:tcW w:w="0" w:type="auto"/>
            <w:noWrap/>
            <w:hideMark/>
          </w:tcPr>
          <w:p w14:paraId="7B9CD1CB"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156 </w:t>
            </w:r>
          </w:p>
        </w:tc>
        <w:tc>
          <w:tcPr>
            <w:tcW w:w="0" w:type="auto"/>
            <w:noWrap/>
            <w:hideMark/>
          </w:tcPr>
          <w:p w14:paraId="4A294F6F"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31 </w:t>
            </w:r>
          </w:p>
        </w:tc>
        <w:tc>
          <w:tcPr>
            <w:tcW w:w="0" w:type="auto"/>
            <w:noWrap/>
            <w:hideMark/>
          </w:tcPr>
          <w:p w14:paraId="2DD92460"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15 </w:t>
            </w:r>
          </w:p>
        </w:tc>
        <w:tc>
          <w:tcPr>
            <w:tcW w:w="0" w:type="auto"/>
            <w:noWrap/>
            <w:hideMark/>
          </w:tcPr>
          <w:p w14:paraId="7E55428D"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2 </w:t>
            </w:r>
          </w:p>
        </w:tc>
        <w:tc>
          <w:tcPr>
            <w:tcW w:w="0" w:type="auto"/>
            <w:noWrap/>
            <w:hideMark/>
          </w:tcPr>
          <w:p w14:paraId="27E70699"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1 </w:t>
            </w:r>
          </w:p>
        </w:tc>
        <w:tc>
          <w:tcPr>
            <w:tcW w:w="0" w:type="auto"/>
            <w:noWrap/>
            <w:hideMark/>
          </w:tcPr>
          <w:p w14:paraId="64F4DA4C"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205 </w:t>
            </w:r>
          </w:p>
        </w:tc>
      </w:tr>
      <w:tr w:rsidR="009E0A9E" w:rsidRPr="00775AE5" w14:paraId="5F47264F" w14:textId="77777777" w:rsidTr="00525437">
        <w:trPr>
          <w:trHeight w:val="300"/>
        </w:trPr>
        <w:tc>
          <w:tcPr>
            <w:tcW w:w="0" w:type="auto"/>
            <w:noWrap/>
            <w:hideMark/>
          </w:tcPr>
          <w:p w14:paraId="3B5C3E40" w14:textId="77777777" w:rsidR="009E0A9E" w:rsidRPr="00775AE5" w:rsidRDefault="009E0A9E" w:rsidP="00525437">
            <w:pPr>
              <w:rPr>
                <w:rFonts w:ascii="Arial" w:hAnsi="Arial" w:cs="Arial"/>
                <w:color w:val="000000"/>
                <w:sz w:val="22"/>
                <w:szCs w:val="22"/>
              </w:rPr>
            </w:pPr>
            <w:r w:rsidRPr="00775AE5">
              <w:rPr>
                <w:rFonts w:ascii="Arial" w:hAnsi="Arial" w:cs="Arial"/>
                <w:color w:val="000000"/>
                <w:sz w:val="22"/>
                <w:szCs w:val="22"/>
              </w:rPr>
              <w:t>2021</w:t>
            </w:r>
          </w:p>
        </w:tc>
        <w:tc>
          <w:tcPr>
            <w:tcW w:w="0" w:type="auto"/>
            <w:noWrap/>
            <w:hideMark/>
          </w:tcPr>
          <w:p w14:paraId="5CCCFD4E" w14:textId="77777777" w:rsidR="009E0A9E" w:rsidRPr="00775AE5" w:rsidRDefault="009E0A9E" w:rsidP="00525437">
            <w:pPr>
              <w:rPr>
                <w:rFonts w:ascii="Arial" w:hAnsi="Arial" w:cs="Arial"/>
                <w:color w:val="000000"/>
                <w:sz w:val="22"/>
                <w:szCs w:val="22"/>
              </w:rPr>
            </w:pPr>
          </w:p>
        </w:tc>
        <w:tc>
          <w:tcPr>
            <w:tcW w:w="0" w:type="auto"/>
            <w:noWrap/>
            <w:hideMark/>
          </w:tcPr>
          <w:p w14:paraId="3F1E944B"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331 </w:t>
            </w:r>
          </w:p>
        </w:tc>
        <w:tc>
          <w:tcPr>
            <w:tcW w:w="0" w:type="auto"/>
            <w:noWrap/>
            <w:hideMark/>
          </w:tcPr>
          <w:p w14:paraId="132BDDDC" w14:textId="77777777" w:rsidR="009E0A9E" w:rsidRPr="00775AE5" w:rsidRDefault="009E0A9E" w:rsidP="00525437">
            <w:pPr>
              <w:jc w:val="right"/>
              <w:rPr>
                <w:rFonts w:ascii="Arial" w:hAnsi="Arial" w:cs="Arial"/>
                <w:color w:val="000000"/>
                <w:sz w:val="22"/>
                <w:szCs w:val="22"/>
              </w:rPr>
            </w:pPr>
          </w:p>
        </w:tc>
        <w:tc>
          <w:tcPr>
            <w:tcW w:w="0" w:type="auto"/>
            <w:noWrap/>
            <w:hideMark/>
          </w:tcPr>
          <w:p w14:paraId="14EB07E2" w14:textId="77777777" w:rsidR="009E0A9E" w:rsidRPr="00775AE5" w:rsidRDefault="009E0A9E" w:rsidP="00525437">
            <w:pPr>
              <w:rPr>
                <w:rFonts w:ascii="Arial" w:hAnsi="Arial" w:cs="Arial"/>
                <w:sz w:val="22"/>
                <w:szCs w:val="22"/>
              </w:rPr>
            </w:pPr>
          </w:p>
        </w:tc>
        <w:tc>
          <w:tcPr>
            <w:tcW w:w="0" w:type="auto"/>
            <w:noWrap/>
            <w:hideMark/>
          </w:tcPr>
          <w:p w14:paraId="179A1D1B" w14:textId="77777777" w:rsidR="009E0A9E" w:rsidRPr="00775AE5" w:rsidRDefault="009E0A9E" w:rsidP="00525437">
            <w:pPr>
              <w:rPr>
                <w:rFonts w:ascii="Arial" w:hAnsi="Arial" w:cs="Arial"/>
                <w:sz w:val="22"/>
                <w:szCs w:val="22"/>
              </w:rPr>
            </w:pPr>
          </w:p>
        </w:tc>
        <w:tc>
          <w:tcPr>
            <w:tcW w:w="0" w:type="auto"/>
            <w:noWrap/>
            <w:hideMark/>
          </w:tcPr>
          <w:p w14:paraId="0E5B4A89"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331 </w:t>
            </w:r>
          </w:p>
        </w:tc>
      </w:tr>
      <w:tr w:rsidR="009E0A9E" w:rsidRPr="00775AE5" w14:paraId="2A40EE96" w14:textId="77777777" w:rsidTr="00525437">
        <w:trPr>
          <w:trHeight w:val="300"/>
        </w:trPr>
        <w:tc>
          <w:tcPr>
            <w:tcW w:w="0" w:type="auto"/>
            <w:noWrap/>
            <w:hideMark/>
          </w:tcPr>
          <w:p w14:paraId="47959BE9" w14:textId="77777777" w:rsidR="009E0A9E" w:rsidRPr="00775AE5" w:rsidRDefault="009E0A9E" w:rsidP="00525437">
            <w:pPr>
              <w:rPr>
                <w:rFonts w:ascii="Arial" w:hAnsi="Arial" w:cs="Arial"/>
                <w:color w:val="000000"/>
                <w:sz w:val="22"/>
                <w:szCs w:val="22"/>
              </w:rPr>
            </w:pPr>
            <w:r w:rsidRPr="00775AE5">
              <w:rPr>
                <w:rFonts w:ascii="Arial" w:hAnsi="Arial" w:cs="Arial"/>
                <w:color w:val="000000"/>
                <w:sz w:val="22"/>
                <w:szCs w:val="22"/>
              </w:rPr>
              <w:t>2022</w:t>
            </w:r>
          </w:p>
        </w:tc>
        <w:tc>
          <w:tcPr>
            <w:tcW w:w="0" w:type="auto"/>
            <w:noWrap/>
            <w:hideMark/>
          </w:tcPr>
          <w:p w14:paraId="518B131C" w14:textId="77777777" w:rsidR="009E0A9E" w:rsidRPr="00775AE5" w:rsidRDefault="009E0A9E" w:rsidP="00525437">
            <w:pPr>
              <w:rPr>
                <w:rFonts w:ascii="Arial" w:hAnsi="Arial" w:cs="Arial"/>
                <w:color w:val="000000"/>
                <w:sz w:val="22"/>
                <w:szCs w:val="22"/>
              </w:rPr>
            </w:pPr>
          </w:p>
        </w:tc>
        <w:tc>
          <w:tcPr>
            <w:tcW w:w="0" w:type="auto"/>
            <w:noWrap/>
            <w:hideMark/>
          </w:tcPr>
          <w:p w14:paraId="5F68EE5D"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144 </w:t>
            </w:r>
          </w:p>
        </w:tc>
        <w:tc>
          <w:tcPr>
            <w:tcW w:w="0" w:type="auto"/>
            <w:noWrap/>
            <w:hideMark/>
          </w:tcPr>
          <w:p w14:paraId="578D53C7" w14:textId="77777777" w:rsidR="009E0A9E" w:rsidRPr="00775AE5" w:rsidRDefault="009E0A9E" w:rsidP="00525437">
            <w:pPr>
              <w:jc w:val="right"/>
              <w:rPr>
                <w:rFonts w:ascii="Arial" w:hAnsi="Arial" w:cs="Arial"/>
                <w:color w:val="000000"/>
                <w:sz w:val="22"/>
                <w:szCs w:val="22"/>
              </w:rPr>
            </w:pPr>
          </w:p>
        </w:tc>
        <w:tc>
          <w:tcPr>
            <w:tcW w:w="0" w:type="auto"/>
            <w:noWrap/>
            <w:hideMark/>
          </w:tcPr>
          <w:p w14:paraId="63D3EC02" w14:textId="77777777" w:rsidR="009E0A9E" w:rsidRPr="00775AE5" w:rsidRDefault="009E0A9E" w:rsidP="00525437">
            <w:pPr>
              <w:rPr>
                <w:rFonts w:ascii="Arial" w:hAnsi="Arial" w:cs="Arial"/>
                <w:sz w:val="22"/>
                <w:szCs w:val="22"/>
              </w:rPr>
            </w:pPr>
          </w:p>
        </w:tc>
        <w:tc>
          <w:tcPr>
            <w:tcW w:w="0" w:type="auto"/>
            <w:noWrap/>
            <w:hideMark/>
          </w:tcPr>
          <w:p w14:paraId="5411E616" w14:textId="77777777" w:rsidR="009E0A9E" w:rsidRPr="00775AE5" w:rsidRDefault="009E0A9E" w:rsidP="00525437">
            <w:pPr>
              <w:rPr>
                <w:rFonts w:ascii="Arial" w:hAnsi="Arial" w:cs="Arial"/>
                <w:sz w:val="22"/>
                <w:szCs w:val="22"/>
              </w:rPr>
            </w:pPr>
          </w:p>
        </w:tc>
        <w:tc>
          <w:tcPr>
            <w:tcW w:w="0" w:type="auto"/>
            <w:noWrap/>
            <w:hideMark/>
          </w:tcPr>
          <w:p w14:paraId="4DB4C045"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144 </w:t>
            </w:r>
          </w:p>
        </w:tc>
      </w:tr>
      <w:tr w:rsidR="009E0A9E" w:rsidRPr="00775AE5" w14:paraId="318E3299" w14:textId="77777777" w:rsidTr="00525437">
        <w:trPr>
          <w:trHeight w:val="300"/>
        </w:trPr>
        <w:tc>
          <w:tcPr>
            <w:tcW w:w="0" w:type="auto"/>
            <w:noWrap/>
            <w:hideMark/>
          </w:tcPr>
          <w:p w14:paraId="180DA9F7" w14:textId="77777777" w:rsidR="009E0A9E" w:rsidRPr="00775AE5" w:rsidRDefault="009E0A9E" w:rsidP="00525437">
            <w:pPr>
              <w:rPr>
                <w:rFonts w:ascii="Arial" w:hAnsi="Arial" w:cs="Arial"/>
                <w:color w:val="000000"/>
                <w:sz w:val="22"/>
                <w:szCs w:val="22"/>
              </w:rPr>
            </w:pPr>
            <w:r w:rsidRPr="00775AE5">
              <w:rPr>
                <w:rFonts w:ascii="Arial" w:hAnsi="Arial" w:cs="Arial"/>
                <w:color w:val="000000"/>
                <w:sz w:val="22"/>
                <w:szCs w:val="22"/>
              </w:rPr>
              <w:t>2023</w:t>
            </w:r>
          </w:p>
        </w:tc>
        <w:tc>
          <w:tcPr>
            <w:tcW w:w="0" w:type="auto"/>
            <w:noWrap/>
            <w:hideMark/>
          </w:tcPr>
          <w:p w14:paraId="5F3E286B" w14:textId="77777777" w:rsidR="009E0A9E" w:rsidRPr="00775AE5" w:rsidRDefault="009E0A9E" w:rsidP="00525437">
            <w:pPr>
              <w:rPr>
                <w:rFonts w:ascii="Arial" w:hAnsi="Arial" w:cs="Arial"/>
                <w:color w:val="000000"/>
                <w:sz w:val="22"/>
                <w:szCs w:val="22"/>
              </w:rPr>
            </w:pPr>
          </w:p>
        </w:tc>
        <w:tc>
          <w:tcPr>
            <w:tcW w:w="0" w:type="auto"/>
            <w:noWrap/>
            <w:hideMark/>
          </w:tcPr>
          <w:p w14:paraId="6EA179D8"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54 </w:t>
            </w:r>
          </w:p>
        </w:tc>
        <w:tc>
          <w:tcPr>
            <w:tcW w:w="0" w:type="auto"/>
            <w:noWrap/>
            <w:hideMark/>
          </w:tcPr>
          <w:p w14:paraId="43CC3FAA"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41 </w:t>
            </w:r>
          </w:p>
        </w:tc>
        <w:tc>
          <w:tcPr>
            <w:tcW w:w="0" w:type="auto"/>
            <w:noWrap/>
            <w:hideMark/>
          </w:tcPr>
          <w:p w14:paraId="0DB341B1" w14:textId="77777777" w:rsidR="009E0A9E" w:rsidRPr="00775AE5" w:rsidRDefault="009E0A9E" w:rsidP="00525437">
            <w:pPr>
              <w:jc w:val="right"/>
              <w:rPr>
                <w:rFonts w:ascii="Arial" w:hAnsi="Arial" w:cs="Arial"/>
                <w:color w:val="000000"/>
                <w:sz w:val="22"/>
                <w:szCs w:val="22"/>
              </w:rPr>
            </w:pPr>
          </w:p>
        </w:tc>
        <w:tc>
          <w:tcPr>
            <w:tcW w:w="0" w:type="auto"/>
            <w:noWrap/>
            <w:hideMark/>
          </w:tcPr>
          <w:p w14:paraId="30EBCA1D" w14:textId="77777777" w:rsidR="009E0A9E" w:rsidRPr="00775AE5" w:rsidRDefault="009E0A9E" w:rsidP="00525437">
            <w:pPr>
              <w:rPr>
                <w:rFonts w:ascii="Arial" w:hAnsi="Arial" w:cs="Arial"/>
                <w:sz w:val="22"/>
                <w:szCs w:val="22"/>
              </w:rPr>
            </w:pPr>
          </w:p>
        </w:tc>
        <w:tc>
          <w:tcPr>
            <w:tcW w:w="0" w:type="auto"/>
            <w:noWrap/>
            <w:hideMark/>
          </w:tcPr>
          <w:p w14:paraId="60B597D2"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 95 </w:t>
            </w:r>
          </w:p>
        </w:tc>
      </w:tr>
      <w:tr w:rsidR="009E0A9E" w:rsidRPr="00775AE5" w14:paraId="37205CCA" w14:textId="77777777" w:rsidTr="00525437">
        <w:trPr>
          <w:trHeight w:val="300"/>
        </w:trPr>
        <w:tc>
          <w:tcPr>
            <w:tcW w:w="0" w:type="auto"/>
            <w:noWrap/>
            <w:hideMark/>
          </w:tcPr>
          <w:p w14:paraId="3737F338" w14:textId="77777777" w:rsidR="009E0A9E" w:rsidRPr="00775AE5" w:rsidRDefault="009E0A9E" w:rsidP="00525437">
            <w:pPr>
              <w:rPr>
                <w:rFonts w:ascii="Arial" w:hAnsi="Arial" w:cs="Arial"/>
                <w:color w:val="000000"/>
                <w:sz w:val="22"/>
                <w:szCs w:val="22"/>
              </w:rPr>
            </w:pPr>
            <w:r w:rsidRPr="00775AE5">
              <w:rPr>
                <w:rFonts w:ascii="Arial" w:hAnsi="Arial" w:cs="Arial"/>
                <w:color w:val="000000"/>
                <w:sz w:val="22"/>
                <w:szCs w:val="22"/>
              </w:rPr>
              <w:t>2024*</w:t>
            </w:r>
          </w:p>
        </w:tc>
        <w:tc>
          <w:tcPr>
            <w:tcW w:w="0" w:type="auto"/>
            <w:noWrap/>
            <w:hideMark/>
          </w:tcPr>
          <w:p w14:paraId="787A8ACD" w14:textId="77777777" w:rsidR="009E0A9E" w:rsidRPr="00775AE5" w:rsidRDefault="009E0A9E" w:rsidP="00525437">
            <w:pPr>
              <w:rPr>
                <w:rFonts w:ascii="Arial" w:hAnsi="Arial" w:cs="Arial"/>
                <w:color w:val="000000"/>
                <w:sz w:val="22"/>
                <w:szCs w:val="22"/>
              </w:rPr>
            </w:pPr>
          </w:p>
        </w:tc>
        <w:tc>
          <w:tcPr>
            <w:tcW w:w="0" w:type="auto"/>
            <w:noWrap/>
            <w:hideMark/>
          </w:tcPr>
          <w:p w14:paraId="102BC40D" w14:textId="77777777" w:rsidR="009E0A9E" w:rsidRPr="00775AE5" w:rsidRDefault="009E0A9E" w:rsidP="00525437">
            <w:pPr>
              <w:jc w:val="right"/>
              <w:rPr>
                <w:rFonts w:ascii="Arial" w:hAnsi="Arial" w:cs="Arial"/>
                <w:color w:val="000000"/>
                <w:sz w:val="22"/>
                <w:szCs w:val="22"/>
              </w:rPr>
            </w:pPr>
            <w:r w:rsidRPr="00775AE5">
              <w:rPr>
                <w:rFonts w:ascii="Arial" w:hAnsi="Arial" w:cs="Arial"/>
                <w:color w:val="000000"/>
                <w:sz w:val="22"/>
                <w:szCs w:val="22"/>
              </w:rPr>
              <w:t xml:space="preserve">24 </w:t>
            </w:r>
          </w:p>
        </w:tc>
        <w:tc>
          <w:tcPr>
            <w:tcW w:w="0" w:type="auto"/>
            <w:noWrap/>
            <w:hideMark/>
          </w:tcPr>
          <w:p w14:paraId="7A0CD7A6" w14:textId="77777777" w:rsidR="009E0A9E" w:rsidRPr="00775AE5" w:rsidRDefault="009E0A9E" w:rsidP="00525437">
            <w:pPr>
              <w:jc w:val="right"/>
              <w:rPr>
                <w:rFonts w:ascii="Arial" w:hAnsi="Arial" w:cs="Arial"/>
                <w:color w:val="000000"/>
                <w:sz w:val="22"/>
                <w:szCs w:val="22"/>
              </w:rPr>
            </w:pPr>
          </w:p>
        </w:tc>
        <w:tc>
          <w:tcPr>
            <w:tcW w:w="0" w:type="auto"/>
            <w:noWrap/>
            <w:hideMark/>
          </w:tcPr>
          <w:p w14:paraId="59B9EC98" w14:textId="77777777" w:rsidR="009E0A9E" w:rsidRPr="00775AE5" w:rsidRDefault="009E0A9E" w:rsidP="00525437">
            <w:pPr>
              <w:rPr>
                <w:rFonts w:ascii="Arial" w:hAnsi="Arial" w:cs="Arial"/>
                <w:sz w:val="22"/>
                <w:szCs w:val="22"/>
              </w:rPr>
            </w:pPr>
          </w:p>
        </w:tc>
        <w:tc>
          <w:tcPr>
            <w:tcW w:w="0" w:type="auto"/>
            <w:noWrap/>
            <w:hideMark/>
          </w:tcPr>
          <w:p w14:paraId="4CB675A2" w14:textId="77777777" w:rsidR="009E0A9E" w:rsidRPr="00775AE5" w:rsidRDefault="009E0A9E" w:rsidP="00525437">
            <w:pPr>
              <w:rPr>
                <w:rFonts w:ascii="Arial" w:hAnsi="Arial" w:cs="Arial"/>
                <w:sz w:val="22"/>
                <w:szCs w:val="22"/>
              </w:rPr>
            </w:pPr>
          </w:p>
        </w:tc>
        <w:tc>
          <w:tcPr>
            <w:tcW w:w="0" w:type="auto"/>
            <w:noWrap/>
            <w:hideMark/>
          </w:tcPr>
          <w:p w14:paraId="0ECBAFB5" w14:textId="77777777" w:rsidR="009E0A9E" w:rsidRPr="00775AE5" w:rsidRDefault="009E0A9E" w:rsidP="00525437">
            <w:pPr>
              <w:jc w:val="right"/>
              <w:rPr>
                <w:rFonts w:ascii="Arial" w:hAnsi="Arial" w:cs="Arial"/>
                <w:sz w:val="22"/>
                <w:szCs w:val="22"/>
              </w:rPr>
            </w:pPr>
            <w:r w:rsidRPr="00775AE5">
              <w:rPr>
                <w:rFonts w:ascii="Arial" w:hAnsi="Arial" w:cs="Arial"/>
                <w:sz w:val="22"/>
                <w:szCs w:val="22"/>
              </w:rPr>
              <w:t>24</w:t>
            </w:r>
          </w:p>
        </w:tc>
      </w:tr>
      <w:tr w:rsidR="009E0A9E" w:rsidRPr="00775AE5" w14:paraId="69DCFFFC" w14:textId="77777777" w:rsidTr="00525437">
        <w:trPr>
          <w:trHeight w:val="300"/>
        </w:trPr>
        <w:tc>
          <w:tcPr>
            <w:tcW w:w="0" w:type="auto"/>
            <w:noWrap/>
            <w:hideMark/>
          </w:tcPr>
          <w:p w14:paraId="6F948766" w14:textId="77777777" w:rsidR="009E0A9E" w:rsidRPr="00775AE5" w:rsidRDefault="009E0A9E" w:rsidP="00525437">
            <w:pPr>
              <w:rPr>
                <w:rFonts w:ascii="Arial" w:hAnsi="Arial" w:cs="Arial"/>
                <w:b/>
                <w:bCs/>
                <w:color w:val="000000"/>
                <w:sz w:val="22"/>
                <w:szCs w:val="22"/>
              </w:rPr>
            </w:pPr>
            <w:r w:rsidRPr="00775AE5">
              <w:rPr>
                <w:rFonts w:ascii="Arial" w:hAnsi="Arial" w:cs="Arial"/>
                <w:b/>
                <w:bCs/>
                <w:color w:val="000000"/>
                <w:sz w:val="22"/>
                <w:szCs w:val="22"/>
              </w:rPr>
              <w:t>TOTAL</w:t>
            </w:r>
          </w:p>
        </w:tc>
        <w:tc>
          <w:tcPr>
            <w:tcW w:w="0" w:type="auto"/>
            <w:noWrap/>
            <w:hideMark/>
          </w:tcPr>
          <w:p w14:paraId="301B41FA" w14:textId="77777777" w:rsidR="009E0A9E" w:rsidRPr="00775AE5" w:rsidRDefault="009E0A9E" w:rsidP="00525437">
            <w:pPr>
              <w:jc w:val="right"/>
              <w:rPr>
                <w:rFonts w:ascii="Arial" w:hAnsi="Arial" w:cs="Arial"/>
                <w:b/>
                <w:bCs/>
                <w:color w:val="000000"/>
                <w:sz w:val="22"/>
                <w:szCs w:val="22"/>
              </w:rPr>
            </w:pPr>
            <w:r w:rsidRPr="00775AE5">
              <w:rPr>
                <w:rFonts w:ascii="Arial" w:hAnsi="Arial" w:cs="Arial"/>
                <w:b/>
                <w:bCs/>
                <w:color w:val="000000"/>
                <w:sz w:val="22"/>
                <w:szCs w:val="22"/>
              </w:rPr>
              <w:t xml:space="preserve">503 </w:t>
            </w:r>
          </w:p>
        </w:tc>
        <w:tc>
          <w:tcPr>
            <w:tcW w:w="0" w:type="auto"/>
            <w:noWrap/>
            <w:hideMark/>
          </w:tcPr>
          <w:p w14:paraId="20BED948" w14:textId="77777777" w:rsidR="009E0A9E" w:rsidRPr="00775AE5" w:rsidRDefault="009E0A9E" w:rsidP="00525437">
            <w:pPr>
              <w:jc w:val="right"/>
              <w:rPr>
                <w:rFonts w:ascii="Arial" w:hAnsi="Arial" w:cs="Arial"/>
                <w:b/>
                <w:bCs/>
                <w:color w:val="000000"/>
                <w:sz w:val="22"/>
                <w:szCs w:val="22"/>
              </w:rPr>
            </w:pPr>
            <w:r w:rsidRPr="00775AE5">
              <w:rPr>
                <w:rFonts w:ascii="Arial" w:hAnsi="Arial" w:cs="Arial"/>
                <w:b/>
                <w:bCs/>
                <w:color w:val="000000"/>
                <w:sz w:val="22"/>
                <w:szCs w:val="22"/>
              </w:rPr>
              <w:t xml:space="preserve"> 656 </w:t>
            </w:r>
          </w:p>
        </w:tc>
        <w:tc>
          <w:tcPr>
            <w:tcW w:w="0" w:type="auto"/>
            <w:noWrap/>
            <w:hideMark/>
          </w:tcPr>
          <w:p w14:paraId="54A2613E" w14:textId="77777777" w:rsidR="009E0A9E" w:rsidRPr="00775AE5" w:rsidRDefault="009E0A9E" w:rsidP="00525437">
            <w:pPr>
              <w:jc w:val="right"/>
              <w:rPr>
                <w:rFonts w:ascii="Arial" w:hAnsi="Arial" w:cs="Arial"/>
                <w:b/>
                <w:bCs/>
                <w:color w:val="000000"/>
                <w:sz w:val="22"/>
                <w:szCs w:val="22"/>
              </w:rPr>
            </w:pPr>
            <w:r w:rsidRPr="00775AE5">
              <w:rPr>
                <w:rFonts w:ascii="Arial" w:hAnsi="Arial" w:cs="Arial"/>
                <w:b/>
                <w:bCs/>
                <w:color w:val="000000"/>
                <w:sz w:val="22"/>
                <w:szCs w:val="22"/>
              </w:rPr>
              <w:t xml:space="preserve"> 87 </w:t>
            </w:r>
          </w:p>
        </w:tc>
        <w:tc>
          <w:tcPr>
            <w:tcW w:w="0" w:type="auto"/>
            <w:noWrap/>
            <w:hideMark/>
          </w:tcPr>
          <w:p w14:paraId="7479694D" w14:textId="77777777" w:rsidR="009E0A9E" w:rsidRPr="00775AE5" w:rsidRDefault="009E0A9E" w:rsidP="00525437">
            <w:pPr>
              <w:jc w:val="right"/>
              <w:rPr>
                <w:rFonts w:ascii="Arial" w:hAnsi="Arial" w:cs="Arial"/>
                <w:b/>
                <w:bCs/>
                <w:color w:val="000000"/>
                <w:sz w:val="22"/>
                <w:szCs w:val="22"/>
              </w:rPr>
            </w:pPr>
            <w:r w:rsidRPr="00775AE5">
              <w:rPr>
                <w:rFonts w:ascii="Arial" w:hAnsi="Arial" w:cs="Arial"/>
                <w:b/>
                <w:bCs/>
                <w:color w:val="000000"/>
                <w:sz w:val="22"/>
                <w:szCs w:val="22"/>
              </w:rPr>
              <w:t xml:space="preserve"> 6 </w:t>
            </w:r>
          </w:p>
        </w:tc>
        <w:tc>
          <w:tcPr>
            <w:tcW w:w="0" w:type="auto"/>
            <w:noWrap/>
            <w:hideMark/>
          </w:tcPr>
          <w:p w14:paraId="70C9B0BF" w14:textId="77777777" w:rsidR="009E0A9E" w:rsidRPr="00775AE5" w:rsidRDefault="009E0A9E" w:rsidP="00525437">
            <w:pPr>
              <w:jc w:val="right"/>
              <w:rPr>
                <w:rFonts w:ascii="Arial" w:hAnsi="Arial" w:cs="Arial"/>
                <w:b/>
                <w:bCs/>
                <w:color w:val="000000"/>
                <w:sz w:val="22"/>
                <w:szCs w:val="22"/>
              </w:rPr>
            </w:pPr>
            <w:r w:rsidRPr="00775AE5">
              <w:rPr>
                <w:rFonts w:ascii="Arial" w:hAnsi="Arial" w:cs="Arial"/>
                <w:b/>
                <w:bCs/>
                <w:color w:val="000000"/>
                <w:sz w:val="22"/>
                <w:szCs w:val="22"/>
              </w:rPr>
              <w:t xml:space="preserve"> 1 </w:t>
            </w:r>
          </w:p>
        </w:tc>
        <w:tc>
          <w:tcPr>
            <w:tcW w:w="0" w:type="auto"/>
            <w:noWrap/>
            <w:hideMark/>
          </w:tcPr>
          <w:p w14:paraId="048E804F" w14:textId="77777777" w:rsidR="009E0A9E" w:rsidRPr="00775AE5" w:rsidRDefault="009E0A9E" w:rsidP="00525437">
            <w:pPr>
              <w:jc w:val="right"/>
              <w:rPr>
                <w:rFonts w:ascii="Arial" w:hAnsi="Arial" w:cs="Arial"/>
                <w:b/>
                <w:bCs/>
                <w:color w:val="000000"/>
                <w:sz w:val="22"/>
                <w:szCs w:val="22"/>
              </w:rPr>
            </w:pPr>
            <w:r w:rsidRPr="00775AE5">
              <w:rPr>
                <w:rFonts w:ascii="Arial" w:hAnsi="Arial" w:cs="Arial"/>
                <w:b/>
                <w:bCs/>
                <w:color w:val="000000"/>
                <w:sz w:val="22"/>
                <w:szCs w:val="22"/>
              </w:rPr>
              <w:t xml:space="preserve"> 1.253 </w:t>
            </w:r>
          </w:p>
        </w:tc>
      </w:tr>
    </w:tbl>
    <w:p w14:paraId="5E55439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Fuente: Datos proporcionados por SNAI y del monitoreo de medios realizado por el equipo del MNPT. Los datos correspondientes al 2024 corresponden a muertes suscitadas durante la vigencia del estado de excepción (periodo enero- abril 2024), datos proporcionados por SNAI. </w:t>
      </w:r>
    </w:p>
    <w:p w14:paraId="080F821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5FDFAE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Es importante tomar nota de que las muertes por causas naturales también son un dato para considerar, dado que se puede inferir que gran porcentaje de estas podrían ser evitadas mediante el acceso a atención de salud preventiva y curativa adecuada. Esto considerando que las patologías por las que se generan los decesos son tratables. Esto se pudo ver en la información requerida al SNAI en el contexto de COVID-19:</w:t>
      </w:r>
    </w:p>
    <w:p w14:paraId="0B8F4E4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3B9E164" w14:textId="77777777" w:rsidR="009E0A9E" w:rsidRPr="00775AE5" w:rsidRDefault="009E0A9E" w:rsidP="009E0A9E">
      <w:pPr>
        <w:pStyle w:val="ListParagraph"/>
        <w:ind w:left="-349"/>
        <w:rPr>
          <w:rFonts w:ascii="Arial" w:hAnsi="Arial" w:cs="Arial"/>
          <w:sz w:val="22"/>
          <w:szCs w:val="22"/>
          <w:lang w:eastAsia="es-EC"/>
        </w:rPr>
      </w:pPr>
      <w:r w:rsidRPr="00775AE5">
        <w:rPr>
          <w:rFonts w:ascii="Arial" w:hAnsi="Arial" w:cs="Arial"/>
          <w:sz w:val="22"/>
          <w:szCs w:val="22"/>
          <w:lang w:eastAsia="es-EC"/>
        </w:rPr>
        <w:t>Tabla 12</w:t>
      </w:r>
    </w:p>
    <w:p w14:paraId="5D0881A2" w14:textId="77777777" w:rsidR="009E0A9E" w:rsidRPr="00775AE5" w:rsidRDefault="009E0A9E" w:rsidP="009E0A9E">
      <w:pPr>
        <w:pStyle w:val="ListParagraph"/>
        <w:ind w:left="-349"/>
        <w:rPr>
          <w:rFonts w:ascii="Arial" w:hAnsi="Arial" w:cs="Arial"/>
          <w:i/>
          <w:sz w:val="22"/>
          <w:szCs w:val="22"/>
          <w:lang w:eastAsia="es-EC"/>
        </w:rPr>
      </w:pPr>
      <w:r w:rsidRPr="00775AE5">
        <w:rPr>
          <w:rFonts w:ascii="Arial" w:hAnsi="Arial" w:cs="Arial"/>
          <w:i/>
          <w:sz w:val="22"/>
          <w:szCs w:val="22"/>
          <w:lang w:eastAsia="es-EC"/>
        </w:rPr>
        <w:t xml:space="preserve"> Detalle de decesos en centros de rehabilitación social (marzo- abril, 2020)</w:t>
      </w:r>
    </w:p>
    <w:p w14:paraId="2A62088F" w14:textId="77777777" w:rsidR="009E0A9E" w:rsidRPr="00775AE5" w:rsidRDefault="009E0A9E" w:rsidP="009E0A9E">
      <w:pPr>
        <w:pStyle w:val="ListParagraph"/>
        <w:ind w:left="-349"/>
        <w:jc w:val="center"/>
        <w:rPr>
          <w:rFonts w:ascii="Arial" w:hAnsi="Arial" w:cs="Arial"/>
          <w:b/>
          <w:sz w:val="22"/>
          <w:szCs w:val="22"/>
          <w:lang w:eastAsia="es-EC"/>
        </w:rPr>
      </w:pPr>
    </w:p>
    <w:tbl>
      <w:tblPr>
        <w:tblStyle w:val="TableGrid"/>
        <w:tblW w:w="8360" w:type="dxa"/>
        <w:tblLook w:val="04A0" w:firstRow="1" w:lastRow="0" w:firstColumn="1" w:lastColumn="0" w:noHBand="0" w:noVBand="1"/>
      </w:tblPr>
      <w:tblGrid>
        <w:gridCol w:w="1961"/>
        <w:gridCol w:w="1336"/>
        <w:gridCol w:w="1535"/>
        <w:gridCol w:w="2405"/>
        <w:gridCol w:w="1123"/>
      </w:tblGrid>
      <w:tr w:rsidR="009E0A9E" w:rsidRPr="00775AE5" w14:paraId="31E5913E" w14:textId="77777777" w:rsidTr="00525437">
        <w:trPr>
          <w:trHeight w:val="630"/>
        </w:trPr>
        <w:tc>
          <w:tcPr>
            <w:tcW w:w="2120" w:type="dxa"/>
            <w:hideMark/>
          </w:tcPr>
          <w:p w14:paraId="0DEF0E39" w14:textId="77777777" w:rsidR="009E0A9E" w:rsidRPr="00775AE5" w:rsidRDefault="009E0A9E" w:rsidP="00525437">
            <w:pPr>
              <w:rPr>
                <w:rFonts w:ascii="Arial" w:hAnsi="Arial" w:cs="Arial"/>
                <w:b/>
                <w:sz w:val="22"/>
                <w:szCs w:val="22"/>
                <w:lang w:eastAsia="es-EC"/>
              </w:rPr>
            </w:pPr>
            <w:r w:rsidRPr="00775AE5">
              <w:rPr>
                <w:rFonts w:ascii="Arial" w:hAnsi="Arial" w:cs="Arial"/>
                <w:b/>
                <w:sz w:val="22"/>
                <w:szCs w:val="22"/>
                <w:lang w:eastAsia="es-EC"/>
              </w:rPr>
              <w:t>Centro de Privación de Libertad</w:t>
            </w:r>
          </w:p>
        </w:tc>
        <w:tc>
          <w:tcPr>
            <w:tcW w:w="1420" w:type="dxa"/>
            <w:hideMark/>
          </w:tcPr>
          <w:p w14:paraId="270163FF" w14:textId="77777777" w:rsidR="009E0A9E" w:rsidRPr="00775AE5" w:rsidRDefault="009E0A9E" w:rsidP="00525437">
            <w:pPr>
              <w:rPr>
                <w:rFonts w:ascii="Arial" w:hAnsi="Arial" w:cs="Arial"/>
                <w:b/>
                <w:sz w:val="22"/>
                <w:szCs w:val="22"/>
                <w:lang w:eastAsia="es-EC"/>
              </w:rPr>
            </w:pPr>
            <w:r w:rsidRPr="00775AE5">
              <w:rPr>
                <w:rFonts w:ascii="Arial" w:hAnsi="Arial" w:cs="Arial"/>
                <w:b/>
                <w:sz w:val="22"/>
                <w:szCs w:val="22"/>
                <w:lang w:eastAsia="es-EC"/>
              </w:rPr>
              <w:t>Muerte en Marzo</w:t>
            </w:r>
          </w:p>
        </w:tc>
        <w:tc>
          <w:tcPr>
            <w:tcW w:w="1660" w:type="dxa"/>
            <w:hideMark/>
          </w:tcPr>
          <w:p w14:paraId="7B65E574" w14:textId="77777777" w:rsidR="009E0A9E" w:rsidRPr="00775AE5" w:rsidRDefault="009E0A9E" w:rsidP="00525437">
            <w:pPr>
              <w:rPr>
                <w:rFonts w:ascii="Arial" w:hAnsi="Arial" w:cs="Arial"/>
                <w:b/>
                <w:sz w:val="22"/>
                <w:szCs w:val="22"/>
                <w:lang w:eastAsia="es-EC"/>
              </w:rPr>
            </w:pPr>
            <w:r w:rsidRPr="00775AE5">
              <w:rPr>
                <w:rFonts w:ascii="Arial" w:hAnsi="Arial" w:cs="Arial"/>
                <w:b/>
                <w:sz w:val="22"/>
                <w:szCs w:val="22"/>
                <w:lang w:eastAsia="es-EC"/>
              </w:rPr>
              <w:t>Muerte en Abril</w:t>
            </w:r>
          </w:p>
        </w:tc>
        <w:tc>
          <w:tcPr>
            <w:tcW w:w="1960" w:type="dxa"/>
            <w:hideMark/>
          </w:tcPr>
          <w:p w14:paraId="0F209FB6" w14:textId="77777777" w:rsidR="009E0A9E" w:rsidRPr="00775AE5" w:rsidRDefault="009E0A9E" w:rsidP="00525437">
            <w:pPr>
              <w:rPr>
                <w:rFonts w:ascii="Arial" w:hAnsi="Arial" w:cs="Arial"/>
                <w:b/>
                <w:sz w:val="22"/>
                <w:szCs w:val="22"/>
                <w:lang w:eastAsia="es-EC"/>
              </w:rPr>
            </w:pPr>
          </w:p>
          <w:p w14:paraId="719BB34D" w14:textId="77777777" w:rsidR="009E0A9E" w:rsidRPr="00775AE5" w:rsidRDefault="009E0A9E" w:rsidP="00525437">
            <w:pPr>
              <w:rPr>
                <w:rFonts w:ascii="Arial" w:hAnsi="Arial" w:cs="Arial"/>
                <w:b/>
                <w:sz w:val="22"/>
                <w:szCs w:val="22"/>
                <w:lang w:eastAsia="es-EC"/>
              </w:rPr>
            </w:pPr>
            <w:r w:rsidRPr="00775AE5">
              <w:rPr>
                <w:rFonts w:ascii="Arial" w:hAnsi="Arial" w:cs="Arial"/>
                <w:b/>
                <w:sz w:val="22"/>
                <w:szCs w:val="22"/>
                <w:lang w:eastAsia="es-EC"/>
              </w:rPr>
              <w:t>Causa de muerte</w:t>
            </w:r>
          </w:p>
        </w:tc>
        <w:tc>
          <w:tcPr>
            <w:tcW w:w="1200" w:type="dxa"/>
            <w:hideMark/>
          </w:tcPr>
          <w:p w14:paraId="7D3A74EC" w14:textId="77777777" w:rsidR="009E0A9E" w:rsidRPr="00775AE5" w:rsidRDefault="009E0A9E" w:rsidP="00525437">
            <w:pPr>
              <w:rPr>
                <w:rFonts w:ascii="Arial" w:hAnsi="Arial" w:cs="Arial"/>
                <w:b/>
                <w:sz w:val="22"/>
                <w:szCs w:val="22"/>
                <w:lang w:eastAsia="es-EC"/>
              </w:rPr>
            </w:pPr>
          </w:p>
          <w:p w14:paraId="46A48DED" w14:textId="77777777" w:rsidR="009E0A9E" w:rsidRPr="00775AE5" w:rsidRDefault="009E0A9E" w:rsidP="00525437">
            <w:pPr>
              <w:rPr>
                <w:rFonts w:ascii="Arial" w:hAnsi="Arial" w:cs="Arial"/>
                <w:b/>
                <w:sz w:val="22"/>
                <w:szCs w:val="22"/>
                <w:lang w:eastAsia="es-EC"/>
              </w:rPr>
            </w:pPr>
            <w:r w:rsidRPr="00775AE5">
              <w:rPr>
                <w:rFonts w:ascii="Arial" w:hAnsi="Arial" w:cs="Arial"/>
                <w:b/>
                <w:sz w:val="22"/>
                <w:szCs w:val="22"/>
                <w:lang w:eastAsia="es-EC"/>
              </w:rPr>
              <w:t xml:space="preserve">Total </w:t>
            </w:r>
          </w:p>
        </w:tc>
      </w:tr>
      <w:tr w:rsidR="009E0A9E" w:rsidRPr="00775AE5" w14:paraId="3668B9F2" w14:textId="77777777" w:rsidTr="00525437">
        <w:trPr>
          <w:trHeight w:val="315"/>
        </w:trPr>
        <w:tc>
          <w:tcPr>
            <w:tcW w:w="2120" w:type="dxa"/>
            <w:vMerge w:val="restart"/>
            <w:hideMark/>
          </w:tcPr>
          <w:p w14:paraId="4F01D0B0"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CPPL Quito El Inca</w:t>
            </w:r>
          </w:p>
        </w:tc>
        <w:tc>
          <w:tcPr>
            <w:tcW w:w="1420" w:type="dxa"/>
            <w:hideMark/>
          </w:tcPr>
          <w:p w14:paraId="13AFCFA0"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xml:space="preserve"> 1 PPL</w:t>
            </w:r>
          </w:p>
        </w:tc>
        <w:tc>
          <w:tcPr>
            <w:tcW w:w="1660" w:type="dxa"/>
            <w:hideMark/>
          </w:tcPr>
          <w:p w14:paraId="5ABCDEE0"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960" w:type="dxa"/>
            <w:hideMark/>
          </w:tcPr>
          <w:p w14:paraId="1ABF2898"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Neumonía</w:t>
            </w:r>
          </w:p>
        </w:tc>
        <w:tc>
          <w:tcPr>
            <w:tcW w:w="1200" w:type="dxa"/>
            <w:vMerge w:val="restart"/>
            <w:hideMark/>
          </w:tcPr>
          <w:p w14:paraId="3285144E"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2 PPL</w:t>
            </w:r>
          </w:p>
        </w:tc>
      </w:tr>
      <w:tr w:rsidR="009E0A9E" w:rsidRPr="00775AE5" w14:paraId="4D1210F0" w14:textId="77777777" w:rsidTr="00525437">
        <w:trPr>
          <w:trHeight w:val="630"/>
        </w:trPr>
        <w:tc>
          <w:tcPr>
            <w:tcW w:w="2120" w:type="dxa"/>
            <w:vMerge/>
            <w:hideMark/>
          </w:tcPr>
          <w:p w14:paraId="6AB248EF" w14:textId="77777777" w:rsidR="009E0A9E" w:rsidRPr="00775AE5" w:rsidRDefault="009E0A9E" w:rsidP="00525437">
            <w:pPr>
              <w:rPr>
                <w:rFonts w:ascii="Arial" w:hAnsi="Arial" w:cs="Arial"/>
                <w:color w:val="000000"/>
                <w:sz w:val="22"/>
                <w:szCs w:val="22"/>
                <w:lang w:eastAsia="es-EC"/>
              </w:rPr>
            </w:pPr>
          </w:p>
        </w:tc>
        <w:tc>
          <w:tcPr>
            <w:tcW w:w="1420" w:type="dxa"/>
            <w:hideMark/>
          </w:tcPr>
          <w:p w14:paraId="54A4F8BA"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57E6D3BB"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960" w:type="dxa"/>
            <w:hideMark/>
          </w:tcPr>
          <w:p w14:paraId="4D5596CF"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Neumonía viral COVID positivo</w:t>
            </w:r>
          </w:p>
        </w:tc>
        <w:tc>
          <w:tcPr>
            <w:tcW w:w="1200" w:type="dxa"/>
            <w:vMerge/>
            <w:hideMark/>
          </w:tcPr>
          <w:p w14:paraId="67874FEC" w14:textId="77777777" w:rsidR="009E0A9E" w:rsidRPr="00775AE5" w:rsidRDefault="009E0A9E" w:rsidP="00525437">
            <w:pPr>
              <w:rPr>
                <w:rFonts w:ascii="Arial" w:hAnsi="Arial" w:cs="Arial"/>
                <w:color w:val="000000"/>
                <w:sz w:val="22"/>
                <w:szCs w:val="22"/>
                <w:lang w:eastAsia="es-EC"/>
              </w:rPr>
            </w:pPr>
          </w:p>
        </w:tc>
      </w:tr>
      <w:tr w:rsidR="009E0A9E" w:rsidRPr="00775AE5" w14:paraId="5EEFA77C" w14:textId="77777777" w:rsidTr="00525437">
        <w:trPr>
          <w:trHeight w:val="1575"/>
        </w:trPr>
        <w:tc>
          <w:tcPr>
            <w:tcW w:w="2120" w:type="dxa"/>
            <w:vMerge w:val="restart"/>
            <w:hideMark/>
          </w:tcPr>
          <w:p w14:paraId="492098DC" w14:textId="77777777" w:rsidR="009E0A9E" w:rsidRPr="00775AE5" w:rsidRDefault="009E0A9E" w:rsidP="00525437">
            <w:pPr>
              <w:rPr>
                <w:rFonts w:ascii="Arial" w:hAnsi="Arial" w:cs="Arial"/>
                <w:color w:val="000000"/>
                <w:sz w:val="22"/>
                <w:szCs w:val="22"/>
                <w:lang w:eastAsia="es-EC"/>
              </w:rPr>
            </w:pPr>
          </w:p>
          <w:p w14:paraId="02950951" w14:textId="77777777" w:rsidR="009E0A9E" w:rsidRPr="00775AE5" w:rsidRDefault="009E0A9E" w:rsidP="00525437">
            <w:pPr>
              <w:rPr>
                <w:rFonts w:ascii="Arial" w:hAnsi="Arial" w:cs="Arial"/>
                <w:color w:val="000000"/>
                <w:sz w:val="22"/>
                <w:szCs w:val="22"/>
                <w:lang w:eastAsia="es-EC"/>
              </w:rPr>
            </w:pPr>
          </w:p>
          <w:p w14:paraId="2A93104A" w14:textId="77777777" w:rsidR="009E0A9E" w:rsidRPr="00775AE5" w:rsidRDefault="009E0A9E" w:rsidP="00525437">
            <w:pPr>
              <w:rPr>
                <w:rFonts w:ascii="Arial" w:hAnsi="Arial" w:cs="Arial"/>
                <w:color w:val="000000"/>
                <w:sz w:val="22"/>
                <w:szCs w:val="22"/>
                <w:lang w:eastAsia="es-EC"/>
              </w:rPr>
            </w:pPr>
          </w:p>
          <w:p w14:paraId="66E4B2A3" w14:textId="77777777" w:rsidR="009E0A9E" w:rsidRPr="00775AE5" w:rsidRDefault="009E0A9E" w:rsidP="00525437">
            <w:pPr>
              <w:rPr>
                <w:rFonts w:ascii="Arial" w:hAnsi="Arial" w:cs="Arial"/>
                <w:color w:val="000000"/>
                <w:sz w:val="22"/>
                <w:szCs w:val="22"/>
                <w:lang w:eastAsia="es-EC"/>
              </w:rPr>
            </w:pPr>
          </w:p>
          <w:p w14:paraId="6EA5FA31" w14:textId="77777777" w:rsidR="009E0A9E" w:rsidRPr="00775AE5" w:rsidRDefault="009E0A9E" w:rsidP="00525437">
            <w:pPr>
              <w:rPr>
                <w:rFonts w:ascii="Arial" w:hAnsi="Arial" w:cs="Arial"/>
                <w:color w:val="000000"/>
                <w:sz w:val="22"/>
                <w:szCs w:val="22"/>
                <w:lang w:eastAsia="es-EC"/>
              </w:rPr>
            </w:pPr>
          </w:p>
          <w:p w14:paraId="707C27FA" w14:textId="77777777" w:rsidR="009E0A9E" w:rsidRPr="00775AE5" w:rsidRDefault="009E0A9E" w:rsidP="00525437">
            <w:pPr>
              <w:rPr>
                <w:rFonts w:ascii="Arial" w:hAnsi="Arial" w:cs="Arial"/>
                <w:color w:val="000000"/>
                <w:sz w:val="22"/>
                <w:szCs w:val="22"/>
                <w:lang w:eastAsia="es-EC"/>
              </w:rPr>
            </w:pPr>
          </w:p>
          <w:p w14:paraId="66169D86" w14:textId="77777777" w:rsidR="009E0A9E" w:rsidRPr="00775AE5" w:rsidRDefault="009E0A9E" w:rsidP="00525437">
            <w:pPr>
              <w:rPr>
                <w:rFonts w:ascii="Arial" w:hAnsi="Arial" w:cs="Arial"/>
                <w:color w:val="000000"/>
                <w:sz w:val="22"/>
                <w:szCs w:val="22"/>
                <w:lang w:eastAsia="es-EC"/>
              </w:rPr>
            </w:pPr>
          </w:p>
          <w:p w14:paraId="0CA619B1" w14:textId="77777777" w:rsidR="009E0A9E" w:rsidRPr="00775AE5" w:rsidRDefault="009E0A9E" w:rsidP="00525437">
            <w:pPr>
              <w:rPr>
                <w:rFonts w:ascii="Arial" w:hAnsi="Arial" w:cs="Arial"/>
                <w:color w:val="000000"/>
                <w:sz w:val="22"/>
                <w:szCs w:val="22"/>
                <w:lang w:eastAsia="es-EC"/>
              </w:rPr>
            </w:pPr>
          </w:p>
          <w:p w14:paraId="5B344004" w14:textId="77777777" w:rsidR="009E0A9E" w:rsidRPr="00775AE5" w:rsidRDefault="009E0A9E" w:rsidP="00525437">
            <w:pPr>
              <w:rPr>
                <w:rFonts w:ascii="Arial" w:hAnsi="Arial" w:cs="Arial"/>
                <w:color w:val="000000"/>
                <w:sz w:val="22"/>
                <w:szCs w:val="22"/>
                <w:lang w:eastAsia="es-EC"/>
              </w:rPr>
            </w:pPr>
          </w:p>
          <w:p w14:paraId="7E88B370" w14:textId="77777777" w:rsidR="009E0A9E" w:rsidRPr="00775AE5" w:rsidRDefault="009E0A9E" w:rsidP="00525437">
            <w:pPr>
              <w:rPr>
                <w:rFonts w:ascii="Arial" w:hAnsi="Arial" w:cs="Arial"/>
                <w:color w:val="000000"/>
                <w:sz w:val="22"/>
                <w:szCs w:val="22"/>
                <w:lang w:eastAsia="es-EC"/>
              </w:rPr>
            </w:pPr>
          </w:p>
          <w:p w14:paraId="5D58D5A8" w14:textId="77777777" w:rsidR="009E0A9E" w:rsidRPr="00775AE5" w:rsidRDefault="009E0A9E" w:rsidP="00525437">
            <w:pPr>
              <w:rPr>
                <w:rFonts w:ascii="Arial" w:hAnsi="Arial" w:cs="Arial"/>
                <w:color w:val="000000"/>
                <w:sz w:val="22"/>
                <w:szCs w:val="22"/>
                <w:lang w:eastAsia="es-EC"/>
              </w:rPr>
            </w:pPr>
          </w:p>
          <w:p w14:paraId="3409858B" w14:textId="77777777" w:rsidR="009E0A9E" w:rsidRPr="00775AE5" w:rsidRDefault="009E0A9E" w:rsidP="00525437">
            <w:pPr>
              <w:rPr>
                <w:rFonts w:ascii="Arial" w:hAnsi="Arial" w:cs="Arial"/>
                <w:color w:val="000000"/>
                <w:sz w:val="22"/>
                <w:szCs w:val="22"/>
                <w:lang w:eastAsia="es-EC"/>
              </w:rPr>
            </w:pPr>
          </w:p>
          <w:p w14:paraId="6C54F478" w14:textId="77777777" w:rsidR="009E0A9E" w:rsidRPr="00775AE5" w:rsidRDefault="009E0A9E" w:rsidP="00525437">
            <w:pPr>
              <w:rPr>
                <w:rFonts w:ascii="Arial" w:hAnsi="Arial" w:cs="Arial"/>
                <w:color w:val="000000"/>
                <w:sz w:val="22"/>
                <w:szCs w:val="22"/>
                <w:lang w:eastAsia="es-EC"/>
              </w:rPr>
            </w:pPr>
          </w:p>
          <w:p w14:paraId="12338AAB" w14:textId="77777777" w:rsidR="009E0A9E" w:rsidRPr="00775AE5" w:rsidRDefault="009E0A9E" w:rsidP="00525437">
            <w:pPr>
              <w:rPr>
                <w:rFonts w:ascii="Arial" w:hAnsi="Arial" w:cs="Arial"/>
                <w:color w:val="000000"/>
                <w:sz w:val="22"/>
                <w:szCs w:val="22"/>
                <w:lang w:eastAsia="es-EC"/>
              </w:rPr>
            </w:pPr>
          </w:p>
          <w:p w14:paraId="5E5B8B53" w14:textId="77777777" w:rsidR="009E0A9E" w:rsidRPr="00775AE5" w:rsidRDefault="009E0A9E" w:rsidP="00525437">
            <w:pPr>
              <w:rPr>
                <w:rFonts w:ascii="Arial" w:hAnsi="Arial" w:cs="Arial"/>
                <w:color w:val="000000"/>
                <w:sz w:val="22"/>
                <w:szCs w:val="22"/>
                <w:lang w:eastAsia="es-EC"/>
              </w:rPr>
            </w:pPr>
          </w:p>
          <w:p w14:paraId="78FCDABF" w14:textId="77777777" w:rsidR="009E0A9E" w:rsidRPr="00775AE5" w:rsidRDefault="009E0A9E" w:rsidP="00525437">
            <w:pPr>
              <w:rPr>
                <w:rFonts w:ascii="Arial" w:hAnsi="Arial" w:cs="Arial"/>
                <w:color w:val="000000"/>
                <w:sz w:val="22"/>
                <w:szCs w:val="22"/>
                <w:lang w:eastAsia="es-EC"/>
              </w:rPr>
            </w:pPr>
          </w:p>
          <w:p w14:paraId="1760CB4C" w14:textId="77777777" w:rsidR="009E0A9E" w:rsidRPr="00775AE5" w:rsidRDefault="009E0A9E" w:rsidP="00525437">
            <w:pPr>
              <w:rPr>
                <w:rFonts w:ascii="Arial" w:hAnsi="Arial" w:cs="Arial"/>
                <w:color w:val="000000"/>
                <w:sz w:val="22"/>
                <w:szCs w:val="22"/>
                <w:lang w:eastAsia="es-EC"/>
              </w:rPr>
            </w:pPr>
          </w:p>
          <w:p w14:paraId="7763EA76" w14:textId="77777777" w:rsidR="009E0A9E" w:rsidRPr="00775AE5" w:rsidRDefault="009E0A9E" w:rsidP="00525437">
            <w:pPr>
              <w:rPr>
                <w:rFonts w:ascii="Arial" w:hAnsi="Arial" w:cs="Arial"/>
                <w:color w:val="000000"/>
                <w:sz w:val="22"/>
                <w:szCs w:val="22"/>
                <w:lang w:eastAsia="es-EC"/>
              </w:rPr>
            </w:pPr>
          </w:p>
          <w:p w14:paraId="4F26B87D"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CRS Varones Guayaquil</w:t>
            </w:r>
          </w:p>
        </w:tc>
        <w:tc>
          <w:tcPr>
            <w:tcW w:w="1420" w:type="dxa"/>
            <w:hideMark/>
          </w:tcPr>
          <w:p w14:paraId="1B80648F"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660" w:type="dxa"/>
            <w:hideMark/>
          </w:tcPr>
          <w:p w14:paraId="279E90ED"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960" w:type="dxa"/>
            <w:hideMark/>
          </w:tcPr>
          <w:p w14:paraId="092A98D0"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tos con hemoptisis y dificultad respiratoria moderada intensidad</w:t>
            </w:r>
          </w:p>
        </w:tc>
        <w:tc>
          <w:tcPr>
            <w:tcW w:w="1200" w:type="dxa"/>
            <w:vMerge w:val="restart"/>
            <w:hideMark/>
          </w:tcPr>
          <w:p w14:paraId="42350654" w14:textId="77777777" w:rsidR="009E0A9E" w:rsidRPr="00775AE5" w:rsidRDefault="009E0A9E" w:rsidP="00525437">
            <w:pPr>
              <w:rPr>
                <w:rFonts w:ascii="Arial" w:hAnsi="Arial" w:cs="Arial"/>
                <w:color w:val="000000"/>
                <w:sz w:val="22"/>
                <w:szCs w:val="22"/>
                <w:lang w:eastAsia="es-EC"/>
              </w:rPr>
            </w:pPr>
          </w:p>
          <w:p w14:paraId="0740A926" w14:textId="77777777" w:rsidR="009E0A9E" w:rsidRPr="00775AE5" w:rsidRDefault="009E0A9E" w:rsidP="00525437">
            <w:pPr>
              <w:rPr>
                <w:rFonts w:ascii="Arial" w:hAnsi="Arial" w:cs="Arial"/>
                <w:color w:val="000000"/>
                <w:sz w:val="22"/>
                <w:szCs w:val="22"/>
                <w:lang w:eastAsia="es-EC"/>
              </w:rPr>
            </w:pPr>
          </w:p>
          <w:p w14:paraId="56A5C81B" w14:textId="77777777" w:rsidR="009E0A9E" w:rsidRPr="00775AE5" w:rsidRDefault="009E0A9E" w:rsidP="00525437">
            <w:pPr>
              <w:rPr>
                <w:rFonts w:ascii="Arial" w:hAnsi="Arial" w:cs="Arial"/>
                <w:color w:val="000000"/>
                <w:sz w:val="22"/>
                <w:szCs w:val="22"/>
                <w:lang w:eastAsia="es-EC"/>
              </w:rPr>
            </w:pPr>
          </w:p>
          <w:p w14:paraId="30FAA194" w14:textId="77777777" w:rsidR="009E0A9E" w:rsidRPr="00775AE5" w:rsidRDefault="009E0A9E" w:rsidP="00525437">
            <w:pPr>
              <w:rPr>
                <w:rFonts w:ascii="Arial" w:hAnsi="Arial" w:cs="Arial"/>
                <w:color w:val="000000"/>
                <w:sz w:val="22"/>
                <w:szCs w:val="22"/>
                <w:lang w:eastAsia="es-EC"/>
              </w:rPr>
            </w:pPr>
          </w:p>
          <w:p w14:paraId="1A158894" w14:textId="77777777" w:rsidR="009E0A9E" w:rsidRPr="00775AE5" w:rsidRDefault="009E0A9E" w:rsidP="00525437">
            <w:pPr>
              <w:rPr>
                <w:rFonts w:ascii="Arial" w:hAnsi="Arial" w:cs="Arial"/>
                <w:color w:val="000000"/>
                <w:sz w:val="22"/>
                <w:szCs w:val="22"/>
                <w:lang w:eastAsia="es-EC"/>
              </w:rPr>
            </w:pPr>
          </w:p>
          <w:p w14:paraId="47255920" w14:textId="77777777" w:rsidR="009E0A9E" w:rsidRPr="00775AE5" w:rsidRDefault="009E0A9E" w:rsidP="00525437">
            <w:pPr>
              <w:rPr>
                <w:rFonts w:ascii="Arial" w:hAnsi="Arial" w:cs="Arial"/>
                <w:color w:val="000000"/>
                <w:sz w:val="22"/>
                <w:szCs w:val="22"/>
                <w:lang w:eastAsia="es-EC"/>
              </w:rPr>
            </w:pPr>
          </w:p>
          <w:p w14:paraId="7ED905C6" w14:textId="77777777" w:rsidR="009E0A9E" w:rsidRPr="00775AE5" w:rsidRDefault="009E0A9E" w:rsidP="00525437">
            <w:pPr>
              <w:rPr>
                <w:rFonts w:ascii="Arial" w:hAnsi="Arial" w:cs="Arial"/>
                <w:color w:val="000000"/>
                <w:sz w:val="22"/>
                <w:szCs w:val="22"/>
                <w:lang w:eastAsia="es-EC"/>
              </w:rPr>
            </w:pPr>
          </w:p>
          <w:p w14:paraId="66BF855F" w14:textId="77777777" w:rsidR="009E0A9E" w:rsidRPr="00775AE5" w:rsidRDefault="009E0A9E" w:rsidP="00525437">
            <w:pPr>
              <w:rPr>
                <w:rFonts w:ascii="Arial" w:hAnsi="Arial" w:cs="Arial"/>
                <w:color w:val="000000"/>
                <w:sz w:val="22"/>
                <w:szCs w:val="22"/>
                <w:lang w:eastAsia="es-EC"/>
              </w:rPr>
            </w:pPr>
          </w:p>
          <w:p w14:paraId="5C6C84DF" w14:textId="77777777" w:rsidR="009E0A9E" w:rsidRPr="00775AE5" w:rsidRDefault="009E0A9E" w:rsidP="00525437">
            <w:pPr>
              <w:rPr>
                <w:rFonts w:ascii="Arial" w:hAnsi="Arial" w:cs="Arial"/>
                <w:color w:val="000000"/>
                <w:sz w:val="22"/>
                <w:szCs w:val="22"/>
                <w:lang w:eastAsia="es-EC"/>
              </w:rPr>
            </w:pPr>
          </w:p>
          <w:p w14:paraId="4A32466A" w14:textId="77777777" w:rsidR="009E0A9E" w:rsidRPr="00775AE5" w:rsidRDefault="009E0A9E" w:rsidP="00525437">
            <w:pPr>
              <w:rPr>
                <w:rFonts w:ascii="Arial" w:hAnsi="Arial" w:cs="Arial"/>
                <w:color w:val="000000"/>
                <w:sz w:val="22"/>
                <w:szCs w:val="22"/>
                <w:lang w:eastAsia="es-EC"/>
              </w:rPr>
            </w:pPr>
          </w:p>
          <w:p w14:paraId="05C41D77" w14:textId="77777777" w:rsidR="009E0A9E" w:rsidRPr="00775AE5" w:rsidRDefault="009E0A9E" w:rsidP="00525437">
            <w:pPr>
              <w:rPr>
                <w:rFonts w:ascii="Arial" w:hAnsi="Arial" w:cs="Arial"/>
                <w:color w:val="000000"/>
                <w:sz w:val="22"/>
                <w:szCs w:val="22"/>
                <w:lang w:eastAsia="es-EC"/>
              </w:rPr>
            </w:pPr>
          </w:p>
          <w:p w14:paraId="4FAB003F" w14:textId="77777777" w:rsidR="009E0A9E" w:rsidRPr="00775AE5" w:rsidRDefault="009E0A9E" w:rsidP="00525437">
            <w:pPr>
              <w:rPr>
                <w:rFonts w:ascii="Arial" w:hAnsi="Arial" w:cs="Arial"/>
                <w:color w:val="000000"/>
                <w:sz w:val="22"/>
                <w:szCs w:val="22"/>
                <w:lang w:eastAsia="es-EC"/>
              </w:rPr>
            </w:pPr>
          </w:p>
          <w:p w14:paraId="6E355C8E" w14:textId="77777777" w:rsidR="009E0A9E" w:rsidRPr="00775AE5" w:rsidRDefault="009E0A9E" w:rsidP="00525437">
            <w:pPr>
              <w:rPr>
                <w:rFonts w:ascii="Arial" w:hAnsi="Arial" w:cs="Arial"/>
                <w:color w:val="000000"/>
                <w:sz w:val="22"/>
                <w:szCs w:val="22"/>
                <w:lang w:eastAsia="es-EC"/>
              </w:rPr>
            </w:pPr>
          </w:p>
          <w:p w14:paraId="102CB477" w14:textId="77777777" w:rsidR="009E0A9E" w:rsidRPr="00775AE5" w:rsidRDefault="009E0A9E" w:rsidP="00525437">
            <w:pPr>
              <w:rPr>
                <w:rFonts w:ascii="Arial" w:hAnsi="Arial" w:cs="Arial"/>
                <w:color w:val="000000"/>
                <w:sz w:val="22"/>
                <w:szCs w:val="22"/>
                <w:lang w:eastAsia="es-EC"/>
              </w:rPr>
            </w:pPr>
          </w:p>
          <w:p w14:paraId="1E13FCE5" w14:textId="77777777" w:rsidR="009E0A9E" w:rsidRPr="00775AE5" w:rsidRDefault="009E0A9E" w:rsidP="00525437">
            <w:pPr>
              <w:rPr>
                <w:rFonts w:ascii="Arial" w:hAnsi="Arial" w:cs="Arial"/>
                <w:color w:val="000000"/>
                <w:sz w:val="22"/>
                <w:szCs w:val="22"/>
                <w:lang w:eastAsia="es-EC"/>
              </w:rPr>
            </w:pPr>
          </w:p>
          <w:p w14:paraId="7FD9917D" w14:textId="77777777" w:rsidR="009E0A9E" w:rsidRPr="00775AE5" w:rsidRDefault="009E0A9E" w:rsidP="00525437">
            <w:pPr>
              <w:rPr>
                <w:rFonts w:ascii="Arial" w:hAnsi="Arial" w:cs="Arial"/>
                <w:color w:val="000000"/>
                <w:sz w:val="22"/>
                <w:szCs w:val="22"/>
                <w:lang w:eastAsia="es-EC"/>
              </w:rPr>
            </w:pPr>
          </w:p>
          <w:p w14:paraId="58AF605F" w14:textId="77777777" w:rsidR="009E0A9E" w:rsidRPr="00775AE5" w:rsidRDefault="009E0A9E" w:rsidP="00525437">
            <w:pPr>
              <w:rPr>
                <w:rFonts w:ascii="Arial" w:hAnsi="Arial" w:cs="Arial"/>
                <w:color w:val="000000"/>
                <w:sz w:val="22"/>
                <w:szCs w:val="22"/>
                <w:lang w:eastAsia="es-EC"/>
              </w:rPr>
            </w:pPr>
          </w:p>
          <w:p w14:paraId="5B10EF02" w14:textId="77777777" w:rsidR="009E0A9E" w:rsidRPr="00775AE5" w:rsidRDefault="009E0A9E" w:rsidP="00525437">
            <w:pPr>
              <w:rPr>
                <w:rFonts w:ascii="Arial" w:hAnsi="Arial" w:cs="Arial"/>
                <w:color w:val="000000"/>
                <w:sz w:val="22"/>
                <w:szCs w:val="22"/>
                <w:lang w:eastAsia="es-EC"/>
              </w:rPr>
            </w:pPr>
          </w:p>
          <w:p w14:paraId="33ADF90B" w14:textId="77777777" w:rsidR="009E0A9E" w:rsidRPr="00775AE5" w:rsidRDefault="009E0A9E" w:rsidP="00525437">
            <w:pPr>
              <w:rPr>
                <w:rFonts w:ascii="Arial" w:hAnsi="Arial" w:cs="Arial"/>
                <w:color w:val="000000"/>
                <w:sz w:val="22"/>
                <w:szCs w:val="22"/>
                <w:lang w:eastAsia="es-EC"/>
              </w:rPr>
            </w:pPr>
          </w:p>
          <w:p w14:paraId="3437E241"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20 PPL</w:t>
            </w:r>
          </w:p>
        </w:tc>
      </w:tr>
      <w:tr w:rsidR="009E0A9E" w:rsidRPr="00775AE5" w14:paraId="60EB87C5" w14:textId="77777777" w:rsidTr="00525437">
        <w:trPr>
          <w:trHeight w:val="630"/>
        </w:trPr>
        <w:tc>
          <w:tcPr>
            <w:tcW w:w="2120" w:type="dxa"/>
            <w:vMerge/>
            <w:hideMark/>
          </w:tcPr>
          <w:p w14:paraId="2AF93204" w14:textId="77777777" w:rsidR="009E0A9E" w:rsidRPr="00775AE5" w:rsidRDefault="009E0A9E" w:rsidP="00525437">
            <w:pPr>
              <w:rPr>
                <w:rFonts w:ascii="Arial" w:hAnsi="Arial" w:cs="Arial"/>
                <w:color w:val="000000"/>
                <w:sz w:val="22"/>
                <w:szCs w:val="22"/>
                <w:lang w:eastAsia="es-EC"/>
              </w:rPr>
            </w:pPr>
          </w:p>
        </w:tc>
        <w:tc>
          <w:tcPr>
            <w:tcW w:w="1420" w:type="dxa"/>
            <w:hideMark/>
          </w:tcPr>
          <w:p w14:paraId="3500817F"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660" w:type="dxa"/>
            <w:hideMark/>
          </w:tcPr>
          <w:p w14:paraId="6F74A7E5"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960" w:type="dxa"/>
            <w:hideMark/>
          </w:tcPr>
          <w:p w14:paraId="6959F653"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xml:space="preserve">epigastralgia tipo urente leve </w:t>
            </w:r>
          </w:p>
        </w:tc>
        <w:tc>
          <w:tcPr>
            <w:tcW w:w="1200" w:type="dxa"/>
            <w:vMerge/>
            <w:hideMark/>
          </w:tcPr>
          <w:p w14:paraId="3B4BAAFD" w14:textId="77777777" w:rsidR="009E0A9E" w:rsidRPr="00775AE5" w:rsidRDefault="009E0A9E" w:rsidP="00525437">
            <w:pPr>
              <w:rPr>
                <w:rFonts w:ascii="Arial" w:hAnsi="Arial" w:cs="Arial"/>
                <w:color w:val="000000"/>
                <w:sz w:val="22"/>
                <w:szCs w:val="22"/>
                <w:lang w:eastAsia="es-EC"/>
              </w:rPr>
            </w:pPr>
          </w:p>
        </w:tc>
      </w:tr>
      <w:tr w:rsidR="009E0A9E" w:rsidRPr="00775AE5" w14:paraId="65B5C60E" w14:textId="77777777" w:rsidTr="00525437">
        <w:trPr>
          <w:trHeight w:val="945"/>
        </w:trPr>
        <w:tc>
          <w:tcPr>
            <w:tcW w:w="2120" w:type="dxa"/>
            <w:vMerge/>
            <w:hideMark/>
          </w:tcPr>
          <w:p w14:paraId="46C484EE" w14:textId="77777777" w:rsidR="009E0A9E" w:rsidRPr="00775AE5" w:rsidRDefault="009E0A9E" w:rsidP="00525437">
            <w:pPr>
              <w:rPr>
                <w:rFonts w:ascii="Arial" w:hAnsi="Arial" w:cs="Arial"/>
                <w:color w:val="000000"/>
                <w:sz w:val="22"/>
                <w:szCs w:val="22"/>
                <w:lang w:eastAsia="es-EC"/>
              </w:rPr>
            </w:pPr>
          </w:p>
        </w:tc>
        <w:tc>
          <w:tcPr>
            <w:tcW w:w="1420" w:type="dxa"/>
            <w:hideMark/>
          </w:tcPr>
          <w:p w14:paraId="7C2C7BAB"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2 PPL</w:t>
            </w:r>
          </w:p>
        </w:tc>
        <w:tc>
          <w:tcPr>
            <w:tcW w:w="1660" w:type="dxa"/>
            <w:hideMark/>
          </w:tcPr>
          <w:p w14:paraId="51914DD3"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960" w:type="dxa"/>
            <w:hideMark/>
          </w:tcPr>
          <w:p w14:paraId="4E63777C" w14:textId="54C42F02"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xml:space="preserve">paro </w:t>
            </w:r>
            <w:r w:rsidR="00434BA9" w:rsidRPr="00775AE5">
              <w:rPr>
                <w:rFonts w:ascii="Arial" w:hAnsi="Arial" w:cs="Arial"/>
                <w:color w:val="000000"/>
                <w:sz w:val="22"/>
                <w:szCs w:val="22"/>
                <w:lang w:eastAsia="es-EC"/>
              </w:rPr>
              <w:t>cardiorrespiratorio</w:t>
            </w:r>
            <w:r w:rsidRPr="00775AE5">
              <w:rPr>
                <w:rFonts w:ascii="Arial" w:hAnsi="Arial" w:cs="Arial"/>
                <w:color w:val="000000"/>
                <w:sz w:val="22"/>
                <w:szCs w:val="22"/>
                <w:lang w:eastAsia="es-EC"/>
              </w:rPr>
              <w:t xml:space="preserve">/ </w:t>
            </w:r>
            <w:r w:rsidR="00B93283" w:rsidRPr="00775AE5">
              <w:rPr>
                <w:rFonts w:ascii="Arial" w:hAnsi="Arial" w:cs="Arial"/>
                <w:color w:val="000000"/>
                <w:sz w:val="22"/>
                <w:szCs w:val="22"/>
                <w:lang w:eastAsia="es-EC"/>
              </w:rPr>
              <w:t>tuberculosis</w:t>
            </w:r>
          </w:p>
        </w:tc>
        <w:tc>
          <w:tcPr>
            <w:tcW w:w="1200" w:type="dxa"/>
            <w:vMerge/>
            <w:hideMark/>
          </w:tcPr>
          <w:p w14:paraId="58EBB619" w14:textId="77777777" w:rsidR="009E0A9E" w:rsidRPr="00775AE5" w:rsidRDefault="009E0A9E" w:rsidP="00525437">
            <w:pPr>
              <w:rPr>
                <w:rFonts w:ascii="Arial" w:hAnsi="Arial" w:cs="Arial"/>
                <w:color w:val="000000"/>
                <w:sz w:val="22"/>
                <w:szCs w:val="22"/>
                <w:lang w:eastAsia="es-EC"/>
              </w:rPr>
            </w:pPr>
          </w:p>
        </w:tc>
      </w:tr>
      <w:tr w:rsidR="009E0A9E" w:rsidRPr="00775AE5" w14:paraId="52BA186C" w14:textId="77777777" w:rsidTr="00525437">
        <w:trPr>
          <w:trHeight w:val="945"/>
        </w:trPr>
        <w:tc>
          <w:tcPr>
            <w:tcW w:w="2120" w:type="dxa"/>
            <w:vMerge/>
            <w:hideMark/>
          </w:tcPr>
          <w:p w14:paraId="097BF349" w14:textId="77777777" w:rsidR="009E0A9E" w:rsidRPr="00775AE5" w:rsidRDefault="009E0A9E" w:rsidP="00525437">
            <w:pPr>
              <w:rPr>
                <w:rFonts w:ascii="Arial" w:hAnsi="Arial" w:cs="Arial"/>
                <w:color w:val="000000"/>
                <w:sz w:val="22"/>
                <w:szCs w:val="22"/>
                <w:lang w:eastAsia="es-EC"/>
              </w:rPr>
            </w:pPr>
          </w:p>
        </w:tc>
        <w:tc>
          <w:tcPr>
            <w:tcW w:w="1420" w:type="dxa"/>
            <w:hideMark/>
          </w:tcPr>
          <w:p w14:paraId="7330F615"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385D772B"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960" w:type="dxa"/>
            <w:hideMark/>
          </w:tcPr>
          <w:p w14:paraId="74B18A0E"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dificultad respiratoria/ hipertensión arterial</w:t>
            </w:r>
          </w:p>
        </w:tc>
        <w:tc>
          <w:tcPr>
            <w:tcW w:w="1200" w:type="dxa"/>
            <w:vMerge/>
            <w:hideMark/>
          </w:tcPr>
          <w:p w14:paraId="5A0A2855" w14:textId="77777777" w:rsidR="009E0A9E" w:rsidRPr="00775AE5" w:rsidRDefault="009E0A9E" w:rsidP="00525437">
            <w:pPr>
              <w:rPr>
                <w:rFonts w:ascii="Arial" w:hAnsi="Arial" w:cs="Arial"/>
                <w:color w:val="000000"/>
                <w:sz w:val="22"/>
                <w:szCs w:val="22"/>
                <w:lang w:eastAsia="es-EC"/>
              </w:rPr>
            </w:pPr>
          </w:p>
        </w:tc>
      </w:tr>
      <w:tr w:rsidR="009E0A9E" w:rsidRPr="00775AE5" w14:paraId="2BBE7B3E" w14:textId="77777777" w:rsidTr="00525437">
        <w:trPr>
          <w:trHeight w:val="630"/>
        </w:trPr>
        <w:tc>
          <w:tcPr>
            <w:tcW w:w="2120" w:type="dxa"/>
            <w:vMerge/>
            <w:hideMark/>
          </w:tcPr>
          <w:p w14:paraId="4847D561" w14:textId="77777777" w:rsidR="009E0A9E" w:rsidRPr="00775AE5" w:rsidRDefault="009E0A9E" w:rsidP="00525437">
            <w:pPr>
              <w:rPr>
                <w:rFonts w:ascii="Arial" w:hAnsi="Arial" w:cs="Arial"/>
                <w:color w:val="000000"/>
                <w:sz w:val="22"/>
                <w:szCs w:val="22"/>
                <w:lang w:eastAsia="es-EC"/>
              </w:rPr>
            </w:pPr>
          </w:p>
        </w:tc>
        <w:tc>
          <w:tcPr>
            <w:tcW w:w="1420" w:type="dxa"/>
            <w:hideMark/>
          </w:tcPr>
          <w:p w14:paraId="06D1C488"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386D442A"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5 PPL</w:t>
            </w:r>
          </w:p>
        </w:tc>
        <w:tc>
          <w:tcPr>
            <w:tcW w:w="1960" w:type="dxa"/>
            <w:hideMark/>
          </w:tcPr>
          <w:p w14:paraId="52DCBFEC"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parada cardiorrespiratoria</w:t>
            </w:r>
          </w:p>
        </w:tc>
        <w:tc>
          <w:tcPr>
            <w:tcW w:w="1200" w:type="dxa"/>
            <w:vMerge/>
            <w:hideMark/>
          </w:tcPr>
          <w:p w14:paraId="79BB9134" w14:textId="77777777" w:rsidR="009E0A9E" w:rsidRPr="00775AE5" w:rsidRDefault="009E0A9E" w:rsidP="00525437">
            <w:pPr>
              <w:rPr>
                <w:rFonts w:ascii="Arial" w:hAnsi="Arial" w:cs="Arial"/>
                <w:color w:val="000000"/>
                <w:sz w:val="22"/>
                <w:szCs w:val="22"/>
                <w:lang w:eastAsia="es-EC"/>
              </w:rPr>
            </w:pPr>
          </w:p>
        </w:tc>
      </w:tr>
      <w:tr w:rsidR="009E0A9E" w:rsidRPr="00775AE5" w14:paraId="1F8C75E0" w14:textId="77777777" w:rsidTr="00525437">
        <w:trPr>
          <w:trHeight w:val="630"/>
        </w:trPr>
        <w:tc>
          <w:tcPr>
            <w:tcW w:w="2120" w:type="dxa"/>
            <w:vMerge/>
            <w:hideMark/>
          </w:tcPr>
          <w:p w14:paraId="458ABD09" w14:textId="77777777" w:rsidR="009E0A9E" w:rsidRPr="00775AE5" w:rsidRDefault="009E0A9E" w:rsidP="00525437">
            <w:pPr>
              <w:rPr>
                <w:rFonts w:ascii="Arial" w:hAnsi="Arial" w:cs="Arial"/>
                <w:color w:val="000000"/>
                <w:sz w:val="22"/>
                <w:szCs w:val="22"/>
                <w:lang w:eastAsia="es-EC"/>
              </w:rPr>
            </w:pPr>
          </w:p>
        </w:tc>
        <w:tc>
          <w:tcPr>
            <w:tcW w:w="1420" w:type="dxa"/>
            <w:hideMark/>
          </w:tcPr>
          <w:p w14:paraId="7682CEFE"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134BE67B"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960" w:type="dxa"/>
            <w:hideMark/>
          </w:tcPr>
          <w:p w14:paraId="61D5A811"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hipertensión arterial/ adulto mayor</w:t>
            </w:r>
          </w:p>
        </w:tc>
        <w:tc>
          <w:tcPr>
            <w:tcW w:w="1200" w:type="dxa"/>
            <w:vMerge/>
            <w:hideMark/>
          </w:tcPr>
          <w:p w14:paraId="5C9D7488" w14:textId="77777777" w:rsidR="009E0A9E" w:rsidRPr="00775AE5" w:rsidRDefault="009E0A9E" w:rsidP="00525437">
            <w:pPr>
              <w:rPr>
                <w:rFonts w:ascii="Arial" w:hAnsi="Arial" w:cs="Arial"/>
                <w:color w:val="000000"/>
                <w:sz w:val="22"/>
                <w:szCs w:val="22"/>
                <w:lang w:eastAsia="es-EC"/>
              </w:rPr>
            </w:pPr>
          </w:p>
        </w:tc>
      </w:tr>
      <w:tr w:rsidR="009E0A9E" w:rsidRPr="00775AE5" w14:paraId="302413EA" w14:textId="77777777" w:rsidTr="00525437">
        <w:trPr>
          <w:trHeight w:val="630"/>
        </w:trPr>
        <w:tc>
          <w:tcPr>
            <w:tcW w:w="2120" w:type="dxa"/>
            <w:vMerge/>
            <w:hideMark/>
          </w:tcPr>
          <w:p w14:paraId="6A92DE80" w14:textId="77777777" w:rsidR="009E0A9E" w:rsidRPr="00775AE5" w:rsidRDefault="009E0A9E" w:rsidP="00525437">
            <w:pPr>
              <w:rPr>
                <w:rFonts w:ascii="Arial" w:hAnsi="Arial" w:cs="Arial"/>
                <w:color w:val="000000"/>
                <w:sz w:val="22"/>
                <w:szCs w:val="22"/>
                <w:lang w:eastAsia="es-EC"/>
              </w:rPr>
            </w:pPr>
          </w:p>
        </w:tc>
        <w:tc>
          <w:tcPr>
            <w:tcW w:w="1420" w:type="dxa"/>
            <w:hideMark/>
          </w:tcPr>
          <w:p w14:paraId="1F6EC352"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7747ED10"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960" w:type="dxa"/>
            <w:hideMark/>
          </w:tcPr>
          <w:p w14:paraId="1D5E7B92"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enfermedad hepática</w:t>
            </w:r>
          </w:p>
        </w:tc>
        <w:tc>
          <w:tcPr>
            <w:tcW w:w="1200" w:type="dxa"/>
            <w:vMerge/>
            <w:hideMark/>
          </w:tcPr>
          <w:p w14:paraId="4CB75426" w14:textId="77777777" w:rsidR="009E0A9E" w:rsidRPr="00775AE5" w:rsidRDefault="009E0A9E" w:rsidP="00525437">
            <w:pPr>
              <w:rPr>
                <w:rFonts w:ascii="Arial" w:hAnsi="Arial" w:cs="Arial"/>
                <w:color w:val="000000"/>
                <w:sz w:val="22"/>
                <w:szCs w:val="22"/>
                <w:lang w:eastAsia="es-EC"/>
              </w:rPr>
            </w:pPr>
          </w:p>
        </w:tc>
      </w:tr>
      <w:tr w:rsidR="009E0A9E" w:rsidRPr="00775AE5" w14:paraId="36FF0892" w14:textId="77777777" w:rsidTr="00525437">
        <w:trPr>
          <w:trHeight w:val="945"/>
        </w:trPr>
        <w:tc>
          <w:tcPr>
            <w:tcW w:w="2120" w:type="dxa"/>
            <w:vMerge/>
            <w:hideMark/>
          </w:tcPr>
          <w:p w14:paraId="731CD73D" w14:textId="77777777" w:rsidR="009E0A9E" w:rsidRPr="00775AE5" w:rsidRDefault="009E0A9E" w:rsidP="00525437">
            <w:pPr>
              <w:rPr>
                <w:rFonts w:ascii="Arial" w:hAnsi="Arial" w:cs="Arial"/>
                <w:color w:val="000000"/>
                <w:sz w:val="22"/>
                <w:szCs w:val="22"/>
                <w:lang w:eastAsia="es-EC"/>
              </w:rPr>
            </w:pPr>
          </w:p>
        </w:tc>
        <w:tc>
          <w:tcPr>
            <w:tcW w:w="1420" w:type="dxa"/>
            <w:hideMark/>
          </w:tcPr>
          <w:p w14:paraId="347A3A32"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50174D88"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3 PPL</w:t>
            </w:r>
          </w:p>
        </w:tc>
        <w:tc>
          <w:tcPr>
            <w:tcW w:w="1960" w:type="dxa"/>
            <w:hideMark/>
          </w:tcPr>
          <w:p w14:paraId="29062B2E"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insuficiencia respiratoria/ tuberculosis</w:t>
            </w:r>
          </w:p>
        </w:tc>
        <w:tc>
          <w:tcPr>
            <w:tcW w:w="1200" w:type="dxa"/>
            <w:vMerge/>
            <w:hideMark/>
          </w:tcPr>
          <w:p w14:paraId="6CB35634" w14:textId="77777777" w:rsidR="009E0A9E" w:rsidRPr="00775AE5" w:rsidRDefault="009E0A9E" w:rsidP="00525437">
            <w:pPr>
              <w:rPr>
                <w:rFonts w:ascii="Arial" w:hAnsi="Arial" w:cs="Arial"/>
                <w:color w:val="000000"/>
                <w:sz w:val="22"/>
                <w:szCs w:val="22"/>
                <w:lang w:eastAsia="es-EC"/>
              </w:rPr>
            </w:pPr>
          </w:p>
        </w:tc>
      </w:tr>
      <w:tr w:rsidR="009E0A9E" w:rsidRPr="00775AE5" w14:paraId="449DCAEA" w14:textId="77777777" w:rsidTr="00525437">
        <w:trPr>
          <w:trHeight w:val="945"/>
        </w:trPr>
        <w:tc>
          <w:tcPr>
            <w:tcW w:w="2120" w:type="dxa"/>
            <w:vMerge/>
            <w:hideMark/>
          </w:tcPr>
          <w:p w14:paraId="70F8904B" w14:textId="77777777" w:rsidR="009E0A9E" w:rsidRPr="00775AE5" w:rsidRDefault="009E0A9E" w:rsidP="00525437">
            <w:pPr>
              <w:rPr>
                <w:rFonts w:ascii="Arial" w:hAnsi="Arial" w:cs="Arial"/>
                <w:color w:val="000000"/>
                <w:sz w:val="22"/>
                <w:szCs w:val="22"/>
                <w:lang w:eastAsia="es-EC"/>
              </w:rPr>
            </w:pPr>
          </w:p>
        </w:tc>
        <w:tc>
          <w:tcPr>
            <w:tcW w:w="1420" w:type="dxa"/>
            <w:hideMark/>
          </w:tcPr>
          <w:p w14:paraId="0AC4837D"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2FF4F7CD"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2 PPL</w:t>
            </w:r>
          </w:p>
        </w:tc>
        <w:tc>
          <w:tcPr>
            <w:tcW w:w="1960" w:type="dxa"/>
            <w:hideMark/>
          </w:tcPr>
          <w:p w14:paraId="63D33F73"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parada cardiorrespiratoria/ adulto mayor</w:t>
            </w:r>
          </w:p>
        </w:tc>
        <w:tc>
          <w:tcPr>
            <w:tcW w:w="1200" w:type="dxa"/>
            <w:vMerge/>
            <w:hideMark/>
          </w:tcPr>
          <w:p w14:paraId="3A35FFA9" w14:textId="77777777" w:rsidR="009E0A9E" w:rsidRPr="00775AE5" w:rsidRDefault="009E0A9E" w:rsidP="00525437">
            <w:pPr>
              <w:rPr>
                <w:rFonts w:ascii="Arial" w:hAnsi="Arial" w:cs="Arial"/>
                <w:color w:val="000000"/>
                <w:sz w:val="22"/>
                <w:szCs w:val="22"/>
                <w:lang w:eastAsia="es-EC"/>
              </w:rPr>
            </w:pPr>
          </w:p>
        </w:tc>
      </w:tr>
      <w:tr w:rsidR="009E0A9E" w:rsidRPr="00775AE5" w14:paraId="7B763348" w14:textId="77777777" w:rsidTr="00525437">
        <w:trPr>
          <w:trHeight w:val="630"/>
        </w:trPr>
        <w:tc>
          <w:tcPr>
            <w:tcW w:w="2120" w:type="dxa"/>
            <w:vMerge/>
            <w:hideMark/>
          </w:tcPr>
          <w:p w14:paraId="747E48A6" w14:textId="77777777" w:rsidR="009E0A9E" w:rsidRPr="00775AE5" w:rsidRDefault="009E0A9E" w:rsidP="00525437">
            <w:pPr>
              <w:rPr>
                <w:rFonts w:ascii="Arial" w:hAnsi="Arial" w:cs="Arial"/>
                <w:color w:val="000000"/>
                <w:sz w:val="22"/>
                <w:szCs w:val="22"/>
                <w:lang w:eastAsia="es-EC"/>
              </w:rPr>
            </w:pPr>
          </w:p>
        </w:tc>
        <w:tc>
          <w:tcPr>
            <w:tcW w:w="1420" w:type="dxa"/>
            <w:hideMark/>
          </w:tcPr>
          <w:p w14:paraId="2BB5F9BF"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7F3AEE86"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960" w:type="dxa"/>
            <w:hideMark/>
          </w:tcPr>
          <w:p w14:paraId="12DD783A"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dificultad respiratoria aguda</w:t>
            </w:r>
          </w:p>
        </w:tc>
        <w:tc>
          <w:tcPr>
            <w:tcW w:w="1200" w:type="dxa"/>
            <w:vMerge/>
            <w:hideMark/>
          </w:tcPr>
          <w:p w14:paraId="555A1220" w14:textId="77777777" w:rsidR="009E0A9E" w:rsidRPr="00775AE5" w:rsidRDefault="009E0A9E" w:rsidP="00525437">
            <w:pPr>
              <w:rPr>
                <w:rFonts w:ascii="Arial" w:hAnsi="Arial" w:cs="Arial"/>
                <w:color w:val="000000"/>
                <w:sz w:val="22"/>
                <w:szCs w:val="22"/>
                <w:lang w:eastAsia="es-EC"/>
              </w:rPr>
            </w:pPr>
          </w:p>
        </w:tc>
      </w:tr>
      <w:tr w:rsidR="009E0A9E" w:rsidRPr="00775AE5" w14:paraId="3199C363" w14:textId="77777777" w:rsidTr="00525437">
        <w:trPr>
          <w:trHeight w:val="630"/>
        </w:trPr>
        <w:tc>
          <w:tcPr>
            <w:tcW w:w="2120" w:type="dxa"/>
            <w:vMerge/>
            <w:hideMark/>
          </w:tcPr>
          <w:p w14:paraId="009A5350" w14:textId="77777777" w:rsidR="009E0A9E" w:rsidRPr="00775AE5" w:rsidRDefault="009E0A9E" w:rsidP="00525437">
            <w:pPr>
              <w:rPr>
                <w:rFonts w:ascii="Arial" w:hAnsi="Arial" w:cs="Arial"/>
                <w:color w:val="000000"/>
                <w:sz w:val="22"/>
                <w:szCs w:val="22"/>
                <w:lang w:eastAsia="es-EC"/>
              </w:rPr>
            </w:pPr>
          </w:p>
        </w:tc>
        <w:tc>
          <w:tcPr>
            <w:tcW w:w="1420" w:type="dxa"/>
            <w:hideMark/>
          </w:tcPr>
          <w:p w14:paraId="3B7AC4CF"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6FDCFB22"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960" w:type="dxa"/>
            <w:hideMark/>
          </w:tcPr>
          <w:p w14:paraId="0B9B4D07"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traumatismo intracraneal</w:t>
            </w:r>
          </w:p>
        </w:tc>
        <w:tc>
          <w:tcPr>
            <w:tcW w:w="1200" w:type="dxa"/>
            <w:vMerge/>
            <w:hideMark/>
          </w:tcPr>
          <w:p w14:paraId="5FE6BAD1" w14:textId="77777777" w:rsidR="009E0A9E" w:rsidRPr="00775AE5" w:rsidRDefault="009E0A9E" w:rsidP="00525437">
            <w:pPr>
              <w:rPr>
                <w:rFonts w:ascii="Arial" w:hAnsi="Arial" w:cs="Arial"/>
                <w:color w:val="000000"/>
                <w:sz w:val="22"/>
                <w:szCs w:val="22"/>
                <w:lang w:eastAsia="es-EC"/>
              </w:rPr>
            </w:pPr>
          </w:p>
        </w:tc>
      </w:tr>
      <w:tr w:rsidR="009E0A9E" w:rsidRPr="00775AE5" w14:paraId="45A8C80E" w14:textId="77777777" w:rsidTr="00525437">
        <w:trPr>
          <w:trHeight w:val="315"/>
        </w:trPr>
        <w:tc>
          <w:tcPr>
            <w:tcW w:w="2120" w:type="dxa"/>
            <w:vMerge/>
            <w:hideMark/>
          </w:tcPr>
          <w:p w14:paraId="72E9702C" w14:textId="77777777" w:rsidR="009E0A9E" w:rsidRPr="00775AE5" w:rsidRDefault="009E0A9E" w:rsidP="00525437">
            <w:pPr>
              <w:rPr>
                <w:rFonts w:ascii="Arial" w:hAnsi="Arial" w:cs="Arial"/>
                <w:color w:val="000000"/>
                <w:sz w:val="22"/>
                <w:szCs w:val="22"/>
                <w:lang w:eastAsia="es-EC"/>
              </w:rPr>
            </w:pPr>
          </w:p>
        </w:tc>
        <w:tc>
          <w:tcPr>
            <w:tcW w:w="1420" w:type="dxa"/>
            <w:hideMark/>
          </w:tcPr>
          <w:p w14:paraId="00814592"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7A568FA2"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960" w:type="dxa"/>
            <w:hideMark/>
          </w:tcPr>
          <w:p w14:paraId="65D13063"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suicidio</w:t>
            </w:r>
          </w:p>
        </w:tc>
        <w:tc>
          <w:tcPr>
            <w:tcW w:w="1200" w:type="dxa"/>
            <w:vMerge/>
            <w:hideMark/>
          </w:tcPr>
          <w:p w14:paraId="253A38FB" w14:textId="77777777" w:rsidR="009E0A9E" w:rsidRPr="00775AE5" w:rsidRDefault="009E0A9E" w:rsidP="00525437">
            <w:pPr>
              <w:rPr>
                <w:rFonts w:ascii="Arial" w:hAnsi="Arial" w:cs="Arial"/>
                <w:color w:val="000000"/>
                <w:sz w:val="22"/>
                <w:szCs w:val="22"/>
                <w:lang w:eastAsia="es-EC"/>
              </w:rPr>
            </w:pPr>
          </w:p>
        </w:tc>
      </w:tr>
      <w:tr w:rsidR="009E0A9E" w:rsidRPr="00775AE5" w14:paraId="29EC683F" w14:textId="77777777" w:rsidTr="00525437">
        <w:trPr>
          <w:trHeight w:val="630"/>
        </w:trPr>
        <w:tc>
          <w:tcPr>
            <w:tcW w:w="2120" w:type="dxa"/>
            <w:vMerge w:val="restart"/>
            <w:hideMark/>
          </w:tcPr>
          <w:p w14:paraId="770F96E0" w14:textId="77777777" w:rsidR="009E0A9E" w:rsidRPr="00775AE5" w:rsidRDefault="009E0A9E" w:rsidP="00525437">
            <w:pPr>
              <w:rPr>
                <w:rFonts w:ascii="Arial" w:hAnsi="Arial" w:cs="Arial"/>
                <w:color w:val="000000"/>
                <w:sz w:val="22"/>
                <w:szCs w:val="22"/>
                <w:lang w:eastAsia="es-EC"/>
              </w:rPr>
            </w:pPr>
          </w:p>
          <w:p w14:paraId="2C1C0EC1" w14:textId="77777777" w:rsidR="009E0A9E" w:rsidRPr="00775AE5" w:rsidRDefault="009E0A9E" w:rsidP="00525437">
            <w:pPr>
              <w:rPr>
                <w:rFonts w:ascii="Arial" w:hAnsi="Arial" w:cs="Arial"/>
                <w:color w:val="000000"/>
                <w:sz w:val="22"/>
                <w:szCs w:val="22"/>
                <w:lang w:eastAsia="es-EC"/>
              </w:rPr>
            </w:pPr>
          </w:p>
          <w:p w14:paraId="4B6ED3DC" w14:textId="77777777" w:rsidR="009E0A9E" w:rsidRPr="00775AE5" w:rsidRDefault="009E0A9E" w:rsidP="00525437">
            <w:pPr>
              <w:rPr>
                <w:rFonts w:ascii="Arial" w:hAnsi="Arial" w:cs="Arial"/>
                <w:color w:val="000000"/>
                <w:sz w:val="22"/>
                <w:szCs w:val="22"/>
                <w:lang w:eastAsia="es-EC"/>
              </w:rPr>
            </w:pPr>
          </w:p>
          <w:p w14:paraId="75C27F47" w14:textId="77777777" w:rsidR="009E0A9E" w:rsidRPr="00775AE5" w:rsidRDefault="009E0A9E" w:rsidP="00525437">
            <w:pPr>
              <w:rPr>
                <w:rFonts w:ascii="Arial" w:hAnsi="Arial" w:cs="Arial"/>
                <w:color w:val="000000"/>
                <w:sz w:val="22"/>
                <w:szCs w:val="22"/>
                <w:lang w:eastAsia="es-EC"/>
              </w:rPr>
            </w:pPr>
          </w:p>
          <w:p w14:paraId="4199B743"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xml:space="preserve">CRS Regional Guayas </w:t>
            </w:r>
          </w:p>
        </w:tc>
        <w:tc>
          <w:tcPr>
            <w:tcW w:w="1420" w:type="dxa"/>
            <w:hideMark/>
          </w:tcPr>
          <w:p w14:paraId="4118518B"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5CFD10EB"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2 PPL</w:t>
            </w:r>
          </w:p>
        </w:tc>
        <w:tc>
          <w:tcPr>
            <w:tcW w:w="1960" w:type="dxa"/>
            <w:hideMark/>
          </w:tcPr>
          <w:p w14:paraId="737EF5E3"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hipertensión arterial/ adulto mayor</w:t>
            </w:r>
          </w:p>
        </w:tc>
        <w:tc>
          <w:tcPr>
            <w:tcW w:w="1200" w:type="dxa"/>
            <w:vMerge w:val="restart"/>
            <w:hideMark/>
          </w:tcPr>
          <w:p w14:paraId="68AC0298"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6 PPL</w:t>
            </w:r>
          </w:p>
        </w:tc>
      </w:tr>
      <w:tr w:rsidR="009E0A9E" w:rsidRPr="00775AE5" w14:paraId="323F8819" w14:textId="77777777" w:rsidTr="00525437">
        <w:trPr>
          <w:trHeight w:val="1260"/>
        </w:trPr>
        <w:tc>
          <w:tcPr>
            <w:tcW w:w="2120" w:type="dxa"/>
            <w:vMerge/>
            <w:hideMark/>
          </w:tcPr>
          <w:p w14:paraId="6D68095B" w14:textId="77777777" w:rsidR="009E0A9E" w:rsidRPr="00775AE5" w:rsidRDefault="009E0A9E" w:rsidP="00525437">
            <w:pPr>
              <w:rPr>
                <w:rFonts w:ascii="Arial" w:hAnsi="Arial" w:cs="Arial"/>
                <w:color w:val="000000"/>
                <w:sz w:val="22"/>
                <w:szCs w:val="22"/>
                <w:lang w:eastAsia="es-EC"/>
              </w:rPr>
            </w:pPr>
          </w:p>
        </w:tc>
        <w:tc>
          <w:tcPr>
            <w:tcW w:w="1420" w:type="dxa"/>
            <w:hideMark/>
          </w:tcPr>
          <w:p w14:paraId="4B3BEB68"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54C2DEA7"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960" w:type="dxa"/>
            <w:hideMark/>
          </w:tcPr>
          <w:p w14:paraId="52E49FC2"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aparente insuficiencia respiratoria/hipertenso y diabético</w:t>
            </w:r>
          </w:p>
        </w:tc>
        <w:tc>
          <w:tcPr>
            <w:tcW w:w="1200" w:type="dxa"/>
            <w:vMerge/>
            <w:hideMark/>
          </w:tcPr>
          <w:p w14:paraId="27D1AF51" w14:textId="77777777" w:rsidR="009E0A9E" w:rsidRPr="00775AE5" w:rsidRDefault="009E0A9E" w:rsidP="00525437">
            <w:pPr>
              <w:rPr>
                <w:rFonts w:ascii="Arial" w:hAnsi="Arial" w:cs="Arial"/>
                <w:color w:val="000000"/>
                <w:sz w:val="22"/>
                <w:szCs w:val="22"/>
                <w:lang w:eastAsia="es-EC"/>
              </w:rPr>
            </w:pPr>
          </w:p>
        </w:tc>
      </w:tr>
      <w:tr w:rsidR="009E0A9E" w:rsidRPr="00775AE5" w14:paraId="74BD8E1F" w14:textId="77777777" w:rsidTr="00525437">
        <w:trPr>
          <w:trHeight w:val="1260"/>
        </w:trPr>
        <w:tc>
          <w:tcPr>
            <w:tcW w:w="2120" w:type="dxa"/>
            <w:vMerge/>
            <w:hideMark/>
          </w:tcPr>
          <w:p w14:paraId="4A550079" w14:textId="77777777" w:rsidR="009E0A9E" w:rsidRPr="00775AE5" w:rsidRDefault="009E0A9E" w:rsidP="00525437">
            <w:pPr>
              <w:rPr>
                <w:rFonts w:ascii="Arial" w:hAnsi="Arial" w:cs="Arial"/>
                <w:color w:val="000000"/>
                <w:sz w:val="22"/>
                <w:szCs w:val="22"/>
                <w:lang w:eastAsia="es-EC"/>
              </w:rPr>
            </w:pPr>
          </w:p>
        </w:tc>
        <w:tc>
          <w:tcPr>
            <w:tcW w:w="1420" w:type="dxa"/>
            <w:hideMark/>
          </w:tcPr>
          <w:p w14:paraId="39FFF02F"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2AAE06D4"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2 PPL</w:t>
            </w:r>
          </w:p>
        </w:tc>
        <w:tc>
          <w:tcPr>
            <w:tcW w:w="1960" w:type="dxa"/>
            <w:hideMark/>
          </w:tcPr>
          <w:p w14:paraId="7148BEFD"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aparente insuficiencia respiratoria/hipertenso</w:t>
            </w:r>
          </w:p>
        </w:tc>
        <w:tc>
          <w:tcPr>
            <w:tcW w:w="1200" w:type="dxa"/>
            <w:vMerge/>
            <w:hideMark/>
          </w:tcPr>
          <w:p w14:paraId="0ED3F729" w14:textId="77777777" w:rsidR="009E0A9E" w:rsidRPr="00775AE5" w:rsidRDefault="009E0A9E" w:rsidP="00525437">
            <w:pPr>
              <w:rPr>
                <w:rFonts w:ascii="Arial" w:hAnsi="Arial" w:cs="Arial"/>
                <w:color w:val="000000"/>
                <w:sz w:val="22"/>
                <w:szCs w:val="22"/>
                <w:lang w:eastAsia="es-EC"/>
              </w:rPr>
            </w:pPr>
          </w:p>
        </w:tc>
      </w:tr>
      <w:tr w:rsidR="009E0A9E" w:rsidRPr="00775AE5" w14:paraId="36C211B6" w14:textId="77777777" w:rsidTr="00525437">
        <w:trPr>
          <w:trHeight w:val="945"/>
        </w:trPr>
        <w:tc>
          <w:tcPr>
            <w:tcW w:w="2120" w:type="dxa"/>
            <w:vMerge/>
            <w:hideMark/>
          </w:tcPr>
          <w:p w14:paraId="27023E3D" w14:textId="77777777" w:rsidR="009E0A9E" w:rsidRPr="00775AE5" w:rsidRDefault="009E0A9E" w:rsidP="00525437">
            <w:pPr>
              <w:rPr>
                <w:rFonts w:ascii="Arial" w:hAnsi="Arial" w:cs="Arial"/>
                <w:color w:val="000000"/>
                <w:sz w:val="22"/>
                <w:szCs w:val="22"/>
                <w:lang w:eastAsia="es-EC"/>
              </w:rPr>
            </w:pPr>
          </w:p>
        </w:tc>
        <w:tc>
          <w:tcPr>
            <w:tcW w:w="1420" w:type="dxa"/>
            <w:hideMark/>
          </w:tcPr>
          <w:p w14:paraId="1C1A711F"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3D726643"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960" w:type="dxa"/>
            <w:hideMark/>
          </w:tcPr>
          <w:p w14:paraId="68C9F46D"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tuberculosis sensible actualmente, tumor maligno de laringe</w:t>
            </w:r>
          </w:p>
        </w:tc>
        <w:tc>
          <w:tcPr>
            <w:tcW w:w="1200" w:type="dxa"/>
            <w:vMerge/>
            <w:hideMark/>
          </w:tcPr>
          <w:p w14:paraId="26B2DC81" w14:textId="77777777" w:rsidR="009E0A9E" w:rsidRPr="00775AE5" w:rsidRDefault="009E0A9E" w:rsidP="00525437">
            <w:pPr>
              <w:rPr>
                <w:rFonts w:ascii="Arial" w:hAnsi="Arial" w:cs="Arial"/>
                <w:color w:val="000000"/>
                <w:sz w:val="22"/>
                <w:szCs w:val="22"/>
                <w:lang w:eastAsia="es-EC"/>
              </w:rPr>
            </w:pPr>
          </w:p>
        </w:tc>
      </w:tr>
      <w:tr w:rsidR="009E0A9E" w:rsidRPr="00775AE5" w14:paraId="5846B129" w14:textId="77777777" w:rsidTr="00525437">
        <w:trPr>
          <w:trHeight w:val="1575"/>
        </w:trPr>
        <w:tc>
          <w:tcPr>
            <w:tcW w:w="2120" w:type="dxa"/>
            <w:hideMark/>
          </w:tcPr>
          <w:p w14:paraId="4E2E4C95"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CRS Ambato</w:t>
            </w:r>
          </w:p>
        </w:tc>
        <w:tc>
          <w:tcPr>
            <w:tcW w:w="1420" w:type="dxa"/>
            <w:hideMark/>
          </w:tcPr>
          <w:p w14:paraId="613CC552"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736AC8C8"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960" w:type="dxa"/>
            <w:hideMark/>
          </w:tcPr>
          <w:p w14:paraId="62A5935F" w14:textId="1D709FF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xml:space="preserve">enfermedad respiratoria aguda/diabetes </w:t>
            </w:r>
            <w:r w:rsidR="00434BA9" w:rsidRPr="00775AE5">
              <w:rPr>
                <w:rFonts w:ascii="Arial" w:hAnsi="Arial" w:cs="Arial"/>
                <w:color w:val="000000"/>
                <w:sz w:val="22"/>
                <w:szCs w:val="22"/>
                <w:lang w:eastAsia="es-EC"/>
              </w:rPr>
              <w:t>mellitus</w:t>
            </w:r>
            <w:r w:rsidRPr="00775AE5">
              <w:rPr>
                <w:rFonts w:ascii="Arial" w:hAnsi="Arial" w:cs="Arial"/>
                <w:color w:val="000000"/>
                <w:sz w:val="22"/>
                <w:szCs w:val="22"/>
                <w:lang w:eastAsia="es-EC"/>
              </w:rPr>
              <w:t xml:space="preserve"> no insulinodependiente</w:t>
            </w:r>
          </w:p>
        </w:tc>
        <w:tc>
          <w:tcPr>
            <w:tcW w:w="1200" w:type="dxa"/>
            <w:hideMark/>
          </w:tcPr>
          <w:p w14:paraId="051380F4"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1PPL</w:t>
            </w:r>
          </w:p>
        </w:tc>
      </w:tr>
      <w:tr w:rsidR="009E0A9E" w:rsidRPr="00775AE5" w14:paraId="7228A819" w14:textId="77777777" w:rsidTr="00525437">
        <w:trPr>
          <w:trHeight w:val="630"/>
        </w:trPr>
        <w:tc>
          <w:tcPr>
            <w:tcW w:w="2120" w:type="dxa"/>
            <w:hideMark/>
          </w:tcPr>
          <w:p w14:paraId="2B07454B"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CRS Regional Turi</w:t>
            </w:r>
          </w:p>
        </w:tc>
        <w:tc>
          <w:tcPr>
            <w:tcW w:w="1420" w:type="dxa"/>
            <w:hideMark/>
          </w:tcPr>
          <w:p w14:paraId="50FA0817"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23153CE3"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960" w:type="dxa"/>
            <w:hideMark/>
          </w:tcPr>
          <w:p w14:paraId="00CDA4D7"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aparente suicidio/ en investigación</w:t>
            </w:r>
          </w:p>
        </w:tc>
        <w:tc>
          <w:tcPr>
            <w:tcW w:w="1200" w:type="dxa"/>
            <w:hideMark/>
          </w:tcPr>
          <w:p w14:paraId="6C396D72"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r>
      <w:tr w:rsidR="009E0A9E" w:rsidRPr="00775AE5" w14:paraId="3FDA3F33" w14:textId="77777777" w:rsidTr="00525437">
        <w:trPr>
          <w:trHeight w:val="1260"/>
        </w:trPr>
        <w:tc>
          <w:tcPr>
            <w:tcW w:w="2120" w:type="dxa"/>
            <w:vMerge w:val="restart"/>
            <w:hideMark/>
          </w:tcPr>
          <w:p w14:paraId="1CC5ABDD" w14:textId="410FB593"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xml:space="preserve">CRS </w:t>
            </w:r>
            <w:r w:rsidR="00434BA9" w:rsidRPr="00775AE5">
              <w:rPr>
                <w:rFonts w:ascii="Arial" w:hAnsi="Arial" w:cs="Arial"/>
                <w:color w:val="000000"/>
                <w:sz w:val="22"/>
                <w:szCs w:val="22"/>
                <w:lang w:eastAsia="es-EC"/>
              </w:rPr>
              <w:t>Regional Cotopaxi</w:t>
            </w:r>
          </w:p>
        </w:tc>
        <w:tc>
          <w:tcPr>
            <w:tcW w:w="1420" w:type="dxa"/>
            <w:hideMark/>
          </w:tcPr>
          <w:p w14:paraId="665EFC99"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660" w:type="dxa"/>
            <w:hideMark/>
          </w:tcPr>
          <w:p w14:paraId="650D6614"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960" w:type="dxa"/>
            <w:hideMark/>
          </w:tcPr>
          <w:p w14:paraId="4E11E7B4" w14:textId="5A63759F"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xml:space="preserve">paro cardiorrespiratorio por </w:t>
            </w:r>
            <w:r w:rsidR="00434BA9" w:rsidRPr="00775AE5">
              <w:rPr>
                <w:rFonts w:ascii="Arial" w:hAnsi="Arial" w:cs="Arial"/>
                <w:color w:val="000000"/>
                <w:sz w:val="22"/>
                <w:szCs w:val="22"/>
                <w:lang w:eastAsia="es-EC"/>
              </w:rPr>
              <w:t>enfermedad pulmonar</w:t>
            </w:r>
          </w:p>
        </w:tc>
        <w:tc>
          <w:tcPr>
            <w:tcW w:w="1200" w:type="dxa"/>
            <w:vMerge w:val="restart"/>
            <w:hideMark/>
          </w:tcPr>
          <w:p w14:paraId="1FF2C773"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3 PPL</w:t>
            </w:r>
          </w:p>
        </w:tc>
      </w:tr>
      <w:tr w:rsidR="009E0A9E" w:rsidRPr="00775AE5" w14:paraId="0298F2AA" w14:textId="77777777" w:rsidTr="00525437">
        <w:trPr>
          <w:trHeight w:val="315"/>
        </w:trPr>
        <w:tc>
          <w:tcPr>
            <w:tcW w:w="2120" w:type="dxa"/>
            <w:vMerge/>
            <w:hideMark/>
          </w:tcPr>
          <w:p w14:paraId="32B758C0" w14:textId="77777777" w:rsidR="009E0A9E" w:rsidRPr="00775AE5" w:rsidRDefault="009E0A9E" w:rsidP="00525437">
            <w:pPr>
              <w:rPr>
                <w:rFonts w:ascii="Arial" w:hAnsi="Arial" w:cs="Arial"/>
                <w:color w:val="000000"/>
                <w:sz w:val="22"/>
                <w:szCs w:val="22"/>
                <w:lang w:eastAsia="es-EC"/>
              </w:rPr>
            </w:pPr>
          </w:p>
        </w:tc>
        <w:tc>
          <w:tcPr>
            <w:tcW w:w="1420" w:type="dxa"/>
            <w:hideMark/>
          </w:tcPr>
          <w:p w14:paraId="3ED493B1"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660" w:type="dxa"/>
            <w:hideMark/>
          </w:tcPr>
          <w:p w14:paraId="7C32D440"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960" w:type="dxa"/>
            <w:hideMark/>
          </w:tcPr>
          <w:p w14:paraId="45058B1E"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ulcera duodenal</w:t>
            </w:r>
          </w:p>
        </w:tc>
        <w:tc>
          <w:tcPr>
            <w:tcW w:w="1200" w:type="dxa"/>
            <w:vMerge/>
            <w:hideMark/>
          </w:tcPr>
          <w:p w14:paraId="00B6DF16" w14:textId="77777777" w:rsidR="009E0A9E" w:rsidRPr="00775AE5" w:rsidRDefault="009E0A9E" w:rsidP="00525437">
            <w:pPr>
              <w:rPr>
                <w:rFonts w:ascii="Arial" w:hAnsi="Arial" w:cs="Arial"/>
                <w:color w:val="000000"/>
                <w:sz w:val="22"/>
                <w:szCs w:val="22"/>
                <w:lang w:eastAsia="es-EC"/>
              </w:rPr>
            </w:pPr>
          </w:p>
        </w:tc>
      </w:tr>
      <w:tr w:rsidR="009E0A9E" w:rsidRPr="00775AE5" w14:paraId="7B96825D" w14:textId="77777777" w:rsidTr="00525437">
        <w:trPr>
          <w:trHeight w:val="630"/>
        </w:trPr>
        <w:tc>
          <w:tcPr>
            <w:tcW w:w="2120" w:type="dxa"/>
            <w:vMerge/>
            <w:hideMark/>
          </w:tcPr>
          <w:p w14:paraId="40A2028E" w14:textId="77777777" w:rsidR="009E0A9E" w:rsidRPr="00775AE5" w:rsidRDefault="009E0A9E" w:rsidP="00525437">
            <w:pPr>
              <w:rPr>
                <w:rFonts w:ascii="Arial" w:hAnsi="Arial" w:cs="Arial"/>
                <w:color w:val="000000"/>
                <w:sz w:val="22"/>
                <w:szCs w:val="22"/>
                <w:lang w:eastAsia="es-EC"/>
              </w:rPr>
            </w:pPr>
          </w:p>
        </w:tc>
        <w:tc>
          <w:tcPr>
            <w:tcW w:w="1420" w:type="dxa"/>
            <w:hideMark/>
          </w:tcPr>
          <w:p w14:paraId="2248D9AA"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660" w:type="dxa"/>
            <w:hideMark/>
          </w:tcPr>
          <w:p w14:paraId="5FD31257"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960" w:type="dxa"/>
            <w:hideMark/>
          </w:tcPr>
          <w:p w14:paraId="3F738DAA"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tumor maligno encéfalo</w:t>
            </w:r>
          </w:p>
        </w:tc>
        <w:tc>
          <w:tcPr>
            <w:tcW w:w="1200" w:type="dxa"/>
            <w:vMerge/>
            <w:hideMark/>
          </w:tcPr>
          <w:p w14:paraId="4F0E887A" w14:textId="77777777" w:rsidR="009E0A9E" w:rsidRPr="00775AE5" w:rsidRDefault="009E0A9E" w:rsidP="00525437">
            <w:pPr>
              <w:rPr>
                <w:rFonts w:ascii="Arial" w:hAnsi="Arial" w:cs="Arial"/>
                <w:color w:val="000000"/>
                <w:sz w:val="22"/>
                <w:szCs w:val="22"/>
                <w:lang w:eastAsia="es-EC"/>
              </w:rPr>
            </w:pPr>
          </w:p>
        </w:tc>
      </w:tr>
      <w:tr w:rsidR="009E0A9E" w:rsidRPr="00775AE5" w14:paraId="0DE874ED" w14:textId="77777777" w:rsidTr="00525437">
        <w:trPr>
          <w:trHeight w:val="315"/>
        </w:trPr>
        <w:tc>
          <w:tcPr>
            <w:tcW w:w="2120" w:type="dxa"/>
            <w:hideMark/>
          </w:tcPr>
          <w:p w14:paraId="58142604"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CRS Loja</w:t>
            </w:r>
          </w:p>
        </w:tc>
        <w:tc>
          <w:tcPr>
            <w:tcW w:w="1420" w:type="dxa"/>
            <w:hideMark/>
          </w:tcPr>
          <w:p w14:paraId="18034797"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660" w:type="dxa"/>
            <w:hideMark/>
          </w:tcPr>
          <w:p w14:paraId="50DE210E"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960" w:type="dxa"/>
            <w:hideMark/>
          </w:tcPr>
          <w:p w14:paraId="74A6EE93"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suicidio</w:t>
            </w:r>
          </w:p>
        </w:tc>
        <w:tc>
          <w:tcPr>
            <w:tcW w:w="1200" w:type="dxa"/>
            <w:hideMark/>
          </w:tcPr>
          <w:p w14:paraId="431B6B19"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r>
      <w:tr w:rsidR="009E0A9E" w:rsidRPr="00775AE5" w14:paraId="0B54781E" w14:textId="77777777" w:rsidTr="00525437">
        <w:trPr>
          <w:trHeight w:val="630"/>
        </w:trPr>
        <w:tc>
          <w:tcPr>
            <w:tcW w:w="2120" w:type="dxa"/>
            <w:hideMark/>
          </w:tcPr>
          <w:p w14:paraId="29DA6F95"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CPPL Guayaquil</w:t>
            </w:r>
          </w:p>
        </w:tc>
        <w:tc>
          <w:tcPr>
            <w:tcW w:w="1420" w:type="dxa"/>
            <w:hideMark/>
          </w:tcPr>
          <w:p w14:paraId="3BF7658B"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2 PPL</w:t>
            </w:r>
          </w:p>
        </w:tc>
        <w:tc>
          <w:tcPr>
            <w:tcW w:w="1660" w:type="dxa"/>
            <w:hideMark/>
          </w:tcPr>
          <w:p w14:paraId="1CFF6B1A"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960" w:type="dxa"/>
            <w:hideMark/>
          </w:tcPr>
          <w:p w14:paraId="0DBC839D"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causas por confirmar</w:t>
            </w:r>
          </w:p>
        </w:tc>
        <w:tc>
          <w:tcPr>
            <w:tcW w:w="1200" w:type="dxa"/>
            <w:hideMark/>
          </w:tcPr>
          <w:p w14:paraId="1411D63C"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2 PPL</w:t>
            </w:r>
          </w:p>
        </w:tc>
      </w:tr>
      <w:tr w:rsidR="009E0A9E" w:rsidRPr="00775AE5" w14:paraId="34695850" w14:textId="77777777" w:rsidTr="00525437">
        <w:trPr>
          <w:trHeight w:val="1575"/>
        </w:trPr>
        <w:tc>
          <w:tcPr>
            <w:tcW w:w="2120" w:type="dxa"/>
            <w:hideMark/>
          </w:tcPr>
          <w:p w14:paraId="4290D2D7"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CRS Jipijapa</w:t>
            </w:r>
          </w:p>
        </w:tc>
        <w:tc>
          <w:tcPr>
            <w:tcW w:w="1420" w:type="dxa"/>
            <w:hideMark/>
          </w:tcPr>
          <w:p w14:paraId="48F567EF"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09A10FE6"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960" w:type="dxa"/>
            <w:hideMark/>
          </w:tcPr>
          <w:p w14:paraId="02EB9664"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insuficiencia cardiaca congénita, cardiopatía isquemia e hipertensión arterial</w:t>
            </w:r>
          </w:p>
        </w:tc>
        <w:tc>
          <w:tcPr>
            <w:tcW w:w="1200" w:type="dxa"/>
            <w:hideMark/>
          </w:tcPr>
          <w:p w14:paraId="22F537C5"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r>
      <w:tr w:rsidR="009E0A9E" w:rsidRPr="00775AE5" w14:paraId="17FC5419" w14:textId="77777777" w:rsidTr="00525437">
        <w:trPr>
          <w:trHeight w:val="630"/>
        </w:trPr>
        <w:tc>
          <w:tcPr>
            <w:tcW w:w="2120" w:type="dxa"/>
            <w:vMerge w:val="restart"/>
            <w:hideMark/>
          </w:tcPr>
          <w:p w14:paraId="486DB414"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xml:space="preserve">CRS El Rodeo </w:t>
            </w:r>
          </w:p>
        </w:tc>
        <w:tc>
          <w:tcPr>
            <w:tcW w:w="1420" w:type="dxa"/>
            <w:hideMark/>
          </w:tcPr>
          <w:p w14:paraId="33A233E4"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70AD7663"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2 PPL</w:t>
            </w:r>
          </w:p>
        </w:tc>
        <w:tc>
          <w:tcPr>
            <w:tcW w:w="1960" w:type="dxa"/>
            <w:hideMark/>
          </w:tcPr>
          <w:p w14:paraId="49A39585"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xml:space="preserve">insuficiencia respiratoria </w:t>
            </w:r>
          </w:p>
        </w:tc>
        <w:tc>
          <w:tcPr>
            <w:tcW w:w="1200" w:type="dxa"/>
            <w:vMerge w:val="restart"/>
            <w:hideMark/>
          </w:tcPr>
          <w:p w14:paraId="23ABFC57"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6 PPL</w:t>
            </w:r>
          </w:p>
        </w:tc>
      </w:tr>
      <w:tr w:rsidR="009E0A9E" w:rsidRPr="00775AE5" w14:paraId="5FAA9200" w14:textId="77777777" w:rsidTr="00525437">
        <w:trPr>
          <w:trHeight w:val="315"/>
        </w:trPr>
        <w:tc>
          <w:tcPr>
            <w:tcW w:w="2120" w:type="dxa"/>
            <w:vMerge/>
            <w:hideMark/>
          </w:tcPr>
          <w:p w14:paraId="4633094A" w14:textId="77777777" w:rsidR="009E0A9E" w:rsidRPr="00775AE5" w:rsidRDefault="009E0A9E" w:rsidP="00525437">
            <w:pPr>
              <w:rPr>
                <w:rFonts w:ascii="Arial" w:hAnsi="Arial" w:cs="Arial"/>
                <w:color w:val="000000"/>
                <w:sz w:val="22"/>
                <w:szCs w:val="22"/>
                <w:lang w:eastAsia="es-EC"/>
              </w:rPr>
            </w:pPr>
          </w:p>
        </w:tc>
        <w:tc>
          <w:tcPr>
            <w:tcW w:w="1420" w:type="dxa"/>
            <w:hideMark/>
          </w:tcPr>
          <w:p w14:paraId="2EF83D4A"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04541ED2"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2 PPL</w:t>
            </w:r>
          </w:p>
        </w:tc>
        <w:tc>
          <w:tcPr>
            <w:tcW w:w="1960" w:type="dxa"/>
            <w:hideMark/>
          </w:tcPr>
          <w:p w14:paraId="2A2F1716"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Infarto</w:t>
            </w:r>
          </w:p>
        </w:tc>
        <w:tc>
          <w:tcPr>
            <w:tcW w:w="1200" w:type="dxa"/>
            <w:vMerge/>
            <w:hideMark/>
          </w:tcPr>
          <w:p w14:paraId="6B9574B1" w14:textId="77777777" w:rsidR="009E0A9E" w:rsidRPr="00775AE5" w:rsidRDefault="009E0A9E" w:rsidP="00525437">
            <w:pPr>
              <w:rPr>
                <w:rFonts w:ascii="Arial" w:hAnsi="Arial" w:cs="Arial"/>
                <w:color w:val="000000"/>
                <w:sz w:val="22"/>
                <w:szCs w:val="22"/>
                <w:lang w:eastAsia="es-EC"/>
              </w:rPr>
            </w:pPr>
          </w:p>
        </w:tc>
      </w:tr>
      <w:tr w:rsidR="009E0A9E" w:rsidRPr="00775AE5" w14:paraId="578A0C56" w14:textId="77777777" w:rsidTr="00525437">
        <w:trPr>
          <w:trHeight w:val="630"/>
        </w:trPr>
        <w:tc>
          <w:tcPr>
            <w:tcW w:w="2120" w:type="dxa"/>
            <w:vMerge/>
            <w:hideMark/>
          </w:tcPr>
          <w:p w14:paraId="2DAFF2D3" w14:textId="77777777" w:rsidR="009E0A9E" w:rsidRPr="00775AE5" w:rsidRDefault="009E0A9E" w:rsidP="00525437">
            <w:pPr>
              <w:rPr>
                <w:rFonts w:ascii="Arial" w:hAnsi="Arial" w:cs="Arial"/>
                <w:color w:val="000000"/>
                <w:sz w:val="22"/>
                <w:szCs w:val="22"/>
                <w:lang w:eastAsia="es-EC"/>
              </w:rPr>
            </w:pPr>
          </w:p>
        </w:tc>
        <w:tc>
          <w:tcPr>
            <w:tcW w:w="1420" w:type="dxa"/>
            <w:hideMark/>
          </w:tcPr>
          <w:p w14:paraId="520366E9"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678FE5D0"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960" w:type="dxa"/>
            <w:hideMark/>
          </w:tcPr>
          <w:p w14:paraId="16704F5B"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xml:space="preserve">insuficiencia cardiaca  </w:t>
            </w:r>
          </w:p>
        </w:tc>
        <w:tc>
          <w:tcPr>
            <w:tcW w:w="1200" w:type="dxa"/>
            <w:vMerge/>
            <w:hideMark/>
          </w:tcPr>
          <w:p w14:paraId="6DA11406" w14:textId="77777777" w:rsidR="009E0A9E" w:rsidRPr="00775AE5" w:rsidRDefault="009E0A9E" w:rsidP="00525437">
            <w:pPr>
              <w:rPr>
                <w:rFonts w:ascii="Arial" w:hAnsi="Arial" w:cs="Arial"/>
                <w:color w:val="000000"/>
                <w:sz w:val="22"/>
                <w:szCs w:val="22"/>
                <w:lang w:eastAsia="es-EC"/>
              </w:rPr>
            </w:pPr>
          </w:p>
        </w:tc>
      </w:tr>
      <w:tr w:rsidR="009E0A9E" w:rsidRPr="00775AE5" w14:paraId="5CF653B1" w14:textId="77777777" w:rsidTr="00525437">
        <w:trPr>
          <w:trHeight w:val="945"/>
        </w:trPr>
        <w:tc>
          <w:tcPr>
            <w:tcW w:w="2120" w:type="dxa"/>
            <w:vMerge/>
            <w:hideMark/>
          </w:tcPr>
          <w:p w14:paraId="66081748" w14:textId="77777777" w:rsidR="009E0A9E" w:rsidRPr="00775AE5" w:rsidRDefault="009E0A9E" w:rsidP="00525437">
            <w:pPr>
              <w:rPr>
                <w:rFonts w:ascii="Arial" w:hAnsi="Arial" w:cs="Arial"/>
                <w:color w:val="000000"/>
                <w:sz w:val="22"/>
                <w:szCs w:val="22"/>
                <w:lang w:eastAsia="es-EC"/>
              </w:rPr>
            </w:pPr>
          </w:p>
        </w:tc>
        <w:tc>
          <w:tcPr>
            <w:tcW w:w="1420" w:type="dxa"/>
            <w:hideMark/>
          </w:tcPr>
          <w:p w14:paraId="5F720F67"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35C5D1FD"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960" w:type="dxa"/>
            <w:hideMark/>
          </w:tcPr>
          <w:p w14:paraId="01159C26" w14:textId="1A23B58B"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xml:space="preserve">posible </w:t>
            </w:r>
            <w:r w:rsidR="00434BA9" w:rsidRPr="00775AE5">
              <w:rPr>
                <w:rFonts w:ascii="Arial" w:hAnsi="Arial" w:cs="Arial"/>
                <w:color w:val="000000"/>
                <w:sz w:val="22"/>
                <w:szCs w:val="22"/>
                <w:lang w:eastAsia="es-EC"/>
              </w:rPr>
              <w:t>COVID</w:t>
            </w:r>
            <w:r w:rsidRPr="00775AE5">
              <w:rPr>
                <w:rFonts w:ascii="Arial" w:hAnsi="Arial" w:cs="Arial"/>
                <w:color w:val="000000"/>
                <w:sz w:val="22"/>
                <w:szCs w:val="22"/>
                <w:lang w:eastAsia="es-EC"/>
              </w:rPr>
              <w:t xml:space="preserve"> 19/ no oficializado por MSP</w:t>
            </w:r>
          </w:p>
        </w:tc>
        <w:tc>
          <w:tcPr>
            <w:tcW w:w="1200" w:type="dxa"/>
            <w:vMerge/>
            <w:hideMark/>
          </w:tcPr>
          <w:p w14:paraId="35140AFD" w14:textId="77777777" w:rsidR="009E0A9E" w:rsidRPr="00775AE5" w:rsidRDefault="009E0A9E" w:rsidP="00525437">
            <w:pPr>
              <w:rPr>
                <w:rFonts w:ascii="Arial" w:hAnsi="Arial" w:cs="Arial"/>
                <w:color w:val="000000"/>
                <w:sz w:val="22"/>
                <w:szCs w:val="22"/>
                <w:lang w:eastAsia="es-EC"/>
              </w:rPr>
            </w:pPr>
          </w:p>
        </w:tc>
      </w:tr>
      <w:tr w:rsidR="009E0A9E" w:rsidRPr="00775AE5" w14:paraId="5D679CAB" w14:textId="77777777" w:rsidTr="00525437">
        <w:trPr>
          <w:trHeight w:val="600"/>
        </w:trPr>
        <w:tc>
          <w:tcPr>
            <w:tcW w:w="2120" w:type="dxa"/>
            <w:vMerge w:val="restart"/>
            <w:hideMark/>
          </w:tcPr>
          <w:p w14:paraId="70F59317"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CRS Femenino Guayaquil</w:t>
            </w:r>
          </w:p>
        </w:tc>
        <w:tc>
          <w:tcPr>
            <w:tcW w:w="1420" w:type="dxa"/>
            <w:hideMark/>
          </w:tcPr>
          <w:p w14:paraId="1818BD2A"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081DA5A4"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960" w:type="dxa"/>
            <w:hideMark/>
          </w:tcPr>
          <w:p w14:paraId="74682C96"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neumonía atípica</w:t>
            </w:r>
          </w:p>
        </w:tc>
        <w:tc>
          <w:tcPr>
            <w:tcW w:w="1200" w:type="dxa"/>
            <w:vMerge w:val="restart"/>
            <w:hideMark/>
          </w:tcPr>
          <w:p w14:paraId="5B83768B"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xml:space="preserve">2 PPL </w:t>
            </w:r>
          </w:p>
        </w:tc>
      </w:tr>
      <w:tr w:rsidR="009E0A9E" w:rsidRPr="00775AE5" w14:paraId="309B8E98" w14:textId="77777777" w:rsidTr="00525437">
        <w:trPr>
          <w:trHeight w:val="630"/>
        </w:trPr>
        <w:tc>
          <w:tcPr>
            <w:tcW w:w="2120" w:type="dxa"/>
            <w:vMerge/>
            <w:hideMark/>
          </w:tcPr>
          <w:p w14:paraId="6AF234B8" w14:textId="77777777" w:rsidR="009E0A9E" w:rsidRPr="00775AE5" w:rsidRDefault="009E0A9E" w:rsidP="00525437">
            <w:pPr>
              <w:rPr>
                <w:rFonts w:ascii="Arial" w:hAnsi="Arial" w:cs="Arial"/>
                <w:color w:val="000000"/>
                <w:sz w:val="22"/>
                <w:szCs w:val="22"/>
                <w:lang w:eastAsia="es-EC"/>
              </w:rPr>
            </w:pPr>
          </w:p>
        </w:tc>
        <w:tc>
          <w:tcPr>
            <w:tcW w:w="1420" w:type="dxa"/>
            <w:hideMark/>
          </w:tcPr>
          <w:p w14:paraId="68DD668F"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10B47590"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960" w:type="dxa"/>
            <w:hideMark/>
          </w:tcPr>
          <w:p w14:paraId="760EC138"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parada cardiorrespiratoria</w:t>
            </w:r>
          </w:p>
        </w:tc>
        <w:tc>
          <w:tcPr>
            <w:tcW w:w="1200" w:type="dxa"/>
            <w:vMerge/>
            <w:hideMark/>
          </w:tcPr>
          <w:p w14:paraId="2F176C1E" w14:textId="77777777" w:rsidR="009E0A9E" w:rsidRPr="00775AE5" w:rsidRDefault="009E0A9E" w:rsidP="00525437">
            <w:pPr>
              <w:rPr>
                <w:rFonts w:ascii="Arial" w:hAnsi="Arial" w:cs="Arial"/>
                <w:color w:val="000000"/>
                <w:sz w:val="22"/>
                <w:szCs w:val="22"/>
                <w:lang w:eastAsia="es-EC"/>
              </w:rPr>
            </w:pPr>
          </w:p>
        </w:tc>
      </w:tr>
      <w:tr w:rsidR="009E0A9E" w:rsidRPr="00775AE5" w14:paraId="49699209" w14:textId="77777777" w:rsidTr="00525437">
        <w:trPr>
          <w:trHeight w:val="630"/>
        </w:trPr>
        <w:tc>
          <w:tcPr>
            <w:tcW w:w="2120" w:type="dxa"/>
            <w:hideMark/>
          </w:tcPr>
          <w:p w14:paraId="5ABA32EF"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CRS Machala</w:t>
            </w:r>
          </w:p>
        </w:tc>
        <w:tc>
          <w:tcPr>
            <w:tcW w:w="1420" w:type="dxa"/>
            <w:hideMark/>
          </w:tcPr>
          <w:p w14:paraId="3440F33C"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w:t>
            </w:r>
          </w:p>
        </w:tc>
        <w:tc>
          <w:tcPr>
            <w:tcW w:w="1660" w:type="dxa"/>
            <w:hideMark/>
          </w:tcPr>
          <w:p w14:paraId="3AC01AAA"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1 PPL</w:t>
            </w:r>
          </w:p>
        </w:tc>
        <w:tc>
          <w:tcPr>
            <w:tcW w:w="1960" w:type="dxa"/>
            <w:hideMark/>
          </w:tcPr>
          <w:p w14:paraId="76CBCBBD"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paro cardio respiratorio</w:t>
            </w:r>
          </w:p>
        </w:tc>
        <w:tc>
          <w:tcPr>
            <w:tcW w:w="1200" w:type="dxa"/>
            <w:hideMark/>
          </w:tcPr>
          <w:p w14:paraId="035405A7" w14:textId="77777777" w:rsidR="009E0A9E" w:rsidRPr="00775AE5" w:rsidRDefault="009E0A9E" w:rsidP="00525437">
            <w:pPr>
              <w:rPr>
                <w:rFonts w:ascii="Arial" w:hAnsi="Arial" w:cs="Arial"/>
                <w:color w:val="000000"/>
                <w:sz w:val="22"/>
                <w:szCs w:val="22"/>
                <w:lang w:eastAsia="es-EC"/>
              </w:rPr>
            </w:pPr>
            <w:r w:rsidRPr="00775AE5">
              <w:rPr>
                <w:rFonts w:ascii="Arial" w:hAnsi="Arial" w:cs="Arial"/>
                <w:color w:val="000000"/>
                <w:sz w:val="22"/>
                <w:szCs w:val="22"/>
                <w:lang w:eastAsia="es-EC"/>
              </w:rPr>
              <w:t xml:space="preserve">1 PPL </w:t>
            </w:r>
          </w:p>
        </w:tc>
      </w:tr>
    </w:tbl>
    <w:p w14:paraId="72145037" w14:textId="77777777" w:rsidR="009E0A9E" w:rsidRPr="00775AE5" w:rsidRDefault="009E0A9E" w:rsidP="009E0A9E">
      <w:pPr>
        <w:pStyle w:val="ListParagraph"/>
        <w:ind w:left="-349" w:firstLine="1057"/>
        <w:rPr>
          <w:rFonts w:ascii="Arial" w:hAnsi="Arial" w:cs="Arial"/>
          <w:sz w:val="22"/>
          <w:szCs w:val="22"/>
          <w:lang w:eastAsia="es-EC"/>
        </w:rPr>
      </w:pPr>
      <w:r w:rsidRPr="00775AE5">
        <w:rPr>
          <w:rFonts w:ascii="Arial" w:hAnsi="Arial" w:cs="Arial"/>
          <w:sz w:val="22"/>
          <w:szCs w:val="22"/>
          <w:lang w:eastAsia="es-EC"/>
        </w:rPr>
        <w:t>Elaborado por: MNPT (2020)</w:t>
      </w:r>
    </w:p>
    <w:p w14:paraId="58502646" w14:textId="2042E741" w:rsidR="009E0A9E" w:rsidRPr="00793C8F" w:rsidRDefault="009E0A9E" w:rsidP="00793C8F">
      <w:pPr>
        <w:pStyle w:val="ListParagraph"/>
        <w:ind w:left="-349" w:firstLine="1057"/>
        <w:rPr>
          <w:rFonts w:ascii="Arial" w:hAnsi="Arial" w:cs="Arial"/>
          <w:sz w:val="22"/>
          <w:szCs w:val="22"/>
          <w:lang w:eastAsia="es-EC"/>
        </w:rPr>
      </w:pPr>
      <w:r w:rsidRPr="00775AE5">
        <w:rPr>
          <w:rFonts w:ascii="Arial" w:hAnsi="Arial" w:cs="Arial"/>
          <w:sz w:val="22"/>
          <w:szCs w:val="22"/>
          <w:lang w:eastAsia="es-EC"/>
        </w:rPr>
        <w:t>Fuente: SNAI (corte 22 de Abril, 2020)</w:t>
      </w:r>
    </w:p>
    <w:p w14:paraId="15D92D4A"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7AB2BE6" w14:textId="77777777" w:rsidR="009E0A9E" w:rsidRPr="00775AE5" w:rsidRDefault="009E0A9E" w:rsidP="00640CCA">
      <w:pPr>
        <w:pStyle w:val="Heading3"/>
        <w:rPr>
          <w:rFonts w:ascii="Arial" w:hAnsi="Arial" w:cs="Arial"/>
          <w:sz w:val="22"/>
          <w:szCs w:val="22"/>
          <w:lang w:val="es-ES"/>
        </w:rPr>
      </w:pPr>
      <w:bookmarkStart w:id="38" w:name="_Toc168907358"/>
      <w:r w:rsidRPr="00775AE5">
        <w:rPr>
          <w:rFonts w:ascii="Arial" w:eastAsia="Calibri" w:hAnsi="Arial" w:cs="Arial"/>
          <w:sz w:val="22"/>
          <w:szCs w:val="22"/>
        </w:rPr>
        <w:t xml:space="preserve">1.8. Artículo 12 y 13 (Párrafo 28 </w:t>
      </w:r>
      <w:r w:rsidRPr="00775AE5">
        <w:rPr>
          <w:rFonts w:ascii="Arial" w:hAnsi="Arial" w:cs="Arial"/>
          <w:sz w:val="22"/>
          <w:szCs w:val="22"/>
          <w:lang w:val="es-ES"/>
        </w:rPr>
        <w:t>de la Lista de Cuestiones).</w:t>
      </w:r>
      <w:bookmarkEnd w:id="38"/>
      <w:r w:rsidRPr="00775AE5">
        <w:rPr>
          <w:rFonts w:ascii="Arial" w:hAnsi="Arial" w:cs="Arial"/>
          <w:sz w:val="22"/>
          <w:szCs w:val="22"/>
          <w:lang w:val="es-ES"/>
        </w:rPr>
        <w:t xml:space="preserve"> </w:t>
      </w:r>
    </w:p>
    <w:p w14:paraId="0CC0035B" w14:textId="77777777" w:rsidR="009E0A9E" w:rsidRPr="00775AE5" w:rsidRDefault="009E0A9E" w:rsidP="009E0A9E">
      <w:pPr>
        <w:rPr>
          <w:rFonts w:ascii="Arial" w:hAnsi="Arial" w:cs="Arial"/>
          <w:sz w:val="22"/>
          <w:szCs w:val="22"/>
          <w:lang w:val="es-ES"/>
        </w:rPr>
      </w:pPr>
    </w:p>
    <w:p w14:paraId="3D4D63A5" w14:textId="77777777" w:rsidR="009E0A9E" w:rsidRPr="00775AE5" w:rsidRDefault="009E0A9E" w:rsidP="009E0A9E">
      <w:pPr>
        <w:pStyle w:val="Heading4"/>
        <w:spacing w:before="0" w:after="0" w:line="276" w:lineRule="auto"/>
        <w:rPr>
          <w:rFonts w:ascii="Arial" w:hAnsi="Arial" w:cs="Arial"/>
          <w:i w:val="0"/>
          <w:sz w:val="22"/>
          <w:szCs w:val="22"/>
          <w:lang w:val="es-ES"/>
        </w:rPr>
      </w:pPr>
      <w:r w:rsidRPr="00775AE5">
        <w:rPr>
          <w:rFonts w:ascii="Arial" w:hAnsi="Arial" w:cs="Arial"/>
          <w:i w:val="0"/>
          <w:sz w:val="22"/>
          <w:szCs w:val="22"/>
          <w:lang w:val="es-ES"/>
        </w:rPr>
        <w:t>1.8.1. Dificultades para el ingreso del MNPT a los lugares de privación de libertad</w:t>
      </w:r>
    </w:p>
    <w:p w14:paraId="5CF48383" w14:textId="77777777" w:rsidR="009E0A9E" w:rsidRPr="00775AE5" w:rsidRDefault="009E0A9E" w:rsidP="009E0A9E">
      <w:pPr>
        <w:rPr>
          <w:rFonts w:ascii="Arial" w:hAnsi="Arial" w:cs="Arial"/>
          <w:sz w:val="22"/>
          <w:szCs w:val="22"/>
          <w:lang w:val="es-ES"/>
        </w:rPr>
      </w:pPr>
    </w:p>
    <w:p w14:paraId="2B6618E0" w14:textId="5DBB2E23"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Desde el año 2018 no se han presentado dificultades en la obtención información en las </w:t>
      </w:r>
      <w:r w:rsidR="00434BA9" w:rsidRPr="00775AE5">
        <w:rPr>
          <w:rFonts w:ascii="Arial" w:eastAsia="DejaVu Sans" w:hAnsi="Arial" w:cs="Arial"/>
          <w:sz w:val="22"/>
          <w:szCs w:val="22"/>
          <w:lang w:val="es-VE" w:eastAsia="es-EC"/>
        </w:rPr>
        <w:t>visitas a</w:t>
      </w:r>
      <w:r w:rsidRPr="00775AE5">
        <w:rPr>
          <w:rFonts w:ascii="Arial" w:eastAsia="DejaVu Sans" w:hAnsi="Arial" w:cs="Arial"/>
          <w:sz w:val="22"/>
          <w:szCs w:val="22"/>
          <w:lang w:val="es-VE" w:eastAsia="es-EC"/>
        </w:rPr>
        <w:t xml:space="preserve"> los centros que forman parte del Sistema de Rehabilitación Social. Además, luego de varias gestiones con el SNAI, a través de Oficio No. SNAI-STRS-2019-0223-O, de 31 de octubre de 2019, finalmente se consiguió se autorice el ingreso de cámaras fotográficas, grabadoras de voz, e intercomunicadores portátiles, a fin de poder registrar los hallazgos encontrados por el MNPT durante las visitas a los lugares de privación de libertad. </w:t>
      </w:r>
    </w:p>
    <w:p w14:paraId="06D50C8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364DCDD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Situación contraria sucedió con centros distintos a los penitenciarios, pues no se permitió el ingreso al MNPT a la Casa Hogar Inés Chambers de Guayaquil se requirió el envío de una comunicación al Ministerio de Inclusión Económica y Social, para que se autorice el ingreso al mismo; ni tampoco se permitió el ingreso al centro de tratamiento de adicciones “12 Pasos” de la ciudad de Cuenca. Dichas situaciones fueron comunicadas a los ministerios a cargo de los mismos, recordando cual es el mandato del MNPT, y reiterando la necesidad de que el mismo debe ser comunicado a todos los centros a fin de que el mecanismo no tenga problemas para realizar su trabajo en los centros de privación de libertad.</w:t>
      </w:r>
    </w:p>
    <w:p w14:paraId="61DE792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EDBF63D" w14:textId="77777777" w:rsidR="009E0A9E" w:rsidRPr="00775AE5" w:rsidRDefault="009E0A9E" w:rsidP="009E0A9E">
      <w:pPr>
        <w:pStyle w:val="Heading4"/>
        <w:spacing w:before="0" w:after="0" w:line="276" w:lineRule="auto"/>
        <w:rPr>
          <w:rFonts w:ascii="Arial" w:hAnsi="Arial" w:cs="Arial"/>
          <w:i w:val="0"/>
          <w:sz w:val="22"/>
          <w:szCs w:val="22"/>
          <w:lang w:val="es-ES"/>
        </w:rPr>
      </w:pPr>
      <w:r w:rsidRPr="00775AE5">
        <w:rPr>
          <w:rFonts w:ascii="Arial" w:hAnsi="Arial" w:cs="Arial"/>
          <w:i w:val="0"/>
          <w:sz w:val="22"/>
          <w:szCs w:val="22"/>
          <w:lang w:val="es-ES"/>
        </w:rPr>
        <w:t>1.8.2. Visitas a los lugares de privación de libertad</w:t>
      </w:r>
    </w:p>
    <w:p w14:paraId="478246C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BE2C245"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El MNPT desde el año 2013 hasta abril de 2024 ha realizado un total de 271 visitas a lugares de privación de libertad:</w:t>
      </w:r>
    </w:p>
    <w:p w14:paraId="7543B9D0" w14:textId="77777777" w:rsidR="009E0A9E" w:rsidRPr="00775AE5" w:rsidRDefault="009E0A9E" w:rsidP="009E0A9E">
      <w:pPr>
        <w:spacing w:line="276" w:lineRule="auto"/>
        <w:rPr>
          <w:rFonts w:ascii="Arial" w:eastAsia="Calibri" w:hAnsi="Arial" w:cs="Arial"/>
          <w:sz w:val="22"/>
          <w:szCs w:val="22"/>
          <w:lang w:val="es-ES"/>
        </w:rPr>
      </w:pPr>
    </w:p>
    <w:p w14:paraId="423C5E5E" w14:textId="77777777" w:rsidR="009E0A9E" w:rsidRPr="00775AE5" w:rsidRDefault="009E0A9E" w:rsidP="009E0A9E">
      <w:pPr>
        <w:spacing w:line="276" w:lineRule="auto"/>
        <w:rPr>
          <w:rFonts w:ascii="Arial" w:eastAsia="Calibri" w:hAnsi="Arial" w:cs="Arial"/>
          <w:sz w:val="22"/>
          <w:szCs w:val="22"/>
          <w:lang w:val="es-ES"/>
        </w:rPr>
      </w:pPr>
      <w:r w:rsidRPr="00775AE5">
        <w:rPr>
          <w:rFonts w:ascii="Arial" w:eastAsia="Calibri" w:hAnsi="Arial" w:cs="Arial"/>
          <w:sz w:val="22"/>
          <w:szCs w:val="22"/>
          <w:lang w:val="es-ES"/>
        </w:rPr>
        <w:t>Tabla 12</w:t>
      </w:r>
    </w:p>
    <w:p w14:paraId="20FD1517" w14:textId="77777777" w:rsidR="009E0A9E" w:rsidRPr="00775AE5" w:rsidRDefault="009E0A9E" w:rsidP="009E0A9E">
      <w:pPr>
        <w:spacing w:line="276" w:lineRule="auto"/>
        <w:rPr>
          <w:rFonts w:ascii="Arial" w:eastAsia="Calibri" w:hAnsi="Arial" w:cs="Arial"/>
          <w:i/>
          <w:sz w:val="22"/>
          <w:szCs w:val="22"/>
          <w:lang w:val="es-ES"/>
        </w:rPr>
      </w:pPr>
      <w:r w:rsidRPr="00775AE5">
        <w:rPr>
          <w:rFonts w:ascii="Arial" w:eastAsia="Calibri" w:hAnsi="Arial" w:cs="Arial"/>
          <w:i/>
          <w:sz w:val="22"/>
          <w:szCs w:val="22"/>
          <w:lang w:val="es-ES"/>
        </w:rPr>
        <w:t>Número de visitas a los lugares de privación de libertad por el MNPT 2013-2024 (abril)</w:t>
      </w:r>
    </w:p>
    <w:tbl>
      <w:tblPr>
        <w:tblStyle w:val="TableGrid"/>
        <w:tblW w:w="8996" w:type="dxa"/>
        <w:tblLook w:val="04A0" w:firstRow="1" w:lastRow="0" w:firstColumn="1" w:lastColumn="0" w:noHBand="0" w:noVBand="1"/>
      </w:tblPr>
      <w:tblGrid>
        <w:gridCol w:w="6132"/>
        <w:gridCol w:w="2864"/>
      </w:tblGrid>
      <w:tr w:rsidR="009E0A9E" w:rsidRPr="00793C8F" w14:paraId="083F8F1D" w14:textId="77777777" w:rsidTr="00793C8F">
        <w:trPr>
          <w:trHeight w:val="355"/>
        </w:trPr>
        <w:tc>
          <w:tcPr>
            <w:tcW w:w="6132" w:type="dxa"/>
            <w:hideMark/>
          </w:tcPr>
          <w:p w14:paraId="281EDE23" w14:textId="77777777" w:rsidR="009E0A9E" w:rsidRPr="00793C8F" w:rsidRDefault="009E0A9E" w:rsidP="00525437">
            <w:pPr>
              <w:spacing w:line="276" w:lineRule="auto"/>
              <w:jc w:val="center"/>
              <w:rPr>
                <w:rFonts w:ascii="Arial" w:hAnsi="Arial" w:cs="Arial"/>
                <w:b/>
                <w:bCs/>
                <w:sz w:val="20"/>
                <w:szCs w:val="20"/>
                <w:lang w:val="es-EC" w:eastAsia="es-EC"/>
              </w:rPr>
            </w:pPr>
            <w:r w:rsidRPr="00793C8F">
              <w:rPr>
                <w:rFonts w:ascii="Arial" w:hAnsi="Arial" w:cs="Arial"/>
                <w:b/>
                <w:bCs/>
                <w:sz w:val="20"/>
                <w:szCs w:val="20"/>
                <w:lang w:val="es-EC" w:eastAsia="es-EC"/>
              </w:rPr>
              <w:t>Lugar de privación de libertad</w:t>
            </w:r>
          </w:p>
        </w:tc>
        <w:tc>
          <w:tcPr>
            <w:tcW w:w="2864" w:type="dxa"/>
            <w:hideMark/>
          </w:tcPr>
          <w:p w14:paraId="433CA2D5" w14:textId="77777777" w:rsidR="009E0A9E" w:rsidRPr="00793C8F" w:rsidRDefault="009E0A9E" w:rsidP="00525437">
            <w:pPr>
              <w:spacing w:line="276" w:lineRule="auto"/>
              <w:jc w:val="center"/>
              <w:rPr>
                <w:rFonts w:ascii="Arial" w:hAnsi="Arial" w:cs="Arial"/>
                <w:b/>
                <w:bCs/>
                <w:sz w:val="20"/>
                <w:szCs w:val="20"/>
                <w:lang w:val="es-EC" w:eastAsia="es-EC"/>
              </w:rPr>
            </w:pPr>
            <w:r w:rsidRPr="00793C8F">
              <w:rPr>
                <w:rFonts w:ascii="Arial" w:hAnsi="Arial" w:cs="Arial"/>
                <w:b/>
                <w:bCs/>
                <w:sz w:val="20"/>
                <w:szCs w:val="20"/>
                <w:lang w:val="es-EC" w:eastAsia="es-EC"/>
              </w:rPr>
              <w:t>Número de visitas</w:t>
            </w:r>
          </w:p>
        </w:tc>
      </w:tr>
      <w:tr w:rsidR="009E0A9E" w:rsidRPr="00793C8F" w14:paraId="49DFBC19" w14:textId="77777777" w:rsidTr="00793C8F">
        <w:trPr>
          <w:trHeight w:val="15"/>
        </w:trPr>
        <w:tc>
          <w:tcPr>
            <w:tcW w:w="6132" w:type="dxa"/>
            <w:hideMark/>
          </w:tcPr>
          <w:p w14:paraId="0961F4D3" w14:textId="77777777" w:rsidR="009E0A9E" w:rsidRPr="00793C8F" w:rsidRDefault="009E0A9E" w:rsidP="00525437">
            <w:pPr>
              <w:spacing w:line="276" w:lineRule="auto"/>
              <w:jc w:val="center"/>
              <w:rPr>
                <w:rFonts w:ascii="Arial" w:hAnsi="Arial" w:cs="Arial"/>
                <w:color w:val="000000"/>
                <w:sz w:val="20"/>
                <w:szCs w:val="20"/>
                <w:lang w:val="es-EC" w:eastAsia="es-EC"/>
              </w:rPr>
            </w:pPr>
            <w:r w:rsidRPr="00793C8F">
              <w:rPr>
                <w:rFonts w:ascii="Arial" w:hAnsi="Arial" w:cs="Arial"/>
                <w:color w:val="000000"/>
                <w:sz w:val="20"/>
                <w:szCs w:val="20"/>
                <w:lang w:val="es-EC" w:eastAsia="es-EC"/>
              </w:rPr>
              <w:t>Centros de Rehabilitación Social</w:t>
            </w:r>
          </w:p>
        </w:tc>
        <w:tc>
          <w:tcPr>
            <w:tcW w:w="2864" w:type="dxa"/>
            <w:hideMark/>
          </w:tcPr>
          <w:p w14:paraId="0DF9F95A" w14:textId="77777777" w:rsidR="009E0A9E" w:rsidRPr="00793C8F" w:rsidRDefault="009E0A9E" w:rsidP="00525437">
            <w:pPr>
              <w:spacing w:line="276" w:lineRule="auto"/>
              <w:jc w:val="center"/>
              <w:rPr>
                <w:rFonts w:ascii="Arial" w:hAnsi="Arial" w:cs="Arial"/>
                <w:bCs/>
                <w:color w:val="000000"/>
                <w:sz w:val="20"/>
                <w:szCs w:val="20"/>
                <w:lang w:val="es-EC" w:eastAsia="es-EC"/>
              </w:rPr>
            </w:pPr>
            <w:r w:rsidRPr="00793C8F">
              <w:rPr>
                <w:rFonts w:ascii="Arial" w:hAnsi="Arial" w:cs="Arial"/>
                <w:bCs/>
                <w:color w:val="000000"/>
                <w:sz w:val="20"/>
                <w:szCs w:val="20"/>
                <w:lang w:val="es-EC" w:eastAsia="es-EC"/>
              </w:rPr>
              <w:t>144</w:t>
            </w:r>
          </w:p>
        </w:tc>
      </w:tr>
      <w:tr w:rsidR="009E0A9E" w:rsidRPr="00793C8F" w14:paraId="2511B382" w14:textId="77777777" w:rsidTr="00793C8F">
        <w:trPr>
          <w:trHeight w:val="15"/>
        </w:trPr>
        <w:tc>
          <w:tcPr>
            <w:tcW w:w="6132" w:type="dxa"/>
            <w:hideMark/>
          </w:tcPr>
          <w:p w14:paraId="273FF316" w14:textId="77777777" w:rsidR="009E0A9E" w:rsidRPr="00793C8F" w:rsidRDefault="009E0A9E" w:rsidP="00525437">
            <w:pPr>
              <w:spacing w:line="276" w:lineRule="auto"/>
              <w:jc w:val="center"/>
              <w:rPr>
                <w:rFonts w:ascii="Arial" w:hAnsi="Arial" w:cs="Arial"/>
                <w:color w:val="000000"/>
                <w:sz w:val="20"/>
                <w:szCs w:val="20"/>
                <w:lang w:val="es-EC" w:eastAsia="es-EC"/>
              </w:rPr>
            </w:pPr>
            <w:r w:rsidRPr="00793C8F">
              <w:rPr>
                <w:rFonts w:ascii="Arial" w:hAnsi="Arial" w:cs="Arial"/>
                <w:color w:val="000000"/>
                <w:sz w:val="20"/>
                <w:szCs w:val="20"/>
                <w:lang w:val="es-EC" w:eastAsia="es-EC"/>
              </w:rPr>
              <w:t>Centros de Privación Provisional de la Libertad</w:t>
            </w:r>
          </w:p>
        </w:tc>
        <w:tc>
          <w:tcPr>
            <w:tcW w:w="2864" w:type="dxa"/>
            <w:hideMark/>
          </w:tcPr>
          <w:p w14:paraId="5B5D4AF6" w14:textId="77777777" w:rsidR="009E0A9E" w:rsidRPr="00793C8F" w:rsidRDefault="009E0A9E" w:rsidP="00525437">
            <w:pPr>
              <w:spacing w:line="276" w:lineRule="auto"/>
              <w:jc w:val="center"/>
              <w:rPr>
                <w:rFonts w:ascii="Arial" w:hAnsi="Arial" w:cs="Arial"/>
                <w:bCs/>
                <w:color w:val="000000"/>
                <w:sz w:val="20"/>
                <w:szCs w:val="20"/>
                <w:lang w:val="es-EC" w:eastAsia="es-EC"/>
              </w:rPr>
            </w:pPr>
            <w:r w:rsidRPr="00793C8F">
              <w:rPr>
                <w:rFonts w:ascii="Arial" w:hAnsi="Arial" w:cs="Arial"/>
                <w:bCs/>
                <w:color w:val="000000"/>
                <w:sz w:val="20"/>
                <w:szCs w:val="20"/>
                <w:lang w:val="es-EC" w:eastAsia="es-EC"/>
              </w:rPr>
              <w:t>17</w:t>
            </w:r>
          </w:p>
        </w:tc>
      </w:tr>
      <w:tr w:rsidR="009E0A9E" w:rsidRPr="00793C8F" w14:paraId="178798CF" w14:textId="77777777" w:rsidTr="00793C8F">
        <w:trPr>
          <w:trHeight w:val="15"/>
        </w:trPr>
        <w:tc>
          <w:tcPr>
            <w:tcW w:w="6132" w:type="dxa"/>
            <w:hideMark/>
          </w:tcPr>
          <w:p w14:paraId="33204A89" w14:textId="77777777" w:rsidR="009E0A9E" w:rsidRPr="00793C8F" w:rsidRDefault="009E0A9E" w:rsidP="00525437">
            <w:pPr>
              <w:spacing w:line="276" w:lineRule="auto"/>
              <w:jc w:val="center"/>
              <w:rPr>
                <w:rFonts w:ascii="Arial" w:hAnsi="Arial" w:cs="Arial"/>
                <w:color w:val="000000"/>
                <w:sz w:val="20"/>
                <w:szCs w:val="20"/>
                <w:lang w:val="es-EC" w:eastAsia="es-EC"/>
              </w:rPr>
            </w:pPr>
            <w:r w:rsidRPr="00793C8F">
              <w:rPr>
                <w:rFonts w:ascii="Arial" w:hAnsi="Arial" w:cs="Arial"/>
                <w:color w:val="000000"/>
                <w:sz w:val="20"/>
                <w:szCs w:val="20"/>
                <w:lang w:val="es-EC" w:eastAsia="es-EC"/>
              </w:rPr>
              <w:t>Centro de Privación Provisional de Libertad (a cargo Policía)</w:t>
            </w:r>
          </w:p>
        </w:tc>
        <w:tc>
          <w:tcPr>
            <w:tcW w:w="2864" w:type="dxa"/>
            <w:hideMark/>
          </w:tcPr>
          <w:p w14:paraId="78D8281B" w14:textId="77777777" w:rsidR="009E0A9E" w:rsidRPr="00793C8F" w:rsidRDefault="009E0A9E" w:rsidP="00525437">
            <w:pPr>
              <w:spacing w:line="276" w:lineRule="auto"/>
              <w:jc w:val="center"/>
              <w:rPr>
                <w:rFonts w:ascii="Arial" w:hAnsi="Arial" w:cs="Arial"/>
                <w:bCs/>
                <w:color w:val="000000"/>
                <w:sz w:val="20"/>
                <w:szCs w:val="20"/>
                <w:lang w:val="es-EC" w:eastAsia="es-EC"/>
              </w:rPr>
            </w:pPr>
            <w:r w:rsidRPr="00793C8F">
              <w:rPr>
                <w:rFonts w:ascii="Arial" w:hAnsi="Arial" w:cs="Arial"/>
                <w:bCs/>
                <w:color w:val="000000"/>
                <w:sz w:val="20"/>
                <w:szCs w:val="20"/>
                <w:lang w:val="es-EC" w:eastAsia="es-EC"/>
              </w:rPr>
              <w:t>7</w:t>
            </w:r>
          </w:p>
        </w:tc>
      </w:tr>
      <w:tr w:rsidR="009E0A9E" w:rsidRPr="00793C8F" w14:paraId="1B48EE87" w14:textId="77777777" w:rsidTr="00793C8F">
        <w:trPr>
          <w:trHeight w:val="15"/>
        </w:trPr>
        <w:tc>
          <w:tcPr>
            <w:tcW w:w="6132" w:type="dxa"/>
            <w:hideMark/>
          </w:tcPr>
          <w:p w14:paraId="47FE008F" w14:textId="77777777" w:rsidR="009E0A9E" w:rsidRPr="00793C8F" w:rsidRDefault="009E0A9E" w:rsidP="00525437">
            <w:pPr>
              <w:spacing w:line="276" w:lineRule="auto"/>
              <w:jc w:val="center"/>
              <w:rPr>
                <w:rFonts w:ascii="Arial" w:hAnsi="Arial" w:cs="Arial"/>
                <w:color w:val="000000"/>
                <w:sz w:val="20"/>
                <w:szCs w:val="20"/>
                <w:lang w:val="es-EC" w:eastAsia="es-EC"/>
              </w:rPr>
            </w:pPr>
            <w:r w:rsidRPr="00793C8F">
              <w:rPr>
                <w:rFonts w:ascii="Arial" w:hAnsi="Arial" w:cs="Arial"/>
                <w:color w:val="000000"/>
                <w:sz w:val="20"/>
                <w:szCs w:val="20"/>
                <w:lang w:val="es-EC" w:eastAsia="es-EC"/>
              </w:rPr>
              <w:t xml:space="preserve">Centro de Adolescentes Infractores </w:t>
            </w:r>
          </w:p>
        </w:tc>
        <w:tc>
          <w:tcPr>
            <w:tcW w:w="2864" w:type="dxa"/>
            <w:hideMark/>
          </w:tcPr>
          <w:p w14:paraId="76685319" w14:textId="77777777" w:rsidR="009E0A9E" w:rsidRPr="00793C8F" w:rsidRDefault="009E0A9E" w:rsidP="00525437">
            <w:pPr>
              <w:spacing w:line="276" w:lineRule="auto"/>
              <w:jc w:val="center"/>
              <w:rPr>
                <w:rFonts w:ascii="Arial" w:hAnsi="Arial" w:cs="Arial"/>
                <w:bCs/>
                <w:color w:val="000000"/>
                <w:sz w:val="20"/>
                <w:szCs w:val="20"/>
                <w:lang w:val="es-EC" w:eastAsia="es-EC"/>
              </w:rPr>
            </w:pPr>
            <w:r w:rsidRPr="00793C8F">
              <w:rPr>
                <w:rFonts w:ascii="Arial" w:hAnsi="Arial" w:cs="Arial"/>
                <w:bCs/>
                <w:color w:val="000000"/>
                <w:sz w:val="20"/>
                <w:szCs w:val="20"/>
                <w:lang w:val="es-EC" w:eastAsia="es-EC"/>
              </w:rPr>
              <w:t>45</w:t>
            </w:r>
          </w:p>
        </w:tc>
      </w:tr>
      <w:tr w:rsidR="009E0A9E" w:rsidRPr="00793C8F" w14:paraId="65BEA338" w14:textId="77777777" w:rsidTr="00793C8F">
        <w:trPr>
          <w:trHeight w:val="15"/>
        </w:trPr>
        <w:tc>
          <w:tcPr>
            <w:tcW w:w="6132" w:type="dxa"/>
            <w:hideMark/>
          </w:tcPr>
          <w:p w14:paraId="57F3820A" w14:textId="77777777" w:rsidR="009E0A9E" w:rsidRPr="00793C8F" w:rsidRDefault="009E0A9E" w:rsidP="00525437">
            <w:pPr>
              <w:spacing w:line="276" w:lineRule="auto"/>
              <w:jc w:val="center"/>
              <w:rPr>
                <w:rFonts w:ascii="Arial" w:hAnsi="Arial" w:cs="Arial"/>
                <w:color w:val="000000"/>
                <w:sz w:val="20"/>
                <w:szCs w:val="20"/>
                <w:lang w:val="es-EC" w:eastAsia="es-EC"/>
              </w:rPr>
            </w:pPr>
            <w:r w:rsidRPr="00793C8F">
              <w:rPr>
                <w:rFonts w:ascii="Arial" w:hAnsi="Arial" w:cs="Arial"/>
                <w:color w:val="000000"/>
                <w:sz w:val="20"/>
                <w:szCs w:val="20"/>
                <w:lang w:val="es-EC" w:eastAsia="es-EC"/>
              </w:rPr>
              <w:t>Centro de Contravenciones de Tránsito</w:t>
            </w:r>
          </w:p>
        </w:tc>
        <w:tc>
          <w:tcPr>
            <w:tcW w:w="2864" w:type="dxa"/>
            <w:hideMark/>
          </w:tcPr>
          <w:p w14:paraId="33D0A109" w14:textId="77777777" w:rsidR="009E0A9E" w:rsidRPr="00793C8F" w:rsidRDefault="009E0A9E" w:rsidP="00525437">
            <w:pPr>
              <w:spacing w:line="276" w:lineRule="auto"/>
              <w:jc w:val="center"/>
              <w:rPr>
                <w:rFonts w:ascii="Arial" w:hAnsi="Arial" w:cs="Arial"/>
                <w:bCs/>
                <w:color w:val="000000"/>
                <w:sz w:val="20"/>
                <w:szCs w:val="20"/>
                <w:lang w:val="es-EC" w:eastAsia="es-EC"/>
              </w:rPr>
            </w:pPr>
            <w:r w:rsidRPr="00793C8F">
              <w:rPr>
                <w:rFonts w:ascii="Arial" w:hAnsi="Arial" w:cs="Arial"/>
                <w:bCs/>
                <w:color w:val="000000"/>
                <w:sz w:val="20"/>
                <w:szCs w:val="20"/>
                <w:lang w:val="es-EC" w:eastAsia="es-EC"/>
              </w:rPr>
              <w:t>2</w:t>
            </w:r>
          </w:p>
        </w:tc>
      </w:tr>
      <w:tr w:rsidR="009E0A9E" w:rsidRPr="00793C8F" w14:paraId="0C4AA946" w14:textId="77777777" w:rsidTr="00793C8F">
        <w:trPr>
          <w:trHeight w:val="15"/>
        </w:trPr>
        <w:tc>
          <w:tcPr>
            <w:tcW w:w="6132" w:type="dxa"/>
            <w:hideMark/>
          </w:tcPr>
          <w:p w14:paraId="5D888A16" w14:textId="77777777" w:rsidR="009E0A9E" w:rsidRPr="00793C8F" w:rsidRDefault="009E0A9E" w:rsidP="00525437">
            <w:pPr>
              <w:spacing w:line="276" w:lineRule="auto"/>
              <w:jc w:val="center"/>
              <w:rPr>
                <w:rFonts w:ascii="Arial" w:hAnsi="Arial" w:cs="Arial"/>
                <w:color w:val="000000"/>
                <w:sz w:val="20"/>
                <w:szCs w:val="20"/>
                <w:lang w:val="es-EC" w:eastAsia="es-EC"/>
              </w:rPr>
            </w:pPr>
            <w:r w:rsidRPr="00793C8F">
              <w:rPr>
                <w:rFonts w:ascii="Arial" w:hAnsi="Arial" w:cs="Arial"/>
                <w:color w:val="000000"/>
                <w:sz w:val="20"/>
                <w:szCs w:val="20"/>
                <w:lang w:val="es-EC" w:eastAsia="es-EC"/>
              </w:rPr>
              <w:t>Unidades de Flagrancia</w:t>
            </w:r>
          </w:p>
        </w:tc>
        <w:tc>
          <w:tcPr>
            <w:tcW w:w="2864" w:type="dxa"/>
            <w:hideMark/>
          </w:tcPr>
          <w:p w14:paraId="5A2659AA" w14:textId="77777777" w:rsidR="009E0A9E" w:rsidRPr="00793C8F" w:rsidRDefault="009E0A9E" w:rsidP="00525437">
            <w:pPr>
              <w:spacing w:line="276" w:lineRule="auto"/>
              <w:jc w:val="center"/>
              <w:rPr>
                <w:rFonts w:ascii="Arial" w:hAnsi="Arial" w:cs="Arial"/>
                <w:bCs/>
                <w:color w:val="000000"/>
                <w:sz w:val="20"/>
                <w:szCs w:val="20"/>
                <w:lang w:val="es-EC" w:eastAsia="es-EC"/>
              </w:rPr>
            </w:pPr>
            <w:r w:rsidRPr="00793C8F">
              <w:rPr>
                <w:rFonts w:ascii="Arial" w:hAnsi="Arial" w:cs="Arial"/>
                <w:bCs/>
                <w:color w:val="000000"/>
                <w:sz w:val="20"/>
                <w:szCs w:val="20"/>
                <w:lang w:val="es-EC" w:eastAsia="es-EC"/>
              </w:rPr>
              <w:t>9</w:t>
            </w:r>
          </w:p>
        </w:tc>
      </w:tr>
      <w:tr w:rsidR="009E0A9E" w:rsidRPr="00793C8F" w14:paraId="2723E06A" w14:textId="77777777" w:rsidTr="00793C8F">
        <w:trPr>
          <w:trHeight w:val="15"/>
        </w:trPr>
        <w:tc>
          <w:tcPr>
            <w:tcW w:w="6132" w:type="dxa"/>
            <w:hideMark/>
          </w:tcPr>
          <w:p w14:paraId="274CA617" w14:textId="77777777" w:rsidR="009E0A9E" w:rsidRPr="00793C8F" w:rsidRDefault="009E0A9E" w:rsidP="00525437">
            <w:pPr>
              <w:spacing w:line="276" w:lineRule="auto"/>
              <w:jc w:val="center"/>
              <w:rPr>
                <w:rFonts w:ascii="Arial" w:hAnsi="Arial" w:cs="Arial"/>
                <w:color w:val="000000"/>
                <w:sz w:val="20"/>
                <w:szCs w:val="20"/>
                <w:lang w:val="es-EC" w:eastAsia="es-EC"/>
              </w:rPr>
            </w:pPr>
            <w:r w:rsidRPr="00793C8F">
              <w:rPr>
                <w:rFonts w:ascii="Arial" w:hAnsi="Arial" w:cs="Arial"/>
                <w:color w:val="000000"/>
                <w:sz w:val="20"/>
                <w:szCs w:val="20"/>
                <w:lang w:val="es-EC" w:eastAsia="es-EC"/>
              </w:rPr>
              <w:t>Centros de detención migratoria</w:t>
            </w:r>
          </w:p>
        </w:tc>
        <w:tc>
          <w:tcPr>
            <w:tcW w:w="2864" w:type="dxa"/>
            <w:hideMark/>
          </w:tcPr>
          <w:p w14:paraId="428C9B05" w14:textId="77777777" w:rsidR="009E0A9E" w:rsidRPr="00793C8F" w:rsidRDefault="009E0A9E" w:rsidP="00525437">
            <w:pPr>
              <w:spacing w:line="276" w:lineRule="auto"/>
              <w:jc w:val="center"/>
              <w:rPr>
                <w:rFonts w:ascii="Arial" w:hAnsi="Arial" w:cs="Arial"/>
                <w:bCs/>
                <w:color w:val="000000"/>
                <w:sz w:val="20"/>
                <w:szCs w:val="20"/>
                <w:lang w:val="es-EC" w:eastAsia="es-EC"/>
              </w:rPr>
            </w:pPr>
            <w:r w:rsidRPr="00793C8F">
              <w:rPr>
                <w:rFonts w:ascii="Arial" w:hAnsi="Arial" w:cs="Arial"/>
                <w:bCs/>
                <w:color w:val="000000"/>
                <w:sz w:val="20"/>
                <w:szCs w:val="20"/>
                <w:lang w:val="es-EC" w:eastAsia="es-EC"/>
              </w:rPr>
              <w:t>9</w:t>
            </w:r>
          </w:p>
        </w:tc>
      </w:tr>
      <w:tr w:rsidR="009E0A9E" w:rsidRPr="00793C8F" w14:paraId="5F519093" w14:textId="77777777" w:rsidTr="00793C8F">
        <w:trPr>
          <w:trHeight w:val="15"/>
        </w:trPr>
        <w:tc>
          <w:tcPr>
            <w:tcW w:w="6132" w:type="dxa"/>
            <w:hideMark/>
          </w:tcPr>
          <w:p w14:paraId="266514EE" w14:textId="77777777" w:rsidR="009E0A9E" w:rsidRPr="00793C8F" w:rsidRDefault="009E0A9E" w:rsidP="00525437">
            <w:pPr>
              <w:spacing w:line="276" w:lineRule="auto"/>
              <w:jc w:val="center"/>
              <w:rPr>
                <w:rFonts w:ascii="Arial" w:hAnsi="Arial" w:cs="Arial"/>
                <w:color w:val="000000"/>
                <w:sz w:val="20"/>
                <w:szCs w:val="20"/>
                <w:lang w:val="es-EC" w:eastAsia="es-EC"/>
              </w:rPr>
            </w:pPr>
            <w:r w:rsidRPr="00793C8F">
              <w:rPr>
                <w:rFonts w:ascii="Arial" w:hAnsi="Arial" w:cs="Arial"/>
                <w:color w:val="000000"/>
                <w:sz w:val="20"/>
                <w:szCs w:val="20"/>
                <w:lang w:val="es-EC" w:eastAsia="es-EC"/>
              </w:rPr>
              <w:t xml:space="preserve">Escuelas de formación policial </w:t>
            </w:r>
          </w:p>
        </w:tc>
        <w:tc>
          <w:tcPr>
            <w:tcW w:w="2864" w:type="dxa"/>
            <w:hideMark/>
          </w:tcPr>
          <w:p w14:paraId="0EE0C0CF" w14:textId="77777777" w:rsidR="009E0A9E" w:rsidRPr="00793C8F" w:rsidRDefault="009E0A9E" w:rsidP="00525437">
            <w:pPr>
              <w:spacing w:line="276" w:lineRule="auto"/>
              <w:jc w:val="center"/>
              <w:rPr>
                <w:rFonts w:ascii="Arial" w:hAnsi="Arial" w:cs="Arial"/>
                <w:bCs/>
                <w:color w:val="000000"/>
                <w:sz w:val="20"/>
                <w:szCs w:val="20"/>
                <w:lang w:val="es-EC" w:eastAsia="es-EC"/>
              </w:rPr>
            </w:pPr>
            <w:r w:rsidRPr="00793C8F">
              <w:rPr>
                <w:rFonts w:ascii="Arial" w:hAnsi="Arial" w:cs="Arial"/>
                <w:bCs/>
                <w:color w:val="000000"/>
                <w:sz w:val="20"/>
                <w:szCs w:val="20"/>
                <w:lang w:val="es-EC" w:eastAsia="es-EC"/>
              </w:rPr>
              <w:t>8</w:t>
            </w:r>
          </w:p>
        </w:tc>
      </w:tr>
      <w:tr w:rsidR="009E0A9E" w:rsidRPr="00793C8F" w14:paraId="07BAAFAA" w14:textId="77777777" w:rsidTr="00793C8F">
        <w:trPr>
          <w:trHeight w:val="15"/>
        </w:trPr>
        <w:tc>
          <w:tcPr>
            <w:tcW w:w="6132" w:type="dxa"/>
            <w:hideMark/>
          </w:tcPr>
          <w:p w14:paraId="57244D43" w14:textId="77777777" w:rsidR="009E0A9E" w:rsidRPr="00793C8F" w:rsidRDefault="009E0A9E" w:rsidP="00525437">
            <w:pPr>
              <w:spacing w:line="276" w:lineRule="auto"/>
              <w:jc w:val="center"/>
              <w:rPr>
                <w:rFonts w:ascii="Arial" w:hAnsi="Arial" w:cs="Arial"/>
                <w:color w:val="000000"/>
                <w:sz w:val="20"/>
                <w:szCs w:val="20"/>
                <w:lang w:val="es-EC" w:eastAsia="es-EC"/>
              </w:rPr>
            </w:pPr>
            <w:r w:rsidRPr="00793C8F">
              <w:rPr>
                <w:rFonts w:ascii="Arial" w:hAnsi="Arial" w:cs="Arial"/>
                <w:color w:val="000000"/>
                <w:sz w:val="20"/>
                <w:szCs w:val="20"/>
                <w:lang w:val="es-EC" w:eastAsia="es-EC"/>
              </w:rPr>
              <w:t>Escuelas de formación militar</w:t>
            </w:r>
          </w:p>
        </w:tc>
        <w:tc>
          <w:tcPr>
            <w:tcW w:w="2864" w:type="dxa"/>
            <w:hideMark/>
          </w:tcPr>
          <w:p w14:paraId="26B4F8D4" w14:textId="77777777" w:rsidR="009E0A9E" w:rsidRPr="00793C8F" w:rsidRDefault="009E0A9E" w:rsidP="00525437">
            <w:pPr>
              <w:spacing w:line="276" w:lineRule="auto"/>
              <w:jc w:val="center"/>
              <w:rPr>
                <w:rFonts w:ascii="Arial" w:hAnsi="Arial" w:cs="Arial"/>
                <w:bCs/>
                <w:color w:val="000000"/>
                <w:sz w:val="20"/>
                <w:szCs w:val="20"/>
                <w:lang w:val="es-EC" w:eastAsia="es-EC"/>
              </w:rPr>
            </w:pPr>
            <w:r w:rsidRPr="00793C8F">
              <w:rPr>
                <w:rFonts w:ascii="Arial" w:hAnsi="Arial" w:cs="Arial"/>
                <w:bCs/>
                <w:color w:val="000000"/>
                <w:sz w:val="20"/>
                <w:szCs w:val="20"/>
                <w:lang w:val="es-EC" w:eastAsia="es-EC"/>
              </w:rPr>
              <w:t>5</w:t>
            </w:r>
          </w:p>
        </w:tc>
      </w:tr>
      <w:tr w:rsidR="009E0A9E" w:rsidRPr="00793C8F" w14:paraId="1990D26A" w14:textId="77777777" w:rsidTr="00793C8F">
        <w:trPr>
          <w:trHeight w:val="15"/>
        </w:trPr>
        <w:tc>
          <w:tcPr>
            <w:tcW w:w="6132" w:type="dxa"/>
            <w:hideMark/>
          </w:tcPr>
          <w:p w14:paraId="1FF1CDA6" w14:textId="77777777" w:rsidR="009E0A9E" w:rsidRPr="00793C8F" w:rsidRDefault="009E0A9E" w:rsidP="00525437">
            <w:pPr>
              <w:spacing w:line="276" w:lineRule="auto"/>
              <w:jc w:val="center"/>
              <w:rPr>
                <w:rFonts w:ascii="Arial" w:hAnsi="Arial" w:cs="Arial"/>
                <w:color w:val="000000"/>
                <w:sz w:val="20"/>
                <w:szCs w:val="20"/>
                <w:lang w:val="es-EC" w:eastAsia="es-EC"/>
              </w:rPr>
            </w:pPr>
            <w:r w:rsidRPr="00793C8F">
              <w:rPr>
                <w:rFonts w:ascii="Arial" w:hAnsi="Arial" w:cs="Arial"/>
                <w:color w:val="000000"/>
                <w:sz w:val="20"/>
                <w:szCs w:val="20"/>
                <w:lang w:val="es-EC" w:eastAsia="es-EC"/>
              </w:rPr>
              <w:t>Casas de acogida</w:t>
            </w:r>
          </w:p>
        </w:tc>
        <w:tc>
          <w:tcPr>
            <w:tcW w:w="2864" w:type="dxa"/>
            <w:hideMark/>
          </w:tcPr>
          <w:p w14:paraId="1A6B1852" w14:textId="77777777" w:rsidR="009E0A9E" w:rsidRPr="00793C8F" w:rsidRDefault="009E0A9E" w:rsidP="00525437">
            <w:pPr>
              <w:spacing w:line="276" w:lineRule="auto"/>
              <w:jc w:val="center"/>
              <w:rPr>
                <w:rFonts w:ascii="Arial" w:hAnsi="Arial" w:cs="Arial"/>
                <w:bCs/>
                <w:color w:val="000000"/>
                <w:sz w:val="20"/>
                <w:szCs w:val="20"/>
                <w:lang w:val="es-EC" w:eastAsia="es-EC"/>
              </w:rPr>
            </w:pPr>
            <w:r w:rsidRPr="00793C8F">
              <w:rPr>
                <w:rFonts w:ascii="Arial" w:hAnsi="Arial" w:cs="Arial"/>
                <w:bCs/>
                <w:color w:val="000000"/>
                <w:sz w:val="20"/>
                <w:szCs w:val="20"/>
                <w:lang w:val="es-EC" w:eastAsia="es-EC"/>
              </w:rPr>
              <w:t>19</w:t>
            </w:r>
          </w:p>
        </w:tc>
      </w:tr>
      <w:tr w:rsidR="009E0A9E" w:rsidRPr="00793C8F" w14:paraId="7D9FC4CD" w14:textId="77777777" w:rsidTr="00793C8F">
        <w:trPr>
          <w:trHeight w:val="15"/>
        </w:trPr>
        <w:tc>
          <w:tcPr>
            <w:tcW w:w="6132" w:type="dxa"/>
            <w:hideMark/>
          </w:tcPr>
          <w:p w14:paraId="63E4F111" w14:textId="77777777" w:rsidR="009E0A9E" w:rsidRPr="00793C8F" w:rsidRDefault="009E0A9E" w:rsidP="00525437">
            <w:pPr>
              <w:spacing w:line="276" w:lineRule="auto"/>
              <w:jc w:val="center"/>
              <w:rPr>
                <w:rFonts w:ascii="Arial" w:hAnsi="Arial" w:cs="Arial"/>
                <w:color w:val="000000"/>
                <w:sz w:val="20"/>
                <w:szCs w:val="20"/>
                <w:lang w:val="es-EC" w:eastAsia="es-EC"/>
              </w:rPr>
            </w:pPr>
            <w:r w:rsidRPr="00793C8F">
              <w:rPr>
                <w:rFonts w:ascii="Arial" w:hAnsi="Arial" w:cs="Arial"/>
                <w:color w:val="000000"/>
                <w:sz w:val="20"/>
                <w:szCs w:val="20"/>
                <w:lang w:val="es-EC" w:eastAsia="es-EC"/>
              </w:rPr>
              <w:t>Centros de Recuperación de Adicciones</w:t>
            </w:r>
          </w:p>
        </w:tc>
        <w:tc>
          <w:tcPr>
            <w:tcW w:w="2864" w:type="dxa"/>
            <w:hideMark/>
          </w:tcPr>
          <w:p w14:paraId="6100FABB" w14:textId="77777777" w:rsidR="009E0A9E" w:rsidRPr="00793C8F" w:rsidRDefault="009E0A9E" w:rsidP="00525437">
            <w:pPr>
              <w:spacing w:line="276" w:lineRule="auto"/>
              <w:jc w:val="center"/>
              <w:rPr>
                <w:rFonts w:ascii="Arial" w:hAnsi="Arial" w:cs="Arial"/>
                <w:bCs/>
                <w:color w:val="000000"/>
                <w:sz w:val="20"/>
                <w:szCs w:val="20"/>
                <w:lang w:val="es-EC" w:eastAsia="es-EC"/>
              </w:rPr>
            </w:pPr>
            <w:r w:rsidRPr="00793C8F">
              <w:rPr>
                <w:rFonts w:ascii="Arial" w:hAnsi="Arial" w:cs="Arial"/>
                <w:bCs/>
                <w:color w:val="000000"/>
                <w:sz w:val="20"/>
                <w:szCs w:val="20"/>
                <w:lang w:val="es-EC" w:eastAsia="es-EC"/>
              </w:rPr>
              <w:t>8</w:t>
            </w:r>
          </w:p>
        </w:tc>
      </w:tr>
      <w:tr w:rsidR="009E0A9E" w:rsidRPr="00793C8F" w14:paraId="2117F80C" w14:textId="77777777" w:rsidTr="00793C8F">
        <w:trPr>
          <w:trHeight w:val="15"/>
        </w:trPr>
        <w:tc>
          <w:tcPr>
            <w:tcW w:w="6132" w:type="dxa"/>
            <w:hideMark/>
          </w:tcPr>
          <w:p w14:paraId="754DE9C0" w14:textId="77777777" w:rsidR="009E0A9E" w:rsidRPr="00793C8F" w:rsidRDefault="009E0A9E" w:rsidP="00525437">
            <w:pPr>
              <w:spacing w:line="276" w:lineRule="auto"/>
              <w:jc w:val="center"/>
              <w:rPr>
                <w:rFonts w:ascii="Arial" w:hAnsi="Arial" w:cs="Arial"/>
                <w:color w:val="000000"/>
                <w:sz w:val="20"/>
                <w:szCs w:val="20"/>
                <w:lang w:val="es-EC" w:eastAsia="es-EC"/>
              </w:rPr>
            </w:pPr>
            <w:r w:rsidRPr="00793C8F">
              <w:rPr>
                <w:rFonts w:ascii="Arial" w:hAnsi="Arial" w:cs="Arial"/>
                <w:color w:val="000000"/>
                <w:sz w:val="20"/>
                <w:szCs w:val="20"/>
                <w:lang w:val="es-EC" w:eastAsia="es-EC"/>
              </w:rPr>
              <w:t>Centros adultos mayores</w:t>
            </w:r>
          </w:p>
        </w:tc>
        <w:tc>
          <w:tcPr>
            <w:tcW w:w="2864" w:type="dxa"/>
            <w:hideMark/>
          </w:tcPr>
          <w:p w14:paraId="490D5F90" w14:textId="77777777" w:rsidR="009E0A9E" w:rsidRPr="00793C8F" w:rsidRDefault="009E0A9E" w:rsidP="00525437">
            <w:pPr>
              <w:spacing w:line="276" w:lineRule="auto"/>
              <w:jc w:val="center"/>
              <w:rPr>
                <w:rFonts w:ascii="Arial" w:hAnsi="Arial" w:cs="Arial"/>
                <w:bCs/>
                <w:color w:val="000000"/>
                <w:sz w:val="20"/>
                <w:szCs w:val="20"/>
                <w:lang w:val="es-EC" w:eastAsia="es-EC"/>
              </w:rPr>
            </w:pPr>
            <w:r w:rsidRPr="00793C8F">
              <w:rPr>
                <w:rFonts w:ascii="Arial" w:hAnsi="Arial" w:cs="Arial"/>
                <w:bCs/>
                <w:color w:val="000000"/>
                <w:sz w:val="20"/>
                <w:szCs w:val="20"/>
                <w:lang w:val="es-EC" w:eastAsia="es-EC"/>
              </w:rPr>
              <w:t>3</w:t>
            </w:r>
          </w:p>
        </w:tc>
      </w:tr>
      <w:tr w:rsidR="009E0A9E" w:rsidRPr="00793C8F" w14:paraId="769D3C03" w14:textId="77777777" w:rsidTr="00793C8F">
        <w:trPr>
          <w:trHeight w:val="15"/>
        </w:trPr>
        <w:tc>
          <w:tcPr>
            <w:tcW w:w="6132" w:type="dxa"/>
            <w:hideMark/>
          </w:tcPr>
          <w:p w14:paraId="2F93AAF1" w14:textId="77777777" w:rsidR="009E0A9E" w:rsidRPr="00793C8F" w:rsidRDefault="009E0A9E" w:rsidP="00525437">
            <w:pPr>
              <w:spacing w:line="276" w:lineRule="auto"/>
              <w:jc w:val="center"/>
              <w:rPr>
                <w:rFonts w:ascii="Arial" w:hAnsi="Arial" w:cs="Arial"/>
                <w:color w:val="000000"/>
                <w:sz w:val="20"/>
                <w:szCs w:val="20"/>
                <w:lang w:val="es-EC" w:eastAsia="es-EC"/>
              </w:rPr>
            </w:pPr>
            <w:r w:rsidRPr="00793C8F">
              <w:rPr>
                <w:rFonts w:ascii="Arial" w:hAnsi="Arial" w:cs="Arial"/>
                <w:color w:val="000000"/>
                <w:sz w:val="20"/>
                <w:szCs w:val="20"/>
                <w:lang w:val="es-EC" w:eastAsia="es-EC"/>
              </w:rPr>
              <w:t>Hospitales Psiquiátricos</w:t>
            </w:r>
          </w:p>
        </w:tc>
        <w:tc>
          <w:tcPr>
            <w:tcW w:w="2864" w:type="dxa"/>
            <w:hideMark/>
          </w:tcPr>
          <w:p w14:paraId="4F11BD6F" w14:textId="77777777" w:rsidR="009E0A9E" w:rsidRPr="00793C8F" w:rsidRDefault="009E0A9E" w:rsidP="00525437">
            <w:pPr>
              <w:spacing w:line="276" w:lineRule="auto"/>
              <w:jc w:val="center"/>
              <w:rPr>
                <w:rFonts w:ascii="Arial" w:hAnsi="Arial" w:cs="Arial"/>
                <w:bCs/>
                <w:color w:val="000000"/>
                <w:sz w:val="20"/>
                <w:szCs w:val="20"/>
                <w:lang w:val="es-EC" w:eastAsia="es-EC"/>
              </w:rPr>
            </w:pPr>
            <w:r w:rsidRPr="00793C8F">
              <w:rPr>
                <w:rFonts w:ascii="Arial" w:hAnsi="Arial" w:cs="Arial"/>
                <w:bCs/>
                <w:color w:val="000000"/>
                <w:sz w:val="20"/>
                <w:szCs w:val="20"/>
                <w:lang w:val="es-EC" w:eastAsia="es-EC"/>
              </w:rPr>
              <w:t>4</w:t>
            </w:r>
          </w:p>
        </w:tc>
      </w:tr>
      <w:tr w:rsidR="009E0A9E" w:rsidRPr="00793C8F" w14:paraId="73D43322" w14:textId="77777777" w:rsidTr="00793C8F">
        <w:trPr>
          <w:trHeight w:val="331"/>
        </w:trPr>
        <w:tc>
          <w:tcPr>
            <w:tcW w:w="6132" w:type="dxa"/>
            <w:hideMark/>
          </w:tcPr>
          <w:p w14:paraId="0914467D" w14:textId="77777777" w:rsidR="009E0A9E" w:rsidRPr="00793C8F" w:rsidRDefault="009E0A9E" w:rsidP="00525437">
            <w:pPr>
              <w:spacing w:line="276" w:lineRule="auto"/>
              <w:jc w:val="center"/>
              <w:rPr>
                <w:rFonts w:ascii="Arial" w:hAnsi="Arial" w:cs="Arial"/>
                <w:b/>
                <w:bCs/>
                <w:color w:val="000000"/>
                <w:sz w:val="20"/>
                <w:szCs w:val="20"/>
                <w:lang w:val="es-EC" w:eastAsia="es-EC"/>
              </w:rPr>
            </w:pPr>
            <w:r w:rsidRPr="00793C8F">
              <w:rPr>
                <w:rFonts w:ascii="Arial" w:hAnsi="Arial" w:cs="Arial"/>
                <w:b/>
                <w:bCs/>
                <w:color w:val="000000"/>
                <w:sz w:val="20"/>
                <w:szCs w:val="20"/>
                <w:lang w:val="es-EC" w:eastAsia="es-EC"/>
              </w:rPr>
              <w:t>TOTAL</w:t>
            </w:r>
          </w:p>
        </w:tc>
        <w:tc>
          <w:tcPr>
            <w:tcW w:w="2864" w:type="dxa"/>
            <w:hideMark/>
          </w:tcPr>
          <w:p w14:paraId="69E0E593" w14:textId="77777777" w:rsidR="009E0A9E" w:rsidRPr="00793C8F" w:rsidRDefault="009E0A9E" w:rsidP="00525437">
            <w:pPr>
              <w:spacing w:line="276" w:lineRule="auto"/>
              <w:jc w:val="center"/>
              <w:rPr>
                <w:rFonts w:ascii="Arial" w:hAnsi="Arial" w:cs="Arial"/>
                <w:b/>
                <w:bCs/>
                <w:color w:val="000000"/>
                <w:sz w:val="20"/>
                <w:szCs w:val="20"/>
                <w:lang w:val="es-EC" w:eastAsia="es-EC"/>
              </w:rPr>
            </w:pPr>
            <w:r w:rsidRPr="00793C8F">
              <w:rPr>
                <w:rFonts w:ascii="Arial" w:hAnsi="Arial" w:cs="Arial"/>
                <w:b/>
                <w:bCs/>
                <w:color w:val="000000"/>
                <w:sz w:val="20"/>
                <w:szCs w:val="20"/>
                <w:lang w:val="es-EC" w:eastAsia="es-EC"/>
              </w:rPr>
              <w:t>280</w:t>
            </w:r>
          </w:p>
        </w:tc>
      </w:tr>
    </w:tbl>
    <w:p w14:paraId="2EBA8D6C" w14:textId="77777777" w:rsidR="009E0A9E" w:rsidRPr="00775AE5" w:rsidRDefault="009E0A9E" w:rsidP="009E0A9E">
      <w:pPr>
        <w:spacing w:line="276" w:lineRule="auto"/>
        <w:jc w:val="both"/>
        <w:rPr>
          <w:rFonts w:ascii="Arial" w:eastAsia="Calibri" w:hAnsi="Arial" w:cs="Arial"/>
          <w:sz w:val="22"/>
          <w:szCs w:val="22"/>
          <w:lang w:val="es-VE" w:eastAsia="es-EC"/>
        </w:rPr>
      </w:pPr>
      <w:r w:rsidRPr="00775AE5">
        <w:rPr>
          <w:rFonts w:ascii="Arial" w:eastAsia="Calibri" w:hAnsi="Arial" w:cs="Arial"/>
          <w:i/>
          <w:sz w:val="22"/>
          <w:szCs w:val="22"/>
          <w:lang w:val="es-VE" w:eastAsia="es-EC"/>
        </w:rPr>
        <w:t xml:space="preserve">Nota: </w:t>
      </w:r>
      <w:r w:rsidRPr="00775AE5">
        <w:rPr>
          <w:rFonts w:ascii="Arial" w:eastAsia="Calibri" w:hAnsi="Arial" w:cs="Arial"/>
          <w:sz w:val="22"/>
          <w:szCs w:val="22"/>
          <w:lang w:val="es-VE" w:eastAsia="es-EC"/>
        </w:rPr>
        <w:t>Resumen de visitas del MNPT 2013-2024 (visitas hasta abril 2024)</w:t>
      </w:r>
    </w:p>
    <w:p w14:paraId="45D03BA1"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08C6FB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Los datos expuestos contemplan únicamente las visitas que se han realizado por parte del MNPT de planta central de la Defensoría del Pueblo, y no considera las visitas que se han realizado desde las Delegaciones Provinciales de la DPE por temas relacionados a seguimientos de sentencia.</w:t>
      </w:r>
    </w:p>
    <w:p w14:paraId="06A5E23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4E36C89" w14:textId="3D067A2E"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Como se señaló anteriormente, las condiciones de privación de libertad en los centros relacionados con el Sistema Nacional de Rehabilitación Social no han variado mayormente en los últimos años. Los CPL Azuay N°1, Cotopaxi N°1 y Guayas N°1 (antes denominados regionales) a pesar de que fueron creados para la implementación de un nuevo modelo de gestión penitenciaria, no han sido la solución que se esperaba, ya que dicho modelo, según lo expresó la misma ex Ministra de lo que fue el Ministerio de Justicia, Derechos Humanos y Cultos, nunca fue oficial ni se implementó, lo que es contrario a lo expresado por las y los directores de los centros, quienes aseveraron que dicho modelo sí estaba vigente, pero debido a falta de recursos, solo se lo pudo implementar de manera parcial. Actualmente, no existiría un modelo de </w:t>
      </w:r>
      <w:r w:rsidR="00434BA9" w:rsidRPr="00775AE5">
        <w:rPr>
          <w:rFonts w:ascii="Arial" w:eastAsia="DejaVu Sans" w:hAnsi="Arial" w:cs="Arial"/>
          <w:sz w:val="22"/>
          <w:szCs w:val="22"/>
          <w:lang w:val="es-VE" w:eastAsia="es-EC"/>
        </w:rPr>
        <w:t>gestión penitenciaria</w:t>
      </w:r>
      <w:r w:rsidRPr="00775AE5">
        <w:rPr>
          <w:rFonts w:ascii="Arial" w:eastAsia="DejaVu Sans" w:hAnsi="Arial" w:cs="Arial"/>
          <w:sz w:val="22"/>
          <w:szCs w:val="22"/>
          <w:lang w:val="es-VE" w:eastAsia="es-EC"/>
        </w:rPr>
        <w:t xml:space="preserve"> vigente, pese a que se han aprobado modelos específicos por ejes.</w:t>
      </w:r>
    </w:p>
    <w:p w14:paraId="43C78B7A"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93E9AA4"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En ese mismo sentido, la Constitución y el COIP establecen la creación del Organismo Técnico de Rehabilitación Social, el cual tiene como atribución el cumplimiento de las finalidades del Sistema de Rehabilitación Social, tanto de la rehabilitación social como de la reinserción de las PPL a la sociedad. Este Organismo ha venido teniendo algunas modificaciones en su estructura de conformación y atribuciones, efectuadas mediante reforma normativa, tanto en el 2019 como en el 2023. Esta última reforma, producto de La Ley Orgánica Reformatoria a Varios Cuerpos Legales para el Fortalecimiento de las Capacidades Institucionales y la Seguridad Integral</w:t>
      </w:r>
      <w:r w:rsidRPr="00775AE5">
        <w:rPr>
          <w:rFonts w:ascii="Arial" w:eastAsia="DejaVu Sans" w:hAnsi="Arial" w:cs="Arial"/>
          <w:sz w:val="22"/>
          <w:szCs w:val="22"/>
          <w:vertAlign w:val="superscript"/>
          <w:lang w:val="es-VE" w:eastAsia="es-EC"/>
        </w:rPr>
        <w:footnoteReference w:id="45"/>
      </w:r>
      <w:r w:rsidRPr="00775AE5">
        <w:rPr>
          <w:rFonts w:ascii="Arial" w:eastAsia="DejaVu Sans" w:hAnsi="Arial" w:cs="Arial"/>
          <w:sz w:val="22"/>
          <w:szCs w:val="22"/>
          <w:lang w:val="es-VE" w:eastAsia="es-EC"/>
        </w:rPr>
        <w:t xml:space="preserve"> promulgada el 29 de marzo de 2023, establece cambios importantes, entre estos los relativos a la rectoría del Organismo:</w:t>
      </w:r>
    </w:p>
    <w:p w14:paraId="51BF5ED1" w14:textId="77777777" w:rsidR="009E0A9E" w:rsidRPr="00775AE5" w:rsidRDefault="009E0A9E" w:rsidP="009E0A9E">
      <w:pPr>
        <w:autoSpaceDE w:val="0"/>
        <w:autoSpaceDN w:val="0"/>
        <w:adjustRightInd w:val="0"/>
        <w:spacing w:line="276" w:lineRule="auto"/>
        <w:jc w:val="both"/>
        <w:rPr>
          <w:rFonts w:ascii="Arial" w:eastAsia="DejaVu Sans" w:hAnsi="Arial" w:cs="Arial"/>
          <w:sz w:val="22"/>
          <w:szCs w:val="22"/>
          <w:lang w:val="es-VE" w:eastAsia="es-EC"/>
        </w:rPr>
      </w:pPr>
    </w:p>
    <w:p w14:paraId="35A55E94" w14:textId="77777777" w:rsidR="009E0A9E" w:rsidRPr="00775AE5" w:rsidRDefault="009E0A9E" w:rsidP="009E0A9E">
      <w:pPr>
        <w:autoSpaceDE w:val="0"/>
        <w:autoSpaceDN w:val="0"/>
        <w:adjustRightInd w:val="0"/>
        <w:ind w:left="720"/>
        <w:jc w:val="both"/>
        <w:rPr>
          <w:rFonts w:ascii="Arial" w:hAnsi="Arial" w:cs="Arial"/>
          <w:i/>
          <w:iCs/>
          <w:sz w:val="22"/>
          <w:szCs w:val="22"/>
          <w:lang w:val="es-MX" w:eastAsia="ja-JP"/>
        </w:rPr>
      </w:pPr>
      <w:r w:rsidRPr="00775AE5">
        <w:rPr>
          <w:rFonts w:ascii="Arial" w:hAnsi="Arial" w:cs="Arial"/>
          <w:sz w:val="22"/>
          <w:szCs w:val="22"/>
          <w:lang w:val="es-MX" w:eastAsia="ja-JP"/>
        </w:rPr>
        <w:t>a) rectoría del Sistema Nacional de Rehabilitación Social (Artículo 674 numeral 1 que indica “</w:t>
      </w:r>
      <w:r w:rsidRPr="00775AE5">
        <w:rPr>
          <w:rFonts w:ascii="Arial" w:hAnsi="Arial" w:cs="Arial"/>
          <w:i/>
          <w:iCs/>
          <w:sz w:val="22"/>
          <w:szCs w:val="22"/>
          <w:lang w:val="es-MX" w:eastAsia="ja-JP"/>
        </w:rPr>
        <w:t>Ejercer la rectoría, organización y administración del Sistema Nacional de Rehabilitación Social;”)</w:t>
      </w:r>
    </w:p>
    <w:p w14:paraId="242A27C3" w14:textId="77777777" w:rsidR="009E0A9E" w:rsidRPr="00775AE5" w:rsidRDefault="009E0A9E" w:rsidP="009E0A9E">
      <w:pPr>
        <w:autoSpaceDE w:val="0"/>
        <w:autoSpaceDN w:val="0"/>
        <w:adjustRightInd w:val="0"/>
        <w:ind w:firstLine="720"/>
        <w:jc w:val="both"/>
        <w:rPr>
          <w:rFonts w:ascii="Arial" w:hAnsi="Arial" w:cs="Arial"/>
          <w:sz w:val="22"/>
          <w:szCs w:val="22"/>
          <w:lang w:val="es-MX" w:eastAsia="ja-JP"/>
        </w:rPr>
      </w:pPr>
      <w:r w:rsidRPr="00775AE5">
        <w:rPr>
          <w:rFonts w:ascii="Arial" w:hAnsi="Arial" w:cs="Arial"/>
          <w:sz w:val="22"/>
          <w:szCs w:val="22"/>
          <w:lang w:val="es-MX" w:eastAsia="ja-JP"/>
        </w:rPr>
        <w:t>b) rectoría de la política de desarrollo integral de adolescentes infractores (Artículo 674 numeral 2 que indica</w:t>
      </w:r>
    </w:p>
    <w:p w14:paraId="00442F12" w14:textId="77777777" w:rsidR="009E0A9E" w:rsidRPr="00775AE5" w:rsidRDefault="009E0A9E" w:rsidP="009E0A9E">
      <w:pPr>
        <w:autoSpaceDE w:val="0"/>
        <w:autoSpaceDN w:val="0"/>
        <w:adjustRightInd w:val="0"/>
        <w:ind w:firstLine="720"/>
        <w:jc w:val="both"/>
        <w:rPr>
          <w:rFonts w:ascii="Arial" w:hAnsi="Arial" w:cs="Arial"/>
          <w:sz w:val="22"/>
          <w:szCs w:val="22"/>
          <w:lang w:val="es-MX" w:eastAsia="ja-JP"/>
        </w:rPr>
      </w:pPr>
      <w:r w:rsidRPr="00775AE5">
        <w:rPr>
          <w:rFonts w:ascii="Arial" w:hAnsi="Arial" w:cs="Arial"/>
          <w:sz w:val="22"/>
          <w:szCs w:val="22"/>
          <w:lang w:val="es-MX" w:eastAsia="ja-JP"/>
        </w:rPr>
        <w:t>“</w:t>
      </w:r>
      <w:r w:rsidRPr="00775AE5">
        <w:rPr>
          <w:rFonts w:ascii="Arial" w:hAnsi="Arial" w:cs="Arial"/>
          <w:i/>
          <w:iCs/>
          <w:sz w:val="22"/>
          <w:szCs w:val="22"/>
          <w:lang w:val="es-MX" w:eastAsia="ja-JP"/>
        </w:rPr>
        <w:t>Ejercer la rectoría de la política de desarrollo integral de adolescentes infractores;”</w:t>
      </w:r>
      <w:r w:rsidRPr="00775AE5">
        <w:rPr>
          <w:rFonts w:ascii="Arial" w:hAnsi="Arial" w:cs="Arial"/>
          <w:sz w:val="22"/>
          <w:szCs w:val="22"/>
          <w:lang w:val="es-MX" w:eastAsia="ja-JP"/>
        </w:rPr>
        <w:t>)</w:t>
      </w:r>
    </w:p>
    <w:p w14:paraId="52CE871A" w14:textId="77777777" w:rsidR="009E0A9E" w:rsidRPr="00775AE5" w:rsidRDefault="009E0A9E" w:rsidP="009E0A9E">
      <w:pPr>
        <w:autoSpaceDE w:val="0"/>
        <w:autoSpaceDN w:val="0"/>
        <w:adjustRightInd w:val="0"/>
        <w:ind w:left="720"/>
        <w:jc w:val="both"/>
        <w:rPr>
          <w:rFonts w:ascii="Arial" w:hAnsi="Arial" w:cs="Arial"/>
          <w:i/>
          <w:iCs/>
          <w:sz w:val="22"/>
          <w:szCs w:val="22"/>
          <w:lang w:val="es-MX" w:eastAsia="ja-JP"/>
        </w:rPr>
      </w:pPr>
      <w:r w:rsidRPr="00775AE5">
        <w:rPr>
          <w:rFonts w:ascii="Arial" w:hAnsi="Arial" w:cs="Arial"/>
          <w:sz w:val="22"/>
          <w:szCs w:val="22"/>
          <w:lang w:val="es-MX" w:eastAsia="ja-JP"/>
        </w:rPr>
        <w:t xml:space="preserve">c) rectoría del Cuerpo de Seguridad y Vigilancia Penitenciaria (Artículo 674 numeral 14 que indica </w:t>
      </w:r>
      <w:r w:rsidRPr="00775AE5">
        <w:rPr>
          <w:rFonts w:ascii="Arial" w:hAnsi="Arial" w:cs="Arial"/>
          <w:i/>
          <w:iCs/>
          <w:sz w:val="22"/>
          <w:szCs w:val="22"/>
          <w:lang w:val="es-MX" w:eastAsia="ja-JP"/>
        </w:rPr>
        <w:t>“Ejercer la rectoría del Cuerpo de Seguridad y Vigilancia Penitenciaria, organizar el Cuerpo como entidad de seguridad, y hacer cumplir las funciones y atribuciones determinadas en la normativa vigente;”</w:t>
      </w:r>
      <w:r w:rsidRPr="00775AE5">
        <w:rPr>
          <w:rFonts w:ascii="Arial" w:hAnsi="Arial" w:cs="Arial"/>
          <w:sz w:val="22"/>
          <w:szCs w:val="22"/>
          <w:lang w:val="es-MX" w:eastAsia="ja-JP"/>
        </w:rPr>
        <w:t>).</w:t>
      </w:r>
    </w:p>
    <w:p w14:paraId="5821C7D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2FB56D9" w14:textId="5C6B11C1"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Desconociendo las observaciones que la Defensoría del Pueblo ha planteado acerca de que los Centros de Adolescentes Infractores no deberían estar bajo la misma rectoría de los adultos, puesto </w:t>
      </w:r>
      <w:r w:rsidR="00434BA9" w:rsidRPr="00775AE5">
        <w:rPr>
          <w:rFonts w:ascii="Arial" w:eastAsia="DejaVu Sans" w:hAnsi="Arial" w:cs="Arial"/>
          <w:sz w:val="22"/>
          <w:szCs w:val="22"/>
          <w:lang w:val="es-VE" w:eastAsia="es-EC"/>
        </w:rPr>
        <w:t>que los</w:t>
      </w:r>
      <w:r w:rsidRPr="00775AE5">
        <w:rPr>
          <w:rFonts w:ascii="Arial" w:eastAsia="DejaVu Sans" w:hAnsi="Arial" w:cs="Arial"/>
          <w:sz w:val="22"/>
          <w:szCs w:val="22"/>
          <w:lang w:val="es-VE" w:eastAsia="es-EC"/>
        </w:rPr>
        <w:t xml:space="preserve"> adolescentes están cumpliendo una medida </w:t>
      </w:r>
      <w:r w:rsidR="00B93283" w:rsidRPr="00775AE5">
        <w:rPr>
          <w:rFonts w:ascii="Arial" w:eastAsia="DejaVu Sans" w:hAnsi="Arial" w:cs="Arial"/>
          <w:sz w:val="22"/>
          <w:szCs w:val="22"/>
          <w:lang w:val="es-VE" w:eastAsia="es-EC"/>
        </w:rPr>
        <w:t>socioeducativa</w:t>
      </w:r>
      <w:r w:rsidRPr="00775AE5">
        <w:rPr>
          <w:rFonts w:ascii="Arial" w:eastAsia="DejaVu Sans" w:hAnsi="Arial" w:cs="Arial"/>
          <w:sz w:val="22"/>
          <w:szCs w:val="22"/>
          <w:lang w:val="es-VE" w:eastAsia="es-EC"/>
        </w:rPr>
        <w:t>.</w:t>
      </w:r>
    </w:p>
    <w:p w14:paraId="1F3F85F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3034B57" w14:textId="54728CEE" w:rsidR="009E0A9E" w:rsidRPr="00775AE5" w:rsidRDefault="009E0A9E" w:rsidP="009E0A9E">
      <w:pPr>
        <w:autoSpaceDE w:val="0"/>
        <w:autoSpaceDN w:val="0"/>
        <w:adjustRightInd w:val="0"/>
        <w:jc w:val="both"/>
        <w:rPr>
          <w:rFonts w:ascii="Arial" w:hAnsi="Arial" w:cs="Arial"/>
          <w:sz w:val="22"/>
          <w:szCs w:val="22"/>
          <w:lang w:val="es-MX" w:eastAsia="ja-JP"/>
        </w:rPr>
      </w:pPr>
      <w:r w:rsidRPr="00775AE5">
        <w:rPr>
          <w:rFonts w:ascii="Arial" w:eastAsia="DejaVu Sans" w:hAnsi="Arial" w:cs="Arial"/>
          <w:sz w:val="22"/>
          <w:szCs w:val="22"/>
          <w:lang w:val="es-VE" w:eastAsia="es-EC"/>
        </w:rPr>
        <w:t xml:space="preserve">Así mismo, </w:t>
      </w:r>
      <w:r w:rsidRPr="00775AE5">
        <w:rPr>
          <w:rFonts w:ascii="Arial" w:hAnsi="Arial" w:cs="Arial"/>
          <w:sz w:val="22"/>
          <w:szCs w:val="22"/>
          <w:lang w:val="es-MX" w:eastAsia="ja-JP"/>
        </w:rPr>
        <w:t xml:space="preserve">el artículo 674 en el último inciso indica que la estructura del Organismo Técnico </w:t>
      </w:r>
      <w:r w:rsidRPr="00775AE5">
        <w:rPr>
          <w:rFonts w:ascii="Arial" w:hAnsi="Arial" w:cs="Arial"/>
          <w:i/>
          <w:iCs/>
          <w:sz w:val="22"/>
          <w:szCs w:val="22"/>
          <w:lang w:val="es-MX" w:eastAsia="ja-JP"/>
        </w:rPr>
        <w:t xml:space="preserve">“se </w:t>
      </w:r>
      <w:r w:rsidR="00434BA9" w:rsidRPr="00775AE5">
        <w:rPr>
          <w:rFonts w:ascii="Arial" w:hAnsi="Arial" w:cs="Arial"/>
          <w:i/>
          <w:iCs/>
          <w:sz w:val="22"/>
          <w:szCs w:val="22"/>
          <w:lang w:val="es-MX" w:eastAsia="ja-JP"/>
        </w:rPr>
        <w:t>definirá mediante</w:t>
      </w:r>
      <w:r w:rsidRPr="00775AE5">
        <w:rPr>
          <w:rFonts w:ascii="Arial" w:hAnsi="Arial" w:cs="Arial"/>
          <w:i/>
          <w:iCs/>
          <w:sz w:val="22"/>
          <w:szCs w:val="22"/>
          <w:lang w:val="es-MX" w:eastAsia="ja-JP"/>
        </w:rPr>
        <w:t xml:space="preserve"> decreto ejecutivo y contará con un directorio que será presidido por la ministra o ministro que ejerza la rectoría, organización y administración del Sistema Nacional de Rehabilitación Social</w:t>
      </w:r>
      <w:r w:rsidRPr="00775AE5">
        <w:rPr>
          <w:rFonts w:ascii="Arial" w:hAnsi="Arial" w:cs="Arial"/>
          <w:sz w:val="22"/>
          <w:szCs w:val="22"/>
          <w:lang w:val="es-MX" w:eastAsia="ja-JP"/>
        </w:rPr>
        <w:t>”. Sin embargo, pese a</w:t>
      </w:r>
      <w:r w:rsidRPr="00775AE5">
        <w:rPr>
          <w:rFonts w:ascii="Arial" w:hAnsi="Arial" w:cs="Arial"/>
          <w:i/>
          <w:iCs/>
          <w:sz w:val="22"/>
          <w:szCs w:val="22"/>
          <w:lang w:val="es-MX" w:eastAsia="ja-JP"/>
        </w:rPr>
        <w:t xml:space="preserve"> </w:t>
      </w:r>
      <w:r w:rsidRPr="00775AE5">
        <w:rPr>
          <w:rFonts w:ascii="Arial" w:hAnsi="Arial" w:cs="Arial"/>
          <w:sz w:val="22"/>
          <w:szCs w:val="22"/>
          <w:lang w:val="es-MX" w:eastAsia="ja-JP"/>
        </w:rPr>
        <w:t xml:space="preserve">que la ley entró en vigencia en cuanto a las reformas al COIP, el 12 de mayo de 2023, el Presidente de la República no ha definido la estructura del Organismo Técnico y tampoco ha creado al ministerio dispuesto en la ley. </w:t>
      </w:r>
      <w:r w:rsidR="00434BA9" w:rsidRPr="00775AE5">
        <w:rPr>
          <w:rFonts w:ascii="Arial" w:hAnsi="Arial" w:cs="Arial"/>
          <w:sz w:val="22"/>
          <w:szCs w:val="22"/>
          <w:lang w:val="es-MX" w:eastAsia="ja-JP"/>
        </w:rPr>
        <w:t>Además,</w:t>
      </w:r>
      <w:r w:rsidRPr="00775AE5">
        <w:rPr>
          <w:rFonts w:ascii="Arial" w:hAnsi="Arial" w:cs="Arial"/>
          <w:sz w:val="22"/>
          <w:szCs w:val="22"/>
          <w:lang w:val="es-MX" w:eastAsia="ja-JP"/>
        </w:rPr>
        <w:t xml:space="preserve"> sobre la estructura se apunta que la Defensoría del Pueblo ya no es miembro del Directorio del Organismo Técnico, pero podría participar como invitado del mismo. </w:t>
      </w:r>
    </w:p>
    <w:p w14:paraId="106E370E" w14:textId="77777777" w:rsidR="009E0A9E" w:rsidRPr="00775AE5" w:rsidRDefault="009E0A9E" w:rsidP="009E0A9E">
      <w:pPr>
        <w:autoSpaceDE w:val="0"/>
        <w:autoSpaceDN w:val="0"/>
        <w:adjustRightInd w:val="0"/>
        <w:jc w:val="both"/>
        <w:rPr>
          <w:rFonts w:ascii="Arial" w:hAnsi="Arial" w:cs="Arial"/>
          <w:sz w:val="22"/>
          <w:szCs w:val="22"/>
          <w:lang w:val="es-MX" w:eastAsia="ja-JP"/>
        </w:rPr>
      </w:pPr>
    </w:p>
    <w:p w14:paraId="6F42BD85" w14:textId="77777777" w:rsidR="009E0A9E" w:rsidRPr="00775AE5" w:rsidRDefault="009E0A9E" w:rsidP="009E0A9E">
      <w:pPr>
        <w:autoSpaceDE w:val="0"/>
        <w:autoSpaceDN w:val="0"/>
        <w:adjustRightInd w:val="0"/>
        <w:jc w:val="both"/>
        <w:rPr>
          <w:rFonts w:ascii="Arial" w:hAnsi="Arial" w:cs="Arial"/>
          <w:sz w:val="22"/>
          <w:szCs w:val="22"/>
          <w:lang w:val="es-MX" w:eastAsia="ja-JP"/>
        </w:rPr>
      </w:pPr>
      <w:r w:rsidRPr="00775AE5">
        <w:rPr>
          <w:rFonts w:ascii="Arial" w:hAnsi="Arial" w:cs="Arial"/>
          <w:sz w:val="22"/>
          <w:szCs w:val="22"/>
          <w:lang w:val="es-MX" w:eastAsia="ja-JP"/>
        </w:rPr>
        <w:t>Si bien la periodicidad de sesiones del DOTRS se volvió más frecuente, a partir de la sentencia favorable a la acción de protección interpuesta por la DPE Juicio No. 17294202000448</w:t>
      </w:r>
      <w:r w:rsidRPr="00775AE5">
        <w:rPr>
          <w:rStyle w:val="FootnoteReference"/>
          <w:rFonts w:ascii="Arial" w:hAnsi="Arial" w:cs="Arial"/>
          <w:sz w:val="22"/>
          <w:szCs w:val="22"/>
          <w:lang w:val="es-MX" w:eastAsia="ja-JP"/>
        </w:rPr>
        <w:footnoteReference w:id="46"/>
      </w:r>
      <w:r w:rsidRPr="00775AE5">
        <w:rPr>
          <w:rFonts w:ascii="Arial" w:hAnsi="Arial" w:cs="Arial"/>
          <w:sz w:val="22"/>
          <w:szCs w:val="22"/>
          <w:lang w:val="es-MX" w:eastAsia="ja-JP"/>
        </w:rPr>
        <w:t xml:space="preserve"> de julio del 2020, no se ha podido solventar los problemas estructurales del Sistema. </w:t>
      </w:r>
    </w:p>
    <w:p w14:paraId="6E6D8250" w14:textId="77777777" w:rsidR="009E0A9E" w:rsidRPr="00775AE5" w:rsidRDefault="009E0A9E" w:rsidP="009E0A9E">
      <w:pPr>
        <w:autoSpaceDE w:val="0"/>
        <w:autoSpaceDN w:val="0"/>
        <w:adjustRightInd w:val="0"/>
        <w:jc w:val="both"/>
        <w:rPr>
          <w:rFonts w:ascii="Arial" w:hAnsi="Arial" w:cs="Arial"/>
          <w:sz w:val="22"/>
          <w:szCs w:val="22"/>
          <w:lang w:val="es-MX" w:eastAsia="ja-JP"/>
        </w:rPr>
      </w:pPr>
    </w:p>
    <w:p w14:paraId="7A2D1F96" w14:textId="77777777" w:rsidR="009E0A9E" w:rsidRPr="00775AE5" w:rsidRDefault="009E0A9E" w:rsidP="009E0A9E">
      <w:pPr>
        <w:autoSpaceDE w:val="0"/>
        <w:autoSpaceDN w:val="0"/>
        <w:adjustRightInd w:val="0"/>
        <w:jc w:val="both"/>
        <w:rPr>
          <w:rFonts w:ascii="Arial" w:hAnsi="Arial" w:cs="Arial"/>
          <w:sz w:val="22"/>
          <w:szCs w:val="22"/>
          <w:lang w:val="es-MX" w:eastAsia="ja-JP"/>
        </w:rPr>
      </w:pPr>
      <w:r w:rsidRPr="00775AE5">
        <w:rPr>
          <w:rFonts w:ascii="Arial" w:hAnsi="Arial" w:cs="Arial"/>
          <w:sz w:val="22"/>
          <w:szCs w:val="22"/>
          <w:lang w:val="es-MX" w:eastAsia="ja-JP"/>
        </w:rPr>
        <w:t>Tabla</w:t>
      </w:r>
    </w:p>
    <w:p w14:paraId="3021A651" w14:textId="77777777" w:rsidR="009E0A9E" w:rsidRPr="00775AE5" w:rsidRDefault="009E0A9E" w:rsidP="009E0A9E">
      <w:pPr>
        <w:autoSpaceDE w:val="0"/>
        <w:autoSpaceDN w:val="0"/>
        <w:adjustRightInd w:val="0"/>
        <w:jc w:val="both"/>
        <w:rPr>
          <w:rFonts w:ascii="Arial" w:hAnsi="Arial" w:cs="Arial"/>
          <w:i/>
          <w:sz w:val="22"/>
          <w:szCs w:val="22"/>
          <w:lang w:val="es-MX" w:eastAsia="ja-JP"/>
        </w:rPr>
      </w:pPr>
      <w:r w:rsidRPr="00775AE5">
        <w:rPr>
          <w:rFonts w:ascii="Arial" w:hAnsi="Arial" w:cs="Arial"/>
          <w:i/>
          <w:sz w:val="22"/>
          <w:szCs w:val="22"/>
          <w:lang w:val="es-MX" w:eastAsia="ja-JP"/>
        </w:rPr>
        <w:t>Detalle de sesiones del DOTRS (2019-2023)</w:t>
      </w:r>
    </w:p>
    <w:tbl>
      <w:tblPr>
        <w:tblW w:w="0" w:type="auto"/>
        <w:tblCellMar>
          <w:top w:w="15" w:type="dxa"/>
          <w:left w:w="70" w:type="dxa"/>
          <w:bottom w:w="15" w:type="dxa"/>
          <w:right w:w="70" w:type="dxa"/>
        </w:tblCellMar>
        <w:tblLook w:val="04A0" w:firstRow="1" w:lastRow="0" w:firstColumn="1" w:lastColumn="0" w:noHBand="0" w:noVBand="1"/>
      </w:tblPr>
      <w:tblGrid>
        <w:gridCol w:w="1507"/>
        <w:gridCol w:w="2511"/>
        <w:gridCol w:w="1631"/>
        <w:gridCol w:w="3703"/>
      </w:tblGrid>
      <w:tr w:rsidR="009E0A9E" w:rsidRPr="00C42408" w14:paraId="1EE2975B" w14:textId="77777777" w:rsidTr="00C42408">
        <w:trPr>
          <w:trHeight w:val="22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5F64FC3" w14:textId="77777777" w:rsidR="009E0A9E" w:rsidRPr="00C42408" w:rsidRDefault="009E0A9E" w:rsidP="00525437">
            <w:pPr>
              <w:jc w:val="center"/>
              <w:rPr>
                <w:rFonts w:ascii="Arial" w:hAnsi="Arial" w:cs="Arial"/>
                <w:b/>
                <w:bCs/>
                <w:color w:val="000000"/>
                <w:sz w:val="18"/>
                <w:szCs w:val="18"/>
                <w:lang w:val="es-MX" w:eastAsia="es-MX"/>
              </w:rPr>
            </w:pPr>
            <w:r w:rsidRPr="00C42408">
              <w:rPr>
                <w:rFonts w:ascii="Arial" w:hAnsi="Arial" w:cs="Arial"/>
                <w:b/>
                <w:bCs/>
                <w:color w:val="000000"/>
                <w:sz w:val="18"/>
                <w:szCs w:val="18"/>
              </w:rPr>
              <w:t>Tipo de sesión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255EB99E" w14:textId="77777777" w:rsidR="009E0A9E" w:rsidRPr="00C42408" w:rsidRDefault="009E0A9E" w:rsidP="00525437">
            <w:pPr>
              <w:jc w:val="center"/>
              <w:rPr>
                <w:rFonts w:ascii="Arial" w:hAnsi="Arial" w:cs="Arial"/>
                <w:b/>
                <w:bCs/>
                <w:color w:val="000000"/>
                <w:sz w:val="18"/>
                <w:szCs w:val="18"/>
              </w:rPr>
            </w:pPr>
            <w:r w:rsidRPr="00C42408">
              <w:rPr>
                <w:rFonts w:ascii="Arial" w:hAnsi="Arial" w:cs="Arial"/>
                <w:b/>
                <w:bCs/>
                <w:color w:val="000000"/>
                <w:sz w:val="18"/>
                <w:szCs w:val="18"/>
              </w:rPr>
              <w:t>Tema central</w:t>
            </w:r>
          </w:p>
        </w:tc>
        <w:tc>
          <w:tcPr>
            <w:tcW w:w="0" w:type="auto"/>
            <w:tcBorders>
              <w:top w:val="single" w:sz="4" w:space="0" w:color="auto"/>
              <w:left w:val="single" w:sz="4" w:space="0" w:color="auto"/>
              <w:bottom w:val="single" w:sz="4" w:space="0" w:color="auto"/>
              <w:right w:val="nil"/>
            </w:tcBorders>
            <w:noWrap/>
            <w:vAlign w:val="center"/>
            <w:hideMark/>
          </w:tcPr>
          <w:p w14:paraId="3E03AAB4" w14:textId="77777777" w:rsidR="009E0A9E" w:rsidRPr="00C42408" w:rsidRDefault="009E0A9E" w:rsidP="00525437">
            <w:pPr>
              <w:jc w:val="center"/>
              <w:rPr>
                <w:rFonts w:ascii="Arial" w:hAnsi="Arial" w:cs="Arial"/>
                <w:b/>
                <w:bCs/>
                <w:color w:val="000000"/>
                <w:sz w:val="18"/>
                <w:szCs w:val="18"/>
              </w:rPr>
            </w:pPr>
            <w:r w:rsidRPr="00C42408">
              <w:rPr>
                <w:rFonts w:ascii="Arial" w:hAnsi="Arial" w:cs="Arial"/>
                <w:b/>
                <w:bCs/>
                <w:color w:val="000000"/>
                <w:sz w:val="18"/>
                <w:szCs w:val="18"/>
              </w:rPr>
              <w:t>Fecha de reunión</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DB8A018" w14:textId="77777777" w:rsidR="009E0A9E" w:rsidRPr="00C42408" w:rsidRDefault="009E0A9E" w:rsidP="00525437">
            <w:pPr>
              <w:jc w:val="center"/>
              <w:rPr>
                <w:rFonts w:ascii="Arial" w:hAnsi="Arial" w:cs="Arial"/>
                <w:b/>
                <w:bCs/>
                <w:color w:val="000000"/>
                <w:sz w:val="18"/>
                <w:szCs w:val="18"/>
              </w:rPr>
            </w:pPr>
            <w:r w:rsidRPr="00C42408">
              <w:rPr>
                <w:rFonts w:ascii="Arial" w:hAnsi="Arial" w:cs="Arial"/>
                <w:b/>
                <w:bCs/>
                <w:color w:val="000000"/>
                <w:sz w:val="18"/>
                <w:szCs w:val="18"/>
              </w:rPr>
              <w:t>Observaciones</w:t>
            </w:r>
          </w:p>
        </w:tc>
      </w:tr>
      <w:tr w:rsidR="009E0A9E" w:rsidRPr="00C42408" w14:paraId="4CC7CB4B" w14:textId="77777777" w:rsidTr="00C42408">
        <w:trPr>
          <w:trHeight w:val="22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5D54157"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Ordinaria.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138AB28" w14:textId="77777777" w:rsidR="009E0A9E" w:rsidRPr="00C42408" w:rsidRDefault="009E0A9E" w:rsidP="00525437">
            <w:pPr>
              <w:jc w:val="center"/>
              <w:rPr>
                <w:rFonts w:ascii="Arial" w:hAnsi="Arial" w:cs="Arial"/>
                <w:color w:val="000000"/>
                <w:sz w:val="18"/>
                <w:szCs w:val="18"/>
              </w:rPr>
            </w:pPr>
          </w:p>
        </w:tc>
        <w:tc>
          <w:tcPr>
            <w:tcW w:w="0" w:type="auto"/>
            <w:tcBorders>
              <w:top w:val="single" w:sz="4" w:space="0" w:color="auto"/>
              <w:left w:val="single" w:sz="4" w:space="0" w:color="auto"/>
              <w:bottom w:val="single" w:sz="4" w:space="0" w:color="auto"/>
              <w:right w:val="nil"/>
            </w:tcBorders>
            <w:noWrap/>
            <w:vAlign w:val="center"/>
            <w:hideMark/>
          </w:tcPr>
          <w:p w14:paraId="460ADD72"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26/06/2019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9DE35EF" w14:textId="77777777" w:rsidR="009E0A9E" w:rsidRPr="00C42408" w:rsidRDefault="009E0A9E" w:rsidP="00525437">
            <w:pPr>
              <w:jc w:val="right"/>
              <w:rPr>
                <w:rFonts w:ascii="Arial" w:hAnsi="Arial" w:cs="Arial"/>
                <w:color w:val="000000"/>
                <w:sz w:val="18"/>
                <w:szCs w:val="18"/>
              </w:rPr>
            </w:pPr>
          </w:p>
        </w:tc>
      </w:tr>
      <w:tr w:rsidR="009E0A9E" w:rsidRPr="00C42408" w14:paraId="6E7D11CD" w14:textId="77777777" w:rsidTr="00C42408">
        <w:trPr>
          <w:trHeight w:val="22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27CEE24D"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Ordinaria.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46CC6695" w14:textId="77777777" w:rsidR="009E0A9E" w:rsidRPr="00C42408" w:rsidRDefault="009E0A9E" w:rsidP="00525437">
            <w:pPr>
              <w:jc w:val="center"/>
              <w:rPr>
                <w:rFonts w:ascii="Arial" w:hAnsi="Arial" w:cs="Arial"/>
                <w:color w:val="000000"/>
                <w:sz w:val="18"/>
                <w:szCs w:val="18"/>
              </w:rPr>
            </w:pPr>
          </w:p>
        </w:tc>
        <w:tc>
          <w:tcPr>
            <w:tcW w:w="0" w:type="auto"/>
            <w:tcBorders>
              <w:top w:val="single" w:sz="4" w:space="0" w:color="auto"/>
              <w:left w:val="single" w:sz="4" w:space="0" w:color="auto"/>
              <w:bottom w:val="single" w:sz="4" w:space="0" w:color="auto"/>
              <w:right w:val="nil"/>
            </w:tcBorders>
            <w:noWrap/>
            <w:vAlign w:val="center"/>
            <w:hideMark/>
          </w:tcPr>
          <w:p w14:paraId="2A884E54"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07/08/2019</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A31AB15" w14:textId="77777777" w:rsidR="009E0A9E" w:rsidRPr="00C42408" w:rsidRDefault="009E0A9E" w:rsidP="00525437">
            <w:pPr>
              <w:jc w:val="right"/>
              <w:rPr>
                <w:rFonts w:ascii="Arial" w:hAnsi="Arial" w:cs="Arial"/>
                <w:color w:val="000000"/>
                <w:sz w:val="18"/>
                <w:szCs w:val="18"/>
              </w:rPr>
            </w:pPr>
          </w:p>
        </w:tc>
      </w:tr>
      <w:tr w:rsidR="009E0A9E" w:rsidRPr="00C42408" w14:paraId="6EEB6F1C" w14:textId="77777777" w:rsidTr="00C42408">
        <w:trPr>
          <w:trHeight w:val="45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F20E91F"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Ordinaria.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C9C29A5"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Aprobación del proyecto de Reglamento del Sistema Nacional de Rehabilitación Social.</w:t>
            </w:r>
          </w:p>
        </w:tc>
        <w:tc>
          <w:tcPr>
            <w:tcW w:w="0" w:type="auto"/>
            <w:tcBorders>
              <w:top w:val="single" w:sz="4" w:space="0" w:color="auto"/>
              <w:left w:val="single" w:sz="4" w:space="0" w:color="auto"/>
              <w:bottom w:val="single" w:sz="4" w:space="0" w:color="auto"/>
              <w:right w:val="nil"/>
            </w:tcBorders>
            <w:noWrap/>
            <w:vAlign w:val="center"/>
            <w:hideMark/>
          </w:tcPr>
          <w:p w14:paraId="4DF6818C"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30/07/2020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4D4B333" w14:textId="77777777" w:rsidR="009E0A9E" w:rsidRPr="00C42408" w:rsidRDefault="009E0A9E" w:rsidP="00525437">
            <w:pPr>
              <w:jc w:val="right"/>
              <w:rPr>
                <w:rFonts w:ascii="Arial" w:hAnsi="Arial" w:cs="Arial"/>
                <w:color w:val="000000"/>
                <w:sz w:val="18"/>
                <w:szCs w:val="18"/>
              </w:rPr>
            </w:pPr>
          </w:p>
        </w:tc>
      </w:tr>
      <w:tr w:rsidR="009E0A9E" w:rsidRPr="00C42408" w14:paraId="0BE42606" w14:textId="77777777" w:rsidTr="00C42408">
        <w:trPr>
          <w:trHeight w:val="112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9127F3B"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Ordinaria.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5A7D03A" w14:textId="02545EE2"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Informe de acciones desarrolladas por las instituciones que hacen parte del OTSNRS en relación con los Decretos Ejecutivos No. 1125 y No. </w:t>
            </w:r>
            <w:r w:rsidR="00434BA9" w:rsidRPr="00C42408">
              <w:rPr>
                <w:rFonts w:ascii="Arial" w:hAnsi="Arial" w:cs="Arial"/>
                <w:color w:val="000000"/>
                <w:sz w:val="18"/>
                <w:szCs w:val="18"/>
              </w:rPr>
              <w:t>1169 (</w:t>
            </w:r>
            <w:r w:rsidRPr="00C42408">
              <w:rPr>
                <w:rFonts w:ascii="Arial" w:hAnsi="Arial" w:cs="Arial"/>
                <w:color w:val="000000"/>
                <w:sz w:val="18"/>
                <w:szCs w:val="18"/>
              </w:rPr>
              <w:t xml:space="preserve">renovación) y resolución de la Corte Constitucional, referente estado de excepción en el sistema nacional de rehabilitación social. </w:t>
            </w:r>
          </w:p>
        </w:tc>
        <w:tc>
          <w:tcPr>
            <w:tcW w:w="0" w:type="auto"/>
            <w:tcBorders>
              <w:top w:val="single" w:sz="4" w:space="0" w:color="auto"/>
              <w:left w:val="single" w:sz="4" w:space="0" w:color="auto"/>
              <w:bottom w:val="single" w:sz="4" w:space="0" w:color="auto"/>
              <w:right w:val="nil"/>
            </w:tcBorders>
            <w:noWrap/>
            <w:vAlign w:val="center"/>
            <w:hideMark/>
          </w:tcPr>
          <w:p w14:paraId="01EC1A17"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10/11/2020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9B18FBD" w14:textId="77777777" w:rsidR="009E0A9E" w:rsidRPr="00C42408" w:rsidRDefault="009E0A9E" w:rsidP="00525437">
            <w:pPr>
              <w:jc w:val="right"/>
              <w:rPr>
                <w:rFonts w:ascii="Arial" w:hAnsi="Arial" w:cs="Arial"/>
                <w:color w:val="000000"/>
                <w:sz w:val="18"/>
                <w:szCs w:val="18"/>
              </w:rPr>
            </w:pPr>
          </w:p>
        </w:tc>
      </w:tr>
      <w:tr w:rsidR="009E0A9E" w:rsidRPr="00C42408" w14:paraId="5D5221A5" w14:textId="77777777" w:rsidTr="00C42408">
        <w:trPr>
          <w:trHeight w:val="135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A936EEC"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Ordinaria.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5133D29"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Acciones establecidas sobre el estado actual y los avances de infraestructura, servicios básicos, mantenimiento, habitabilidad, talento humano, coordinación interinstitucional para el tratamiento de las personas privadas de libertad, procedimientos de seguridad, previo al funcionamiento del CRS Guayaquil Varones Nro. 3</w:t>
            </w:r>
          </w:p>
        </w:tc>
        <w:tc>
          <w:tcPr>
            <w:tcW w:w="0" w:type="auto"/>
            <w:tcBorders>
              <w:top w:val="single" w:sz="4" w:space="0" w:color="auto"/>
              <w:left w:val="single" w:sz="4" w:space="0" w:color="auto"/>
              <w:bottom w:val="single" w:sz="4" w:space="0" w:color="auto"/>
              <w:right w:val="nil"/>
            </w:tcBorders>
            <w:noWrap/>
            <w:vAlign w:val="center"/>
            <w:hideMark/>
          </w:tcPr>
          <w:p w14:paraId="1E1E172D"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17/12/2020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36BE58E" w14:textId="77777777" w:rsidR="009E0A9E" w:rsidRPr="00C42408" w:rsidRDefault="009E0A9E" w:rsidP="00525437">
            <w:pPr>
              <w:jc w:val="right"/>
              <w:rPr>
                <w:rFonts w:ascii="Arial" w:hAnsi="Arial" w:cs="Arial"/>
                <w:color w:val="000000"/>
                <w:sz w:val="18"/>
                <w:szCs w:val="18"/>
              </w:rPr>
            </w:pPr>
          </w:p>
        </w:tc>
      </w:tr>
      <w:tr w:rsidR="009E0A9E" w:rsidRPr="00C42408" w14:paraId="4E242BD2" w14:textId="77777777" w:rsidTr="00C42408">
        <w:trPr>
          <w:trHeight w:val="67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2E1A576"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Extraordinaria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59576A3"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Tratar situación y acciones implementadas respecto a los hechos presentados el 23 y 24 de febrero del 2021</w:t>
            </w:r>
          </w:p>
        </w:tc>
        <w:tc>
          <w:tcPr>
            <w:tcW w:w="0" w:type="auto"/>
            <w:tcBorders>
              <w:top w:val="single" w:sz="4" w:space="0" w:color="auto"/>
              <w:left w:val="single" w:sz="4" w:space="0" w:color="auto"/>
              <w:bottom w:val="single" w:sz="4" w:space="0" w:color="auto"/>
              <w:right w:val="nil"/>
            </w:tcBorders>
            <w:noWrap/>
            <w:vAlign w:val="center"/>
            <w:hideMark/>
          </w:tcPr>
          <w:p w14:paraId="21F50BBB"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02/03/2021</w:t>
            </w:r>
          </w:p>
        </w:tc>
        <w:tc>
          <w:tcPr>
            <w:tcW w:w="0" w:type="auto"/>
            <w:tcBorders>
              <w:top w:val="single" w:sz="4" w:space="0" w:color="auto"/>
              <w:left w:val="single" w:sz="4" w:space="0" w:color="auto"/>
              <w:bottom w:val="single" w:sz="4" w:space="0" w:color="auto"/>
              <w:right w:val="single" w:sz="4" w:space="0" w:color="auto"/>
            </w:tcBorders>
            <w:vAlign w:val="center"/>
            <w:hideMark/>
          </w:tcPr>
          <w:p w14:paraId="50CFC778"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El Defensor del Pueblo no asiste en función a los aspectos señalados en el Oficio Nro. DPE-DDP-2021-0146-O</w:t>
            </w:r>
          </w:p>
        </w:tc>
      </w:tr>
      <w:tr w:rsidR="009E0A9E" w:rsidRPr="00C42408" w14:paraId="73C9399E" w14:textId="77777777" w:rsidTr="00C42408">
        <w:trPr>
          <w:trHeight w:val="112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CB20056"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Ordinaria.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3C3D668"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Presentación del nuevo Presidente del Directorio, designación de mesa técnica para elaborar diagnóstico, seguimiento y evaluación de problemas estructurales del SNRS; seguimiento del Plan de acción elaborado por el SNAI; definición de estrategias de seguridad; designación de mesa técnica para construir la política </w:t>
            </w:r>
          </w:p>
        </w:tc>
        <w:tc>
          <w:tcPr>
            <w:tcW w:w="0" w:type="auto"/>
            <w:tcBorders>
              <w:top w:val="single" w:sz="4" w:space="0" w:color="auto"/>
              <w:left w:val="single" w:sz="4" w:space="0" w:color="auto"/>
              <w:bottom w:val="single" w:sz="4" w:space="0" w:color="auto"/>
              <w:right w:val="nil"/>
            </w:tcBorders>
            <w:noWrap/>
            <w:vAlign w:val="center"/>
            <w:hideMark/>
          </w:tcPr>
          <w:p w14:paraId="7B053496"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17/03/2021</w:t>
            </w:r>
          </w:p>
        </w:tc>
        <w:tc>
          <w:tcPr>
            <w:tcW w:w="0" w:type="auto"/>
            <w:tcBorders>
              <w:top w:val="single" w:sz="4" w:space="0" w:color="auto"/>
              <w:left w:val="single" w:sz="4" w:space="0" w:color="auto"/>
              <w:bottom w:val="single" w:sz="4" w:space="0" w:color="auto"/>
              <w:right w:val="single" w:sz="4" w:space="0" w:color="auto"/>
            </w:tcBorders>
            <w:vAlign w:val="center"/>
            <w:hideMark/>
          </w:tcPr>
          <w:p w14:paraId="11BF5269"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Asiste la Dra. Zaida Rovira mediante delegación previamente remitida</w:t>
            </w:r>
          </w:p>
        </w:tc>
      </w:tr>
      <w:tr w:rsidR="009E0A9E" w:rsidRPr="00C42408" w14:paraId="64A1B19C" w14:textId="77777777" w:rsidTr="00C42408">
        <w:trPr>
          <w:trHeight w:val="900"/>
        </w:trPr>
        <w:tc>
          <w:tcPr>
            <w:tcW w:w="0" w:type="auto"/>
            <w:tcBorders>
              <w:top w:val="single" w:sz="4" w:space="0" w:color="auto"/>
              <w:left w:val="single" w:sz="4" w:space="0" w:color="auto"/>
              <w:bottom w:val="single" w:sz="4" w:space="0" w:color="auto"/>
              <w:right w:val="single" w:sz="4" w:space="0" w:color="auto"/>
            </w:tcBorders>
            <w:vAlign w:val="center"/>
            <w:hideMark/>
          </w:tcPr>
          <w:p w14:paraId="09B45A70"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Ordinaria permanente en función a lo dispuesto por la CC</w:t>
            </w:r>
          </w:p>
        </w:tc>
        <w:tc>
          <w:tcPr>
            <w:tcW w:w="0" w:type="auto"/>
            <w:tcBorders>
              <w:top w:val="single" w:sz="4" w:space="0" w:color="auto"/>
              <w:left w:val="single" w:sz="4" w:space="0" w:color="auto"/>
              <w:bottom w:val="single" w:sz="4" w:space="0" w:color="auto"/>
              <w:right w:val="single" w:sz="4" w:space="0" w:color="auto"/>
            </w:tcBorders>
            <w:vAlign w:val="center"/>
            <w:hideMark/>
          </w:tcPr>
          <w:p w14:paraId="66FE2DDD" w14:textId="2257700A"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Seguimiento del Plan de acción elaborado por el </w:t>
            </w:r>
            <w:r w:rsidR="00434BA9" w:rsidRPr="00C42408">
              <w:rPr>
                <w:rFonts w:ascii="Arial" w:hAnsi="Arial" w:cs="Arial"/>
                <w:color w:val="000000"/>
                <w:sz w:val="18"/>
                <w:szCs w:val="18"/>
              </w:rPr>
              <w:t>SNAI; definición</w:t>
            </w:r>
            <w:r w:rsidRPr="00C42408">
              <w:rPr>
                <w:rFonts w:ascii="Arial" w:hAnsi="Arial" w:cs="Arial"/>
                <w:color w:val="000000"/>
                <w:sz w:val="18"/>
                <w:szCs w:val="18"/>
              </w:rPr>
              <w:t xml:space="preserve"> de estrategias de seguridad; designación de mesa técnica para construir la política </w:t>
            </w:r>
          </w:p>
        </w:tc>
        <w:tc>
          <w:tcPr>
            <w:tcW w:w="0" w:type="auto"/>
            <w:tcBorders>
              <w:top w:val="single" w:sz="4" w:space="0" w:color="auto"/>
              <w:left w:val="single" w:sz="4" w:space="0" w:color="auto"/>
              <w:bottom w:val="single" w:sz="4" w:space="0" w:color="auto"/>
              <w:right w:val="nil"/>
            </w:tcBorders>
            <w:noWrap/>
            <w:vAlign w:val="center"/>
            <w:hideMark/>
          </w:tcPr>
          <w:p w14:paraId="40325373"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24/03/2021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5B82649" w14:textId="77777777" w:rsidR="009E0A9E" w:rsidRPr="00C42408" w:rsidRDefault="009E0A9E" w:rsidP="00525437">
            <w:pPr>
              <w:jc w:val="right"/>
              <w:rPr>
                <w:rFonts w:ascii="Arial" w:hAnsi="Arial" w:cs="Arial"/>
                <w:color w:val="000000"/>
                <w:sz w:val="18"/>
                <w:szCs w:val="18"/>
              </w:rPr>
            </w:pPr>
          </w:p>
        </w:tc>
      </w:tr>
      <w:tr w:rsidR="009E0A9E" w:rsidRPr="00C42408" w14:paraId="6BFFA5A5" w14:textId="77777777" w:rsidTr="00C42408">
        <w:trPr>
          <w:trHeight w:val="900"/>
        </w:trPr>
        <w:tc>
          <w:tcPr>
            <w:tcW w:w="0" w:type="auto"/>
            <w:tcBorders>
              <w:top w:val="single" w:sz="4" w:space="0" w:color="auto"/>
              <w:left w:val="single" w:sz="4" w:space="0" w:color="auto"/>
              <w:bottom w:val="single" w:sz="4" w:space="0" w:color="auto"/>
              <w:right w:val="single" w:sz="4" w:space="0" w:color="auto"/>
            </w:tcBorders>
            <w:vAlign w:val="center"/>
            <w:hideMark/>
          </w:tcPr>
          <w:p w14:paraId="2A278783"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Ordinaria permanente en función a lo dispuesto por la CC</w:t>
            </w:r>
          </w:p>
        </w:tc>
        <w:tc>
          <w:tcPr>
            <w:tcW w:w="0" w:type="auto"/>
            <w:tcBorders>
              <w:top w:val="single" w:sz="4" w:space="0" w:color="auto"/>
              <w:left w:val="single" w:sz="4" w:space="0" w:color="auto"/>
              <w:bottom w:val="single" w:sz="4" w:space="0" w:color="auto"/>
              <w:right w:val="single" w:sz="4" w:space="0" w:color="auto"/>
            </w:tcBorders>
            <w:vAlign w:val="center"/>
            <w:hideMark/>
          </w:tcPr>
          <w:p w14:paraId="49867E43" w14:textId="222A97EE"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Seguimiento del Plan de acción elaborado por el </w:t>
            </w:r>
            <w:r w:rsidR="00434BA9" w:rsidRPr="00C42408">
              <w:rPr>
                <w:rFonts w:ascii="Arial" w:hAnsi="Arial" w:cs="Arial"/>
                <w:color w:val="000000"/>
                <w:sz w:val="18"/>
                <w:szCs w:val="18"/>
              </w:rPr>
              <w:t>SNAI; definición</w:t>
            </w:r>
            <w:r w:rsidRPr="00C42408">
              <w:rPr>
                <w:rFonts w:ascii="Arial" w:hAnsi="Arial" w:cs="Arial"/>
                <w:color w:val="000000"/>
                <w:sz w:val="18"/>
                <w:szCs w:val="18"/>
              </w:rPr>
              <w:t xml:space="preserve"> de estrategias de seguridad; designación de mesa técnica para construir la política, exposición de acciones realizadas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7A6A9BB"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31/03/2021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FCA3928" w14:textId="77777777" w:rsidR="009E0A9E" w:rsidRPr="00C42408" w:rsidRDefault="009E0A9E" w:rsidP="00525437">
            <w:pPr>
              <w:jc w:val="right"/>
              <w:rPr>
                <w:rFonts w:ascii="Arial" w:hAnsi="Arial" w:cs="Arial"/>
                <w:color w:val="000000"/>
                <w:sz w:val="18"/>
                <w:szCs w:val="18"/>
              </w:rPr>
            </w:pPr>
          </w:p>
        </w:tc>
      </w:tr>
      <w:tr w:rsidR="009E0A9E" w:rsidRPr="00C42408" w14:paraId="625AE80B" w14:textId="77777777" w:rsidTr="00C42408">
        <w:trPr>
          <w:trHeight w:val="2250"/>
        </w:trPr>
        <w:tc>
          <w:tcPr>
            <w:tcW w:w="0" w:type="auto"/>
            <w:tcBorders>
              <w:top w:val="single" w:sz="4" w:space="0" w:color="auto"/>
              <w:left w:val="single" w:sz="4" w:space="0" w:color="auto"/>
              <w:bottom w:val="single" w:sz="4" w:space="0" w:color="auto"/>
              <w:right w:val="single" w:sz="4" w:space="0" w:color="auto"/>
            </w:tcBorders>
            <w:vAlign w:val="center"/>
            <w:hideMark/>
          </w:tcPr>
          <w:p w14:paraId="49829D48"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Ordinaria permanente en función a lo dispuesto por la CC</w:t>
            </w:r>
          </w:p>
        </w:tc>
        <w:tc>
          <w:tcPr>
            <w:tcW w:w="0" w:type="auto"/>
            <w:tcBorders>
              <w:top w:val="single" w:sz="4" w:space="0" w:color="auto"/>
              <w:left w:val="single" w:sz="4" w:space="0" w:color="auto"/>
              <w:bottom w:val="single" w:sz="4" w:space="0" w:color="auto"/>
              <w:right w:val="single" w:sz="4" w:space="0" w:color="auto"/>
            </w:tcBorders>
            <w:vAlign w:val="center"/>
            <w:hideMark/>
          </w:tcPr>
          <w:p w14:paraId="32D8B431"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mediante oficio </w:t>
            </w:r>
            <w:proofErr w:type="spellStart"/>
            <w:r w:rsidRPr="00C42408">
              <w:rPr>
                <w:rFonts w:ascii="Arial" w:hAnsi="Arial" w:cs="Arial"/>
                <w:color w:val="000000"/>
                <w:sz w:val="18"/>
                <w:szCs w:val="18"/>
              </w:rPr>
              <w:t>Nº</w:t>
            </w:r>
            <w:proofErr w:type="spellEnd"/>
            <w:r w:rsidRPr="00C42408">
              <w:rPr>
                <w:rFonts w:ascii="Arial" w:hAnsi="Arial" w:cs="Arial"/>
                <w:color w:val="000000"/>
                <w:sz w:val="18"/>
                <w:szCs w:val="18"/>
              </w:rPr>
              <w:t xml:space="preserve"> MDG-2021-0783-OF de 01 de abril de 2021, el señor Ministro de Gobierno, Presidente del Directorio del Organismo Técnico, convocó a la continuación de la sesión ordinaria </w:t>
            </w:r>
            <w:proofErr w:type="spellStart"/>
            <w:r w:rsidRPr="00C42408">
              <w:rPr>
                <w:rFonts w:ascii="Arial" w:hAnsi="Arial" w:cs="Arial"/>
                <w:color w:val="000000"/>
                <w:sz w:val="18"/>
                <w:szCs w:val="18"/>
              </w:rPr>
              <w:t>Nº</w:t>
            </w:r>
            <w:proofErr w:type="spellEnd"/>
            <w:r w:rsidRPr="00C42408">
              <w:rPr>
                <w:rFonts w:ascii="Arial" w:hAnsi="Arial" w:cs="Arial"/>
                <w:color w:val="000000"/>
                <w:sz w:val="18"/>
                <w:szCs w:val="18"/>
              </w:rPr>
              <w:t xml:space="preserve"> 5, toda vez que el Directorio se encuentra convocado en sesión permanente. El orden del día de la referida sesión es: "1. Participación de las autoridades convocadas mediante Oficio Nro. MDG-2021-0765-OF, para tratar las medidas cautelares dentro del juicio No. 17297-2021-00409. 2. Presentación de avances en el diseño de la política pública referente al Sistema de Rehabilitación Social. 3. Puntos varios.".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E8577E5"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08/04/2021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1555998" w14:textId="77777777" w:rsidR="009E0A9E" w:rsidRPr="00C42408" w:rsidRDefault="009E0A9E" w:rsidP="00525437">
            <w:pPr>
              <w:jc w:val="right"/>
              <w:rPr>
                <w:rFonts w:ascii="Arial" w:hAnsi="Arial" w:cs="Arial"/>
                <w:color w:val="000000"/>
                <w:sz w:val="18"/>
                <w:szCs w:val="18"/>
              </w:rPr>
            </w:pPr>
          </w:p>
        </w:tc>
      </w:tr>
      <w:tr w:rsidR="009E0A9E" w:rsidRPr="00C42408" w14:paraId="62C3E563" w14:textId="77777777" w:rsidTr="00C42408">
        <w:trPr>
          <w:trHeight w:val="3150"/>
        </w:trPr>
        <w:tc>
          <w:tcPr>
            <w:tcW w:w="0" w:type="auto"/>
            <w:tcBorders>
              <w:top w:val="single" w:sz="4" w:space="0" w:color="auto"/>
              <w:left w:val="single" w:sz="4" w:space="0" w:color="auto"/>
              <w:bottom w:val="single" w:sz="4" w:space="0" w:color="auto"/>
              <w:right w:val="single" w:sz="4" w:space="0" w:color="auto"/>
            </w:tcBorders>
            <w:vAlign w:val="center"/>
            <w:hideMark/>
          </w:tcPr>
          <w:p w14:paraId="5484E74E"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Ordinaria permanente en función a lo dispuesto por la CC</w:t>
            </w:r>
          </w:p>
        </w:tc>
        <w:tc>
          <w:tcPr>
            <w:tcW w:w="0" w:type="auto"/>
            <w:tcBorders>
              <w:top w:val="single" w:sz="4" w:space="0" w:color="auto"/>
              <w:left w:val="single" w:sz="4" w:space="0" w:color="auto"/>
              <w:bottom w:val="single" w:sz="4" w:space="0" w:color="auto"/>
              <w:right w:val="single" w:sz="4" w:space="0" w:color="auto"/>
            </w:tcBorders>
            <w:vAlign w:val="center"/>
            <w:hideMark/>
          </w:tcPr>
          <w:p w14:paraId="09AA781A" w14:textId="059E4613"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Mediante Oficio Nro. MDG-2021-0860-OF se convoca a la sesión Ordinaria No.5 del DOTSRS, que se encuentra instalada con el carácter permanente La jornada de trabajo se llevará a cabo </w:t>
            </w:r>
            <w:r w:rsidR="00AC3F0B" w:rsidRPr="00C42408">
              <w:rPr>
                <w:rFonts w:ascii="Arial" w:hAnsi="Arial" w:cs="Arial"/>
                <w:color w:val="000000"/>
                <w:sz w:val="18"/>
                <w:szCs w:val="18"/>
              </w:rPr>
              <w:t>de acuerdo con el</w:t>
            </w:r>
            <w:r w:rsidRPr="00C42408">
              <w:rPr>
                <w:rFonts w:ascii="Arial" w:hAnsi="Arial" w:cs="Arial"/>
                <w:color w:val="000000"/>
                <w:sz w:val="18"/>
                <w:szCs w:val="18"/>
              </w:rPr>
              <w:t xml:space="preserve"> siguiente orden del día: </w:t>
            </w:r>
            <w:r w:rsidRPr="00C42408">
              <w:rPr>
                <w:rFonts w:ascii="Arial" w:hAnsi="Arial" w:cs="Arial"/>
                <w:color w:val="000000"/>
                <w:sz w:val="18"/>
                <w:szCs w:val="18"/>
              </w:rPr>
              <w:br/>
              <w:t xml:space="preserve">1. Instalación de la sesión. </w:t>
            </w:r>
            <w:r w:rsidRPr="00C42408">
              <w:rPr>
                <w:rFonts w:ascii="Arial" w:hAnsi="Arial" w:cs="Arial"/>
                <w:color w:val="000000"/>
                <w:sz w:val="18"/>
                <w:szCs w:val="18"/>
              </w:rPr>
              <w:br/>
              <w:t xml:space="preserve">2. Constatación de quorum. </w:t>
            </w:r>
            <w:r w:rsidRPr="00C42408">
              <w:rPr>
                <w:rFonts w:ascii="Arial" w:hAnsi="Arial" w:cs="Arial"/>
                <w:color w:val="000000"/>
                <w:sz w:val="18"/>
                <w:szCs w:val="18"/>
              </w:rPr>
              <w:br/>
              <w:t>3. Intervención del Presidente del Directorio del Organismo Técnico del Sistema Nacional de</w:t>
            </w:r>
            <w:r w:rsidRPr="00C42408">
              <w:rPr>
                <w:rFonts w:ascii="Arial" w:hAnsi="Arial" w:cs="Arial"/>
                <w:color w:val="000000"/>
                <w:sz w:val="18"/>
                <w:szCs w:val="18"/>
              </w:rPr>
              <w:br/>
              <w:t xml:space="preserve">Rehabilitación Social. </w:t>
            </w:r>
            <w:r w:rsidRPr="00C42408">
              <w:rPr>
                <w:rFonts w:ascii="Arial" w:hAnsi="Arial" w:cs="Arial"/>
                <w:color w:val="000000"/>
                <w:sz w:val="18"/>
                <w:szCs w:val="18"/>
              </w:rPr>
              <w:br/>
              <w:t>4. Intervención del Director General del Servicio Nacional de Atención Integral a Personal</w:t>
            </w:r>
            <w:r w:rsidRPr="00C42408">
              <w:rPr>
                <w:rFonts w:ascii="Arial" w:hAnsi="Arial" w:cs="Arial"/>
                <w:color w:val="000000"/>
                <w:sz w:val="18"/>
                <w:szCs w:val="18"/>
              </w:rPr>
              <w:br/>
              <w:t xml:space="preserve">Adultas Privadas de la Libertad y a Adolescentes Infractores. </w:t>
            </w:r>
            <w:r w:rsidRPr="00C42408">
              <w:rPr>
                <w:rFonts w:ascii="Arial" w:hAnsi="Arial" w:cs="Arial"/>
                <w:color w:val="000000"/>
                <w:sz w:val="18"/>
                <w:szCs w:val="18"/>
              </w:rPr>
              <w:br/>
              <w:t xml:space="preserve">5. Puntos varios. </w:t>
            </w:r>
            <w:r w:rsidRPr="00C42408">
              <w:rPr>
                <w:rFonts w:ascii="Arial" w:hAnsi="Arial" w:cs="Arial"/>
                <w:color w:val="000000"/>
                <w:sz w:val="18"/>
                <w:szCs w:val="18"/>
              </w:rPr>
              <w:br/>
              <w:t>6. Recorrido por las instalaciones del CRS -Masculino Guayas No.4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BCE2BF9"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15/04/2021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F79E7F1"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Reunión presencial en Guayaquil</w:t>
            </w:r>
          </w:p>
        </w:tc>
      </w:tr>
      <w:tr w:rsidR="009E0A9E" w:rsidRPr="00C42408" w14:paraId="3AE86FD7" w14:textId="77777777" w:rsidTr="00C42408">
        <w:trPr>
          <w:trHeight w:val="2669"/>
        </w:trPr>
        <w:tc>
          <w:tcPr>
            <w:tcW w:w="0" w:type="auto"/>
            <w:tcBorders>
              <w:top w:val="single" w:sz="4" w:space="0" w:color="auto"/>
              <w:left w:val="single" w:sz="4" w:space="0" w:color="auto"/>
              <w:bottom w:val="single" w:sz="4" w:space="0" w:color="auto"/>
              <w:right w:val="single" w:sz="4" w:space="0" w:color="auto"/>
            </w:tcBorders>
            <w:vAlign w:val="center"/>
            <w:hideMark/>
          </w:tcPr>
          <w:p w14:paraId="1043E2D5"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Ordinaria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761AD05"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Mediante Oficio Nro. MDG-2021-1217-OF se convoca a la sesión Ordinaria No.5 del DOTSRS, la jornada de trabajo se llevará a cabo de acuerdo con el siguiente orden del día:  </w:t>
            </w:r>
            <w:r w:rsidRPr="00C42408">
              <w:rPr>
                <w:rFonts w:ascii="Arial" w:hAnsi="Arial" w:cs="Arial"/>
                <w:color w:val="000000"/>
                <w:sz w:val="18"/>
                <w:szCs w:val="18"/>
              </w:rPr>
              <w:br/>
              <w:t>1. Intervención del Director General del Servicio Nacional de Atención Integral a Personas Adultas Privadas de la Libertad y a Adolescentes Infractores, respecto a los hechos suscitados el miércoles 28 de abril de 2021 en los Centros de Rehabilitación</w:t>
            </w:r>
            <w:r w:rsidRPr="00C42408">
              <w:rPr>
                <w:rFonts w:ascii="Arial" w:hAnsi="Arial" w:cs="Arial"/>
                <w:color w:val="000000"/>
                <w:sz w:val="18"/>
                <w:szCs w:val="18"/>
              </w:rPr>
              <w:br/>
              <w:t xml:space="preserve">Social a nivel nacional. </w:t>
            </w:r>
            <w:r w:rsidRPr="00C42408">
              <w:rPr>
                <w:rFonts w:ascii="Arial" w:hAnsi="Arial" w:cs="Arial"/>
                <w:color w:val="000000"/>
                <w:sz w:val="18"/>
                <w:szCs w:val="18"/>
              </w:rPr>
              <w:br/>
              <w:t xml:space="preserve">2. Presentación de los avances sobre la inclusión de las personas privadas de libertad (PPL) y los Agentes de Seguridad Penitenciaria (ASP) al “PLAN DE VACUNACIÓN COVID 19”. </w:t>
            </w:r>
            <w:r w:rsidRPr="00C42408">
              <w:rPr>
                <w:rFonts w:ascii="Arial" w:hAnsi="Arial" w:cs="Arial"/>
                <w:color w:val="000000"/>
                <w:sz w:val="18"/>
                <w:szCs w:val="18"/>
              </w:rPr>
              <w:br/>
              <w:t xml:space="preserve">3. Intervención de la Comandante General de la Policía Nacional, respecto a la situación de los Centros de Detención Provisional (CDP) que actualmente se encuentran en las instalaciones de la Policía Nacional. </w:t>
            </w:r>
            <w:r w:rsidRPr="00C42408">
              <w:rPr>
                <w:rFonts w:ascii="Arial" w:hAnsi="Arial" w:cs="Arial"/>
                <w:color w:val="000000"/>
                <w:sz w:val="18"/>
                <w:szCs w:val="18"/>
              </w:rPr>
              <w:br/>
              <w:t xml:space="preserve">4.Presentación de avances en el diseño de la política pública referente al Sistema de Rehabilitación Social.  </w:t>
            </w:r>
            <w:r w:rsidRPr="00C42408">
              <w:rPr>
                <w:rFonts w:ascii="Arial" w:hAnsi="Arial" w:cs="Arial"/>
                <w:color w:val="000000"/>
                <w:sz w:val="18"/>
                <w:szCs w:val="18"/>
              </w:rPr>
              <w:br/>
              <w:t>5. Puntos varios.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9374FAB"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04/05/2021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9F80518" w14:textId="77777777" w:rsidR="009E0A9E" w:rsidRPr="00C42408" w:rsidRDefault="009E0A9E" w:rsidP="00525437">
            <w:pPr>
              <w:jc w:val="right"/>
              <w:rPr>
                <w:rFonts w:ascii="Arial" w:hAnsi="Arial" w:cs="Arial"/>
                <w:color w:val="000000"/>
                <w:sz w:val="18"/>
                <w:szCs w:val="18"/>
              </w:rPr>
            </w:pPr>
          </w:p>
        </w:tc>
      </w:tr>
      <w:tr w:rsidR="009E0A9E" w:rsidRPr="00C42408" w14:paraId="24D5EEBE" w14:textId="77777777" w:rsidTr="00C42408">
        <w:trPr>
          <w:trHeight w:val="3150"/>
        </w:trPr>
        <w:tc>
          <w:tcPr>
            <w:tcW w:w="0" w:type="auto"/>
            <w:tcBorders>
              <w:top w:val="single" w:sz="4" w:space="0" w:color="auto"/>
              <w:left w:val="single" w:sz="4" w:space="0" w:color="auto"/>
              <w:bottom w:val="single" w:sz="4" w:space="0" w:color="auto"/>
              <w:right w:val="single" w:sz="4" w:space="0" w:color="auto"/>
            </w:tcBorders>
            <w:vAlign w:val="center"/>
            <w:hideMark/>
          </w:tcPr>
          <w:p w14:paraId="02176A58"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Ordinaria permanente en función a lo dispuesto por la CC</w:t>
            </w:r>
          </w:p>
        </w:tc>
        <w:tc>
          <w:tcPr>
            <w:tcW w:w="0" w:type="auto"/>
            <w:tcBorders>
              <w:top w:val="single" w:sz="4" w:space="0" w:color="auto"/>
              <w:left w:val="single" w:sz="4" w:space="0" w:color="auto"/>
              <w:bottom w:val="single" w:sz="4" w:space="0" w:color="auto"/>
              <w:right w:val="single" w:sz="4" w:space="0" w:color="auto"/>
            </w:tcBorders>
            <w:vAlign w:val="center"/>
            <w:hideMark/>
          </w:tcPr>
          <w:p w14:paraId="57576046" w14:textId="3FA55AD4"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Mediante Oficio Nro. MDG-2021-1447-OF se convoca a la sesión Ordinaria No.5 del DOTSRS, que se encuentra instalada con el carácter permanente la jornada de trabajo se </w:t>
            </w:r>
            <w:r w:rsidR="00434BA9" w:rsidRPr="00C42408">
              <w:rPr>
                <w:rFonts w:ascii="Arial" w:hAnsi="Arial" w:cs="Arial"/>
                <w:color w:val="000000"/>
                <w:sz w:val="18"/>
                <w:szCs w:val="18"/>
              </w:rPr>
              <w:t>llevó</w:t>
            </w:r>
            <w:r w:rsidRPr="00C42408">
              <w:rPr>
                <w:rFonts w:ascii="Arial" w:hAnsi="Arial" w:cs="Arial"/>
                <w:color w:val="000000"/>
                <w:sz w:val="18"/>
                <w:szCs w:val="18"/>
              </w:rPr>
              <w:t xml:space="preserve"> a cabo </w:t>
            </w:r>
            <w:r w:rsidR="00AC3F0B" w:rsidRPr="00C42408">
              <w:rPr>
                <w:rFonts w:ascii="Arial" w:hAnsi="Arial" w:cs="Arial"/>
                <w:color w:val="000000"/>
                <w:sz w:val="18"/>
                <w:szCs w:val="18"/>
              </w:rPr>
              <w:t>de acuerdo con el</w:t>
            </w:r>
            <w:r w:rsidRPr="00C42408">
              <w:rPr>
                <w:rFonts w:ascii="Arial" w:hAnsi="Arial" w:cs="Arial"/>
                <w:color w:val="000000"/>
                <w:sz w:val="18"/>
                <w:szCs w:val="18"/>
              </w:rPr>
              <w:t xml:space="preserve"> siguiente orden del día:                                                                                                          1. Propuesta de validación y aprobación de la Política Nacional del Sistema de Rehabilitación Social.                  </w:t>
            </w:r>
          </w:p>
          <w:p w14:paraId="4E154103" w14:textId="217656AB"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2. Fase 1 del Plan de Vacunación COVID 19- Agentes de Seguridad Penitenciaria (ASP).                                                     3. Intervención de la Secretaria Jurídica de la Presidencia de la República respecto al Decreto Ejecutivo 1313 de 10 de mayo de 2021 – Reglamento para la concesión de indulto, conmutación o rebaja </w:t>
            </w:r>
            <w:r w:rsidR="00434BA9" w:rsidRPr="00C42408">
              <w:rPr>
                <w:rFonts w:ascii="Arial" w:hAnsi="Arial" w:cs="Arial"/>
                <w:color w:val="000000"/>
                <w:sz w:val="18"/>
                <w:szCs w:val="18"/>
              </w:rPr>
              <w:t>de penas</w:t>
            </w:r>
            <w:r w:rsidRPr="00C42408">
              <w:rPr>
                <w:rFonts w:ascii="Arial" w:hAnsi="Arial" w:cs="Arial"/>
                <w:color w:val="000000"/>
                <w:sz w:val="18"/>
                <w:szCs w:val="18"/>
              </w:rPr>
              <w:t>.                                                 4. Conocimiento y aprobación de las resoluciones de la Sesión Ordinaria No. 5 del Directorio del Organismo Técnico de Rehabilitación Social.                                                5.Otros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06BE9EE"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18/05/2021</w:t>
            </w:r>
          </w:p>
        </w:tc>
        <w:tc>
          <w:tcPr>
            <w:tcW w:w="0" w:type="auto"/>
            <w:tcBorders>
              <w:top w:val="single" w:sz="4" w:space="0" w:color="auto"/>
              <w:left w:val="single" w:sz="4" w:space="0" w:color="auto"/>
              <w:bottom w:val="single" w:sz="4" w:space="0" w:color="auto"/>
              <w:right w:val="single" w:sz="4" w:space="0" w:color="auto"/>
            </w:tcBorders>
            <w:vAlign w:val="center"/>
            <w:hideMark/>
          </w:tcPr>
          <w:p w14:paraId="66FA2121"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Respecto a la sesión extraordinaria Nro. 5 fue declarada permanente desde el 17 de marzo del 2021 al 18 de mayo del 2021, respecto de la cual el DOTSNRS se generó el acta de sesión respectiva socializada mediante Oficio Nro. SNAI-SNAI-2022-0013-O</w:t>
            </w:r>
          </w:p>
        </w:tc>
      </w:tr>
      <w:tr w:rsidR="009E0A9E" w:rsidRPr="00C42408" w14:paraId="64FACFED" w14:textId="77777777" w:rsidTr="00C42408">
        <w:trPr>
          <w:trHeight w:val="819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E34BD40"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Extraordinaria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84D0C02"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Mediante  Oficio Nro. SNAI-SNAI-2021-0557-O se informa que Mediante oficio </w:t>
            </w:r>
            <w:proofErr w:type="spellStart"/>
            <w:r w:rsidRPr="00C42408">
              <w:rPr>
                <w:rFonts w:ascii="Arial" w:hAnsi="Arial" w:cs="Arial"/>
                <w:color w:val="000000"/>
                <w:sz w:val="18"/>
                <w:szCs w:val="18"/>
              </w:rPr>
              <w:t>Nº</w:t>
            </w:r>
            <w:proofErr w:type="spellEnd"/>
            <w:r w:rsidRPr="00C42408">
              <w:rPr>
                <w:rFonts w:ascii="Arial" w:hAnsi="Arial" w:cs="Arial"/>
                <w:color w:val="000000"/>
                <w:sz w:val="18"/>
                <w:szCs w:val="18"/>
              </w:rPr>
              <w:t xml:space="preserve"> SDH-SDH-2021-0796-OF de 04 de octubre de 2021, la Secretaria de Derechos Humanos,</w:t>
            </w:r>
            <w:r w:rsidRPr="00C42408">
              <w:rPr>
                <w:rFonts w:ascii="Arial" w:hAnsi="Arial" w:cs="Arial"/>
                <w:color w:val="000000"/>
                <w:sz w:val="18"/>
                <w:szCs w:val="18"/>
              </w:rPr>
              <w:br/>
              <w:t>Abg. María Bernarda Ordóñez Moscoso, solicita a esta Dirección General del Servicio Nacional de Atención</w:t>
            </w:r>
            <w:r w:rsidRPr="00C42408">
              <w:rPr>
                <w:rFonts w:ascii="Arial" w:hAnsi="Arial" w:cs="Arial"/>
                <w:color w:val="000000"/>
                <w:sz w:val="18"/>
                <w:szCs w:val="18"/>
              </w:rPr>
              <w:br/>
              <w:t>Integral a Personas Adultas Privadas de la Libertad y a Adolescentes Infractores SNAI, que al amparo del artículo 6 del Reglamento de Sesiones y Funcionamiento del Directorio del Organismo Técnico del Sistema</w:t>
            </w:r>
            <w:r w:rsidRPr="00C42408">
              <w:rPr>
                <w:rFonts w:ascii="Arial" w:hAnsi="Arial" w:cs="Arial"/>
                <w:color w:val="000000"/>
                <w:sz w:val="18"/>
                <w:szCs w:val="18"/>
              </w:rPr>
              <w:br/>
              <w:t>Nacional De Rehabilitación Social, se convoque a la sesión extraordinaria del Directorio. Mediante oficio</w:t>
            </w:r>
            <w:r w:rsidRPr="00C42408">
              <w:rPr>
                <w:rFonts w:ascii="Arial" w:hAnsi="Arial" w:cs="Arial"/>
                <w:color w:val="000000"/>
                <w:sz w:val="18"/>
                <w:szCs w:val="18"/>
              </w:rPr>
              <w:br/>
            </w:r>
            <w:proofErr w:type="spellStart"/>
            <w:r w:rsidRPr="00C42408">
              <w:rPr>
                <w:rFonts w:ascii="Arial" w:hAnsi="Arial" w:cs="Arial"/>
                <w:color w:val="000000"/>
                <w:sz w:val="18"/>
                <w:szCs w:val="18"/>
              </w:rPr>
              <w:t>Nº</w:t>
            </w:r>
            <w:proofErr w:type="spellEnd"/>
            <w:r w:rsidRPr="00C42408">
              <w:rPr>
                <w:rFonts w:ascii="Arial" w:hAnsi="Arial" w:cs="Arial"/>
                <w:color w:val="000000"/>
                <w:sz w:val="18"/>
                <w:szCs w:val="18"/>
              </w:rPr>
              <w:t xml:space="preserve"> SDH-SDH-2021-0797-OF de 05 de octubre de 2021, la Secretaria de Derechos Humanos, Abg. María</w:t>
            </w:r>
            <w:r w:rsidRPr="00C42408">
              <w:rPr>
                <w:rFonts w:ascii="Arial" w:hAnsi="Arial" w:cs="Arial"/>
                <w:color w:val="000000"/>
                <w:sz w:val="18"/>
                <w:szCs w:val="18"/>
              </w:rPr>
              <w:br/>
              <w:t xml:space="preserve">Bernarda Ordóñez Moscoso, remitió un alcance al documento en el cual modifica la hora de la convocatoria, para tratar el siguiente orden del día: </w:t>
            </w:r>
            <w:r w:rsidRPr="00C42408">
              <w:rPr>
                <w:rFonts w:ascii="Arial" w:hAnsi="Arial" w:cs="Arial"/>
                <w:color w:val="000000"/>
                <w:sz w:val="18"/>
                <w:szCs w:val="18"/>
              </w:rPr>
              <w:br/>
              <w:t>1. Contexto actual y síntesis del número de sesiones realizadas anteriormente por parte del Directorio del</w:t>
            </w:r>
            <w:r w:rsidRPr="00C42408">
              <w:rPr>
                <w:rFonts w:ascii="Arial" w:hAnsi="Arial" w:cs="Arial"/>
                <w:color w:val="000000"/>
                <w:sz w:val="18"/>
                <w:szCs w:val="18"/>
              </w:rPr>
              <w:br/>
              <w:t>Organismo Técnico, las principales acciones y decisiones que se tomaron en ese marco e identificar los</w:t>
            </w:r>
            <w:r w:rsidRPr="00C42408">
              <w:rPr>
                <w:rFonts w:ascii="Arial" w:hAnsi="Arial" w:cs="Arial"/>
                <w:color w:val="000000"/>
                <w:sz w:val="18"/>
                <w:szCs w:val="18"/>
              </w:rPr>
              <w:br/>
              <w:t xml:space="preserve">delegados de las instituciones que conforman el Directorio y que participaron en las sesiones realizadas </w:t>
            </w:r>
            <w:r w:rsidRPr="00C42408">
              <w:rPr>
                <w:rFonts w:ascii="Arial" w:hAnsi="Arial" w:cs="Arial"/>
                <w:color w:val="000000"/>
                <w:sz w:val="18"/>
                <w:szCs w:val="18"/>
              </w:rPr>
              <w:br/>
              <w:t xml:space="preserve">anteriormente. </w:t>
            </w:r>
            <w:r w:rsidRPr="00C42408">
              <w:rPr>
                <w:rFonts w:ascii="Arial" w:hAnsi="Arial" w:cs="Arial"/>
                <w:color w:val="000000"/>
                <w:sz w:val="18"/>
                <w:szCs w:val="18"/>
              </w:rPr>
              <w:br/>
              <w:t>Responsable: Servicio Nacional de Atención Integral para Personas Privadas de Libertad y Adolescentes en</w:t>
            </w:r>
            <w:r w:rsidRPr="00C42408">
              <w:rPr>
                <w:rFonts w:ascii="Arial" w:hAnsi="Arial" w:cs="Arial"/>
                <w:color w:val="000000"/>
                <w:sz w:val="18"/>
                <w:szCs w:val="18"/>
              </w:rPr>
              <w:br/>
              <w:t xml:space="preserve">conflicto con la Ley. </w:t>
            </w:r>
            <w:r w:rsidRPr="00C42408">
              <w:rPr>
                <w:rFonts w:ascii="Arial" w:hAnsi="Arial" w:cs="Arial"/>
                <w:color w:val="000000"/>
                <w:sz w:val="18"/>
                <w:szCs w:val="18"/>
              </w:rPr>
              <w:br/>
              <w:t xml:space="preserve">2. Aprobación del Plan de Trabajo y Hoja de Ruta por parte de los miembros del Directorio. </w:t>
            </w:r>
            <w:r w:rsidRPr="00C42408">
              <w:rPr>
                <w:rFonts w:ascii="Arial" w:hAnsi="Arial" w:cs="Arial"/>
                <w:color w:val="000000"/>
                <w:sz w:val="18"/>
                <w:szCs w:val="18"/>
              </w:rPr>
              <w:br/>
              <w:t xml:space="preserve">Responsable: Secretaría de Derechos Humanos. </w:t>
            </w:r>
            <w:r w:rsidRPr="00C42408">
              <w:rPr>
                <w:rFonts w:ascii="Arial" w:hAnsi="Arial" w:cs="Arial"/>
                <w:color w:val="000000"/>
                <w:sz w:val="18"/>
                <w:szCs w:val="18"/>
              </w:rPr>
              <w:br/>
              <w:t xml:space="preserve">3. Compromiso para la conformación de las Mesas Técnicas en las siguientes 24 horas de clausurada la sesión. </w:t>
            </w:r>
            <w:r w:rsidRPr="00C42408">
              <w:rPr>
                <w:rFonts w:ascii="Arial" w:hAnsi="Arial" w:cs="Arial"/>
                <w:color w:val="000000"/>
                <w:sz w:val="18"/>
                <w:szCs w:val="18"/>
              </w:rPr>
              <w:br/>
              <w:t xml:space="preserve">Responsable: Secretaría de Derechos Humanos. </w:t>
            </w:r>
            <w:r w:rsidRPr="00C42408">
              <w:rPr>
                <w:rFonts w:ascii="Arial" w:hAnsi="Arial" w:cs="Arial"/>
                <w:color w:val="000000"/>
                <w:sz w:val="18"/>
                <w:szCs w:val="18"/>
              </w:rPr>
              <w:br/>
              <w:t>4. Socialización de los documentos existentes para el trabajo del Directorio: 1) Decreto Ejecutivo Nro. 215; 2)</w:t>
            </w:r>
            <w:r w:rsidRPr="00C42408">
              <w:rPr>
                <w:rFonts w:ascii="Arial" w:hAnsi="Arial" w:cs="Arial"/>
                <w:color w:val="000000"/>
                <w:sz w:val="18"/>
                <w:szCs w:val="18"/>
              </w:rPr>
              <w:br/>
              <w:t>Reglamento de Sesiones y Funcionamiento del Directorio del Organismo Técnico del Sistema Nacional de Rehabilitación Social; 3) Reglamento del Sistema Nacional de Rehabilitación Social; y 4) Política Pública del</w:t>
            </w:r>
            <w:r w:rsidRPr="00C42408">
              <w:rPr>
                <w:rFonts w:ascii="Arial" w:hAnsi="Arial" w:cs="Arial"/>
                <w:color w:val="000000"/>
                <w:sz w:val="18"/>
                <w:szCs w:val="18"/>
              </w:rPr>
              <w:br/>
              <w:t xml:space="preserve">Sistema Nacional de Rehabilitación Social. </w:t>
            </w:r>
            <w:r w:rsidRPr="00C42408">
              <w:rPr>
                <w:rFonts w:ascii="Arial" w:hAnsi="Arial" w:cs="Arial"/>
                <w:color w:val="000000"/>
                <w:sz w:val="18"/>
                <w:szCs w:val="18"/>
              </w:rPr>
              <w:br/>
              <w:t>Responsable: Servicio Nacional de Atención Integral para Personas Privadas de Libertad y Adolescentes en</w:t>
            </w:r>
            <w:r w:rsidRPr="00C42408">
              <w:rPr>
                <w:rFonts w:ascii="Arial" w:hAnsi="Arial" w:cs="Arial"/>
                <w:color w:val="000000"/>
                <w:sz w:val="18"/>
                <w:szCs w:val="18"/>
              </w:rPr>
              <w:br/>
              <w:t xml:space="preserve">conflicto con la Ley. </w:t>
            </w:r>
            <w:r w:rsidRPr="00C42408">
              <w:rPr>
                <w:rFonts w:ascii="Arial" w:hAnsi="Arial" w:cs="Arial"/>
                <w:color w:val="000000"/>
                <w:sz w:val="18"/>
                <w:szCs w:val="18"/>
              </w:rPr>
              <w:br/>
              <w:t xml:space="preserve">5. Varios. </w:t>
            </w:r>
            <w:r w:rsidRPr="00C42408">
              <w:rPr>
                <w:rFonts w:ascii="Arial" w:hAnsi="Arial" w:cs="Arial"/>
                <w:color w:val="000000"/>
                <w:sz w:val="18"/>
                <w:szCs w:val="18"/>
              </w:rPr>
              <w:br/>
              <w:t>Responsable: Secretaría de Derechos Humanos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ED24E58"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07/10/2021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514407D" w14:textId="77777777" w:rsidR="009E0A9E" w:rsidRPr="00C42408" w:rsidRDefault="009E0A9E" w:rsidP="00525437">
            <w:pPr>
              <w:jc w:val="right"/>
              <w:rPr>
                <w:rFonts w:ascii="Arial" w:hAnsi="Arial" w:cs="Arial"/>
                <w:color w:val="000000"/>
                <w:sz w:val="18"/>
                <w:szCs w:val="18"/>
              </w:rPr>
            </w:pPr>
          </w:p>
        </w:tc>
      </w:tr>
      <w:tr w:rsidR="009E0A9E" w:rsidRPr="00C42408" w14:paraId="2B51D2E6" w14:textId="77777777" w:rsidTr="00C42408">
        <w:trPr>
          <w:trHeight w:val="479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0507B31C"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 xml:space="preserve">Extraordinaria </w:t>
            </w:r>
          </w:p>
        </w:tc>
        <w:tc>
          <w:tcPr>
            <w:tcW w:w="0" w:type="auto"/>
            <w:tcBorders>
              <w:top w:val="single" w:sz="4" w:space="0" w:color="auto"/>
              <w:left w:val="single" w:sz="4" w:space="0" w:color="auto"/>
              <w:bottom w:val="single" w:sz="4" w:space="0" w:color="auto"/>
              <w:right w:val="single" w:sz="4" w:space="0" w:color="auto"/>
            </w:tcBorders>
            <w:vAlign w:val="center"/>
            <w:hideMark/>
          </w:tcPr>
          <w:p w14:paraId="136EDDE4"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Mediante oficio Nro. Oficio Nro. SNAI-SNAI-2021-0570-O se convoca a la continuación Sesión Extraordinaria 003 (declarada permanente) del Directorio del Organismo Técnico del Sistema Nacional de Rehabilitación Social para tratar el siguiente orden del día: </w:t>
            </w:r>
            <w:r w:rsidRPr="00C42408">
              <w:rPr>
                <w:rFonts w:ascii="Arial" w:hAnsi="Arial" w:cs="Arial"/>
                <w:color w:val="000000"/>
                <w:sz w:val="18"/>
                <w:szCs w:val="18"/>
              </w:rPr>
              <w:br/>
              <w:t xml:space="preserve">1. Presentación del Plan para la implementación de unidades judiciales de garantías penitenciarias y detalle de las gestiones realizadas en el Ministerio de Economía y Finanzas en el contexto de necesidades del sistema penitenciario, a fin de que el insumo sea analizado en el contexto de las necesidades del sistema penitenciario y, sobre todo, en el marco de la aprobación del Plan Nacional de Desarrollo 2021-2025 (en cuanto al eje de justicia se refiere), en concordancia con la decisión 7.1 del Auto de verificación de cumplimiento de la Corte Constitucional 14-12-AN-21 </w:t>
            </w:r>
            <w:r w:rsidRPr="00C42408">
              <w:rPr>
                <w:rFonts w:ascii="Arial" w:hAnsi="Arial" w:cs="Arial"/>
                <w:color w:val="000000"/>
                <w:sz w:val="18"/>
                <w:szCs w:val="18"/>
              </w:rPr>
              <w:br/>
              <w:t>Responsable: Consejo de la Judicatura</w:t>
            </w:r>
            <w:r w:rsidRPr="00C42408">
              <w:rPr>
                <w:rFonts w:ascii="Arial" w:hAnsi="Arial" w:cs="Arial"/>
                <w:color w:val="000000"/>
                <w:sz w:val="18"/>
                <w:szCs w:val="18"/>
              </w:rPr>
              <w:br/>
              <w:t xml:space="preserve">2. Presentación sobre la inclusión de los aspectos importantes de la sentencia Nro. 209-15-JH/19 y 365-18-JH/19, en los programas de la Escuela de la Función Judicial, así como del “Programa de formación en Garantías Penitenciarias”, el contenido de dichos programas, su cronograma y el registro de participantes, en concordancia con las decisiones 9.3, 9.4 y 9.5 del Auto de verificación de cumplimiento de la Corte Constitucional 14-12-AN-21 </w:t>
            </w:r>
            <w:r w:rsidRPr="00C42408">
              <w:rPr>
                <w:rFonts w:ascii="Arial" w:hAnsi="Arial" w:cs="Arial"/>
                <w:color w:val="000000"/>
                <w:sz w:val="18"/>
                <w:szCs w:val="18"/>
              </w:rPr>
              <w:br/>
              <w:t>Responsable: Consejo de la Judicatura</w:t>
            </w:r>
            <w:r w:rsidRPr="00C42408">
              <w:rPr>
                <w:rFonts w:ascii="Arial" w:hAnsi="Arial" w:cs="Arial"/>
                <w:color w:val="000000"/>
                <w:sz w:val="18"/>
                <w:szCs w:val="18"/>
              </w:rPr>
              <w:br/>
              <w:t xml:space="preserve">3. Presentación de los insumos sobre el Plan de contingencia para el registro estandarizado de información y las Directrices de evaluación e implementación del Plan de contingencia, para consideración del Directorio en el marco del objetivo cuatro de la política pública aprobada “Diseñar e implementar un Sistema de Información de las personas privadas de libertad”, en concordancia con la decisión 7.2 del Auto de verificación de cumplimiento de la Corte Constitucional 14-12-AN-21. </w:t>
            </w:r>
            <w:r w:rsidRPr="00C42408">
              <w:rPr>
                <w:rFonts w:ascii="Arial" w:hAnsi="Arial" w:cs="Arial"/>
                <w:color w:val="000000"/>
                <w:sz w:val="18"/>
                <w:szCs w:val="18"/>
              </w:rPr>
              <w:br/>
              <w:t>Responsable: SNAI</w:t>
            </w:r>
            <w:r w:rsidRPr="00C42408">
              <w:rPr>
                <w:rFonts w:ascii="Arial" w:hAnsi="Arial" w:cs="Arial"/>
                <w:color w:val="000000"/>
                <w:sz w:val="18"/>
                <w:szCs w:val="18"/>
              </w:rPr>
              <w:br/>
              <w:t xml:space="preserve">4. Varios </w:t>
            </w:r>
            <w:r w:rsidRPr="00C42408">
              <w:rPr>
                <w:rFonts w:ascii="Arial" w:hAnsi="Arial" w:cs="Arial"/>
                <w:color w:val="000000"/>
                <w:sz w:val="18"/>
                <w:szCs w:val="18"/>
              </w:rPr>
              <w:br/>
              <w:t>Responsable: Secretaría de Derechos Humanos.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F432775"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13/10/2021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E4D6CBF" w14:textId="77777777" w:rsidR="009E0A9E" w:rsidRPr="00C42408" w:rsidRDefault="009E0A9E" w:rsidP="00525437">
            <w:pPr>
              <w:jc w:val="right"/>
              <w:rPr>
                <w:rFonts w:ascii="Arial" w:hAnsi="Arial" w:cs="Arial"/>
                <w:color w:val="000000"/>
                <w:sz w:val="18"/>
                <w:szCs w:val="18"/>
              </w:rPr>
            </w:pPr>
          </w:p>
        </w:tc>
      </w:tr>
      <w:tr w:rsidR="009E0A9E" w:rsidRPr="00C42408" w14:paraId="41E07DCD" w14:textId="77777777" w:rsidTr="00C42408">
        <w:trPr>
          <w:trHeight w:val="2250"/>
        </w:trPr>
        <w:tc>
          <w:tcPr>
            <w:tcW w:w="0" w:type="auto"/>
            <w:tcBorders>
              <w:top w:val="single" w:sz="4" w:space="0" w:color="auto"/>
              <w:left w:val="single" w:sz="4" w:space="0" w:color="auto"/>
              <w:bottom w:val="single" w:sz="4" w:space="0" w:color="auto"/>
              <w:right w:val="single" w:sz="4" w:space="0" w:color="auto"/>
            </w:tcBorders>
            <w:vAlign w:val="center"/>
            <w:hideMark/>
          </w:tcPr>
          <w:p w14:paraId="7D14909A"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Extraordinaria permanente sesión 3</w:t>
            </w:r>
          </w:p>
        </w:tc>
        <w:tc>
          <w:tcPr>
            <w:tcW w:w="0" w:type="auto"/>
            <w:tcBorders>
              <w:top w:val="single" w:sz="4" w:space="0" w:color="auto"/>
              <w:left w:val="single" w:sz="4" w:space="0" w:color="auto"/>
              <w:bottom w:val="single" w:sz="4" w:space="0" w:color="auto"/>
              <w:right w:val="single" w:sz="4" w:space="0" w:color="auto"/>
            </w:tcBorders>
            <w:vAlign w:val="center"/>
            <w:hideMark/>
          </w:tcPr>
          <w:p w14:paraId="18FC55FD"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Mediante Oficio Nro. SNAI-SNAI-2021-0588 O se convoca a reunión extraordinaria para tratar el siguiente orden del día:</w:t>
            </w:r>
            <w:r w:rsidRPr="00C42408">
              <w:rPr>
                <w:rFonts w:ascii="Arial" w:hAnsi="Arial" w:cs="Arial"/>
                <w:color w:val="000000"/>
                <w:sz w:val="18"/>
                <w:szCs w:val="18"/>
              </w:rPr>
              <w:br/>
              <w:t>1. Presentación de la mesa técnica que se encargue de la consecución del diseño e insumos técnicos que garanticen el objetivo de institucionalizar al SNAI y aprobación del Estatuto orgánico y perfil de puestos.</w:t>
            </w:r>
            <w:r w:rsidRPr="00C42408">
              <w:rPr>
                <w:rFonts w:ascii="Arial" w:hAnsi="Arial" w:cs="Arial"/>
                <w:color w:val="000000"/>
                <w:sz w:val="18"/>
                <w:szCs w:val="18"/>
              </w:rPr>
              <w:br/>
              <w:t>2. Aprobación de la resolución para permitir el ingreso de cámaras y grabadoras de voz a los centros de privación de libertad al MNPT de la Defensoría del Pueblo.</w:t>
            </w:r>
            <w:r w:rsidRPr="00C42408">
              <w:rPr>
                <w:rFonts w:ascii="Arial" w:hAnsi="Arial" w:cs="Arial"/>
                <w:color w:val="000000"/>
                <w:sz w:val="18"/>
                <w:szCs w:val="18"/>
              </w:rPr>
              <w:br/>
              <w:t>3. Varios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37B9012"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20/10/2021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652CF1D" w14:textId="77777777" w:rsidR="009E0A9E" w:rsidRPr="00C42408" w:rsidRDefault="009E0A9E" w:rsidP="00525437">
            <w:pPr>
              <w:jc w:val="right"/>
              <w:rPr>
                <w:rFonts w:ascii="Arial" w:hAnsi="Arial" w:cs="Arial"/>
                <w:color w:val="000000"/>
                <w:sz w:val="18"/>
                <w:szCs w:val="18"/>
              </w:rPr>
            </w:pPr>
          </w:p>
        </w:tc>
      </w:tr>
      <w:tr w:rsidR="009E0A9E" w:rsidRPr="00C42408" w14:paraId="1E058262" w14:textId="77777777" w:rsidTr="00C42408">
        <w:trPr>
          <w:trHeight w:val="1350"/>
        </w:trPr>
        <w:tc>
          <w:tcPr>
            <w:tcW w:w="0" w:type="auto"/>
            <w:tcBorders>
              <w:top w:val="single" w:sz="4" w:space="0" w:color="auto"/>
              <w:left w:val="single" w:sz="4" w:space="0" w:color="auto"/>
              <w:bottom w:val="single" w:sz="4" w:space="0" w:color="auto"/>
              <w:right w:val="single" w:sz="4" w:space="0" w:color="auto"/>
            </w:tcBorders>
            <w:vAlign w:val="center"/>
            <w:hideMark/>
          </w:tcPr>
          <w:p w14:paraId="5C46FB63"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Extraordinaria permanente sesión 3</w:t>
            </w:r>
          </w:p>
        </w:tc>
        <w:tc>
          <w:tcPr>
            <w:tcW w:w="0" w:type="auto"/>
            <w:tcBorders>
              <w:top w:val="single" w:sz="4" w:space="0" w:color="auto"/>
              <w:left w:val="single" w:sz="4" w:space="0" w:color="auto"/>
              <w:bottom w:val="single" w:sz="4" w:space="0" w:color="auto"/>
              <w:right w:val="single" w:sz="4" w:space="0" w:color="auto"/>
            </w:tcBorders>
            <w:vAlign w:val="center"/>
            <w:hideMark/>
          </w:tcPr>
          <w:p w14:paraId="2A26DD9B" w14:textId="77E5D3F0"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Mediante Oficio Nro. SNAI-SNAI-2021-0679 O se convoca a reunión extraordinaria para tratar el siguiente orden del </w:t>
            </w:r>
            <w:r w:rsidR="00434BA9" w:rsidRPr="00C42408">
              <w:rPr>
                <w:rFonts w:ascii="Arial" w:hAnsi="Arial" w:cs="Arial"/>
                <w:color w:val="000000"/>
                <w:sz w:val="18"/>
                <w:szCs w:val="18"/>
              </w:rPr>
              <w:t>día</w:t>
            </w:r>
            <w:r w:rsidRPr="00C42408">
              <w:rPr>
                <w:rFonts w:ascii="Arial" w:hAnsi="Arial" w:cs="Arial"/>
                <w:color w:val="000000"/>
                <w:sz w:val="18"/>
                <w:szCs w:val="18"/>
              </w:rPr>
              <w:t>:</w:t>
            </w:r>
            <w:r w:rsidRPr="00C42408">
              <w:rPr>
                <w:rFonts w:ascii="Arial" w:hAnsi="Arial" w:cs="Arial"/>
                <w:color w:val="000000"/>
                <w:sz w:val="18"/>
                <w:szCs w:val="18"/>
              </w:rPr>
              <w:br/>
              <w:t xml:space="preserve">1. Realización de censo penitenciario </w:t>
            </w:r>
            <w:r w:rsidRPr="00C42408">
              <w:rPr>
                <w:rFonts w:ascii="Arial" w:hAnsi="Arial" w:cs="Arial"/>
                <w:color w:val="000000"/>
                <w:sz w:val="18"/>
                <w:szCs w:val="18"/>
              </w:rPr>
              <w:br/>
              <w:t>2. Metodología para la resolución del número de expedientes que se deben revisar en cada centro de privación de libertad por parte del MNPT ante la disposición de la CC.</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0105894"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25/10/2021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E22F45D" w14:textId="77777777" w:rsidR="009E0A9E" w:rsidRPr="00C42408" w:rsidRDefault="009E0A9E" w:rsidP="00525437">
            <w:pPr>
              <w:jc w:val="right"/>
              <w:rPr>
                <w:rFonts w:ascii="Arial" w:hAnsi="Arial" w:cs="Arial"/>
                <w:color w:val="000000"/>
                <w:sz w:val="18"/>
                <w:szCs w:val="18"/>
              </w:rPr>
            </w:pPr>
          </w:p>
        </w:tc>
      </w:tr>
      <w:tr w:rsidR="009E0A9E" w:rsidRPr="00C42408" w14:paraId="1E4A5737" w14:textId="77777777" w:rsidTr="00C42408">
        <w:trPr>
          <w:trHeight w:val="2925"/>
        </w:trPr>
        <w:tc>
          <w:tcPr>
            <w:tcW w:w="0" w:type="auto"/>
            <w:tcBorders>
              <w:top w:val="single" w:sz="4" w:space="0" w:color="auto"/>
              <w:left w:val="single" w:sz="4" w:space="0" w:color="auto"/>
              <w:bottom w:val="single" w:sz="4" w:space="0" w:color="auto"/>
              <w:right w:val="single" w:sz="4" w:space="0" w:color="auto"/>
            </w:tcBorders>
            <w:vAlign w:val="center"/>
            <w:hideMark/>
          </w:tcPr>
          <w:p w14:paraId="5467A0F9"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Extraordinaria permanente sesión 3</w:t>
            </w:r>
          </w:p>
        </w:tc>
        <w:tc>
          <w:tcPr>
            <w:tcW w:w="0" w:type="auto"/>
            <w:tcBorders>
              <w:top w:val="single" w:sz="4" w:space="0" w:color="auto"/>
              <w:left w:val="single" w:sz="4" w:space="0" w:color="auto"/>
              <w:bottom w:val="single" w:sz="4" w:space="0" w:color="auto"/>
              <w:right w:val="single" w:sz="4" w:space="0" w:color="auto"/>
            </w:tcBorders>
            <w:vAlign w:val="center"/>
            <w:hideMark/>
          </w:tcPr>
          <w:p w14:paraId="26975337" w14:textId="79D9EE0C"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Mediante Oficio Nro. SNAI-SNAI-2021-0628 O se convoca a reunión extraordinaria para tratar el siguiente orden del día:</w:t>
            </w:r>
            <w:r w:rsidRPr="00C42408">
              <w:rPr>
                <w:rFonts w:ascii="Arial" w:hAnsi="Arial" w:cs="Arial"/>
                <w:color w:val="000000"/>
                <w:sz w:val="18"/>
                <w:szCs w:val="18"/>
              </w:rPr>
              <w:br/>
            </w:r>
            <w:r w:rsidR="00434BA9" w:rsidRPr="00C42408">
              <w:rPr>
                <w:rFonts w:ascii="Arial" w:hAnsi="Arial" w:cs="Arial"/>
                <w:color w:val="000000"/>
                <w:sz w:val="18"/>
                <w:szCs w:val="18"/>
              </w:rPr>
              <w:t xml:space="preserve">1. </w:t>
            </w:r>
            <w:r w:rsidR="00B93283" w:rsidRPr="00C42408">
              <w:rPr>
                <w:rFonts w:ascii="Arial" w:hAnsi="Arial" w:cs="Arial"/>
                <w:color w:val="000000"/>
                <w:sz w:val="18"/>
                <w:szCs w:val="18"/>
              </w:rPr>
              <w:t>Presentación</w:t>
            </w:r>
            <w:r w:rsidRPr="00C42408">
              <w:rPr>
                <w:rFonts w:ascii="Arial" w:hAnsi="Arial" w:cs="Arial"/>
                <w:color w:val="000000"/>
                <w:sz w:val="18"/>
                <w:szCs w:val="18"/>
              </w:rPr>
              <w:t xml:space="preserve"> de metodología para realización del censo penitenciario </w:t>
            </w:r>
            <w:r w:rsidRPr="00C42408">
              <w:rPr>
                <w:rFonts w:ascii="Arial" w:hAnsi="Arial" w:cs="Arial"/>
                <w:color w:val="000000"/>
                <w:sz w:val="18"/>
                <w:szCs w:val="18"/>
              </w:rPr>
              <w:br/>
              <w:t xml:space="preserve">2. presentación y discusión de las principales observaciones realizadas al Ecuador en el séptimo informe OPCAT </w:t>
            </w:r>
            <w:r w:rsidRPr="00C42408">
              <w:rPr>
                <w:rFonts w:ascii="Arial" w:hAnsi="Arial" w:cs="Arial"/>
                <w:color w:val="000000"/>
                <w:sz w:val="18"/>
                <w:szCs w:val="18"/>
              </w:rPr>
              <w:br/>
              <w:t>3. Presentación del informe mensual respecto al cumplimiento de las disposiciones del auto de verificación 14-12 AN</w:t>
            </w:r>
            <w:r w:rsidRPr="00C42408">
              <w:rPr>
                <w:rFonts w:ascii="Arial" w:hAnsi="Arial" w:cs="Arial"/>
                <w:color w:val="000000"/>
                <w:sz w:val="18"/>
                <w:szCs w:val="18"/>
              </w:rPr>
              <w:br/>
              <w:t>4. Varios la presidenta solicita cambiar orden del día y dispone que el MNPT de la Defensoría del Presida una comisión de intervención emergente de los centros d privación de libertad para atender la crisis presentada. Además del cierre de la sesión extraordinaria a fin de levantar el acta y remitir a la CC</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66027E5"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10/11/2021</w:t>
            </w:r>
          </w:p>
        </w:tc>
        <w:tc>
          <w:tcPr>
            <w:tcW w:w="0" w:type="auto"/>
            <w:tcBorders>
              <w:top w:val="single" w:sz="4" w:space="0" w:color="auto"/>
              <w:left w:val="single" w:sz="4" w:space="0" w:color="auto"/>
              <w:bottom w:val="single" w:sz="4" w:space="0" w:color="auto"/>
              <w:right w:val="single" w:sz="4" w:space="0" w:color="auto"/>
            </w:tcBorders>
            <w:vAlign w:val="center"/>
            <w:hideMark/>
          </w:tcPr>
          <w:p w14:paraId="01E7378A"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Se levanta acta de las sesiones permanentes que es socializada a los miembros del DOTSNTS mediante Oficio Nro.  SNAI-SNAI-2022-0013</w:t>
            </w:r>
          </w:p>
        </w:tc>
      </w:tr>
      <w:tr w:rsidR="009E0A9E" w:rsidRPr="00C42408" w14:paraId="29FF9E6A" w14:textId="77777777" w:rsidTr="00C42408">
        <w:trPr>
          <w:trHeight w:val="450"/>
        </w:trPr>
        <w:tc>
          <w:tcPr>
            <w:tcW w:w="0" w:type="auto"/>
            <w:tcBorders>
              <w:top w:val="single" w:sz="4" w:space="0" w:color="auto"/>
              <w:left w:val="single" w:sz="4" w:space="0" w:color="auto"/>
              <w:bottom w:val="single" w:sz="4" w:space="0" w:color="auto"/>
              <w:right w:val="single" w:sz="4" w:space="0" w:color="auto"/>
            </w:tcBorders>
            <w:vAlign w:val="center"/>
            <w:hideMark/>
          </w:tcPr>
          <w:p w14:paraId="2500A7A9"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 xml:space="preserve">Ordinaria </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CBE3C"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 xml:space="preserve">Convocatoria para aprobación de aprobación de política pública </w:t>
            </w:r>
          </w:p>
        </w:tc>
        <w:tc>
          <w:tcPr>
            <w:tcW w:w="0" w:type="auto"/>
            <w:tcBorders>
              <w:top w:val="single" w:sz="4" w:space="0" w:color="auto"/>
              <w:left w:val="single" w:sz="4" w:space="0" w:color="auto"/>
              <w:bottom w:val="single" w:sz="4" w:space="0" w:color="auto"/>
              <w:right w:val="single" w:sz="4" w:space="0" w:color="auto"/>
            </w:tcBorders>
            <w:vAlign w:val="center"/>
            <w:hideMark/>
          </w:tcPr>
          <w:p w14:paraId="408AD458"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18/02/2022</w:t>
            </w:r>
          </w:p>
        </w:tc>
        <w:tc>
          <w:tcPr>
            <w:tcW w:w="0" w:type="auto"/>
            <w:tcBorders>
              <w:top w:val="single" w:sz="4" w:space="0" w:color="auto"/>
              <w:left w:val="single" w:sz="4" w:space="0" w:color="auto"/>
              <w:bottom w:val="single" w:sz="4" w:space="0" w:color="auto"/>
              <w:right w:val="single" w:sz="4" w:space="0" w:color="auto"/>
            </w:tcBorders>
            <w:vAlign w:val="center"/>
            <w:hideMark/>
          </w:tcPr>
          <w:p w14:paraId="290117ED" w14:textId="7AC2FD6D"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 xml:space="preserve">Se aprueba la política pública y </w:t>
            </w:r>
            <w:r w:rsidR="00434BA9" w:rsidRPr="00C42408">
              <w:rPr>
                <w:rFonts w:ascii="Arial" w:hAnsi="Arial" w:cs="Arial"/>
                <w:color w:val="000000"/>
                <w:sz w:val="18"/>
                <w:szCs w:val="18"/>
              </w:rPr>
              <w:t>posteriormente fue</w:t>
            </w:r>
            <w:r w:rsidRPr="00C42408">
              <w:rPr>
                <w:rFonts w:ascii="Arial" w:hAnsi="Arial" w:cs="Arial"/>
                <w:color w:val="000000"/>
                <w:sz w:val="18"/>
                <w:szCs w:val="18"/>
              </w:rPr>
              <w:t xml:space="preserve"> presentada el 21 de febrero del 2022 ante el Presidente de la República </w:t>
            </w:r>
          </w:p>
        </w:tc>
      </w:tr>
      <w:tr w:rsidR="009E0A9E" w:rsidRPr="00C42408" w14:paraId="10A1E651" w14:textId="77777777" w:rsidTr="00C42408">
        <w:trPr>
          <w:trHeight w:val="2025"/>
        </w:trPr>
        <w:tc>
          <w:tcPr>
            <w:tcW w:w="0" w:type="auto"/>
            <w:tcBorders>
              <w:top w:val="single" w:sz="4" w:space="0" w:color="auto"/>
              <w:left w:val="single" w:sz="4" w:space="0" w:color="auto"/>
              <w:bottom w:val="single" w:sz="4" w:space="0" w:color="auto"/>
              <w:right w:val="single" w:sz="4" w:space="0" w:color="auto"/>
            </w:tcBorders>
            <w:vAlign w:val="center"/>
            <w:hideMark/>
          </w:tcPr>
          <w:p w14:paraId="4E6D0EA4"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Ordinaria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48D78404"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Mediante Oficio SNAI-SNAI-2022-0764-O se convoca a reunión del Directorio del Organismo Técnico del SNRS para tratar el siguiente orden del día:</w:t>
            </w:r>
            <w:r w:rsidRPr="00C42408">
              <w:rPr>
                <w:rFonts w:ascii="Arial" w:hAnsi="Arial" w:cs="Arial"/>
                <w:color w:val="000000"/>
                <w:sz w:val="18"/>
                <w:szCs w:val="18"/>
              </w:rPr>
              <w:br/>
              <w:t>1. Rendición de cuentas 2021 del Directorio del Organismo Técnico del Sistema Nacional de Rehabilitación Social y acciones urgentes para el año 2022</w:t>
            </w:r>
            <w:r w:rsidRPr="00C42408">
              <w:rPr>
                <w:rFonts w:ascii="Arial" w:hAnsi="Arial" w:cs="Arial"/>
                <w:color w:val="000000"/>
                <w:sz w:val="18"/>
                <w:szCs w:val="18"/>
              </w:rPr>
              <w:br/>
              <w:t>Responsable: Cada institución integrante del Directorio del Organismo Técnico.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EF07083"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21/04/2022</w:t>
            </w:r>
          </w:p>
        </w:tc>
        <w:tc>
          <w:tcPr>
            <w:tcW w:w="0" w:type="auto"/>
            <w:tcBorders>
              <w:top w:val="single" w:sz="4" w:space="0" w:color="auto"/>
              <w:left w:val="single" w:sz="4" w:space="0" w:color="auto"/>
              <w:bottom w:val="single" w:sz="4" w:space="0" w:color="auto"/>
              <w:right w:val="single" w:sz="4" w:space="0" w:color="auto"/>
            </w:tcBorders>
            <w:vAlign w:val="center"/>
            <w:hideMark/>
          </w:tcPr>
          <w:p w14:paraId="39190A03" w14:textId="649590D6"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Adicionalmente se atendieron los </w:t>
            </w:r>
            <w:r w:rsidR="00434BA9" w:rsidRPr="00C42408">
              <w:rPr>
                <w:rFonts w:ascii="Arial" w:hAnsi="Arial" w:cs="Arial"/>
                <w:color w:val="000000"/>
                <w:sz w:val="18"/>
                <w:szCs w:val="18"/>
              </w:rPr>
              <w:t>aspectos expuestos</w:t>
            </w:r>
            <w:r w:rsidRPr="00C42408">
              <w:rPr>
                <w:rFonts w:ascii="Arial" w:hAnsi="Arial" w:cs="Arial"/>
                <w:color w:val="000000"/>
                <w:sz w:val="18"/>
                <w:szCs w:val="18"/>
              </w:rPr>
              <w:t xml:space="preserve"> por el Defensor respecto a inseguridad en los centros, el Vicedirector del Centro de Inteligencia Estratégica mencionó que no existen registros del informe de inteligencia sobre SNRS, por lo cual se </w:t>
            </w:r>
            <w:r w:rsidR="00434BA9" w:rsidRPr="00C42408">
              <w:rPr>
                <w:rFonts w:ascii="Arial" w:hAnsi="Arial" w:cs="Arial"/>
                <w:color w:val="000000"/>
                <w:sz w:val="18"/>
                <w:szCs w:val="18"/>
              </w:rPr>
              <w:t>elaboró</w:t>
            </w:r>
            <w:r w:rsidRPr="00C42408">
              <w:rPr>
                <w:rFonts w:ascii="Arial" w:hAnsi="Arial" w:cs="Arial"/>
                <w:color w:val="000000"/>
                <w:sz w:val="18"/>
                <w:szCs w:val="18"/>
              </w:rPr>
              <w:t xml:space="preserve"> un nuevo informe en agosto del 2021</w:t>
            </w:r>
          </w:p>
        </w:tc>
      </w:tr>
      <w:tr w:rsidR="009E0A9E" w:rsidRPr="00C42408" w14:paraId="7C90E119" w14:textId="77777777" w:rsidTr="00C42408">
        <w:trPr>
          <w:trHeight w:val="3825"/>
        </w:trPr>
        <w:tc>
          <w:tcPr>
            <w:tcW w:w="0" w:type="auto"/>
            <w:tcBorders>
              <w:top w:val="single" w:sz="4" w:space="0" w:color="auto"/>
              <w:left w:val="single" w:sz="4" w:space="0" w:color="auto"/>
              <w:bottom w:val="single" w:sz="4" w:space="0" w:color="auto"/>
              <w:right w:val="single" w:sz="4" w:space="0" w:color="auto"/>
            </w:tcBorders>
            <w:vAlign w:val="center"/>
            <w:hideMark/>
          </w:tcPr>
          <w:p w14:paraId="2E0D6102"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Extraordinaria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F4A50"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Mediante  Oficio Nro. SNAI-SNAI-2022-0993-O se pone en  conocimiento que mediante Oficio Nro. SDH-SDH-022-0288-OF de 24 de mayo de 2022, la Secretaria de Derechos Humanos, Abg. Paola Flores, en su calidad de Presidenta del Directorio del Organismo Técnico, ha solicitado a esta</w:t>
            </w:r>
            <w:r w:rsidRPr="00C42408">
              <w:rPr>
                <w:rFonts w:ascii="Arial" w:hAnsi="Arial" w:cs="Arial"/>
                <w:color w:val="000000"/>
                <w:sz w:val="18"/>
                <w:szCs w:val="18"/>
              </w:rPr>
              <w:br/>
              <w:t>Cartera de Estado emitir la respectiva convocatoria y orden del día para la sesión extraordinaria Nro. 005 del Directorio del Organismo Técnico del Sistema Nacional de Rehabilitación Social, en donde indica:</w:t>
            </w:r>
            <w:r w:rsidRPr="00C42408">
              <w:rPr>
                <w:rFonts w:ascii="Arial" w:hAnsi="Arial" w:cs="Arial"/>
                <w:color w:val="000000"/>
                <w:sz w:val="18"/>
                <w:szCs w:val="18"/>
              </w:rPr>
              <w:br/>
              <w:t>"(...) dando cumplimiento al inciso final del artículo 6 del Decreto Ejecutivo Nro. 560 y al numeral</w:t>
            </w:r>
            <w:r w:rsidRPr="00C42408">
              <w:rPr>
                <w:rFonts w:ascii="Arial" w:hAnsi="Arial" w:cs="Arial"/>
                <w:color w:val="000000"/>
                <w:sz w:val="18"/>
                <w:szCs w:val="18"/>
              </w:rPr>
              <w:br/>
              <w:t>5 del artículo 3 del "Reglamento de Sesiones y Funcionamiento del Directorio del Organismo</w:t>
            </w:r>
            <w:r w:rsidRPr="00C42408">
              <w:rPr>
                <w:rFonts w:ascii="Arial" w:hAnsi="Arial" w:cs="Arial"/>
                <w:color w:val="000000"/>
                <w:sz w:val="18"/>
                <w:szCs w:val="18"/>
              </w:rPr>
              <w:br/>
              <w:t>Técnico", me permito solicitar se convoque de manera indelegable a las máximas autoridades de</w:t>
            </w:r>
            <w:r w:rsidRPr="00C42408">
              <w:rPr>
                <w:rFonts w:ascii="Arial" w:hAnsi="Arial" w:cs="Arial"/>
                <w:color w:val="000000"/>
                <w:sz w:val="18"/>
                <w:szCs w:val="18"/>
              </w:rPr>
              <w:br/>
              <w:t>los integrantes del DOT con el objetivo de participar en la Sesión Extraordinaria Nro. 005"</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2CEEE"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26/05/2022</w:t>
            </w:r>
          </w:p>
        </w:tc>
        <w:tc>
          <w:tcPr>
            <w:tcW w:w="0" w:type="auto"/>
            <w:tcBorders>
              <w:top w:val="single" w:sz="4" w:space="0" w:color="auto"/>
              <w:left w:val="single" w:sz="4" w:space="0" w:color="auto"/>
              <w:bottom w:val="single" w:sz="4" w:space="0" w:color="auto"/>
              <w:right w:val="single" w:sz="4" w:space="0" w:color="auto"/>
            </w:tcBorders>
            <w:vAlign w:val="center"/>
            <w:hideMark/>
          </w:tcPr>
          <w:p w14:paraId="06296192"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En virtud de lo mencionado, pongo en su conocimiento el orden del día:</w:t>
            </w:r>
            <w:r w:rsidRPr="00C42408">
              <w:rPr>
                <w:rFonts w:ascii="Arial" w:hAnsi="Arial" w:cs="Arial"/>
                <w:color w:val="000000"/>
                <w:sz w:val="18"/>
                <w:szCs w:val="18"/>
              </w:rPr>
              <w:br/>
              <w:t>1. Informe de acciones de los miembros que conforman el DOT sobre la implementación de la Política Pública de Rehabilitación Social 2022-2025</w:t>
            </w:r>
            <w:r w:rsidRPr="00C42408">
              <w:rPr>
                <w:rFonts w:ascii="Arial" w:hAnsi="Arial" w:cs="Arial"/>
                <w:color w:val="000000"/>
                <w:sz w:val="18"/>
                <w:szCs w:val="18"/>
              </w:rPr>
              <w:br/>
              <w:t>Responsable: Cada institución integrante del DOT informará sobre las acciones de implementación de la Política Pública de Rehabilitación Social 2022-2025 y coordinación con otras entidades</w:t>
            </w:r>
          </w:p>
        </w:tc>
      </w:tr>
      <w:tr w:rsidR="009E0A9E" w:rsidRPr="00C42408" w14:paraId="4EB1D93A" w14:textId="77777777" w:rsidTr="00C42408">
        <w:trPr>
          <w:trHeight w:val="4370"/>
        </w:trPr>
        <w:tc>
          <w:tcPr>
            <w:tcW w:w="0" w:type="auto"/>
            <w:tcBorders>
              <w:top w:val="single" w:sz="4" w:space="0" w:color="auto"/>
              <w:left w:val="single" w:sz="4" w:space="0" w:color="auto"/>
              <w:bottom w:val="single" w:sz="4" w:space="0" w:color="auto"/>
              <w:right w:val="single" w:sz="4" w:space="0" w:color="auto"/>
            </w:tcBorders>
            <w:vAlign w:val="center"/>
            <w:hideMark/>
          </w:tcPr>
          <w:p w14:paraId="5D186BB9"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Extraordinaria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E98AED" w14:textId="7D6D2E42"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Mediante Oficio Nro. SNAI-SNAI-2022-1041-O se convoca a la Convocatoria para la Sesión </w:t>
            </w:r>
            <w:r w:rsidR="00434BA9" w:rsidRPr="00C42408">
              <w:rPr>
                <w:rFonts w:ascii="Arial" w:hAnsi="Arial" w:cs="Arial"/>
                <w:color w:val="000000"/>
                <w:sz w:val="18"/>
                <w:szCs w:val="18"/>
              </w:rPr>
              <w:t>Extraordinaria</w:t>
            </w:r>
            <w:r w:rsidRPr="00C42408">
              <w:rPr>
                <w:rFonts w:ascii="Arial" w:hAnsi="Arial" w:cs="Arial"/>
                <w:color w:val="000000"/>
                <w:sz w:val="18"/>
                <w:szCs w:val="18"/>
              </w:rPr>
              <w:t xml:space="preserve"> Nro. 001 del DOTSNRS que se llevará a cabo de manera presencial el lunes 06 de junio, a las 15h00 en las instalaciones del ECU911, "Salón de Crisis del Sistema Integrado de Seguridad SIS ECU 911", para tratar el siguiente orden del día: </w:t>
            </w:r>
            <w:r w:rsidRPr="00C42408">
              <w:rPr>
                <w:rFonts w:ascii="Arial" w:hAnsi="Arial" w:cs="Arial"/>
                <w:color w:val="000000"/>
                <w:sz w:val="18"/>
                <w:szCs w:val="18"/>
              </w:rPr>
              <w:br/>
              <w:t>1. Propuesta del SNAI para la desconcentración de la revisión de expedientes para el otorgamiento de los beneficios penitenciarios.</w:t>
            </w:r>
            <w:r w:rsidRPr="00C42408">
              <w:rPr>
                <w:rFonts w:ascii="Arial" w:hAnsi="Arial" w:cs="Arial"/>
                <w:color w:val="000000"/>
                <w:sz w:val="18"/>
                <w:szCs w:val="18"/>
              </w:rPr>
              <w:br/>
              <w:t>Responsable: SNAI.</w:t>
            </w:r>
            <w:r w:rsidRPr="00C42408">
              <w:rPr>
                <w:rFonts w:ascii="Arial" w:hAnsi="Arial" w:cs="Arial"/>
                <w:color w:val="000000"/>
                <w:sz w:val="18"/>
                <w:szCs w:val="18"/>
              </w:rPr>
              <w:br/>
              <w:t>2. Campaña para la administración de la tercera dosis de vacuna contra COVID y plan de acción</w:t>
            </w:r>
            <w:r w:rsidRPr="00C42408">
              <w:rPr>
                <w:rFonts w:ascii="Arial" w:hAnsi="Arial" w:cs="Arial"/>
                <w:color w:val="000000"/>
                <w:sz w:val="18"/>
                <w:szCs w:val="18"/>
              </w:rPr>
              <w:br/>
              <w:t>para la seguridad de ingreso de los equipos de salud a las instalaciones de los centros de privación</w:t>
            </w:r>
            <w:r w:rsidRPr="00C42408">
              <w:rPr>
                <w:rFonts w:ascii="Arial" w:hAnsi="Arial" w:cs="Arial"/>
                <w:color w:val="000000"/>
                <w:sz w:val="18"/>
                <w:szCs w:val="18"/>
              </w:rPr>
              <w:br/>
              <w:t>de la libertad.</w:t>
            </w:r>
            <w:r w:rsidRPr="00C42408">
              <w:rPr>
                <w:rFonts w:ascii="Arial" w:hAnsi="Arial" w:cs="Arial"/>
                <w:color w:val="000000"/>
                <w:sz w:val="18"/>
                <w:szCs w:val="18"/>
              </w:rPr>
              <w:br/>
              <w:t>Responsable: MSP y SNAI</w:t>
            </w:r>
            <w:r w:rsidRPr="00C42408">
              <w:rPr>
                <w:rFonts w:ascii="Arial" w:hAnsi="Arial" w:cs="Arial"/>
                <w:color w:val="000000"/>
                <w:sz w:val="18"/>
                <w:szCs w:val="18"/>
              </w:rPr>
              <w:br/>
              <w:t>3. Acuerdo de elaboración de protocolos para el manejo de situaciones de crisis penitenciaria, por cada institución que conforma el Directorio del Organismo Técnico</w:t>
            </w:r>
            <w:r w:rsidRPr="00C42408">
              <w:rPr>
                <w:rFonts w:ascii="Arial" w:hAnsi="Arial" w:cs="Arial"/>
                <w:color w:val="000000"/>
                <w:sz w:val="18"/>
                <w:szCs w:val="18"/>
              </w:rPr>
              <w:br/>
              <w:t>Responsable: Todas las instituciones del Directorio del Organismo Técnico</w:t>
            </w:r>
            <w:r w:rsidRPr="00C42408">
              <w:rPr>
                <w:rFonts w:ascii="Arial" w:hAnsi="Arial" w:cs="Arial"/>
                <w:color w:val="000000"/>
                <w:sz w:val="18"/>
                <w:szCs w:val="18"/>
              </w:rPr>
              <w:br/>
              <w:t>4. Verificación y priorización de las líneas de acción de la Política Pública.</w:t>
            </w:r>
            <w:r w:rsidRPr="00C42408">
              <w:rPr>
                <w:rFonts w:ascii="Arial" w:hAnsi="Arial" w:cs="Arial"/>
                <w:color w:val="000000"/>
                <w:sz w:val="18"/>
                <w:szCs w:val="18"/>
              </w:rPr>
              <w:br/>
              <w:t>Responsable: Todas las instituciones del Directorio del Organismo Técnico</w:t>
            </w:r>
            <w:r w:rsidRPr="00C42408">
              <w:rPr>
                <w:rFonts w:ascii="Arial" w:hAnsi="Arial" w:cs="Arial"/>
                <w:color w:val="000000"/>
                <w:sz w:val="18"/>
                <w:szCs w:val="18"/>
              </w:rPr>
              <w:br/>
              <w:t>5. Avances sobre el desarrollo de la Guía Metodológica por parte del SNAI, para la generación de indicadores para el seguimiento de la Política Pública de Rehabilitación Social.</w:t>
            </w:r>
            <w:r w:rsidRPr="00C42408">
              <w:rPr>
                <w:rFonts w:ascii="Arial" w:hAnsi="Arial" w:cs="Arial"/>
                <w:color w:val="000000"/>
                <w:sz w:val="18"/>
                <w:szCs w:val="18"/>
              </w:rPr>
              <w:br/>
              <w:t>Responsable: SNAI</w:t>
            </w:r>
            <w:r w:rsidRPr="00C42408">
              <w:rPr>
                <w:rFonts w:ascii="Arial" w:hAnsi="Arial" w:cs="Arial"/>
                <w:color w:val="000000"/>
                <w:sz w:val="18"/>
                <w:szCs w:val="18"/>
              </w:rPr>
              <w:br/>
              <w:t>6. Avances sobre el Censo Penitenciario.</w:t>
            </w:r>
            <w:r w:rsidRPr="00C42408">
              <w:rPr>
                <w:rFonts w:ascii="Arial" w:hAnsi="Arial" w:cs="Arial"/>
                <w:color w:val="000000"/>
                <w:sz w:val="18"/>
                <w:szCs w:val="18"/>
              </w:rPr>
              <w:br/>
              <w:t>Responsable: INEC</w:t>
            </w:r>
            <w:r w:rsidRPr="00C42408">
              <w:rPr>
                <w:rFonts w:ascii="Arial" w:hAnsi="Arial" w:cs="Arial"/>
                <w:color w:val="000000"/>
                <w:sz w:val="18"/>
                <w:szCs w:val="18"/>
              </w:rPr>
              <w:br/>
              <w:t>7. Varios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6835D18"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06/06/2022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89747FF" w14:textId="77777777" w:rsidR="009E0A9E" w:rsidRPr="00C42408" w:rsidRDefault="009E0A9E" w:rsidP="00525437">
            <w:pPr>
              <w:jc w:val="right"/>
              <w:rPr>
                <w:rFonts w:ascii="Arial" w:hAnsi="Arial" w:cs="Arial"/>
                <w:color w:val="000000"/>
                <w:sz w:val="18"/>
                <w:szCs w:val="18"/>
              </w:rPr>
            </w:pPr>
          </w:p>
        </w:tc>
      </w:tr>
      <w:tr w:rsidR="009E0A9E" w:rsidRPr="00C42408" w14:paraId="0021E5C3" w14:textId="77777777" w:rsidTr="00C42408">
        <w:trPr>
          <w:trHeight w:val="202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7E76CE0"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 xml:space="preserve">Ordinaria </w:t>
            </w:r>
          </w:p>
        </w:tc>
        <w:tc>
          <w:tcPr>
            <w:tcW w:w="0" w:type="auto"/>
            <w:tcBorders>
              <w:top w:val="single" w:sz="4" w:space="0" w:color="auto"/>
              <w:left w:val="single" w:sz="4" w:space="0" w:color="auto"/>
              <w:bottom w:val="single" w:sz="4" w:space="0" w:color="auto"/>
              <w:right w:val="single" w:sz="4" w:space="0" w:color="auto"/>
            </w:tcBorders>
            <w:vAlign w:val="center"/>
            <w:hideMark/>
          </w:tcPr>
          <w:p w14:paraId="244888F2"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Mediante Oficio Nro. SNAI-SNAI-2022-1228-O el SNAI en su calidad de secretario realiza la Convocatoria a la Reinstalación de la Sesión Ordinaria Nro. 001 del Directorio del Organismo Técnico del Sistema Nacional de Rehabilitación Social e manera indelegable a las máximas autoridades que integran el DOTSNRS para la continuación de la Sesión Ordinaria Nro. 001, misma que será de manera presencial el lunes 04 de julio de 2022, a las 14H30, en las instalaciones del ECU911, ubicado en la Calle Julio Endara s/n. Sector Parque </w:t>
            </w:r>
            <w:proofErr w:type="spellStart"/>
            <w:r w:rsidRPr="00C42408">
              <w:rPr>
                <w:rFonts w:ascii="Arial" w:hAnsi="Arial" w:cs="Arial"/>
                <w:color w:val="000000"/>
                <w:sz w:val="18"/>
                <w:szCs w:val="18"/>
              </w:rPr>
              <w:t>Itchimbía</w:t>
            </w:r>
            <w:proofErr w:type="spellEnd"/>
            <w:r w:rsidRPr="00C42408">
              <w:rPr>
                <w:rFonts w:ascii="Arial" w:hAnsi="Arial" w:cs="Arial"/>
                <w:color w:val="000000"/>
                <w:sz w:val="18"/>
                <w:szCs w:val="18"/>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DBA6EE7"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04/07/2022</w:t>
            </w:r>
          </w:p>
        </w:tc>
        <w:tc>
          <w:tcPr>
            <w:tcW w:w="0" w:type="auto"/>
            <w:tcBorders>
              <w:top w:val="single" w:sz="4" w:space="0" w:color="auto"/>
              <w:left w:val="single" w:sz="4" w:space="0" w:color="auto"/>
              <w:bottom w:val="single" w:sz="4" w:space="0" w:color="auto"/>
              <w:right w:val="single" w:sz="4" w:space="0" w:color="auto"/>
            </w:tcBorders>
            <w:vAlign w:val="center"/>
            <w:hideMark/>
          </w:tcPr>
          <w:p w14:paraId="443D563B"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Orden del día que fueron suspendidos:</w:t>
            </w:r>
            <w:r w:rsidRPr="00C42408">
              <w:rPr>
                <w:rFonts w:ascii="Arial" w:hAnsi="Arial" w:cs="Arial"/>
                <w:color w:val="000000"/>
                <w:sz w:val="18"/>
                <w:szCs w:val="18"/>
              </w:rPr>
              <w:br/>
              <w:t>6. Avances sobre el Censo Penitenciario.</w:t>
            </w:r>
            <w:r w:rsidRPr="00C42408">
              <w:rPr>
                <w:rFonts w:ascii="Arial" w:hAnsi="Arial" w:cs="Arial"/>
                <w:color w:val="000000"/>
                <w:sz w:val="18"/>
                <w:szCs w:val="18"/>
              </w:rPr>
              <w:br/>
              <w:t>Responsable: Instituto Nacional de Estadísticas y Censos (INEC)</w:t>
            </w:r>
            <w:r w:rsidRPr="00C42408">
              <w:rPr>
                <w:rFonts w:ascii="Arial" w:hAnsi="Arial" w:cs="Arial"/>
                <w:color w:val="000000"/>
                <w:sz w:val="18"/>
                <w:szCs w:val="18"/>
              </w:rPr>
              <w:br/>
              <w:t>Tiempo: 30 minutos</w:t>
            </w:r>
          </w:p>
        </w:tc>
      </w:tr>
      <w:tr w:rsidR="009E0A9E" w:rsidRPr="00C42408" w14:paraId="1A261AB4" w14:textId="77777777" w:rsidTr="00C42408">
        <w:trPr>
          <w:trHeight w:val="135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2F781287"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Ordinaria</w:t>
            </w:r>
          </w:p>
        </w:tc>
        <w:tc>
          <w:tcPr>
            <w:tcW w:w="0" w:type="auto"/>
            <w:tcBorders>
              <w:top w:val="single" w:sz="4" w:space="0" w:color="auto"/>
              <w:left w:val="single" w:sz="4" w:space="0" w:color="auto"/>
              <w:bottom w:val="single" w:sz="4" w:space="0" w:color="auto"/>
              <w:right w:val="nil"/>
            </w:tcBorders>
            <w:vAlign w:val="bottom"/>
            <w:hideMark/>
          </w:tcPr>
          <w:p w14:paraId="2C6B90B9" w14:textId="3FC92A03"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Sesión Ordinaria Nro. 002 del 12 de julio de 2022 donde se abordaron los siguientes puntos:</w:t>
            </w:r>
            <w:r w:rsidRPr="00C42408">
              <w:rPr>
                <w:rFonts w:ascii="Arial" w:hAnsi="Arial" w:cs="Arial"/>
                <w:color w:val="000000"/>
                <w:sz w:val="18"/>
                <w:szCs w:val="18"/>
              </w:rPr>
              <w:br/>
              <w:t xml:space="preserve"> Plantear la replanificación del cronograma del </w:t>
            </w:r>
            <w:r w:rsidR="00434BA9" w:rsidRPr="00C42408">
              <w:rPr>
                <w:rFonts w:ascii="Arial" w:hAnsi="Arial" w:cs="Arial"/>
                <w:color w:val="000000"/>
                <w:sz w:val="18"/>
                <w:szCs w:val="18"/>
              </w:rPr>
              <w:t>censo penitenciario</w:t>
            </w:r>
            <w:r w:rsidRPr="00C42408">
              <w:rPr>
                <w:rFonts w:ascii="Arial" w:hAnsi="Arial" w:cs="Arial"/>
                <w:color w:val="000000"/>
                <w:sz w:val="18"/>
                <w:szCs w:val="18"/>
              </w:rPr>
              <w:br/>
              <w:t>Remitir delegaciones para la asignación presupuestaria para la implementación de la política pública</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59BDC9A"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12/07/2022</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76AE027" w14:textId="77777777" w:rsidR="009E0A9E" w:rsidRPr="00C42408" w:rsidRDefault="009E0A9E" w:rsidP="00525437">
            <w:pPr>
              <w:jc w:val="right"/>
              <w:rPr>
                <w:rFonts w:ascii="Arial" w:hAnsi="Arial" w:cs="Arial"/>
                <w:color w:val="000000"/>
                <w:sz w:val="18"/>
                <w:szCs w:val="18"/>
              </w:rPr>
            </w:pPr>
          </w:p>
        </w:tc>
      </w:tr>
      <w:tr w:rsidR="009E0A9E" w:rsidRPr="00C42408" w14:paraId="15866A02" w14:textId="77777777" w:rsidTr="00C42408">
        <w:trPr>
          <w:trHeight w:val="315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42DB1966" w14:textId="77777777" w:rsidR="009E0A9E" w:rsidRPr="00C42408" w:rsidRDefault="009E0A9E" w:rsidP="00525437">
            <w:pPr>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vAlign w:val="bottom"/>
            <w:hideMark/>
          </w:tcPr>
          <w:p w14:paraId="6A6A25C2"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Sesión Ordinaria Nro. 003  de 15 de agosto de 2022, donde se abordaron lo siguientes puntos: </w:t>
            </w:r>
            <w:r w:rsidRPr="00C42408">
              <w:rPr>
                <w:rFonts w:ascii="Arial" w:hAnsi="Arial" w:cs="Arial"/>
                <w:color w:val="000000"/>
                <w:sz w:val="18"/>
                <w:szCs w:val="18"/>
              </w:rPr>
              <w:br/>
              <w:t>Designar como invitado permanente a las sesiones del DOT al Secretario Nacional de Seguridad Pública y del Estado, Dr. Diego Hernán Ordoñez Guerrero</w:t>
            </w:r>
            <w:r w:rsidRPr="00C42408">
              <w:rPr>
                <w:rFonts w:ascii="Arial" w:hAnsi="Arial" w:cs="Arial"/>
                <w:color w:val="000000"/>
                <w:sz w:val="18"/>
                <w:szCs w:val="18"/>
              </w:rPr>
              <w:br/>
              <w:t>Aprobación del Plan de Contingencia y Logística para el desarrollo del Censo Penitenciario 2022, para remitirlo a la Secretaría de la Administración Pública para su emisión mediante Acuerdo Ministerial</w:t>
            </w:r>
            <w:r w:rsidRPr="00C42408">
              <w:rPr>
                <w:rFonts w:ascii="Arial" w:hAnsi="Arial" w:cs="Arial"/>
                <w:color w:val="000000"/>
                <w:sz w:val="18"/>
                <w:szCs w:val="18"/>
              </w:rPr>
              <w:br/>
              <w:t>Acoger el Informe Jurídico emitido mediante Memorando Nro. SNAI-DAJ-2022-1188-M de 15 de agosto de 2022, respecto a la absolución de consulta por parte de la DAJ, sobre la factibilidad de aplicación del Censo Penitenciario 2022 en los Centros de Adolescentes Infractores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5377D2A"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15/08/2022</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CC96722" w14:textId="77777777" w:rsidR="009E0A9E" w:rsidRPr="00C42408" w:rsidRDefault="009E0A9E" w:rsidP="00525437">
            <w:pPr>
              <w:jc w:val="right"/>
              <w:rPr>
                <w:rFonts w:ascii="Arial" w:hAnsi="Arial" w:cs="Arial"/>
                <w:color w:val="000000"/>
                <w:sz w:val="18"/>
                <w:szCs w:val="18"/>
              </w:rPr>
            </w:pPr>
          </w:p>
        </w:tc>
      </w:tr>
      <w:tr w:rsidR="009E0A9E" w:rsidRPr="00C42408" w14:paraId="1BCCE85F" w14:textId="77777777" w:rsidTr="00C42408">
        <w:trPr>
          <w:trHeight w:val="968"/>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09D7C5B" w14:textId="77777777" w:rsidR="009E0A9E" w:rsidRPr="00C42408" w:rsidRDefault="009E0A9E" w:rsidP="00525437">
            <w:pPr>
              <w:rPr>
                <w:rFonts w:ascii="Arial" w:hAnsi="Arial" w:cs="Arial"/>
                <w:sz w:val="18"/>
                <w:szCs w:val="18"/>
              </w:rPr>
            </w:pPr>
          </w:p>
        </w:tc>
        <w:tc>
          <w:tcPr>
            <w:tcW w:w="0" w:type="auto"/>
            <w:tcBorders>
              <w:top w:val="single" w:sz="4" w:space="0" w:color="auto"/>
              <w:left w:val="single" w:sz="4" w:space="0" w:color="auto"/>
              <w:bottom w:val="single" w:sz="4" w:space="0" w:color="auto"/>
              <w:right w:val="single" w:sz="4" w:space="0" w:color="auto"/>
            </w:tcBorders>
            <w:vAlign w:val="bottom"/>
            <w:hideMark/>
          </w:tcPr>
          <w:p w14:paraId="14B8A0A7" w14:textId="4D5E68C0"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Sesión Ordinaria Nro. 004 en la cual se abordaron los siguientes puntos:</w:t>
            </w:r>
            <w:r w:rsidRPr="00C42408">
              <w:rPr>
                <w:rFonts w:ascii="Arial" w:hAnsi="Arial" w:cs="Arial"/>
                <w:color w:val="000000"/>
                <w:sz w:val="18"/>
                <w:szCs w:val="18"/>
              </w:rPr>
              <w:br/>
            </w:r>
            <w:r w:rsidR="00434BA9" w:rsidRPr="00C42408">
              <w:rPr>
                <w:rFonts w:ascii="Arial" w:hAnsi="Arial" w:cs="Arial"/>
                <w:color w:val="000000"/>
                <w:sz w:val="18"/>
                <w:szCs w:val="18"/>
              </w:rPr>
              <w:t>1. Acordar</w:t>
            </w:r>
            <w:r w:rsidRPr="00C42408">
              <w:rPr>
                <w:rFonts w:ascii="Arial" w:hAnsi="Arial" w:cs="Arial"/>
                <w:color w:val="000000"/>
                <w:sz w:val="18"/>
                <w:szCs w:val="18"/>
              </w:rPr>
              <w:t xml:space="preserve"> no acoger el informe de necesidad operativa emitido por Policía Nacional, mantener al personal del SNAI que se encuentra liderando el censo penitenciario en territorio, </w:t>
            </w:r>
            <w:proofErr w:type="spellStart"/>
            <w:r w:rsidRPr="00C42408">
              <w:rPr>
                <w:rFonts w:ascii="Arial" w:hAnsi="Arial" w:cs="Arial"/>
                <w:color w:val="000000"/>
                <w:sz w:val="18"/>
                <w:szCs w:val="18"/>
              </w:rPr>
              <w:t>Tcnl</w:t>
            </w:r>
            <w:proofErr w:type="spellEnd"/>
            <w:r w:rsidRPr="00C42408">
              <w:rPr>
                <w:rFonts w:ascii="Arial" w:hAnsi="Arial" w:cs="Arial"/>
                <w:color w:val="000000"/>
                <w:sz w:val="18"/>
                <w:szCs w:val="18"/>
              </w:rPr>
              <w:t xml:space="preserve">. Carlos Albán y </w:t>
            </w:r>
            <w:proofErr w:type="spellStart"/>
            <w:r w:rsidRPr="00C42408">
              <w:rPr>
                <w:rFonts w:ascii="Arial" w:hAnsi="Arial" w:cs="Arial"/>
                <w:color w:val="000000"/>
                <w:sz w:val="18"/>
                <w:szCs w:val="18"/>
              </w:rPr>
              <w:t>Tcnl</w:t>
            </w:r>
            <w:proofErr w:type="spellEnd"/>
            <w:r w:rsidRPr="00C42408">
              <w:rPr>
                <w:rFonts w:ascii="Arial" w:hAnsi="Arial" w:cs="Arial"/>
                <w:color w:val="000000"/>
                <w:sz w:val="18"/>
                <w:szCs w:val="18"/>
              </w:rPr>
              <w:t xml:space="preserve">. Edison Hernández, para que se mantengan en este proceso hasta su culminación, mantener el contingente y refuerzo de seguridad necesario para el desarrollo de este proceso. </w:t>
            </w:r>
            <w:r w:rsidRPr="00C42408">
              <w:rPr>
                <w:rFonts w:ascii="Arial" w:hAnsi="Arial" w:cs="Arial"/>
                <w:color w:val="000000"/>
                <w:sz w:val="18"/>
                <w:szCs w:val="18"/>
              </w:rPr>
              <w:br/>
              <w:t xml:space="preserve">2. Acordar que INEC envíe el cronograma para realizar mesas técnicas de trabajo con los equipos de cada miembro del Directorio del Organismo Técnico del Sistema Nacional de Rehabilitación Social para la validación de la información obtenida del Censo Penitenciario 2022 </w:t>
            </w:r>
            <w:r w:rsidR="00AC3F0B" w:rsidRPr="00C42408">
              <w:rPr>
                <w:rFonts w:ascii="Arial" w:hAnsi="Arial" w:cs="Arial"/>
                <w:color w:val="000000"/>
                <w:sz w:val="18"/>
                <w:szCs w:val="18"/>
              </w:rPr>
              <w:t>de acuerdo con</w:t>
            </w:r>
            <w:r w:rsidRPr="00C42408">
              <w:rPr>
                <w:rFonts w:ascii="Arial" w:hAnsi="Arial" w:cs="Arial"/>
                <w:color w:val="000000"/>
                <w:sz w:val="18"/>
                <w:szCs w:val="18"/>
              </w:rPr>
              <w:t xml:space="preserve"> cada Cartera de Estado</w:t>
            </w:r>
            <w:r w:rsidRPr="00C42408">
              <w:rPr>
                <w:rFonts w:ascii="Arial" w:hAnsi="Arial" w:cs="Arial"/>
                <w:color w:val="000000"/>
                <w:sz w:val="18"/>
                <w:szCs w:val="18"/>
              </w:rPr>
              <w:br/>
              <w:t>3. El Servicio Nacional de Atención Integral a Personas Adultas Privadas de la Libertad debe realizar informe sobre la situación actual en el ámbito de salud dentro de los centros de privación de libertad, y elevarlo a la máxima autoridad del MSP.</w:t>
            </w:r>
            <w:r w:rsidRPr="00C42408">
              <w:rPr>
                <w:rFonts w:ascii="Arial" w:hAnsi="Arial" w:cs="Arial"/>
                <w:color w:val="000000"/>
                <w:sz w:val="18"/>
                <w:szCs w:val="18"/>
              </w:rPr>
              <w:br/>
              <w:t>4. Acordar que Secretaría de Derechos Humanos preste asistencia psicológica al personal del INEC que se encuentra realizando el censo penitenciario.</w:t>
            </w:r>
            <w:r w:rsidRPr="00C42408">
              <w:rPr>
                <w:rFonts w:ascii="Arial" w:hAnsi="Arial" w:cs="Arial"/>
                <w:color w:val="000000"/>
                <w:sz w:val="18"/>
                <w:szCs w:val="18"/>
              </w:rPr>
              <w:br/>
              <w:t xml:space="preserve">5. Acoger el informe Ejecutivo No. SNAI-DII-2022-0074-IF. Sobre la situación actual del Centro de Privación Provisional de la Libertad Masculino Los </w:t>
            </w:r>
            <w:r w:rsidR="00434BA9" w:rsidRPr="00C42408">
              <w:rPr>
                <w:rFonts w:ascii="Arial" w:hAnsi="Arial" w:cs="Arial"/>
                <w:color w:val="000000"/>
                <w:sz w:val="18"/>
                <w:szCs w:val="18"/>
              </w:rPr>
              <w:t>Ríos</w:t>
            </w:r>
            <w:r w:rsidRPr="00C42408">
              <w:rPr>
                <w:rFonts w:ascii="Arial" w:hAnsi="Arial" w:cs="Arial"/>
                <w:color w:val="000000"/>
                <w:sz w:val="18"/>
                <w:szCs w:val="18"/>
              </w:rPr>
              <w:t xml:space="preserve"> Nro.1 “Babahoyo”, para cerrar este centro y trasladar a las personas privadas de la libertad.</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9F7E83C"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06/09/2022</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694F6CE" w14:textId="77777777" w:rsidR="009E0A9E" w:rsidRPr="00C42408" w:rsidRDefault="009E0A9E" w:rsidP="00525437">
            <w:pPr>
              <w:jc w:val="right"/>
              <w:rPr>
                <w:rFonts w:ascii="Arial" w:hAnsi="Arial" w:cs="Arial"/>
                <w:color w:val="000000"/>
                <w:sz w:val="18"/>
                <w:szCs w:val="18"/>
              </w:rPr>
            </w:pPr>
          </w:p>
        </w:tc>
      </w:tr>
      <w:tr w:rsidR="009E0A9E" w:rsidRPr="00C42408" w14:paraId="46997B0F" w14:textId="77777777" w:rsidTr="00C42408">
        <w:trPr>
          <w:trHeight w:val="675"/>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EFB4C72"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Ordinaria</w:t>
            </w:r>
          </w:p>
        </w:tc>
        <w:tc>
          <w:tcPr>
            <w:tcW w:w="0" w:type="auto"/>
            <w:tcBorders>
              <w:top w:val="single" w:sz="4" w:space="0" w:color="auto"/>
              <w:left w:val="single" w:sz="4" w:space="0" w:color="auto"/>
              <w:bottom w:val="single" w:sz="4" w:space="0" w:color="auto"/>
              <w:right w:val="single" w:sz="4" w:space="0" w:color="auto"/>
            </w:tcBorders>
            <w:vAlign w:val="bottom"/>
            <w:hideMark/>
          </w:tcPr>
          <w:p w14:paraId="29B07347"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mediante Oficio Nro. SNAI-SNAI-2022-1857-O de 22 de septiembre de 2022, se emitió la convocatoria para la Sesión Ordinaria Nro. 005 del DOT</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14337AB"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26/09/2022</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3ABB82E6" w14:textId="77777777" w:rsidR="009E0A9E" w:rsidRPr="00C42408" w:rsidRDefault="009E0A9E" w:rsidP="00525437">
            <w:pPr>
              <w:jc w:val="right"/>
              <w:rPr>
                <w:rFonts w:ascii="Arial" w:hAnsi="Arial" w:cs="Arial"/>
                <w:color w:val="000000"/>
                <w:sz w:val="18"/>
                <w:szCs w:val="18"/>
              </w:rPr>
            </w:pPr>
          </w:p>
        </w:tc>
      </w:tr>
      <w:tr w:rsidR="009E0A9E" w:rsidRPr="00C42408" w14:paraId="387133FB" w14:textId="77777777" w:rsidTr="00C42408">
        <w:trPr>
          <w:trHeight w:val="2475"/>
        </w:trPr>
        <w:tc>
          <w:tcPr>
            <w:tcW w:w="0" w:type="auto"/>
            <w:tcBorders>
              <w:top w:val="single" w:sz="4" w:space="0" w:color="auto"/>
              <w:left w:val="single" w:sz="4" w:space="0" w:color="auto"/>
              <w:bottom w:val="single" w:sz="4" w:space="0" w:color="auto"/>
              <w:right w:val="single" w:sz="4" w:space="0" w:color="auto"/>
            </w:tcBorders>
            <w:noWrap/>
            <w:vAlign w:val="bottom"/>
            <w:hideMark/>
          </w:tcPr>
          <w:p w14:paraId="0912CF8F"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Extraordinaria</w:t>
            </w:r>
          </w:p>
        </w:tc>
        <w:tc>
          <w:tcPr>
            <w:tcW w:w="0" w:type="auto"/>
            <w:tcBorders>
              <w:top w:val="single" w:sz="4" w:space="0" w:color="auto"/>
              <w:left w:val="single" w:sz="4" w:space="0" w:color="auto"/>
              <w:bottom w:val="single" w:sz="4" w:space="0" w:color="auto"/>
              <w:right w:val="single" w:sz="4" w:space="0" w:color="auto"/>
            </w:tcBorders>
            <w:vAlign w:val="bottom"/>
            <w:hideMark/>
          </w:tcPr>
          <w:p w14:paraId="31B16403" w14:textId="7C145D72"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Mediante Oficio Nro. SNAI-SNAI-2022-1891-O, se realiza la convocatoria a la reunión extraordinaria Nro. 6 del DOT, misma que se llevará a </w:t>
            </w:r>
            <w:r w:rsidR="00434BA9" w:rsidRPr="00C42408">
              <w:rPr>
                <w:rFonts w:ascii="Arial" w:hAnsi="Arial" w:cs="Arial"/>
                <w:color w:val="000000"/>
                <w:sz w:val="18"/>
                <w:szCs w:val="18"/>
              </w:rPr>
              <w:t>cabo</w:t>
            </w:r>
            <w:r w:rsidRPr="00C42408">
              <w:rPr>
                <w:rFonts w:ascii="Arial" w:hAnsi="Arial" w:cs="Arial"/>
                <w:color w:val="000000"/>
                <w:sz w:val="18"/>
                <w:szCs w:val="18"/>
              </w:rPr>
              <w:t xml:space="preserve"> el viernes, 30 de septiembre de 2022 a las 12h00 en las instalaciones de Cancillería, ubicado en la Calle Carrión E1-76 y Av. 10 de Agosto (Palacio de Najas).  A </w:t>
            </w:r>
            <w:r w:rsidR="00434BA9" w:rsidRPr="00C42408">
              <w:rPr>
                <w:rFonts w:ascii="Arial" w:hAnsi="Arial" w:cs="Arial"/>
                <w:color w:val="000000"/>
                <w:sz w:val="18"/>
                <w:szCs w:val="18"/>
              </w:rPr>
              <w:t>continuación</w:t>
            </w:r>
            <w:r w:rsidRPr="00C42408">
              <w:rPr>
                <w:rFonts w:ascii="Arial" w:hAnsi="Arial" w:cs="Arial"/>
                <w:color w:val="000000"/>
                <w:sz w:val="18"/>
                <w:szCs w:val="18"/>
              </w:rPr>
              <w:t xml:space="preserve"> pongo en su conocimiento el orden del día:  </w:t>
            </w:r>
            <w:r w:rsidRPr="00C42408">
              <w:rPr>
                <w:rFonts w:ascii="Arial" w:hAnsi="Arial" w:cs="Arial"/>
                <w:color w:val="000000"/>
                <w:sz w:val="18"/>
                <w:szCs w:val="18"/>
              </w:rPr>
              <w:br/>
              <w:t xml:space="preserve">1. Reunión como los miembros del Subcomité para la Prevención de la Tortura y Otros Tratos o Penas Crueles, Inhumanos o Degradantes para comunicar las observaciones preliminares y las modalidades del diálogo con el mismo, respecto de la implementación de las recomendaciones que efectúa al Estado. </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D56905E"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30/09/2022</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7CED58B6" w14:textId="77777777" w:rsidR="009E0A9E" w:rsidRPr="00C42408" w:rsidRDefault="009E0A9E" w:rsidP="00525437">
            <w:pPr>
              <w:jc w:val="right"/>
              <w:rPr>
                <w:rFonts w:ascii="Arial" w:hAnsi="Arial" w:cs="Arial"/>
                <w:color w:val="000000"/>
                <w:sz w:val="18"/>
                <w:szCs w:val="18"/>
              </w:rPr>
            </w:pPr>
          </w:p>
        </w:tc>
      </w:tr>
      <w:tr w:rsidR="009E0A9E" w:rsidRPr="00C42408" w14:paraId="7533A532" w14:textId="77777777" w:rsidTr="00C42408">
        <w:trPr>
          <w:trHeight w:val="900"/>
        </w:trPr>
        <w:tc>
          <w:tcPr>
            <w:tcW w:w="0" w:type="auto"/>
            <w:tcBorders>
              <w:top w:val="single" w:sz="4" w:space="0" w:color="auto"/>
              <w:left w:val="single" w:sz="4" w:space="0" w:color="auto"/>
              <w:bottom w:val="single" w:sz="4" w:space="0" w:color="auto"/>
              <w:right w:val="single" w:sz="4" w:space="0" w:color="auto"/>
            </w:tcBorders>
            <w:noWrap/>
            <w:vAlign w:val="bottom"/>
            <w:hideMark/>
          </w:tcPr>
          <w:p w14:paraId="69E3F361"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 xml:space="preserve">Ordinaria </w:t>
            </w:r>
          </w:p>
        </w:tc>
        <w:tc>
          <w:tcPr>
            <w:tcW w:w="0" w:type="auto"/>
            <w:tcBorders>
              <w:top w:val="single" w:sz="4" w:space="0" w:color="auto"/>
              <w:left w:val="single" w:sz="4" w:space="0" w:color="auto"/>
              <w:bottom w:val="single" w:sz="4" w:space="0" w:color="auto"/>
              <w:right w:val="single" w:sz="4" w:space="0" w:color="auto"/>
            </w:tcBorders>
            <w:vAlign w:val="bottom"/>
            <w:hideMark/>
          </w:tcPr>
          <w:p w14:paraId="68FCD037"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Reunión ordinaria Nro. 7 del DOT que se realiza el 15 de noviembre del 2022, en las instalaciones del Centro de Inteligencia Estratégica </w:t>
            </w:r>
            <w:proofErr w:type="spellStart"/>
            <w:r w:rsidRPr="00C42408">
              <w:rPr>
                <w:rFonts w:ascii="Arial" w:hAnsi="Arial" w:cs="Arial"/>
                <w:color w:val="000000"/>
                <w:sz w:val="18"/>
                <w:szCs w:val="18"/>
              </w:rPr>
              <w:t>Lumbisí</w:t>
            </w:r>
            <w:proofErr w:type="spellEnd"/>
            <w:r w:rsidRPr="00C42408">
              <w:rPr>
                <w:rFonts w:ascii="Arial" w:hAnsi="Arial" w:cs="Arial"/>
                <w:color w:val="000000"/>
                <w:sz w:val="18"/>
                <w:szCs w:val="18"/>
              </w:rPr>
              <w:t>, instalaciones del Centro de Inteligencia Estratégica</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45CCB11C"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15/11/2022</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8B364EC" w14:textId="77777777" w:rsidR="009E0A9E" w:rsidRPr="00C42408" w:rsidRDefault="009E0A9E" w:rsidP="00525437">
            <w:pPr>
              <w:jc w:val="right"/>
              <w:rPr>
                <w:rFonts w:ascii="Arial" w:hAnsi="Arial" w:cs="Arial"/>
                <w:color w:val="000000"/>
                <w:sz w:val="18"/>
                <w:szCs w:val="18"/>
              </w:rPr>
            </w:pPr>
          </w:p>
        </w:tc>
      </w:tr>
      <w:tr w:rsidR="009E0A9E" w:rsidRPr="00C42408" w14:paraId="221B8219" w14:textId="77777777" w:rsidTr="00C42408">
        <w:trPr>
          <w:trHeight w:val="1535"/>
        </w:trPr>
        <w:tc>
          <w:tcPr>
            <w:tcW w:w="0" w:type="auto"/>
            <w:tcBorders>
              <w:top w:val="single" w:sz="4" w:space="0" w:color="auto"/>
              <w:left w:val="single" w:sz="4" w:space="0" w:color="auto"/>
              <w:bottom w:val="single" w:sz="4" w:space="0" w:color="auto"/>
              <w:right w:val="single" w:sz="4" w:space="0" w:color="auto"/>
            </w:tcBorders>
            <w:noWrap/>
            <w:vAlign w:val="bottom"/>
            <w:hideMark/>
          </w:tcPr>
          <w:p w14:paraId="59556BD8"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Ordinaria</w:t>
            </w:r>
          </w:p>
        </w:tc>
        <w:tc>
          <w:tcPr>
            <w:tcW w:w="0" w:type="auto"/>
            <w:tcBorders>
              <w:top w:val="single" w:sz="4" w:space="0" w:color="auto"/>
              <w:left w:val="single" w:sz="4" w:space="0" w:color="auto"/>
              <w:bottom w:val="single" w:sz="4" w:space="0" w:color="auto"/>
              <w:right w:val="single" w:sz="4" w:space="0" w:color="auto"/>
            </w:tcBorders>
            <w:vAlign w:val="bottom"/>
            <w:hideMark/>
          </w:tcPr>
          <w:p w14:paraId="3D1720E6"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Mediante Oficio Nro. SNAI-SNAI-2022-2121-O de 08 de noviembre de 2022; y, mediante el alcance a este oficio Nro. SNAI-SNAI-2149-O de 14 de noviembre de 2022, se realiza la convocatoria a la Sesión Ordinaria Nro. 008 a los miembros del Directorio que se realizará el 15 de noviembre del 2022 en las instalaciones del ECU 911, para tratar el siguiente orden del día:</w:t>
            </w:r>
            <w:r w:rsidRPr="00C42408">
              <w:rPr>
                <w:rFonts w:ascii="Arial" w:hAnsi="Arial" w:cs="Arial"/>
                <w:color w:val="000000"/>
                <w:sz w:val="18"/>
                <w:szCs w:val="18"/>
              </w:rPr>
              <w:br/>
              <w:t>1. Cronograma y avances del Censo Penitenciario</w:t>
            </w:r>
            <w:r w:rsidRPr="00C42408">
              <w:rPr>
                <w:rFonts w:ascii="Arial" w:hAnsi="Arial" w:cs="Arial"/>
                <w:color w:val="000000"/>
                <w:sz w:val="18"/>
                <w:szCs w:val="18"/>
              </w:rPr>
              <w:br/>
              <w:t>2. Varios</w:t>
            </w:r>
          </w:p>
        </w:tc>
        <w:tc>
          <w:tcPr>
            <w:tcW w:w="0" w:type="auto"/>
            <w:tcBorders>
              <w:top w:val="single" w:sz="4" w:space="0" w:color="auto"/>
              <w:left w:val="single" w:sz="4" w:space="0" w:color="auto"/>
              <w:bottom w:val="single" w:sz="4" w:space="0" w:color="auto"/>
              <w:right w:val="single" w:sz="4" w:space="0" w:color="auto"/>
            </w:tcBorders>
            <w:vAlign w:val="bottom"/>
            <w:hideMark/>
          </w:tcPr>
          <w:p w14:paraId="3B55F2D1"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15/11/2022</w:t>
            </w:r>
          </w:p>
        </w:tc>
        <w:tc>
          <w:tcPr>
            <w:tcW w:w="0" w:type="auto"/>
            <w:tcBorders>
              <w:top w:val="single" w:sz="4" w:space="0" w:color="auto"/>
              <w:left w:val="single" w:sz="4" w:space="0" w:color="auto"/>
              <w:bottom w:val="single" w:sz="4" w:space="0" w:color="auto"/>
              <w:right w:val="single" w:sz="4" w:space="0" w:color="auto"/>
            </w:tcBorders>
            <w:vAlign w:val="bottom"/>
            <w:hideMark/>
          </w:tcPr>
          <w:p w14:paraId="6B511EE7" w14:textId="57008D39"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 xml:space="preserve">En puntos varios, la delegada de Ministerio de Deporte solicita incluir como </w:t>
            </w:r>
            <w:r w:rsidR="00434BA9" w:rsidRPr="00C42408">
              <w:rPr>
                <w:rFonts w:ascii="Arial" w:hAnsi="Arial" w:cs="Arial"/>
                <w:color w:val="000000"/>
                <w:sz w:val="18"/>
                <w:szCs w:val="18"/>
              </w:rPr>
              <w:t>puntos varios</w:t>
            </w:r>
            <w:r w:rsidRPr="00C42408">
              <w:rPr>
                <w:rFonts w:ascii="Arial" w:hAnsi="Arial" w:cs="Arial"/>
                <w:color w:val="000000"/>
                <w:sz w:val="18"/>
                <w:szCs w:val="18"/>
              </w:rPr>
              <w:t>, dar a conocer respecto a las solicitudes de autorización de ingreso a centros de privación de libertad. Por parte de Ministerio de Cultura, informa que mediante documento Nro. MCYP-MCYP-2022-1316-O de 10 de noviembre de 2022 se solicitó incluir el tema de revista literaria y repotenciación de bibliotecas dentro del orden del día. Finalmente SNAI, solicitó elevar en conocimiento del DOT el dictamen técnico de demolición de infraestructuras dentro del CPL Guayas Nro. 1</w:t>
            </w:r>
          </w:p>
        </w:tc>
      </w:tr>
      <w:tr w:rsidR="009E0A9E" w:rsidRPr="00C42408" w14:paraId="2F27DB1A" w14:textId="77777777" w:rsidTr="00C42408">
        <w:trPr>
          <w:trHeight w:val="4275"/>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45ACE6E"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Ordinaria</w:t>
            </w:r>
          </w:p>
        </w:tc>
        <w:tc>
          <w:tcPr>
            <w:tcW w:w="0" w:type="auto"/>
            <w:tcBorders>
              <w:top w:val="single" w:sz="4" w:space="0" w:color="auto"/>
              <w:left w:val="single" w:sz="4" w:space="0" w:color="auto"/>
              <w:bottom w:val="single" w:sz="4" w:space="0" w:color="auto"/>
              <w:right w:val="single" w:sz="4" w:space="0" w:color="auto"/>
            </w:tcBorders>
            <w:vAlign w:val="bottom"/>
            <w:hideMark/>
          </w:tcPr>
          <w:p w14:paraId="7AAE012A"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Mediante Oficio Nro. SNAI-SNAI-2022-2383-O de 15 de diciembre de 2022, se convoca a la sesión ordinaria Nro. 9 en las instalaciones del ECU 911, para tratar el siguiente orden del día:</w:t>
            </w:r>
            <w:r w:rsidRPr="00C42408">
              <w:rPr>
                <w:rFonts w:ascii="Arial" w:hAnsi="Arial" w:cs="Arial"/>
                <w:color w:val="000000"/>
                <w:sz w:val="18"/>
                <w:szCs w:val="18"/>
              </w:rPr>
              <w:br/>
              <w:t>1. Informe del Proceso del Censo Penitenciario y su culminación</w:t>
            </w:r>
            <w:r w:rsidRPr="00C42408">
              <w:rPr>
                <w:rFonts w:ascii="Arial" w:hAnsi="Arial" w:cs="Arial"/>
                <w:color w:val="000000"/>
                <w:sz w:val="18"/>
                <w:szCs w:val="18"/>
              </w:rPr>
              <w:br/>
              <w:t>2. Propuesta de creación de dos Centros de Privación de Libertad en Daule y Durán</w:t>
            </w:r>
            <w:r w:rsidRPr="00C42408">
              <w:rPr>
                <w:rFonts w:ascii="Arial" w:hAnsi="Arial" w:cs="Arial"/>
                <w:color w:val="000000"/>
                <w:sz w:val="18"/>
                <w:szCs w:val="18"/>
              </w:rPr>
              <w:br/>
              <w:t>3. Varios</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06F92BC"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21/12/2022</w:t>
            </w:r>
          </w:p>
        </w:tc>
        <w:tc>
          <w:tcPr>
            <w:tcW w:w="0" w:type="auto"/>
            <w:tcBorders>
              <w:top w:val="single" w:sz="4" w:space="0" w:color="auto"/>
              <w:left w:val="single" w:sz="4" w:space="0" w:color="auto"/>
              <w:bottom w:val="single" w:sz="4" w:space="0" w:color="auto"/>
              <w:right w:val="single" w:sz="4" w:space="0" w:color="auto"/>
            </w:tcBorders>
            <w:vAlign w:val="bottom"/>
            <w:hideMark/>
          </w:tcPr>
          <w:p w14:paraId="535CEE1E" w14:textId="77777777" w:rsidR="009E0A9E" w:rsidRPr="00C42408" w:rsidRDefault="009E0A9E" w:rsidP="00525437">
            <w:pPr>
              <w:rPr>
                <w:rFonts w:ascii="Arial" w:hAnsi="Arial" w:cs="Arial"/>
                <w:color w:val="000000"/>
                <w:sz w:val="18"/>
                <w:szCs w:val="18"/>
              </w:rPr>
            </w:pPr>
            <w:r w:rsidRPr="00C42408">
              <w:rPr>
                <w:rFonts w:ascii="Arial" w:hAnsi="Arial" w:cs="Arial"/>
                <w:color w:val="000000"/>
                <w:sz w:val="18"/>
                <w:szCs w:val="18"/>
              </w:rPr>
              <w:t>Dentro de este punto, por parte del Ministerio de la Mujer y Derechos Humanos se solicita incluir como tema dentro del orden del día:</w:t>
            </w:r>
            <w:r w:rsidRPr="00C42408">
              <w:rPr>
                <w:rFonts w:ascii="Arial" w:hAnsi="Arial" w:cs="Arial"/>
                <w:color w:val="000000"/>
                <w:sz w:val="18"/>
                <w:szCs w:val="18"/>
              </w:rPr>
              <w:br/>
              <w:t xml:space="preserve">Solicitar al Ministerio del Interior condecorar al </w:t>
            </w:r>
            <w:proofErr w:type="spellStart"/>
            <w:r w:rsidRPr="00C42408">
              <w:rPr>
                <w:rFonts w:ascii="Arial" w:hAnsi="Arial" w:cs="Arial"/>
                <w:color w:val="000000"/>
                <w:sz w:val="18"/>
                <w:szCs w:val="18"/>
              </w:rPr>
              <w:t>Tcnl</w:t>
            </w:r>
            <w:proofErr w:type="spellEnd"/>
            <w:r w:rsidRPr="00C42408">
              <w:rPr>
                <w:rFonts w:ascii="Arial" w:hAnsi="Arial" w:cs="Arial"/>
                <w:color w:val="000000"/>
                <w:sz w:val="18"/>
                <w:szCs w:val="18"/>
              </w:rPr>
              <w:t>. Carlos Albán por su labor como Coordinador a Nivel Nacional del Censo Penitenciario</w:t>
            </w:r>
            <w:r w:rsidRPr="00C42408">
              <w:rPr>
                <w:rFonts w:ascii="Arial" w:hAnsi="Arial" w:cs="Arial"/>
                <w:color w:val="000000"/>
                <w:sz w:val="18"/>
                <w:szCs w:val="18"/>
              </w:rPr>
              <w:br/>
              <w:t>Adicionalmente, por parte del Ministerio de Cultura y Patrimonio se solicita incluir la intervención de la señora Ministra respecto al tema:</w:t>
            </w:r>
            <w:r w:rsidRPr="00C42408">
              <w:rPr>
                <w:rFonts w:ascii="Arial" w:hAnsi="Arial" w:cs="Arial"/>
                <w:color w:val="000000"/>
                <w:sz w:val="18"/>
                <w:szCs w:val="18"/>
              </w:rPr>
              <w:br/>
              <w:t>Informe sobre la revista La Carcelaria</w:t>
            </w:r>
            <w:r w:rsidRPr="00C42408">
              <w:rPr>
                <w:rFonts w:ascii="Arial" w:hAnsi="Arial" w:cs="Arial"/>
                <w:color w:val="000000"/>
                <w:sz w:val="18"/>
                <w:szCs w:val="18"/>
              </w:rPr>
              <w:br/>
              <w:t xml:space="preserve">Por medio de Secretaría del DOT se indica que mediante oficio Nro. INEC-INEC-2022-0954-O de 16 de diciembre de 2022, se ha solicitado la intervención dentro de la Sesión Nro. 009 para: </w:t>
            </w:r>
            <w:r w:rsidRPr="00C42408">
              <w:rPr>
                <w:rFonts w:ascii="Arial" w:hAnsi="Arial" w:cs="Arial"/>
                <w:color w:val="000000"/>
                <w:sz w:val="18"/>
                <w:szCs w:val="18"/>
              </w:rPr>
              <w:br/>
              <w:t>Solicitar la autorización de ingreso a los Centros de Adolescentes</w:t>
            </w:r>
            <w:r w:rsidRPr="00C42408">
              <w:rPr>
                <w:rFonts w:ascii="Arial" w:hAnsi="Arial" w:cs="Arial"/>
                <w:color w:val="000000"/>
                <w:sz w:val="18"/>
                <w:szCs w:val="18"/>
              </w:rPr>
              <w:br/>
              <w:t>Infractores a nivel nacional, con el fin de cumplir con las actividades del VIII Censo de Población, VII de Vivienda y I de Comunidades 2022.</w:t>
            </w:r>
          </w:p>
        </w:tc>
      </w:tr>
      <w:tr w:rsidR="009E0A9E" w:rsidRPr="00C42408" w14:paraId="6288FCFF" w14:textId="77777777" w:rsidTr="00C42408">
        <w:trPr>
          <w:trHeight w:val="225"/>
        </w:trPr>
        <w:tc>
          <w:tcPr>
            <w:tcW w:w="0" w:type="auto"/>
            <w:tcBorders>
              <w:top w:val="single" w:sz="4" w:space="0" w:color="auto"/>
              <w:left w:val="single" w:sz="4" w:space="0" w:color="auto"/>
              <w:bottom w:val="single" w:sz="4" w:space="0" w:color="auto"/>
              <w:right w:val="single" w:sz="4" w:space="0" w:color="auto"/>
            </w:tcBorders>
            <w:noWrap/>
            <w:vAlign w:val="bottom"/>
            <w:hideMark/>
          </w:tcPr>
          <w:p w14:paraId="270D5076"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 xml:space="preserve">Ordinaria </w:t>
            </w:r>
          </w:p>
        </w:tc>
        <w:tc>
          <w:tcPr>
            <w:tcW w:w="0" w:type="auto"/>
            <w:tcBorders>
              <w:top w:val="single" w:sz="4" w:space="0" w:color="auto"/>
              <w:left w:val="single" w:sz="4" w:space="0" w:color="auto"/>
              <w:bottom w:val="single" w:sz="4" w:space="0" w:color="auto"/>
              <w:right w:val="single" w:sz="4" w:space="0" w:color="auto"/>
            </w:tcBorders>
            <w:vAlign w:val="bottom"/>
            <w:hideMark/>
          </w:tcPr>
          <w:p w14:paraId="44D47471" w14:textId="77777777" w:rsidR="009E0A9E" w:rsidRPr="00C42408" w:rsidRDefault="009E0A9E" w:rsidP="00525437">
            <w:pPr>
              <w:jc w:val="center"/>
              <w:rPr>
                <w:rFonts w:ascii="Arial" w:hAnsi="Arial" w:cs="Arial"/>
                <w:color w:val="000000"/>
                <w:sz w:val="18"/>
                <w:szCs w:val="18"/>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2583E805"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08/05/2023</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5068E0E8" w14:textId="77777777" w:rsidR="009E0A9E" w:rsidRPr="00C42408" w:rsidRDefault="009E0A9E" w:rsidP="00525437">
            <w:pPr>
              <w:jc w:val="right"/>
              <w:rPr>
                <w:rFonts w:ascii="Arial" w:hAnsi="Arial" w:cs="Arial"/>
                <w:color w:val="000000"/>
                <w:sz w:val="18"/>
                <w:szCs w:val="18"/>
              </w:rPr>
            </w:pPr>
          </w:p>
        </w:tc>
      </w:tr>
      <w:tr w:rsidR="009E0A9E" w:rsidRPr="00C42408" w14:paraId="0AE2101C" w14:textId="77777777" w:rsidTr="00C42408">
        <w:trPr>
          <w:trHeight w:val="225"/>
        </w:trPr>
        <w:tc>
          <w:tcPr>
            <w:tcW w:w="0" w:type="auto"/>
            <w:tcBorders>
              <w:top w:val="single" w:sz="4" w:space="0" w:color="auto"/>
              <w:left w:val="single" w:sz="4" w:space="0" w:color="auto"/>
              <w:bottom w:val="single" w:sz="4" w:space="0" w:color="auto"/>
              <w:right w:val="single" w:sz="4" w:space="0" w:color="auto"/>
            </w:tcBorders>
            <w:noWrap/>
            <w:vAlign w:val="bottom"/>
            <w:hideMark/>
          </w:tcPr>
          <w:p w14:paraId="3C5E9EE0" w14:textId="77777777" w:rsidR="009E0A9E" w:rsidRPr="00C42408" w:rsidRDefault="009E0A9E" w:rsidP="00525437">
            <w:pPr>
              <w:jc w:val="center"/>
              <w:rPr>
                <w:rFonts w:ascii="Arial" w:hAnsi="Arial" w:cs="Arial"/>
                <w:color w:val="000000"/>
                <w:sz w:val="18"/>
                <w:szCs w:val="18"/>
              </w:rPr>
            </w:pPr>
            <w:r w:rsidRPr="00C42408">
              <w:rPr>
                <w:rFonts w:ascii="Arial" w:hAnsi="Arial" w:cs="Arial"/>
                <w:color w:val="000000"/>
                <w:sz w:val="18"/>
                <w:szCs w:val="18"/>
              </w:rPr>
              <w:t>Ordinaria</w:t>
            </w:r>
          </w:p>
        </w:tc>
        <w:tc>
          <w:tcPr>
            <w:tcW w:w="0" w:type="auto"/>
            <w:tcBorders>
              <w:top w:val="single" w:sz="4" w:space="0" w:color="auto"/>
              <w:left w:val="single" w:sz="4" w:space="0" w:color="auto"/>
              <w:bottom w:val="single" w:sz="4" w:space="0" w:color="auto"/>
              <w:right w:val="single" w:sz="4" w:space="0" w:color="auto"/>
            </w:tcBorders>
            <w:vAlign w:val="bottom"/>
            <w:hideMark/>
          </w:tcPr>
          <w:p w14:paraId="1501C1DB" w14:textId="77777777" w:rsidR="009E0A9E" w:rsidRPr="00C42408" w:rsidRDefault="009E0A9E" w:rsidP="00525437">
            <w:pPr>
              <w:jc w:val="center"/>
              <w:rPr>
                <w:rFonts w:ascii="Arial" w:hAnsi="Arial" w:cs="Arial"/>
                <w:color w:val="000000"/>
                <w:sz w:val="18"/>
                <w:szCs w:val="18"/>
              </w:rPr>
            </w:pPr>
          </w:p>
        </w:tc>
        <w:tc>
          <w:tcPr>
            <w:tcW w:w="0" w:type="auto"/>
            <w:tcBorders>
              <w:top w:val="single" w:sz="4" w:space="0" w:color="auto"/>
              <w:left w:val="single" w:sz="4" w:space="0" w:color="auto"/>
              <w:bottom w:val="single" w:sz="4" w:space="0" w:color="auto"/>
              <w:right w:val="single" w:sz="4" w:space="0" w:color="auto"/>
            </w:tcBorders>
            <w:vAlign w:val="bottom"/>
            <w:hideMark/>
          </w:tcPr>
          <w:p w14:paraId="7F76B729" w14:textId="77777777" w:rsidR="009E0A9E" w:rsidRPr="00C42408" w:rsidRDefault="009E0A9E" w:rsidP="00525437">
            <w:pPr>
              <w:jc w:val="right"/>
              <w:rPr>
                <w:rFonts w:ascii="Arial" w:hAnsi="Arial" w:cs="Arial"/>
                <w:color w:val="000000"/>
                <w:sz w:val="18"/>
                <w:szCs w:val="18"/>
              </w:rPr>
            </w:pPr>
            <w:r w:rsidRPr="00C42408">
              <w:rPr>
                <w:rFonts w:ascii="Arial" w:hAnsi="Arial" w:cs="Arial"/>
                <w:color w:val="000000"/>
                <w:sz w:val="18"/>
                <w:szCs w:val="18"/>
              </w:rPr>
              <w:t>03/07/2023</w:t>
            </w:r>
          </w:p>
        </w:tc>
        <w:tc>
          <w:tcPr>
            <w:tcW w:w="0" w:type="auto"/>
            <w:tcBorders>
              <w:top w:val="single" w:sz="4" w:space="0" w:color="auto"/>
              <w:left w:val="single" w:sz="4" w:space="0" w:color="auto"/>
              <w:bottom w:val="single" w:sz="4" w:space="0" w:color="auto"/>
              <w:right w:val="single" w:sz="4" w:space="0" w:color="auto"/>
            </w:tcBorders>
            <w:noWrap/>
            <w:vAlign w:val="bottom"/>
            <w:hideMark/>
          </w:tcPr>
          <w:p w14:paraId="085DA07A" w14:textId="77777777" w:rsidR="009E0A9E" w:rsidRPr="00C42408" w:rsidRDefault="009E0A9E" w:rsidP="00525437">
            <w:pPr>
              <w:jc w:val="right"/>
              <w:rPr>
                <w:rFonts w:ascii="Arial" w:hAnsi="Arial" w:cs="Arial"/>
                <w:color w:val="000000"/>
                <w:sz w:val="18"/>
                <w:szCs w:val="18"/>
              </w:rPr>
            </w:pPr>
          </w:p>
        </w:tc>
      </w:tr>
    </w:tbl>
    <w:p w14:paraId="1D90C6F5" w14:textId="77777777" w:rsidR="009E0A9E" w:rsidRPr="00775AE5" w:rsidRDefault="009E0A9E" w:rsidP="009E0A9E">
      <w:pPr>
        <w:autoSpaceDE w:val="0"/>
        <w:autoSpaceDN w:val="0"/>
        <w:adjustRightInd w:val="0"/>
        <w:jc w:val="both"/>
        <w:rPr>
          <w:rFonts w:ascii="Arial" w:hAnsi="Arial" w:cs="Arial"/>
          <w:sz w:val="22"/>
          <w:szCs w:val="22"/>
          <w:lang w:val="es-MX" w:eastAsia="ja-JP"/>
        </w:rPr>
      </w:pPr>
      <w:r w:rsidRPr="00775AE5">
        <w:rPr>
          <w:rFonts w:ascii="Arial" w:hAnsi="Arial" w:cs="Arial"/>
          <w:sz w:val="22"/>
          <w:szCs w:val="22"/>
          <w:lang w:val="es-MX" w:eastAsia="ja-JP"/>
        </w:rPr>
        <w:t>Elaborado por: MNPT, 2024</w:t>
      </w:r>
    </w:p>
    <w:p w14:paraId="562D751A" w14:textId="77777777" w:rsidR="009E0A9E" w:rsidRPr="00775AE5" w:rsidRDefault="009E0A9E" w:rsidP="009E0A9E">
      <w:pPr>
        <w:autoSpaceDE w:val="0"/>
        <w:autoSpaceDN w:val="0"/>
        <w:adjustRightInd w:val="0"/>
        <w:jc w:val="both"/>
        <w:rPr>
          <w:rFonts w:ascii="Arial" w:hAnsi="Arial" w:cs="Arial"/>
          <w:sz w:val="22"/>
          <w:szCs w:val="22"/>
          <w:lang w:val="es-MX" w:eastAsia="ja-JP"/>
        </w:rPr>
      </w:pPr>
    </w:p>
    <w:p w14:paraId="28F246F4" w14:textId="77777777" w:rsidR="009E0A9E" w:rsidRPr="00775AE5" w:rsidRDefault="009E0A9E" w:rsidP="009E0A9E">
      <w:pPr>
        <w:autoSpaceDE w:val="0"/>
        <w:autoSpaceDN w:val="0"/>
        <w:adjustRightInd w:val="0"/>
        <w:jc w:val="both"/>
        <w:rPr>
          <w:rFonts w:ascii="Arial" w:hAnsi="Arial" w:cs="Arial"/>
          <w:sz w:val="22"/>
          <w:szCs w:val="22"/>
          <w:lang w:val="es-MX" w:eastAsia="ja-JP"/>
        </w:rPr>
      </w:pPr>
      <w:r w:rsidRPr="00775AE5">
        <w:rPr>
          <w:rFonts w:ascii="Arial" w:hAnsi="Arial" w:cs="Arial"/>
          <w:sz w:val="22"/>
          <w:szCs w:val="22"/>
          <w:lang w:val="es-MX" w:eastAsia="ja-JP"/>
        </w:rPr>
        <w:t xml:space="preserve">No obstante, se puede reconocer algunos avances como la generación de la política pública que permitió una mayor participación de los ministerios de deportes cultura y trabajo; la coordinación interinstitucional para promover la realización de pruebas y vacunación, en virtud de la acción de protección presentada por la DPE para garantizar el derecho a la vida, integridad y salud de PPL en el contexto de pandemia; al igual, que la realización del censo penitenciario.  </w:t>
      </w:r>
    </w:p>
    <w:p w14:paraId="7198D6AE" w14:textId="77777777" w:rsidR="009E0A9E" w:rsidRPr="00775AE5" w:rsidRDefault="009E0A9E" w:rsidP="009E0A9E">
      <w:pPr>
        <w:autoSpaceDE w:val="0"/>
        <w:autoSpaceDN w:val="0"/>
        <w:adjustRightInd w:val="0"/>
        <w:jc w:val="both"/>
        <w:rPr>
          <w:rFonts w:ascii="Arial" w:hAnsi="Arial" w:cs="Arial"/>
          <w:sz w:val="22"/>
          <w:szCs w:val="22"/>
          <w:lang w:val="es-MX" w:eastAsia="ja-JP"/>
        </w:rPr>
      </w:pPr>
    </w:p>
    <w:p w14:paraId="0F70BB7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Dicho Organismo no ha cumplido su rol frente a la administración y organización del sistema de rehabilitación social. Las reuniones del directorio han sido mínimas, tal es el caso que, por ejemplo, durante el año 2019 en el que se llevó a cabo la declaratoria de emergencia del SNRS, apenas sesionó en dos ocasiones para tratar las problemáticas que englobaban a los centros de privación de libertad, sin que se hayan aplicado acciones concretas para mitigar las dificultades que aquejan al referido sistema, y que vulnera los derechos de las PPL.</w:t>
      </w:r>
    </w:p>
    <w:p w14:paraId="72D4673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988C8E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Tal situación también se vio, y se continúa observando, en cuanto a la participación de los ministerios parte del organismo en la generación de políticas, protocolos, planes o proyectos para el tratamiento de las PPL tal como lo señala el COIP. Es así que los únicos Ministerios que están involucrados, según sus competencias, dentro del SNRS son: el SNAI, mismo que está a cargo de la administración de los centros de privación de libertad; el Ministerio de Salud Pública, el cual se ha hecho cargo de prestar el servicio de salud al interior de los centros, ha creado un modelo de atención de salud en contextos penitenciarios, sin embargo, debido a la falta de espacios adecuados y de seguridad en los centros, falta de personal médico, no ha podido prestar un adecuado servicio a las PPL.</w:t>
      </w:r>
    </w:p>
    <w:p w14:paraId="6F8F2B3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278CD4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El Ministerio de Educación se encuentra a cargo de prestar el servicio de educación al interior de los centros, el cual ha implementado de manera regular, sin embargo, también se han dado problemáticas para prestar el servicio, especialmente por la falta de espacios adecuados para impartir clases y donde las y los maestros deben acomodarse junto a las PPL para dar un curso.</w:t>
      </w:r>
    </w:p>
    <w:p w14:paraId="4F679B3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4BA944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La Secretaría de Deportes ha implementado parcialmente programas deportivos en los centros, los cuales no son constantes y adolecen de la falta de recursos y espacios adecuados. En cuanto a los ministerios de Cultura, Trabajo, Inclusión Social, su participación dentro del sistema prácticamente ha sido nula.</w:t>
      </w:r>
    </w:p>
    <w:p w14:paraId="14D8297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3BB656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Respecto a las problemáticas detectadas por el MNPT durante las visitas, se describe por el ejemplo a las condiciones de la infraestructura las que continúan siendo insuficiente e inadecuada para los fines de reinserción y rehabilitación que persigue el mismo. A esto se suman problemáticas que sobre exigen aún más las ya deterioradas instalaciones de los centros, principalmente aquella que tiene que ver con la ocupación de PPL por sobre la capacidad instalada de ellos. </w:t>
      </w:r>
    </w:p>
    <w:p w14:paraId="072D78C9"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67F671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MNPT ha visto con preocupación que las condiciones de infraestructura no han variado sustancialmente; a más de la sobrepoblación, se suma un inadecuado mantenimiento de las instalaciones, sean estas eléctricas, sanitarias o de equipamiento. </w:t>
      </w:r>
    </w:p>
    <w:p w14:paraId="10A401A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EDF5095" w14:textId="43C1E9E3"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Persisten las quejas en la mayoría de los centros visitados sobre el servicio de alimentación. Las PPL se encuentran insatisfechas en razón de la poca cantidad, mala calidad y falta de variedad de los alimentos; así como los largos períodos de ayuno entre las comidas, la falta de vajilla homologada y la limitada opción de acceso a menú de dietas. No existe raciones alimenticias adicionales para los hijos/as de las PPL que viven en el Centro, además existe restricción para el ingreso de frutas. En </w:t>
      </w:r>
      <w:r w:rsidR="00434BA9" w:rsidRPr="00775AE5">
        <w:rPr>
          <w:rFonts w:ascii="Arial" w:eastAsia="DejaVu Sans" w:hAnsi="Arial" w:cs="Arial"/>
          <w:sz w:val="22"/>
          <w:szCs w:val="22"/>
          <w:lang w:val="es-VE" w:eastAsia="es-EC"/>
        </w:rPr>
        <w:t>los centros</w:t>
      </w:r>
      <w:r w:rsidRPr="00775AE5">
        <w:rPr>
          <w:rFonts w:ascii="Arial" w:eastAsia="DejaVu Sans" w:hAnsi="Arial" w:cs="Arial"/>
          <w:sz w:val="22"/>
          <w:szCs w:val="22"/>
          <w:lang w:val="es-VE" w:eastAsia="es-EC"/>
        </w:rPr>
        <w:t xml:space="preserve"> donde no se cuenta con dotación de agua potable continua, </w:t>
      </w:r>
      <w:r w:rsidR="00B93283" w:rsidRPr="00775AE5">
        <w:rPr>
          <w:rFonts w:ascii="Arial" w:eastAsia="DejaVu Sans" w:hAnsi="Arial" w:cs="Arial"/>
          <w:sz w:val="22"/>
          <w:szCs w:val="22"/>
          <w:lang w:val="es-VE" w:eastAsia="es-EC"/>
        </w:rPr>
        <w:t>las PPL</w:t>
      </w:r>
      <w:r w:rsidRPr="00775AE5">
        <w:rPr>
          <w:rFonts w:ascii="Arial" w:eastAsia="DejaVu Sans" w:hAnsi="Arial" w:cs="Arial"/>
          <w:sz w:val="22"/>
          <w:szCs w:val="22"/>
          <w:lang w:val="es-VE" w:eastAsia="es-EC"/>
        </w:rPr>
        <w:t xml:space="preserve"> deben adquirirla con sus propios recursos, lo que resulta un gasto adicional para estas y sus familias. </w:t>
      </w:r>
    </w:p>
    <w:p w14:paraId="58234ED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D93E7AA"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Actualmente se afronta un problema en la prestación del servicio de alimentación </w:t>
      </w:r>
      <w:r w:rsidRPr="00775AE5">
        <w:rPr>
          <w:rFonts w:ascii="Arial" w:eastAsia="DejaVu Sans" w:hAnsi="Arial" w:cs="Arial"/>
          <w:sz w:val="22"/>
          <w:szCs w:val="22"/>
          <w:lang w:val="es-VE" w:eastAsia="es-EC"/>
        </w:rPr>
        <w:tab/>
        <w:t>una vez que la empresa proveedora del servicio salió de los centros que funcionan, desde el 1 de mayo de este año, se dejó de proveer el servicio de alimentación en los centros de privación de libertad  y centros de adolescentes infractores ocho provincias por falta de pago al proveedor que venía prestando el servicio: Esmeraldas, Santo Domingo, Carchi, Imbabura, Pichincha, Cotopaxi, Sucumbíos, Napo y Guayas, la falta de participación de proveedores  considerando que presupuesto referencial no resulta atractivo para los presuntos proveedores: USD 2.50 más IVA para la provisión del servicio de alimentación que contempla las tres comidas diarias para personas privadas de libertad adultas (desayuno-almuerzo-merienda) y cinco para los adolescentes infractores (desayuno-refrigerio-almuerzo-refrigerio-merienda). Este presupuesto no se ha modificado desde la aprobación de dicho valor por medio de la resolución del 21 de marzo de 2011, del Consejo Nacional de Rehabilitación Social</w:t>
      </w:r>
    </w:p>
    <w:p w14:paraId="0E2B5DF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30C1AF11"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En cuanto a la vinculación familiar, la falta de espacios específicos para la realización de las visitas familiares e íntimas en el caso de los CRS antiguos, y en los centros regionales a pesar de contar con las áreas para su realización, las condiciones higiénicas no son las adecuadas, visibilizando la necesidad de protocolos sanitarios que regulen estas problemáticas.</w:t>
      </w:r>
    </w:p>
    <w:p w14:paraId="1165F83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FEF418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La mayoría de PPL consultadas, afirman desconocer acerca de la elaboración del plan individualizado de cumplimiento de la pena. Los planes no son realizados desde el ingreso de una PPL, sino efectuados como un requisito para tramitar el acceso a beneficios penitenciarios o cambios de régimen. No existe la presencia de todas las instituciones que forman parte del Directorio del Organismo Técnico de Rehabilitación Social para ofertar actividades. Existe una escasa oferta de actividades laborales remuneradas; así como oferta de actividades que reproducen roles de género. Y de forma generalizada un limitado número de PPL que asisten a actividades en los centros. No se cuenta con el suficiente personal para la ejecución de los ejes de tratamiento, así como de ASP para brindar la seguridad necesaria.</w:t>
      </w:r>
    </w:p>
    <w:p w14:paraId="68B2783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1BAC673" w14:textId="565B35DC"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En muchos de los centros visitados no cuentan con atención de salud física y/o mental adecuada, pues no se cuenta con suficiente </w:t>
      </w:r>
      <w:r w:rsidR="00434BA9" w:rsidRPr="00775AE5">
        <w:rPr>
          <w:rFonts w:ascii="Arial" w:eastAsia="DejaVu Sans" w:hAnsi="Arial" w:cs="Arial"/>
          <w:sz w:val="22"/>
          <w:szCs w:val="22"/>
          <w:lang w:val="es-VE" w:eastAsia="es-EC"/>
        </w:rPr>
        <w:t>personal para</w:t>
      </w:r>
      <w:r w:rsidRPr="00775AE5">
        <w:rPr>
          <w:rFonts w:ascii="Arial" w:eastAsia="DejaVu Sans" w:hAnsi="Arial" w:cs="Arial"/>
          <w:sz w:val="22"/>
          <w:szCs w:val="22"/>
          <w:lang w:val="es-VE" w:eastAsia="es-EC"/>
        </w:rPr>
        <w:t xml:space="preserve"> atender los requerimientos de las PPL, o no se tiene las instalaciones necesarias. Además, en general, la atención no es continua y se complica para el tratamiento de las enfermedades. Existen quejas sobre la entrega de turnos, pues, en general, se hace a través de personas designadas por cada pabellón, es decir por las propias PPL, al no existir un protocolo establecido para el efecto, lo cual genera diversas situaciones, entre ellas venta de turnos e inclusive extorsión.</w:t>
      </w:r>
    </w:p>
    <w:p w14:paraId="155BF5E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3F58DBE" w14:textId="77AC47D6"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Se ha podido evidenciar que la falta de rigurosidad en la atención y cumplimiento formal del procedimiento de sanciones dispuesto en el COIP y en el RSNRS, ha dado paso malas prácticas como a la aplicación de sanciones de forma discrecional por parte de directores, coordinadores y funcionarios, aplicando hasta sanciones prohibidas por la ley como en el caso de aislamiento (encierro en el calabozo). Las sanciones en su mayoría se basan solamente en el parte del Agente de Seguridad Penitenciaria, </w:t>
      </w:r>
      <w:r w:rsidR="00434BA9" w:rsidRPr="00775AE5">
        <w:rPr>
          <w:rFonts w:ascii="Arial" w:eastAsia="DejaVu Sans" w:hAnsi="Arial" w:cs="Arial"/>
          <w:sz w:val="22"/>
          <w:szCs w:val="22"/>
          <w:lang w:val="es-VE" w:eastAsia="es-EC"/>
        </w:rPr>
        <w:t>quienes a</w:t>
      </w:r>
      <w:r w:rsidRPr="00775AE5">
        <w:rPr>
          <w:rFonts w:ascii="Arial" w:eastAsia="DejaVu Sans" w:hAnsi="Arial" w:cs="Arial"/>
          <w:sz w:val="22"/>
          <w:szCs w:val="22"/>
          <w:lang w:val="es-VE" w:eastAsia="es-EC"/>
        </w:rPr>
        <w:t xml:space="preserve"> más de elaborar los partes asumen el rol de jueces al imponer de manera arbitraria e ilegal sanciones que son aplicadas por las o los coordinadores de los pabellones y que cuentan con el consentimiento de las autoridades del centro.</w:t>
      </w:r>
    </w:p>
    <w:p w14:paraId="7E4B57E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B796895" w14:textId="1EF366EE"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hacinamiento es una de las principales problemáticas que aquejan al Sistema Nacional de Rehabilitación Social, en donde casi todos los centros de rehabilitación social tienen una tasa de hacinamiento, que en muchos de ellos es muy alta. Esta situación afecta directamente al cumplimiento de los ejes de tratamiento, por consiguiente, impide el fin último de una verdadera rehabilitación social, y vulnera derechos conexos de las PPL al interior de los centros. Esta grave sobrepoblación impide que exista una adecuada separación entre procesados y sentenciados, </w:t>
      </w:r>
      <w:r w:rsidR="00434BA9" w:rsidRPr="00775AE5">
        <w:rPr>
          <w:rFonts w:ascii="Arial" w:eastAsia="DejaVu Sans" w:hAnsi="Arial" w:cs="Arial"/>
          <w:sz w:val="22"/>
          <w:szCs w:val="22"/>
          <w:lang w:val="es-VE" w:eastAsia="es-EC"/>
        </w:rPr>
        <w:t>y,</w:t>
      </w:r>
      <w:r w:rsidRPr="00775AE5">
        <w:rPr>
          <w:rFonts w:ascii="Arial" w:eastAsia="DejaVu Sans" w:hAnsi="Arial" w:cs="Arial"/>
          <w:sz w:val="22"/>
          <w:szCs w:val="22"/>
          <w:lang w:val="es-VE" w:eastAsia="es-EC"/>
        </w:rPr>
        <w:t xml:space="preserve"> pero aún según los niveles de seguridad (mínima, media y máxima seguridad). </w:t>
      </w:r>
    </w:p>
    <w:p w14:paraId="6BADE03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880624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Han existido quejas de malos tratos por parte de los agentes de seguridad penitenciaria hacia las PPL, de la misma manera entre las mismas PPL. Extorsiones por seguridad o por la venta de drogas prohibidas al interior de los centros han generado peleas internas entre bandas, lo cual ha generado muertes violentas entre PPL. Se continúan realizando revisiones invasivas a los familiares de las PPL, principalmente a mujeres, una clara afectación a la integridad personal de las personas. Los operativos de requisas en algunos casos no se ajustan al procedimiento establecido por la ley. Como producto de las requisas, los objetos personales y productos elaborados por las PPL suelen ser destruidos. </w:t>
      </w:r>
    </w:p>
    <w:p w14:paraId="4046D04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7B1EEA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La medida del aislamiento como castigo para las PPL, ejecutada en espacios que no cumplen las condiciones mínimas de habitabilidad, sigue siendo una práctica generalizada dentro de los centros de privación de libertad de nuestro sistema penitenciario, aplicada incluso en los centros de adolescentes infractores. Si bien en algunos de estos establecimientos se ha dejado de utilizar temporalmente, o se ha pretendido restringir su uso; ante las precarias condiciones de control al interior de los pabellones, causadas sobre todo por los altos niveles de sobrepoblación y el escaso personal de ASP; se las retoman, en un intento por mantener algo de orden y autoridad entre las personas internas.    </w:t>
      </w:r>
    </w:p>
    <w:p w14:paraId="001CED29"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0C300C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402C08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Entre otras problemáticas actualmente preocupa la falta</w:t>
      </w:r>
    </w:p>
    <w:p w14:paraId="78A17753" w14:textId="77777777" w:rsidR="009E0A9E" w:rsidRPr="00775AE5" w:rsidRDefault="009E0A9E" w:rsidP="00B17DD2">
      <w:pPr>
        <w:pStyle w:val="ListParagraph"/>
        <w:widowControl w:val="0"/>
        <w:numPr>
          <w:ilvl w:val="0"/>
          <w:numId w:val="41"/>
        </w:numPr>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Falta de Institucionalidad del Sistema Nacional de Rehabilitación Social</w:t>
      </w:r>
    </w:p>
    <w:p w14:paraId="656B9B65" w14:textId="77777777" w:rsidR="009E0A9E" w:rsidRPr="00775AE5" w:rsidRDefault="009E0A9E" w:rsidP="00B17DD2">
      <w:pPr>
        <w:pStyle w:val="ListParagraph"/>
        <w:widowControl w:val="0"/>
        <w:numPr>
          <w:ilvl w:val="0"/>
          <w:numId w:val="41"/>
        </w:numPr>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Presuntas violaciones de derechos a la vida, integridad por cometimientos de actos que recaen en tortura y otros malos tratos por parte de FFAA</w:t>
      </w:r>
    </w:p>
    <w:p w14:paraId="6C354F6D" w14:textId="77777777" w:rsidR="009E0A9E" w:rsidRPr="00775AE5" w:rsidRDefault="009E0A9E" w:rsidP="00B17DD2">
      <w:pPr>
        <w:pStyle w:val="ListParagraph"/>
        <w:widowControl w:val="0"/>
        <w:numPr>
          <w:ilvl w:val="0"/>
          <w:numId w:val="41"/>
        </w:numPr>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Consulta Popular reafirma la presencia de FFAA en CPL</w:t>
      </w:r>
    </w:p>
    <w:p w14:paraId="5434EB5A" w14:textId="77777777" w:rsidR="009E0A9E" w:rsidRPr="00775AE5" w:rsidRDefault="009E0A9E" w:rsidP="00B17DD2">
      <w:pPr>
        <w:pStyle w:val="ListParagraph"/>
        <w:widowControl w:val="0"/>
        <w:numPr>
          <w:ilvl w:val="0"/>
          <w:numId w:val="41"/>
        </w:numPr>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Persistencia en la falta de recursos y personal multidisciplinario.</w:t>
      </w:r>
    </w:p>
    <w:p w14:paraId="0D35C51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2D7FF8A" w14:textId="77777777" w:rsidR="009E0A9E" w:rsidRPr="00775AE5" w:rsidRDefault="009E0A9E" w:rsidP="00640CCA">
      <w:pPr>
        <w:pStyle w:val="Heading3"/>
        <w:rPr>
          <w:rFonts w:ascii="Arial" w:hAnsi="Arial" w:cs="Arial"/>
          <w:sz w:val="22"/>
          <w:szCs w:val="22"/>
        </w:rPr>
      </w:pPr>
      <w:bookmarkStart w:id="39" w:name="_Toc168907359"/>
      <w:r w:rsidRPr="00775AE5">
        <w:rPr>
          <w:rFonts w:ascii="Arial" w:hAnsi="Arial" w:cs="Arial"/>
          <w:sz w:val="22"/>
          <w:szCs w:val="22"/>
        </w:rPr>
        <w:t>1.9. Artículo 12 y 13 (Párrafo 29 de la Lista de Cuestiones).</w:t>
      </w:r>
      <w:bookmarkEnd w:id="39"/>
      <w:r w:rsidRPr="00775AE5">
        <w:rPr>
          <w:rFonts w:ascii="Arial" w:hAnsi="Arial" w:cs="Arial"/>
          <w:sz w:val="22"/>
          <w:szCs w:val="22"/>
        </w:rPr>
        <w:t xml:space="preserve"> </w:t>
      </w:r>
    </w:p>
    <w:p w14:paraId="137343B4" w14:textId="77777777" w:rsidR="009E0A9E" w:rsidRPr="00775AE5" w:rsidRDefault="009E0A9E" w:rsidP="009E0A9E">
      <w:pPr>
        <w:rPr>
          <w:rFonts w:ascii="Arial" w:hAnsi="Arial" w:cs="Arial"/>
          <w:sz w:val="22"/>
          <w:szCs w:val="22"/>
        </w:rPr>
      </w:pPr>
    </w:p>
    <w:p w14:paraId="47F8F974" w14:textId="77777777" w:rsidR="009E0A9E" w:rsidRPr="00775AE5" w:rsidRDefault="009E0A9E" w:rsidP="009E0A9E">
      <w:pPr>
        <w:pStyle w:val="Heading4"/>
        <w:spacing w:before="0" w:after="0" w:line="276" w:lineRule="auto"/>
        <w:rPr>
          <w:rFonts w:ascii="Arial" w:hAnsi="Arial" w:cs="Arial"/>
          <w:sz w:val="22"/>
          <w:szCs w:val="22"/>
          <w:lang w:val="es-ES"/>
        </w:rPr>
      </w:pPr>
      <w:r w:rsidRPr="00775AE5">
        <w:rPr>
          <w:rFonts w:ascii="Arial" w:hAnsi="Arial" w:cs="Arial"/>
          <w:sz w:val="22"/>
          <w:szCs w:val="22"/>
          <w:lang w:val="es-ES"/>
        </w:rPr>
        <w:t>1.9.1. Casos de tortura</w:t>
      </w:r>
    </w:p>
    <w:p w14:paraId="35869F4C" w14:textId="77777777" w:rsidR="009E0A9E" w:rsidRPr="00775AE5" w:rsidRDefault="009E0A9E" w:rsidP="009E0A9E">
      <w:pPr>
        <w:rPr>
          <w:rFonts w:ascii="Arial" w:hAnsi="Arial" w:cs="Arial"/>
          <w:sz w:val="22"/>
          <w:szCs w:val="22"/>
          <w:lang w:val="es-ES"/>
        </w:rPr>
      </w:pPr>
    </w:p>
    <w:p w14:paraId="0899FD61" w14:textId="15966FDA" w:rsidR="009E0A9E" w:rsidRPr="00D52080" w:rsidRDefault="009E0A9E" w:rsidP="009E0A9E">
      <w:pPr>
        <w:widowControl w:val="0"/>
        <w:suppressAutoHyphens/>
        <w:spacing w:line="276" w:lineRule="auto"/>
        <w:jc w:val="both"/>
        <w:rPr>
          <w:rFonts w:ascii="Arial" w:eastAsia="DejaVu Sans" w:hAnsi="Arial" w:cs="Arial"/>
          <w:sz w:val="22"/>
          <w:szCs w:val="22"/>
          <w:lang w:val="es-VE" w:eastAsia="es-EC"/>
        </w:rPr>
      </w:pPr>
      <w:r w:rsidRPr="00D52080">
        <w:rPr>
          <w:rFonts w:ascii="Arial" w:eastAsia="DejaVu Sans" w:hAnsi="Arial" w:cs="Arial"/>
          <w:sz w:val="22"/>
          <w:szCs w:val="22"/>
          <w:lang w:val="es-VE" w:eastAsia="es-EC"/>
        </w:rPr>
        <w:t xml:space="preserve">El MNPT considera importante poner en conocimiento uno de los pocos casos judicializados por el delito de tortura. </w:t>
      </w:r>
      <w:r w:rsidRPr="00D52080">
        <w:rPr>
          <w:rFonts w:ascii="Arial" w:eastAsia="DejaVu Sans" w:hAnsi="Arial" w:cs="Arial"/>
          <w:bCs/>
          <w:sz w:val="22"/>
          <w:szCs w:val="22"/>
          <w:lang w:val="es-VE" w:eastAsia="es-EC"/>
        </w:rPr>
        <w:t xml:space="preserve">Se trata del caso </w:t>
      </w:r>
      <w:r w:rsidR="00A936D3" w:rsidRPr="00D52080">
        <w:rPr>
          <w:rFonts w:ascii="Arial" w:eastAsia="DejaVu Sans" w:hAnsi="Arial" w:cs="Arial"/>
          <w:bCs/>
          <w:sz w:val="22"/>
          <w:szCs w:val="22"/>
          <w:lang w:val="es-VE" w:eastAsia="es-EC"/>
        </w:rPr>
        <w:t>sustanciado dentro de los procesos 170101814094601 y 17294201603760 respecto al caso de A.A.B</w:t>
      </w:r>
      <w:r w:rsidRPr="00D52080">
        <w:rPr>
          <w:rFonts w:ascii="Arial" w:eastAsia="DejaVu Sans" w:hAnsi="Arial" w:cs="Arial"/>
          <w:bCs/>
          <w:sz w:val="22"/>
          <w:szCs w:val="22"/>
          <w:lang w:val="es-VE" w:eastAsia="es-EC"/>
        </w:rPr>
        <w:t xml:space="preserve"> que sucedió en septiembre de 2014, cuando </w:t>
      </w:r>
      <w:r w:rsidR="00A936D3" w:rsidRPr="00D52080">
        <w:rPr>
          <w:rFonts w:ascii="Arial" w:eastAsia="DejaVu Sans" w:hAnsi="Arial" w:cs="Arial"/>
          <w:bCs/>
          <w:sz w:val="22"/>
          <w:szCs w:val="22"/>
          <w:lang w:val="es-VE" w:eastAsia="es-EC"/>
        </w:rPr>
        <w:t xml:space="preserve">la víctima </w:t>
      </w:r>
      <w:r w:rsidRPr="00D52080">
        <w:rPr>
          <w:rFonts w:ascii="Arial" w:eastAsia="DejaVu Sans" w:hAnsi="Arial" w:cs="Arial"/>
          <w:bCs/>
          <w:sz w:val="22"/>
          <w:szCs w:val="22"/>
          <w:lang w:val="es-VE" w:eastAsia="es-EC"/>
        </w:rPr>
        <w:t>tenía 17 años</w:t>
      </w:r>
      <w:r w:rsidR="00A936D3" w:rsidRPr="00D52080">
        <w:rPr>
          <w:rFonts w:ascii="Arial" w:eastAsia="DejaVu Sans" w:hAnsi="Arial" w:cs="Arial"/>
          <w:bCs/>
          <w:sz w:val="22"/>
          <w:szCs w:val="22"/>
          <w:lang w:val="es-VE" w:eastAsia="es-EC"/>
        </w:rPr>
        <w:t xml:space="preserve"> y</w:t>
      </w:r>
      <w:r w:rsidRPr="00D52080">
        <w:rPr>
          <w:rFonts w:ascii="Arial" w:eastAsia="DejaVu Sans" w:hAnsi="Arial" w:cs="Arial"/>
          <w:bCs/>
          <w:sz w:val="22"/>
          <w:szCs w:val="22"/>
          <w:lang w:val="es-VE" w:eastAsia="es-EC"/>
        </w:rPr>
        <w:t xml:space="preserve"> </w:t>
      </w:r>
      <w:r w:rsidRPr="00D52080">
        <w:rPr>
          <w:rFonts w:ascii="Arial" w:eastAsia="DejaVu Sans" w:hAnsi="Arial" w:cs="Arial"/>
          <w:sz w:val="22"/>
          <w:szCs w:val="22"/>
          <w:lang w:val="es-VE" w:eastAsia="es-EC"/>
        </w:rPr>
        <w:t>era estudiante del</w:t>
      </w:r>
      <w:r w:rsidRPr="00D52080">
        <w:rPr>
          <w:rFonts w:ascii="Arial" w:eastAsia="DejaVu Sans" w:hAnsi="Arial" w:cs="Arial"/>
          <w:b/>
          <w:bCs/>
          <w:sz w:val="22"/>
          <w:szCs w:val="22"/>
          <w:lang w:val="es-VE" w:eastAsia="es-EC"/>
        </w:rPr>
        <w:t xml:space="preserve"> </w:t>
      </w:r>
      <w:r w:rsidRPr="00D52080">
        <w:rPr>
          <w:rFonts w:ascii="Arial" w:eastAsia="DejaVu Sans" w:hAnsi="Arial" w:cs="Arial"/>
          <w:bCs/>
          <w:sz w:val="22"/>
          <w:szCs w:val="22"/>
          <w:lang w:val="es-VE" w:eastAsia="es-EC"/>
        </w:rPr>
        <w:t>Colegio Mejía</w:t>
      </w:r>
      <w:r w:rsidRPr="00D52080">
        <w:rPr>
          <w:rFonts w:ascii="Arial" w:eastAsia="DejaVu Sans" w:hAnsi="Arial" w:cs="Arial"/>
          <w:b/>
          <w:sz w:val="22"/>
          <w:szCs w:val="22"/>
          <w:lang w:val="es-VE" w:eastAsia="es-EC"/>
        </w:rPr>
        <w:t>,</w:t>
      </w:r>
      <w:r w:rsidRPr="00D52080">
        <w:rPr>
          <w:rFonts w:ascii="Arial" w:eastAsia="DejaVu Sans" w:hAnsi="Arial" w:cs="Arial"/>
          <w:sz w:val="22"/>
          <w:szCs w:val="22"/>
          <w:lang w:val="es-VE" w:eastAsia="es-EC"/>
        </w:rPr>
        <w:t xml:space="preserve"> fue detenido arbitrariamente y luego torturado por miembros de la Policía Nacional en medio de una protesta estudiantil.</w:t>
      </w:r>
    </w:p>
    <w:p w14:paraId="169A32C1" w14:textId="77777777" w:rsidR="009E0A9E" w:rsidRPr="00D52080" w:rsidRDefault="009E0A9E" w:rsidP="009E0A9E">
      <w:pPr>
        <w:widowControl w:val="0"/>
        <w:suppressAutoHyphens/>
        <w:spacing w:line="276" w:lineRule="auto"/>
        <w:jc w:val="both"/>
        <w:rPr>
          <w:rFonts w:ascii="Arial" w:eastAsia="DejaVu Sans" w:hAnsi="Arial" w:cs="Arial"/>
          <w:sz w:val="22"/>
          <w:szCs w:val="22"/>
          <w:lang w:val="es-VE" w:eastAsia="es-EC"/>
        </w:rPr>
      </w:pPr>
    </w:p>
    <w:p w14:paraId="3499D8A7" w14:textId="6C18FC5D"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color w:val="000000"/>
          <w:sz w:val="22"/>
          <w:szCs w:val="22"/>
          <w:lang w:val="es-VE" w:eastAsia="es-EC"/>
        </w:rPr>
        <w:t xml:space="preserve">El 17 de septiembre de </w:t>
      </w:r>
      <w:r w:rsidRPr="00775AE5">
        <w:rPr>
          <w:rFonts w:ascii="Arial" w:eastAsia="DejaVu Sans" w:hAnsi="Arial" w:cs="Arial"/>
          <w:sz w:val="22"/>
          <w:szCs w:val="22"/>
          <w:lang w:val="es-VE" w:eastAsia="es-EC"/>
        </w:rPr>
        <w:t xml:space="preserve">2014 en las inmediaciones del Colegio Mejía se realizó un operativo policial en el que participaban grupos de la Unidad de Mantenimiento del Orden UMO, la Unidad de Equitación y Remonta, entre otras, para disuadir las manifestaciones que se realizaban en </w:t>
      </w:r>
      <w:r w:rsidRPr="00D52080">
        <w:rPr>
          <w:rFonts w:ascii="Arial" w:eastAsia="DejaVu Sans" w:hAnsi="Arial" w:cs="Arial"/>
          <w:sz w:val="22"/>
          <w:szCs w:val="22"/>
          <w:lang w:val="es-VE" w:eastAsia="es-EC"/>
        </w:rPr>
        <w:t xml:space="preserve">contra a las reformas al Código del Trabajo. En la manifestación a las afueras del colegio Mejía, </w:t>
      </w:r>
      <w:r w:rsidR="00A936D3" w:rsidRPr="00D52080">
        <w:rPr>
          <w:rFonts w:ascii="Arial" w:eastAsia="DejaVu Sans" w:hAnsi="Arial" w:cs="Arial"/>
          <w:sz w:val="22"/>
          <w:szCs w:val="22"/>
          <w:lang w:val="es-VE" w:eastAsia="es-EC"/>
        </w:rPr>
        <w:t>A</w:t>
      </w:r>
      <w:r w:rsidRPr="00D52080">
        <w:rPr>
          <w:rFonts w:ascii="Arial" w:eastAsia="DejaVu Sans" w:hAnsi="Arial" w:cs="Arial"/>
          <w:sz w:val="22"/>
          <w:szCs w:val="22"/>
          <w:lang w:val="es-VE" w:eastAsia="es-EC"/>
        </w:rPr>
        <w:t>A</w:t>
      </w:r>
      <w:r w:rsidR="00A936D3" w:rsidRPr="00D52080">
        <w:rPr>
          <w:rFonts w:ascii="Arial" w:eastAsia="DejaVu Sans" w:hAnsi="Arial" w:cs="Arial"/>
          <w:sz w:val="22"/>
          <w:szCs w:val="22"/>
          <w:lang w:val="es-VE" w:eastAsia="es-EC"/>
        </w:rPr>
        <w:t>B</w:t>
      </w:r>
      <w:r w:rsidRPr="00D52080">
        <w:rPr>
          <w:rFonts w:ascii="Arial" w:eastAsia="DejaVu Sans" w:hAnsi="Arial" w:cs="Arial"/>
          <w:sz w:val="22"/>
          <w:szCs w:val="22"/>
          <w:lang w:val="es-VE" w:eastAsia="es-EC"/>
        </w:rPr>
        <w:t xml:space="preserve"> es atropellado por las motocicletas de la policía y luego llevado por </w:t>
      </w:r>
      <w:r w:rsidR="00A936D3" w:rsidRPr="00D52080">
        <w:rPr>
          <w:rFonts w:ascii="Arial" w:eastAsia="DejaVu Sans" w:hAnsi="Arial" w:cs="Arial"/>
          <w:sz w:val="22"/>
          <w:szCs w:val="22"/>
          <w:lang w:val="es-VE" w:eastAsia="es-EC"/>
        </w:rPr>
        <w:t>un</w:t>
      </w:r>
      <w:r w:rsidRPr="00D52080">
        <w:rPr>
          <w:rFonts w:ascii="Arial" w:eastAsia="DejaVu Sans" w:hAnsi="Arial" w:cs="Arial"/>
          <w:sz w:val="22"/>
          <w:szCs w:val="22"/>
          <w:lang w:val="es-VE" w:eastAsia="es-EC"/>
        </w:rPr>
        <w:t xml:space="preserve"> Subteniente a la UPC de la Basílica, donde estaba el Policía Nacional FF </w:t>
      </w:r>
      <w:r w:rsidR="00A936D3" w:rsidRPr="00D52080">
        <w:rPr>
          <w:rFonts w:ascii="Arial" w:eastAsia="DejaVu Sans" w:hAnsi="Arial" w:cs="Arial"/>
          <w:sz w:val="22"/>
          <w:szCs w:val="22"/>
          <w:lang w:val="es-VE" w:eastAsia="es-EC"/>
        </w:rPr>
        <w:t>en</w:t>
      </w:r>
      <w:r w:rsidRPr="00D52080">
        <w:rPr>
          <w:rFonts w:ascii="Arial" w:eastAsia="DejaVu Sans" w:hAnsi="Arial" w:cs="Arial"/>
          <w:sz w:val="22"/>
          <w:szCs w:val="22"/>
          <w:lang w:val="es-VE" w:eastAsia="es-EC"/>
        </w:rPr>
        <w:t xml:space="preserve"> servicio de atención ciudadana</w:t>
      </w:r>
      <w:r w:rsidRPr="00A936D3">
        <w:rPr>
          <w:rFonts w:ascii="Arial" w:eastAsia="DejaVu Sans" w:hAnsi="Arial" w:cs="Arial"/>
          <w:color w:val="FF0000"/>
          <w:sz w:val="22"/>
          <w:szCs w:val="22"/>
          <w:lang w:val="es-VE" w:eastAsia="es-EC"/>
        </w:rPr>
        <w:t xml:space="preserve">, </w:t>
      </w:r>
      <w:r w:rsidRPr="00775AE5">
        <w:rPr>
          <w:rFonts w:ascii="Arial" w:eastAsia="DejaVu Sans" w:hAnsi="Arial" w:cs="Arial"/>
          <w:sz w:val="22"/>
          <w:szCs w:val="22"/>
          <w:lang w:val="es-VE" w:eastAsia="es-EC"/>
        </w:rPr>
        <w:t>ahí es agredido con puntapiés y gas lacrimógeno, manteniéndolo esposado pese a que era menor de edad, disminuyendo de esa manera su capacidad física.</w:t>
      </w:r>
    </w:p>
    <w:p w14:paraId="0D193D89" w14:textId="77777777" w:rsidR="009E0A9E" w:rsidRPr="00775AE5" w:rsidRDefault="009E0A9E" w:rsidP="009E0A9E">
      <w:pPr>
        <w:widowControl w:val="0"/>
        <w:suppressAutoHyphens/>
        <w:spacing w:line="276" w:lineRule="auto"/>
        <w:jc w:val="both"/>
        <w:rPr>
          <w:rFonts w:ascii="Arial" w:eastAsia="DejaVu Sans" w:hAnsi="Arial" w:cs="Arial"/>
          <w:color w:val="000000"/>
          <w:sz w:val="22"/>
          <w:szCs w:val="22"/>
          <w:lang w:val="es-VE" w:eastAsia="es-EC"/>
        </w:rPr>
      </w:pPr>
    </w:p>
    <w:p w14:paraId="1C5A7375" w14:textId="77777777" w:rsidR="009E0A9E" w:rsidRPr="00775AE5" w:rsidRDefault="009E0A9E" w:rsidP="009E0A9E">
      <w:pPr>
        <w:widowControl w:val="0"/>
        <w:suppressAutoHyphens/>
        <w:spacing w:line="276" w:lineRule="auto"/>
        <w:jc w:val="both"/>
        <w:rPr>
          <w:rFonts w:ascii="Arial" w:eastAsia="DejaVu Sans" w:hAnsi="Arial" w:cs="Arial"/>
          <w:color w:val="000000"/>
          <w:sz w:val="22"/>
          <w:szCs w:val="22"/>
          <w:lang w:val="es-VE" w:eastAsia="es-EC"/>
        </w:rPr>
      </w:pPr>
      <w:r w:rsidRPr="00775AE5">
        <w:rPr>
          <w:rFonts w:ascii="Arial" w:eastAsia="DejaVu Sans" w:hAnsi="Arial" w:cs="Arial"/>
          <w:color w:val="000000"/>
          <w:sz w:val="22"/>
          <w:szCs w:val="22"/>
          <w:lang w:val="es-VE" w:eastAsia="es-EC"/>
        </w:rPr>
        <w:t xml:space="preserve">El examen médico legal estableció: </w:t>
      </w:r>
    </w:p>
    <w:p w14:paraId="550C1C4E" w14:textId="77777777" w:rsidR="009E0A9E" w:rsidRPr="00775AE5" w:rsidRDefault="009E0A9E" w:rsidP="009E0A9E">
      <w:pPr>
        <w:widowControl w:val="0"/>
        <w:suppressAutoHyphens/>
        <w:spacing w:line="276" w:lineRule="auto"/>
        <w:jc w:val="both"/>
        <w:rPr>
          <w:rFonts w:ascii="Arial" w:eastAsia="DejaVu Sans" w:hAnsi="Arial" w:cs="Arial"/>
          <w:color w:val="000000"/>
          <w:sz w:val="22"/>
          <w:szCs w:val="22"/>
          <w:lang w:val="es-VE" w:eastAsia="es-EC"/>
        </w:rPr>
      </w:pPr>
    </w:p>
    <w:p w14:paraId="4CA6BD25"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las lesiones descritas a nivel del cuero cabelludo, región parietal y occipital, son provenientes de la presión de un objeto con punta, probable punta de esfero, que las lesiones descritas de nivel de los miembros superiores e inferiores son provenientes de la acción de un probable suceso de tránsito un atropellamiento incompleto, fases de choque caída y las lesiones descritas en la cara dorsal de muñecas son lesiones provenientes de la acción de un objeto contundente con bordes sobre piel (esposas).</w:t>
      </w:r>
    </w:p>
    <w:p w14:paraId="33B301FE" w14:textId="77777777" w:rsidR="009E0A9E" w:rsidRPr="00775AE5" w:rsidRDefault="009E0A9E" w:rsidP="009E0A9E">
      <w:pPr>
        <w:suppressAutoHyphens/>
        <w:autoSpaceDN w:val="0"/>
        <w:spacing w:line="276" w:lineRule="auto"/>
        <w:jc w:val="both"/>
        <w:textAlignment w:val="baseline"/>
        <w:rPr>
          <w:rFonts w:ascii="Arial" w:eastAsia="SimSun" w:hAnsi="Arial" w:cs="Arial"/>
          <w:kern w:val="3"/>
          <w:sz w:val="22"/>
          <w:szCs w:val="22"/>
          <w:lang w:val="es-EC" w:eastAsia="zh-CN" w:bidi="hi-IN"/>
        </w:rPr>
      </w:pPr>
    </w:p>
    <w:p w14:paraId="75604709" w14:textId="77777777" w:rsidR="009E0A9E" w:rsidRPr="00775AE5" w:rsidRDefault="009E0A9E" w:rsidP="009E0A9E">
      <w:pPr>
        <w:suppressAutoHyphens/>
        <w:autoSpaceDN w:val="0"/>
        <w:spacing w:line="276" w:lineRule="auto"/>
        <w:jc w:val="both"/>
        <w:textAlignment w:val="baseline"/>
        <w:rPr>
          <w:rFonts w:ascii="Arial" w:eastAsia="SimSun" w:hAnsi="Arial" w:cs="Arial"/>
          <w:b/>
          <w:bCs/>
          <w:kern w:val="3"/>
          <w:sz w:val="22"/>
          <w:szCs w:val="22"/>
          <w:lang w:val="es-EC" w:eastAsia="zh-CN" w:bidi="hi-IN"/>
        </w:rPr>
      </w:pPr>
      <w:r w:rsidRPr="00775AE5">
        <w:rPr>
          <w:rFonts w:ascii="Arial" w:eastAsia="SimSun" w:hAnsi="Arial" w:cs="Arial"/>
          <w:b/>
          <w:bCs/>
          <w:kern w:val="3"/>
          <w:sz w:val="22"/>
          <w:szCs w:val="22"/>
          <w:lang w:val="es-EC" w:eastAsia="zh-CN" w:bidi="hi-IN"/>
        </w:rPr>
        <w:t>Juicio por Tortura No. 17294-2016-03760</w:t>
      </w:r>
    </w:p>
    <w:p w14:paraId="09921557" w14:textId="77777777" w:rsidR="009E0A9E" w:rsidRPr="00775AE5" w:rsidRDefault="009E0A9E" w:rsidP="009E0A9E">
      <w:pPr>
        <w:suppressAutoHyphens/>
        <w:autoSpaceDN w:val="0"/>
        <w:spacing w:line="276" w:lineRule="auto"/>
        <w:jc w:val="both"/>
        <w:textAlignment w:val="baseline"/>
        <w:rPr>
          <w:rFonts w:ascii="Arial" w:eastAsia="SimSun" w:hAnsi="Arial" w:cs="Arial"/>
          <w:b/>
          <w:bCs/>
          <w:kern w:val="3"/>
          <w:sz w:val="22"/>
          <w:szCs w:val="22"/>
          <w:lang w:val="es-EC" w:eastAsia="zh-CN" w:bidi="hi-IN"/>
        </w:rPr>
      </w:pPr>
    </w:p>
    <w:p w14:paraId="444961D4" w14:textId="075D4786"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12 de octubre de 2016 se inicia en la Unida judicial Penal con sede en la Parroquia de Iñaquito el proceso legal en contra de 7 miembros de la Policía Nacional. </w:t>
      </w:r>
      <w:r w:rsidRPr="00775AE5">
        <w:rPr>
          <w:rFonts w:ascii="Arial" w:eastAsia="DejaVu Sans" w:hAnsi="Arial" w:cs="Arial"/>
          <w:color w:val="000000"/>
          <w:sz w:val="22"/>
          <w:szCs w:val="22"/>
          <w:lang w:val="es-VE" w:eastAsia="es-EC"/>
        </w:rPr>
        <w:t xml:space="preserve">La Audiencia </w:t>
      </w:r>
      <w:r w:rsidRPr="00775AE5">
        <w:rPr>
          <w:rFonts w:ascii="Arial" w:eastAsia="DejaVu Sans" w:hAnsi="Arial" w:cs="Arial"/>
          <w:sz w:val="22"/>
          <w:szCs w:val="22"/>
          <w:lang w:val="es-VE" w:eastAsia="es-EC"/>
        </w:rPr>
        <w:t xml:space="preserve">Oral, Pública y Contradictoria de </w:t>
      </w:r>
      <w:r w:rsidRPr="00775AE5">
        <w:rPr>
          <w:rFonts w:ascii="Arial" w:eastAsia="DejaVu Sans" w:hAnsi="Arial" w:cs="Arial"/>
          <w:color w:val="000000"/>
          <w:sz w:val="22"/>
          <w:szCs w:val="22"/>
          <w:lang w:val="es-VE" w:eastAsia="es-EC"/>
        </w:rPr>
        <w:t xml:space="preserve">Formulación de Cargos se realiza el 17 de noviembre de 2016, el Juez a pedido de Fiscalía </w:t>
      </w:r>
      <w:r w:rsidRPr="00775AE5">
        <w:rPr>
          <w:rFonts w:ascii="Arial" w:eastAsia="DejaVu Sans" w:hAnsi="Arial" w:cs="Arial"/>
          <w:sz w:val="22"/>
          <w:szCs w:val="22"/>
          <w:lang w:val="es-VE" w:eastAsia="es-EC"/>
        </w:rPr>
        <w:t>decide</w:t>
      </w:r>
      <w:r w:rsidRPr="00775AE5">
        <w:rPr>
          <w:rFonts w:ascii="Arial" w:eastAsia="DejaVu Sans" w:hAnsi="Arial" w:cs="Arial"/>
          <w:color w:val="000000"/>
          <w:sz w:val="22"/>
          <w:szCs w:val="22"/>
          <w:lang w:val="es-VE" w:eastAsia="es-EC"/>
        </w:rPr>
        <w:t xml:space="preserve"> procesar a </w:t>
      </w:r>
      <w:r w:rsidR="00434BA9" w:rsidRPr="00775AE5">
        <w:rPr>
          <w:rFonts w:ascii="Arial" w:eastAsia="DejaVu Sans" w:hAnsi="Arial" w:cs="Arial"/>
          <w:color w:val="000000"/>
          <w:sz w:val="22"/>
          <w:szCs w:val="22"/>
          <w:lang w:val="es-VE" w:eastAsia="es-EC"/>
        </w:rPr>
        <w:t>dos miembros</w:t>
      </w:r>
      <w:r w:rsidRPr="00775AE5">
        <w:rPr>
          <w:rFonts w:ascii="Arial" w:eastAsia="DejaVu Sans" w:hAnsi="Arial" w:cs="Arial"/>
          <w:color w:val="000000"/>
          <w:sz w:val="22"/>
          <w:szCs w:val="22"/>
          <w:lang w:val="es-VE" w:eastAsia="es-EC"/>
        </w:rPr>
        <w:t xml:space="preserve"> policiales </w:t>
      </w:r>
      <w:r w:rsidRPr="00D52080">
        <w:rPr>
          <w:rFonts w:ascii="Arial" w:eastAsia="DejaVu Sans" w:hAnsi="Arial" w:cs="Arial"/>
          <w:sz w:val="22"/>
          <w:szCs w:val="22"/>
          <w:lang w:val="es-VE" w:eastAsia="es-EC"/>
        </w:rPr>
        <w:t>(FVFI y D</w:t>
      </w:r>
      <w:r w:rsidR="00E84BE1" w:rsidRPr="00D52080">
        <w:rPr>
          <w:rFonts w:ascii="Arial" w:eastAsia="DejaVu Sans" w:hAnsi="Arial" w:cs="Arial"/>
          <w:sz w:val="22"/>
          <w:szCs w:val="22"/>
          <w:lang w:val="es-VE" w:eastAsia="es-EC"/>
        </w:rPr>
        <w:t>PA</w:t>
      </w:r>
      <w:r w:rsidRPr="00D52080">
        <w:rPr>
          <w:rFonts w:ascii="Arial" w:eastAsia="DejaVu Sans" w:hAnsi="Arial" w:cs="Arial"/>
          <w:sz w:val="22"/>
          <w:szCs w:val="22"/>
          <w:lang w:val="es-VE" w:eastAsia="es-EC"/>
        </w:rPr>
        <w:t xml:space="preserve">D) </w:t>
      </w:r>
      <w:r w:rsidRPr="00775AE5">
        <w:rPr>
          <w:rFonts w:ascii="Arial" w:eastAsia="DejaVu Sans" w:hAnsi="Arial" w:cs="Arial"/>
          <w:color w:val="000000"/>
          <w:sz w:val="22"/>
          <w:szCs w:val="22"/>
          <w:lang w:val="es-VE" w:eastAsia="es-EC"/>
        </w:rPr>
        <w:t>por el presunto delito de extralimitación en la ejecución de un acto de servicio y emite medidas cautelares, abriéndose la etapa de instrucción fiscal.</w:t>
      </w:r>
    </w:p>
    <w:p w14:paraId="4E3AD6D5"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2509AE5" w14:textId="637CDF08"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01 de marzo de 2017 se realiza la audiencia de vinculación a la instrucción </w:t>
      </w:r>
      <w:r w:rsidR="00434BA9" w:rsidRPr="00775AE5">
        <w:rPr>
          <w:rFonts w:ascii="Arial" w:eastAsia="DejaVu Sans" w:hAnsi="Arial" w:cs="Arial"/>
          <w:sz w:val="22"/>
          <w:szCs w:val="22"/>
          <w:lang w:val="es-VE" w:eastAsia="es-EC"/>
        </w:rPr>
        <w:t>fiscal del</w:t>
      </w:r>
      <w:r w:rsidRPr="00775AE5">
        <w:rPr>
          <w:rFonts w:ascii="Arial" w:eastAsia="DejaVu Sans" w:hAnsi="Arial" w:cs="Arial"/>
          <w:sz w:val="22"/>
          <w:szCs w:val="22"/>
          <w:lang w:val="es-VE" w:eastAsia="es-EC"/>
        </w:rPr>
        <w:t xml:space="preserve"> policía </w:t>
      </w:r>
      <w:r w:rsidRPr="00D52080">
        <w:rPr>
          <w:rFonts w:ascii="Arial" w:eastAsia="DejaVu Sans" w:hAnsi="Arial" w:cs="Arial"/>
          <w:sz w:val="22"/>
          <w:szCs w:val="22"/>
          <w:lang w:val="es-VE" w:eastAsia="es-EC"/>
        </w:rPr>
        <w:t>A</w:t>
      </w:r>
      <w:r w:rsidR="00E84BE1" w:rsidRPr="00D52080">
        <w:rPr>
          <w:rFonts w:ascii="Arial" w:eastAsia="DejaVu Sans" w:hAnsi="Arial" w:cs="Arial"/>
          <w:sz w:val="22"/>
          <w:szCs w:val="22"/>
          <w:lang w:val="es-VE" w:eastAsia="es-EC"/>
        </w:rPr>
        <w:t>L</w:t>
      </w:r>
      <w:r w:rsidRPr="00D52080">
        <w:rPr>
          <w:rFonts w:ascii="Arial" w:eastAsia="DejaVu Sans" w:hAnsi="Arial" w:cs="Arial"/>
          <w:sz w:val="22"/>
          <w:szCs w:val="22"/>
          <w:lang w:val="es-VE" w:eastAsia="es-EC"/>
        </w:rPr>
        <w:t xml:space="preserve"> y de reformulación de cargos cambiando la figura legal </w:t>
      </w:r>
      <w:r w:rsidR="00434BA9" w:rsidRPr="00D52080">
        <w:rPr>
          <w:rFonts w:ascii="Arial" w:eastAsia="DejaVu Sans" w:hAnsi="Arial" w:cs="Arial"/>
          <w:sz w:val="22"/>
          <w:szCs w:val="22"/>
          <w:lang w:val="es-VE" w:eastAsia="es-EC"/>
        </w:rPr>
        <w:t>al delito</w:t>
      </w:r>
      <w:r w:rsidRPr="00D52080">
        <w:rPr>
          <w:rFonts w:ascii="Arial" w:eastAsia="DejaVu Sans" w:hAnsi="Arial" w:cs="Arial"/>
          <w:sz w:val="22"/>
          <w:szCs w:val="22"/>
          <w:lang w:val="es-VE" w:eastAsia="es-EC"/>
        </w:rPr>
        <w:t xml:space="preserve"> de tortura. El 30 de mayo la Fiscalía </w:t>
      </w:r>
      <w:r w:rsidR="00E84BE1" w:rsidRPr="00D52080">
        <w:rPr>
          <w:rFonts w:ascii="Arial" w:eastAsia="DejaVu Sans" w:hAnsi="Arial" w:cs="Arial"/>
          <w:sz w:val="22"/>
          <w:szCs w:val="22"/>
          <w:lang w:val="es-VE" w:eastAsia="es-EC"/>
        </w:rPr>
        <w:t xml:space="preserve">emite </w:t>
      </w:r>
      <w:r w:rsidRPr="00D52080">
        <w:rPr>
          <w:rFonts w:ascii="Arial" w:eastAsia="DejaVu Sans" w:hAnsi="Arial" w:cs="Arial"/>
          <w:sz w:val="22"/>
          <w:szCs w:val="22"/>
          <w:lang w:val="es-VE" w:eastAsia="es-EC"/>
        </w:rPr>
        <w:t>dicta</w:t>
      </w:r>
      <w:r w:rsidR="00E84BE1" w:rsidRPr="00D52080">
        <w:rPr>
          <w:rFonts w:ascii="Arial" w:eastAsia="DejaVu Sans" w:hAnsi="Arial" w:cs="Arial"/>
          <w:sz w:val="22"/>
          <w:szCs w:val="22"/>
          <w:lang w:val="es-VE" w:eastAsia="es-EC"/>
        </w:rPr>
        <w:t>men</w:t>
      </w:r>
      <w:r w:rsidRPr="00D52080">
        <w:rPr>
          <w:rFonts w:ascii="Arial" w:eastAsia="DejaVu Sans" w:hAnsi="Arial" w:cs="Arial"/>
          <w:sz w:val="22"/>
          <w:szCs w:val="22"/>
          <w:lang w:val="es-VE" w:eastAsia="es-EC"/>
        </w:rPr>
        <w:t xml:space="preserve"> abstentivo en contra del policía </w:t>
      </w:r>
      <w:r w:rsidR="00E84BE1" w:rsidRPr="00D52080">
        <w:rPr>
          <w:rFonts w:ascii="Arial" w:eastAsia="DejaVu Sans" w:hAnsi="Arial" w:cs="Arial"/>
          <w:sz w:val="22"/>
          <w:szCs w:val="22"/>
          <w:lang w:val="es-VE" w:eastAsia="es-EC"/>
        </w:rPr>
        <w:t>A</w:t>
      </w:r>
      <w:r w:rsidRPr="00D52080">
        <w:rPr>
          <w:rFonts w:ascii="Arial" w:eastAsia="DejaVu Sans" w:hAnsi="Arial" w:cs="Arial"/>
          <w:sz w:val="22"/>
          <w:szCs w:val="22"/>
          <w:lang w:val="es-VE" w:eastAsia="es-EC"/>
        </w:rPr>
        <w:t xml:space="preserve">L, que es ratificado por la Fiscal provincial. Después de tres años y varios aplazamientos, el 23 de octubre de 2017 se reinstala la Audiencia de Evaluación y preparatoria de juicio (la instalación fue el 10 de octubre) en la que se dicta Auto de Sobreseimiento a favor de los dos únicos procesados que estaban acusados </w:t>
      </w:r>
      <w:r w:rsidR="00E84BE1" w:rsidRPr="00D52080">
        <w:rPr>
          <w:rFonts w:ascii="Arial" w:eastAsia="DejaVu Sans" w:hAnsi="Arial" w:cs="Arial"/>
          <w:sz w:val="22"/>
          <w:szCs w:val="22"/>
          <w:lang w:val="es-VE" w:eastAsia="es-EC"/>
        </w:rPr>
        <w:t xml:space="preserve">(FVFI y DPAD) </w:t>
      </w:r>
      <w:r w:rsidRPr="00775AE5">
        <w:rPr>
          <w:rFonts w:ascii="Arial" w:eastAsia="DejaVu Sans" w:hAnsi="Arial" w:cs="Arial"/>
          <w:sz w:val="22"/>
          <w:szCs w:val="22"/>
          <w:lang w:val="es-VE" w:eastAsia="es-EC"/>
        </w:rPr>
        <w:t xml:space="preserve">bajo el argumento que: </w:t>
      </w:r>
    </w:p>
    <w:p w14:paraId="2953242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59EA14A" w14:textId="28C445C5"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 xml:space="preserve">“... se ha generado una duda e incertidumbre razonable a este Juzgador sobre la participación de los procesados; al no haber podido establecer responsabilidad alguna en contra </w:t>
      </w:r>
      <w:r w:rsidR="00434BA9" w:rsidRPr="00775AE5">
        <w:rPr>
          <w:rFonts w:ascii="Arial" w:eastAsia="Calibri" w:hAnsi="Arial" w:cs="Arial"/>
          <w:sz w:val="22"/>
          <w:szCs w:val="22"/>
          <w:lang w:val="es-ES"/>
        </w:rPr>
        <w:t>de los procesados</w:t>
      </w:r>
      <w:r w:rsidRPr="00775AE5">
        <w:rPr>
          <w:rFonts w:ascii="Arial" w:eastAsia="Calibri" w:hAnsi="Arial" w:cs="Arial"/>
          <w:sz w:val="22"/>
          <w:szCs w:val="22"/>
          <w:lang w:val="es-ES"/>
        </w:rPr>
        <w:t>; y, aplicando el principio de duda a favor del reo, en base a la información recopilada por la Fiscalía dicto AUTO DE SOBRESEIMIENTO...”</w:t>
      </w:r>
      <w:r w:rsidRPr="00775AE5">
        <w:rPr>
          <w:rFonts w:ascii="Arial" w:eastAsia="Calibri" w:hAnsi="Arial" w:cs="Arial"/>
          <w:i/>
          <w:iCs/>
          <w:sz w:val="22"/>
          <w:szCs w:val="22"/>
          <w:lang w:val="es-ES"/>
        </w:rPr>
        <w:t>.</w:t>
      </w:r>
    </w:p>
    <w:p w14:paraId="619E8BC4" w14:textId="77777777" w:rsidR="009E0A9E" w:rsidRPr="00775AE5" w:rsidRDefault="009E0A9E" w:rsidP="009E0A9E">
      <w:pPr>
        <w:widowControl w:val="0"/>
        <w:suppressAutoHyphens/>
        <w:spacing w:line="276" w:lineRule="auto"/>
        <w:jc w:val="both"/>
        <w:rPr>
          <w:rFonts w:ascii="Arial" w:eastAsia="DejaVu Sans" w:hAnsi="Arial" w:cs="Arial"/>
          <w:color w:val="000000"/>
          <w:sz w:val="22"/>
          <w:szCs w:val="22"/>
          <w:lang w:val="es-VE" w:eastAsia="es-EC"/>
        </w:rPr>
      </w:pPr>
    </w:p>
    <w:p w14:paraId="1A64D006" w14:textId="288B2D34"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color w:val="000000"/>
          <w:sz w:val="22"/>
          <w:szCs w:val="22"/>
          <w:lang w:val="es-VE" w:eastAsia="es-EC"/>
        </w:rPr>
        <w:t>E</w:t>
      </w:r>
      <w:r w:rsidRPr="00775AE5">
        <w:rPr>
          <w:rFonts w:ascii="Arial" w:eastAsia="DejaVu Sans" w:hAnsi="Arial" w:cs="Arial"/>
          <w:sz w:val="22"/>
          <w:szCs w:val="22"/>
          <w:lang w:val="es-VE" w:eastAsia="es-EC"/>
        </w:rPr>
        <w:t>l Juez de la Unidad Penal de Pichincha</w:t>
      </w:r>
      <w:r w:rsidRPr="00D52080">
        <w:rPr>
          <w:rFonts w:ascii="Arial" w:eastAsia="DejaVu Sans" w:hAnsi="Arial" w:cs="Arial"/>
          <w:sz w:val="22"/>
          <w:szCs w:val="22"/>
          <w:lang w:val="es-VE" w:eastAsia="es-EC"/>
        </w:rPr>
        <w:t xml:space="preserve">, GF, señaló en su dictamen del 23 de octubre de 2017, que en el proceso se prueba que </w:t>
      </w:r>
      <w:r w:rsidR="00E84BE1" w:rsidRPr="00D52080">
        <w:rPr>
          <w:rFonts w:ascii="Arial" w:eastAsia="DejaVu Sans" w:hAnsi="Arial" w:cs="Arial"/>
          <w:sz w:val="22"/>
          <w:szCs w:val="22"/>
          <w:lang w:val="es-VE" w:eastAsia="es-EC"/>
        </w:rPr>
        <w:t>AAB</w:t>
      </w:r>
      <w:r w:rsidRPr="00D52080">
        <w:rPr>
          <w:rFonts w:ascii="Arial" w:eastAsia="DejaVu Sans" w:hAnsi="Arial" w:cs="Arial"/>
          <w:sz w:val="22"/>
          <w:szCs w:val="22"/>
          <w:lang w:val="es-VE" w:eastAsia="es-EC"/>
        </w:rPr>
        <w:t xml:space="preserve"> fue</w:t>
      </w:r>
      <w:r w:rsidRPr="00775AE5">
        <w:rPr>
          <w:rFonts w:ascii="Arial" w:eastAsia="DejaVu Sans" w:hAnsi="Arial" w:cs="Arial"/>
          <w:sz w:val="22"/>
          <w:szCs w:val="22"/>
          <w:lang w:val="es-VE" w:eastAsia="es-EC"/>
        </w:rPr>
        <w:t xml:space="preserve"> arrestado, golpeado y torturado por efectivos de la Policía, pero no se logró probar la responsabilidad de los dos policías procesados. El 01 de noviembre de 2017 se emite por el auto de sobreseimiento.</w:t>
      </w:r>
    </w:p>
    <w:p w14:paraId="288D2649"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A02898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Por no estar de acuerdo con la decisión del Juez, la Fiscalía interpone el recurso de apelación y el 08 de noviembre de 2017 se concede el recurso.</w:t>
      </w:r>
    </w:p>
    <w:p w14:paraId="5E62ACB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A8832C3" w14:textId="24647CF6"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15 de enero de 2018  se realiza la audiencia de fundamentación del recurso de apelación ante el Tribunal de Alzada de  la Sala de lo Penal de la Corte Provincial de Justicia de Pichincha, la misma que es suspendida y reinstalada el 18 de enero para el anuncio oral del fallo respectivo, en el que aceptan el recurso de apelación y revocan el auto de sobreseimiento dictado por el Juez de la Unidad Judicial Penal con sede en la Parroquia Iñaquito del Distrito Metropolitano de Quito, y en su lugar se dicta auto de llamamiento a juicio en contra de los dos policías por el delito de tortura (Art.151 inc. 1º. del COIP). El 26 de </w:t>
      </w:r>
      <w:r w:rsidR="00434BA9" w:rsidRPr="00775AE5">
        <w:rPr>
          <w:rFonts w:ascii="Arial" w:eastAsia="DejaVu Sans" w:hAnsi="Arial" w:cs="Arial"/>
          <w:sz w:val="22"/>
          <w:szCs w:val="22"/>
          <w:lang w:val="es-VE" w:eastAsia="es-EC"/>
        </w:rPr>
        <w:t>enero de</w:t>
      </w:r>
      <w:r w:rsidRPr="00775AE5">
        <w:rPr>
          <w:rFonts w:ascii="Arial" w:eastAsia="DejaVu Sans" w:hAnsi="Arial" w:cs="Arial"/>
          <w:sz w:val="22"/>
          <w:szCs w:val="22"/>
          <w:lang w:val="es-VE" w:eastAsia="es-EC"/>
        </w:rPr>
        <w:t xml:space="preserve"> 2018 se emite la Resolución por escrito.</w:t>
      </w:r>
    </w:p>
    <w:p w14:paraId="26100D4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0D922BF" w14:textId="67E0990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27 de febrero de 2018, se sortea la causa y le corresponde conocer al Tribunal de Garantías Penales con sede en la Parroquia Iñaquito, Provincia de Pichincha. El 21 de junio de 2018 se instala la audiencia de </w:t>
      </w:r>
      <w:r w:rsidR="00434BA9" w:rsidRPr="00775AE5">
        <w:rPr>
          <w:rFonts w:ascii="Arial" w:eastAsia="DejaVu Sans" w:hAnsi="Arial" w:cs="Arial"/>
          <w:sz w:val="22"/>
          <w:szCs w:val="22"/>
          <w:lang w:val="es-VE" w:eastAsia="es-EC"/>
        </w:rPr>
        <w:t>juzgamiento,</w:t>
      </w:r>
      <w:r w:rsidRPr="00775AE5">
        <w:rPr>
          <w:rFonts w:ascii="Arial" w:eastAsia="DejaVu Sans" w:hAnsi="Arial" w:cs="Arial"/>
          <w:sz w:val="22"/>
          <w:szCs w:val="22"/>
          <w:lang w:val="es-VE" w:eastAsia="es-EC"/>
        </w:rPr>
        <w:t xml:space="preserve"> pero es suspendida. El 02 de julio se reinstala la audiencia y se declara la culpabilidad en calidad de autores al señor </w:t>
      </w:r>
      <w:r w:rsidRPr="00D52080">
        <w:rPr>
          <w:rFonts w:ascii="Arial" w:eastAsia="DejaVu Sans" w:hAnsi="Arial" w:cs="Arial"/>
          <w:sz w:val="22"/>
          <w:szCs w:val="22"/>
          <w:lang w:val="es-VE" w:eastAsia="es-EC"/>
        </w:rPr>
        <w:t>DP</w:t>
      </w:r>
      <w:r w:rsidR="00E84BE1" w:rsidRPr="00D52080">
        <w:rPr>
          <w:rFonts w:ascii="Arial" w:eastAsia="DejaVu Sans" w:hAnsi="Arial" w:cs="Arial"/>
          <w:sz w:val="22"/>
          <w:szCs w:val="22"/>
          <w:lang w:val="es-VE" w:eastAsia="es-EC"/>
        </w:rPr>
        <w:t>AD</w:t>
      </w:r>
      <w:r w:rsidRPr="00D52080">
        <w:rPr>
          <w:rFonts w:ascii="Arial" w:eastAsia="DejaVu Sans" w:hAnsi="Arial" w:cs="Arial"/>
          <w:sz w:val="22"/>
          <w:szCs w:val="22"/>
          <w:lang w:val="es-VE" w:eastAsia="es-EC"/>
        </w:rPr>
        <w:t xml:space="preserve"> </w:t>
      </w:r>
      <w:r w:rsidRPr="00775AE5">
        <w:rPr>
          <w:rFonts w:ascii="Arial" w:eastAsia="DejaVu Sans" w:hAnsi="Arial" w:cs="Arial"/>
          <w:sz w:val="22"/>
          <w:szCs w:val="22"/>
          <w:lang w:val="es-VE" w:eastAsia="es-EC"/>
        </w:rPr>
        <w:t xml:space="preserve">del delito tipificado y sancionado en el art. 151 inciso 2 en concordancia con el art. 42 numeral 1 literal a) del COIP (Tortura), imponiéndole la pena de 10 años de privación de la libertad y al señor </w:t>
      </w:r>
      <w:r w:rsidRPr="00D52080">
        <w:rPr>
          <w:rFonts w:ascii="Arial" w:eastAsia="DejaVu Sans" w:hAnsi="Arial" w:cs="Arial"/>
          <w:sz w:val="22"/>
          <w:szCs w:val="22"/>
          <w:lang w:val="es-VE" w:eastAsia="es-EC"/>
        </w:rPr>
        <w:t>F</w:t>
      </w:r>
      <w:r w:rsidR="00E84BE1" w:rsidRPr="00D52080">
        <w:rPr>
          <w:rFonts w:ascii="Arial" w:eastAsia="DejaVu Sans" w:hAnsi="Arial" w:cs="Arial"/>
          <w:sz w:val="22"/>
          <w:szCs w:val="22"/>
          <w:lang w:val="es-VE" w:eastAsia="es-EC"/>
        </w:rPr>
        <w:t xml:space="preserve">VFI </w:t>
      </w:r>
      <w:r w:rsidRPr="00D52080">
        <w:rPr>
          <w:rFonts w:ascii="Arial" w:eastAsia="DejaVu Sans" w:hAnsi="Arial" w:cs="Arial"/>
          <w:sz w:val="22"/>
          <w:szCs w:val="22"/>
          <w:lang w:val="es-VE" w:eastAsia="es-EC"/>
        </w:rPr>
        <w:t xml:space="preserve">tribunal </w:t>
      </w:r>
      <w:r w:rsidRPr="00775AE5">
        <w:rPr>
          <w:rFonts w:ascii="Arial" w:eastAsia="DejaVu Sans" w:hAnsi="Arial" w:cs="Arial"/>
          <w:sz w:val="22"/>
          <w:szCs w:val="22"/>
          <w:lang w:val="es-VE" w:eastAsia="es-EC"/>
        </w:rPr>
        <w:t xml:space="preserve">le declara culpable del mismo </w:t>
      </w:r>
      <w:r w:rsidR="00D52080" w:rsidRPr="00775AE5">
        <w:rPr>
          <w:rFonts w:ascii="Arial" w:eastAsia="DejaVu Sans" w:hAnsi="Arial" w:cs="Arial"/>
          <w:sz w:val="22"/>
          <w:szCs w:val="22"/>
          <w:lang w:val="es-VE" w:eastAsia="es-EC"/>
        </w:rPr>
        <w:t>delito pero</w:t>
      </w:r>
      <w:r w:rsidRPr="00775AE5">
        <w:rPr>
          <w:rFonts w:ascii="Arial" w:eastAsia="DejaVu Sans" w:hAnsi="Arial" w:cs="Arial"/>
          <w:sz w:val="22"/>
          <w:szCs w:val="22"/>
          <w:lang w:val="es-VE" w:eastAsia="es-EC"/>
        </w:rPr>
        <w:t xml:space="preserve"> no se considera agravantes, imponiéndole la pena de 5 años de privación de la libertad. El 25 de septiembre de 2018 se emite la sentencia por escrito.</w:t>
      </w:r>
    </w:p>
    <w:p w14:paraId="3516D2B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79E0AA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El 11 de octubre de 2018 se emite el auto de aclaración y ampliación de la sentencia solicitada por los acusados y el 17 de octubre de 2018 se concede los recursos de apelación interpuesto por las partes a la sentencia emitida el 02 de julio de 2018. El 29 de octubre de 2018 ingresa la causa por segunda vez a la Corte Provincial de Pichincha por los recursos de apelación interpuestos. El 03 de diciembre el tribunal de Alzada de la Sala Penal de la Corte Provincial avoca conocimiento de la causa.</w:t>
      </w:r>
    </w:p>
    <w:p w14:paraId="150B522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E5C7A5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Después de varias audiencias fallidas por diversos motivos el 10 de abril de 2019, se realiza la audiencia oral, pública y contradictoria, respecto de los recursos de apelación interpuestos, en la que el Tribunal de Alzada resuelve desechar los recursos de apelación interpuestos por las partes, y confirma la sentencia subida en grado en todas sus partes. El 04 de julio de 2019 se emite la sentencia por escrito.</w:t>
      </w:r>
    </w:p>
    <w:p w14:paraId="6CCD337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73C455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05 y 09 de julio de 2019 los acusados solicitan aclaración y ampliación de la sentencia. El 12 de agosto de 2019 las partes interponen recurso de casación, y el 14 de agosto la Sala de lo Penal de la Corte Provincial de Justicia de Pichincha concede el recurso de Casación interpuesto, para ante la Sala de lo Penal de la Corte Nacional de Justicia, por lo que el proceso es remitido a la Corte nacional con oficio de 20 de agosto de 2019. El caso se encontraría en la Corte Nacional de Justicia para el trámite respectivo. </w:t>
      </w:r>
    </w:p>
    <w:p w14:paraId="7E3D87E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9938C93" w14:textId="6C32D41F" w:rsidR="009E0A9E" w:rsidRPr="00DF2923" w:rsidRDefault="009E0A9E" w:rsidP="00E84BE1">
      <w:pPr>
        <w:widowControl w:val="0"/>
        <w:suppressAutoHyphens/>
        <w:spacing w:line="276" w:lineRule="auto"/>
        <w:jc w:val="both"/>
        <w:rPr>
          <w:rFonts w:ascii="Arial" w:eastAsia="DejaVu Sans" w:hAnsi="Arial" w:cs="Arial"/>
          <w:color w:val="FF0000"/>
          <w:sz w:val="22"/>
          <w:szCs w:val="22"/>
          <w:lang w:val="es-VE" w:eastAsia="es-EC"/>
        </w:rPr>
      </w:pPr>
      <w:r w:rsidRPr="00D52080">
        <w:rPr>
          <w:rFonts w:ascii="Arial" w:eastAsia="DejaVu Sans" w:hAnsi="Arial" w:cs="Arial"/>
          <w:sz w:val="22"/>
          <w:szCs w:val="22"/>
          <w:lang w:val="es-VE" w:eastAsia="es-EC"/>
        </w:rPr>
        <w:t xml:space="preserve">Para el MNPT, </w:t>
      </w:r>
      <w:r w:rsidR="00E84BE1" w:rsidRPr="00D52080">
        <w:rPr>
          <w:rFonts w:ascii="Arial" w:eastAsia="DejaVu Sans" w:hAnsi="Arial" w:cs="Arial"/>
          <w:sz w:val="22"/>
          <w:szCs w:val="22"/>
          <w:lang w:val="es-VE" w:eastAsia="es-EC"/>
        </w:rPr>
        <w:t xml:space="preserve">es de preocupación que a pesar </w:t>
      </w:r>
      <w:r w:rsidRPr="00D52080">
        <w:rPr>
          <w:rFonts w:ascii="Arial" w:eastAsia="DejaVu Sans" w:hAnsi="Arial" w:cs="Arial"/>
          <w:sz w:val="22"/>
          <w:szCs w:val="22"/>
          <w:lang w:val="es-VE" w:eastAsia="es-EC"/>
        </w:rPr>
        <w:t>este es uno de los pocos casos en los cuales llegan a judicializarse por el delito de Tortura, y que a diferencia del caso Turi, en el cual, a pesar de todas las pruebas encontradas se pretendió cambiar el delito de tortura por otro de menores implicaciones, la Corte Nacional de Justicia</w:t>
      </w:r>
      <w:r w:rsidR="00E84BE1" w:rsidRPr="00D52080">
        <w:rPr>
          <w:rFonts w:ascii="Arial" w:eastAsia="DejaVu Sans" w:hAnsi="Arial" w:cs="Arial"/>
          <w:sz w:val="22"/>
          <w:szCs w:val="22"/>
          <w:lang w:val="es-VE" w:eastAsia="es-EC"/>
        </w:rPr>
        <w:t xml:space="preserve"> en auto de 13 de julio de 2020, la Sala Especializada de lo Penal, Penal Militar, Penal Policial y Tránsito de la Corte Nacional de Justicia admitió los recursos de casación planteados por los procesados; e inadmitió el recurso planteado por los acusadores particulares AAB.  En sentencia de 26 de enero de 2021, el Tribunal de Casación resolvió entre otros aspectos </w:t>
      </w:r>
      <w:r w:rsidR="00DF2923" w:rsidRPr="00D52080">
        <w:rPr>
          <w:rFonts w:ascii="Arial" w:eastAsia="DejaVu Sans" w:hAnsi="Arial" w:cs="Arial"/>
          <w:sz w:val="22"/>
          <w:szCs w:val="22"/>
          <w:lang w:val="es-VE" w:eastAsia="es-EC"/>
        </w:rPr>
        <w:t>Ex officio, casar la sentencia dictada por la Sala Penal de la Corte Provincial de Justicia de Pichincha, de 04 de julio de 2019, las 15h51, conforme la facultad que tiene este Tribunal, por existir un error in iudicando en relación con la indebida aplicación del último inciso del artículo 151 del Código Orgánico Integral Penal; y, por ser pertinente la aplicación del artículo 293 ibídem; ergo, se declaró la culpabilidad de los encausados por el delito de extralimitación, el caso al momento se encuentra en conocimiento de la Corte Constitucional</w:t>
      </w:r>
      <w:r w:rsidRPr="00DF2923">
        <w:rPr>
          <w:rFonts w:ascii="Arial" w:eastAsia="DejaVu Sans" w:hAnsi="Arial" w:cs="Arial"/>
          <w:color w:val="FF0000"/>
          <w:sz w:val="22"/>
          <w:szCs w:val="22"/>
          <w:lang w:val="es-VE" w:eastAsia="es-EC"/>
        </w:rPr>
        <w:t>.</w:t>
      </w:r>
    </w:p>
    <w:p w14:paraId="4C84AD5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8FB609D" w14:textId="77777777" w:rsidR="009E0A9E" w:rsidRPr="00775AE5" w:rsidRDefault="009E0A9E" w:rsidP="009E0A9E">
      <w:pPr>
        <w:pStyle w:val="Heading4"/>
        <w:spacing w:before="0" w:after="0" w:line="276" w:lineRule="auto"/>
        <w:rPr>
          <w:rFonts w:ascii="Arial" w:hAnsi="Arial" w:cs="Arial"/>
          <w:i w:val="0"/>
          <w:sz w:val="22"/>
          <w:szCs w:val="22"/>
          <w:lang w:val="es-ES"/>
        </w:rPr>
      </w:pPr>
      <w:r w:rsidRPr="00775AE5">
        <w:rPr>
          <w:rFonts w:ascii="Arial" w:hAnsi="Arial" w:cs="Arial"/>
          <w:i w:val="0"/>
          <w:sz w:val="22"/>
          <w:szCs w:val="22"/>
          <w:lang w:val="es-ES"/>
        </w:rPr>
        <w:t>1.9.2. Uso excesivo de la fuerza en manifestaciones</w:t>
      </w:r>
    </w:p>
    <w:p w14:paraId="7EB637B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F84F2D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El 1 de octubre de 2019, el gobierno nacional anuncio varías medidas económicas entre las que se incluía el retiro del subsidio a los combustibles, particularmente a la gasolina extra y diésel. Ante lo cual varios gremios y organizaciones sociales se pronunciaron en rechazo a las mismas y anunciaron medidas de hecho en muestra de su disconformidad.</w:t>
      </w:r>
    </w:p>
    <w:p w14:paraId="1A64661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8AD473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En este contexto, los transportistas cerraron algunas calles y carreteras y paralizaron el servicio de transporte. Esto provocó los primeros incidentes con miembros de la Policía Nacional, quienes tenían la disposición de despejar las vías, a fin de permitir el normal tránsito de personas y mercancías, y se suscitaron los primeros detenidos en los enfrentamientos, quienes básicamente eran transportistas.</w:t>
      </w:r>
    </w:p>
    <w:p w14:paraId="4A92C28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B3EA1CA"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Ante esta paralización, el Gobierno Nacional tomó la determinación de decretar el estado excepción en todo el territorio ecuatoriano por el lapso de sesenta días, con el fin, según se indicó, de precautelar el orden público y la realización normal de las actividades.</w:t>
      </w:r>
    </w:p>
    <w:p w14:paraId="2CD1CB4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770373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conflicto generado por las medidas económicas fue escalando con el transcurrir de los días, al irse uniendo a la protesta social distintas entidades y organizaciones de la sociedad civil, especialmente aquellas pertenecientes a los estudiantes universitarios, gremios de trabajadores, organizaciones indígenas y partidos de oposición al gobierno, entre otros. Esto generó que las marchas de protesta se tornen más concurridas y en algunos casos degeneren en actos de violencia como el lanzamiento de objetos y agresiones a la fuerza pública. </w:t>
      </w:r>
    </w:p>
    <w:p w14:paraId="7703EDD5"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CC7F9F0" w14:textId="36C09A3D"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La respuesta de las fuerzas del orden ante la generalización de las protestas, fue a su vez el aumento de la respuesta represiva del Estado, tanto en número como en intensidad, reportándose cada vez con más frecuencia, a través de distintos medios de comunicación y especialmente de redes sociales, abusos y uso excesivo de la fuerza de parte </w:t>
      </w:r>
      <w:r w:rsidR="00434BA9" w:rsidRPr="00775AE5">
        <w:rPr>
          <w:rFonts w:ascii="Arial" w:eastAsia="DejaVu Sans" w:hAnsi="Arial" w:cs="Arial"/>
          <w:sz w:val="22"/>
          <w:szCs w:val="22"/>
          <w:lang w:val="es-VE" w:eastAsia="es-EC"/>
        </w:rPr>
        <w:t>sobre todo</w:t>
      </w:r>
      <w:r w:rsidRPr="00775AE5">
        <w:rPr>
          <w:rFonts w:ascii="Arial" w:eastAsia="DejaVu Sans" w:hAnsi="Arial" w:cs="Arial"/>
          <w:sz w:val="22"/>
          <w:szCs w:val="22"/>
          <w:lang w:val="es-VE" w:eastAsia="es-EC"/>
        </w:rPr>
        <w:t xml:space="preserve"> de la Policía Nacional, al momento de intentar disolver las marchas o plantones de protesta, y detener a las personas que participaban en ellas, con la utilización de gas lacrimógeno, disparados en muchas ocasiones directamente al cuerpo, e inclusive el uso de proyectiles como balas de goma o perdigones.</w:t>
      </w:r>
    </w:p>
    <w:p w14:paraId="4ECC6C3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3614A5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Ante esta respuesta estatal, se incrementaron el número de heridos entre los manifestantes, llegando a presentarse casos de personas fallecidas a causa directa o indirecta de estos hechos, así mismo se incrementaron el número de personas detenidas por parte de la Policía Nacional en todo el país, muchos de los cuales jamás fueron puestos a órdenes de las autoridades judiciales competentes, sino que fueron retenidos en patrulleros o unidades policiales por varias horas, recibiendo en casi todos los casos maltratos físicos y psicológicos, para luego ser liberados con amenazas.</w:t>
      </w:r>
    </w:p>
    <w:p w14:paraId="166D877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2F3430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De las personas detenidas que fueron conducidas a unidades de flagrancia (alrededor de mil quinientas), y cuyos casos fueron puestos en conocimiento de los jueces correspondientes, aproximadamente del 80 % fueron liberadas casi inmediatamente, por no encontrarse elementos de convicción que los vinculen a los tipos penales de los cuales se los acusaba. </w:t>
      </w:r>
    </w:p>
    <w:p w14:paraId="495FA9C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6020F2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Durante esta etapa, la Dirección Nacional del MNPT, efectuó al menos cuatro visitas a distintos lugares donde se encontraban personas que fueron detenidas en el contexto de las manifestaciones en la ciudad de Quito. Así, se visitó hasta por tres ocasiones la Unidad de Flagrancia la Mariscal, una la Unidad de Flagrancia Quitumbe, instalaciones del Grupo de Intervención y Rescate de la Policía Nacional ubicada en Pomasqui, y CPPL El Inca. </w:t>
      </w:r>
    </w:p>
    <w:p w14:paraId="480BB79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48FCC4B" w14:textId="7A5649B5"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A más de ello desde las distintas Coordinaciones Zonales y Delegaciones Provinciales de la DPE, se realizaron también varias visitas a distintos LPL a fin de constatar las condiciones de los aprehendidos. En estas visitas se pudo tomar contacto con los detenidos, quienes manifestaron en casi todos los casos </w:t>
      </w:r>
      <w:r w:rsidR="00434BA9" w:rsidRPr="00775AE5">
        <w:rPr>
          <w:rFonts w:ascii="Arial" w:eastAsia="DejaVu Sans" w:hAnsi="Arial" w:cs="Arial"/>
          <w:sz w:val="22"/>
          <w:szCs w:val="22"/>
          <w:lang w:val="es-VE" w:eastAsia="es-EC"/>
        </w:rPr>
        <w:t>que,</w:t>
      </w:r>
      <w:r w:rsidRPr="00775AE5">
        <w:rPr>
          <w:rFonts w:ascii="Arial" w:eastAsia="DejaVu Sans" w:hAnsi="Arial" w:cs="Arial"/>
          <w:sz w:val="22"/>
          <w:szCs w:val="22"/>
          <w:lang w:val="es-VE" w:eastAsia="es-EC"/>
        </w:rPr>
        <w:t xml:space="preserve"> al momento de su aprehensión, no se les respetaron sus garantías básicas, como el conocer sus derechos y la identidad de los agentes que los detuvieron, así como el tener contacto con sus familiares o abogados defensores. Así mismo denunciaron haber sido objeto de maltrato físico y verbal mientras eran detenidos, y en los momentos inmediatamente posteriores, previo a ser ingresados a los sitios oficiales de flagrancia. </w:t>
      </w:r>
    </w:p>
    <w:p w14:paraId="1B9D0CF3"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7306867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Otra de las problemáticas que derivó del gran número de detenidos en los doce días que duraron las manifestaciones, fue el aumento de la sobrepoblación penitenciaria en determinados lugares de privación de libertad, especialmente en los espacios de aseguramiento transitorio de las unidades de flagrancia, los cuales fueron sobrepasados en su capacidad, debido además a que las personas a las cuales se les formalizó su prisión preventiva, no podían ser trasladadas a CRS o CPPL, por cuanto las vías se encontraban bloqueadas por las protestas. </w:t>
      </w:r>
    </w:p>
    <w:p w14:paraId="5C625CC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48EF3D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Los reportes y testimonios recogidos en esos días de octubre de 2019, por parte de la Dirección Nacional del MNPT y las demás dependencias de la DPE, en el marco de la prevención de la tortura y otros malos tratos, fueron puestos en conocimiento de las autoridades competentes como la fiscalía general del Estado, y sirvieron como base de varias gestiones de protección efectuadas por la misma DPE, a más de pronunciamientos y exhortos a las más altas autoridades gubernamentales. Así mismo están siendo considerados en el informe que sobre los hechos sucedidos en las protestas de octubre, se encuentra elaborando la Comisión de la Verdad creada para el efecto por la DPE, conformada por miembros de la sociedad civil.</w:t>
      </w:r>
    </w:p>
    <w:p w14:paraId="3B2CA6D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3B0960F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Cabe señalar que similares situaciones se observaron en el paro del 2022, cuyos aspectos se encuentran desarrollados en el informe de Comisión de la Verdad creado por la DPE. </w:t>
      </w:r>
    </w:p>
    <w:p w14:paraId="71DAD6C6" w14:textId="77777777" w:rsidR="009E0A9E" w:rsidRPr="00775AE5" w:rsidRDefault="009E0A9E" w:rsidP="009E0A9E">
      <w:pPr>
        <w:widowControl w:val="0"/>
        <w:suppressAutoHyphens/>
        <w:spacing w:line="276" w:lineRule="auto"/>
        <w:jc w:val="both"/>
        <w:rPr>
          <w:rFonts w:ascii="Arial" w:eastAsia="DejaVu Sans" w:hAnsi="Arial" w:cs="Arial"/>
          <w:b/>
          <w:sz w:val="22"/>
          <w:szCs w:val="22"/>
          <w:shd w:val="clear" w:color="auto" w:fill="FFFFFF"/>
          <w:lang w:val="es-VE" w:eastAsia="es-EC"/>
        </w:rPr>
      </w:pPr>
    </w:p>
    <w:p w14:paraId="736E5659" w14:textId="77777777" w:rsidR="009E0A9E" w:rsidRPr="00775AE5" w:rsidRDefault="009E0A9E" w:rsidP="009E0A9E">
      <w:pPr>
        <w:widowControl w:val="0"/>
        <w:suppressAutoHyphens/>
        <w:spacing w:line="276" w:lineRule="auto"/>
        <w:jc w:val="both"/>
        <w:rPr>
          <w:rFonts w:ascii="Arial" w:eastAsia="DejaVu Sans" w:hAnsi="Arial" w:cs="Arial"/>
          <w:b/>
          <w:sz w:val="22"/>
          <w:szCs w:val="22"/>
          <w:lang w:val="es-VE" w:eastAsia="es-EC"/>
        </w:rPr>
      </w:pPr>
      <w:r w:rsidRPr="00775AE5">
        <w:rPr>
          <w:rFonts w:ascii="Arial" w:eastAsia="DejaVu Sans" w:hAnsi="Arial" w:cs="Arial"/>
          <w:b/>
          <w:sz w:val="22"/>
          <w:szCs w:val="22"/>
          <w:shd w:val="clear" w:color="auto" w:fill="FFFFFF"/>
          <w:lang w:val="es-VE" w:eastAsia="es-EC"/>
        </w:rPr>
        <w:t>1.9.3. Reglamento de uso progresivo, racional y diferenciado de la fuerza por parte de los miembros de las Fuerzas Armadas</w:t>
      </w:r>
    </w:p>
    <w:p w14:paraId="6AF38E3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CA4A862" w14:textId="77777777" w:rsidR="009E0A9E" w:rsidRPr="00775AE5" w:rsidRDefault="009E0A9E" w:rsidP="009E0A9E">
      <w:pPr>
        <w:widowControl w:val="0"/>
        <w:suppressAutoHyphens/>
        <w:spacing w:line="276" w:lineRule="auto"/>
        <w:jc w:val="both"/>
        <w:rPr>
          <w:rFonts w:ascii="Arial" w:eastAsia="DejaVu Sans" w:hAnsi="Arial" w:cs="Arial"/>
          <w:sz w:val="22"/>
          <w:szCs w:val="22"/>
          <w:shd w:val="clear" w:color="auto" w:fill="FFFFFF"/>
          <w:lang w:val="es-VE" w:eastAsia="es-EC"/>
        </w:rPr>
      </w:pPr>
      <w:r w:rsidRPr="00775AE5">
        <w:rPr>
          <w:rFonts w:ascii="Arial" w:eastAsia="DejaVu Sans" w:hAnsi="Arial" w:cs="Arial"/>
          <w:sz w:val="22"/>
          <w:szCs w:val="22"/>
          <w:lang w:val="es-VE" w:eastAsia="es-EC"/>
        </w:rPr>
        <w:t xml:space="preserve">El 26 de mayo de 2020, el Ministerio de Defensa del Ecuador a través del Acuerdo Ministerial No 179, expidió el </w:t>
      </w:r>
      <w:r w:rsidRPr="00775AE5">
        <w:rPr>
          <w:rFonts w:ascii="Arial" w:eastAsia="DejaVu Sans" w:hAnsi="Arial" w:cs="Arial"/>
          <w:sz w:val="22"/>
          <w:szCs w:val="22"/>
          <w:shd w:val="clear" w:color="auto" w:fill="FFFFFF"/>
          <w:lang w:val="es-VE" w:eastAsia="es-EC"/>
        </w:rPr>
        <w:t xml:space="preserve">Reglamento de uso progresivo, racional y diferenciado de la fuerza por parte de los </w:t>
      </w:r>
      <w:r w:rsidRPr="00775AE5">
        <w:rPr>
          <w:rFonts w:ascii="Arial" w:eastAsia="DejaVu Sans" w:hAnsi="Arial" w:cs="Arial"/>
          <w:sz w:val="22"/>
          <w:szCs w:val="22"/>
          <w:lang w:val="es-VE" w:eastAsia="es-EC"/>
        </w:rPr>
        <w:t>miembros de las Fuerzas Armadas, en el cual se pretende que los militares pueden usar la fuerza de forma progresiva en protestas o casos de resistencia social, solamente cuando existe un decreto de estado de excepción que respalde su intervención y pueden usar armas letales solo cuando existe un nivel de conflictividad extremo o resistencia agresiva agravada, que incluye la posibilidad</w:t>
      </w:r>
      <w:r w:rsidRPr="00775AE5">
        <w:rPr>
          <w:rFonts w:ascii="Arial" w:eastAsia="DejaVu Sans" w:hAnsi="Arial" w:cs="Arial"/>
          <w:sz w:val="22"/>
          <w:szCs w:val="22"/>
          <w:shd w:val="clear" w:color="auto" w:fill="FFFFFF"/>
          <w:lang w:val="es-VE" w:eastAsia="es-EC"/>
        </w:rPr>
        <w:t xml:space="preserve"> de que manifestantes causen lesiones graves o muertes.</w:t>
      </w:r>
    </w:p>
    <w:p w14:paraId="73DC7291"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B242301"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Sin embargo, varias organizaciones de derechos humanos como CEDHU, SURKUNA, plantearon una demanda de inconstitucionalidad ante la Corte Constitucional, por lo que esta dio el trámite pertinente dejando suspendida dicha resolución hasta que la Corte resuelva las acciones interpuestas. Sobre el caso la Corte Constitucional resolvió suspender la vigencia del Acuerdo Ministerial 179 hasta que el Pleno de la Corte adopte una decisión sobre el fondo.  </w:t>
      </w:r>
    </w:p>
    <w:p w14:paraId="645FC0CB" w14:textId="77777777" w:rsidR="009E0A9E" w:rsidRPr="00775AE5" w:rsidRDefault="009E0A9E" w:rsidP="009E0A9E">
      <w:pPr>
        <w:rPr>
          <w:rFonts w:ascii="Arial" w:hAnsi="Arial" w:cs="Arial"/>
          <w:sz w:val="22"/>
          <w:szCs w:val="22"/>
          <w:lang w:val="es-VE"/>
        </w:rPr>
      </w:pPr>
    </w:p>
    <w:p w14:paraId="48740715" w14:textId="77777777" w:rsidR="009E0A9E" w:rsidRPr="00775AE5" w:rsidRDefault="009E0A9E" w:rsidP="009E0A9E">
      <w:pPr>
        <w:pStyle w:val="Heading4"/>
        <w:spacing w:before="0" w:after="0" w:line="276" w:lineRule="auto"/>
        <w:rPr>
          <w:rFonts w:ascii="Arial" w:hAnsi="Arial" w:cs="Arial"/>
          <w:sz w:val="22"/>
          <w:szCs w:val="22"/>
          <w:lang w:val="es-ES"/>
        </w:rPr>
      </w:pPr>
      <w:r w:rsidRPr="00775AE5">
        <w:rPr>
          <w:rFonts w:ascii="Arial" w:hAnsi="Arial" w:cs="Arial"/>
          <w:sz w:val="22"/>
          <w:szCs w:val="22"/>
          <w:lang w:val="es-ES"/>
        </w:rPr>
        <w:t>1.9.4 Caso Turi</w:t>
      </w:r>
    </w:p>
    <w:p w14:paraId="26409A9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776F377" w14:textId="2543A2E5"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El 31 de mayo de 2016, cuando la Policía Nacional solicitó permiso para realizar un operativo y buscar objetos prohibidos dentro de las celdas de un pabellón de Mediana Seguridad “JC”, del CRS Turi de la ciudad de Cuenca, aproximadamente 80 miembros de la Unidad de Mantenimiento del Orden (UMO) y miembros del Grupo de Intervención y Rescate (GIR), ingresaron al Pabellón y empezaron a golpear a la gente que deambulaba por los pasillos, gritaban “salgan todos al patio”.</w:t>
      </w:r>
      <w:r w:rsidRPr="00775AE5">
        <w:rPr>
          <w:rFonts w:ascii="Arial" w:eastAsia="DejaVu Sans" w:hAnsi="Arial" w:cs="Arial"/>
          <w:i/>
          <w:sz w:val="22"/>
          <w:szCs w:val="22"/>
          <w:lang w:val="es-VE" w:eastAsia="es-EC"/>
        </w:rPr>
        <w:t xml:space="preserve"> </w:t>
      </w:r>
      <w:r w:rsidRPr="00775AE5">
        <w:rPr>
          <w:rFonts w:ascii="Arial" w:eastAsia="DejaVu Sans" w:hAnsi="Arial" w:cs="Arial"/>
          <w:sz w:val="22"/>
          <w:szCs w:val="22"/>
          <w:lang w:val="es-VE" w:eastAsia="es-EC"/>
        </w:rPr>
        <w:t xml:space="preserve">Los </w:t>
      </w:r>
      <w:r w:rsidR="00434BA9" w:rsidRPr="00775AE5">
        <w:rPr>
          <w:rFonts w:ascii="Arial" w:eastAsia="DejaVu Sans" w:hAnsi="Arial" w:cs="Arial"/>
          <w:sz w:val="22"/>
          <w:szCs w:val="22"/>
          <w:lang w:val="es-VE" w:eastAsia="es-EC"/>
        </w:rPr>
        <w:t>policías se</w:t>
      </w:r>
      <w:r w:rsidRPr="00775AE5">
        <w:rPr>
          <w:rFonts w:ascii="Arial" w:eastAsia="DejaVu Sans" w:hAnsi="Arial" w:cs="Arial"/>
          <w:sz w:val="22"/>
          <w:szCs w:val="22"/>
          <w:lang w:val="es-VE" w:eastAsia="es-EC"/>
        </w:rPr>
        <w:t xml:space="preserve"> dirigieron al tercer piso, en donde ingresaron </w:t>
      </w:r>
      <w:r w:rsidR="00B93283" w:rsidRPr="00775AE5">
        <w:rPr>
          <w:rFonts w:ascii="Arial" w:eastAsia="DejaVu Sans" w:hAnsi="Arial" w:cs="Arial"/>
          <w:sz w:val="22"/>
          <w:szCs w:val="22"/>
          <w:lang w:val="es-VE" w:eastAsia="es-EC"/>
        </w:rPr>
        <w:t>a las</w:t>
      </w:r>
      <w:r w:rsidRPr="00775AE5">
        <w:rPr>
          <w:rFonts w:ascii="Arial" w:eastAsia="DejaVu Sans" w:hAnsi="Arial" w:cs="Arial"/>
          <w:sz w:val="22"/>
          <w:szCs w:val="22"/>
          <w:lang w:val="es-VE" w:eastAsia="es-EC"/>
        </w:rPr>
        <w:t xml:space="preserve"> celdas y sacaron a las personas privadas de la libertad, mediante golpes con tolete y propagación de gas pimienta. Les hicieron colocar boca abajo en el piso y empezaron a darles </w:t>
      </w:r>
      <w:r w:rsidR="00434BA9" w:rsidRPr="00775AE5">
        <w:rPr>
          <w:rFonts w:ascii="Arial" w:eastAsia="DejaVu Sans" w:hAnsi="Arial" w:cs="Arial"/>
          <w:sz w:val="22"/>
          <w:szCs w:val="22"/>
          <w:lang w:val="es-VE" w:eastAsia="es-EC"/>
        </w:rPr>
        <w:t>golpes en</w:t>
      </w:r>
      <w:r w:rsidRPr="00775AE5">
        <w:rPr>
          <w:rFonts w:ascii="Arial" w:eastAsia="DejaVu Sans" w:hAnsi="Arial" w:cs="Arial"/>
          <w:sz w:val="22"/>
          <w:szCs w:val="22"/>
          <w:lang w:val="es-VE" w:eastAsia="es-EC"/>
        </w:rPr>
        <w:t xml:space="preserve"> la nalga (a través de las redes sociales se difundió videos de los hechos que muestran a los detenidos acostados en el piso).</w:t>
      </w:r>
    </w:p>
    <w:p w14:paraId="4966CB9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79D0B8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Las PPL indicaron que los policías les amedrentaron diciéndoles que “no se atrevan a mirarlos, que no tenían ningún derecho y que tenían autoridad para desaparecerlos”, entre otras amenazas como insultos y golpes; además, destruyeron las instalaciones eléctricas, los colchones y otros enceres, así como las artesanías que las PPL realizan. Seguidamente bajaron al segundo y primer piso para continuar con la requisa en similares condiciones.</w:t>
      </w:r>
    </w:p>
    <w:p w14:paraId="2ED08301"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03E76FD" w14:textId="49ACB059"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Antes de ingresarles a las celdas, las PPL señalaron que los policías caminaron sobre ellos, presionándoles la cabeza y las coyunturas de las extremidades, les exigieron que se desnudaran y les obligaron hacer sentadillas (sapitos). Les ordenaron que se coloquen posición “en cuatro” para revisarles el ano a la vez que se </w:t>
      </w:r>
      <w:r w:rsidR="00434BA9" w:rsidRPr="00775AE5">
        <w:rPr>
          <w:rFonts w:ascii="Arial" w:eastAsia="DejaVu Sans" w:hAnsi="Arial" w:cs="Arial"/>
          <w:sz w:val="22"/>
          <w:szCs w:val="22"/>
          <w:lang w:val="es-VE" w:eastAsia="es-EC"/>
        </w:rPr>
        <w:t>burlaban llamándoles</w:t>
      </w:r>
      <w:r w:rsidRPr="00775AE5">
        <w:rPr>
          <w:rFonts w:ascii="Arial" w:eastAsia="DejaVu Sans" w:hAnsi="Arial" w:cs="Arial"/>
          <w:sz w:val="22"/>
          <w:szCs w:val="22"/>
          <w:lang w:val="es-VE" w:eastAsia="es-EC"/>
        </w:rPr>
        <w:t xml:space="preserve">: “mujercitas, este es el trato que van a recibir de parte de nosotros siempre”. También les obligaron a que </w:t>
      </w:r>
      <w:r w:rsidR="00434BA9" w:rsidRPr="00775AE5">
        <w:rPr>
          <w:rFonts w:ascii="Arial" w:eastAsia="DejaVu Sans" w:hAnsi="Arial" w:cs="Arial"/>
          <w:sz w:val="22"/>
          <w:szCs w:val="22"/>
          <w:lang w:val="es-VE" w:eastAsia="es-EC"/>
        </w:rPr>
        <w:t>griten “</w:t>
      </w:r>
      <w:r w:rsidRPr="00775AE5">
        <w:rPr>
          <w:rFonts w:ascii="Arial" w:eastAsia="DejaVu Sans" w:hAnsi="Arial" w:cs="Arial"/>
          <w:iCs/>
          <w:sz w:val="22"/>
          <w:szCs w:val="22"/>
          <w:lang w:val="es-VE" w:eastAsia="es-EC"/>
        </w:rPr>
        <w:t xml:space="preserve">SI” </w:t>
      </w:r>
      <w:r w:rsidRPr="00775AE5">
        <w:rPr>
          <w:rFonts w:ascii="Arial" w:eastAsia="DejaVu Sans" w:hAnsi="Arial" w:cs="Arial"/>
          <w:sz w:val="22"/>
          <w:szCs w:val="22"/>
          <w:lang w:val="es-VE" w:eastAsia="es-EC"/>
        </w:rPr>
        <w:t xml:space="preserve">a las preguntas que les hacían, como por ejemplo: “¿Quieren al grupo UMO?”, de lo contrario eran golpeados. Cuando algunos internos tosían o estornudaban por la asfixia del gas, les lanzaban más gas. </w:t>
      </w:r>
    </w:p>
    <w:p w14:paraId="47676F2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620CBB7" w14:textId="7FEC0ABE"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También existieron actos discriminatorios como la amenaza a dos </w:t>
      </w:r>
      <w:r w:rsidR="00434BA9" w:rsidRPr="00775AE5">
        <w:rPr>
          <w:rFonts w:ascii="Arial" w:eastAsia="DejaVu Sans" w:hAnsi="Arial" w:cs="Arial"/>
          <w:sz w:val="22"/>
          <w:szCs w:val="22"/>
          <w:lang w:val="es-VE" w:eastAsia="es-EC"/>
        </w:rPr>
        <w:t>PPL provenientes</w:t>
      </w:r>
      <w:r w:rsidRPr="00775AE5">
        <w:rPr>
          <w:rFonts w:ascii="Arial" w:eastAsia="DejaVu Sans" w:hAnsi="Arial" w:cs="Arial"/>
          <w:sz w:val="22"/>
          <w:szCs w:val="22"/>
          <w:lang w:val="es-VE" w:eastAsia="es-EC"/>
        </w:rPr>
        <w:t xml:space="preserve"> de Otavalo con cortarles el cabello, pues, a criterio de los policías parecían “mujeres” sin respetar su identidad cultural. Todos las PPL que se encontraban en el pabellón fueron agredidos, incluyendo a los agentes de seguridad penitenciaria, en donde a uno de ellos le amenazaron y le quitaron las llaves para tener acceso a todas las áreas. El personal administrativo también fue agredido con gas lacrimógeno cuando trataron de ayudar a las personas privadas de libertad.</w:t>
      </w:r>
    </w:p>
    <w:p w14:paraId="1334186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099EB7B" w14:textId="08165A4D"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Las PPL señalaron </w:t>
      </w:r>
      <w:r w:rsidR="00434BA9" w:rsidRPr="00775AE5">
        <w:rPr>
          <w:rFonts w:ascii="Arial" w:eastAsia="DejaVu Sans" w:hAnsi="Arial" w:cs="Arial"/>
          <w:sz w:val="22"/>
          <w:szCs w:val="22"/>
          <w:lang w:val="es-VE" w:eastAsia="es-EC"/>
        </w:rPr>
        <w:t>que,</w:t>
      </w:r>
      <w:r w:rsidRPr="00775AE5">
        <w:rPr>
          <w:rFonts w:ascii="Arial" w:eastAsia="DejaVu Sans" w:hAnsi="Arial" w:cs="Arial"/>
          <w:sz w:val="22"/>
          <w:szCs w:val="22"/>
          <w:lang w:val="es-VE" w:eastAsia="es-EC"/>
        </w:rPr>
        <w:t xml:space="preserve"> en la requisa, los miembros del grupo UMO, se llevaron las artesanías elaboradas por ellos, material de trabajo de los talleres, objetos autorizados por el mismo Director del Centro, como son zapatos especiales para personas con algún tipo de discapacidad o enfermedad, entre otras cosas. Las secuelas del maltrato físico fueron: huellas de golpes y </w:t>
      </w:r>
      <w:r w:rsidR="00434BA9" w:rsidRPr="00775AE5">
        <w:rPr>
          <w:rFonts w:ascii="Arial" w:eastAsia="DejaVu Sans" w:hAnsi="Arial" w:cs="Arial"/>
          <w:sz w:val="22"/>
          <w:szCs w:val="22"/>
          <w:lang w:val="es-VE" w:eastAsia="es-EC"/>
        </w:rPr>
        <w:t>heridas en</w:t>
      </w:r>
      <w:r w:rsidRPr="00775AE5">
        <w:rPr>
          <w:rFonts w:ascii="Arial" w:eastAsia="DejaVu Sans" w:hAnsi="Arial" w:cs="Arial"/>
          <w:sz w:val="22"/>
          <w:szCs w:val="22"/>
          <w:lang w:val="es-VE" w:eastAsia="es-EC"/>
        </w:rPr>
        <w:t xml:space="preserve"> las manos, brazos, espalda, piernas, tórax, nalgas, situaciones que recaerían claramente en tortura y tratos inhumanos de degradantes de la </w:t>
      </w:r>
      <w:r w:rsidR="00B93283" w:rsidRPr="00775AE5">
        <w:rPr>
          <w:rFonts w:ascii="Arial" w:eastAsia="DejaVu Sans" w:hAnsi="Arial" w:cs="Arial"/>
          <w:sz w:val="22"/>
          <w:szCs w:val="22"/>
          <w:lang w:val="es-VE" w:eastAsia="es-EC"/>
        </w:rPr>
        <w:t>cual fueron</w:t>
      </w:r>
      <w:r w:rsidRPr="00775AE5">
        <w:rPr>
          <w:rFonts w:ascii="Arial" w:eastAsia="DejaVu Sans" w:hAnsi="Arial" w:cs="Arial"/>
          <w:sz w:val="22"/>
          <w:szCs w:val="22"/>
          <w:lang w:val="es-VE" w:eastAsia="es-EC"/>
        </w:rPr>
        <w:t xml:space="preserve"> víctimas.</w:t>
      </w:r>
    </w:p>
    <w:p w14:paraId="3BEBBE6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DF349E8" w14:textId="77777777" w:rsidR="009E0A9E" w:rsidRPr="00E84BE1" w:rsidRDefault="009E0A9E" w:rsidP="009E0A9E">
      <w:pPr>
        <w:widowControl w:val="0"/>
        <w:suppressAutoHyphens/>
        <w:spacing w:line="276" w:lineRule="auto"/>
        <w:jc w:val="both"/>
        <w:rPr>
          <w:rFonts w:ascii="Arial" w:eastAsia="DejaVu Sans" w:hAnsi="Arial" w:cs="Arial"/>
          <w:b/>
          <w:bCs/>
          <w:sz w:val="22"/>
          <w:szCs w:val="22"/>
          <w:lang w:val="es-VE" w:eastAsia="es-EC"/>
        </w:rPr>
      </w:pPr>
      <w:r w:rsidRPr="00E84BE1">
        <w:rPr>
          <w:rFonts w:ascii="Arial" w:eastAsia="DejaVu Sans" w:hAnsi="Arial" w:cs="Arial"/>
          <w:b/>
          <w:bCs/>
          <w:sz w:val="22"/>
          <w:szCs w:val="22"/>
          <w:lang w:val="es-VE" w:eastAsia="es-EC"/>
        </w:rPr>
        <w:t>Habeas Corpus No. 01283-2016-03266.</w:t>
      </w:r>
    </w:p>
    <w:p w14:paraId="59672BBC" w14:textId="77777777" w:rsidR="009E0A9E" w:rsidRPr="00E84BE1" w:rsidRDefault="009E0A9E" w:rsidP="009E0A9E">
      <w:pPr>
        <w:widowControl w:val="0"/>
        <w:suppressAutoHyphens/>
        <w:spacing w:line="276" w:lineRule="auto"/>
        <w:jc w:val="both"/>
        <w:rPr>
          <w:rFonts w:ascii="Arial" w:eastAsia="DejaVu Sans" w:hAnsi="Arial" w:cs="Arial"/>
          <w:b/>
          <w:bCs/>
          <w:sz w:val="22"/>
          <w:szCs w:val="22"/>
          <w:lang w:val="es-VE" w:eastAsia="es-EC"/>
        </w:rPr>
      </w:pPr>
    </w:p>
    <w:p w14:paraId="6605BF0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De los hechos antes relatados, un grupo de trece (13) PPL afectadas, el 31 de agosto de 2016,  presentaron una acción constitucional de habeas corpus con el objeto que el juez constitucional verifique que existió una vulneración del derecho a la integridad física, y consecuentemente solicitar el traslado de las personas privadas de libertad a otros centros de rehabilitación social que sean más cercanos a su entorno familiar y social, para que no existan represalias en contra de las personas que se atrevieron a denunciar estos casos, que muchas veces quedan en la impunidad.</w:t>
      </w:r>
    </w:p>
    <w:p w14:paraId="057F94A5"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A762A8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Después de una serie de incidentes y tres audiencias, el 28 de  septiembre de 2016, el Juez I de la Unidad Judicial Penal de Cuenca declara con lugar la acción constitucional de habeas corpus planteada y con ello la reparación integral a las víctimas, misma que consistió en daño inmaterial que comprende, tanto las agresiones físicas, sufrimientos, aflicciones, y humillaciones causados a los privados de la libertad como víctimas directas, el menoscabo de valores muy significativos para las personas, así como las alteraciones, de carácter no pecuniario, en las condiciones de existencia de las víctimas.</w:t>
      </w:r>
    </w:p>
    <w:p w14:paraId="724A337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3A44AF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El mayor problema para el cumplimiento de la reparación integral emitida en la sentencia de la acción de habeas corpus ha sido la presentación de las disculpas públicas por parte de los miembros de la Policía Nacional que intervinieron en el operativo; así como, el tratamiento psicológico integral y las charlas en derechos humanos para los internos afectados que hasta la fecha actual no se cumple en su totalidad.</w:t>
      </w:r>
    </w:p>
    <w:p w14:paraId="70DBF81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1CA2DFA" w14:textId="765EFA9B"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Se han realizado tres audiencias para el seguimiento del cumplimiento de la sentencia, siendo la última el 04 de diciembre de 2019. En el sistema </w:t>
      </w:r>
      <w:proofErr w:type="spellStart"/>
      <w:r w:rsidRPr="00775AE5">
        <w:rPr>
          <w:rFonts w:ascii="Arial" w:eastAsia="DejaVu Sans" w:hAnsi="Arial" w:cs="Arial"/>
          <w:sz w:val="22"/>
          <w:szCs w:val="22"/>
          <w:lang w:val="es-VE" w:eastAsia="es-EC"/>
        </w:rPr>
        <w:t>eSatje</w:t>
      </w:r>
      <w:proofErr w:type="spellEnd"/>
      <w:r w:rsidRPr="00775AE5">
        <w:rPr>
          <w:rFonts w:ascii="Arial" w:eastAsia="DejaVu Sans" w:hAnsi="Arial" w:cs="Arial"/>
          <w:sz w:val="22"/>
          <w:szCs w:val="22"/>
          <w:lang w:val="es-VE" w:eastAsia="es-EC"/>
        </w:rPr>
        <w:t xml:space="preserve"> del Consejo de la Judicatura en la sección de reporte de procesos consta que el 19 de febrero de 2020 se emitió la última </w:t>
      </w:r>
      <w:r w:rsidR="00434BA9" w:rsidRPr="00775AE5">
        <w:rPr>
          <w:rFonts w:ascii="Arial" w:eastAsia="DejaVu Sans" w:hAnsi="Arial" w:cs="Arial"/>
          <w:sz w:val="22"/>
          <w:szCs w:val="22"/>
          <w:lang w:val="es-VE" w:eastAsia="es-EC"/>
        </w:rPr>
        <w:t>providencia dentro</w:t>
      </w:r>
      <w:r w:rsidRPr="00775AE5">
        <w:rPr>
          <w:rFonts w:ascii="Arial" w:eastAsia="DejaVu Sans" w:hAnsi="Arial" w:cs="Arial"/>
          <w:sz w:val="22"/>
          <w:szCs w:val="22"/>
          <w:lang w:val="es-VE" w:eastAsia="es-EC"/>
        </w:rPr>
        <w:t xml:space="preserve"> de la Acción de Habeas Corpus, en la que se refleja </w:t>
      </w:r>
      <w:r w:rsidR="00D52080" w:rsidRPr="00775AE5">
        <w:rPr>
          <w:rFonts w:ascii="Arial" w:eastAsia="DejaVu Sans" w:hAnsi="Arial" w:cs="Arial"/>
          <w:sz w:val="22"/>
          <w:szCs w:val="22"/>
          <w:lang w:val="es-VE" w:eastAsia="es-EC"/>
        </w:rPr>
        <w:t>que,</w:t>
      </w:r>
      <w:r w:rsidRPr="00775AE5">
        <w:rPr>
          <w:rFonts w:ascii="Arial" w:eastAsia="DejaVu Sans" w:hAnsi="Arial" w:cs="Arial"/>
          <w:sz w:val="22"/>
          <w:szCs w:val="22"/>
          <w:lang w:val="es-VE" w:eastAsia="es-EC"/>
        </w:rPr>
        <w:t xml:space="preserve"> a más de cuatro años de los hechos, está no se ha cumplido en su totalidad, encontrándose pendiente las charlas sobre derechos humanos dirigido a las PPL.   </w:t>
      </w:r>
    </w:p>
    <w:p w14:paraId="0452A791" w14:textId="77777777" w:rsidR="009E0A9E" w:rsidRPr="00775AE5" w:rsidRDefault="009E0A9E" w:rsidP="009E0A9E">
      <w:pPr>
        <w:widowControl w:val="0"/>
        <w:suppressAutoHyphens/>
        <w:spacing w:line="276" w:lineRule="auto"/>
        <w:jc w:val="both"/>
        <w:rPr>
          <w:rFonts w:ascii="Arial" w:eastAsia="DejaVu Sans" w:hAnsi="Arial" w:cs="Arial"/>
          <w:b/>
          <w:bCs/>
          <w:sz w:val="22"/>
          <w:szCs w:val="22"/>
          <w:lang w:val="es-VE" w:eastAsia="es-EC"/>
        </w:rPr>
      </w:pPr>
    </w:p>
    <w:p w14:paraId="71F30DAF" w14:textId="77777777" w:rsidR="009E0A9E" w:rsidRPr="00E84BE1" w:rsidRDefault="009E0A9E" w:rsidP="00B17DD2">
      <w:pPr>
        <w:widowControl w:val="0"/>
        <w:numPr>
          <w:ilvl w:val="0"/>
          <w:numId w:val="20"/>
        </w:numPr>
        <w:suppressAutoHyphens/>
        <w:spacing w:line="276" w:lineRule="auto"/>
        <w:jc w:val="both"/>
        <w:rPr>
          <w:rFonts w:ascii="Arial" w:eastAsia="DejaVu Sans" w:hAnsi="Arial" w:cs="Arial"/>
          <w:b/>
          <w:bCs/>
          <w:sz w:val="22"/>
          <w:szCs w:val="22"/>
          <w:lang w:val="es-VE" w:eastAsia="es-EC"/>
        </w:rPr>
      </w:pPr>
      <w:r w:rsidRPr="00E84BE1">
        <w:rPr>
          <w:rFonts w:ascii="Arial" w:eastAsia="DejaVu Sans" w:hAnsi="Arial" w:cs="Arial"/>
          <w:b/>
          <w:bCs/>
          <w:sz w:val="22"/>
          <w:szCs w:val="22"/>
          <w:lang w:val="es-VE" w:eastAsia="es-EC"/>
        </w:rPr>
        <w:t>Proceso Penal Juicio No. 01283-2016-04915G</w:t>
      </w:r>
    </w:p>
    <w:p w14:paraId="1460F2A1" w14:textId="77777777" w:rsidR="009E0A9E" w:rsidRPr="00775AE5" w:rsidRDefault="009E0A9E" w:rsidP="009E0A9E">
      <w:pPr>
        <w:widowControl w:val="0"/>
        <w:suppressAutoHyphens/>
        <w:spacing w:line="276" w:lineRule="auto"/>
        <w:ind w:left="720"/>
        <w:jc w:val="both"/>
        <w:rPr>
          <w:rFonts w:ascii="Arial" w:eastAsia="DejaVu Sans" w:hAnsi="Arial" w:cs="Arial"/>
          <w:sz w:val="22"/>
          <w:szCs w:val="22"/>
          <w:lang w:val="es-VE" w:eastAsia="es-EC"/>
        </w:rPr>
      </w:pPr>
    </w:p>
    <w:p w14:paraId="6648CE4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color w:val="000000"/>
          <w:sz w:val="22"/>
          <w:szCs w:val="22"/>
          <w:lang w:val="es-VE" w:eastAsia="es-EC"/>
        </w:rPr>
        <w:t>En el proceso penal del</w:t>
      </w:r>
      <w:r w:rsidRPr="00775AE5">
        <w:rPr>
          <w:rFonts w:ascii="Arial" w:eastAsia="DejaVu Sans" w:hAnsi="Arial" w:cs="Arial"/>
          <w:b/>
          <w:bCs/>
          <w:color w:val="000000"/>
          <w:sz w:val="22"/>
          <w:szCs w:val="22"/>
          <w:lang w:val="es-VE" w:eastAsia="es-EC"/>
        </w:rPr>
        <w:t xml:space="preserve"> </w:t>
      </w:r>
      <w:r w:rsidRPr="00775AE5">
        <w:rPr>
          <w:rFonts w:ascii="Arial" w:eastAsia="DejaVu Sans" w:hAnsi="Arial" w:cs="Arial"/>
          <w:bCs/>
          <w:color w:val="000000"/>
          <w:sz w:val="22"/>
          <w:szCs w:val="22"/>
          <w:lang w:val="es-VE" w:eastAsia="es-EC"/>
        </w:rPr>
        <w:t>Caso Turi,</w:t>
      </w:r>
      <w:r w:rsidRPr="00775AE5">
        <w:rPr>
          <w:rFonts w:ascii="Arial" w:eastAsia="DejaVu Sans" w:hAnsi="Arial" w:cs="Arial"/>
          <w:color w:val="000000"/>
          <w:sz w:val="22"/>
          <w:szCs w:val="22"/>
          <w:lang w:val="es-VE" w:eastAsia="es-EC"/>
        </w:rPr>
        <w:t xml:space="preserve"> hasta la actual fecha no se ha logrado establecer la responsabilidad penal de los policías involucrados en el caso Turi, pese a que se cuenta como prueba con el vídeo de seguridad del centro carcelario, donde se muestran los actos a las que fueron sometidas doscientas personas privadas de la libertad.</w:t>
      </w:r>
    </w:p>
    <w:p w14:paraId="121F223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F703AF9"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w:t>
      </w:r>
      <w:r w:rsidRPr="00775AE5">
        <w:rPr>
          <w:rFonts w:ascii="Arial" w:eastAsia="DejaVu Sans" w:hAnsi="Arial" w:cs="Arial"/>
          <w:color w:val="000000"/>
          <w:sz w:val="22"/>
          <w:szCs w:val="22"/>
          <w:lang w:val="es-VE" w:eastAsia="es-EC"/>
        </w:rPr>
        <w:t>l 26 enero del 2017, la Fiscalía del Azuay formuló cargos en contra de 46 policías por el Delito de Tortura, sin embargo el  08 de junio del mismo año la fiscalía solicita audiencia para Reformulación de Cargos, donde el delito de tortura bajo el cual se investigaba a los policías, cambia por “Extralimitación en la Ejecución de un Acto de Servicio” y en la  Audiencia de Formulación de Cargos, realizada el 01 de agosto de 2017, el Juez  se abstuvo de acusar a 34 policías, según su criterio por “falta de pruebas”, quedando solo 15 de los 49 imputados. El 10 de agosto del 2017, en la Audiencia Preparatoria de Juicio y el Juez Penal de Cuenca, Alfredo Serrano, consideró que no hubo suficientes elementos para dictaminar la responsabilidad de los quince policías acusados, aunque reconoció la existencia del delito, pero los policías fueron sobreseídos.</w:t>
      </w:r>
    </w:p>
    <w:p w14:paraId="1F9335A1" w14:textId="77777777" w:rsidR="009E0A9E" w:rsidRPr="00775AE5" w:rsidRDefault="009E0A9E" w:rsidP="009E0A9E">
      <w:pPr>
        <w:widowControl w:val="0"/>
        <w:suppressAutoHyphens/>
        <w:spacing w:line="276" w:lineRule="auto"/>
        <w:jc w:val="both"/>
        <w:rPr>
          <w:rFonts w:ascii="Arial" w:eastAsia="DejaVu Sans" w:hAnsi="Arial" w:cs="Arial"/>
          <w:color w:val="000000"/>
          <w:sz w:val="22"/>
          <w:szCs w:val="22"/>
          <w:lang w:val="es-VE" w:eastAsia="es-EC"/>
        </w:rPr>
      </w:pPr>
    </w:p>
    <w:p w14:paraId="6D7D2CCA" w14:textId="6582F1B5"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color w:val="000000"/>
          <w:sz w:val="22"/>
          <w:szCs w:val="22"/>
          <w:lang w:val="es-VE" w:eastAsia="es-EC"/>
        </w:rPr>
        <w:t xml:space="preserve">Ante la decisión del Juez de la Unidad Penal de Cuenca en la cual dispone el sobreseimiento de los policías involucrados, el 14 de agosto de 2017, el Defensor del Pueblo realiza un pronunciamiento en el que exige la tutela judicial efectiva de las víctimas de vulneración de derechos humanos y que el caso Turi no quede en la impunidad. </w:t>
      </w:r>
      <w:r w:rsidR="00E46FC9" w:rsidRPr="00775AE5">
        <w:rPr>
          <w:rFonts w:ascii="Arial" w:eastAsia="DejaVu Sans" w:hAnsi="Arial" w:cs="Arial"/>
          <w:color w:val="000000"/>
          <w:sz w:val="22"/>
          <w:szCs w:val="22"/>
          <w:lang w:val="es-VE" w:eastAsia="es-EC"/>
        </w:rPr>
        <w:t>R</w:t>
      </w:r>
      <w:r w:rsidR="00E46FC9" w:rsidRPr="00775AE5">
        <w:rPr>
          <w:rFonts w:ascii="Arial" w:eastAsia="DejaVu Sans" w:hAnsi="Arial" w:cs="Arial"/>
          <w:sz w:val="22"/>
          <w:szCs w:val="22"/>
          <w:lang w:val="es-VE" w:eastAsia="es-EC"/>
        </w:rPr>
        <w:t>ecuerda,</w:t>
      </w:r>
      <w:r w:rsidRPr="00775AE5">
        <w:rPr>
          <w:rFonts w:ascii="Arial" w:eastAsia="DejaVu Sans" w:hAnsi="Arial" w:cs="Arial"/>
          <w:sz w:val="22"/>
          <w:szCs w:val="22"/>
          <w:lang w:val="es-VE" w:eastAsia="es-EC"/>
        </w:rPr>
        <w:t xml:space="preserve"> además: </w:t>
      </w:r>
    </w:p>
    <w:p w14:paraId="762C304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844E70B" w14:textId="77777777" w:rsidR="009E0A9E" w:rsidRPr="00775AE5" w:rsidRDefault="009E0A9E" w:rsidP="009E0A9E">
      <w:pPr>
        <w:spacing w:line="276" w:lineRule="auto"/>
        <w:ind w:left="709"/>
        <w:jc w:val="both"/>
        <w:rPr>
          <w:rFonts w:ascii="Arial" w:eastAsia="Calibri" w:hAnsi="Arial" w:cs="Arial"/>
          <w:i/>
          <w:iCs/>
          <w:sz w:val="22"/>
          <w:szCs w:val="22"/>
          <w:lang w:val="es-ES"/>
        </w:rPr>
      </w:pPr>
      <w:r w:rsidRPr="00775AE5">
        <w:rPr>
          <w:rFonts w:ascii="Arial" w:eastAsia="Calibri" w:hAnsi="Arial" w:cs="Arial"/>
          <w:sz w:val="22"/>
          <w:szCs w:val="22"/>
          <w:lang w:val="es-ES"/>
        </w:rPr>
        <w:t>... a la Administración de Justicia que la impunidad constituye una infracción de las obligaciones que tienen los Estados de investigar las violaciones, adoptar medidas apropiadas respecto de sus autores, especialmente en la esfera de la justicia, para que las personas sospechosas de responsabilidad penal sean procesadas, juzgadas y condenadas a penas apropiadas, de garantizar a las víctimas recursos eficaces y la reparación de los perjuicios sufridos de garantizar el derecho inalienable a conocer la verdad y de tomar todas las medidas necesarias para evitar la repetición de dichas violaciones.</w:t>
      </w:r>
      <w:r w:rsidRPr="00775AE5">
        <w:rPr>
          <w:rFonts w:ascii="Arial" w:eastAsia="Calibri" w:hAnsi="Arial" w:cs="Arial"/>
          <w:i/>
          <w:iCs/>
          <w:sz w:val="22"/>
          <w:szCs w:val="22"/>
          <w:lang w:val="es-ES"/>
        </w:rPr>
        <w:t xml:space="preserve"> </w:t>
      </w:r>
    </w:p>
    <w:p w14:paraId="26603CFB" w14:textId="77777777" w:rsidR="009E0A9E" w:rsidRPr="00775AE5" w:rsidRDefault="009E0A9E" w:rsidP="009E0A9E">
      <w:pPr>
        <w:widowControl w:val="0"/>
        <w:suppressAutoHyphens/>
        <w:spacing w:line="276" w:lineRule="auto"/>
        <w:jc w:val="both"/>
        <w:rPr>
          <w:rFonts w:ascii="Arial" w:eastAsia="DejaVu Sans" w:hAnsi="Arial" w:cs="Arial"/>
          <w:color w:val="000000"/>
          <w:sz w:val="22"/>
          <w:szCs w:val="22"/>
          <w:lang w:val="es-VE" w:eastAsia="es-EC"/>
        </w:rPr>
      </w:pPr>
    </w:p>
    <w:p w14:paraId="5510348F" w14:textId="59DA883A"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color w:val="000000"/>
          <w:sz w:val="22"/>
          <w:szCs w:val="22"/>
          <w:lang w:val="es-VE" w:eastAsia="es-EC"/>
        </w:rPr>
        <w:t xml:space="preserve">Finaliza el </w:t>
      </w:r>
      <w:r w:rsidR="00B93283" w:rsidRPr="00775AE5">
        <w:rPr>
          <w:rFonts w:ascii="Arial" w:eastAsia="DejaVu Sans" w:hAnsi="Arial" w:cs="Arial"/>
          <w:color w:val="000000"/>
          <w:sz w:val="22"/>
          <w:szCs w:val="22"/>
          <w:lang w:val="es-VE" w:eastAsia="es-EC"/>
        </w:rPr>
        <w:t>pronunciamiento exigiendo</w:t>
      </w:r>
      <w:r w:rsidRPr="00775AE5">
        <w:rPr>
          <w:rFonts w:ascii="Arial" w:eastAsia="DejaVu Sans" w:hAnsi="Arial" w:cs="Arial"/>
          <w:color w:val="000000"/>
          <w:sz w:val="22"/>
          <w:szCs w:val="22"/>
          <w:lang w:val="es-VE" w:eastAsia="es-EC"/>
        </w:rPr>
        <w:t xml:space="preserve"> que en el caso Turi debe brillar la tutela judicial efectiva para las víctimas de violación a los derechos humanos y garantizarse la verdad, la justicia y la reparación integral.</w:t>
      </w:r>
    </w:p>
    <w:p w14:paraId="69BD47CF" w14:textId="77777777" w:rsidR="009E0A9E" w:rsidRPr="00775AE5" w:rsidRDefault="009E0A9E" w:rsidP="009E0A9E">
      <w:pPr>
        <w:widowControl w:val="0"/>
        <w:suppressAutoHyphens/>
        <w:spacing w:line="276" w:lineRule="auto"/>
        <w:jc w:val="both"/>
        <w:rPr>
          <w:rFonts w:ascii="Arial" w:eastAsia="DejaVu Sans" w:hAnsi="Arial" w:cs="Arial"/>
          <w:color w:val="000000"/>
          <w:sz w:val="22"/>
          <w:szCs w:val="22"/>
          <w:lang w:val="es-VE" w:eastAsia="es-EC"/>
        </w:rPr>
      </w:pPr>
    </w:p>
    <w:p w14:paraId="1D78C5B0"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color w:val="000000"/>
          <w:sz w:val="22"/>
          <w:szCs w:val="22"/>
          <w:lang w:val="es-VE" w:eastAsia="es-EC"/>
        </w:rPr>
        <w:t>A partir del sobreseimiento se producen una serie de incidentes, apelaciones, nulidades, cambio de figura legal (delito), hasta el</w:t>
      </w:r>
      <w:r w:rsidRPr="00775AE5">
        <w:rPr>
          <w:rFonts w:ascii="Arial" w:eastAsia="DejaVu Sans" w:hAnsi="Arial" w:cs="Arial"/>
          <w:sz w:val="22"/>
          <w:szCs w:val="22"/>
          <w:lang w:val="es-VE" w:eastAsia="es-EC"/>
        </w:rPr>
        <w:t xml:space="preserve"> 14 de noviembre de 2018 en que el Tribunal de Garantías Penales del Azuay emite sentencia en la que los jueces impusieron 106 días de cárcel para 37 de los 42 policías procesados por incurrir en el delito de extralimitación de la fuerza en un acto de servicio. Como reparación integral a las víctimas debían pagar USD 500 y dar atención sicológica y médica.</w:t>
      </w:r>
    </w:p>
    <w:p w14:paraId="3D44C395"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210126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Fiscalía había argumentado que durante el proceso y a través de exámenes médicos y periciales demostraron que sí hubo violación al derecho humano mediante la tortura, sufrimiento, dolor y menoscabo a los privados de la libertad, por lo que solicitaron 13 años pena privativa para los uniformados involucrados por el delito de tortura, por lo que </w:t>
      </w:r>
      <w:r w:rsidRPr="00775AE5">
        <w:rPr>
          <w:rFonts w:ascii="Arial" w:eastAsia="DejaVu Sans" w:hAnsi="Arial" w:cs="Arial"/>
          <w:bCs/>
          <w:sz w:val="22"/>
          <w:szCs w:val="22"/>
          <w:lang w:val="es-VE" w:eastAsia="es-EC"/>
        </w:rPr>
        <w:t>apelaron la sentencia</w:t>
      </w:r>
      <w:r w:rsidRPr="00775AE5">
        <w:rPr>
          <w:rFonts w:ascii="Arial" w:eastAsia="DejaVu Sans" w:hAnsi="Arial" w:cs="Arial"/>
          <w:sz w:val="22"/>
          <w:szCs w:val="22"/>
          <w:lang w:val="es-VE" w:eastAsia="es-EC"/>
        </w:rPr>
        <w:t>.</w:t>
      </w:r>
    </w:p>
    <w:p w14:paraId="0D9DF89F"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0057960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Según información emitida por la Fiscalía General del Estado, en audiencia de apelación, desarrollada entre el 2 y el 13 de marzo de 2020, los jueces de la Sala de Garantías Penales del Azuay declararon la nulidad del proceso desde antes de la audiencia de juicio del caso por presunta tortura, que habrían cometido 42 miembros de la Policía en contra de personas privadas de la libertad, del pabellón de Mediana Seguridad del Centro de Rehabilitación Social (CRS) Turi.</w:t>
      </w:r>
    </w:p>
    <w:p w14:paraId="3B2328B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EDEBC38" w14:textId="00281E90"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En la exposición del recurso de apelación, la </w:t>
      </w:r>
      <w:r w:rsidR="00B93283" w:rsidRPr="00775AE5">
        <w:rPr>
          <w:rFonts w:ascii="Arial" w:eastAsia="DejaVu Sans" w:hAnsi="Arial" w:cs="Arial"/>
          <w:sz w:val="22"/>
          <w:szCs w:val="22"/>
          <w:lang w:val="es-VE" w:eastAsia="es-EC"/>
        </w:rPr>
        <w:t>fiscal solicitó</w:t>
      </w:r>
      <w:r w:rsidRPr="00775AE5">
        <w:rPr>
          <w:rFonts w:ascii="Arial" w:eastAsia="DejaVu Sans" w:hAnsi="Arial" w:cs="Arial"/>
          <w:sz w:val="22"/>
          <w:szCs w:val="22"/>
          <w:lang w:val="es-VE" w:eastAsia="es-EC"/>
        </w:rPr>
        <w:t xml:space="preserve"> a los jueces que los 42 procesados sean sentenciados por el delito de tortura. Esto, debido a que, en la audiencia de juicio – a pesar de que la Fiscalía los acusó por ese delito– el Tribunal Penal condenó al mayor René C., a dos subtenientes y a otros treinta y cuatro policías por el delito de extralimitación en la ejecución de un acto de servicio y les impuso 106 días de privación de libertad; además, ratificó el estado de inocencia de otros cinco policías.</w:t>
      </w:r>
    </w:p>
    <w:p w14:paraId="51E7853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39EF4748"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Se señala que el pedido de Fiscalía no fue aceptado por los jueces, quienes también rechazaron el recurso de apelación interpuesto por la defensa de los sentenciados, que solicitaron que se confirme el estado de inocencia. Con la decisión de los jueces, la audiencia de juicio deberá desarrollarse nuevamente, en contra de los 42 policías acusados de tortura.</w:t>
      </w:r>
    </w:p>
    <w:p w14:paraId="2B8E71F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2B7F923" w14:textId="0DCBFB70"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Los videos como los testimonios y demás pruebas presentadas evidencian que el operativo de “requisa” no tuvo como único objetivo el buscar objetos o sustancias prohibidas al interior del pabellón; sino que, las acciones realizadas por los miembros policiales tuvo como finalidad amedrentar, castigarles y causar  a las persona privadas de la  libertad penas o sufrimientos físicos y mentales,  anulando su personalidad y disminuyendo su capacidad física y mental, es decir acciones que cumplen con todos los elementos que la Convención Interamericana para Prevenir y Sancionar la Tortura, establecen para configurar el delito de tortura. La administración de justicia debe asegurar la </w:t>
      </w:r>
      <w:r w:rsidRPr="00775AE5">
        <w:rPr>
          <w:rFonts w:ascii="Arial" w:eastAsia="DejaVu Sans" w:hAnsi="Arial" w:cs="Arial"/>
          <w:color w:val="000000"/>
          <w:sz w:val="22"/>
          <w:szCs w:val="22"/>
          <w:lang w:val="es-VE" w:eastAsia="es-EC"/>
        </w:rPr>
        <w:t xml:space="preserve">tutela judicial efectiva de las </w:t>
      </w:r>
      <w:r w:rsidR="00B93283" w:rsidRPr="00775AE5">
        <w:rPr>
          <w:rFonts w:ascii="Arial" w:eastAsia="DejaVu Sans" w:hAnsi="Arial" w:cs="Arial"/>
          <w:color w:val="000000"/>
          <w:sz w:val="22"/>
          <w:szCs w:val="22"/>
          <w:lang w:val="es-VE" w:eastAsia="es-EC"/>
        </w:rPr>
        <w:t>víctimas, el</w:t>
      </w:r>
      <w:r w:rsidRPr="00775AE5">
        <w:rPr>
          <w:rFonts w:ascii="Arial" w:eastAsia="DejaVu Sans" w:hAnsi="Arial" w:cs="Arial"/>
          <w:color w:val="000000"/>
          <w:sz w:val="22"/>
          <w:szCs w:val="22"/>
          <w:lang w:val="es-VE" w:eastAsia="es-EC"/>
        </w:rPr>
        <w:t xml:space="preserve"> debido proceso de la causa </w:t>
      </w:r>
      <w:r w:rsidR="00B93283" w:rsidRPr="00775AE5">
        <w:rPr>
          <w:rFonts w:ascii="Arial" w:eastAsia="DejaVu Sans" w:hAnsi="Arial" w:cs="Arial"/>
          <w:color w:val="000000"/>
          <w:sz w:val="22"/>
          <w:szCs w:val="22"/>
          <w:lang w:val="es-VE" w:eastAsia="es-EC"/>
        </w:rPr>
        <w:t>y no</w:t>
      </w:r>
      <w:r w:rsidRPr="00775AE5">
        <w:rPr>
          <w:rFonts w:ascii="Arial" w:eastAsia="DejaVu Sans" w:hAnsi="Arial" w:cs="Arial"/>
          <w:color w:val="000000"/>
          <w:sz w:val="22"/>
          <w:szCs w:val="22"/>
          <w:lang w:val="es-VE" w:eastAsia="es-EC"/>
        </w:rPr>
        <w:t xml:space="preserve"> permitir que el caso quede en la impunidad. Garantizar la verdad, la justicia y la reparación integral </w:t>
      </w:r>
      <w:r w:rsidR="00B93283" w:rsidRPr="00775AE5">
        <w:rPr>
          <w:rFonts w:ascii="Arial" w:eastAsia="DejaVu Sans" w:hAnsi="Arial" w:cs="Arial"/>
          <w:color w:val="000000"/>
          <w:sz w:val="22"/>
          <w:szCs w:val="22"/>
          <w:lang w:val="es-VE" w:eastAsia="es-EC"/>
        </w:rPr>
        <w:t>de las</w:t>
      </w:r>
      <w:r w:rsidRPr="00775AE5">
        <w:rPr>
          <w:rFonts w:ascii="Arial" w:eastAsia="DejaVu Sans" w:hAnsi="Arial" w:cs="Arial"/>
          <w:color w:val="000000"/>
          <w:sz w:val="22"/>
          <w:szCs w:val="22"/>
          <w:lang w:val="es-VE" w:eastAsia="es-EC"/>
        </w:rPr>
        <w:t xml:space="preserve"> víctimas.</w:t>
      </w:r>
    </w:p>
    <w:p w14:paraId="36DD81B7" w14:textId="77777777" w:rsidR="009E0A9E" w:rsidRPr="00775AE5" w:rsidRDefault="009E0A9E" w:rsidP="009E0A9E">
      <w:pPr>
        <w:spacing w:line="276" w:lineRule="auto"/>
        <w:rPr>
          <w:rFonts w:ascii="Arial" w:hAnsi="Arial" w:cs="Arial"/>
          <w:sz w:val="22"/>
          <w:szCs w:val="22"/>
          <w:lang w:val="es-VE"/>
        </w:rPr>
      </w:pPr>
    </w:p>
    <w:p w14:paraId="6AC626B0" w14:textId="77777777" w:rsidR="009E0A9E" w:rsidRPr="00775AE5" w:rsidRDefault="009E0A9E" w:rsidP="00640CCA">
      <w:pPr>
        <w:pStyle w:val="Heading3"/>
        <w:rPr>
          <w:rFonts w:ascii="Arial" w:hAnsi="Arial" w:cs="Arial"/>
          <w:sz w:val="22"/>
          <w:szCs w:val="22"/>
        </w:rPr>
      </w:pPr>
      <w:bookmarkStart w:id="40" w:name="_Toc168907360"/>
      <w:r w:rsidRPr="00775AE5">
        <w:rPr>
          <w:rFonts w:ascii="Arial" w:hAnsi="Arial" w:cs="Arial"/>
          <w:sz w:val="22"/>
          <w:szCs w:val="22"/>
        </w:rPr>
        <w:t>1.10. Artículo 16 (Párrafo 38 de la Lista de Cuestione)</w:t>
      </w:r>
      <w:bookmarkEnd w:id="40"/>
    </w:p>
    <w:p w14:paraId="4EC72CA4" w14:textId="77777777" w:rsidR="009E0A9E" w:rsidRPr="00775AE5" w:rsidRDefault="009E0A9E" w:rsidP="009E0A9E">
      <w:pPr>
        <w:spacing w:line="276" w:lineRule="auto"/>
        <w:rPr>
          <w:rFonts w:ascii="Arial" w:hAnsi="Arial" w:cs="Arial"/>
          <w:sz w:val="22"/>
          <w:szCs w:val="22"/>
          <w:lang w:val="es-ES"/>
        </w:rPr>
      </w:pPr>
    </w:p>
    <w:p w14:paraId="4A086F69" w14:textId="77777777" w:rsidR="009E0A9E" w:rsidRPr="00775AE5" w:rsidRDefault="009E0A9E" w:rsidP="00640CCA">
      <w:pPr>
        <w:pStyle w:val="Heading3"/>
        <w:rPr>
          <w:rFonts w:ascii="Arial" w:hAnsi="Arial" w:cs="Arial"/>
          <w:sz w:val="22"/>
          <w:szCs w:val="22"/>
        </w:rPr>
      </w:pPr>
      <w:bookmarkStart w:id="41" w:name="_Toc168907361"/>
      <w:r w:rsidRPr="00775AE5">
        <w:rPr>
          <w:rFonts w:ascii="Arial" w:hAnsi="Arial" w:cs="Arial"/>
          <w:sz w:val="22"/>
          <w:szCs w:val="22"/>
        </w:rPr>
        <w:t>1.10.1 Malos tratos a aspirantes de policía</w:t>
      </w:r>
      <w:bookmarkEnd w:id="41"/>
    </w:p>
    <w:p w14:paraId="40A6F532" w14:textId="77777777" w:rsidR="009E0A9E" w:rsidRPr="00775AE5" w:rsidRDefault="009E0A9E" w:rsidP="009E0A9E">
      <w:pPr>
        <w:spacing w:line="276" w:lineRule="auto"/>
        <w:rPr>
          <w:rFonts w:ascii="Arial" w:hAnsi="Arial" w:cs="Arial"/>
          <w:sz w:val="22"/>
          <w:szCs w:val="22"/>
          <w:lang w:val="es-ES" w:eastAsia="es-EC"/>
        </w:rPr>
      </w:pPr>
    </w:p>
    <w:p w14:paraId="60196823" w14:textId="77777777" w:rsidR="009E0A9E" w:rsidRPr="00775AE5" w:rsidRDefault="009E0A9E" w:rsidP="009E0A9E">
      <w:pPr>
        <w:spacing w:line="276" w:lineRule="auto"/>
        <w:rPr>
          <w:rFonts w:ascii="Arial" w:eastAsia="Calibri" w:hAnsi="Arial" w:cs="Arial"/>
          <w:b/>
          <w:i/>
          <w:sz w:val="22"/>
          <w:szCs w:val="22"/>
          <w:lang w:val="es-ES" w:eastAsia="es-EC"/>
        </w:rPr>
      </w:pPr>
      <w:r w:rsidRPr="00775AE5">
        <w:rPr>
          <w:rFonts w:ascii="Arial" w:eastAsia="Calibri" w:hAnsi="Arial" w:cs="Arial"/>
          <w:b/>
          <w:i/>
          <w:sz w:val="22"/>
          <w:szCs w:val="22"/>
          <w:lang w:val="es-ES" w:eastAsia="es-EC"/>
        </w:rPr>
        <w:t>Escuela de formación “Baños”</w:t>
      </w:r>
    </w:p>
    <w:p w14:paraId="49BCF2E9" w14:textId="77777777" w:rsidR="009E0A9E" w:rsidRPr="00775AE5" w:rsidRDefault="009E0A9E" w:rsidP="009E0A9E">
      <w:pPr>
        <w:spacing w:line="276" w:lineRule="auto"/>
        <w:rPr>
          <w:rFonts w:ascii="Arial" w:eastAsia="Calibri" w:hAnsi="Arial" w:cs="Arial"/>
          <w:b/>
          <w:i/>
          <w:sz w:val="22"/>
          <w:szCs w:val="22"/>
          <w:lang w:val="es-ES" w:eastAsia="es-EC"/>
        </w:rPr>
      </w:pPr>
    </w:p>
    <w:p w14:paraId="70BFB99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Respecto a malos tratos a aspirantes de Policía, el MNPT considera importante mencionar lo sucedido con hechos relacionados con tortura, tratos crueles y degradantes que sufrieron los aspirantes de policía de Escuela de Formación de Policías de la Ciudad de Baños, los cuales fueron denunciados por el mecanismo, más sin embargo, no se llevó un claro proceso para los instructores infractores.</w:t>
      </w:r>
    </w:p>
    <w:p w14:paraId="063F0995"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3B5F503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El 19 de marzo de 2019 el equipo del MNPT realizó la visita al Escuela de Formación de Policía de Baños, con el objetivo de verificar las condiciones en las que se encuentran los aspirantes. En el espacio de diálogo grupal e individual con los aspirantes se hicieron referencia a los siguientes hechos relacionados a castigos y malos tratos:</w:t>
      </w:r>
    </w:p>
    <w:p w14:paraId="5294A1C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B0EFC54" w14:textId="35600D15"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proceso de sanciones no corresponde a lo establecido por el reglamento, en ese sentido las sanciones se aplican de manera diaria, no respetan el tiempo, ni las condiciones físicas ni de salud. </w:t>
      </w:r>
      <w:r w:rsidR="00AC3F0B" w:rsidRPr="00775AE5">
        <w:rPr>
          <w:rFonts w:ascii="Arial" w:eastAsia="DejaVu Sans" w:hAnsi="Arial" w:cs="Arial"/>
          <w:sz w:val="22"/>
          <w:szCs w:val="22"/>
          <w:lang w:val="es-VE" w:eastAsia="es-EC"/>
        </w:rPr>
        <w:t>De acuerdo con</w:t>
      </w:r>
      <w:r w:rsidRPr="00775AE5">
        <w:rPr>
          <w:rFonts w:ascii="Arial" w:eastAsia="DejaVu Sans" w:hAnsi="Arial" w:cs="Arial"/>
          <w:sz w:val="22"/>
          <w:szCs w:val="22"/>
          <w:lang w:val="es-VE" w:eastAsia="es-EC"/>
        </w:rPr>
        <w:t xml:space="preserve"> la información entregada en las entrevistas colectivas, los castigos más recurrentes consisten en acciones donde los aspirantes se presentan desnudos y al aire libre, se realizan una serie de acciones como por ejemplo el denominado </w:t>
      </w:r>
      <w:r w:rsidRPr="00775AE5">
        <w:rPr>
          <w:rFonts w:ascii="Arial" w:eastAsia="Calibri" w:hAnsi="Arial" w:cs="Arial"/>
          <w:sz w:val="22"/>
          <w:szCs w:val="22"/>
          <w:lang w:val="es-ES"/>
        </w:rPr>
        <w:t>“Trencito” que consiste en que todos los aspirantes se encuentren desnudos en fila uno detrás de otro, y con la mano derecha pasando por su entrepierna sujeten el órgano sexual de un compañero que se encuentra delante de ellos. Esta actividad lo realizan en la noche y patios de la escuela</w:t>
      </w:r>
      <w:r w:rsidRPr="00775AE5">
        <w:rPr>
          <w:rFonts w:ascii="Arial" w:eastAsia="DejaVu Sans" w:hAnsi="Arial" w:cs="Arial"/>
          <w:sz w:val="22"/>
          <w:szCs w:val="22"/>
          <w:lang w:val="es-VE" w:eastAsia="es-EC"/>
        </w:rPr>
        <w:t xml:space="preserve">, así mismo se realizan </w:t>
      </w:r>
      <w:r w:rsidR="00B93283" w:rsidRPr="00775AE5">
        <w:rPr>
          <w:rFonts w:ascii="Arial" w:eastAsia="DejaVu Sans" w:hAnsi="Arial" w:cs="Arial"/>
          <w:sz w:val="22"/>
          <w:szCs w:val="22"/>
          <w:lang w:val="es-VE" w:eastAsia="es-EC"/>
        </w:rPr>
        <w:t>actividades</w:t>
      </w:r>
      <w:r w:rsidRPr="00775AE5">
        <w:rPr>
          <w:rFonts w:ascii="Arial" w:eastAsia="DejaVu Sans" w:hAnsi="Arial" w:cs="Arial"/>
          <w:sz w:val="22"/>
          <w:szCs w:val="22"/>
          <w:lang w:val="es-VE" w:eastAsia="es-EC"/>
        </w:rPr>
        <w:t xml:space="preserve"> </w:t>
      </w:r>
      <w:r w:rsidR="00B93283" w:rsidRPr="00775AE5">
        <w:rPr>
          <w:rFonts w:ascii="Arial" w:eastAsia="DejaVu Sans" w:hAnsi="Arial" w:cs="Arial"/>
          <w:sz w:val="22"/>
          <w:szCs w:val="22"/>
          <w:lang w:val="es-VE" w:eastAsia="es-EC"/>
        </w:rPr>
        <w:t>físicas</w:t>
      </w:r>
      <w:r w:rsidRPr="00775AE5">
        <w:rPr>
          <w:rFonts w:ascii="Arial" w:eastAsia="DejaVu Sans" w:hAnsi="Arial" w:cs="Arial"/>
          <w:sz w:val="22"/>
          <w:szCs w:val="22"/>
          <w:lang w:val="es-VE" w:eastAsia="es-EC"/>
        </w:rPr>
        <w:t xml:space="preserve"> desproporcionadas que ponen en riesgo la vida, de otra parte, se mencionó el pago a cambio de un trato preferencial. </w:t>
      </w:r>
    </w:p>
    <w:p w14:paraId="78F2DC5B"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ES" w:eastAsia="es-EC"/>
        </w:rPr>
      </w:pPr>
    </w:p>
    <w:p w14:paraId="17FC97F5"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ES" w:eastAsia="es-EC"/>
        </w:rPr>
      </w:pPr>
      <w:r w:rsidRPr="00775AE5">
        <w:rPr>
          <w:rFonts w:ascii="Arial" w:eastAsia="DejaVu Sans" w:hAnsi="Arial" w:cs="Arial"/>
          <w:sz w:val="22"/>
          <w:szCs w:val="22"/>
          <w:lang w:val="es-ES" w:eastAsia="es-EC"/>
        </w:rPr>
        <w:t xml:space="preserve">Estas acciones son muestras claras de las vulneraciones de derechos, ante lo cual el MNPT remitió el informe respectivo, el mismo que fue enviado al Coordinador Jurídico del Ministerio del Interior para que se realicen las investigaciones pertinentes. </w:t>
      </w:r>
    </w:p>
    <w:p w14:paraId="505E401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ES" w:eastAsia="es-EC"/>
        </w:rPr>
      </w:pPr>
    </w:p>
    <w:p w14:paraId="4ACD5AAB" w14:textId="1073116E"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El caso fue investigado al interior de la cúpula policial, por el Consejo de Generales de la Policía Nacional, de la cual se determinó </w:t>
      </w:r>
      <w:r w:rsidR="00B93283" w:rsidRPr="00775AE5">
        <w:rPr>
          <w:rFonts w:ascii="Arial" w:eastAsia="DejaVu Sans" w:hAnsi="Arial" w:cs="Arial"/>
          <w:sz w:val="22"/>
          <w:szCs w:val="22"/>
          <w:lang w:val="es-VE" w:eastAsia="es-EC"/>
        </w:rPr>
        <w:t>que,</w:t>
      </w:r>
      <w:r w:rsidRPr="00775AE5">
        <w:rPr>
          <w:rFonts w:ascii="Arial" w:eastAsia="DejaVu Sans" w:hAnsi="Arial" w:cs="Arial"/>
          <w:sz w:val="22"/>
          <w:szCs w:val="22"/>
          <w:lang w:val="es-VE" w:eastAsia="es-EC"/>
        </w:rPr>
        <w:t xml:space="preserve"> al haber entrevistado a varios aspirantes de policía, se encontraron varias contradicciones por lo cual desestimaron los hechos reportados por el MNPT. Sin embargo, en la Resolución señalan que:</w:t>
      </w:r>
    </w:p>
    <w:p w14:paraId="431C2152"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29372068" w14:textId="77777777" w:rsidR="009E0A9E" w:rsidRPr="00775AE5" w:rsidRDefault="009E0A9E" w:rsidP="009E0A9E">
      <w:pPr>
        <w:spacing w:line="276" w:lineRule="auto"/>
        <w:ind w:left="709"/>
        <w:jc w:val="both"/>
        <w:rPr>
          <w:rFonts w:ascii="Arial" w:eastAsia="Calibri" w:hAnsi="Arial" w:cs="Arial"/>
          <w:sz w:val="22"/>
          <w:szCs w:val="22"/>
          <w:lang w:val="es-ES"/>
        </w:rPr>
      </w:pPr>
      <w:r w:rsidRPr="00775AE5">
        <w:rPr>
          <w:rFonts w:ascii="Arial" w:eastAsia="Calibri" w:hAnsi="Arial" w:cs="Arial"/>
          <w:sz w:val="22"/>
          <w:szCs w:val="22"/>
          <w:lang w:val="es-ES"/>
        </w:rPr>
        <w:t>…no existió un debido control de actividades entre el Director, Subdirector, instructores, personal administrativo que posibilite la convivencia armónica con los Aspirantes a Policía de la Escuela de Baños, se realice una recomendación por escrito a los Directores y Subdirectores de todas las escuelas de formación de policía, especialmente a los de la escuela de Baños […] con el fin de que los hechos de esta naturaleza mantengan garantía de no repetición; de igual manera debe disponer al señor Inspector General de la Policía Nacional, proceda a sancionar disciplinariamente conforme al Reglamento Sustitutivo al Reglamento de Disciplina de la Policía Nacional a los servidores policiales […] al haberse verificado en su conducta una falta de control y responsabilidades, con los señores aspirantes a policías…</w:t>
      </w:r>
    </w:p>
    <w:p w14:paraId="42E2F28C"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77FCA9D" w14:textId="1A04C07A"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Además, consideraron que la presente denuncia no debe ser tratada por la vía civil, pues consideraron </w:t>
      </w:r>
      <w:r w:rsidR="00B93283" w:rsidRPr="00775AE5">
        <w:rPr>
          <w:rFonts w:ascii="Arial" w:eastAsia="DejaVu Sans" w:hAnsi="Arial" w:cs="Arial"/>
          <w:sz w:val="22"/>
          <w:szCs w:val="22"/>
          <w:lang w:val="es-VE" w:eastAsia="es-EC"/>
        </w:rPr>
        <w:t>que,</w:t>
      </w:r>
      <w:r w:rsidRPr="00775AE5">
        <w:rPr>
          <w:rFonts w:ascii="Arial" w:eastAsia="DejaVu Sans" w:hAnsi="Arial" w:cs="Arial"/>
          <w:sz w:val="22"/>
          <w:szCs w:val="22"/>
          <w:lang w:val="es-VE" w:eastAsia="es-EC"/>
        </w:rPr>
        <w:t xml:space="preserve"> al tratarse de actos relacionados con su misión específica, deben ser tratados por las salas especializadas en materia militar y policial, según lo establecido en el art. 160.4 de la Constitución de la República.  </w:t>
      </w:r>
    </w:p>
    <w:p w14:paraId="1C8CB624"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5D343308" w14:textId="1CB0654B"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Para el MNPT quedan vacíos respecto al proceso de investigación, pues las supuestas contradicciones podrían haberse dado por temor de los aspirantes a posibles represalias en su contra. Además, </w:t>
      </w:r>
      <w:r w:rsidR="00B93283" w:rsidRPr="00775AE5">
        <w:rPr>
          <w:rFonts w:ascii="Arial" w:eastAsia="DejaVu Sans" w:hAnsi="Arial" w:cs="Arial"/>
          <w:sz w:val="22"/>
          <w:szCs w:val="22"/>
          <w:lang w:val="es-VE" w:eastAsia="es-EC"/>
        </w:rPr>
        <w:t>a pesar de que</w:t>
      </w:r>
      <w:r w:rsidRPr="00775AE5">
        <w:rPr>
          <w:rFonts w:ascii="Arial" w:eastAsia="DejaVu Sans" w:hAnsi="Arial" w:cs="Arial"/>
          <w:sz w:val="22"/>
          <w:szCs w:val="22"/>
          <w:lang w:val="es-VE" w:eastAsia="es-EC"/>
        </w:rPr>
        <w:t xml:space="preserve"> desestiman la responsabilidad de los instructores, señalan la necesidad que hechos de esa naturaleza mantengan garantía de no repetición, por lo que se entendería que dichos eventos si ocurrieron. Finalmente es importante el pronunciamiento de la Fiscalía al respecto de las pruebas aportadas para su investigación, y que en dicha resolución se indica debían ser enviadas a dicha institución.</w:t>
      </w:r>
    </w:p>
    <w:p w14:paraId="36969D56"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4B1EC781" w14:textId="77777777" w:rsidR="009E0A9E" w:rsidRPr="00775AE5" w:rsidRDefault="009E0A9E" w:rsidP="009E0A9E">
      <w:pPr>
        <w:spacing w:line="276" w:lineRule="auto"/>
        <w:rPr>
          <w:rFonts w:ascii="Arial" w:eastAsia="Calibri" w:hAnsi="Arial" w:cs="Arial"/>
          <w:b/>
          <w:sz w:val="22"/>
          <w:szCs w:val="22"/>
          <w:lang w:val="es-ES"/>
        </w:rPr>
      </w:pPr>
      <w:r w:rsidRPr="00775AE5">
        <w:rPr>
          <w:rFonts w:ascii="Arial" w:eastAsia="Calibri" w:hAnsi="Arial" w:cs="Arial"/>
          <w:b/>
          <w:sz w:val="22"/>
          <w:szCs w:val="22"/>
          <w:lang w:val="es-ES"/>
        </w:rPr>
        <w:t>Caso Escuela de formación policial “</w:t>
      </w:r>
      <w:proofErr w:type="spellStart"/>
      <w:r w:rsidRPr="00775AE5">
        <w:rPr>
          <w:rFonts w:ascii="Arial" w:eastAsia="Calibri" w:hAnsi="Arial" w:cs="Arial"/>
          <w:b/>
          <w:sz w:val="22"/>
          <w:szCs w:val="22"/>
          <w:lang w:val="es-ES"/>
        </w:rPr>
        <w:t>Sgtop</w:t>
      </w:r>
      <w:proofErr w:type="spellEnd"/>
      <w:r w:rsidRPr="00775AE5">
        <w:rPr>
          <w:rFonts w:ascii="Arial" w:eastAsia="Calibri" w:hAnsi="Arial" w:cs="Arial"/>
          <w:b/>
          <w:sz w:val="22"/>
          <w:szCs w:val="22"/>
          <w:lang w:val="es-ES"/>
        </w:rPr>
        <w:t>. José Emilio Castillo Solís”</w:t>
      </w:r>
    </w:p>
    <w:p w14:paraId="76D882D7"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B207048" w14:textId="58C68F46"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La Defensoría del Pueblo a través de las redes sociales, llega a conocer que la Comisión Ecuménica de Derechos Humanos CEDHU, denunció y solicitó una investigación exhaustiva en el caso del señor </w:t>
      </w:r>
      <w:proofErr w:type="spellStart"/>
      <w:r w:rsidRPr="00D52080">
        <w:rPr>
          <w:rFonts w:ascii="Arial" w:eastAsia="DejaVu Sans" w:hAnsi="Arial" w:cs="Arial"/>
          <w:sz w:val="22"/>
          <w:szCs w:val="22"/>
          <w:lang w:val="es-VE" w:eastAsia="es-EC"/>
        </w:rPr>
        <w:t>LIChiT</w:t>
      </w:r>
      <w:proofErr w:type="spellEnd"/>
      <w:r w:rsidRPr="00D52080">
        <w:rPr>
          <w:rFonts w:ascii="Arial" w:eastAsia="DejaVu Sans" w:hAnsi="Arial" w:cs="Arial"/>
          <w:sz w:val="22"/>
          <w:szCs w:val="22"/>
          <w:lang w:val="es-VE" w:eastAsia="es-EC"/>
        </w:rPr>
        <w:t xml:space="preserve">, </w:t>
      </w:r>
      <w:r w:rsidRPr="00775AE5">
        <w:rPr>
          <w:rFonts w:ascii="Arial" w:eastAsia="DejaVu Sans" w:hAnsi="Arial" w:cs="Arial"/>
          <w:sz w:val="22"/>
          <w:szCs w:val="22"/>
          <w:lang w:val="es-VE" w:eastAsia="es-EC"/>
        </w:rPr>
        <w:t>alumno de la Escuela de Formación de Policías “</w:t>
      </w:r>
      <w:proofErr w:type="spellStart"/>
      <w:r w:rsidRPr="00775AE5">
        <w:rPr>
          <w:rFonts w:ascii="Arial" w:eastAsia="DejaVu Sans" w:hAnsi="Arial" w:cs="Arial"/>
          <w:sz w:val="22"/>
          <w:szCs w:val="22"/>
          <w:lang w:val="es-VE" w:eastAsia="es-EC"/>
        </w:rPr>
        <w:t>Sgtop</w:t>
      </w:r>
      <w:proofErr w:type="spellEnd"/>
      <w:r w:rsidRPr="00775AE5">
        <w:rPr>
          <w:rFonts w:ascii="Arial" w:eastAsia="DejaVu Sans" w:hAnsi="Arial" w:cs="Arial"/>
          <w:sz w:val="22"/>
          <w:szCs w:val="22"/>
          <w:lang w:val="es-VE" w:eastAsia="es-EC"/>
        </w:rPr>
        <w:t xml:space="preserve">. José Emilio Castillo Solís”, quien, el 02 de enero de 2013, presuntamente, habría sido castigado con ejercicios físicos forzados y obligado a tomar más de doce (12) litros de agua como sanción y según el mismo organismo de derechos humanos, luego del castigo ha sido internado en el Hospital de la Policía y dos días después su salud había empeorado notablemente y luego de permanecer dos meses en el hospital ha quedado en estado vegetativo. </w:t>
      </w:r>
    </w:p>
    <w:p w14:paraId="568075DD"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193674EE" w14:textId="0ECFA9D3"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En la Resolución Defensorial Nro. 007-DPE-DNAPL-2015 de 3 de octubre de 2015, se estableció que se vulneró el derecho de la integridad personal en sus aspectos físico y psíquico, el derecho al libre desarrollo de la personalidad, el derecho a la seguridad jurídica. La DPE exhorta a la Comandancia General de la Policía Nacional del Ecuador, implementen proyectos, programas y políticas tendientes a erradicar prácticas que atenten a la integridad personal en los entrenamientos de los aspirantes a policías, y a que informe respecto a los resultados que la investigación levantada dentro de la Policía Nacional, así también se garantice el acompañamiento del señor </w:t>
      </w:r>
      <w:proofErr w:type="spellStart"/>
      <w:r w:rsidRPr="00D52080">
        <w:rPr>
          <w:rFonts w:ascii="Arial" w:eastAsia="DejaVu Sans" w:hAnsi="Arial" w:cs="Arial"/>
          <w:sz w:val="22"/>
          <w:szCs w:val="22"/>
          <w:lang w:val="es-VE" w:eastAsia="es-EC"/>
        </w:rPr>
        <w:t>LIChiT</w:t>
      </w:r>
      <w:proofErr w:type="spellEnd"/>
      <w:r w:rsidRPr="00D52080">
        <w:rPr>
          <w:rFonts w:ascii="Arial" w:eastAsia="DejaVu Sans" w:hAnsi="Arial" w:cs="Arial"/>
          <w:sz w:val="22"/>
          <w:szCs w:val="22"/>
          <w:lang w:val="es-VE" w:eastAsia="es-EC"/>
        </w:rPr>
        <w:t xml:space="preserve"> </w:t>
      </w:r>
      <w:r w:rsidRPr="00775AE5">
        <w:rPr>
          <w:rFonts w:ascii="Arial" w:eastAsia="DejaVu Sans" w:hAnsi="Arial" w:cs="Arial"/>
          <w:sz w:val="22"/>
          <w:szCs w:val="22"/>
          <w:lang w:val="es-VE" w:eastAsia="es-EC"/>
        </w:rPr>
        <w:t>y de su familia hasta la completa recuperación de su estado de salud.</w:t>
      </w:r>
    </w:p>
    <w:p w14:paraId="5930998A"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387F1D1F" w14:textId="6B166D78"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r w:rsidRPr="00775AE5">
        <w:rPr>
          <w:rFonts w:ascii="Arial" w:eastAsia="DejaVu Sans" w:hAnsi="Arial" w:cs="Arial"/>
          <w:sz w:val="22"/>
          <w:szCs w:val="22"/>
          <w:lang w:val="es-VE" w:eastAsia="es-EC"/>
        </w:rPr>
        <w:t xml:space="preserve">Cabe señalar que el caso también fue puesto en conocimiento de las autoridades judiciales por parte de la familia del aspirante, las autoridades determinaron que el tipo penal a investigar era el delito de Abuso de Facultades, en la sentencia emitida por el Segundo Tribunal de Garantías Penales de Pichincha dentro de la causa Nro. 1729220141280 en sentencia determinó el estado de inocencia del instructor de la Escuela de Policía, a pesar que la defensa del señor </w:t>
      </w:r>
      <w:proofErr w:type="spellStart"/>
      <w:r w:rsidR="00DF2923" w:rsidRPr="00D52080">
        <w:rPr>
          <w:rFonts w:ascii="Arial" w:eastAsia="DejaVu Sans" w:hAnsi="Arial" w:cs="Arial"/>
          <w:sz w:val="22"/>
          <w:szCs w:val="22"/>
          <w:lang w:val="es-VE" w:eastAsia="es-EC"/>
        </w:rPr>
        <w:t>LIChiT</w:t>
      </w:r>
      <w:proofErr w:type="spellEnd"/>
      <w:r w:rsidRPr="00775AE5">
        <w:rPr>
          <w:rFonts w:ascii="Arial" w:eastAsia="DejaVu Sans" w:hAnsi="Arial" w:cs="Arial"/>
          <w:sz w:val="22"/>
          <w:szCs w:val="22"/>
          <w:lang w:val="es-VE" w:eastAsia="es-EC"/>
        </w:rPr>
        <w:t xml:space="preserve"> apelo dicha sentencia, la misma fue rechazada.</w:t>
      </w:r>
    </w:p>
    <w:p w14:paraId="7F8D0DDE" w14:textId="77777777" w:rsidR="009E0A9E" w:rsidRPr="00775AE5" w:rsidRDefault="009E0A9E" w:rsidP="009E0A9E">
      <w:pPr>
        <w:widowControl w:val="0"/>
        <w:suppressAutoHyphens/>
        <w:spacing w:line="276" w:lineRule="auto"/>
        <w:jc w:val="both"/>
        <w:rPr>
          <w:rFonts w:ascii="Arial" w:eastAsia="DejaVu Sans" w:hAnsi="Arial" w:cs="Arial"/>
          <w:sz w:val="22"/>
          <w:szCs w:val="22"/>
          <w:lang w:val="es-VE" w:eastAsia="es-EC"/>
        </w:rPr>
      </w:pPr>
    </w:p>
    <w:p w14:paraId="6159F528" w14:textId="519320CF" w:rsidR="009E0A9E" w:rsidRPr="00775AE5" w:rsidRDefault="009E0A9E" w:rsidP="009E0A9E">
      <w:pPr>
        <w:pStyle w:val="Heading1"/>
        <w:spacing w:line="276" w:lineRule="auto"/>
        <w:rPr>
          <w:rFonts w:ascii="Arial" w:hAnsi="Arial" w:cs="Arial"/>
          <w:sz w:val="22"/>
          <w:szCs w:val="22"/>
        </w:rPr>
      </w:pPr>
      <w:r w:rsidRPr="00775AE5">
        <w:rPr>
          <w:rFonts w:ascii="Arial" w:hAnsi="Arial" w:cs="Arial"/>
          <w:sz w:val="22"/>
          <w:szCs w:val="22"/>
        </w:rPr>
        <w:t xml:space="preserve"> </w:t>
      </w:r>
      <w:bookmarkStart w:id="42" w:name="_Toc168907362"/>
      <w:r w:rsidRPr="00775AE5">
        <w:rPr>
          <w:rFonts w:ascii="Arial" w:hAnsi="Arial" w:cs="Arial"/>
          <w:sz w:val="22"/>
          <w:szCs w:val="22"/>
        </w:rPr>
        <w:t>R</w:t>
      </w:r>
      <w:r w:rsidR="00E46FC9">
        <w:rPr>
          <w:rFonts w:ascii="Arial" w:hAnsi="Arial" w:cs="Arial"/>
          <w:sz w:val="22"/>
          <w:szCs w:val="22"/>
        </w:rPr>
        <w:t>etos y Desafíos</w:t>
      </w:r>
      <w:bookmarkEnd w:id="42"/>
    </w:p>
    <w:p w14:paraId="531EF4F1" w14:textId="77777777" w:rsidR="009E0A9E" w:rsidRPr="00775AE5" w:rsidRDefault="009E0A9E" w:rsidP="009E0A9E">
      <w:pPr>
        <w:spacing w:line="276" w:lineRule="auto"/>
        <w:rPr>
          <w:rFonts w:ascii="Arial" w:hAnsi="Arial" w:cs="Arial"/>
          <w:b/>
          <w:sz w:val="22"/>
          <w:szCs w:val="22"/>
          <w:highlight w:val="magenta"/>
          <w:lang w:val="es-ES"/>
        </w:rPr>
      </w:pPr>
    </w:p>
    <w:p w14:paraId="65A7B397" w14:textId="77777777" w:rsidR="009E0A9E" w:rsidRPr="00775AE5" w:rsidRDefault="009E0A9E" w:rsidP="009E0A9E">
      <w:pPr>
        <w:pStyle w:val="ListParagraph"/>
        <w:spacing w:line="276" w:lineRule="auto"/>
        <w:ind w:left="0"/>
        <w:jc w:val="both"/>
        <w:rPr>
          <w:rFonts w:ascii="Arial" w:hAnsi="Arial" w:cs="Arial"/>
          <w:b/>
          <w:bCs/>
          <w:sz w:val="22"/>
          <w:szCs w:val="22"/>
          <w:lang w:val="es-ES"/>
        </w:rPr>
      </w:pPr>
      <w:r w:rsidRPr="00775AE5">
        <w:rPr>
          <w:rFonts w:ascii="Arial" w:hAnsi="Arial" w:cs="Arial"/>
          <w:b/>
          <w:bCs/>
          <w:sz w:val="22"/>
          <w:szCs w:val="22"/>
          <w:lang w:val="es-ES"/>
        </w:rPr>
        <w:t>Violencia de género</w:t>
      </w:r>
    </w:p>
    <w:p w14:paraId="6DA1933A" w14:textId="77777777" w:rsidR="009E0A9E" w:rsidRPr="00775AE5" w:rsidRDefault="009E0A9E" w:rsidP="009E0A9E">
      <w:pPr>
        <w:pStyle w:val="ListParagraph"/>
        <w:spacing w:line="276" w:lineRule="auto"/>
        <w:ind w:left="0"/>
        <w:jc w:val="both"/>
        <w:rPr>
          <w:rFonts w:ascii="Arial" w:hAnsi="Arial" w:cs="Arial"/>
          <w:bCs/>
          <w:sz w:val="22"/>
          <w:szCs w:val="22"/>
          <w:lang w:val="es-ES"/>
        </w:rPr>
      </w:pPr>
    </w:p>
    <w:p w14:paraId="6A99FD12" w14:textId="56B6BC40" w:rsidR="009E0A9E" w:rsidRPr="00775AE5" w:rsidRDefault="009E0A9E" w:rsidP="00B17DD2">
      <w:pPr>
        <w:pStyle w:val="ListParagraph"/>
        <w:numPr>
          <w:ilvl w:val="0"/>
          <w:numId w:val="23"/>
        </w:numPr>
        <w:spacing w:line="276" w:lineRule="auto"/>
        <w:jc w:val="both"/>
        <w:rPr>
          <w:rFonts w:ascii="Arial" w:hAnsi="Arial" w:cs="Arial"/>
          <w:bCs/>
          <w:sz w:val="22"/>
          <w:szCs w:val="22"/>
          <w:lang w:val="es-ES"/>
        </w:rPr>
      </w:pPr>
      <w:r w:rsidRPr="00775AE5">
        <w:rPr>
          <w:rFonts w:ascii="Arial" w:hAnsi="Arial" w:cs="Arial"/>
          <w:sz w:val="22"/>
          <w:szCs w:val="22"/>
          <w:lang w:val="es-ES"/>
        </w:rPr>
        <w:t xml:space="preserve">A la Corte Constitucional se pronuncie a la brevedad posible dentro de la acción de inconstitucionalidad </w:t>
      </w:r>
      <w:r w:rsidRPr="00775AE5">
        <w:rPr>
          <w:rFonts w:ascii="Arial" w:hAnsi="Arial" w:cs="Arial"/>
          <w:bCs/>
          <w:sz w:val="22"/>
          <w:szCs w:val="22"/>
          <w:lang w:val="es-ES"/>
        </w:rPr>
        <w:t xml:space="preserve">No. 0034-19-IN </w:t>
      </w:r>
      <w:r w:rsidR="00AC3F0B" w:rsidRPr="00775AE5">
        <w:rPr>
          <w:rFonts w:ascii="Arial" w:hAnsi="Arial" w:cs="Arial"/>
          <w:bCs/>
          <w:sz w:val="22"/>
          <w:szCs w:val="22"/>
          <w:lang w:val="es-ES"/>
        </w:rPr>
        <w:t>en relación con</w:t>
      </w:r>
      <w:r w:rsidRPr="00775AE5">
        <w:rPr>
          <w:rFonts w:ascii="Arial" w:hAnsi="Arial" w:cs="Arial"/>
          <w:bCs/>
          <w:sz w:val="22"/>
          <w:szCs w:val="22"/>
          <w:lang w:val="es-ES"/>
        </w:rPr>
        <w:t xml:space="preserve"> los artículos 149 y 150 del Código Orgánico Integral Penal sobre el aborto. Esto con la finalidad de que no solamente se declare la inconstitucionalidad de parte de estos articulados dando paso al aborto por violación, incesto, malformación grave del feto y embarazo por inseminación forzada. Sino, se considere y se de paso a una despenalización total del aborto que permita a las mujeres ejercer los derechos a tomar decisiones libres, informadas, voluntarias y responsables sobre su sexualidad, y su vida y orientación sexual, derecho a tomar decisiones libres, responsables e informadas sobre su salud y vida reproductiva y a decidir cuándo y cuántas hijas e hijos tener, derecho al libre desarrollo de la personalidad, derecho a una vida digna, derecho a la integridad física, psíquica, moral y sexual, derecho a la igualdad formal, material y no discriminación.</w:t>
      </w:r>
    </w:p>
    <w:p w14:paraId="308E960C" w14:textId="77777777" w:rsidR="009E0A9E" w:rsidRPr="00775AE5" w:rsidRDefault="009E0A9E" w:rsidP="00B17DD2">
      <w:pPr>
        <w:pStyle w:val="ListParagraph"/>
        <w:numPr>
          <w:ilvl w:val="0"/>
          <w:numId w:val="23"/>
        </w:numPr>
        <w:spacing w:line="276" w:lineRule="auto"/>
        <w:jc w:val="both"/>
        <w:rPr>
          <w:rFonts w:ascii="Arial" w:hAnsi="Arial" w:cs="Arial"/>
          <w:bCs/>
          <w:sz w:val="22"/>
          <w:szCs w:val="22"/>
          <w:lang w:val="es-ES"/>
        </w:rPr>
      </w:pPr>
      <w:r w:rsidRPr="00775AE5">
        <w:rPr>
          <w:rFonts w:ascii="Arial" w:hAnsi="Arial" w:cs="Arial"/>
          <w:bCs/>
          <w:sz w:val="22"/>
          <w:szCs w:val="22"/>
          <w:lang w:val="es-ES"/>
        </w:rPr>
        <w:t xml:space="preserve">Al Ministerio de Economía y Finanzas se elabore un clasificador que considere y visibilice el presupuesto de inversión y el de gasto corriente con enfoque de género, pues eso permite diferenciar los gastos y que, los servicios especializados se dan a través de profesionales especializados y que se paga con corriente, de lo contrario, se limitan los presupuesto con las demás funciones que tiene ese trabajador/a sin reconocer los otros tipos de gastos destinados a trabajar el tema de género.  </w:t>
      </w:r>
    </w:p>
    <w:p w14:paraId="691F2386" w14:textId="77777777" w:rsidR="009E0A9E" w:rsidRPr="00775AE5" w:rsidRDefault="009E0A9E" w:rsidP="00B17DD2">
      <w:pPr>
        <w:pStyle w:val="SingleTxtG"/>
        <w:numPr>
          <w:ilvl w:val="0"/>
          <w:numId w:val="23"/>
        </w:numPr>
        <w:spacing w:after="0" w:line="276" w:lineRule="auto"/>
        <w:ind w:right="0"/>
        <w:jc w:val="both"/>
        <w:rPr>
          <w:rFonts w:ascii="Arial" w:hAnsi="Arial" w:cs="Arial"/>
          <w:sz w:val="22"/>
          <w:szCs w:val="22"/>
        </w:rPr>
      </w:pPr>
      <w:r w:rsidRPr="00775AE5">
        <w:rPr>
          <w:rFonts w:ascii="Arial" w:hAnsi="Arial" w:cs="Arial"/>
          <w:sz w:val="22"/>
          <w:szCs w:val="22"/>
          <w:lang w:eastAsia="es-EC"/>
        </w:rPr>
        <w:t>Fortalecer los ejes de prevención y de reparación propuestos en la Ley de Prevención y Erradicación de la violencia de género, a fin de que se creen políticas que trabajen con la violencia de género como política de Estado, se creen sistemas de medición de las políticas generadas para conocer los impactos de las mismas en las mujeres víctimas de violencia y fortalecer los mecanismos de coordinación interinstitucional.</w:t>
      </w:r>
    </w:p>
    <w:p w14:paraId="6AA2AB5C" w14:textId="22ABA7AB" w:rsidR="009E0A9E" w:rsidRPr="00775AE5" w:rsidRDefault="009E0A9E" w:rsidP="00B17DD2">
      <w:pPr>
        <w:pStyle w:val="ListParagraph"/>
        <w:numPr>
          <w:ilvl w:val="0"/>
          <w:numId w:val="23"/>
        </w:numPr>
        <w:spacing w:line="276" w:lineRule="auto"/>
        <w:jc w:val="both"/>
        <w:rPr>
          <w:rFonts w:ascii="Arial" w:hAnsi="Arial" w:cs="Arial"/>
          <w:bCs/>
          <w:sz w:val="22"/>
          <w:szCs w:val="22"/>
          <w:lang w:val="es-ES"/>
        </w:rPr>
      </w:pPr>
      <w:r w:rsidRPr="00775AE5">
        <w:rPr>
          <w:rFonts w:ascii="Arial" w:hAnsi="Arial" w:cs="Arial"/>
          <w:sz w:val="22"/>
          <w:szCs w:val="22"/>
          <w:lang w:val="es-ES"/>
        </w:rPr>
        <w:t xml:space="preserve">Establecer un registro adecuado de información relacionada con clínicas de </w:t>
      </w:r>
      <w:proofErr w:type="spellStart"/>
      <w:r w:rsidRPr="00775AE5">
        <w:rPr>
          <w:rFonts w:ascii="Arial" w:hAnsi="Arial" w:cs="Arial"/>
          <w:sz w:val="22"/>
          <w:szCs w:val="22"/>
          <w:lang w:val="es-ES"/>
        </w:rPr>
        <w:t>deshomosexualización</w:t>
      </w:r>
      <w:proofErr w:type="spellEnd"/>
      <w:r w:rsidRPr="00775AE5">
        <w:rPr>
          <w:rFonts w:ascii="Arial" w:hAnsi="Arial" w:cs="Arial"/>
          <w:sz w:val="22"/>
          <w:szCs w:val="22"/>
          <w:lang w:val="es-ES"/>
        </w:rPr>
        <w:t xml:space="preserve">, en virtud que como se ha señalado no se dispone de información estadística de acceso público </w:t>
      </w:r>
      <w:r w:rsidR="00AC3F0B" w:rsidRPr="00775AE5">
        <w:rPr>
          <w:rFonts w:ascii="Arial" w:hAnsi="Arial" w:cs="Arial"/>
          <w:sz w:val="22"/>
          <w:szCs w:val="22"/>
          <w:lang w:val="es-ES"/>
        </w:rPr>
        <w:t>en relación con el</w:t>
      </w:r>
      <w:r w:rsidRPr="00775AE5">
        <w:rPr>
          <w:rFonts w:ascii="Arial" w:hAnsi="Arial" w:cs="Arial"/>
          <w:sz w:val="22"/>
          <w:szCs w:val="22"/>
          <w:lang w:val="es-ES"/>
        </w:rPr>
        <w:t xml:space="preserve"> número de centros que han sido clausurados por presentar malos tratos o por posible aplicación de terapias de conversión. De igual forma, es necesario que en lo que respecta a la denuncia, es fundamental que se aprueben de forma inmediata la ruta de denuncia y los protocolos necesarios para que las instituciones competentes asuman compromisos para investigar y sancionar estos hechos que constituyen delitos.</w:t>
      </w:r>
    </w:p>
    <w:p w14:paraId="7D94E6E6" w14:textId="77777777" w:rsidR="009E0A9E" w:rsidRPr="00775AE5" w:rsidRDefault="009E0A9E" w:rsidP="00B17DD2">
      <w:pPr>
        <w:pStyle w:val="ListParagraph"/>
        <w:numPr>
          <w:ilvl w:val="0"/>
          <w:numId w:val="23"/>
        </w:numPr>
        <w:spacing w:line="276" w:lineRule="auto"/>
        <w:jc w:val="both"/>
        <w:rPr>
          <w:rFonts w:ascii="Arial" w:hAnsi="Arial" w:cs="Arial"/>
          <w:bCs/>
          <w:sz w:val="22"/>
          <w:szCs w:val="22"/>
          <w:lang w:val="es-ES"/>
        </w:rPr>
      </w:pPr>
      <w:r w:rsidRPr="00775AE5">
        <w:rPr>
          <w:rFonts w:ascii="Arial" w:hAnsi="Arial" w:cs="Arial"/>
          <w:bCs/>
          <w:sz w:val="22"/>
          <w:szCs w:val="22"/>
          <w:lang w:val="es-ES"/>
        </w:rPr>
        <w:t>Que las instituciones que tienen las competencias institucionales y legales continúen promoviendo acciones de promoción para la erradicación de la violencia sexual en contra de niños niñas y adolescentes en el ámbito educativo. Además, se instruya a las autoridades educativas y miembros de los DECES sobre los mecanismos de detección, atención y denuncia de los casos de violencia sexual en el ámbito educativo.</w:t>
      </w:r>
    </w:p>
    <w:p w14:paraId="546AF6C5" w14:textId="1E11F64B" w:rsidR="009E0A9E" w:rsidRPr="00775AE5" w:rsidRDefault="009E0A9E" w:rsidP="00B17DD2">
      <w:pPr>
        <w:pStyle w:val="ListParagraph"/>
        <w:numPr>
          <w:ilvl w:val="0"/>
          <w:numId w:val="23"/>
        </w:numPr>
        <w:spacing w:line="276" w:lineRule="auto"/>
        <w:jc w:val="both"/>
        <w:rPr>
          <w:rFonts w:ascii="Arial" w:hAnsi="Arial" w:cs="Arial"/>
          <w:bCs/>
          <w:sz w:val="22"/>
          <w:szCs w:val="22"/>
          <w:lang w:val="es-ES"/>
        </w:rPr>
      </w:pPr>
      <w:r w:rsidRPr="00775AE5">
        <w:rPr>
          <w:rFonts w:ascii="Arial" w:hAnsi="Arial" w:cs="Arial"/>
          <w:bCs/>
          <w:sz w:val="22"/>
          <w:szCs w:val="22"/>
          <w:lang w:val="es-ES"/>
        </w:rPr>
        <w:t xml:space="preserve">Se recomienda la creación de una Secretaría Técnica vinculada al Ministerio de Educación con participación de las otras entidades concernidas y organizaciones de la sociedad civil para que coordine y articule los servicios para garantizar los derechos de los niños, niñas y </w:t>
      </w:r>
      <w:r w:rsidR="00B93283" w:rsidRPr="00775AE5">
        <w:rPr>
          <w:rFonts w:ascii="Arial" w:hAnsi="Arial" w:cs="Arial"/>
          <w:bCs/>
          <w:sz w:val="22"/>
          <w:szCs w:val="22"/>
          <w:lang w:val="es-ES"/>
        </w:rPr>
        <w:t>adolescentes y</w:t>
      </w:r>
      <w:r w:rsidRPr="00775AE5">
        <w:rPr>
          <w:rFonts w:ascii="Arial" w:hAnsi="Arial" w:cs="Arial"/>
          <w:bCs/>
          <w:sz w:val="22"/>
          <w:szCs w:val="22"/>
          <w:lang w:val="es-ES"/>
        </w:rPr>
        <w:t xml:space="preserve"> sus familiares en la prevención, protección y restitución de sus derechos.</w:t>
      </w:r>
    </w:p>
    <w:p w14:paraId="2689CF17" w14:textId="77777777" w:rsidR="009E0A9E" w:rsidRPr="00775AE5" w:rsidRDefault="009E0A9E" w:rsidP="009E0A9E">
      <w:pPr>
        <w:spacing w:line="276" w:lineRule="auto"/>
        <w:jc w:val="both"/>
        <w:rPr>
          <w:rFonts w:ascii="Arial" w:hAnsi="Arial" w:cs="Arial"/>
          <w:sz w:val="22"/>
          <w:szCs w:val="22"/>
          <w:lang w:val="es-ES"/>
        </w:rPr>
      </w:pPr>
    </w:p>
    <w:p w14:paraId="0FDA71EF" w14:textId="77777777" w:rsidR="009E0A9E" w:rsidRPr="00775AE5" w:rsidRDefault="009E0A9E" w:rsidP="009E0A9E">
      <w:pPr>
        <w:pStyle w:val="ListParagraph"/>
        <w:spacing w:line="276" w:lineRule="auto"/>
        <w:jc w:val="both"/>
        <w:rPr>
          <w:rFonts w:ascii="Arial" w:hAnsi="Arial" w:cs="Arial"/>
          <w:sz w:val="22"/>
          <w:szCs w:val="22"/>
          <w:lang w:val="es-ES"/>
        </w:rPr>
      </w:pPr>
      <w:r w:rsidRPr="00775AE5">
        <w:rPr>
          <w:rFonts w:ascii="Arial" w:hAnsi="Arial" w:cs="Arial"/>
          <w:sz w:val="22"/>
          <w:szCs w:val="22"/>
          <w:lang w:val="es-ES"/>
        </w:rPr>
        <w:t>La Secretaría Técnica para la prevención, protección y restitución de derechos de niñas, niños y adolescentes (NNA) víctimas de delitos contra la integridad sexual tendría la misión de: Ser la instancia que coordine y articule los servicios para garantizar los derechos de los NNA víctimas de violencia sexual y sus familiares a la prevención, protección y restitución de sus derechos.</w:t>
      </w:r>
    </w:p>
    <w:p w14:paraId="4A51A9BA" w14:textId="77777777" w:rsidR="009E0A9E" w:rsidRPr="00775AE5" w:rsidRDefault="009E0A9E" w:rsidP="009E0A9E">
      <w:pPr>
        <w:spacing w:line="276" w:lineRule="auto"/>
        <w:ind w:left="720"/>
        <w:jc w:val="both"/>
        <w:rPr>
          <w:rFonts w:ascii="Arial" w:hAnsi="Arial" w:cs="Arial"/>
          <w:sz w:val="22"/>
          <w:szCs w:val="22"/>
          <w:lang w:val="es-ES"/>
        </w:rPr>
      </w:pPr>
      <w:r w:rsidRPr="00775AE5">
        <w:rPr>
          <w:rFonts w:ascii="Arial" w:hAnsi="Arial" w:cs="Arial"/>
          <w:sz w:val="22"/>
          <w:szCs w:val="22"/>
          <w:lang w:val="es-ES"/>
        </w:rPr>
        <w:t>Sus competencias serían:</w:t>
      </w:r>
    </w:p>
    <w:p w14:paraId="39E91E7C" w14:textId="77777777" w:rsidR="009E0A9E" w:rsidRPr="00775AE5" w:rsidRDefault="009E0A9E" w:rsidP="009E0A9E">
      <w:pPr>
        <w:spacing w:line="276" w:lineRule="auto"/>
        <w:ind w:left="720"/>
        <w:jc w:val="both"/>
        <w:rPr>
          <w:rFonts w:ascii="Arial" w:hAnsi="Arial" w:cs="Arial"/>
          <w:sz w:val="22"/>
          <w:szCs w:val="22"/>
          <w:lang w:val="es-ES"/>
        </w:rPr>
      </w:pPr>
    </w:p>
    <w:p w14:paraId="3F4353B0" w14:textId="77777777" w:rsidR="009E0A9E" w:rsidRPr="00775AE5" w:rsidRDefault="009E0A9E" w:rsidP="00B17DD2">
      <w:pPr>
        <w:pStyle w:val="ListParagraph"/>
        <w:numPr>
          <w:ilvl w:val="0"/>
          <w:numId w:val="11"/>
        </w:numPr>
        <w:spacing w:line="276" w:lineRule="auto"/>
        <w:jc w:val="both"/>
        <w:rPr>
          <w:rFonts w:ascii="Arial" w:hAnsi="Arial" w:cs="Arial"/>
          <w:sz w:val="22"/>
          <w:szCs w:val="22"/>
          <w:lang w:val="es-ES"/>
        </w:rPr>
      </w:pPr>
      <w:r w:rsidRPr="00775AE5">
        <w:rPr>
          <w:rFonts w:ascii="Arial" w:hAnsi="Arial" w:cs="Arial"/>
          <w:sz w:val="22"/>
          <w:szCs w:val="22"/>
          <w:lang w:val="es-ES"/>
        </w:rPr>
        <w:t>Generar un Plan de acción articulado para la prevención de este tipo de delitos.</w:t>
      </w:r>
    </w:p>
    <w:p w14:paraId="14EE5C35" w14:textId="77777777" w:rsidR="009E0A9E" w:rsidRPr="00775AE5" w:rsidRDefault="009E0A9E" w:rsidP="00B17DD2">
      <w:pPr>
        <w:pStyle w:val="ListParagraph"/>
        <w:numPr>
          <w:ilvl w:val="0"/>
          <w:numId w:val="11"/>
        </w:numPr>
        <w:spacing w:line="276" w:lineRule="auto"/>
        <w:jc w:val="both"/>
        <w:rPr>
          <w:rFonts w:ascii="Arial" w:hAnsi="Arial" w:cs="Arial"/>
          <w:sz w:val="22"/>
          <w:szCs w:val="22"/>
          <w:lang w:val="es-ES"/>
        </w:rPr>
      </w:pPr>
      <w:r w:rsidRPr="00775AE5">
        <w:rPr>
          <w:rFonts w:ascii="Arial" w:hAnsi="Arial" w:cs="Arial"/>
          <w:sz w:val="22"/>
          <w:szCs w:val="22"/>
          <w:lang w:val="es-ES"/>
        </w:rPr>
        <w:t>Coordinar con las instituciones las medidas de denuncia y seguimiento de casos</w:t>
      </w:r>
    </w:p>
    <w:p w14:paraId="17542BDB" w14:textId="77777777" w:rsidR="009E0A9E" w:rsidRPr="00775AE5" w:rsidRDefault="009E0A9E" w:rsidP="00B17DD2">
      <w:pPr>
        <w:pStyle w:val="ListParagraph"/>
        <w:numPr>
          <w:ilvl w:val="0"/>
          <w:numId w:val="11"/>
        </w:numPr>
        <w:spacing w:line="276" w:lineRule="auto"/>
        <w:jc w:val="both"/>
        <w:rPr>
          <w:rFonts w:ascii="Arial" w:hAnsi="Arial" w:cs="Arial"/>
          <w:sz w:val="22"/>
          <w:szCs w:val="22"/>
          <w:lang w:val="es-ES"/>
        </w:rPr>
      </w:pPr>
      <w:r w:rsidRPr="00775AE5">
        <w:rPr>
          <w:rFonts w:ascii="Arial" w:hAnsi="Arial" w:cs="Arial"/>
          <w:sz w:val="22"/>
          <w:szCs w:val="22"/>
          <w:lang w:val="es-ES"/>
        </w:rPr>
        <w:t>Coordinar la ejecución de medidas de restitución de derechos a NNA.</w:t>
      </w:r>
    </w:p>
    <w:p w14:paraId="132338CB" w14:textId="77777777" w:rsidR="009E0A9E" w:rsidRPr="00775AE5" w:rsidRDefault="009E0A9E" w:rsidP="00B17DD2">
      <w:pPr>
        <w:pStyle w:val="ListParagraph"/>
        <w:numPr>
          <w:ilvl w:val="0"/>
          <w:numId w:val="11"/>
        </w:numPr>
        <w:spacing w:line="276" w:lineRule="auto"/>
        <w:jc w:val="both"/>
        <w:rPr>
          <w:rFonts w:ascii="Arial" w:hAnsi="Arial" w:cs="Arial"/>
          <w:sz w:val="22"/>
          <w:szCs w:val="22"/>
          <w:lang w:val="es-ES"/>
        </w:rPr>
      </w:pPr>
      <w:r w:rsidRPr="00775AE5">
        <w:rPr>
          <w:rFonts w:ascii="Arial" w:hAnsi="Arial" w:cs="Arial"/>
          <w:sz w:val="22"/>
          <w:szCs w:val="22"/>
          <w:lang w:val="es-ES"/>
        </w:rPr>
        <w:t>Dar seguimiento a las actividades que cada institución responsable ejecuta en los casos de violencia sexual a NNA.</w:t>
      </w:r>
    </w:p>
    <w:p w14:paraId="49467B1E" w14:textId="77777777" w:rsidR="009E0A9E" w:rsidRPr="00775AE5" w:rsidRDefault="009E0A9E" w:rsidP="009E0A9E">
      <w:pPr>
        <w:pStyle w:val="ListParagraph"/>
        <w:spacing w:line="276" w:lineRule="auto"/>
        <w:jc w:val="both"/>
        <w:rPr>
          <w:rFonts w:ascii="Arial" w:hAnsi="Arial" w:cs="Arial"/>
          <w:bCs/>
          <w:sz w:val="22"/>
          <w:szCs w:val="22"/>
          <w:lang w:val="es-ES"/>
        </w:rPr>
      </w:pPr>
    </w:p>
    <w:p w14:paraId="2FEE10A8" w14:textId="77777777" w:rsidR="009E0A9E" w:rsidRPr="00775AE5" w:rsidRDefault="009E0A9E" w:rsidP="009E0A9E">
      <w:pPr>
        <w:pStyle w:val="ListParagraph"/>
        <w:spacing w:line="276" w:lineRule="auto"/>
        <w:ind w:left="0"/>
        <w:jc w:val="both"/>
        <w:rPr>
          <w:rFonts w:ascii="Arial" w:hAnsi="Arial" w:cs="Arial"/>
          <w:b/>
          <w:sz w:val="22"/>
          <w:szCs w:val="22"/>
          <w:lang w:val="es-ES"/>
        </w:rPr>
      </w:pPr>
      <w:r w:rsidRPr="00775AE5">
        <w:rPr>
          <w:rFonts w:ascii="Arial" w:hAnsi="Arial" w:cs="Arial"/>
          <w:b/>
          <w:sz w:val="22"/>
          <w:szCs w:val="22"/>
          <w:lang w:val="es-ES"/>
        </w:rPr>
        <w:t>Reparación, Verdad y Justicia</w:t>
      </w:r>
    </w:p>
    <w:p w14:paraId="5B01BFF1" w14:textId="77777777" w:rsidR="009E0A9E" w:rsidRPr="00775AE5" w:rsidRDefault="009E0A9E" w:rsidP="009E0A9E">
      <w:pPr>
        <w:spacing w:line="276" w:lineRule="auto"/>
        <w:jc w:val="both"/>
        <w:rPr>
          <w:rFonts w:ascii="Arial" w:hAnsi="Arial" w:cs="Arial"/>
          <w:color w:val="000000"/>
          <w:sz w:val="22"/>
          <w:szCs w:val="22"/>
          <w:shd w:val="clear" w:color="auto" w:fill="FFFFFF"/>
          <w:lang w:val="es-EC" w:eastAsia="es-EC"/>
        </w:rPr>
      </w:pPr>
    </w:p>
    <w:p w14:paraId="6D2D6241" w14:textId="77777777" w:rsidR="009E0A9E" w:rsidRPr="00775AE5" w:rsidRDefault="009E0A9E" w:rsidP="00B17DD2">
      <w:pPr>
        <w:numPr>
          <w:ilvl w:val="0"/>
          <w:numId w:val="22"/>
        </w:numPr>
        <w:spacing w:line="276" w:lineRule="auto"/>
        <w:jc w:val="both"/>
        <w:rPr>
          <w:rFonts w:ascii="Arial" w:hAnsi="Arial" w:cs="Arial"/>
          <w:sz w:val="22"/>
          <w:szCs w:val="22"/>
          <w:lang w:val="es-EC" w:eastAsia="es-EC"/>
        </w:rPr>
      </w:pPr>
      <w:r w:rsidRPr="00775AE5">
        <w:rPr>
          <w:rFonts w:ascii="Arial" w:hAnsi="Arial" w:cs="Arial"/>
          <w:sz w:val="22"/>
          <w:szCs w:val="22"/>
          <w:lang w:val="es-EC" w:eastAsia="es-EC"/>
        </w:rPr>
        <w:t>Establecer un mecanismo que permita el reconocimiento de nuevas víctimas, que permita el acceso al Programa de Reparación y la efectiva aplicación de medidas de reparación para esta población.</w:t>
      </w:r>
    </w:p>
    <w:p w14:paraId="011F526D" w14:textId="77777777" w:rsidR="009E0A9E" w:rsidRPr="00775AE5" w:rsidRDefault="009E0A9E" w:rsidP="00B17DD2">
      <w:pPr>
        <w:numPr>
          <w:ilvl w:val="0"/>
          <w:numId w:val="22"/>
        </w:numPr>
        <w:spacing w:line="276" w:lineRule="auto"/>
        <w:jc w:val="both"/>
        <w:rPr>
          <w:rFonts w:ascii="Arial" w:hAnsi="Arial" w:cs="Arial"/>
          <w:sz w:val="22"/>
          <w:szCs w:val="22"/>
          <w:lang w:val="es-EC" w:eastAsia="es-EC"/>
        </w:rPr>
      </w:pPr>
      <w:r w:rsidRPr="00775AE5">
        <w:rPr>
          <w:rFonts w:ascii="Arial" w:hAnsi="Arial" w:cs="Arial"/>
          <w:color w:val="000000"/>
          <w:sz w:val="22"/>
          <w:szCs w:val="22"/>
          <w:shd w:val="clear" w:color="auto" w:fill="FFFFFF"/>
          <w:lang w:val="es-EC" w:eastAsia="es-EC"/>
        </w:rPr>
        <w:t>Desarrollar procesos inclusivos de reparación integral que contemple la participación de todos los actores, víctimas, familiares, Estado, comunidad, Instituciones, organizaciones de derechos humanos, entre otros.</w:t>
      </w:r>
    </w:p>
    <w:p w14:paraId="29A9C7FC" w14:textId="77777777" w:rsidR="009E0A9E" w:rsidRPr="00775AE5" w:rsidRDefault="009E0A9E" w:rsidP="00B17DD2">
      <w:pPr>
        <w:numPr>
          <w:ilvl w:val="0"/>
          <w:numId w:val="22"/>
        </w:numPr>
        <w:spacing w:line="276" w:lineRule="auto"/>
        <w:jc w:val="both"/>
        <w:rPr>
          <w:rFonts w:ascii="Arial" w:hAnsi="Arial" w:cs="Arial"/>
          <w:sz w:val="22"/>
          <w:szCs w:val="22"/>
          <w:lang w:val="es-EC" w:eastAsia="es-EC"/>
        </w:rPr>
      </w:pPr>
      <w:r w:rsidRPr="00775AE5">
        <w:rPr>
          <w:rFonts w:ascii="Arial" w:hAnsi="Arial" w:cs="Arial"/>
          <w:sz w:val="22"/>
          <w:szCs w:val="22"/>
          <w:lang w:val="es-EC" w:eastAsia="es-EC"/>
        </w:rPr>
        <w:t>Judicializar los casos de graves violaciones a los derechos humanos y delitos de lesa humanidad, se ha convertido en una deuda pendiente por parte del Estado ecuatoriano, no solo con las víctimas, sino también con la sociedad en general. Es importante que la Fiscalía General del Estado asuma la responsabilidad de llevar los casos ante los tribunales de la república.</w:t>
      </w:r>
    </w:p>
    <w:p w14:paraId="7169E4B7" w14:textId="77777777" w:rsidR="009E0A9E" w:rsidRPr="00775AE5" w:rsidRDefault="009E0A9E" w:rsidP="00B17DD2">
      <w:pPr>
        <w:numPr>
          <w:ilvl w:val="0"/>
          <w:numId w:val="22"/>
        </w:numPr>
        <w:spacing w:line="276" w:lineRule="auto"/>
        <w:jc w:val="both"/>
        <w:rPr>
          <w:rFonts w:ascii="Arial" w:hAnsi="Arial" w:cs="Arial"/>
          <w:sz w:val="22"/>
          <w:szCs w:val="22"/>
          <w:lang w:val="es-EC" w:eastAsia="es-EC"/>
        </w:rPr>
      </w:pPr>
      <w:r w:rsidRPr="00775AE5">
        <w:rPr>
          <w:rFonts w:ascii="Arial" w:hAnsi="Arial" w:cs="Arial"/>
          <w:color w:val="000000"/>
          <w:sz w:val="22"/>
          <w:szCs w:val="22"/>
          <w:shd w:val="clear" w:color="auto" w:fill="FFFFFF"/>
          <w:lang w:val="es-EC" w:eastAsia="es-EC"/>
        </w:rPr>
        <w:t>Establecer procesos de difusión y conocimiento del Programa de Reparación dentro de comunidad, instituciones del Estado y víctimas, los mismos que deben incluir los avances obtenidos y las dificultades presentadas; esto propiciará un mayor debate y acceso al derecho de reparación integral, procurando que la ejecución por parte del Estado sea lo más amplia e inclusiva posible.</w:t>
      </w:r>
    </w:p>
    <w:p w14:paraId="0678217B" w14:textId="77777777" w:rsidR="009E0A9E" w:rsidRPr="00775AE5" w:rsidRDefault="009E0A9E" w:rsidP="00B17DD2">
      <w:pPr>
        <w:numPr>
          <w:ilvl w:val="0"/>
          <w:numId w:val="22"/>
        </w:numPr>
        <w:spacing w:line="276" w:lineRule="auto"/>
        <w:jc w:val="both"/>
        <w:rPr>
          <w:rFonts w:ascii="Arial" w:hAnsi="Arial" w:cs="Arial"/>
          <w:sz w:val="22"/>
          <w:szCs w:val="22"/>
          <w:lang w:val="es-EC" w:eastAsia="es-EC"/>
        </w:rPr>
      </w:pPr>
      <w:r w:rsidRPr="00775AE5">
        <w:rPr>
          <w:rFonts w:ascii="Arial" w:hAnsi="Arial" w:cs="Arial"/>
          <w:color w:val="000000"/>
          <w:sz w:val="22"/>
          <w:szCs w:val="22"/>
          <w:shd w:val="clear" w:color="auto" w:fill="FFFFFF"/>
          <w:lang w:val="es-EC" w:eastAsia="es-EC"/>
        </w:rPr>
        <w:t>Generar confianza en las víctimas, a través del cumplimiento en la implementación de medidas de reparación y crear políticas públicas claras, eficaces y eficientes que observen el carácter integral de la reparación. </w:t>
      </w:r>
    </w:p>
    <w:p w14:paraId="49A91139" w14:textId="77777777" w:rsidR="009E0A9E" w:rsidRPr="00775AE5" w:rsidRDefault="009E0A9E" w:rsidP="009E0A9E">
      <w:pPr>
        <w:spacing w:line="276" w:lineRule="auto"/>
        <w:ind w:left="720"/>
        <w:jc w:val="both"/>
        <w:rPr>
          <w:rFonts w:ascii="Arial" w:hAnsi="Arial" w:cs="Arial"/>
          <w:sz w:val="22"/>
          <w:szCs w:val="22"/>
          <w:lang w:val="es-EC" w:eastAsia="es-EC"/>
        </w:rPr>
      </w:pPr>
    </w:p>
    <w:p w14:paraId="548FE96E" w14:textId="77777777" w:rsidR="00DE4A3F" w:rsidRDefault="00DE4A3F" w:rsidP="009E0A9E">
      <w:pPr>
        <w:pStyle w:val="ListParagraph"/>
        <w:spacing w:line="276" w:lineRule="auto"/>
        <w:ind w:left="0"/>
        <w:jc w:val="both"/>
        <w:rPr>
          <w:rFonts w:ascii="Arial" w:hAnsi="Arial" w:cs="Arial"/>
          <w:b/>
          <w:sz w:val="22"/>
          <w:szCs w:val="22"/>
          <w:lang w:val="es-EC"/>
        </w:rPr>
      </w:pPr>
    </w:p>
    <w:p w14:paraId="7606919E" w14:textId="77777777" w:rsidR="009E0A9E" w:rsidRPr="00775AE5" w:rsidRDefault="009E0A9E" w:rsidP="009E0A9E">
      <w:pPr>
        <w:pStyle w:val="ListParagraph"/>
        <w:spacing w:line="276" w:lineRule="auto"/>
        <w:ind w:left="0"/>
        <w:jc w:val="both"/>
        <w:rPr>
          <w:rFonts w:ascii="Arial" w:hAnsi="Arial" w:cs="Arial"/>
          <w:b/>
          <w:sz w:val="22"/>
          <w:szCs w:val="22"/>
          <w:lang w:val="es-EC"/>
        </w:rPr>
      </w:pPr>
      <w:r w:rsidRPr="00775AE5">
        <w:rPr>
          <w:rFonts w:ascii="Arial" w:hAnsi="Arial" w:cs="Arial"/>
          <w:b/>
          <w:sz w:val="22"/>
          <w:szCs w:val="22"/>
          <w:lang w:val="es-EC"/>
        </w:rPr>
        <w:t>Prevención de la tortura, tratos crueles, inhumanos y degradantes</w:t>
      </w:r>
    </w:p>
    <w:p w14:paraId="750D5966" w14:textId="77777777" w:rsidR="009E0A9E" w:rsidRPr="00775AE5" w:rsidRDefault="009E0A9E" w:rsidP="009E0A9E">
      <w:pPr>
        <w:pStyle w:val="ListParagraph"/>
        <w:spacing w:line="276" w:lineRule="auto"/>
        <w:ind w:left="0"/>
        <w:jc w:val="both"/>
        <w:rPr>
          <w:rFonts w:ascii="Arial" w:hAnsi="Arial" w:cs="Arial"/>
          <w:b/>
          <w:sz w:val="22"/>
          <w:szCs w:val="22"/>
          <w:lang w:val="es-EC"/>
        </w:rPr>
      </w:pPr>
    </w:p>
    <w:p w14:paraId="1C2B99C4" w14:textId="3F74AFE3" w:rsidR="009E0A9E" w:rsidRPr="00775AE5" w:rsidRDefault="00B93283" w:rsidP="00B17DD2">
      <w:pPr>
        <w:pStyle w:val="Introduccin"/>
        <w:numPr>
          <w:ilvl w:val="0"/>
          <w:numId w:val="15"/>
        </w:numPr>
        <w:spacing w:before="0" w:after="0"/>
        <w:rPr>
          <w:rFonts w:ascii="Arial" w:hAnsi="Arial" w:cs="Arial"/>
          <w:sz w:val="22"/>
          <w:szCs w:val="22"/>
        </w:rPr>
      </w:pPr>
      <w:r>
        <w:rPr>
          <w:rFonts w:ascii="Arial" w:hAnsi="Arial" w:cs="Arial"/>
          <w:sz w:val="22"/>
          <w:szCs w:val="22"/>
          <w:lang w:val="es-EC"/>
        </w:rPr>
        <w:t>D</w:t>
      </w:r>
      <w:r w:rsidRPr="00775AE5">
        <w:rPr>
          <w:rFonts w:ascii="Arial" w:hAnsi="Arial" w:cs="Arial"/>
          <w:sz w:val="22"/>
          <w:szCs w:val="22"/>
        </w:rPr>
        <w:t>ebe</w:t>
      </w:r>
      <w:r w:rsidR="009E0A9E" w:rsidRPr="00775AE5">
        <w:rPr>
          <w:rFonts w:ascii="Arial" w:hAnsi="Arial" w:cs="Arial"/>
          <w:sz w:val="22"/>
          <w:szCs w:val="22"/>
        </w:rPr>
        <w:t xml:space="preserve"> clarificase el rol preventivo que tiene el MNPT, dado que actualmente es una unidad reactiva al realizar la atención de casos, lo cual ha incidido por el poco personal existente una sobrecarga de actividades; así también, en la realización de visitas a otros lugares de privación de la libertad, si bien es cierto el MNPT ha realizado pocas visitas a otros espacios que no son parte del SNRS ha logrado alertar algunas situaciones que recaen en tortura y otros malos tratos.</w:t>
      </w:r>
    </w:p>
    <w:p w14:paraId="4FB6A37B" w14:textId="77777777" w:rsidR="009E0A9E" w:rsidRPr="00775AE5" w:rsidRDefault="009E0A9E" w:rsidP="00B17DD2">
      <w:pPr>
        <w:pStyle w:val="Introduccin"/>
        <w:numPr>
          <w:ilvl w:val="0"/>
          <w:numId w:val="15"/>
        </w:numPr>
        <w:spacing w:before="0" w:after="0"/>
        <w:rPr>
          <w:rFonts w:ascii="Arial" w:hAnsi="Arial" w:cs="Arial"/>
          <w:sz w:val="22"/>
          <w:szCs w:val="22"/>
        </w:rPr>
      </w:pPr>
      <w:r w:rsidRPr="00775AE5">
        <w:rPr>
          <w:rFonts w:ascii="Arial" w:hAnsi="Arial" w:cs="Arial"/>
          <w:sz w:val="22"/>
          <w:szCs w:val="22"/>
        </w:rPr>
        <w:t>El fortalecimiento del MNPT tanto en personal como en presupuesto es un aspecto esencial, considerando que desde su creación la DPE ha tenido que generar esfuerzos internos para dar cumplimiento a la normativa nacional y lo establecido en el PFCTTCID, dado que desde su creación no se han otorgado presupuesto adicional del Estado para el funcionamiento del MNPT, a pesar de estas limitaciones se ha procurado cumplir con el mandato otorgado.</w:t>
      </w:r>
    </w:p>
    <w:p w14:paraId="2CAA9720" w14:textId="77777777" w:rsidR="009E0A9E" w:rsidRPr="00775AE5" w:rsidRDefault="009E0A9E" w:rsidP="009E0A9E">
      <w:pPr>
        <w:pStyle w:val="ListParagraph"/>
        <w:spacing w:line="276" w:lineRule="auto"/>
        <w:ind w:left="0"/>
        <w:jc w:val="both"/>
        <w:rPr>
          <w:rFonts w:ascii="Arial" w:hAnsi="Arial" w:cs="Arial"/>
          <w:b/>
          <w:sz w:val="22"/>
          <w:szCs w:val="22"/>
          <w:lang w:val="es-VE"/>
        </w:rPr>
      </w:pPr>
    </w:p>
    <w:p w14:paraId="2774809E" w14:textId="77777777" w:rsidR="009E0A9E" w:rsidRPr="00DE4A3F" w:rsidRDefault="009E0A9E" w:rsidP="009E0A9E">
      <w:pPr>
        <w:pStyle w:val="Introduccin"/>
        <w:spacing w:before="0" w:after="0"/>
        <w:ind w:firstLine="0"/>
        <w:rPr>
          <w:rFonts w:ascii="Arial" w:hAnsi="Arial" w:cs="Arial"/>
          <w:b/>
          <w:sz w:val="22"/>
          <w:szCs w:val="22"/>
        </w:rPr>
      </w:pPr>
      <w:r w:rsidRPr="00DE4A3F">
        <w:rPr>
          <w:rFonts w:ascii="Arial" w:hAnsi="Arial" w:cs="Arial"/>
          <w:b/>
          <w:sz w:val="22"/>
          <w:szCs w:val="22"/>
        </w:rPr>
        <w:t>A la Asamblea Nacional:</w:t>
      </w:r>
    </w:p>
    <w:p w14:paraId="3B76E6A5" w14:textId="77777777" w:rsidR="009E0A9E" w:rsidRPr="00775AE5" w:rsidRDefault="009E0A9E" w:rsidP="009E0A9E">
      <w:pPr>
        <w:pStyle w:val="Introduccin"/>
        <w:spacing w:before="0" w:after="0"/>
        <w:ind w:firstLine="0"/>
        <w:rPr>
          <w:rFonts w:ascii="Arial" w:hAnsi="Arial" w:cs="Arial"/>
          <w:b/>
          <w:sz w:val="22"/>
          <w:szCs w:val="22"/>
          <w:u w:val="single"/>
        </w:rPr>
      </w:pPr>
    </w:p>
    <w:p w14:paraId="5B7B1916" w14:textId="4F5571C2" w:rsidR="009E0A9E" w:rsidRPr="00775AE5" w:rsidRDefault="009E0A9E" w:rsidP="00B17DD2">
      <w:pPr>
        <w:pStyle w:val="Introduccin"/>
        <w:numPr>
          <w:ilvl w:val="0"/>
          <w:numId w:val="15"/>
        </w:numPr>
        <w:spacing w:before="0" w:after="0"/>
        <w:rPr>
          <w:rFonts w:ascii="Arial" w:hAnsi="Arial" w:cs="Arial"/>
          <w:sz w:val="22"/>
          <w:szCs w:val="22"/>
        </w:rPr>
      </w:pPr>
      <w:r w:rsidRPr="00775AE5">
        <w:rPr>
          <w:rFonts w:ascii="Arial" w:hAnsi="Arial" w:cs="Arial"/>
          <w:sz w:val="22"/>
          <w:szCs w:val="22"/>
        </w:rPr>
        <w:t xml:space="preserve">Tomar en consideración las Observaciones Finales Séptimo Informe Periódico del Ecuador, a fin de tramitar la reforma del artículo 151 del COIP, </w:t>
      </w:r>
      <w:r w:rsidR="00B93283" w:rsidRPr="00775AE5">
        <w:rPr>
          <w:rFonts w:ascii="Arial" w:hAnsi="Arial" w:cs="Arial"/>
          <w:sz w:val="22"/>
          <w:szCs w:val="22"/>
        </w:rPr>
        <w:t>con el objeto de que</w:t>
      </w:r>
      <w:r w:rsidRPr="00775AE5">
        <w:rPr>
          <w:rFonts w:ascii="Arial" w:hAnsi="Arial" w:cs="Arial"/>
          <w:sz w:val="22"/>
          <w:szCs w:val="22"/>
        </w:rPr>
        <w:t xml:space="preserve"> el concepto de la figura de tortura se halle acorde a lo establecido en la Convención contra la Tortura, de la cual el Ecuador es signatario; así también se integre la definición de tratos crueles, inhumanos y degradantes.</w:t>
      </w:r>
    </w:p>
    <w:p w14:paraId="1C7E5655" w14:textId="77777777" w:rsidR="009E0A9E" w:rsidRPr="00775AE5" w:rsidRDefault="009E0A9E" w:rsidP="00B17DD2">
      <w:pPr>
        <w:pStyle w:val="Introduccin"/>
        <w:numPr>
          <w:ilvl w:val="0"/>
          <w:numId w:val="15"/>
        </w:numPr>
        <w:spacing w:before="0" w:after="0"/>
        <w:rPr>
          <w:rFonts w:ascii="Arial" w:hAnsi="Arial" w:cs="Arial"/>
          <w:sz w:val="22"/>
          <w:szCs w:val="22"/>
        </w:rPr>
      </w:pPr>
      <w:r w:rsidRPr="00775AE5">
        <w:rPr>
          <w:rFonts w:ascii="Arial" w:hAnsi="Arial" w:cs="Arial"/>
          <w:sz w:val="22"/>
          <w:szCs w:val="22"/>
        </w:rPr>
        <w:t>Proponer y tramitar una iniciativa de ley, que contemple la creación de una ley de prevención de la Tortura y otros malos tratos, estableciendo el marco de atribuciones del Mecanismo Nacional de Prevención de la Tortura del Ecuador, conforme lo establecido en el Protocolo Facultativo a la Convención contra la Tortura,</w:t>
      </w:r>
    </w:p>
    <w:p w14:paraId="35C2BF97" w14:textId="77777777" w:rsidR="009E0A9E" w:rsidRPr="00775AE5" w:rsidRDefault="009E0A9E" w:rsidP="009E0A9E">
      <w:pPr>
        <w:pStyle w:val="Introduccin"/>
        <w:spacing w:before="0" w:after="0"/>
        <w:ind w:left="720" w:firstLine="0"/>
        <w:rPr>
          <w:rFonts w:ascii="Arial" w:hAnsi="Arial" w:cs="Arial"/>
          <w:sz w:val="22"/>
          <w:szCs w:val="22"/>
        </w:rPr>
      </w:pPr>
      <w:r w:rsidRPr="00775AE5">
        <w:rPr>
          <w:rFonts w:ascii="Arial" w:hAnsi="Arial" w:cs="Arial"/>
          <w:sz w:val="22"/>
          <w:szCs w:val="22"/>
        </w:rPr>
        <w:t>.</w:t>
      </w:r>
    </w:p>
    <w:p w14:paraId="0B3CCCFD" w14:textId="77777777" w:rsidR="009E0A9E" w:rsidRPr="00775AE5" w:rsidRDefault="009E0A9E" w:rsidP="00B17DD2">
      <w:pPr>
        <w:pStyle w:val="Introduccin"/>
        <w:numPr>
          <w:ilvl w:val="0"/>
          <w:numId w:val="15"/>
        </w:numPr>
        <w:spacing w:before="0" w:after="0"/>
        <w:rPr>
          <w:rFonts w:ascii="Arial" w:hAnsi="Arial" w:cs="Arial"/>
          <w:sz w:val="22"/>
          <w:szCs w:val="22"/>
        </w:rPr>
      </w:pPr>
      <w:r w:rsidRPr="00775AE5">
        <w:rPr>
          <w:rFonts w:ascii="Arial" w:hAnsi="Arial" w:cs="Arial"/>
          <w:sz w:val="22"/>
          <w:szCs w:val="22"/>
        </w:rPr>
        <w:t>Observar estrictamente los principios y garantías establecidos en la Carta Magna, y demás instrumentos internacionales en materia de derechos humanos, al momento de elaborar y expedir normativa en los diversos ámbitos, especialmente en aquella relacionada al uso del poder coercitivo y punitivo del Estado. De igual forma generar protocolos diferenciados para el abordaje de adolescentes u otros grupos de atención prioritaria.</w:t>
      </w:r>
    </w:p>
    <w:p w14:paraId="3690C42D" w14:textId="77777777" w:rsidR="009E0A9E" w:rsidRPr="00DE4A3F" w:rsidRDefault="009E0A9E" w:rsidP="009E0A9E">
      <w:pPr>
        <w:pStyle w:val="Introduccin"/>
        <w:spacing w:before="0" w:after="0"/>
        <w:ind w:firstLine="0"/>
        <w:rPr>
          <w:rFonts w:ascii="Arial" w:hAnsi="Arial" w:cs="Arial"/>
          <w:sz w:val="22"/>
          <w:szCs w:val="22"/>
        </w:rPr>
      </w:pPr>
      <w:r w:rsidRPr="00DE4A3F">
        <w:rPr>
          <w:rFonts w:ascii="Arial" w:hAnsi="Arial" w:cs="Arial"/>
          <w:sz w:val="22"/>
          <w:szCs w:val="22"/>
        </w:rPr>
        <w:t xml:space="preserve">   </w:t>
      </w:r>
    </w:p>
    <w:p w14:paraId="6AC2CA03" w14:textId="77777777" w:rsidR="009E0A9E" w:rsidRPr="00DE4A3F" w:rsidRDefault="009E0A9E" w:rsidP="009E0A9E">
      <w:pPr>
        <w:pStyle w:val="Introduccin"/>
        <w:spacing w:before="0" w:after="0"/>
        <w:ind w:firstLine="0"/>
        <w:rPr>
          <w:rFonts w:ascii="Arial" w:hAnsi="Arial" w:cs="Arial"/>
          <w:b/>
          <w:sz w:val="22"/>
          <w:szCs w:val="22"/>
        </w:rPr>
      </w:pPr>
      <w:r w:rsidRPr="00DE4A3F">
        <w:rPr>
          <w:rFonts w:ascii="Arial" w:hAnsi="Arial" w:cs="Arial"/>
          <w:b/>
          <w:sz w:val="22"/>
          <w:szCs w:val="22"/>
        </w:rPr>
        <w:t>Al Ministerio de Defensa Nacional y Ministerio de Gobierno:</w:t>
      </w:r>
    </w:p>
    <w:p w14:paraId="4DCCC2DC" w14:textId="77777777" w:rsidR="009E0A9E" w:rsidRPr="00775AE5" w:rsidRDefault="009E0A9E" w:rsidP="009E0A9E">
      <w:pPr>
        <w:pStyle w:val="Introduccin"/>
        <w:spacing w:before="0" w:after="0"/>
        <w:ind w:firstLine="0"/>
        <w:rPr>
          <w:rFonts w:ascii="Arial" w:hAnsi="Arial" w:cs="Arial"/>
          <w:b/>
          <w:sz w:val="22"/>
          <w:szCs w:val="22"/>
          <w:u w:val="single"/>
        </w:rPr>
      </w:pPr>
    </w:p>
    <w:p w14:paraId="435C4FBB" w14:textId="77777777" w:rsidR="009E0A9E" w:rsidRPr="00775AE5" w:rsidRDefault="009E0A9E" w:rsidP="00B17DD2">
      <w:pPr>
        <w:pStyle w:val="Introduccin"/>
        <w:numPr>
          <w:ilvl w:val="0"/>
          <w:numId w:val="15"/>
        </w:numPr>
        <w:spacing w:before="0" w:after="0"/>
        <w:rPr>
          <w:rFonts w:ascii="Arial" w:hAnsi="Arial" w:cs="Arial"/>
          <w:sz w:val="22"/>
          <w:szCs w:val="22"/>
        </w:rPr>
      </w:pPr>
      <w:r w:rsidRPr="00775AE5">
        <w:rPr>
          <w:rFonts w:ascii="Arial" w:hAnsi="Arial" w:cs="Arial"/>
          <w:sz w:val="22"/>
          <w:szCs w:val="22"/>
        </w:rPr>
        <w:t>Iniciar las acciones administrativas y de disciplina correspondientes, y continuar aquellas que ya se han iniciado, en contra de los miembros de las instituciones policiales y militares responsables de hechos relativos a presunto uso excesivo de la fuerza y otras violaciones a los derechos de las personas aprehendidas en el marco de las manifestaciones de octubre de 2019.</w:t>
      </w:r>
    </w:p>
    <w:p w14:paraId="476BA2A8" w14:textId="77777777" w:rsidR="009E0A9E" w:rsidRPr="00775AE5" w:rsidRDefault="009E0A9E" w:rsidP="00B17DD2">
      <w:pPr>
        <w:pStyle w:val="Introduccin"/>
        <w:numPr>
          <w:ilvl w:val="0"/>
          <w:numId w:val="15"/>
        </w:numPr>
        <w:spacing w:before="0" w:after="0"/>
        <w:rPr>
          <w:rFonts w:ascii="Arial" w:hAnsi="Arial" w:cs="Arial"/>
          <w:sz w:val="22"/>
          <w:szCs w:val="22"/>
        </w:rPr>
      </w:pPr>
      <w:r w:rsidRPr="00775AE5">
        <w:rPr>
          <w:rFonts w:ascii="Arial" w:hAnsi="Arial" w:cs="Arial"/>
          <w:sz w:val="22"/>
          <w:szCs w:val="22"/>
        </w:rPr>
        <w:t xml:space="preserve">En virtud de que les corresponde a ambas instituciones la protección de los derechos, garantías e instituciones </w:t>
      </w:r>
    </w:p>
    <w:p w14:paraId="074BEC30" w14:textId="77777777" w:rsidR="009E0A9E" w:rsidRPr="00775AE5" w:rsidRDefault="009E0A9E" w:rsidP="00B17DD2">
      <w:pPr>
        <w:pStyle w:val="Introduccin"/>
        <w:numPr>
          <w:ilvl w:val="0"/>
          <w:numId w:val="15"/>
        </w:numPr>
        <w:spacing w:before="0" w:after="0"/>
        <w:rPr>
          <w:rFonts w:ascii="Arial" w:hAnsi="Arial" w:cs="Arial"/>
          <w:sz w:val="22"/>
          <w:szCs w:val="22"/>
        </w:rPr>
      </w:pPr>
      <w:r w:rsidRPr="00775AE5">
        <w:rPr>
          <w:rFonts w:ascii="Arial" w:hAnsi="Arial" w:cs="Arial"/>
          <w:sz w:val="22"/>
          <w:szCs w:val="22"/>
        </w:rPr>
        <w:t xml:space="preserve">Efectuar de manera continua, procesos de capacitación y sensibilización para los miembros de las entidades de seguridad del Estado, en materia de derechos humanos, procedimientos legales de detención, y uso progresivo y adecuado de la fuerza en contexto de manifestaciones.      </w:t>
      </w:r>
    </w:p>
    <w:p w14:paraId="06B0A929" w14:textId="77777777" w:rsidR="009E0A9E" w:rsidRPr="00775AE5" w:rsidRDefault="009E0A9E" w:rsidP="009E0A9E">
      <w:pPr>
        <w:pStyle w:val="Introduccin"/>
        <w:spacing w:before="0" w:after="0"/>
        <w:ind w:firstLine="0"/>
        <w:rPr>
          <w:rFonts w:ascii="Arial" w:hAnsi="Arial" w:cs="Arial"/>
          <w:b/>
          <w:sz w:val="22"/>
          <w:szCs w:val="22"/>
        </w:rPr>
      </w:pPr>
    </w:p>
    <w:p w14:paraId="42563474" w14:textId="77777777" w:rsidR="009E0A9E" w:rsidRPr="00775AE5" w:rsidRDefault="009E0A9E" w:rsidP="009E0A9E">
      <w:pPr>
        <w:pStyle w:val="Introduccin"/>
        <w:spacing w:before="0" w:after="0"/>
        <w:ind w:firstLine="0"/>
        <w:rPr>
          <w:rFonts w:ascii="Arial" w:hAnsi="Arial" w:cs="Arial"/>
          <w:b/>
          <w:sz w:val="22"/>
          <w:szCs w:val="22"/>
        </w:rPr>
      </w:pPr>
      <w:r w:rsidRPr="00775AE5">
        <w:rPr>
          <w:rFonts w:ascii="Arial" w:hAnsi="Arial" w:cs="Arial"/>
          <w:b/>
          <w:sz w:val="22"/>
          <w:szCs w:val="22"/>
        </w:rPr>
        <w:t xml:space="preserve">Al Ministerio de Gobierno </w:t>
      </w:r>
    </w:p>
    <w:p w14:paraId="00272694" w14:textId="77777777" w:rsidR="009E0A9E" w:rsidRPr="00775AE5" w:rsidRDefault="009E0A9E" w:rsidP="009E0A9E">
      <w:pPr>
        <w:pStyle w:val="Introduccin"/>
        <w:spacing w:before="0" w:after="0"/>
        <w:ind w:firstLine="0"/>
        <w:rPr>
          <w:rFonts w:ascii="Arial" w:hAnsi="Arial" w:cs="Arial"/>
          <w:b/>
          <w:sz w:val="22"/>
          <w:szCs w:val="22"/>
        </w:rPr>
      </w:pPr>
    </w:p>
    <w:p w14:paraId="78FFA679" w14:textId="77777777" w:rsidR="009E0A9E" w:rsidRPr="00775AE5" w:rsidRDefault="009E0A9E" w:rsidP="009E0A9E">
      <w:pPr>
        <w:pStyle w:val="Redaccin"/>
        <w:spacing w:before="0" w:after="0"/>
        <w:rPr>
          <w:rFonts w:ascii="Arial" w:hAnsi="Arial" w:cs="Arial"/>
          <w:sz w:val="22"/>
          <w:szCs w:val="22"/>
          <w:shd w:val="clear" w:color="auto" w:fill="FFFFFF"/>
        </w:rPr>
      </w:pPr>
      <w:r w:rsidRPr="00775AE5">
        <w:rPr>
          <w:rFonts w:ascii="Arial" w:hAnsi="Arial" w:cs="Arial"/>
          <w:sz w:val="22"/>
          <w:szCs w:val="22"/>
        </w:rPr>
        <w:t>Capacitar de manera permanente a los policías nacionales asignados a los filtros de los establecimientos penitenciarios sobre el cumplimiento del “</w:t>
      </w:r>
      <w:r w:rsidRPr="00775AE5">
        <w:rPr>
          <w:rFonts w:ascii="Arial" w:hAnsi="Arial" w:cs="Arial"/>
          <w:bCs/>
          <w:sz w:val="22"/>
          <w:szCs w:val="22"/>
        </w:rPr>
        <w:t xml:space="preserve">Protocolo para la gestión de seguridad y vigilancia penitenciaria en los centros de privación de libertad”, </w:t>
      </w:r>
      <w:r w:rsidRPr="00775AE5">
        <w:rPr>
          <w:rFonts w:ascii="Arial" w:hAnsi="Arial" w:cs="Arial"/>
          <w:sz w:val="22"/>
          <w:szCs w:val="22"/>
          <w:shd w:val="clear" w:color="auto" w:fill="FFFFFF"/>
        </w:rPr>
        <w:t>prevención de la tortura y otros malos tratos, especialmente respecto a la prohibición de revisiones invasivas que se realizan a los familiares de los PPL al ingreso de los centros de rehabilitación.</w:t>
      </w:r>
    </w:p>
    <w:p w14:paraId="02A25E55" w14:textId="77777777" w:rsidR="009E0A9E" w:rsidRPr="00775AE5" w:rsidRDefault="009E0A9E" w:rsidP="009E0A9E">
      <w:pPr>
        <w:pStyle w:val="Redaccin"/>
        <w:numPr>
          <w:ilvl w:val="0"/>
          <w:numId w:val="0"/>
        </w:numPr>
        <w:spacing w:before="0" w:after="0"/>
        <w:ind w:left="720"/>
        <w:rPr>
          <w:rFonts w:ascii="Arial" w:hAnsi="Arial" w:cs="Arial"/>
          <w:sz w:val="22"/>
          <w:szCs w:val="22"/>
          <w:shd w:val="clear" w:color="auto" w:fill="FFFFFF"/>
        </w:rPr>
      </w:pPr>
    </w:p>
    <w:p w14:paraId="2A0993CF" w14:textId="77777777" w:rsidR="009E0A9E" w:rsidRPr="00775AE5" w:rsidRDefault="009E0A9E" w:rsidP="009E0A9E">
      <w:pPr>
        <w:pStyle w:val="Introduccin"/>
        <w:spacing w:before="0" w:after="0"/>
        <w:ind w:firstLine="0"/>
        <w:rPr>
          <w:rFonts w:ascii="Arial" w:hAnsi="Arial" w:cs="Arial"/>
          <w:b/>
          <w:sz w:val="22"/>
          <w:szCs w:val="22"/>
        </w:rPr>
      </w:pPr>
      <w:r w:rsidRPr="00775AE5">
        <w:rPr>
          <w:rFonts w:ascii="Arial" w:hAnsi="Arial" w:cs="Arial"/>
          <w:b/>
          <w:sz w:val="22"/>
          <w:szCs w:val="22"/>
        </w:rPr>
        <w:t>A la Fiscalía General del Estado</w:t>
      </w:r>
    </w:p>
    <w:p w14:paraId="4C783721" w14:textId="77777777" w:rsidR="009E0A9E" w:rsidRPr="00775AE5" w:rsidRDefault="009E0A9E" w:rsidP="009E0A9E">
      <w:pPr>
        <w:pStyle w:val="Introduccin"/>
        <w:spacing w:before="0" w:after="0"/>
        <w:ind w:firstLine="0"/>
        <w:rPr>
          <w:rFonts w:ascii="Arial" w:hAnsi="Arial" w:cs="Arial"/>
          <w:b/>
          <w:sz w:val="22"/>
          <w:szCs w:val="22"/>
        </w:rPr>
      </w:pPr>
    </w:p>
    <w:p w14:paraId="3AE7D00B" w14:textId="5F26725F" w:rsidR="009E0A9E" w:rsidRPr="00775AE5" w:rsidRDefault="009E0A9E" w:rsidP="00B17DD2">
      <w:pPr>
        <w:pStyle w:val="Introduccin"/>
        <w:numPr>
          <w:ilvl w:val="0"/>
          <w:numId w:val="15"/>
        </w:numPr>
        <w:spacing w:before="0" w:after="0"/>
        <w:rPr>
          <w:rFonts w:ascii="Arial" w:hAnsi="Arial" w:cs="Arial"/>
          <w:b/>
          <w:sz w:val="22"/>
          <w:szCs w:val="22"/>
          <w:u w:val="single"/>
        </w:rPr>
      </w:pPr>
      <w:r w:rsidRPr="00775AE5">
        <w:rPr>
          <w:rFonts w:ascii="Arial" w:hAnsi="Arial" w:cs="Arial"/>
          <w:sz w:val="22"/>
          <w:szCs w:val="22"/>
        </w:rPr>
        <w:t xml:space="preserve">Iniciar las investigaciones fiscales respectivas, y continuar con aquellas en curso, sobre los hechos de violencia generados por agentes estatales, particularmente aquellos referidos al abuso de la fuerza contra manifestantes </w:t>
      </w:r>
      <w:r w:rsidR="00B93283" w:rsidRPr="00775AE5">
        <w:rPr>
          <w:rFonts w:ascii="Arial" w:hAnsi="Arial" w:cs="Arial"/>
          <w:sz w:val="22"/>
          <w:szCs w:val="22"/>
        </w:rPr>
        <w:t>detenidos e</w:t>
      </w:r>
      <w:r w:rsidRPr="00775AE5">
        <w:rPr>
          <w:rFonts w:ascii="Arial" w:hAnsi="Arial" w:cs="Arial"/>
          <w:sz w:val="22"/>
          <w:szCs w:val="22"/>
        </w:rPr>
        <w:t xml:space="preserve"> inobservancia de los procedimientos legales, en el momento de la aprehensión, y en las horas posteriores a ella. A fin de emitir los correspondientes dictámenes acusatorios ante las autoridades judiciales competentes, en contra de los presuntos responsables de dichas infracciones.  </w:t>
      </w:r>
    </w:p>
    <w:p w14:paraId="6A2514C7" w14:textId="77777777" w:rsidR="009E0A9E" w:rsidRPr="00775AE5" w:rsidRDefault="009E0A9E" w:rsidP="00B17DD2">
      <w:pPr>
        <w:pStyle w:val="Redaccin"/>
        <w:numPr>
          <w:ilvl w:val="0"/>
          <w:numId w:val="15"/>
        </w:numPr>
        <w:spacing w:before="0" w:after="0"/>
        <w:rPr>
          <w:rFonts w:ascii="Arial" w:hAnsi="Arial" w:cs="Arial"/>
          <w:sz w:val="22"/>
          <w:szCs w:val="22"/>
        </w:rPr>
      </w:pPr>
      <w:r w:rsidRPr="00775AE5">
        <w:rPr>
          <w:rFonts w:ascii="Arial" w:hAnsi="Arial" w:cs="Arial"/>
          <w:sz w:val="22"/>
          <w:szCs w:val="22"/>
        </w:rPr>
        <w:t>Otorgar el debido tratamiento procesal, a los hechos que se adecuen a los tipos penales de tortura u otros malos tratos, a fin de que de manera oportuna se establezcan a los responsables de los mismos, se impongan las sanciones correspondientes y se determine una reparación integral a las víctimas.</w:t>
      </w:r>
    </w:p>
    <w:p w14:paraId="2B9B0DE1" w14:textId="324A114F" w:rsidR="009E0A9E" w:rsidRPr="00B93283" w:rsidRDefault="009E0A9E" w:rsidP="00B93283">
      <w:pPr>
        <w:pStyle w:val="Redaccin"/>
        <w:numPr>
          <w:ilvl w:val="0"/>
          <w:numId w:val="15"/>
        </w:numPr>
        <w:spacing w:before="0" w:after="0"/>
        <w:rPr>
          <w:rFonts w:ascii="Arial" w:hAnsi="Arial" w:cs="Arial"/>
          <w:sz w:val="22"/>
          <w:szCs w:val="22"/>
        </w:rPr>
      </w:pPr>
      <w:r w:rsidRPr="00775AE5">
        <w:rPr>
          <w:rFonts w:ascii="Arial" w:hAnsi="Arial" w:cs="Arial"/>
          <w:sz w:val="22"/>
          <w:szCs w:val="22"/>
        </w:rPr>
        <w:t xml:space="preserve">Promover capacitación a las autoridades judiciales respecto a las obligaciones del Estado </w:t>
      </w:r>
      <w:r w:rsidR="00AC3F0B" w:rsidRPr="00775AE5">
        <w:rPr>
          <w:rFonts w:ascii="Arial" w:hAnsi="Arial" w:cs="Arial"/>
          <w:sz w:val="22"/>
          <w:szCs w:val="22"/>
        </w:rPr>
        <w:t>con relación a</w:t>
      </w:r>
      <w:r w:rsidRPr="00775AE5">
        <w:rPr>
          <w:rFonts w:ascii="Arial" w:hAnsi="Arial" w:cs="Arial"/>
          <w:sz w:val="22"/>
          <w:szCs w:val="22"/>
        </w:rPr>
        <w:t xml:space="preserve"> la prevención de la tortura y otros malos tratos, considerando que en muchos de los casos, las autoridades conocen los casos </w:t>
      </w:r>
      <w:r w:rsidR="00B93283">
        <w:rPr>
          <w:rFonts w:ascii="Arial" w:hAnsi="Arial" w:cs="Arial"/>
          <w:sz w:val="22"/>
          <w:szCs w:val="22"/>
        </w:rPr>
        <w:t>d</w:t>
      </w:r>
      <w:r w:rsidRPr="00B93283">
        <w:rPr>
          <w:rFonts w:ascii="Arial" w:hAnsi="Arial" w:cs="Arial"/>
          <w:sz w:val="22"/>
          <w:szCs w:val="22"/>
        </w:rPr>
        <w:t xml:space="preserve">e tipo penal </w:t>
      </w:r>
      <w:r w:rsidR="00AC3F0B">
        <w:rPr>
          <w:rFonts w:ascii="Arial" w:hAnsi="Arial" w:cs="Arial"/>
          <w:sz w:val="22"/>
          <w:szCs w:val="22"/>
        </w:rPr>
        <w:t xml:space="preserve">resultado </w:t>
      </w:r>
      <w:r w:rsidRPr="00B93283">
        <w:rPr>
          <w:rFonts w:ascii="Arial" w:hAnsi="Arial" w:cs="Arial"/>
          <w:sz w:val="22"/>
          <w:szCs w:val="22"/>
        </w:rPr>
        <w:t>de</w:t>
      </w:r>
      <w:r w:rsidR="00AC3F0B">
        <w:rPr>
          <w:rFonts w:ascii="Arial" w:hAnsi="Arial" w:cs="Arial"/>
          <w:sz w:val="22"/>
          <w:szCs w:val="22"/>
        </w:rPr>
        <w:t>l</w:t>
      </w:r>
      <w:r w:rsidRPr="00B93283">
        <w:rPr>
          <w:rFonts w:ascii="Arial" w:hAnsi="Arial" w:cs="Arial"/>
          <w:sz w:val="22"/>
          <w:szCs w:val="22"/>
        </w:rPr>
        <w:t xml:space="preserve"> abuso de facultades.   </w:t>
      </w:r>
    </w:p>
    <w:p w14:paraId="767046AE" w14:textId="77777777" w:rsidR="009E0A9E" w:rsidRPr="00775AE5" w:rsidRDefault="009E0A9E" w:rsidP="009E0A9E">
      <w:pPr>
        <w:pStyle w:val="Redaccin"/>
        <w:numPr>
          <w:ilvl w:val="0"/>
          <w:numId w:val="0"/>
        </w:numPr>
        <w:spacing w:before="0" w:after="0"/>
        <w:ind w:left="720"/>
        <w:rPr>
          <w:rFonts w:ascii="Arial" w:hAnsi="Arial" w:cs="Arial"/>
          <w:sz w:val="22"/>
          <w:szCs w:val="22"/>
        </w:rPr>
      </w:pPr>
    </w:p>
    <w:p w14:paraId="4C546829" w14:textId="77777777" w:rsidR="009E0A9E" w:rsidRPr="00775AE5" w:rsidRDefault="009E0A9E" w:rsidP="009E0A9E">
      <w:pPr>
        <w:pStyle w:val="Redaccin"/>
        <w:numPr>
          <w:ilvl w:val="0"/>
          <w:numId w:val="0"/>
        </w:numPr>
        <w:ind w:left="720" w:hanging="360"/>
        <w:rPr>
          <w:rFonts w:ascii="Arial" w:hAnsi="Arial" w:cs="Arial"/>
          <w:b/>
          <w:bCs/>
          <w:sz w:val="22"/>
          <w:szCs w:val="22"/>
        </w:rPr>
      </w:pPr>
      <w:r w:rsidRPr="00775AE5">
        <w:rPr>
          <w:rFonts w:ascii="Arial" w:hAnsi="Arial" w:cs="Arial"/>
          <w:b/>
          <w:bCs/>
          <w:sz w:val="22"/>
          <w:szCs w:val="22"/>
        </w:rPr>
        <w:t>A los organismos estatales involucrados en la temática de rehabilitación y reinserción social</w:t>
      </w:r>
    </w:p>
    <w:p w14:paraId="5D2CDCE9" w14:textId="77777777" w:rsidR="009E0A9E" w:rsidRPr="00775AE5" w:rsidRDefault="009E0A9E" w:rsidP="009E0A9E">
      <w:pPr>
        <w:pStyle w:val="Redaccin"/>
        <w:numPr>
          <w:ilvl w:val="0"/>
          <w:numId w:val="0"/>
        </w:numPr>
        <w:ind w:left="720" w:hanging="360"/>
        <w:rPr>
          <w:rFonts w:ascii="Arial" w:hAnsi="Arial" w:cs="Arial"/>
          <w:sz w:val="22"/>
          <w:szCs w:val="22"/>
        </w:rPr>
      </w:pPr>
    </w:p>
    <w:p w14:paraId="1D23C5B1"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 xml:space="preserve">Reorientar las declaratorias de estado de excepción a atender problemáticas estructurales del Sistema, lo que demanda no solo aplicar una visión </w:t>
      </w:r>
      <w:proofErr w:type="spellStart"/>
      <w:r w:rsidRPr="00775AE5">
        <w:rPr>
          <w:rFonts w:ascii="Arial" w:hAnsi="Arial" w:cs="Arial"/>
          <w:sz w:val="22"/>
          <w:szCs w:val="22"/>
        </w:rPr>
        <w:t>seguritista</w:t>
      </w:r>
      <w:proofErr w:type="spellEnd"/>
      <w:r w:rsidRPr="00775AE5">
        <w:rPr>
          <w:rFonts w:ascii="Arial" w:hAnsi="Arial" w:cs="Arial"/>
          <w:sz w:val="22"/>
          <w:szCs w:val="22"/>
        </w:rPr>
        <w:t xml:space="preserve"> dirigiendo los recursos a mejorar las condiciones de vida generales de las PPL y de los funcionarios que laboran en los centros, contratación de personal técnico especializado que intervenga en el diagnóstico y ejes de tratamiento, disminuir el hacinamiento y otras problemáticas estructurales.</w:t>
      </w:r>
    </w:p>
    <w:p w14:paraId="0063D220"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Establecer políticas públicas orientadas a prevenir el delito, considerando la captación de adolescentes dentro de los grupos de delincuencia organizada.</w:t>
      </w:r>
    </w:p>
    <w:p w14:paraId="1080B94B"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Elaborar un plan de intervención con indicadores que permita dar respuestas adecuadas y sostenibles al corto, mediano y largo plazo con la finalidad de garantizar los derechos de las personas privadas de libertad.</w:t>
      </w:r>
    </w:p>
    <w:p w14:paraId="35513768"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Articular con las instituciones parte del Organismo Técnico para gestionar ante el Ministerio de Economía y Finanzas la asignación de los recursos necesarios que permitan atender las necesidades respecto a personal especializado, materiales, de seguridad y de infraestructura que requieren los lugares de privación de libertad.</w:t>
      </w:r>
    </w:p>
    <w:p w14:paraId="07C76BBB" w14:textId="5C1CAEAF"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 xml:space="preserve">Establecer un programa sostenido de atención a los </w:t>
      </w:r>
      <w:r w:rsidR="00B93283" w:rsidRPr="00775AE5">
        <w:rPr>
          <w:rFonts w:ascii="Arial" w:hAnsi="Arial" w:cs="Arial"/>
          <w:sz w:val="22"/>
          <w:szCs w:val="22"/>
        </w:rPr>
        <w:t>familiares de</w:t>
      </w:r>
      <w:r w:rsidRPr="00775AE5">
        <w:rPr>
          <w:rFonts w:ascii="Arial" w:hAnsi="Arial" w:cs="Arial"/>
          <w:sz w:val="22"/>
          <w:szCs w:val="22"/>
        </w:rPr>
        <w:t xml:space="preserve"> las víctimas de las masacres. </w:t>
      </w:r>
    </w:p>
    <w:p w14:paraId="087C8D8C" w14:textId="77777777" w:rsidR="009E0A9E" w:rsidRPr="00775AE5" w:rsidRDefault="009E0A9E" w:rsidP="009E0A9E">
      <w:pPr>
        <w:pStyle w:val="Introduccin"/>
        <w:spacing w:before="0" w:after="0"/>
        <w:ind w:firstLine="0"/>
        <w:rPr>
          <w:rFonts w:ascii="Arial" w:hAnsi="Arial" w:cs="Arial"/>
          <w:b/>
          <w:sz w:val="22"/>
          <w:szCs w:val="22"/>
        </w:rPr>
      </w:pPr>
    </w:p>
    <w:p w14:paraId="2D4EF892" w14:textId="77777777" w:rsidR="009E0A9E" w:rsidRPr="00775AE5" w:rsidRDefault="009E0A9E" w:rsidP="009E0A9E">
      <w:pPr>
        <w:pStyle w:val="Introduccin"/>
        <w:spacing w:before="0" w:after="0"/>
        <w:ind w:firstLine="0"/>
        <w:rPr>
          <w:rFonts w:ascii="Arial" w:hAnsi="Arial" w:cs="Arial"/>
          <w:b/>
          <w:sz w:val="22"/>
          <w:szCs w:val="22"/>
        </w:rPr>
      </w:pPr>
      <w:r w:rsidRPr="00775AE5">
        <w:rPr>
          <w:rFonts w:ascii="Arial" w:hAnsi="Arial" w:cs="Arial"/>
          <w:b/>
          <w:sz w:val="22"/>
          <w:szCs w:val="22"/>
        </w:rPr>
        <w:t>Al SNAI</w:t>
      </w:r>
    </w:p>
    <w:p w14:paraId="49A2C22B" w14:textId="77777777" w:rsidR="009E0A9E" w:rsidRPr="00775AE5" w:rsidRDefault="009E0A9E" w:rsidP="009E0A9E">
      <w:pPr>
        <w:pStyle w:val="Introduccin"/>
        <w:spacing w:before="0" w:after="0"/>
        <w:ind w:firstLine="0"/>
        <w:rPr>
          <w:rFonts w:ascii="Arial" w:hAnsi="Arial" w:cs="Arial"/>
          <w:b/>
          <w:sz w:val="22"/>
          <w:szCs w:val="22"/>
        </w:rPr>
      </w:pPr>
    </w:p>
    <w:p w14:paraId="03FFD041"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Intensificar las políticas de reducción de la población carcelaria, con la tramitación oportuna de las medidas de cambios de régimen y beneficios penitenciarios.</w:t>
      </w:r>
    </w:p>
    <w:p w14:paraId="07E4FEEB"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Priorizar y dirigir sus recursos humanos y financieros a los problemas más apremiantes por los que atraviesan los CPL, como la falta de servicios básicos, el mantenimiento de la infraestructura, el mejoramiento de la calidad de la alimentación y el incremento de oferta de actividades.</w:t>
      </w:r>
    </w:p>
    <w:p w14:paraId="771444C6"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Capacitar de manera permanente a los agentes de seguridad penitenciaria sobre el cumplimiento del “</w:t>
      </w:r>
      <w:r w:rsidRPr="00775AE5">
        <w:rPr>
          <w:rFonts w:ascii="Arial" w:hAnsi="Arial" w:cs="Arial"/>
          <w:bCs/>
          <w:sz w:val="22"/>
          <w:szCs w:val="22"/>
        </w:rPr>
        <w:t>Protocolo para la gestión de seguridad y vigilancia penitenciaria en los centros de privación de libertad” sancionando y denunciado su inobservancia.</w:t>
      </w:r>
    </w:p>
    <w:p w14:paraId="5F9F641A"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bCs/>
          <w:sz w:val="22"/>
          <w:szCs w:val="22"/>
        </w:rPr>
        <w:t xml:space="preserve">Establecer mecanismo de denuncia e información a los familiares respecto a situaciones que recaigan en revisiones invasivas, garantizando aspectos como la confidencialidad y atención oportuna. </w:t>
      </w:r>
    </w:p>
    <w:p w14:paraId="00D0232C"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bCs/>
          <w:sz w:val="22"/>
          <w:szCs w:val="22"/>
        </w:rPr>
        <w:t>Gestionar los recursos necesarios para la implementación de dispositivos electrónicos de detección al ingreso de todos los CPL, así como para la adecuación de espacios destinados a las visitas íntimas.</w:t>
      </w:r>
    </w:p>
    <w:p w14:paraId="4BE20DC6"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Evitar la realización de traslados masivos y promover análisis técnicos individualizados de cada caso, de igual forma coordinar con Defensoría Publica la atención de los pedidos de apelación al traslado.</w:t>
      </w:r>
    </w:p>
    <w:p w14:paraId="3A374703"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Implementar y adecuar los espacios necesarios al interior de los CRS femeninos y mixtos para incrementar la oferta de actividades las PPL mujeres. E incluir dentro de los contratos de dotación de alimentación y servicio de economato la obligación de la dotación y oferta de insumos dirigidos a los niños y niñas que habitan los centros carcelarios.</w:t>
      </w:r>
    </w:p>
    <w:p w14:paraId="75AC1A79"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Disponer a las máximas autoridades de los centros de privación de libertad, que instruyan de manera permanente a todos los funcionarios, acerca de la prohibición legal expresa de utilizar el aislamiento como forma de castigo o sanción disciplinaria contra las personas internas; y en caso de suscitarse estas inobservancias, reportar el hecho a las autoridades competentes a fin de que se tomen las acciones legales que correspondan.</w:t>
      </w:r>
    </w:p>
    <w:p w14:paraId="668092BC"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 xml:space="preserve">Adecuar y dar el respectivo mantenimiento a las áreas destinadas a cuartos o celdas de separación que se utilizan para mitigar incidentes de violencia que pongan en riesgo la integridad de la persona privada libertad o de sus pares, estableciendo el respectivo acompañamiento con profesionales, a fin de que cuenten con las condiciones mínimas de habitabilidad. En el caso de los adolescentes las habitaciones que se utilizan para intervención terapéutica deben ajustarse a los parámetros establecidos en el Modelo de Atención pertinente. </w:t>
      </w:r>
    </w:p>
    <w:p w14:paraId="6D8A1D05"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Mejorar los procesos de separación de las PPL al interior de los centros y pabellones, a fin de precautelar los conflictos entre bandas delincuenciales, para el efecto es imprescindible que se cuente con el personal técnico especializado que interviene en el diagnóstico y tratamiento de las personas privadas de libertad.</w:t>
      </w:r>
    </w:p>
    <w:p w14:paraId="66884A24"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shd w:val="clear" w:color="auto" w:fill="FFFFFF"/>
        </w:rPr>
        <w:t>Garantice la investigación y las sanciones administrativas y/o penales que correspondan por la muerte de personas privadas de la libertad al interior de los centros de rehabilitación. Que estas acciones se adelanten con la debida diligencia a fin de que los familiares de las víctimas conozcan la verdad y se garantice justicia y una reparación integral</w:t>
      </w:r>
      <w:r w:rsidRPr="00775AE5">
        <w:rPr>
          <w:rFonts w:ascii="Arial" w:hAnsi="Arial" w:cs="Arial"/>
          <w:sz w:val="22"/>
          <w:szCs w:val="22"/>
        </w:rPr>
        <w:t>, determinen responsables y las sanciones que ameriten; evitando la impunidad.</w:t>
      </w:r>
    </w:p>
    <w:p w14:paraId="159134B3" w14:textId="77777777" w:rsidR="009E0A9E" w:rsidRPr="00775AE5" w:rsidRDefault="009E0A9E" w:rsidP="009E0A9E">
      <w:pPr>
        <w:pStyle w:val="Redaccin"/>
        <w:numPr>
          <w:ilvl w:val="0"/>
          <w:numId w:val="0"/>
        </w:numPr>
        <w:spacing w:before="0" w:after="0"/>
        <w:rPr>
          <w:rFonts w:ascii="Arial" w:hAnsi="Arial" w:cs="Arial"/>
          <w:sz w:val="22"/>
          <w:szCs w:val="22"/>
        </w:rPr>
      </w:pPr>
    </w:p>
    <w:p w14:paraId="7E9F86E6" w14:textId="77777777" w:rsidR="009E0A9E" w:rsidRPr="00775AE5" w:rsidRDefault="009E0A9E" w:rsidP="009E0A9E">
      <w:pPr>
        <w:pStyle w:val="Redaccin"/>
        <w:numPr>
          <w:ilvl w:val="0"/>
          <w:numId w:val="0"/>
        </w:numPr>
        <w:spacing w:before="0" w:after="0"/>
        <w:rPr>
          <w:rFonts w:ascii="Arial" w:hAnsi="Arial" w:cs="Arial"/>
          <w:b/>
          <w:sz w:val="22"/>
          <w:szCs w:val="22"/>
        </w:rPr>
      </w:pPr>
      <w:r w:rsidRPr="00775AE5">
        <w:rPr>
          <w:rFonts w:ascii="Arial" w:hAnsi="Arial" w:cs="Arial"/>
          <w:b/>
          <w:sz w:val="22"/>
          <w:szCs w:val="22"/>
        </w:rPr>
        <w:t>A los jueces y juezas de garantías penales y penitenciarias</w:t>
      </w:r>
    </w:p>
    <w:p w14:paraId="49071785" w14:textId="77777777" w:rsidR="009E0A9E" w:rsidRPr="00775AE5" w:rsidRDefault="009E0A9E" w:rsidP="009E0A9E">
      <w:pPr>
        <w:pStyle w:val="Redaccin"/>
        <w:numPr>
          <w:ilvl w:val="0"/>
          <w:numId w:val="0"/>
        </w:numPr>
        <w:spacing w:before="0" w:after="0"/>
        <w:rPr>
          <w:rFonts w:ascii="Arial" w:hAnsi="Arial" w:cs="Arial"/>
          <w:b/>
          <w:sz w:val="22"/>
          <w:szCs w:val="22"/>
          <w:u w:val="single"/>
        </w:rPr>
      </w:pPr>
    </w:p>
    <w:p w14:paraId="301E2DCC"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 xml:space="preserve">Aplicar de manera estricta el principio constitucional de excepcionalidad de la medida cautelar de la prisión preventiva. </w:t>
      </w:r>
    </w:p>
    <w:p w14:paraId="10CFB4D8"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Cumplir con el rol de garante de derechos observando que la privación de la libertad no promueva la presentación de fallecimientos en contexto de custodia y erradicación de prácticas que recaigan en tortura o se vulnere los derechos de las PPL</w:t>
      </w:r>
    </w:p>
    <w:p w14:paraId="0B596BC2" w14:textId="77777777" w:rsidR="009E0A9E" w:rsidRPr="00775AE5" w:rsidRDefault="009E0A9E" w:rsidP="009E0A9E">
      <w:pPr>
        <w:pStyle w:val="Redaccin"/>
        <w:numPr>
          <w:ilvl w:val="0"/>
          <w:numId w:val="0"/>
        </w:numPr>
        <w:spacing w:before="0" w:after="0"/>
        <w:ind w:left="720"/>
        <w:rPr>
          <w:rFonts w:ascii="Arial" w:hAnsi="Arial" w:cs="Arial"/>
          <w:sz w:val="22"/>
          <w:szCs w:val="22"/>
        </w:rPr>
      </w:pPr>
    </w:p>
    <w:p w14:paraId="0087A82E" w14:textId="77777777" w:rsidR="009E0A9E" w:rsidRPr="00775AE5" w:rsidRDefault="009E0A9E" w:rsidP="009E0A9E">
      <w:pPr>
        <w:pStyle w:val="Redaccin"/>
        <w:numPr>
          <w:ilvl w:val="0"/>
          <w:numId w:val="0"/>
        </w:numPr>
        <w:spacing w:before="0" w:after="0"/>
        <w:rPr>
          <w:rFonts w:ascii="Arial" w:hAnsi="Arial" w:cs="Arial"/>
          <w:b/>
          <w:sz w:val="22"/>
          <w:szCs w:val="22"/>
        </w:rPr>
      </w:pPr>
      <w:r w:rsidRPr="00775AE5">
        <w:rPr>
          <w:rFonts w:ascii="Arial" w:hAnsi="Arial" w:cs="Arial"/>
          <w:b/>
          <w:sz w:val="22"/>
          <w:szCs w:val="22"/>
        </w:rPr>
        <w:t>Al Ministerio de Salud Pública</w:t>
      </w:r>
    </w:p>
    <w:p w14:paraId="6F4B90C0" w14:textId="77777777" w:rsidR="009E0A9E" w:rsidRPr="00775AE5" w:rsidRDefault="009E0A9E" w:rsidP="009E0A9E">
      <w:pPr>
        <w:pStyle w:val="Redaccin"/>
        <w:numPr>
          <w:ilvl w:val="0"/>
          <w:numId w:val="0"/>
        </w:numPr>
        <w:spacing w:before="0" w:after="0"/>
        <w:rPr>
          <w:rFonts w:ascii="Arial" w:hAnsi="Arial" w:cs="Arial"/>
          <w:b/>
          <w:sz w:val="22"/>
          <w:szCs w:val="22"/>
          <w:u w:val="single"/>
        </w:rPr>
      </w:pPr>
    </w:p>
    <w:p w14:paraId="40FCFDC0"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Incluir los servicios ginecológicos, obstétricos y de atención pediátrica, dentro de la oferta permanente o al menos itinerante de los centros de salud que funcionan al interior de los CPL femeninos o mixtos.</w:t>
      </w:r>
    </w:p>
    <w:p w14:paraId="449F98A0"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Emitir directrices o protocolos para que el servicio de salud garantice de manera efectiva los derechos sexuales y reproductivos de las personas con discapacidad.</w:t>
      </w:r>
    </w:p>
    <w:p w14:paraId="39AEFEDA"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 xml:space="preserve">Cumplir con la derivación </w:t>
      </w:r>
    </w:p>
    <w:p w14:paraId="0973CB0A" w14:textId="77777777" w:rsidR="009E0A9E" w:rsidRPr="00775AE5" w:rsidRDefault="009E0A9E" w:rsidP="009E0A9E">
      <w:pPr>
        <w:pStyle w:val="Redaccin"/>
        <w:numPr>
          <w:ilvl w:val="0"/>
          <w:numId w:val="0"/>
        </w:numPr>
        <w:spacing w:before="0" w:after="0"/>
        <w:ind w:left="720"/>
        <w:rPr>
          <w:rFonts w:ascii="Arial" w:hAnsi="Arial" w:cs="Arial"/>
          <w:sz w:val="22"/>
          <w:szCs w:val="22"/>
        </w:rPr>
      </w:pPr>
    </w:p>
    <w:p w14:paraId="3A40E9F1" w14:textId="77777777" w:rsidR="009E0A9E" w:rsidRPr="00775AE5" w:rsidRDefault="009E0A9E" w:rsidP="009E0A9E">
      <w:pPr>
        <w:pStyle w:val="Introduccin"/>
        <w:spacing w:before="0" w:after="0"/>
        <w:ind w:firstLine="0"/>
        <w:rPr>
          <w:rFonts w:ascii="Arial" w:hAnsi="Arial" w:cs="Arial"/>
          <w:b/>
          <w:sz w:val="22"/>
          <w:szCs w:val="22"/>
        </w:rPr>
      </w:pPr>
      <w:r w:rsidRPr="00775AE5">
        <w:rPr>
          <w:rFonts w:ascii="Arial" w:hAnsi="Arial" w:cs="Arial"/>
          <w:b/>
          <w:sz w:val="22"/>
          <w:szCs w:val="22"/>
        </w:rPr>
        <w:t>A las autoridades policiales, militares y judiciales</w:t>
      </w:r>
    </w:p>
    <w:p w14:paraId="675B9BF0" w14:textId="77777777" w:rsidR="009E0A9E" w:rsidRPr="00775AE5" w:rsidRDefault="009E0A9E" w:rsidP="009E0A9E">
      <w:pPr>
        <w:pStyle w:val="Introduccin"/>
        <w:spacing w:before="0" w:after="0"/>
        <w:ind w:firstLine="0"/>
        <w:rPr>
          <w:rFonts w:ascii="Arial" w:hAnsi="Arial" w:cs="Arial"/>
          <w:b/>
          <w:sz w:val="22"/>
          <w:szCs w:val="22"/>
        </w:rPr>
      </w:pPr>
    </w:p>
    <w:p w14:paraId="407A3AC7" w14:textId="77777777"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 xml:space="preserve">Verificar de manera constante y sistemática, el acatamiento de la normativa vigente en la formación de los aspirantes, y el tratamiento digno y respetuoso a los mismos. reportando y denunciando de manera inmediata cualquier hecho que pudiera constituir malos tratos o extralimitación de funciones de parte de los instructores o personal a cargo de los centros de formación.  </w:t>
      </w:r>
    </w:p>
    <w:p w14:paraId="2C2DB00C" w14:textId="12EE1BCC" w:rsidR="009E0A9E" w:rsidRPr="00775AE5" w:rsidRDefault="009E0A9E" w:rsidP="009E0A9E">
      <w:pPr>
        <w:pStyle w:val="Redaccin"/>
        <w:spacing w:before="0" w:after="0"/>
        <w:rPr>
          <w:rFonts w:ascii="Arial" w:hAnsi="Arial" w:cs="Arial"/>
          <w:sz w:val="22"/>
          <w:szCs w:val="22"/>
        </w:rPr>
      </w:pPr>
      <w:r w:rsidRPr="00775AE5">
        <w:rPr>
          <w:rFonts w:ascii="Arial" w:hAnsi="Arial" w:cs="Arial"/>
          <w:sz w:val="22"/>
          <w:szCs w:val="22"/>
        </w:rPr>
        <w:t xml:space="preserve">Efectuar los procesos administrativos y judiciales respectivos sobre presuntos malos tratos o abusos contra aspirantes, de marea ágil y oportuna, orientados a la adecuación de los hechos denunciados </w:t>
      </w:r>
      <w:r w:rsidR="00AC3F0B" w:rsidRPr="00775AE5">
        <w:rPr>
          <w:rFonts w:ascii="Arial" w:hAnsi="Arial" w:cs="Arial"/>
          <w:sz w:val="22"/>
          <w:szCs w:val="22"/>
        </w:rPr>
        <w:t>de acuerdo con</w:t>
      </w:r>
      <w:r w:rsidRPr="00775AE5">
        <w:rPr>
          <w:rFonts w:ascii="Arial" w:hAnsi="Arial" w:cs="Arial"/>
          <w:sz w:val="22"/>
          <w:szCs w:val="22"/>
        </w:rPr>
        <w:t xml:space="preserve"> las figuras legales que les corresponden; evitando la impunidad de los casos.</w:t>
      </w:r>
    </w:p>
    <w:p w14:paraId="6FC78856" w14:textId="77777777" w:rsidR="009E0A9E" w:rsidRPr="00775AE5" w:rsidRDefault="009E0A9E" w:rsidP="009E0A9E">
      <w:pPr>
        <w:pStyle w:val="Redaccin"/>
        <w:numPr>
          <w:ilvl w:val="0"/>
          <w:numId w:val="0"/>
        </w:numPr>
        <w:spacing w:before="0" w:after="0"/>
        <w:ind w:left="720"/>
        <w:rPr>
          <w:rFonts w:ascii="Arial" w:hAnsi="Arial" w:cs="Arial"/>
          <w:sz w:val="22"/>
          <w:szCs w:val="22"/>
        </w:rPr>
      </w:pPr>
    </w:p>
    <w:p w14:paraId="54C62C20" w14:textId="77777777" w:rsidR="009E0A9E" w:rsidRPr="00775AE5" w:rsidRDefault="009E0A9E" w:rsidP="009E0A9E">
      <w:pPr>
        <w:spacing w:line="276" w:lineRule="auto"/>
        <w:ind w:left="360"/>
        <w:jc w:val="both"/>
        <w:rPr>
          <w:rFonts w:ascii="Arial" w:hAnsi="Arial" w:cs="Arial"/>
          <w:b/>
          <w:sz w:val="22"/>
          <w:szCs w:val="22"/>
          <w:lang w:val="es-ES"/>
        </w:rPr>
      </w:pPr>
      <w:r w:rsidRPr="00775AE5">
        <w:rPr>
          <w:rFonts w:ascii="Arial" w:hAnsi="Arial" w:cs="Arial"/>
          <w:b/>
          <w:sz w:val="22"/>
          <w:szCs w:val="22"/>
          <w:lang w:val="es-ES"/>
        </w:rPr>
        <w:t>Movilidad Humana</w:t>
      </w:r>
    </w:p>
    <w:p w14:paraId="51979C38" w14:textId="77777777" w:rsidR="009E0A9E" w:rsidRPr="00775AE5" w:rsidRDefault="009E0A9E" w:rsidP="009E0A9E">
      <w:pPr>
        <w:spacing w:line="276" w:lineRule="auto"/>
        <w:ind w:left="360"/>
        <w:jc w:val="both"/>
        <w:rPr>
          <w:rFonts w:ascii="Arial" w:hAnsi="Arial" w:cs="Arial"/>
          <w:bCs/>
          <w:sz w:val="22"/>
          <w:szCs w:val="22"/>
          <w:lang w:val="es-ES"/>
        </w:rPr>
      </w:pPr>
    </w:p>
    <w:p w14:paraId="4050ECF5" w14:textId="77777777" w:rsidR="009E0A9E" w:rsidRPr="00775AE5" w:rsidRDefault="009E0A9E" w:rsidP="00B17DD2">
      <w:pPr>
        <w:pStyle w:val="ListParagraph"/>
        <w:numPr>
          <w:ilvl w:val="0"/>
          <w:numId w:val="10"/>
        </w:numPr>
        <w:spacing w:line="276" w:lineRule="auto"/>
        <w:jc w:val="both"/>
        <w:rPr>
          <w:rFonts w:ascii="Arial" w:hAnsi="Arial" w:cs="Arial"/>
          <w:bCs/>
          <w:sz w:val="22"/>
          <w:szCs w:val="22"/>
          <w:lang w:val="es-ES"/>
        </w:rPr>
      </w:pPr>
      <w:r w:rsidRPr="00775AE5">
        <w:rPr>
          <w:rFonts w:ascii="Arial" w:hAnsi="Arial" w:cs="Arial"/>
          <w:bCs/>
          <w:sz w:val="22"/>
          <w:szCs w:val="22"/>
          <w:lang w:val="es-ES"/>
        </w:rPr>
        <w:t>Considerar la implementación de mecanismos efectivos que permitan identificar a personas que requieran protección internacional o personas en necesidades de protección especial, principalmente NNA en los controles migratorios.</w:t>
      </w:r>
    </w:p>
    <w:p w14:paraId="421E79C3" w14:textId="77777777" w:rsidR="00BE486F" w:rsidRPr="00775AE5" w:rsidRDefault="00BE486F" w:rsidP="004E3C13">
      <w:pPr>
        <w:pStyle w:val="Redaccin"/>
        <w:numPr>
          <w:ilvl w:val="0"/>
          <w:numId w:val="0"/>
        </w:numPr>
        <w:spacing w:before="0" w:after="0"/>
        <w:ind w:left="720"/>
        <w:rPr>
          <w:rFonts w:ascii="Arial" w:hAnsi="Arial" w:cs="Arial"/>
          <w:sz w:val="22"/>
          <w:szCs w:val="22"/>
        </w:rPr>
      </w:pPr>
    </w:p>
    <w:p w14:paraId="66B40305" w14:textId="77777777" w:rsidR="00BE486F" w:rsidRPr="00775AE5" w:rsidRDefault="00BE486F" w:rsidP="004E3C13">
      <w:pPr>
        <w:pStyle w:val="Redaccin"/>
        <w:numPr>
          <w:ilvl w:val="0"/>
          <w:numId w:val="0"/>
        </w:numPr>
        <w:spacing w:before="0" w:after="0"/>
        <w:ind w:left="720"/>
        <w:rPr>
          <w:rFonts w:ascii="Arial" w:hAnsi="Arial" w:cs="Arial"/>
          <w:sz w:val="22"/>
          <w:szCs w:val="22"/>
        </w:rPr>
      </w:pPr>
    </w:p>
    <w:p w14:paraId="33E61B00" w14:textId="77777777" w:rsidR="0080571C" w:rsidRPr="00775AE5" w:rsidRDefault="0080571C" w:rsidP="004E3C13">
      <w:pPr>
        <w:pStyle w:val="Redaccin"/>
        <w:numPr>
          <w:ilvl w:val="0"/>
          <w:numId w:val="0"/>
        </w:numPr>
        <w:spacing w:before="0" w:after="0"/>
        <w:ind w:left="720"/>
        <w:rPr>
          <w:rFonts w:ascii="Arial" w:hAnsi="Arial" w:cs="Arial"/>
          <w:sz w:val="22"/>
          <w:szCs w:val="22"/>
        </w:rPr>
      </w:pPr>
    </w:p>
    <w:p w14:paraId="1B972993" w14:textId="77777777" w:rsidR="0080571C" w:rsidRDefault="0080571C" w:rsidP="004E3C13">
      <w:pPr>
        <w:pStyle w:val="Redaccin"/>
        <w:numPr>
          <w:ilvl w:val="0"/>
          <w:numId w:val="0"/>
        </w:numPr>
        <w:spacing w:before="0" w:after="0"/>
        <w:ind w:left="720"/>
        <w:rPr>
          <w:rFonts w:ascii="Arial" w:hAnsi="Arial" w:cs="Arial"/>
          <w:sz w:val="22"/>
          <w:szCs w:val="22"/>
        </w:rPr>
      </w:pPr>
    </w:p>
    <w:p w14:paraId="2FFAF4BB" w14:textId="77777777" w:rsidR="00DE4A3F" w:rsidRDefault="00DE4A3F" w:rsidP="004E3C13">
      <w:pPr>
        <w:pStyle w:val="Redaccin"/>
        <w:numPr>
          <w:ilvl w:val="0"/>
          <w:numId w:val="0"/>
        </w:numPr>
        <w:spacing w:before="0" w:after="0"/>
        <w:ind w:left="720"/>
        <w:rPr>
          <w:rFonts w:ascii="Arial" w:hAnsi="Arial" w:cs="Arial"/>
          <w:sz w:val="22"/>
          <w:szCs w:val="22"/>
        </w:rPr>
      </w:pPr>
    </w:p>
    <w:p w14:paraId="498B869F" w14:textId="77777777" w:rsidR="00DE4A3F" w:rsidRDefault="00DE4A3F" w:rsidP="004E3C13">
      <w:pPr>
        <w:pStyle w:val="Redaccin"/>
        <w:numPr>
          <w:ilvl w:val="0"/>
          <w:numId w:val="0"/>
        </w:numPr>
        <w:spacing w:before="0" w:after="0"/>
        <w:ind w:left="720"/>
        <w:rPr>
          <w:rFonts w:ascii="Arial" w:hAnsi="Arial" w:cs="Arial"/>
          <w:sz w:val="22"/>
          <w:szCs w:val="22"/>
        </w:rPr>
      </w:pPr>
    </w:p>
    <w:p w14:paraId="08B84FB1" w14:textId="77777777" w:rsidR="00DE4A3F" w:rsidRDefault="00DE4A3F" w:rsidP="004E3C13">
      <w:pPr>
        <w:pStyle w:val="Redaccin"/>
        <w:numPr>
          <w:ilvl w:val="0"/>
          <w:numId w:val="0"/>
        </w:numPr>
        <w:spacing w:before="0" w:after="0"/>
        <w:ind w:left="720"/>
        <w:rPr>
          <w:rFonts w:ascii="Arial" w:hAnsi="Arial" w:cs="Arial"/>
          <w:sz w:val="22"/>
          <w:szCs w:val="22"/>
        </w:rPr>
      </w:pPr>
    </w:p>
    <w:p w14:paraId="21D5E92F" w14:textId="77777777" w:rsidR="00DE4A3F" w:rsidRDefault="00DE4A3F" w:rsidP="004E3C13">
      <w:pPr>
        <w:pStyle w:val="Redaccin"/>
        <w:numPr>
          <w:ilvl w:val="0"/>
          <w:numId w:val="0"/>
        </w:numPr>
        <w:spacing w:before="0" w:after="0"/>
        <w:ind w:left="720"/>
        <w:rPr>
          <w:rFonts w:ascii="Arial" w:hAnsi="Arial" w:cs="Arial"/>
          <w:sz w:val="22"/>
          <w:szCs w:val="22"/>
        </w:rPr>
      </w:pPr>
    </w:p>
    <w:p w14:paraId="265F662D" w14:textId="77777777" w:rsidR="00DE4A3F" w:rsidRDefault="00DE4A3F" w:rsidP="004E3C13">
      <w:pPr>
        <w:pStyle w:val="Redaccin"/>
        <w:numPr>
          <w:ilvl w:val="0"/>
          <w:numId w:val="0"/>
        </w:numPr>
        <w:spacing w:before="0" w:after="0"/>
        <w:ind w:left="720"/>
        <w:rPr>
          <w:rFonts w:ascii="Arial" w:hAnsi="Arial" w:cs="Arial"/>
          <w:sz w:val="22"/>
          <w:szCs w:val="22"/>
        </w:rPr>
      </w:pPr>
    </w:p>
    <w:p w14:paraId="34DF855E" w14:textId="77777777" w:rsidR="00DE4A3F" w:rsidRDefault="00DE4A3F" w:rsidP="004E3C13">
      <w:pPr>
        <w:pStyle w:val="Redaccin"/>
        <w:numPr>
          <w:ilvl w:val="0"/>
          <w:numId w:val="0"/>
        </w:numPr>
        <w:spacing w:before="0" w:after="0"/>
        <w:ind w:left="720"/>
        <w:rPr>
          <w:rFonts w:ascii="Arial" w:hAnsi="Arial" w:cs="Arial"/>
          <w:sz w:val="22"/>
          <w:szCs w:val="22"/>
        </w:rPr>
      </w:pPr>
    </w:p>
    <w:p w14:paraId="7E0C49C0" w14:textId="77777777" w:rsidR="00DE4A3F" w:rsidRDefault="00DE4A3F" w:rsidP="004E3C13">
      <w:pPr>
        <w:pStyle w:val="Redaccin"/>
        <w:numPr>
          <w:ilvl w:val="0"/>
          <w:numId w:val="0"/>
        </w:numPr>
        <w:spacing w:before="0" w:after="0"/>
        <w:ind w:left="720"/>
        <w:rPr>
          <w:rFonts w:ascii="Arial" w:hAnsi="Arial" w:cs="Arial"/>
          <w:sz w:val="22"/>
          <w:szCs w:val="22"/>
        </w:rPr>
      </w:pPr>
    </w:p>
    <w:p w14:paraId="2FE480E7" w14:textId="77777777" w:rsidR="00CE3736" w:rsidRDefault="00CE3736" w:rsidP="004E3C13">
      <w:pPr>
        <w:pStyle w:val="Redaccin"/>
        <w:numPr>
          <w:ilvl w:val="0"/>
          <w:numId w:val="0"/>
        </w:numPr>
        <w:spacing w:before="0" w:after="0"/>
        <w:ind w:left="720"/>
        <w:rPr>
          <w:rFonts w:ascii="Arial" w:hAnsi="Arial" w:cs="Arial"/>
          <w:sz w:val="22"/>
          <w:szCs w:val="22"/>
        </w:rPr>
      </w:pPr>
    </w:p>
    <w:p w14:paraId="5270D0DE" w14:textId="77777777" w:rsidR="00CE3736" w:rsidRDefault="00CE3736" w:rsidP="004E3C13">
      <w:pPr>
        <w:pStyle w:val="Redaccin"/>
        <w:numPr>
          <w:ilvl w:val="0"/>
          <w:numId w:val="0"/>
        </w:numPr>
        <w:spacing w:before="0" w:after="0"/>
        <w:ind w:left="720"/>
        <w:rPr>
          <w:rFonts w:ascii="Arial" w:hAnsi="Arial" w:cs="Arial"/>
          <w:sz w:val="22"/>
          <w:szCs w:val="22"/>
        </w:rPr>
      </w:pPr>
    </w:p>
    <w:p w14:paraId="05C8967C" w14:textId="77777777" w:rsidR="00CE3736" w:rsidRDefault="00CE3736" w:rsidP="004E3C13">
      <w:pPr>
        <w:pStyle w:val="Redaccin"/>
        <w:numPr>
          <w:ilvl w:val="0"/>
          <w:numId w:val="0"/>
        </w:numPr>
        <w:spacing w:before="0" w:after="0"/>
        <w:ind w:left="720"/>
        <w:rPr>
          <w:rFonts w:ascii="Arial" w:hAnsi="Arial" w:cs="Arial"/>
          <w:sz w:val="22"/>
          <w:szCs w:val="22"/>
        </w:rPr>
      </w:pPr>
    </w:p>
    <w:p w14:paraId="25FF4DA1" w14:textId="77777777" w:rsidR="00CE3736" w:rsidRDefault="00CE3736" w:rsidP="004E3C13">
      <w:pPr>
        <w:pStyle w:val="Redaccin"/>
        <w:numPr>
          <w:ilvl w:val="0"/>
          <w:numId w:val="0"/>
        </w:numPr>
        <w:spacing w:before="0" w:after="0"/>
        <w:ind w:left="720"/>
        <w:rPr>
          <w:rFonts w:ascii="Arial" w:hAnsi="Arial" w:cs="Arial"/>
          <w:sz w:val="22"/>
          <w:szCs w:val="22"/>
        </w:rPr>
      </w:pPr>
    </w:p>
    <w:p w14:paraId="3586D681" w14:textId="77777777" w:rsidR="00CE3736" w:rsidRDefault="00CE3736" w:rsidP="004E3C13">
      <w:pPr>
        <w:pStyle w:val="Redaccin"/>
        <w:numPr>
          <w:ilvl w:val="0"/>
          <w:numId w:val="0"/>
        </w:numPr>
        <w:spacing w:before="0" w:after="0"/>
        <w:ind w:left="720"/>
        <w:rPr>
          <w:rFonts w:ascii="Arial" w:hAnsi="Arial" w:cs="Arial"/>
          <w:sz w:val="22"/>
          <w:szCs w:val="22"/>
        </w:rPr>
      </w:pPr>
    </w:p>
    <w:p w14:paraId="777D5E99" w14:textId="77777777" w:rsidR="00CE3736" w:rsidRDefault="00CE3736" w:rsidP="004E3C13">
      <w:pPr>
        <w:pStyle w:val="Redaccin"/>
        <w:numPr>
          <w:ilvl w:val="0"/>
          <w:numId w:val="0"/>
        </w:numPr>
        <w:spacing w:before="0" w:after="0"/>
        <w:ind w:left="720"/>
        <w:rPr>
          <w:rFonts w:ascii="Arial" w:hAnsi="Arial" w:cs="Arial"/>
          <w:sz w:val="22"/>
          <w:szCs w:val="22"/>
        </w:rPr>
      </w:pPr>
    </w:p>
    <w:p w14:paraId="4B947649" w14:textId="77777777" w:rsidR="00CE3736" w:rsidRDefault="00CE3736" w:rsidP="004E3C13">
      <w:pPr>
        <w:pStyle w:val="Redaccin"/>
        <w:numPr>
          <w:ilvl w:val="0"/>
          <w:numId w:val="0"/>
        </w:numPr>
        <w:spacing w:before="0" w:after="0"/>
        <w:ind w:left="720"/>
        <w:rPr>
          <w:rFonts w:ascii="Arial" w:hAnsi="Arial" w:cs="Arial"/>
          <w:sz w:val="22"/>
          <w:szCs w:val="22"/>
        </w:rPr>
      </w:pPr>
    </w:p>
    <w:p w14:paraId="7A69208F" w14:textId="77777777" w:rsidR="00CE3736" w:rsidRDefault="00CE3736" w:rsidP="004E3C13">
      <w:pPr>
        <w:pStyle w:val="Redaccin"/>
        <w:numPr>
          <w:ilvl w:val="0"/>
          <w:numId w:val="0"/>
        </w:numPr>
        <w:spacing w:before="0" w:after="0"/>
        <w:ind w:left="720"/>
        <w:rPr>
          <w:rFonts w:ascii="Arial" w:hAnsi="Arial" w:cs="Arial"/>
          <w:sz w:val="22"/>
          <w:szCs w:val="22"/>
        </w:rPr>
      </w:pPr>
    </w:p>
    <w:p w14:paraId="2DD60B89" w14:textId="77777777" w:rsidR="00CE3736" w:rsidRDefault="00CE3736" w:rsidP="004E3C13">
      <w:pPr>
        <w:pStyle w:val="Redaccin"/>
        <w:numPr>
          <w:ilvl w:val="0"/>
          <w:numId w:val="0"/>
        </w:numPr>
        <w:spacing w:before="0" w:after="0"/>
        <w:ind w:left="720"/>
        <w:rPr>
          <w:rFonts w:ascii="Arial" w:hAnsi="Arial" w:cs="Arial"/>
          <w:sz w:val="22"/>
          <w:szCs w:val="22"/>
        </w:rPr>
      </w:pPr>
    </w:p>
    <w:p w14:paraId="238D2A33" w14:textId="77777777" w:rsidR="00CE3736" w:rsidRDefault="00CE3736" w:rsidP="004E3C13">
      <w:pPr>
        <w:pStyle w:val="Redaccin"/>
        <w:numPr>
          <w:ilvl w:val="0"/>
          <w:numId w:val="0"/>
        </w:numPr>
        <w:spacing w:before="0" w:after="0"/>
        <w:ind w:left="720"/>
        <w:rPr>
          <w:rFonts w:ascii="Arial" w:hAnsi="Arial" w:cs="Arial"/>
          <w:sz w:val="22"/>
          <w:szCs w:val="22"/>
        </w:rPr>
      </w:pPr>
    </w:p>
    <w:p w14:paraId="6F9DBB6B" w14:textId="77777777" w:rsidR="00CE3736" w:rsidRDefault="00CE3736" w:rsidP="004E3C13">
      <w:pPr>
        <w:pStyle w:val="Redaccin"/>
        <w:numPr>
          <w:ilvl w:val="0"/>
          <w:numId w:val="0"/>
        </w:numPr>
        <w:spacing w:before="0" w:after="0"/>
        <w:ind w:left="720"/>
        <w:rPr>
          <w:rFonts w:ascii="Arial" w:hAnsi="Arial" w:cs="Arial"/>
          <w:sz w:val="22"/>
          <w:szCs w:val="22"/>
        </w:rPr>
      </w:pPr>
    </w:p>
    <w:p w14:paraId="5DFE4C7A" w14:textId="77777777" w:rsidR="00CE3736" w:rsidRDefault="00CE3736" w:rsidP="004E3C13">
      <w:pPr>
        <w:pStyle w:val="Redaccin"/>
        <w:numPr>
          <w:ilvl w:val="0"/>
          <w:numId w:val="0"/>
        </w:numPr>
        <w:spacing w:before="0" w:after="0"/>
        <w:ind w:left="720"/>
        <w:rPr>
          <w:rFonts w:ascii="Arial" w:hAnsi="Arial" w:cs="Arial"/>
          <w:sz w:val="22"/>
          <w:szCs w:val="22"/>
        </w:rPr>
      </w:pPr>
    </w:p>
    <w:p w14:paraId="551F8673" w14:textId="77777777" w:rsidR="00CE3736" w:rsidRDefault="00CE3736" w:rsidP="004E3C13">
      <w:pPr>
        <w:pStyle w:val="Redaccin"/>
        <w:numPr>
          <w:ilvl w:val="0"/>
          <w:numId w:val="0"/>
        </w:numPr>
        <w:spacing w:before="0" w:after="0"/>
        <w:ind w:left="720"/>
        <w:rPr>
          <w:rFonts w:ascii="Arial" w:hAnsi="Arial" w:cs="Arial"/>
          <w:sz w:val="22"/>
          <w:szCs w:val="22"/>
        </w:rPr>
      </w:pPr>
    </w:p>
    <w:p w14:paraId="05706CF3" w14:textId="77777777" w:rsidR="00CE3736" w:rsidRDefault="00CE3736" w:rsidP="004E3C13">
      <w:pPr>
        <w:pStyle w:val="Redaccin"/>
        <w:numPr>
          <w:ilvl w:val="0"/>
          <w:numId w:val="0"/>
        </w:numPr>
        <w:spacing w:before="0" w:after="0"/>
        <w:ind w:left="720"/>
        <w:rPr>
          <w:rFonts w:ascii="Arial" w:hAnsi="Arial" w:cs="Arial"/>
          <w:sz w:val="22"/>
          <w:szCs w:val="22"/>
        </w:rPr>
      </w:pPr>
    </w:p>
    <w:p w14:paraId="1E531E2B" w14:textId="77777777" w:rsidR="00CE3736" w:rsidRDefault="00CE3736" w:rsidP="004E3C13">
      <w:pPr>
        <w:pStyle w:val="Redaccin"/>
        <w:numPr>
          <w:ilvl w:val="0"/>
          <w:numId w:val="0"/>
        </w:numPr>
        <w:spacing w:before="0" w:after="0"/>
        <w:ind w:left="720"/>
        <w:rPr>
          <w:rFonts w:ascii="Arial" w:hAnsi="Arial" w:cs="Arial"/>
          <w:sz w:val="22"/>
          <w:szCs w:val="22"/>
        </w:rPr>
      </w:pPr>
    </w:p>
    <w:p w14:paraId="59753286" w14:textId="77777777" w:rsidR="00CE3736" w:rsidRDefault="00CE3736" w:rsidP="004E3C13">
      <w:pPr>
        <w:pStyle w:val="Redaccin"/>
        <w:numPr>
          <w:ilvl w:val="0"/>
          <w:numId w:val="0"/>
        </w:numPr>
        <w:spacing w:before="0" w:after="0"/>
        <w:ind w:left="720"/>
        <w:rPr>
          <w:rFonts w:ascii="Arial" w:hAnsi="Arial" w:cs="Arial"/>
          <w:sz w:val="22"/>
          <w:szCs w:val="22"/>
        </w:rPr>
      </w:pPr>
    </w:p>
    <w:p w14:paraId="6E6FC8E9" w14:textId="77777777" w:rsidR="00CE3736" w:rsidRDefault="00CE3736" w:rsidP="004E3C13">
      <w:pPr>
        <w:pStyle w:val="Redaccin"/>
        <w:numPr>
          <w:ilvl w:val="0"/>
          <w:numId w:val="0"/>
        </w:numPr>
        <w:spacing w:before="0" w:after="0"/>
        <w:ind w:left="720"/>
        <w:rPr>
          <w:rFonts w:ascii="Arial" w:hAnsi="Arial" w:cs="Arial"/>
          <w:sz w:val="22"/>
          <w:szCs w:val="22"/>
        </w:rPr>
      </w:pPr>
    </w:p>
    <w:p w14:paraId="0C16B678" w14:textId="77777777" w:rsidR="00CE3736" w:rsidRDefault="00CE3736" w:rsidP="004E3C13">
      <w:pPr>
        <w:pStyle w:val="Redaccin"/>
        <w:numPr>
          <w:ilvl w:val="0"/>
          <w:numId w:val="0"/>
        </w:numPr>
        <w:spacing w:before="0" w:after="0"/>
        <w:ind w:left="720"/>
        <w:rPr>
          <w:rFonts w:ascii="Arial" w:hAnsi="Arial" w:cs="Arial"/>
          <w:sz w:val="22"/>
          <w:szCs w:val="22"/>
        </w:rPr>
      </w:pPr>
    </w:p>
    <w:p w14:paraId="10F74AFB" w14:textId="77777777" w:rsidR="00CE3736" w:rsidRDefault="00CE3736" w:rsidP="004E3C13">
      <w:pPr>
        <w:pStyle w:val="Redaccin"/>
        <w:numPr>
          <w:ilvl w:val="0"/>
          <w:numId w:val="0"/>
        </w:numPr>
        <w:spacing w:before="0" w:after="0"/>
        <w:ind w:left="720"/>
        <w:rPr>
          <w:rFonts w:ascii="Arial" w:hAnsi="Arial" w:cs="Arial"/>
          <w:sz w:val="22"/>
          <w:szCs w:val="22"/>
        </w:rPr>
      </w:pPr>
    </w:p>
    <w:p w14:paraId="0D2F798C" w14:textId="77777777" w:rsidR="00CE3736" w:rsidRDefault="00CE3736" w:rsidP="004E3C13">
      <w:pPr>
        <w:pStyle w:val="Redaccin"/>
        <w:numPr>
          <w:ilvl w:val="0"/>
          <w:numId w:val="0"/>
        </w:numPr>
        <w:spacing w:before="0" w:after="0"/>
        <w:ind w:left="720"/>
        <w:rPr>
          <w:rFonts w:ascii="Arial" w:hAnsi="Arial" w:cs="Arial"/>
          <w:sz w:val="22"/>
          <w:szCs w:val="22"/>
        </w:rPr>
      </w:pPr>
    </w:p>
    <w:p w14:paraId="21FEC05A" w14:textId="77777777" w:rsidR="00CE3736" w:rsidRDefault="00CE3736" w:rsidP="004E3C13">
      <w:pPr>
        <w:pStyle w:val="Redaccin"/>
        <w:numPr>
          <w:ilvl w:val="0"/>
          <w:numId w:val="0"/>
        </w:numPr>
        <w:spacing w:before="0" w:after="0"/>
        <w:ind w:left="720"/>
        <w:rPr>
          <w:rFonts w:ascii="Arial" w:hAnsi="Arial" w:cs="Arial"/>
          <w:sz w:val="22"/>
          <w:szCs w:val="22"/>
        </w:rPr>
      </w:pPr>
    </w:p>
    <w:p w14:paraId="5B421C3E" w14:textId="77777777" w:rsidR="00CE3736" w:rsidRDefault="00CE3736" w:rsidP="004E3C13">
      <w:pPr>
        <w:pStyle w:val="Redaccin"/>
        <w:numPr>
          <w:ilvl w:val="0"/>
          <w:numId w:val="0"/>
        </w:numPr>
        <w:spacing w:before="0" w:after="0"/>
        <w:ind w:left="720"/>
        <w:rPr>
          <w:rFonts w:ascii="Arial" w:hAnsi="Arial" w:cs="Arial"/>
          <w:sz w:val="22"/>
          <w:szCs w:val="22"/>
        </w:rPr>
      </w:pPr>
    </w:p>
    <w:p w14:paraId="15DB0868" w14:textId="77777777" w:rsidR="00CE3736" w:rsidRDefault="00CE3736" w:rsidP="004E3C13">
      <w:pPr>
        <w:pStyle w:val="Redaccin"/>
        <w:numPr>
          <w:ilvl w:val="0"/>
          <w:numId w:val="0"/>
        </w:numPr>
        <w:spacing w:before="0" w:after="0"/>
        <w:ind w:left="720"/>
        <w:rPr>
          <w:rFonts w:ascii="Arial" w:hAnsi="Arial" w:cs="Arial"/>
          <w:sz w:val="22"/>
          <w:szCs w:val="22"/>
        </w:rPr>
      </w:pPr>
    </w:p>
    <w:p w14:paraId="7FC6639B" w14:textId="77777777" w:rsidR="00CE3736" w:rsidRDefault="00CE3736" w:rsidP="004E3C13">
      <w:pPr>
        <w:pStyle w:val="Redaccin"/>
        <w:numPr>
          <w:ilvl w:val="0"/>
          <w:numId w:val="0"/>
        </w:numPr>
        <w:spacing w:before="0" w:after="0"/>
        <w:ind w:left="720"/>
        <w:rPr>
          <w:rFonts w:ascii="Arial" w:hAnsi="Arial" w:cs="Arial"/>
          <w:sz w:val="22"/>
          <w:szCs w:val="22"/>
        </w:rPr>
      </w:pPr>
    </w:p>
    <w:p w14:paraId="7FF0F2A0" w14:textId="77777777" w:rsidR="00CE3736" w:rsidRDefault="00CE3736" w:rsidP="004E3C13">
      <w:pPr>
        <w:pStyle w:val="Redaccin"/>
        <w:numPr>
          <w:ilvl w:val="0"/>
          <w:numId w:val="0"/>
        </w:numPr>
        <w:spacing w:before="0" w:after="0"/>
        <w:ind w:left="720"/>
        <w:rPr>
          <w:rFonts w:ascii="Arial" w:hAnsi="Arial" w:cs="Arial"/>
          <w:sz w:val="22"/>
          <w:szCs w:val="22"/>
        </w:rPr>
      </w:pPr>
    </w:p>
    <w:p w14:paraId="58400A7D" w14:textId="77777777" w:rsidR="00CE3736" w:rsidRDefault="00CE3736" w:rsidP="004E3C13">
      <w:pPr>
        <w:pStyle w:val="Redaccin"/>
        <w:numPr>
          <w:ilvl w:val="0"/>
          <w:numId w:val="0"/>
        </w:numPr>
        <w:spacing w:before="0" w:after="0"/>
        <w:ind w:left="720"/>
        <w:rPr>
          <w:rFonts w:ascii="Arial" w:hAnsi="Arial" w:cs="Arial"/>
          <w:sz w:val="22"/>
          <w:szCs w:val="22"/>
        </w:rPr>
      </w:pPr>
    </w:p>
    <w:p w14:paraId="2D4344D4" w14:textId="77777777" w:rsidR="00CE3736" w:rsidRPr="00775AE5" w:rsidRDefault="00CE3736" w:rsidP="004E3C13">
      <w:pPr>
        <w:pStyle w:val="Redaccin"/>
        <w:numPr>
          <w:ilvl w:val="0"/>
          <w:numId w:val="0"/>
        </w:numPr>
        <w:spacing w:before="0" w:after="0"/>
        <w:ind w:left="720"/>
        <w:rPr>
          <w:rFonts w:ascii="Arial" w:hAnsi="Arial" w:cs="Arial"/>
          <w:sz w:val="22"/>
          <w:szCs w:val="22"/>
        </w:rPr>
      </w:pPr>
    </w:p>
    <w:p w14:paraId="7CB1DA7D" w14:textId="77777777" w:rsidR="0080571C" w:rsidRPr="00775AE5" w:rsidRDefault="0080571C" w:rsidP="004E3C13">
      <w:pPr>
        <w:pStyle w:val="Redaccin"/>
        <w:numPr>
          <w:ilvl w:val="0"/>
          <w:numId w:val="0"/>
        </w:numPr>
        <w:spacing w:before="0" w:after="0"/>
        <w:ind w:left="720"/>
        <w:rPr>
          <w:rFonts w:ascii="Arial" w:hAnsi="Arial" w:cs="Arial"/>
          <w:sz w:val="22"/>
          <w:szCs w:val="22"/>
        </w:rPr>
      </w:pPr>
    </w:p>
    <w:p w14:paraId="04461157" w14:textId="77777777" w:rsidR="0080571C" w:rsidRPr="00775AE5" w:rsidRDefault="0080571C" w:rsidP="004E3C13">
      <w:pPr>
        <w:pStyle w:val="Redaccin"/>
        <w:numPr>
          <w:ilvl w:val="0"/>
          <w:numId w:val="0"/>
        </w:numPr>
        <w:spacing w:before="0" w:after="0"/>
        <w:ind w:left="720"/>
        <w:rPr>
          <w:rFonts w:ascii="Arial" w:hAnsi="Arial" w:cs="Arial"/>
          <w:sz w:val="22"/>
          <w:szCs w:val="22"/>
        </w:rPr>
      </w:pPr>
    </w:p>
    <w:p w14:paraId="3F72F3FD" w14:textId="77777777" w:rsidR="00BE486F" w:rsidRPr="00775AE5" w:rsidRDefault="00BE486F" w:rsidP="004E3C13">
      <w:pPr>
        <w:pStyle w:val="Redaccin"/>
        <w:numPr>
          <w:ilvl w:val="0"/>
          <w:numId w:val="0"/>
        </w:numPr>
        <w:spacing w:before="0" w:after="0"/>
        <w:ind w:left="720"/>
        <w:rPr>
          <w:rFonts w:ascii="Arial" w:hAnsi="Arial" w:cs="Arial"/>
          <w:sz w:val="22"/>
          <w:szCs w:val="22"/>
        </w:rPr>
      </w:pPr>
    </w:p>
    <w:p w14:paraId="5C4D5591" w14:textId="77777777" w:rsidR="00965E3E" w:rsidRPr="00775AE5" w:rsidRDefault="00EB1434" w:rsidP="00390DF2">
      <w:pPr>
        <w:pStyle w:val="Heading1"/>
        <w:spacing w:line="276" w:lineRule="auto"/>
        <w:rPr>
          <w:rFonts w:ascii="Arial" w:hAnsi="Arial" w:cs="Arial"/>
          <w:sz w:val="22"/>
          <w:szCs w:val="22"/>
        </w:rPr>
      </w:pPr>
      <w:r w:rsidRPr="00775AE5">
        <w:rPr>
          <w:rFonts w:ascii="Arial" w:hAnsi="Arial" w:cs="Arial"/>
          <w:sz w:val="22"/>
          <w:szCs w:val="22"/>
        </w:rPr>
        <w:t xml:space="preserve"> </w:t>
      </w:r>
      <w:bookmarkStart w:id="43" w:name="_Toc168907363"/>
      <w:r w:rsidR="00A667D4" w:rsidRPr="00775AE5">
        <w:rPr>
          <w:rFonts w:ascii="Arial" w:hAnsi="Arial" w:cs="Arial"/>
          <w:sz w:val="22"/>
          <w:szCs w:val="22"/>
        </w:rPr>
        <w:t>Lista de Referencias</w:t>
      </w:r>
      <w:bookmarkEnd w:id="43"/>
    </w:p>
    <w:p w14:paraId="1DD8773E" w14:textId="77777777" w:rsidR="00965E3E" w:rsidRPr="00775AE5" w:rsidRDefault="00965E3E" w:rsidP="00390DF2">
      <w:pPr>
        <w:spacing w:line="276" w:lineRule="auto"/>
        <w:jc w:val="both"/>
        <w:rPr>
          <w:rFonts w:ascii="Arial" w:hAnsi="Arial" w:cs="Arial"/>
          <w:b/>
          <w:sz w:val="22"/>
          <w:szCs w:val="22"/>
          <w:lang w:val="es-ES"/>
        </w:rPr>
      </w:pPr>
    </w:p>
    <w:p w14:paraId="146337A7"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s-ES"/>
        </w:rPr>
        <w:t xml:space="preserve">A/HRC/37/50. (2018). </w:t>
      </w:r>
      <w:r w:rsidRPr="00775AE5">
        <w:rPr>
          <w:rFonts w:ascii="Arial" w:hAnsi="Arial" w:cs="Arial"/>
          <w:i/>
          <w:iCs/>
          <w:noProof/>
          <w:lang w:val="es-ES"/>
        </w:rPr>
        <w:t>Informe del Relator Especial sobre tortura y otros tratos o penas crueles, inhumanos o degradantes.</w:t>
      </w:r>
      <w:r w:rsidRPr="00775AE5">
        <w:rPr>
          <w:rFonts w:ascii="Arial" w:hAnsi="Arial" w:cs="Arial"/>
          <w:noProof/>
          <w:lang w:val="es-ES"/>
        </w:rPr>
        <w:t xml:space="preserve"> Asamblea General Naciones Unidas.</w:t>
      </w:r>
    </w:p>
    <w:p w14:paraId="3D5AC900"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s-ES"/>
        </w:rPr>
        <w:t>Acción de Protección , 04243-2019-00001 (Tribunal de Garantías Penales con sede en el Cantón Tulcán Febrero de 2019).</w:t>
      </w:r>
    </w:p>
    <w:p w14:paraId="5EDDDBD7" w14:textId="77777777" w:rsidR="00935E1E" w:rsidRPr="00775AE5" w:rsidRDefault="00935E1E" w:rsidP="00935E1E">
      <w:pPr>
        <w:pStyle w:val="Bibliography"/>
        <w:spacing w:after="0"/>
        <w:ind w:left="720" w:hanging="720"/>
        <w:rPr>
          <w:rFonts w:ascii="Arial" w:hAnsi="Arial" w:cs="Arial"/>
          <w:noProof/>
          <w:lang w:val="es-ES"/>
        </w:rPr>
      </w:pPr>
      <w:r w:rsidRPr="00775AE5">
        <w:rPr>
          <w:rFonts w:ascii="Arial" w:hAnsi="Arial" w:cs="Arial"/>
          <w:noProof/>
          <w:lang w:val="es-ES"/>
        </w:rPr>
        <w:t>Acción de Protección y Medida Cautelar, 04333-2019-00190 (Unidad Judicial Civil, con sede en el Canton Tulcán marzo 15, 2019).</w:t>
      </w:r>
    </w:p>
    <w:p w14:paraId="0047B4F4"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s-ES"/>
        </w:rPr>
        <w:t xml:space="preserve">ACESS. (2020). Noticias. Recuperado el 14 de julio de 2020 de </w:t>
      </w:r>
      <w:hyperlink r:id="rId28" w:history="1">
        <w:r w:rsidRPr="00775AE5">
          <w:rPr>
            <w:rFonts w:ascii="Arial" w:hAnsi="Arial" w:cs="Arial"/>
            <w:noProof/>
            <w:lang w:val="es-ES"/>
          </w:rPr>
          <w:t>http://www.calidadsalud.gob.ec/clausuran-establecimiento-ilegal-con-mas-de-30-personas-con-adicciones-en-hacinamiento-en-flor-de-bastion/</w:t>
        </w:r>
      </w:hyperlink>
    </w:p>
    <w:p w14:paraId="59F5B30E"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s-ES"/>
        </w:rPr>
        <w:t>CIDH. (2017). OEA/Ser*L/V/II. Washington: Comisión Interamericana de Derechos Humanos.</w:t>
      </w:r>
    </w:p>
    <w:p w14:paraId="41E305B1"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s-ES"/>
        </w:rPr>
        <w:t>Consultoría para el desarrollo del marco conceptual, metodológico y operativo del registro único de violencia contra las mujeres</w:t>
      </w:r>
    </w:p>
    <w:p w14:paraId="3D5E24DA" w14:textId="77777777" w:rsidR="001961D3" w:rsidRPr="00775AE5" w:rsidRDefault="001961D3" w:rsidP="001961D3">
      <w:pPr>
        <w:ind w:left="720" w:hanging="720"/>
        <w:rPr>
          <w:rFonts w:ascii="Arial" w:eastAsia="Calibri" w:hAnsi="Arial" w:cs="Arial"/>
          <w:noProof/>
          <w:sz w:val="22"/>
          <w:szCs w:val="22"/>
          <w:lang w:val="es-ES"/>
        </w:rPr>
      </w:pPr>
      <w:r w:rsidRPr="00775AE5">
        <w:rPr>
          <w:rFonts w:ascii="Arial" w:eastAsia="Calibri" w:hAnsi="Arial" w:cs="Arial"/>
          <w:noProof/>
          <w:sz w:val="22"/>
          <w:szCs w:val="22"/>
          <w:lang w:val="es-ES"/>
        </w:rPr>
        <w:t>Documento borrador del X Informe Nacional del Ecuador a la Convención sobre la Eliminación de todas las formas de discriminación contra la mujer (CEDAW), Ministerio de Relaciones Exteriores. 2020.</w:t>
      </w:r>
    </w:p>
    <w:p w14:paraId="5FB898F5" w14:textId="77777777" w:rsidR="001961D3" w:rsidRPr="00775AE5" w:rsidRDefault="001961D3" w:rsidP="001961D3">
      <w:pPr>
        <w:rPr>
          <w:rFonts w:ascii="Arial" w:hAnsi="Arial" w:cs="Arial"/>
          <w:sz w:val="22"/>
          <w:szCs w:val="22"/>
          <w:lang w:val="es-ES"/>
        </w:rPr>
      </w:pPr>
    </w:p>
    <w:p w14:paraId="47D0E012" w14:textId="77777777" w:rsidR="00935E1E" w:rsidRPr="00775AE5" w:rsidRDefault="00935E1E" w:rsidP="00935E1E">
      <w:pPr>
        <w:pStyle w:val="Bibliography"/>
        <w:spacing w:after="0"/>
        <w:ind w:left="720" w:hanging="720"/>
        <w:rPr>
          <w:rFonts w:ascii="Arial" w:hAnsi="Arial" w:cs="Arial"/>
          <w:noProof/>
          <w:lang w:val="es-ES"/>
        </w:rPr>
      </w:pPr>
      <w:r w:rsidRPr="00775AE5">
        <w:rPr>
          <w:rFonts w:ascii="Arial" w:hAnsi="Arial" w:cs="Arial"/>
          <w:noProof/>
          <w:lang w:val="es-ES"/>
        </w:rPr>
        <w:t>DPE. (2018). Desafios en la Protección de los derechos de la Población Venezolana en Movilidad Humana. Quito: Defensoria del Pueblo del Ecuador, documento digital.</w:t>
      </w:r>
    </w:p>
    <w:p w14:paraId="3330F00D"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s-ES"/>
        </w:rPr>
        <w:t xml:space="preserve">ElTelégrafo. (17 de octubre del 2019). 216 clínicas para adictos, en fase de regularización. </w:t>
      </w:r>
      <w:hyperlink r:id="rId29" w:history="1">
        <w:r w:rsidRPr="00775AE5">
          <w:rPr>
            <w:rFonts w:ascii="Arial" w:hAnsi="Arial" w:cs="Arial"/>
            <w:noProof/>
            <w:lang w:val="es-ES"/>
          </w:rPr>
          <w:t>https://www.eltelegrafo.com.ec/noticias/judicial/12/216-clinicas-adiccion-regularizacion</w:t>
        </w:r>
      </w:hyperlink>
    </w:p>
    <w:p w14:paraId="1FA80296" w14:textId="50A03E54" w:rsidR="00935E1E" w:rsidRPr="00775AE5" w:rsidRDefault="00935E1E" w:rsidP="002C57F1">
      <w:pPr>
        <w:pStyle w:val="Bibliography"/>
        <w:spacing w:after="0"/>
        <w:ind w:left="720" w:hanging="720"/>
        <w:rPr>
          <w:rFonts w:ascii="Arial" w:hAnsi="Arial" w:cs="Arial"/>
          <w:noProof/>
          <w:lang w:val="es-ES"/>
        </w:rPr>
      </w:pPr>
      <w:r w:rsidRPr="00775AE5">
        <w:rPr>
          <w:rFonts w:ascii="Arial" w:hAnsi="Arial" w:cs="Arial"/>
          <w:noProof/>
          <w:lang w:val="es-ES"/>
        </w:rPr>
        <w:t xml:space="preserve">Fundación Mujer y Mujer. (2020). Informe de sociedad civil: situación de lesbianas, bisexuales y personas trans en la aplicación de los objetivos de desarrollo sostenible. </w:t>
      </w:r>
    </w:p>
    <w:p w14:paraId="0B77FEAD"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s-ES"/>
        </w:rPr>
        <w:t>Ley Orgánica Integral para prevenir y erradicar la violencia contra las mujeres</w:t>
      </w:r>
    </w:p>
    <w:p w14:paraId="1571DF95"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s-ES"/>
        </w:rPr>
        <w:t xml:space="preserve">Llerena Pinto, F.P. Llerena Pinto, M.C. El Embarazo en la preadolescencia. En inteligencia Económica para el Desarrollo. Quito: Económica CIC, Ecuador 2018 en </w:t>
      </w:r>
      <w:hyperlink r:id="rId30" w:history="1">
        <w:r w:rsidRPr="00775AE5">
          <w:rPr>
            <w:rFonts w:ascii="Arial" w:hAnsi="Arial" w:cs="Arial"/>
            <w:noProof/>
            <w:lang w:val="es-ES"/>
          </w:rPr>
          <w:t>http://www.ninasnomadres.org/alza-la-voz/wp-content/uploads/2020/07/fact-sheet-el-golpe.pdf</w:t>
        </w:r>
      </w:hyperlink>
    </w:p>
    <w:p w14:paraId="4C9B1B77" w14:textId="77777777" w:rsidR="00935E1E" w:rsidRPr="00775AE5" w:rsidRDefault="00935E1E" w:rsidP="00935E1E">
      <w:pPr>
        <w:pStyle w:val="Bibliography"/>
        <w:spacing w:after="0"/>
        <w:ind w:left="720" w:hanging="720"/>
        <w:rPr>
          <w:rFonts w:ascii="Arial" w:hAnsi="Arial" w:cs="Arial"/>
          <w:noProof/>
          <w:lang w:val="es-ES"/>
        </w:rPr>
      </w:pPr>
      <w:r w:rsidRPr="00775AE5">
        <w:rPr>
          <w:rFonts w:ascii="Arial" w:hAnsi="Arial" w:cs="Arial"/>
          <w:noProof/>
          <w:lang w:val="es-ES"/>
        </w:rPr>
        <w:t>Medida Cautelar, 17203-2018-07971 (Unidad Judicial de la Familia Mujer, Niñez y Adolescencia del Distrito Metropolitano de Quito Agosto 17, 2018).</w:t>
      </w:r>
    </w:p>
    <w:p w14:paraId="757970E1"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s-ES"/>
        </w:rPr>
        <w:t xml:space="preserve">MSP. (2020). Noticias. Recuperado el 14 de julio de 2020 de </w:t>
      </w:r>
      <w:hyperlink r:id="rId31" w:history="1">
        <w:r w:rsidRPr="00775AE5">
          <w:rPr>
            <w:rFonts w:ascii="Arial" w:hAnsi="Arial" w:cs="Arial"/>
            <w:noProof/>
            <w:lang w:val="es-ES"/>
          </w:rPr>
          <w:t>https://www.salud.gob.ec/3-regulacion-control-y-sancion-a-establecimientos/</w:t>
        </w:r>
      </w:hyperlink>
    </w:p>
    <w:p w14:paraId="4EEC60F9"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s-ES"/>
        </w:rPr>
        <w:t>OC-21/14, O. C. (2014). Derechos y Garantias de Niños y Niñas en el Contexto de la Migración y/o en Necesidad de Protección Internacional. San José: Corte Interamericana de Derechos Humanos.</w:t>
      </w:r>
    </w:p>
    <w:p w14:paraId="5D510666" w14:textId="77777777" w:rsidR="00935E1E" w:rsidRPr="00775AE5" w:rsidRDefault="00935E1E" w:rsidP="00935E1E">
      <w:pPr>
        <w:pStyle w:val="Bibliography"/>
        <w:spacing w:after="0"/>
        <w:ind w:left="720" w:hanging="720"/>
        <w:rPr>
          <w:rFonts w:ascii="Arial" w:hAnsi="Arial" w:cs="Arial"/>
          <w:noProof/>
          <w:lang w:val="es-ES"/>
        </w:rPr>
      </w:pPr>
      <w:r w:rsidRPr="00775AE5">
        <w:rPr>
          <w:rFonts w:ascii="Arial" w:hAnsi="Arial" w:cs="Arial"/>
          <w:noProof/>
          <w:lang w:val="es-ES"/>
        </w:rPr>
        <w:t>OIM, D. (2019). Monitoreo de Flujo de Población Venezonala. Quito: Organización Internacional para las Migraciones.</w:t>
      </w:r>
    </w:p>
    <w:p w14:paraId="086F5E03"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s-ES"/>
        </w:rPr>
        <w:t>PACTA. (2019). Plan de Acción contra la Trata de personas 2019-2030. Quito: Ministerio de Gobierno.</w:t>
      </w:r>
    </w:p>
    <w:p w14:paraId="33763C3B"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s-ES"/>
        </w:rPr>
        <w:t>Plan Nacional para la Prevención y Erradicación de la Violencia contra las Mujeres</w:t>
      </w:r>
    </w:p>
    <w:p w14:paraId="59F1848A"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s-ES"/>
        </w:rPr>
        <w:t>R.O.55. (2017). Suplemento Registro Oficial No. 55. Quito: Editorial Nacional.</w:t>
      </w:r>
    </w:p>
    <w:p w14:paraId="21768B8F"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s-ES"/>
        </w:rPr>
        <w:t>R.O.938. (2017). Suplemento Registro Oficial No. 938. Quito: Editorial Nacional.</w:t>
      </w:r>
    </w:p>
    <w:p w14:paraId="5BD4B63A" w14:textId="77777777" w:rsidR="00935E1E" w:rsidRPr="00775AE5" w:rsidRDefault="00935E1E" w:rsidP="00935E1E">
      <w:pPr>
        <w:pStyle w:val="Bibliography"/>
        <w:spacing w:after="0"/>
        <w:ind w:left="720" w:hanging="720"/>
        <w:rPr>
          <w:rFonts w:ascii="Arial" w:hAnsi="Arial" w:cs="Arial"/>
          <w:noProof/>
          <w:lang w:val="es-ES"/>
        </w:rPr>
      </w:pPr>
      <w:r w:rsidRPr="00775AE5">
        <w:rPr>
          <w:rFonts w:ascii="Arial" w:hAnsi="Arial" w:cs="Arial"/>
          <w:noProof/>
          <w:lang w:val="es-ES"/>
        </w:rPr>
        <w:t>R.O.No.133. (2003). Convención internacional sobre la proteccion de los derechos de todos los trabajadores migratorios y sus familias. Quito.</w:t>
      </w:r>
    </w:p>
    <w:p w14:paraId="0A5FC1A4"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s-ES"/>
        </w:rPr>
        <w:t>Reglamento a Ley Orgánica Integral para prevenir y erradicar la violencia contra las mujeres</w:t>
      </w:r>
    </w:p>
    <w:p w14:paraId="169459A4"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n-US"/>
        </w:rPr>
        <w:t xml:space="preserve">Report, T. (2020). Traffickingin Persons Report 20th Edition. </w:t>
      </w:r>
      <w:r w:rsidRPr="00775AE5">
        <w:rPr>
          <w:rFonts w:ascii="Arial" w:hAnsi="Arial" w:cs="Arial"/>
          <w:noProof/>
          <w:lang w:val="es-ES"/>
        </w:rPr>
        <w:t>Washington: Department of State.</w:t>
      </w:r>
    </w:p>
    <w:p w14:paraId="543FB0BC"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s-ES"/>
        </w:rPr>
        <w:t>Repuesta enviada desde la DPE al Consejo de Protección de Derechos del D.M. de Quito</w:t>
      </w:r>
    </w:p>
    <w:p w14:paraId="2A6BF311" w14:textId="77777777" w:rsidR="00935E1E" w:rsidRPr="00775AE5" w:rsidRDefault="00935E1E" w:rsidP="00390DF2">
      <w:pPr>
        <w:pStyle w:val="Bibliography"/>
        <w:spacing w:after="0"/>
        <w:ind w:left="720" w:hanging="720"/>
        <w:rPr>
          <w:rFonts w:ascii="Arial" w:hAnsi="Arial" w:cs="Arial"/>
          <w:noProof/>
          <w:lang w:val="es-ES"/>
        </w:rPr>
      </w:pPr>
      <w:r w:rsidRPr="00775AE5">
        <w:rPr>
          <w:rFonts w:ascii="Arial" w:hAnsi="Arial" w:cs="Arial"/>
          <w:noProof/>
          <w:lang w:val="es-ES"/>
        </w:rPr>
        <w:t xml:space="preserve">Son Niñas no Madres, Son Niñas: Violaciones a los Derechos Reproductivos en América Latina y el Caribe, disponible en </w:t>
      </w:r>
      <w:hyperlink r:id="rId32" w:history="1">
        <w:r w:rsidRPr="00775AE5">
          <w:rPr>
            <w:rFonts w:ascii="Arial" w:hAnsi="Arial" w:cs="Arial"/>
            <w:noProof/>
            <w:lang w:val="es-ES"/>
          </w:rPr>
          <w:t>http://www.ninasnomadres.org/alza-la-voz/wp-content/uploads/2020/07/fact-sheet-el-golpe.pdf</w:t>
        </w:r>
      </w:hyperlink>
    </w:p>
    <w:p w14:paraId="0326AFD7" w14:textId="71DD3EFD" w:rsidR="00192DD9" w:rsidRPr="00775AE5" w:rsidRDefault="00935E1E" w:rsidP="002C57F1">
      <w:pPr>
        <w:pStyle w:val="Bibliography"/>
        <w:spacing w:after="0"/>
        <w:ind w:left="720" w:hanging="720"/>
        <w:rPr>
          <w:rFonts w:ascii="Arial" w:hAnsi="Arial" w:cs="Arial"/>
          <w:lang w:val="es-ES"/>
        </w:rPr>
      </w:pPr>
      <w:r w:rsidRPr="00775AE5">
        <w:rPr>
          <w:rFonts w:ascii="Arial" w:hAnsi="Arial" w:cs="Arial"/>
          <w:noProof/>
          <w:lang w:val="es-ES"/>
        </w:rPr>
        <w:t>Taller de Comunicación Mujer. (2019). Terapias de Deshomosexualización en Ecuador.  Editorial Corporación Promoción de la Mujer/ Taller de Comunicación Mujer.</w:t>
      </w:r>
    </w:p>
    <w:p w14:paraId="7E3489F8" w14:textId="77777777" w:rsidR="003D63DF" w:rsidRPr="00775AE5" w:rsidRDefault="003D63DF" w:rsidP="00390DF2">
      <w:pPr>
        <w:numPr>
          <w:ilvl w:val="12"/>
          <w:numId w:val="0"/>
        </w:numPr>
        <w:spacing w:line="276" w:lineRule="auto"/>
        <w:ind w:firstLine="720"/>
        <w:rPr>
          <w:rFonts w:ascii="Arial" w:hAnsi="Arial" w:cs="Arial"/>
          <w:sz w:val="22"/>
          <w:szCs w:val="22"/>
          <w:lang w:val="es-ES"/>
        </w:rPr>
      </w:pPr>
    </w:p>
    <w:p w14:paraId="409DD825" w14:textId="77777777" w:rsidR="00436322" w:rsidRPr="00775AE5" w:rsidRDefault="00436322" w:rsidP="00390DF2">
      <w:pPr>
        <w:numPr>
          <w:ilvl w:val="12"/>
          <w:numId w:val="0"/>
        </w:numPr>
        <w:spacing w:line="276" w:lineRule="auto"/>
        <w:ind w:firstLine="720"/>
        <w:rPr>
          <w:rFonts w:ascii="Arial" w:hAnsi="Arial" w:cs="Arial"/>
          <w:sz w:val="22"/>
          <w:szCs w:val="22"/>
          <w:lang w:val="es-ES"/>
        </w:rPr>
      </w:pPr>
    </w:p>
    <w:p w14:paraId="0279E753" w14:textId="77777777" w:rsidR="00436322" w:rsidRPr="00775AE5" w:rsidRDefault="00436322" w:rsidP="00390DF2">
      <w:pPr>
        <w:numPr>
          <w:ilvl w:val="12"/>
          <w:numId w:val="0"/>
        </w:numPr>
        <w:spacing w:line="276" w:lineRule="auto"/>
        <w:ind w:firstLine="720"/>
        <w:rPr>
          <w:rFonts w:ascii="Arial" w:hAnsi="Arial" w:cs="Arial"/>
          <w:sz w:val="22"/>
          <w:szCs w:val="22"/>
          <w:lang w:val="es-ES"/>
        </w:rPr>
      </w:pPr>
    </w:p>
    <w:p w14:paraId="19AC1380" w14:textId="77777777" w:rsidR="00FA303A" w:rsidRPr="00775AE5" w:rsidRDefault="00FA303A" w:rsidP="00390DF2">
      <w:pPr>
        <w:numPr>
          <w:ilvl w:val="12"/>
          <w:numId w:val="0"/>
        </w:numPr>
        <w:spacing w:line="276" w:lineRule="auto"/>
        <w:ind w:firstLine="720"/>
        <w:rPr>
          <w:rFonts w:ascii="Arial" w:hAnsi="Arial" w:cs="Arial"/>
          <w:sz w:val="22"/>
          <w:szCs w:val="22"/>
          <w:lang w:val="es-ES"/>
        </w:rPr>
      </w:pPr>
    </w:p>
    <w:sectPr w:rsidR="00FA303A" w:rsidRPr="00775AE5" w:rsidSect="0080333A">
      <w:headerReference w:type="even" r:id="rId33"/>
      <w:headerReference w:type="default" r:id="rId34"/>
      <w:pgSz w:w="12242" w:h="15842" w:code="1"/>
      <w:pgMar w:top="1440" w:right="1440" w:bottom="1440" w:left="1440" w:header="709" w:footer="6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C255D" w14:textId="77777777" w:rsidR="00952616" w:rsidRDefault="00952616">
      <w:r>
        <w:separator/>
      </w:r>
    </w:p>
    <w:p w14:paraId="41D22DBD" w14:textId="77777777" w:rsidR="00952616" w:rsidRDefault="00952616"/>
    <w:p w14:paraId="3731740B" w14:textId="77777777" w:rsidR="00952616" w:rsidRDefault="00952616"/>
  </w:endnote>
  <w:endnote w:type="continuationSeparator" w:id="0">
    <w:p w14:paraId="77AF7DD9" w14:textId="77777777" w:rsidR="00952616" w:rsidRDefault="00952616">
      <w:r>
        <w:continuationSeparator/>
      </w:r>
    </w:p>
    <w:p w14:paraId="227BD7DC" w14:textId="77777777" w:rsidR="00952616" w:rsidRDefault="00952616"/>
    <w:p w14:paraId="0414C74D" w14:textId="77777777" w:rsidR="00952616" w:rsidRDefault="009526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charset w:val="00"/>
    <w:family w:val="swiss"/>
    <w:pitch w:val="variable"/>
    <w:sig w:usb0="E7000EFF" w:usb1="5200F5FF" w:usb2="0A042021"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ohit Hindi">
    <w:altName w:val="Times New Roman"/>
    <w:panose1 w:val="00000000000000000000"/>
    <w:charset w:val="00"/>
    <w:family w:val="roman"/>
    <w:notTrueType/>
    <w:pitch w:val="default"/>
  </w:font>
  <w:font w:name="font292">
    <w:altName w:val="Arial Unicode MS"/>
    <w:charset w:val="00"/>
    <w:family w:val="auto"/>
    <w:pitch w:val="default"/>
    <w:sig w:usb0="00000000" w:usb1="00000000" w:usb2="00000000" w:usb3="00000000" w:csb0="0004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Liberation Serif">
    <w:altName w:val="MS PMincho"/>
    <w:charset w:val="80"/>
    <w:family w:val="roman"/>
    <w:pitch w:val="variable"/>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0135391"/>
      <w:docPartObj>
        <w:docPartGallery w:val="Page Numbers (Bottom of Page)"/>
        <w:docPartUnique/>
      </w:docPartObj>
    </w:sdtPr>
    <w:sdtEndPr/>
    <w:sdtContent>
      <w:p w14:paraId="08FD6BF3" w14:textId="0CA6A29F" w:rsidR="0080333A" w:rsidRDefault="0080333A">
        <w:pPr>
          <w:pStyle w:val="Footer"/>
          <w:jc w:val="center"/>
        </w:pPr>
        <w:r>
          <w:fldChar w:fldCharType="begin"/>
        </w:r>
        <w:r>
          <w:instrText>PAGE   \* MERGEFORMAT</w:instrText>
        </w:r>
        <w:r>
          <w:fldChar w:fldCharType="separate"/>
        </w:r>
        <w:r w:rsidR="00DE4A3F" w:rsidRPr="00DE4A3F">
          <w:rPr>
            <w:noProof/>
            <w:lang w:val="es-ES"/>
          </w:rPr>
          <w:t>44</w:t>
        </w:r>
        <w:r>
          <w:fldChar w:fldCharType="end"/>
        </w:r>
      </w:p>
    </w:sdtContent>
  </w:sdt>
  <w:p w14:paraId="67D40FA2" w14:textId="77777777" w:rsidR="0080333A" w:rsidRDefault="008033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3205328"/>
      <w:docPartObj>
        <w:docPartGallery w:val="Page Numbers (Bottom of Page)"/>
        <w:docPartUnique/>
      </w:docPartObj>
    </w:sdtPr>
    <w:sdtEndPr/>
    <w:sdtContent>
      <w:p w14:paraId="4BD473AE" w14:textId="77777777" w:rsidR="0080333A" w:rsidRDefault="0080333A">
        <w:pPr>
          <w:pStyle w:val="Footer"/>
          <w:jc w:val="center"/>
        </w:pPr>
        <w:r>
          <w:fldChar w:fldCharType="begin"/>
        </w:r>
        <w:r>
          <w:instrText>PAGE   \* MERGEFORMAT</w:instrText>
        </w:r>
        <w:r>
          <w:fldChar w:fldCharType="separate"/>
        </w:r>
        <w:r w:rsidR="00DE4A3F" w:rsidRPr="00DE4A3F">
          <w:rPr>
            <w:noProof/>
            <w:lang w:val="es-ES"/>
          </w:rPr>
          <w:t>154</w:t>
        </w:r>
        <w:r>
          <w:fldChar w:fldCharType="end"/>
        </w:r>
      </w:p>
    </w:sdtContent>
  </w:sdt>
  <w:p w14:paraId="3066B7CC" w14:textId="77777777" w:rsidR="0080333A" w:rsidRDefault="008033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3C4D5" w14:textId="77777777" w:rsidR="00952616" w:rsidRDefault="00952616">
      <w:r>
        <w:separator/>
      </w:r>
    </w:p>
    <w:p w14:paraId="1B1309A1" w14:textId="77777777" w:rsidR="00952616" w:rsidRDefault="00952616"/>
    <w:p w14:paraId="44652EB1" w14:textId="77777777" w:rsidR="00952616" w:rsidRDefault="00952616"/>
  </w:footnote>
  <w:footnote w:type="continuationSeparator" w:id="0">
    <w:p w14:paraId="0BB0761A" w14:textId="77777777" w:rsidR="00952616" w:rsidRDefault="00952616">
      <w:r>
        <w:continuationSeparator/>
      </w:r>
    </w:p>
    <w:p w14:paraId="0BAF8B4E" w14:textId="77777777" w:rsidR="00952616" w:rsidRDefault="00952616"/>
    <w:p w14:paraId="687FEA3A" w14:textId="77777777" w:rsidR="00952616" w:rsidRDefault="00952616"/>
  </w:footnote>
  <w:footnote w:id="1">
    <w:p w14:paraId="60DE6A45" w14:textId="77777777" w:rsidR="00705AA5" w:rsidRPr="0066483F" w:rsidRDefault="00705AA5" w:rsidP="0034726C">
      <w:pPr>
        <w:pStyle w:val="FootnoteText"/>
        <w:rPr>
          <w:rFonts w:ascii="Times New Roman" w:hAnsi="Times New Roman"/>
          <w:color w:val="0000FF"/>
          <w:u w:val="single"/>
        </w:rPr>
      </w:pPr>
      <w:r>
        <w:rPr>
          <w:rStyle w:val="FootnoteReference"/>
        </w:rPr>
        <w:footnoteRef/>
      </w:r>
      <w:r>
        <w:t xml:space="preserve"> </w:t>
      </w:r>
      <w:hyperlink r:id="rId1" w:history="1">
        <w:r w:rsidRPr="0066483F">
          <w:rPr>
            <w:rStyle w:val="Hyperlink"/>
            <w:rFonts w:ascii="Times New Roman" w:hAnsi="Times New Roman"/>
          </w:rPr>
          <w:t>https://www.elcomercio.com/tendencias/polemica-cambios-ley-violencia-mujer.html</w:t>
        </w:r>
      </w:hyperlink>
    </w:p>
  </w:footnote>
  <w:footnote w:id="2">
    <w:p w14:paraId="4F9FC078" w14:textId="77777777" w:rsidR="00705AA5" w:rsidRPr="00D64745" w:rsidRDefault="00705AA5" w:rsidP="0034726C">
      <w:pPr>
        <w:pStyle w:val="FootnoteText"/>
        <w:rPr>
          <w:lang w:val="es-MX"/>
        </w:rPr>
      </w:pPr>
      <w:r w:rsidRPr="0066483F">
        <w:rPr>
          <w:rStyle w:val="FootnoteReference"/>
          <w:rFonts w:ascii="Times New Roman" w:hAnsi="Times New Roman"/>
        </w:rPr>
        <w:footnoteRef/>
      </w:r>
      <w:r w:rsidRPr="0066483F">
        <w:rPr>
          <w:rFonts w:ascii="Times New Roman" w:hAnsi="Times New Roman"/>
        </w:rPr>
        <w:t xml:space="preserve"> </w:t>
      </w:r>
      <w:hyperlink r:id="rId2" w:history="1">
        <w:r w:rsidRPr="0066483F">
          <w:rPr>
            <w:rStyle w:val="Hyperlink"/>
            <w:rFonts w:ascii="Times New Roman" w:hAnsi="Times New Roman"/>
          </w:rPr>
          <w:t>https://www.redinnovacion.org/articulo/se-reconsidera-la-ley-en-contra-de-la-violencia-de-g%C3%A9nero-propuesta-en-ecuador</w:t>
        </w:r>
      </w:hyperlink>
    </w:p>
  </w:footnote>
  <w:footnote w:id="3">
    <w:p w14:paraId="3EA7888C" w14:textId="77777777" w:rsidR="00705AA5" w:rsidRDefault="00705AA5" w:rsidP="006C742E">
      <w:pPr>
        <w:pStyle w:val="FootnoteText"/>
        <w:ind w:left="1416" w:hanging="1416"/>
        <w:jc w:val="both"/>
        <w:rPr>
          <w:rFonts w:ascii="Times New Roman" w:hAnsi="Times New Roman"/>
        </w:rPr>
      </w:pPr>
    </w:p>
    <w:p w14:paraId="3C2E2B3E" w14:textId="77777777" w:rsidR="00705AA5" w:rsidRPr="00282BE1" w:rsidRDefault="00705AA5" w:rsidP="006C742E">
      <w:pPr>
        <w:pStyle w:val="FootnoteText"/>
        <w:rPr>
          <w:rFonts w:ascii="Times New Roman" w:hAnsi="Times New Roman"/>
          <w:lang w:val="es-MX"/>
        </w:rPr>
      </w:pPr>
      <w:r w:rsidRPr="00282BE1">
        <w:rPr>
          <w:rStyle w:val="FootnoteReference"/>
          <w:rFonts w:ascii="Times New Roman" w:hAnsi="Times New Roman"/>
        </w:rPr>
        <w:footnoteRef/>
      </w:r>
      <w:hyperlink r:id="rId3" w:history="1">
        <w:r w:rsidRPr="00335C5F">
          <w:rPr>
            <w:rStyle w:val="Hyperlink"/>
            <w:rFonts w:ascii="Times New Roman" w:hAnsi="Times New Roman"/>
          </w:rPr>
          <w:t>https://www.finanzas.gob.ec/wp-content/uploads/downloads/2019/07/Directrices-Proforma-2020-y-PPC-2020-2023-V10-15-7-2019-public.-1.pdf</w:t>
        </w:r>
      </w:hyperlink>
      <w:r w:rsidRPr="00282BE1">
        <w:rPr>
          <w:rFonts w:ascii="Times New Roman" w:hAnsi="Times New Roman"/>
        </w:rPr>
        <w:t xml:space="preserve">,      </w:t>
      </w:r>
      <w:hyperlink r:id="rId4" w:history="1">
        <w:r w:rsidRPr="00282BE1">
          <w:rPr>
            <w:rStyle w:val="Hyperlink"/>
            <w:rFonts w:ascii="Times New Roman" w:hAnsi="Times New Roman"/>
          </w:rPr>
          <w:t>https://www.finanzas.gob.ec/wp-content/uploads/downloads/2018/07/DIRECTRICES-PARA-LA-ELABORACION-DE-LA-PROFORMA-DEL-PGE.compressed.pdf</w:t>
        </w:r>
      </w:hyperlink>
    </w:p>
  </w:footnote>
  <w:footnote w:id="4">
    <w:p w14:paraId="523DAED5" w14:textId="77777777" w:rsidR="00BA3792" w:rsidRPr="00586663" w:rsidRDefault="00BA3792" w:rsidP="00BA3792">
      <w:pPr>
        <w:pStyle w:val="FootnoteText"/>
        <w:contextualSpacing/>
        <w:jc w:val="both"/>
        <w:rPr>
          <w:rFonts w:ascii="Times New Roman" w:hAnsi="Times New Roman"/>
          <w:szCs w:val="18"/>
          <w:lang w:val="es-MX"/>
        </w:rPr>
      </w:pPr>
      <w:r w:rsidRPr="00586663">
        <w:rPr>
          <w:rStyle w:val="FootnoteReference"/>
          <w:rFonts w:ascii="Times New Roman" w:hAnsi="Times New Roman"/>
          <w:szCs w:val="18"/>
        </w:rPr>
        <w:footnoteRef/>
      </w:r>
      <w:r w:rsidRPr="00586663">
        <w:rPr>
          <w:rFonts w:ascii="Times New Roman" w:hAnsi="Times New Roman"/>
          <w:szCs w:val="18"/>
        </w:rPr>
        <w:t xml:space="preserve">Ecuador, Comisión de la Verdad, Informe Final </w:t>
      </w:r>
      <w:r w:rsidRPr="00586663">
        <w:rPr>
          <w:rFonts w:ascii="Times New Roman" w:hAnsi="Times New Roman"/>
          <w:i/>
          <w:szCs w:val="18"/>
        </w:rPr>
        <w:t>“Sin Verdad No Hay Justicia”</w:t>
      </w:r>
      <w:r w:rsidRPr="00586663">
        <w:rPr>
          <w:rFonts w:ascii="Times New Roman" w:hAnsi="Times New Roman"/>
          <w:szCs w:val="18"/>
        </w:rPr>
        <w:t>, Resumen Ejecutivo,</w:t>
      </w:r>
      <w:r w:rsidRPr="00586663">
        <w:rPr>
          <w:rFonts w:ascii="Times New Roman" w:hAnsi="Times New Roman"/>
          <w:szCs w:val="18"/>
          <w:lang w:val="es-MX"/>
        </w:rPr>
        <w:t xml:space="preserve"> </w:t>
      </w:r>
      <w:r w:rsidRPr="00586663">
        <w:rPr>
          <w:rFonts w:ascii="Times New Roman" w:hAnsi="Times New Roman"/>
          <w:szCs w:val="18"/>
        </w:rPr>
        <w:t xml:space="preserve">página 23.  </w:t>
      </w:r>
    </w:p>
  </w:footnote>
  <w:footnote w:id="5">
    <w:p w14:paraId="2368FBE5" w14:textId="77777777" w:rsidR="00F367C6" w:rsidRPr="00A72E6A" w:rsidRDefault="00F367C6" w:rsidP="00F367C6">
      <w:pPr>
        <w:jc w:val="both"/>
        <w:rPr>
          <w:color w:val="000000"/>
          <w:sz w:val="20"/>
          <w:szCs w:val="20"/>
          <w:lang w:val="es-ES"/>
        </w:rPr>
      </w:pPr>
      <w:r w:rsidRPr="00A72E6A">
        <w:rPr>
          <w:sz w:val="20"/>
          <w:szCs w:val="20"/>
          <w:vertAlign w:val="superscript"/>
          <w:lang w:val="es-ES"/>
        </w:rPr>
        <w:footnoteRef/>
      </w:r>
      <w:r w:rsidRPr="00A72E6A">
        <w:rPr>
          <w:color w:val="000000"/>
          <w:sz w:val="20"/>
          <w:szCs w:val="20"/>
          <w:lang w:val="es-ES"/>
        </w:rPr>
        <w:t>Ecuador, Ley para la Reparación de las Víctimas y la Judicialización de Graves Violaciones de Derechos Humanos y Delitos de Lesa Humanidad ocurridos en el Ecuador entre el 4 de octubre de 1983 y el 31 de diciembre de 2008, Registro Oficial Suplemento 143 (13 de diciembre de 2013), Capítulo II “Medidas para la Reparación de las Víctimas”, artículo 9.</w:t>
      </w:r>
    </w:p>
  </w:footnote>
  <w:footnote w:id="6">
    <w:p w14:paraId="0D9443DB" w14:textId="77777777" w:rsidR="00F367C6" w:rsidRPr="00A72E6A" w:rsidRDefault="00F367C6" w:rsidP="00F367C6">
      <w:pPr>
        <w:jc w:val="both"/>
        <w:rPr>
          <w:color w:val="000000"/>
          <w:sz w:val="20"/>
          <w:szCs w:val="20"/>
          <w:lang w:val="es-ES"/>
        </w:rPr>
      </w:pPr>
      <w:r w:rsidRPr="00A72E6A">
        <w:rPr>
          <w:sz w:val="20"/>
          <w:szCs w:val="20"/>
          <w:vertAlign w:val="superscript"/>
          <w:lang w:val="es-ES"/>
        </w:rPr>
        <w:footnoteRef/>
      </w:r>
      <w:r w:rsidRPr="00A72E6A">
        <w:rPr>
          <w:color w:val="000000"/>
          <w:sz w:val="20"/>
          <w:szCs w:val="20"/>
          <w:lang w:val="es-ES"/>
        </w:rPr>
        <w:t>Ecuador, Defensoría del Pueblo, Resolución Nª 198 – DPE – CGAJ –2014 (13 de noviembre de 2014), artículos 11 y 20.</w:t>
      </w:r>
    </w:p>
  </w:footnote>
  <w:footnote w:id="7">
    <w:p w14:paraId="0BFBDCDD" w14:textId="77777777" w:rsidR="00F367C6" w:rsidRPr="00A72E6A" w:rsidRDefault="00F367C6" w:rsidP="00F367C6">
      <w:pPr>
        <w:jc w:val="both"/>
        <w:rPr>
          <w:color w:val="000000"/>
          <w:sz w:val="20"/>
          <w:szCs w:val="20"/>
          <w:lang w:val="es-ES"/>
        </w:rPr>
      </w:pPr>
      <w:r w:rsidRPr="00A72E6A">
        <w:rPr>
          <w:sz w:val="20"/>
          <w:szCs w:val="20"/>
          <w:vertAlign w:val="superscript"/>
          <w:lang w:val="es-ES"/>
        </w:rPr>
        <w:footnoteRef/>
      </w:r>
      <w:r w:rsidRPr="00A72E6A">
        <w:rPr>
          <w:color w:val="000000"/>
          <w:sz w:val="20"/>
          <w:szCs w:val="20"/>
          <w:lang w:val="es-ES"/>
        </w:rPr>
        <w:t>Ecuador, Defensoría del Pueblo, Resolución Nª 198 – DPE – CGAJ –2014 (13 de noviembre de 2014), artículos 6 y 13.</w:t>
      </w:r>
    </w:p>
  </w:footnote>
  <w:footnote w:id="8">
    <w:p w14:paraId="5854B585" w14:textId="77777777" w:rsidR="00705AA5" w:rsidRPr="00A72E6A" w:rsidRDefault="00705AA5" w:rsidP="00A72E6A">
      <w:pPr>
        <w:jc w:val="both"/>
        <w:rPr>
          <w:color w:val="000000"/>
          <w:sz w:val="20"/>
          <w:szCs w:val="20"/>
          <w:lang w:val="es-ES"/>
        </w:rPr>
      </w:pPr>
      <w:r w:rsidRPr="00A72E6A">
        <w:rPr>
          <w:sz w:val="20"/>
          <w:szCs w:val="20"/>
          <w:vertAlign w:val="superscript"/>
          <w:lang w:val="es-ES"/>
        </w:rPr>
        <w:footnoteRef/>
      </w:r>
      <w:r w:rsidRPr="00A72E6A">
        <w:rPr>
          <w:color w:val="000000"/>
          <w:sz w:val="20"/>
          <w:szCs w:val="20"/>
          <w:lang w:val="es-ES"/>
        </w:rPr>
        <w:t>Ecuador, Ley para la Reparación de las Víctimas y la Judicialización de Graves Violaciones de Derechos Humanos y Delitos de Lesa Humanidad ocurridos en el Ecuador entre el 4 de octubre de 1983 y el 31 de diciembre de 2008, Registro Oficial Suplemento 143 (13 de diciembre de 2013), Capítulo II “Medidas para la Reparación de las Víctimas”, artículo 9.</w:t>
      </w:r>
    </w:p>
  </w:footnote>
  <w:footnote w:id="9">
    <w:p w14:paraId="44C481BD" w14:textId="77777777" w:rsidR="00705AA5" w:rsidRPr="00493B87" w:rsidRDefault="00705AA5" w:rsidP="00493B87">
      <w:pPr>
        <w:pBdr>
          <w:top w:val="nil"/>
          <w:left w:val="nil"/>
          <w:bottom w:val="nil"/>
          <w:right w:val="nil"/>
          <w:between w:val="nil"/>
        </w:pBdr>
        <w:contextualSpacing/>
        <w:rPr>
          <w:color w:val="000000"/>
          <w:sz w:val="20"/>
          <w:szCs w:val="20"/>
          <w:lang w:val="es-ES"/>
        </w:rPr>
      </w:pPr>
      <w:r w:rsidRPr="00493B87">
        <w:rPr>
          <w:sz w:val="20"/>
          <w:szCs w:val="20"/>
          <w:vertAlign w:val="superscript"/>
          <w:lang w:val="es-ES"/>
        </w:rPr>
        <w:footnoteRef/>
      </w:r>
      <w:r w:rsidRPr="00493B87">
        <w:rPr>
          <w:color w:val="000000"/>
          <w:sz w:val="20"/>
          <w:szCs w:val="20"/>
          <w:lang w:val="es-ES"/>
        </w:rPr>
        <w:t>Corte Interamericana de Derechos Humanos, Caso Vásquez Durand y Otros Vs. Ecuador, Sentencia Excepciones Preliminares, Fondo, Reparaciones y Costas, 15 de febrero de 2017, párrafo 224.</w:t>
      </w:r>
    </w:p>
  </w:footnote>
  <w:footnote w:id="10">
    <w:p w14:paraId="41B20202" w14:textId="77777777" w:rsidR="00705AA5" w:rsidRPr="00493B87" w:rsidRDefault="00705AA5" w:rsidP="00493B87">
      <w:pPr>
        <w:pBdr>
          <w:top w:val="nil"/>
          <w:left w:val="nil"/>
          <w:bottom w:val="nil"/>
          <w:right w:val="nil"/>
          <w:between w:val="nil"/>
        </w:pBdr>
        <w:contextualSpacing/>
        <w:rPr>
          <w:color w:val="000000"/>
          <w:sz w:val="20"/>
          <w:szCs w:val="20"/>
          <w:lang w:val="es-ES"/>
        </w:rPr>
      </w:pPr>
      <w:r w:rsidRPr="00493B87">
        <w:rPr>
          <w:sz w:val="20"/>
          <w:szCs w:val="20"/>
          <w:vertAlign w:val="superscript"/>
          <w:lang w:val="es-ES"/>
        </w:rPr>
        <w:footnoteRef/>
      </w:r>
      <w:r w:rsidRPr="00493B87">
        <w:rPr>
          <w:color w:val="000000"/>
          <w:sz w:val="20"/>
          <w:szCs w:val="20"/>
          <w:lang w:val="es-ES"/>
        </w:rPr>
        <w:t xml:space="preserve">Comité de Derechos Humanos, Observaciones Finales Sobre el Sexto Informe Periódico del Ecuador, 11 julio 2016, página 4.  </w:t>
      </w:r>
    </w:p>
  </w:footnote>
  <w:footnote w:id="11">
    <w:p w14:paraId="6503D21A" w14:textId="77777777" w:rsidR="00D43957" w:rsidRPr="00493B87" w:rsidRDefault="00D43957" w:rsidP="00D43957">
      <w:pPr>
        <w:pStyle w:val="FootnoteText"/>
        <w:contextualSpacing/>
        <w:rPr>
          <w:rFonts w:ascii="Times New Roman" w:hAnsi="Times New Roman"/>
          <w:lang w:val="es-MX"/>
        </w:rPr>
      </w:pPr>
      <w:r w:rsidRPr="00493B87">
        <w:rPr>
          <w:rStyle w:val="FootnoteReference"/>
          <w:rFonts w:ascii="Times New Roman" w:hAnsi="Times New Roman"/>
        </w:rPr>
        <w:footnoteRef/>
      </w:r>
      <w:r w:rsidRPr="00493B87">
        <w:rPr>
          <w:rFonts w:ascii="Times New Roman" w:hAnsi="Times New Roman"/>
          <w:color w:val="000000"/>
          <w:szCs w:val="18"/>
        </w:rPr>
        <w:t xml:space="preserve">Ecuador, </w:t>
      </w:r>
      <w:r w:rsidRPr="00493B87">
        <w:rPr>
          <w:rFonts w:ascii="Times New Roman" w:hAnsi="Times New Roman"/>
          <w:color w:val="000000"/>
          <w:szCs w:val="18"/>
          <w:lang w:val="es-MX"/>
        </w:rPr>
        <w:t>Secretaría de Derechos Humanos</w:t>
      </w:r>
      <w:r w:rsidRPr="00493B87">
        <w:rPr>
          <w:rFonts w:ascii="Times New Roman" w:hAnsi="Times New Roman"/>
          <w:color w:val="000000"/>
          <w:szCs w:val="18"/>
        </w:rPr>
        <w:t xml:space="preserve">, Resolución SDH – SDH – 2019 – 0013 – R (13 de </w:t>
      </w:r>
      <w:r w:rsidRPr="00493B87">
        <w:rPr>
          <w:rFonts w:ascii="Times New Roman" w:hAnsi="Times New Roman"/>
          <w:color w:val="000000"/>
          <w:szCs w:val="18"/>
          <w:lang w:val="es-MX"/>
        </w:rPr>
        <w:t xml:space="preserve">agosto </w:t>
      </w:r>
      <w:r w:rsidRPr="00493B87">
        <w:rPr>
          <w:rFonts w:ascii="Times New Roman" w:hAnsi="Times New Roman"/>
          <w:color w:val="000000"/>
          <w:szCs w:val="18"/>
        </w:rPr>
        <w:t>de 201</w:t>
      </w:r>
      <w:r w:rsidRPr="00493B87">
        <w:rPr>
          <w:rFonts w:ascii="Times New Roman" w:hAnsi="Times New Roman"/>
          <w:color w:val="000000"/>
          <w:szCs w:val="18"/>
          <w:lang w:val="es-MX"/>
        </w:rPr>
        <w:t>9</w:t>
      </w:r>
      <w:r w:rsidRPr="00493B87">
        <w:rPr>
          <w:rFonts w:ascii="Times New Roman" w:hAnsi="Times New Roman"/>
          <w:color w:val="000000"/>
          <w:szCs w:val="18"/>
        </w:rPr>
        <w:t>), artículo</w:t>
      </w:r>
      <w:r w:rsidRPr="00493B87">
        <w:rPr>
          <w:rFonts w:ascii="Times New Roman" w:hAnsi="Times New Roman"/>
          <w:color w:val="000000"/>
          <w:szCs w:val="18"/>
          <w:lang w:val="es-MX"/>
        </w:rPr>
        <w:t xml:space="preserve"> </w:t>
      </w:r>
      <w:r w:rsidRPr="00493B87">
        <w:rPr>
          <w:rFonts w:ascii="Times New Roman" w:hAnsi="Times New Roman"/>
          <w:color w:val="000000"/>
          <w:szCs w:val="18"/>
        </w:rPr>
        <w:t>1</w:t>
      </w:r>
      <w:r w:rsidRPr="00493B87">
        <w:rPr>
          <w:rFonts w:ascii="Times New Roman" w:hAnsi="Times New Roman"/>
          <w:color w:val="000000"/>
          <w:szCs w:val="18"/>
          <w:lang w:val="es-MX"/>
        </w:rPr>
        <w:t>5</w:t>
      </w:r>
      <w:r w:rsidRPr="00493B87">
        <w:rPr>
          <w:rFonts w:ascii="Times New Roman" w:hAnsi="Times New Roman"/>
          <w:color w:val="000000"/>
          <w:szCs w:val="18"/>
        </w:rPr>
        <w:t>.</w:t>
      </w:r>
      <w:r w:rsidRPr="00493B87">
        <w:rPr>
          <w:rFonts w:ascii="Times New Roman" w:hAnsi="Times New Roman"/>
        </w:rPr>
        <w:t xml:space="preserve"> </w:t>
      </w:r>
    </w:p>
  </w:footnote>
  <w:footnote w:id="12">
    <w:p w14:paraId="5EA0254E" w14:textId="77777777" w:rsidR="000C2561" w:rsidRPr="006B3E1B" w:rsidRDefault="000C2561" w:rsidP="000C2561">
      <w:pPr>
        <w:pStyle w:val="FootnoteText"/>
        <w:rPr>
          <w:rFonts w:ascii="Times New Roman" w:hAnsi="Times New Roman"/>
        </w:rPr>
      </w:pPr>
      <w:r w:rsidRPr="006B3E1B">
        <w:rPr>
          <w:rStyle w:val="FootnoteReference"/>
          <w:rFonts w:ascii="Times New Roman" w:hAnsi="Times New Roman"/>
        </w:rPr>
        <w:footnoteRef/>
      </w:r>
      <w:r w:rsidRPr="006B3E1B">
        <w:rPr>
          <w:rFonts w:ascii="Times New Roman" w:hAnsi="Times New Roman"/>
        </w:rPr>
        <w:t xml:space="preserve"> Fiscalía General del Estado, Oficio signado FGE-DDHPC-2020-034,</w:t>
      </w:r>
      <w:r w:rsidRPr="006B3E1B">
        <w:rPr>
          <w:rFonts w:ascii="Times New Roman" w:hAnsi="Times New Roman"/>
          <w:b/>
        </w:rPr>
        <w:t xml:space="preserve"> </w:t>
      </w:r>
      <w:r w:rsidRPr="006B3E1B">
        <w:rPr>
          <w:rFonts w:ascii="Times New Roman" w:hAnsi="Times New Roman"/>
        </w:rPr>
        <w:t>20 de mayo de 2020.</w:t>
      </w:r>
    </w:p>
  </w:footnote>
  <w:footnote w:id="13">
    <w:p w14:paraId="40C416D3" w14:textId="77777777" w:rsidR="000C2561" w:rsidRPr="006B3E1B" w:rsidRDefault="000C2561" w:rsidP="000C2561">
      <w:pPr>
        <w:pStyle w:val="FootnoteText"/>
        <w:rPr>
          <w:rFonts w:ascii="Times New Roman" w:hAnsi="Times New Roman"/>
        </w:rPr>
      </w:pPr>
      <w:r w:rsidRPr="006B3E1B">
        <w:rPr>
          <w:rStyle w:val="FootnoteReference"/>
          <w:rFonts w:ascii="Times New Roman" w:hAnsi="Times New Roman"/>
        </w:rPr>
        <w:footnoteRef/>
      </w:r>
      <w:r w:rsidRPr="006B3E1B">
        <w:rPr>
          <w:rFonts w:ascii="Times New Roman" w:hAnsi="Times New Roman"/>
        </w:rPr>
        <w:t xml:space="preserve"> Ibídem.</w:t>
      </w:r>
    </w:p>
  </w:footnote>
  <w:footnote w:id="14">
    <w:p w14:paraId="3DAC6F4C" w14:textId="77777777" w:rsidR="00705AA5" w:rsidRPr="00476ABD" w:rsidRDefault="00705AA5" w:rsidP="00476ABD">
      <w:pPr>
        <w:pStyle w:val="FootnoteText"/>
        <w:contextualSpacing/>
        <w:jc w:val="both"/>
        <w:rPr>
          <w:rFonts w:ascii="Times New Roman" w:hAnsi="Times New Roman"/>
          <w:lang w:val="es-MX"/>
        </w:rPr>
      </w:pPr>
      <w:r w:rsidRPr="00476ABD">
        <w:rPr>
          <w:rStyle w:val="FootnoteReference"/>
          <w:rFonts w:ascii="Times New Roman" w:hAnsi="Times New Roman"/>
        </w:rPr>
        <w:footnoteRef/>
      </w:r>
      <w:r w:rsidRPr="00476ABD">
        <w:rPr>
          <w:rFonts w:ascii="Times New Roman" w:hAnsi="Times New Roman"/>
        </w:rPr>
        <w:t xml:space="preserve"> </w:t>
      </w:r>
      <w:r w:rsidRPr="00476ABD">
        <w:rPr>
          <w:rFonts w:ascii="Times New Roman" w:hAnsi="Times New Roman"/>
          <w:lang w:val="es-MX"/>
        </w:rPr>
        <w:t>La Comisión de la Verdad determinó la desaparición forzada como una de las violaciones de derechos humanos en el caso; de tal forma que los delitos puestos en conocimiento del órgano jurisdiccional competente, como parte de los crímenes de l</w:t>
      </w:r>
      <w:r w:rsidRPr="00476ABD">
        <w:rPr>
          <w:rFonts w:ascii="Times New Roman" w:hAnsi="Times New Roman"/>
        </w:rPr>
        <w:t xml:space="preserve">esa </w:t>
      </w:r>
      <w:r w:rsidRPr="00476ABD">
        <w:rPr>
          <w:rFonts w:ascii="Times New Roman" w:hAnsi="Times New Roman"/>
          <w:lang w:val="es-MX"/>
        </w:rPr>
        <w:t>humanidad</w:t>
      </w:r>
      <w:r w:rsidRPr="00476ABD">
        <w:rPr>
          <w:rFonts w:ascii="Times New Roman" w:hAnsi="Times New Roman"/>
        </w:rPr>
        <w:t xml:space="preserve"> </w:t>
      </w:r>
      <w:r w:rsidRPr="00476ABD">
        <w:rPr>
          <w:rFonts w:ascii="Times New Roman" w:hAnsi="Times New Roman"/>
          <w:lang w:val="es-MX"/>
        </w:rPr>
        <w:t>son</w:t>
      </w:r>
      <w:r w:rsidRPr="00476ABD">
        <w:rPr>
          <w:rStyle w:val="CommentReference"/>
          <w:rFonts w:ascii="Times New Roman" w:hAnsi="Times New Roman"/>
          <w:sz w:val="20"/>
          <w:szCs w:val="20"/>
          <w:lang w:val="es-MX"/>
        </w:rPr>
        <w:t>: Desaparición Forzada, privación</w:t>
      </w:r>
      <w:r w:rsidRPr="00476ABD">
        <w:rPr>
          <w:rFonts w:ascii="Times New Roman" w:hAnsi="Times New Roman"/>
        </w:rPr>
        <w:t xml:space="preserve"> ilegal, tortura y violencia sexual</w:t>
      </w:r>
      <w:r w:rsidRPr="00476ABD">
        <w:rPr>
          <w:rFonts w:ascii="Times New Roman" w:hAnsi="Times New Roman"/>
          <w:lang w:val="es-MX"/>
        </w:rPr>
        <w:t>.</w:t>
      </w:r>
    </w:p>
  </w:footnote>
  <w:footnote w:id="15">
    <w:p w14:paraId="1B369DDD" w14:textId="77777777" w:rsidR="00705AA5" w:rsidRPr="00476ABD" w:rsidRDefault="00705AA5" w:rsidP="00476ABD">
      <w:pPr>
        <w:pStyle w:val="FootnoteText"/>
        <w:contextualSpacing/>
        <w:jc w:val="both"/>
        <w:rPr>
          <w:rFonts w:ascii="Times New Roman" w:hAnsi="Times New Roman"/>
          <w:lang w:val="es-MX"/>
        </w:rPr>
      </w:pPr>
      <w:r w:rsidRPr="00476ABD">
        <w:rPr>
          <w:rStyle w:val="FootnoteReference"/>
          <w:rFonts w:ascii="Times New Roman" w:hAnsi="Times New Roman"/>
        </w:rPr>
        <w:footnoteRef/>
      </w:r>
      <w:r w:rsidRPr="00476ABD">
        <w:rPr>
          <w:rFonts w:ascii="Times New Roman" w:hAnsi="Times New Roman"/>
        </w:rPr>
        <w:t xml:space="preserve"> </w:t>
      </w:r>
      <w:r w:rsidRPr="00476ABD">
        <w:rPr>
          <w:rFonts w:ascii="Times New Roman" w:hAnsi="Times New Roman"/>
          <w:lang w:val="es-MX"/>
        </w:rPr>
        <w:t xml:space="preserve">Es necesario precisar que, </w:t>
      </w:r>
      <w:r w:rsidRPr="00476ABD">
        <w:rPr>
          <w:rFonts w:ascii="Times New Roman" w:hAnsi="Times New Roman"/>
        </w:rPr>
        <w:t>después de presentar su informe final, la Comisión de la Verdad tuvo conocimiento de otros casos de graves violaciones a los derechos humanos; sin embargo, hasta noviembre del 2011, fecha en la que finalizaron los trabajos de la Comisión, no se concluyeron las investigaciones, por lo que los expedientes de estos casos fueron puestos en conocimiento de la Fiscalía General del Estado.</w:t>
      </w:r>
      <w:r w:rsidRPr="00476ABD">
        <w:rPr>
          <w:rFonts w:ascii="Times New Roman" w:hAnsi="Times New Roman"/>
          <w:lang w:val="es-MX"/>
        </w:rPr>
        <w:t xml:space="preserve"> Es así como, en el listado de causas judicializadas constan 3 de estos casos.</w:t>
      </w:r>
    </w:p>
  </w:footnote>
  <w:footnote w:id="16">
    <w:p w14:paraId="1952E64D" w14:textId="77777777" w:rsidR="00705AA5" w:rsidRPr="00762A93" w:rsidRDefault="00705AA5" w:rsidP="00F4737D">
      <w:pPr>
        <w:pStyle w:val="FootnoteText"/>
        <w:jc w:val="both"/>
        <w:rPr>
          <w:rFonts w:ascii="Times New Roman" w:hAnsi="Times New Roman"/>
        </w:rPr>
      </w:pPr>
      <w:r w:rsidRPr="00762A93">
        <w:rPr>
          <w:rStyle w:val="FootnoteReference"/>
          <w:rFonts w:ascii="Times New Roman" w:hAnsi="Times New Roman"/>
        </w:rPr>
        <w:footnoteRef/>
      </w:r>
      <w:r w:rsidRPr="00762A93">
        <w:rPr>
          <w:rFonts w:ascii="Times New Roman" w:hAnsi="Times New Roman"/>
        </w:rPr>
        <w:t xml:space="preserve"> Resolución de la Defensoría del Pueblo No. 77, publicada en el Registro Oficial No. 38 el 12 de septiembre de 2019.</w:t>
      </w:r>
    </w:p>
    <w:p w14:paraId="1C59E899" w14:textId="77777777" w:rsidR="00705AA5" w:rsidRDefault="00705AA5" w:rsidP="004D2C87">
      <w:pPr>
        <w:pStyle w:val="FootnoteText"/>
      </w:pPr>
    </w:p>
  </w:footnote>
  <w:footnote w:id="17">
    <w:p w14:paraId="403CFA24" w14:textId="77777777" w:rsidR="00705AA5" w:rsidRPr="006C3E11" w:rsidRDefault="00705AA5" w:rsidP="006C3E11">
      <w:pPr>
        <w:pStyle w:val="FootnoteText"/>
        <w:rPr>
          <w:rFonts w:ascii="Times New Roman" w:hAnsi="Times New Roman"/>
        </w:rPr>
      </w:pPr>
      <w:r w:rsidRPr="006C3E11">
        <w:rPr>
          <w:rStyle w:val="FootnoteReference"/>
          <w:rFonts w:ascii="Times New Roman" w:hAnsi="Times New Roman"/>
        </w:rPr>
        <w:footnoteRef/>
      </w:r>
      <w:r w:rsidRPr="006C3E11">
        <w:rPr>
          <w:rFonts w:ascii="Times New Roman" w:hAnsi="Times New Roman"/>
        </w:rPr>
        <w:t xml:space="preserve"> Resolución de la Defensoría del Pueblo No. 57, publicada en el Registro Oficial No. 293 de 27 de julio de 2018.</w:t>
      </w:r>
    </w:p>
  </w:footnote>
  <w:footnote w:id="18">
    <w:p w14:paraId="7E5518A2" w14:textId="77777777" w:rsidR="009743CB" w:rsidRPr="00E35F32" w:rsidRDefault="009743CB" w:rsidP="009743CB">
      <w:pPr>
        <w:rPr>
          <w:sz w:val="20"/>
          <w:szCs w:val="20"/>
          <w:lang w:val="es-ES"/>
        </w:rPr>
      </w:pPr>
      <w:r w:rsidRPr="006C3E11">
        <w:rPr>
          <w:rStyle w:val="FootnoteReference"/>
          <w:sz w:val="20"/>
          <w:szCs w:val="20"/>
        </w:rPr>
        <w:footnoteRef/>
      </w:r>
      <w:r w:rsidRPr="00E35F32">
        <w:rPr>
          <w:sz w:val="20"/>
          <w:szCs w:val="20"/>
          <w:lang w:val="es-ES"/>
        </w:rPr>
        <w:t xml:space="preserve"> </w:t>
      </w:r>
      <w:hyperlink r:id="rId5" w:history="1">
        <w:r w:rsidRPr="00E35F32">
          <w:rPr>
            <w:rStyle w:val="Hyperlink"/>
            <w:sz w:val="20"/>
            <w:szCs w:val="20"/>
            <w:lang w:val="es-ES"/>
          </w:rPr>
          <w:t>http://www.pichinchacomunicaciones.com.ec/mujeres-amazonicas-exigen-que-cese-la-persecucion-y-amenazas-contra-las-defensoras-de-la-naturaleza/</w:t>
        </w:r>
      </w:hyperlink>
    </w:p>
  </w:footnote>
  <w:footnote w:id="19">
    <w:p w14:paraId="219EEBB9" w14:textId="77777777" w:rsidR="00705AA5" w:rsidRPr="006C3E11" w:rsidRDefault="00705AA5" w:rsidP="006C3E11">
      <w:pPr>
        <w:rPr>
          <w:color w:val="0000FF"/>
          <w:sz w:val="20"/>
          <w:szCs w:val="20"/>
        </w:rPr>
      </w:pPr>
      <w:r w:rsidRPr="00B81BB1">
        <w:rPr>
          <w:rStyle w:val="FootnoteReference"/>
          <w:sz w:val="20"/>
          <w:szCs w:val="20"/>
          <w:lang w:val="es-ES"/>
        </w:rPr>
        <w:footnoteRef/>
      </w:r>
      <w:r w:rsidRPr="00B81BB1">
        <w:rPr>
          <w:sz w:val="20"/>
          <w:szCs w:val="20"/>
          <w:lang w:val="es-ES"/>
        </w:rPr>
        <w:t xml:space="preserve"> Mandato de las Mujeres Amazónicas Defensoras de la Selva de las Bases Frente al Extractivismo.</w:t>
      </w:r>
      <w:r w:rsidRPr="00E35F32">
        <w:rPr>
          <w:sz w:val="20"/>
          <w:szCs w:val="20"/>
          <w:lang w:val="es-ES"/>
        </w:rPr>
        <w:t xml:space="preserve"> </w:t>
      </w:r>
      <w:hyperlink r:id="rId6" w:history="1">
        <w:r w:rsidRPr="006C3E11">
          <w:rPr>
            <w:rStyle w:val="Hyperlink"/>
            <w:sz w:val="20"/>
            <w:szCs w:val="20"/>
          </w:rPr>
          <w:t>https://www.planv.com.ec/sites/default/files/mandato_de_las_mujeres_amazonicas_.pdf</w:t>
        </w:r>
      </w:hyperlink>
    </w:p>
  </w:footnote>
  <w:footnote w:id="20">
    <w:p w14:paraId="68C5EF32" w14:textId="77777777" w:rsidR="00705AA5" w:rsidRPr="006C3E11" w:rsidRDefault="00705AA5" w:rsidP="006C3E11">
      <w:pPr>
        <w:pStyle w:val="FootnoteText"/>
        <w:rPr>
          <w:rFonts w:ascii="Times New Roman" w:hAnsi="Times New Roman"/>
          <w:lang w:val="es-ES_tradnl"/>
        </w:rPr>
      </w:pPr>
      <w:r w:rsidRPr="006C3E11">
        <w:rPr>
          <w:rStyle w:val="FootnoteReference"/>
          <w:rFonts w:ascii="Times New Roman" w:hAnsi="Times New Roman"/>
        </w:rPr>
        <w:footnoteRef/>
      </w:r>
      <w:r w:rsidRPr="006C3E11">
        <w:rPr>
          <w:rFonts w:ascii="Times New Roman" w:hAnsi="Times New Roman"/>
        </w:rPr>
        <w:t xml:space="preserve"> Pichincha Comunicaciones. Punto Noticias.  </w:t>
      </w:r>
      <w:hyperlink r:id="rId7" w:tgtFrame="_blank" w:history="1">
        <w:r w:rsidRPr="006C3E11">
          <w:rPr>
            <w:rStyle w:val="Hyperlink"/>
            <w:rFonts w:ascii="Times New Roman" w:hAnsi="Times New Roman"/>
            <w:lang w:val="es-ES_tradnl"/>
          </w:rPr>
          <w:t>https://youtu.be/Mfv9skHEwvo</w:t>
        </w:r>
      </w:hyperlink>
    </w:p>
  </w:footnote>
  <w:footnote w:id="21">
    <w:p w14:paraId="0C764CF3" w14:textId="77777777" w:rsidR="00705AA5" w:rsidRPr="006C3E11" w:rsidRDefault="00705AA5" w:rsidP="006C3E11">
      <w:pPr>
        <w:pStyle w:val="FootnoteText"/>
        <w:rPr>
          <w:rFonts w:ascii="Times New Roman" w:hAnsi="Times New Roman"/>
          <w:lang w:val="es-ES_tradnl"/>
        </w:rPr>
      </w:pPr>
      <w:r w:rsidRPr="006C3E11">
        <w:rPr>
          <w:rStyle w:val="FootnoteReference"/>
          <w:rFonts w:ascii="Times New Roman" w:hAnsi="Times New Roman"/>
        </w:rPr>
        <w:footnoteRef/>
      </w:r>
      <w:r w:rsidRPr="006C3E11">
        <w:rPr>
          <w:rFonts w:ascii="Times New Roman" w:hAnsi="Times New Roman"/>
        </w:rPr>
        <w:t xml:space="preserve"> Documento borrador informe Estado Ecuador sobre Convención sobre la Eliminación de Todas las Formas de Discriminación contra la Mujer (CEDAW).</w:t>
      </w:r>
    </w:p>
  </w:footnote>
  <w:footnote w:id="22">
    <w:p w14:paraId="3172BC74" w14:textId="77777777" w:rsidR="00705AA5" w:rsidRPr="00E35F32" w:rsidRDefault="00705AA5" w:rsidP="006C3E11">
      <w:pPr>
        <w:rPr>
          <w:sz w:val="20"/>
          <w:szCs w:val="20"/>
          <w:lang w:val="es-ES_tradnl"/>
        </w:rPr>
      </w:pPr>
      <w:r w:rsidRPr="006C3E11">
        <w:rPr>
          <w:rStyle w:val="FootnoteReference"/>
          <w:sz w:val="20"/>
          <w:szCs w:val="20"/>
        </w:rPr>
        <w:footnoteRef/>
      </w:r>
      <w:r w:rsidRPr="00E35F32">
        <w:rPr>
          <w:sz w:val="20"/>
          <w:szCs w:val="20"/>
          <w:lang w:val="es-ES_tradnl"/>
        </w:rPr>
        <w:t xml:space="preserve"> </w:t>
      </w:r>
      <w:hyperlink r:id="rId8" w:history="1">
        <w:r w:rsidRPr="00E35F32">
          <w:rPr>
            <w:rStyle w:val="Hyperlink"/>
            <w:sz w:val="20"/>
            <w:szCs w:val="20"/>
            <w:lang w:val="es-ES_tradnl"/>
          </w:rPr>
          <w:t>http://repositorio.dpe.gob.ec/bitstream/39000/2342/1/PT-DPE-007-2019.pdf</w:t>
        </w:r>
      </w:hyperlink>
    </w:p>
  </w:footnote>
  <w:footnote w:id="23">
    <w:p w14:paraId="19B46E22" w14:textId="77777777" w:rsidR="00705AA5" w:rsidRPr="00E35F32" w:rsidRDefault="00705AA5" w:rsidP="006C3E11">
      <w:pPr>
        <w:rPr>
          <w:sz w:val="20"/>
          <w:szCs w:val="20"/>
          <w:lang w:val="es-ES_tradnl"/>
        </w:rPr>
      </w:pPr>
      <w:r w:rsidRPr="006C3E11">
        <w:rPr>
          <w:rStyle w:val="FootnoteReference"/>
          <w:sz w:val="20"/>
          <w:szCs w:val="20"/>
        </w:rPr>
        <w:footnoteRef/>
      </w:r>
      <w:r w:rsidRPr="00E35F32">
        <w:rPr>
          <w:sz w:val="20"/>
          <w:szCs w:val="20"/>
          <w:lang w:val="es-ES_tradnl"/>
        </w:rPr>
        <w:t xml:space="preserve"> </w:t>
      </w:r>
      <w:hyperlink r:id="rId9" w:history="1">
        <w:r w:rsidRPr="00E35F32">
          <w:rPr>
            <w:rStyle w:val="Hyperlink"/>
            <w:sz w:val="20"/>
            <w:szCs w:val="20"/>
            <w:lang w:val="es-ES_tradnl"/>
          </w:rPr>
          <w:t>http://www.pichinchacomunicaciones.com.ec/mujeres-defensoras-de-la-naturaleza-exigen-agilidad-en-la-investigacion-sobre-las-amenazas-de-muerte-recibidas/</w:t>
        </w:r>
      </w:hyperlink>
    </w:p>
  </w:footnote>
  <w:footnote w:id="24">
    <w:p w14:paraId="39F1C679" w14:textId="77777777" w:rsidR="00705AA5" w:rsidRPr="006C3E11" w:rsidRDefault="00705AA5" w:rsidP="006C3E11">
      <w:pPr>
        <w:pStyle w:val="FootnoteText"/>
        <w:rPr>
          <w:rFonts w:ascii="Times New Roman" w:hAnsi="Times New Roman"/>
          <w:lang w:val="es-ES_tradnl"/>
        </w:rPr>
      </w:pPr>
      <w:r w:rsidRPr="006C3E11">
        <w:rPr>
          <w:rStyle w:val="FootnoteReference"/>
          <w:rFonts w:ascii="Times New Roman" w:hAnsi="Times New Roman"/>
        </w:rPr>
        <w:footnoteRef/>
      </w:r>
      <w:r w:rsidRPr="006C3E11">
        <w:rPr>
          <w:rFonts w:ascii="Times New Roman" w:hAnsi="Times New Roman"/>
        </w:rPr>
        <w:t xml:space="preserve"> Pichincha Comunicaciones. Punto Noticias.  </w:t>
      </w:r>
      <w:hyperlink r:id="rId10" w:tgtFrame="_blank" w:history="1">
        <w:r w:rsidRPr="006C3E11">
          <w:rPr>
            <w:rStyle w:val="Hyperlink"/>
            <w:rFonts w:ascii="Times New Roman" w:hAnsi="Times New Roman"/>
            <w:lang w:val="es-ES_tradnl"/>
          </w:rPr>
          <w:t>https://youtu.be/Mfv9skHEwvo</w:t>
        </w:r>
      </w:hyperlink>
    </w:p>
  </w:footnote>
  <w:footnote w:id="25">
    <w:p w14:paraId="6F1432F3" w14:textId="77777777" w:rsidR="009E0A9E" w:rsidRPr="0091776D" w:rsidRDefault="009E0A9E" w:rsidP="009E0A9E">
      <w:pPr>
        <w:pStyle w:val="FootnoteText"/>
        <w:jc w:val="both"/>
        <w:rPr>
          <w:rFonts w:eastAsia="Aptos"/>
          <w:lang w:val="es-MX" w:eastAsia="en-US"/>
        </w:rPr>
      </w:pPr>
      <w:r w:rsidRPr="0091776D">
        <w:rPr>
          <w:rStyle w:val="FootnoteReference"/>
        </w:rPr>
        <w:footnoteRef/>
      </w:r>
      <w:r w:rsidRPr="0091776D">
        <w:t xml:space="preserve"> Los procesos educativos llevados a cabo durante el 2019 también se sustentaron en la ejecución de los productos previstos dentro del Proyecto de Inversión de Fortalecimiento del Mecanismo Nacional de Prevención de la Tortura, Tratos Crueles, Inhumanos y Degradantes, en su componente 2.5.</w:t>
      </w:r>
    </w:p>
  </w:footnote>
  <w:footnote w:id="26">
    <w:p w14:paraId="74F39261" w14:textId="77777777" w:rsidR="009E0A9E" w:rsidRDefault="009E0A9E" w:rsidP="009E0A9E">
      <w:pPr>
        <w:pStyle w:val="FootnoteText"/>
      </w:pPr>
      <w:r>
        <w:rPr>
          <w:rStyle w:val="FootnoteReference"/>
        </w:rPr>
        <w:footnoteRef/>
      </w:r>
      <w:r>
        <w:t xml:space="preserve"> Dirigido a Aspirantes a Agentes de Seguridad Penitenciarias.</w:t>
      </w:r>
    </w:p>
  </w:footnote>
  <w:footnote w:id="27">
    <w:p w14:paraId="3F43880D" w14:textId="77777777" w:rsidR="009E0A9E" w:rsidRDefault="009E0A9E" w:rsidP="009E0A9E">
      <w:pPr>
        <w:pStyle w:val="FootnoteText"/>
      </w:pPr>
      <w:r>
        <w:rPr>
          <w:rStyle w:val="FootnoteReference"/>
        </w:rPr>
        <w:footnoteRef/>
      </w:r>
      <w:r>
        <w:t xml:space="preserve"> El total de personas matriculadas fueron 1265 personas.</w:t>
      </w:r>
    </w:p>
  </w:footnote>
  <w:footnote w:id="28">
    <w:p w14:paraId="1CC73B75" w14:textId="77777777" w:rsidR="009E0A9E" w:rsidRDefault="009E0A9E" w:rsidP="009E0A9E">
      <w:pPr>
        <w:pStyle w:val="FootnoteText"/>
      </w:pPr>
      <w:r>
        <w:rPr>
          <w:rStyle w:val="FootnoteReference"/>
        </w:rPr>
        <w:footnoteRef/>
      </w:r>
      <w:r>
        <w:t xml:space="preserve"> Dirigido a Aspirantes a Agentes de Seguridad Penitenciarias.</w:t>
      </w:r>
    </w:p>
  </w:footnote>
  <w:footnote w:id="29">
    <w:p w14:paraId="2240BE17" w14:textId="16D05109" w:rsidR="009E0A9E" w:rsidRDefault="009E0A9E" w:rsidP="009E0A9E">
      <w:pPr>
        <w:pStyle w:val="FootnoteText"/>
      </w:pPr>
      <w:r>
        <w:rPr>
          <w:rStyle w:val="FootnoteReference"/>
        </w:rPr>
        <w:footnoteRef/>
      </w:r>
      <w:r>
        <w:t xml:space="preserve"> </w:t>
      </w:r>
      <w:r w:rsidR="00B93283">
        <w:t>Ibidem</w:t>
      </w:r>
      <w:r>
        <w:t>.</w:t>
      </w:r>
    </w:p>
  </w:footnote>
  <w:footnote w:id="30">
    <w:p w14:paraId="28C92FE1" w14:textId="2AAD3772" w:rsidR="009E0A9E" w:rsidRDefault="009E0A9E" w:rsidP="009E0A9E">
      <w:pPr>
        <w:pStyle w:val="FootnoteText"/>
      </w:pPr>
      <w:r>
        <w:rPr>
          <w:rStyle w:val="FootnoteReference"/>
        </w:rPr>
        <w:footnoteRef/>
      </w:r>
      <w:r>
        <w:t xml:space="preserve"> </w:t>
      </w:r>
      <w:r w:rsidR="00B93283">
        <w:t>Ibidem</w:t>
      </w:r>
      <w:r>
        <w:t>.</w:t>
      </w:r>
    </w:p>
  </w:footnote>
  <w:footnote w:id="31">
    <w:p w14:paraId="493E9511" w14:textId="77777777" w:rsidR="009E0A9E" w:rsidRPr="00455D09" w:rsidRDefault="009E0A9E" w:rsidP="009E0A9E">
      <w:pPr>
        <w:pStyle w:val="FootnoteText"/>
        <w:rPr>
          <w:rFonts w:ascii="Times New Roman" w:hAnsi="Times New Roman"/>
          <w:lang w:val="es-MX"/>
        </w:rPr>
      </w:pPr>
      <w:r w:rsidRPr="00455D09">
        <w:rPr>
          <w:rStyle w:val="FootnoteReference"/>
          <w:rFonts w:ascii="Times New Roman" w:hAnsi="Times New Roman"/>
        </w:rPr>
        <w:footnoteRef/>
      </w:r>
      <w:r w:rsidRPr="00455D09">
        <w:rPr>
          <w:rFonts w:ascii="Times New Roman" w:hAnsi="Times New Roman"/>
        </w:rPr>
        <w:t xml:space="preserve"> </w:t>
      </w:r>
      <w:r w:rsidRPr="00455D09">
        <w:rPr>
          <w:rFonts w:ascii="Times New Roman" w:hAnsi="Times New Roman"/>
          <w:lang w:val="es-MX"/>
        </w:rPr>
        <w:t>Tipología de los Centros de Privación de Libertad: https://www.atencionintegral.gob.ec/centros-de-privacion-de-libertad/</w:t>
      </w:r>
    </w:p>
  </w:footnote>
  <w:footnote w:id="32">
    <w:p w14:paraId="00E98E36" w14:textId="77777777" w:rsidR="009E0A9E" w:rsidRPr="00E56070" w:rsidRDefault="009E0A9E" w:rsidP="009E0A9E">
      <w:pPr>
        <w:pStyle w:val="FootnoteText"/>
      </w:pPr>
      <w:r>
        <w:rPr>
          <w:rStyle w:val="FootnoteReference"/>
        </w:rPr>
        <w:footnoteRef/>
      </w:r>
      <w:r>
        <w:t xml:space="preserve"> Tomado de: </w:t>
      </w:r>
      <w:r w:rsidRPr="00E56070">
        <w:t>https://www.ecuadorencifras.gob.ec/documentos/web-inec/Poblacion_y_Demografia/Censo_penitenciario%20/2023/Principales_Resultados_CP2022.pdf</w:t>
      </w:r>
    </w:p>
  </w:footnote>
  <w:footnote w:id="33">
    <w:p w14:paraId="1B0169B6" w14:textId="77777777" w:rsidR="009E0A9E" w:rsidRPr="00E56070" w:rsidRDefault="009E0A9E" w:rsidP="009E0A9E">
      <w:pPr>
        <w:pStyle w:val="FootnoteText"/>
      </w:pPr>
      <w:r>
        <w:rPr>
          <w:rStyle w:val="FootnoteReference"/>
        </w:rPr>
        <w:footnoteRef/>
      </w:r>
      <w:r>
        <w:t xml:space="preserve"> Tomado de: </w:t>
      </w:r>
      <w:r w:rsidRPr="00E56070">
        <w:t>https://www.atencionintegral.gob.ec/estadisticas/</w:t>
      </w:r>
    </w:p>
  </w:footnote>
  <w:footnote w:id="34">
    <w:p w14:paraId="20413886" w14:textId="47753F42" w:rsidR="009E0A9E" w:rsidRPr="00CA38EB" w:rsidRDefault="009E0A9E" w:rsidP="009E0A9E">
      <w:pPr>
        <w:pStyle w:val="FootnoteText"/>
        <w:jc w:val="both"/>
        <w:rPr>
          <w:rFonts w:ascii="Times New Roman" w:hAnsi="Times New Roman"/>
          <w:lang w:val="en-US"/>
        </w:rPr>
      </w:pPr>
      <w:r w:rsidRPr="00B86234">
        <w:rPr>
          <w:rStyle w:val="FootnoteReference"/>
          <w:rFonts w:ascii="Times New Roman" w:hAnsi="Times New Roman"/>
        </w:rPr>
        <w:footnoteRef/>
      </w:r>
      <w:r w:rsidRPr="00B86234">
        <w:rPr>
          <w:rFonts w:ascii="Times New Roman" w:hAnsi="Times New Roman"/>
        </w:rPr>
        <w:t xml:space="preserve"> Corte I.D.H. Caso Montero Aranguren y otros (Retén de Catia) vs. Venezuela. </w:t>
      </w:r>
      <w:r w:rsidRPr="009E3F56">
        <w:rPr>
          <w:rFonts w:ascii="Times New Roman" w:hAnsi="Times New Roman"/>
          <w:lang w:val="en-US"/>
        </w:rPr>
        <w:t xml:space="preserve">Sentencia de 5 de julio de 2006, párr. </w:t>
      </w:r>
      <w:r w:rsidRPr="00B86234">
        <w:rPr>
          <w:rFonts w:ascii="Times New Roman" w:hAnsi="Times New Roman"/>
          <w:lang w:val="en-US"/>
        </w:rPr>
        <w:t>90. European Committee for the Prevention of Torture and Inhuman or Degrading Treatment or Punishment. 2</w:t>
      </w:r>
      <w:r w:rsidRPr="00B86234">
        <w:rPr>
          <w:rFonts w:ascii="Times New Roman" w:hAnsi="Times New Roman"/>
          <w:vertAlign w:val="superscript"/>
          <w:lang w:val="en-US"/>
        </w:rPr>
        <w:t>nd</w:t>
      </w:r>
      <w:r w:rsidRPr="00B86234">
        <w:rPr>
          <w:rFonts w:ascii="Times New Roman" w:hAnsi="Times New Roman"/>
          <w:lang w:val="en-US"/>
        </w:rPr>
        <w:t xml:space="preserve"> General </w:t>
      </w:r>
      <w:r w:rsidR="00B93283" w:rsidRPr="00B86234">
        <w:rPr>
          <w:rFonts w:ascii="Times New Roman" w:hAnsi="Times New Roman"/>
          <w:lang w:val="en-US"/>
        </w:rPr>
        <w:t>Report</w:t>
      </w:r>
      <w:r w:rsidRPr="00B86234">
        <w:rPr>
          <w:rFonts w:ascii="Times New Roman" w:hAnsi="Times New Roman"/>
          <w:lang w:val="en-US"/>
        </w:rPr>
        <w:t xml:space="preserve"> </w:t>
      </w:r>
      <w:r w:rsidR="00B93283" w:rsidRPr="00B86234">
        <w:rPr>
          <w:rFonts w:ascii="Times New Roman" w:hAnsi="Times New Roman"/>
          <w:lang w:val="en-US"/>
        </w:rPr>
        <w:t>in</w:t>
      </w:r>
      <w:r w:rsidRPr="00B86234">
        <w:rPr>
          <w:rFonts w:ascii="Times New Roman" w:hAnsi="Times New Roman"/>
          <w:lang w:val="en-US"/>
        </w:rPr>
        <w:t xml:space="preserve"> the CPTs activities covering the period 1 January to 31 December 1991, CPT/inf. </w:t>
      </w:r>
      <w:r w:rsidRPr="00CA38EB">
        <w:rPr>
          <w:rFonts w:ascii="Times New Roman" w:hAnsi="Times New Roman"/>
          <w:lang w:val="en-US"/>
        </w:rPr>
        <w:t>(92) 3 (EN), 2</w:t>
      </w:r>
      <w:r w:rsidRPr="00CA38EB">
        <w:rPr>
          <w:rFonts w:ascii="Times New Roman" w:hAnsi="Times New Roman"/>
          <w:vertAlign w:val="superscript"/>
          <w:lang w:val="en-US"/>
        </w:rPr>
        <w:t>nd</w:t>
      </w:r>
      <w:r w:rsidRPr="00CA38EB">
        <w:rPr>
          <w:rFonts w:ascii="Times New Roman" w:hAnsi="Times New Roman"/>
          <w:lang w:val="en-US"/>
        </w:rPr>
        <w:t xml:space="preserve"> General Report, 13 April 1992, párr.43. </w:t>
      </w:r>
    </w:p>
  </w:footnote>
  <w:footnote w:id="35">
    <w:p w14:paraId="01221DA6" w14:textId="77777777" w:rsidR="009E0A9E" w:rsidRPr="00CA38EB" w:rsidRDefault="009E0A9E" w:rsidP="009E0A9E">
      <w:pPr>
        <w:pStyle w:val="FootnoteText"/>
        <w:rPr>
          <w:rFonts w:ascii="Times New Roman" w:hAnsi="Times New Roman"/>
          <w:lang w:val="en-US"/>
        </w:rPr>
      </w:pPr>
      <w:r w:rsidRPr="00FF1F15">
        <w:rPr>
          <w:rStyle w:val="FootnoteReference"/>
          <w:rFonts w:ascii="Times New Roman" w:hAnsi="Times New Roman"/>
        </w:rPr>
        <w:footnoteRef/>
      </w:r>
      <w:r w:rsidRPr="00CA38EB">
        <w:rPr>
          <w:rFonts w:ascii="Times New Roman" w:hAnsi="Times New Roman"/>
          <w:lang w:val="en-US"/>
        </w:rPr>
        <w:t xml:space="preserve"> Modelo Integral Restaurativo: chrome-extension://efaidnbmnnnibpcajpcglclefindmkaj/https://tdh-latam.org/wp-content/uploads/2021/04/6-Modelo-de-Atencion-Integral-Restaurativo.pdf</w:t>
      </w:r>
    </w:p>
  </w:footnote>
  <w:footnote w:id="36">
    <w:p w14:paraId="14D8248A" w14:textId="77777777" w:rsidR="009E0A9E" w:rsidRPr="008C70C8" w:rsidRDefault="009E0A9E" w:rsidP="009E0A9E">
      <w:pPr>
        <w:pStyle w:val="FootnoteText"/>
      </w:pPr>
      <w:r>
        <w:rPr>
          <w:rStyle w:val="FootnoteReference"/>
        </w:rPr>
        <w:footnoteRef/>
      </w:r>
      <w:r>
        <w:t xml:space="preserve"> Tomado de: </w:t>
      </w:r>
      <w:r w:rsidRPr="008C70C8">
        <w:t>https://www.atencionintegral.gob.ec/wp-content/uploads/2023/05/Informe-firmado-por-el-DG-RC2022.pdf</w:t>
      </w:r>
    </w:p>
  </w:footnote>
  <w:footnote w:id="37">
    <w:p w14:paraId="42FE78F2" w14:textId="77777777" w:rsidR="009E0A9E" w:rsidRPr="00242F5F" w:rsidRDefault="009E0A9E" w:rsidP="009E0A9E">
      <w:pPr>
        <w:pStyle w:val="FootnoteText"/>
        <w:jc w:val="both"/>
        <w:rPr>
          <w:rFonts w:ascii="Times New Roman" w:hAnsi="Times New Roman"/>
          <w:lang w:val="es-MX"/>
        </w:rPr>
      </w:pPr>
      <w:r w:rsidRPr="00242F5F">
        <w:rPr>
          <w:rStyle w:val="FootnoteReference"/>
          <w:rFonts w:ascii="Times New Roman" w:hAnsi="Times New Roman"/>
        </w:rPr>
        <w:footnoteRef/>
      </w:r>
      <w:r w:rsidRPr="00242F5F">
        <w:rPr>
          <w:rFonts w:ascii="Times New Roman" w:hAnsi="Times New Roman"/>
        </w:rPr>
        <w:t xml:space="preserve"> </w:t>
      </w:r>
      <w:r w:rsidRPr="00242F5F">
        <w:rPr>
          <w:rFonts w:ascii="Times New Roman" w:hAnsi="Times New Roman"/>
          <w:lang w:val="es-MX"/>
        </w:rPr>
        <w:t>Tomado de: https://www.atencionintegral.gob.ec/personas-privadas-de-libertad-se-benefician-de-indulto-presidencial/#:~:text=El%20expresidente%20de%20la%20Rep%C3%BAblica,terminales%2C%20tuberculosis%20multidrogorresistentes%20o%20coinfecci%C3%B3n</w:t>
      </w:r>
    </w:p>
  </w:footnote>
  <w:footnote w:id="38">
    <w:p w14:paraId="3772A917" w14:textId="77777777" w:rsidR="009E0A9E" w:rsidRPr="00C30410" w:rsidRDefault="009E0A9E" w:rsidP="009E0A9E">
      <w:pPr>
        <w:pStyle w:val="FootnoteText"/>
        <w:rPr>
          <w:rFonts w:ascii="Times New Roman" w:hAnsi="Times New Roman"/>
          <w:lang w:val="es-MX"/>
        </w:rPr>
      </w:pPr>
      <w:r w:rsidRPr="00C30410">
        <w:rPr>
          <w:rStyle w:val="FootnoteReference"/>
          <w:rFonts w:ascii="Times New Roman" w:hAnsi="Times New Roman"/>
        </w:rPr>
        <w:footnoteRef/>
      </w:r>
      <w:r w:rsidRPr="00C30410">
        <w:rPr>
          <w:rFonts w:ascii="Times New Roman" w:hAnsi="Times New Roman"/>
        </w:rPr>
        <w:t xml:space="preserve"> </w:t>
      </w:r>
      <w:r w:rsidRPr="00C30410">
        <w:rPr>
          <w:rFonts w:ascii="Times New Roman" w:hAnsi="Times New Roman"/>
          <w:lang w:val="es-MX"/>
        </w:rPr>
        <w:t>La Política de Rehabilitación Social 2022-2025 puede ser descargada de: https://www.derechoshumanos.gob.ec/wp-content/uploads/2022/02/18_02.-Politica-Publica-de-Rehabilitacion-Social_vF-.pdf</w:t>
      </w:r>
    </w:p>
  </w:footnote>
  <w:footnote w:id="39">
    <w:p w14:paraId="44CDB4A4" w14:textId="77777777" w:rsidR="009E0A9E" w:rsidRDefault="009E0A9E" w:rsidP="009E0A9E">
      <w:pPr>
        <w:autoSpaceDE w:val="0"/>
        <w:autoSpaceDN w:val="0"/>
        <w:adjustRightInd w:val="0"/>
        <w:rPr>
          <w:sz w:val="20"/>
          <w:szCs w:val="20"/>
          <w:lang w:val="es-MX"/>
        </w:rPr>
      </w:pPr>
      <w:r>
        <w:rPr>
          <w:rStyle w:val="FootnoteReference"/>
        </w:rPr>
        <w:footnoteRef/>
      </w:r>
      <w:r>
        <w:t xml:space="preserve"> </w:t>
      </w:r>
      <w:r w:rsidRPr="000E172D">
        <w:rPr>
          <w:sz w:val="20"/>
          <w:szCs w:val="20"/>
        </w:rPr>
        <w:t xml:space="preserve">De acuerdo con el Modelo de Atención de Salud en Contexto de Privación de libertad (2018, numeral 9.1.6) se </w:t>
      </w:r>
      <w:r w:rsidRPr="000E172D">
        <w:rPr>
          <w:sz w:val="20"/>
          <w:szCs w:val="20"/>
          <w:lang w:val="es-MX"/>
        </w:rPr>
        <w:t>conformarán los Equipos de Atención Integral de Salud, con los siguientes profesionales de salud:</w:t>
      </w:r>
    </w:p>
    <w:p w14:paraId="2297D6E4" w14:textId="77777777" w:rsidR="009E0A9E" w:rsidRPr="000E172D" w:rsidRDefault="009E0A9E" w:rsidP="009E0A9E">
      <w:pPr>
        <w:autoSpaceDE w:val="0"/>
        <w:autoSpaceDN w:val="0"/>
        <w:adjustRightInd w:val="0"/>
        <w:rPr>
          <w:sz w:val="20"/>
          <w:szCs w:val="20"/>
          <w:lang w:val="es-MX"/>
        </w:rPr>
      </w:pPr>
      <w:r w:rsidRPr="000E172D">
        <w:rPr>
          <w:sz w:val="20"/>
          <w:szCs w:val="20"/>
          <w:lang w:val="es-MX"/>
        </w:rPr>
        <w:t>-1 médico general</w:t>
      </w:r>
    </w:p>
    <w:p w14:paraId="361B9E1A" w14:textId="77777777" w:rsidR="009E0A9E" w:rsidRPr="000E172D" w:rsidRDefault="009E0A9E" w:rsidP="009E0A9E">
      <w:pPr>
        <w:autoSpaceDE w:val="0"/>
        <w:autoSpaceDN w:val="0"/>
        <w:adjustRightInd w:val="0"/>
        <w:rPr>
          <w:sz w:val="20"/>
          <w:szCs w:val="20"/>
          <w:lang w:val="es-MX"/>
        </w:rPr>
      </w:pPr>
      <w:r w:rsidRPr="000E172D">
        <w:rPr>
          <w:sz w:val="20"/>
          <w:szCs w:val="20"/>
          <w:lang w:val="es-MX"/>
        </w:rPr>
        <w:t>-1 odontólogo general</w:t>
      </w:r>
    </w:p>
    <w:p w14:paraId="5C8D2AE7" w14:textId="77777777" w:rsidR="009E0A9E" w:rsidRPr="000E172D" w:rsidRDefault="009E0A9E" w:rsidP="009E0A9E">
      <w:pPr>
        <w:autoSpaceDE w:val="0"/>
        <w:autoSpaceDN w:val="0"/>
        <w:adjustRightInd w:val="0"/>
        <w:rPr>
          <w:sz w:val="20"/>
          <w:szCs w:val="20"/>
          <w:lang w:val="es-MX"/>
        </w:rPr>
      </w:pPr>
      <w:r w:rsidRPr="000E172D">
        <w:rPr>
          <w:sz w:val="20"/>
          <w:szCs w:val="20"/>
          <w:lang w:val="es-MX"/>
        </w:rPr>
        <w:t>-1 psicólogo</w:t>
      </w:r>
    </w:p>
    <w:p w14:paraId="2EB3C97E" w14:textId="77777777" w:rsidR="009E0A9E" w:rsidRPr="000E172D" w:rsidRDefault="009E0A9E" w:rsidP="009E0A9E">
      <w:pPr>
        <w:autoSpaceDE w:val="0"/>
        <w:autoSpaceDN w:val="0"/>
        <w:adjustRightInd w:val="0"/>
        <w:rPr>
          <w:sz w:val="20"/>
          <w:szCs w:val="20"/>
          <w:lang w:val="es-MX"/>
        </w:rPr>
      </w:pPr>
      <w:r w:rsidRPr="000E172D">
        <w:rPr>
          <w:sz w:val="20"/>
          <w:szCs w:val="20"/>
          <w:lang w:val="es-MX"/>
        </w:rPr>
        <w:t>-1 enfermero</w:t>
      </w:r>
    </w:p>
    <w:p w14:paraId="4245BDFD" w14:textId="77777777" w:rsidR="009E0A9E" w:rsidRPr="000E172D" w:rsidRDefault="009E0A9E" w:rsidP="009E0A9E">
      <w:pPr>
        <w:autoSpaceDE w:val="0"/>
        <w:autoSpaceDN w:val="0"/>
        <w:adjustRightInd w:val="0"/>
        <w:rPr>
          <w:rFonts w:ascii="Arial" w:hAnsi="Arial" w:cs="Arial"/>
          <w:lang w:val="es-MX"/>
        </w:rPr>
      </w:pPr>
      <w:r w:rsidRPr="000E172D">
        <w:rPr>
          <w:sz w:val="20"/>
          <w:szCs w:val="20"/>
          <w:lang w:val="es-MX"/>
        </w:rPr>
        <w:t>Además, en los Equipos de Atención Integral de Salud se podrán incluir de forma permanente o itinerante un profesional obstetra y un profesional de nutrición.</w:t>
      </w:r>
    </w:p>
  </w:footnote>
  <w:footnote w:id="40">
    <w:p w14:paraId="08967D3D" w14:textId="69D77741" w:rsidR="009E0A9E" w:rsidRPr="0056144F" w:rsidRDefault="009E0A9E" w:rsidP="009E0A9E">
      <w:pPr>
        <w:pStyle w:val="FootnoteText"/>
        <w:jc w:val="both"/>
        <w:rPr>
          <w:rFonts w:ascii="Times New Roman" w:hAnsi="Times New Roman"/>
          <w:lang w:val="es-EC"/>
        </w:rPr>
      </w:pPr>
      <w:r>
        <w:rPr>
          <w:rStyle w:val="FootnoteReference"/>
          <w:rFonts w:ascii="Times New Roman" w:hAnsi="Times New Roman"/>
        </w:rPr>
        <w:footnoteRef/>
      </w:r>
      <w:r>
        <w:rPr>
          <w:rFonts w:ascii="Times New Roman" w:hAnsi="Times New Roman"/>
        </w:rPr>
        <w:t xml:space="preserve"> </w:t>
      </w:r>
      <w:r w:rsidRPr="0056144F">
        <w:rPr>
          <w:rFonts w:ascii="Times New Roman" w:hAnsi="Times New Roman"/>
        </w:rPr>
        <w:t xml:space="preserve">Los centros donde se registran quejas relativas a revisiones invasivas son: CPL Tungurahua N°1, CPL Napo n°1, CPPL Masculino </w:t>
      </w:r>
      <w:r w:rsidR="00B93283" w:rsidRPr="0056144F">
        <w:rPr>
          <w:rFonts w:ascii="Times New Roman" w:hAnsi="Times New Roman"/>
        </w:rPr>
        <w:t>Ríos</w:t>
      </w:r>
      <w:r w:rsidRPr="0056144F">
        <w:rPr>
          <w:rFonts w:ascii="Times New Roman" w:hAnsi="Times New Roman"/>
        </w:rPr>
        <w:t xml:space="preserve"> N°1, CPL Ríos N°2, CRS Masculino Manabí N°3, CRS Masculino Manabí N°2, CPL Manabí N°4, CRS Masculino Cañar N°1, CPL Manabí N°4, CPL Esmeraldas Nº1, CPL Esmeraldas Nº2, CPL Guayas N°1, CPL Guayas N°2,  CPL Imbabura N°1, CPL Morona Santiago N°1, CPL Oro N°1, CPL Chimborazo N°1, CPL Santo Domingo N°1,   , CPl Sucumbíos N°1, CPL Carchi N°1, CPL Cotopaxi N°1, CPL Guayas N°1, CPL Azuay N°2, CPL Pichincha N°1, CPL Pastaza N°1 y CAI Ibarra.  </w:t>
      </w:r>
    </w:p>
  </w:footnote>
  <w:footnote w:id="41">
    <w:p w14:paraId="104F36F9" w14:textId="46CC6F62" w:rsidR="009E0A9E" w:rsidRDefault="009E0A9E" w:rsidP="009E0A9E">
      <w:pPr>
        <w:jc w:val="both"/>
        <w:rPr>
          <w:sz w:val="20"/>
          <w:szCs w:val="20"/>
          <w:lang w:val="es-EC"/>
        </w:rPr>
      </w:pPr>
      <w:r>
        <w:rPr>
          <w:rStyle w:val="FootnoteReference"/>
        </w:rPr>
        <w:footnoteRef/>
      </w:r>
      <w:r w:rsidRPr="00E35F32">
        <w:rPr>
          <w:lang w:val="es-ES"/>
        </w:rPr>
        <w:t xml:space="preserve"> </w:t>
      </w:r>
      <w:r w:rsidRPr="00E35F32">
        <w:rPr>
          <w:sz w:val="20"/>
          <w:szCs w:val="20"/>
          <w:lang w:val="es-ES"/>
        </w:rPr>
        <w:t xml:space="preserve">Asociación para la Prevención de la </w:t>
      </w:r>
      <w:r w:rsidR="00B93283" w:rsidRPr="00E35F32">
        <w:rPr>
          <w:sz w:val="20"/>
          <w:szCs w:val="20"/>
          <w:lang w:val="es-ES"/>
        </w:rPr>
        <w:t>Tortura (</w:t>
      </w:r>
      <w:r w:rsidRPr="00E35F32">
        <w:rPr>
          <w:sz w:val="20"/>
          <w:szCs w:val="20"/>
          <w:lang w:val="es-ES"/>
        </w:rPr>
        <w:t xml:space="preserve">s.f.). </w:t>
      </w:r>
      <w:r w:rsidRPr="009E3F56">
        <w:rPr>
          <w:sz w:val="20"/>
          <w:szCs w:val="20"/>
          <w:lang w:val="en-US"/>
        </w:rPr>
        <w:t xml:space="preserve">Detention Focus. APT sitio web. </w:t>
      </w:r>
      <w:r w:rsidRPr="00E35F32">
        <w:rPr>
          <w:sz w:val="20"/>
          <w:szCs w:val="20"/>
          <w:lang w:val="es-ES"/>
        </w:rPr>
        <w:t xml:space="preserve">Recuperado el 21 de octubre de 2019 de: </w:t>
      </w:r>
      <w:hyperlink r:id="rId11" w:history="1">
        <w:r w:rsidRPr="00E35F32">
          <w:rPr>
            <w:rStyle w:val="Hyperlink"/>
            <w:sz w:val="20"/>
            <w:szCs w:val="20"/>
            <w:lang w:val="es-ES"/>
          </w:rPr>
          <w:t>https://www.apt.ch/detention-focus/es/detention_issues/6/</w:t>
        </w:r>
      </w:hyperlink>
    </w:p>
    <w:p w14:paraId="49FCAF92" w14:textId="77777777" w:rsidR="009E0A9E" w:rsidRPr="00122BA4" w:rsidRDefault="009E0A9E" w:rsidP="009E0A9E">
      <w:pPr>
        <w:pStyle w:val="FootnoteText"/>
        <w:rPr>
          <w:lang w:val="es-EC"/>
        </w:rPr>
      </w:pPr>
    </w:p>
  </w:footnote>
  <w:footnote w:id="42">
    <w:p w14:paraId="7DE847F5" w14:textId="625A70A8" w:rsidR="009E0A9E" w:rsidRPr="00244C7A" w:rsidRDefault="009E0A9E" w:rsidP="009E0A9E">
      <w:pPr>
        <w:pStyle w:val="FootnoteText"/>
        <w:jc w:val="both"/>
        <w:rPr>
          <w:rFonts w:ascii="Times New Roman" w:hAnsi="Times New Roman"/>
          <w:lang w:val="es-EC"/>
        </w:rPr>
      </w:pPr>
      <w:r w:rsidRPr="00244C7A">
        <w:rPr>
          <w:rStyle w:val="FootnoteReference"/>
          <w:rFonts w:ascii="Times New Roman" w:hAnsi="Times New Roman"/>
        </w:rPr>
        <w:footnoteRef/>
      </w:r>
      <w:r w:rsidRPr="00244C7A">
        <w:rPr>
          <w:rFonts w:ascii="Times New Roman" w:hAnsi="Times New Roman"/>
        </w:rPr>
        <w:t xml:space="preserve"> </w:t>
      </w:r>
      <w:r w:rsidRPr="00244C7A">
        <w:rPr>
          <w:rFonts w:ascii="Times New Roman" w:hAnsi="Times New Roman"/>
          <w:lang w:val="es-EC"/>
        </w:rPr>
        <w:t xml:space="preserve">Hacinamiento, insuficiente personal administrativo y de seguridad, infraestructura deteriorada, insatisfacción con el servicio de alimentación, insuficiente acceso a implementos de aseo </w:t>
      </w:r>
      <w:r w:rsidR="00B93283" w:rsidRPr="00244C7A">
        <w:rPr>
          <w:rFonts w:ascii="Times New Roman" w:hAnsi="Times New Roman"/>
          <w:lang w:val="es-EC"/>
        </w:rPr>
        <w:t>personal, limitaciones</w:t>
      </w:r>
      <w:r w:rsidRPr="00244C7A">
        <w:rPr>
          <w:rFonts w:ascii="Times New Roman" w:hAnsi="Times New Roman"/>
          <w:lang w:val="es-EC"/>
        </w:rPr>
        <w:t xml:space="preserve"> para acceso a la salud (y salud especializada), limitado acceso a actividades, limitado acceso a asesoría jurídica y beneficios penitenciarios, incumplimiento de la norma de sanciones, malos tratos, etc. </w:t>
      </w:r>
    </w:p>
  </w:footnote>
  <w:footnote w:id="43">
    <w:p w14:paraId="531D6CA0" w14:textId="77777777" w:rsidR="009E0A9E" w:rsidRPr="00B74243" w:rsidRDefault="009E0A9E" w:rsidP="009E0A9E">
      <w:pPr>
        <w:pStyle w:val="Default"/>
        <w:spacing w:line="240" w:lineRule="auto"/>
        <w:jc w:val="both"/>
        <w:rPr>
          <w:rFonts w:ascii="Calibri" w:eastAsia="Times New Roman" w:hAnsi="Calibri" w:cs="Calibri"/>
          <w:lang w:val="es-MX" w:eastAsia="ja-JP"/>
        </w:rPr>
      </w:pPr>
      <w:r>
        <w:rPr>
          <w:rStyle w:val="FootnoteReference"/>
        </w:rPr>
        <w:footnoteRef/>
      </w:r>
      <w:r>
        <w:t xml:space="preserve"> </w:t>
      </w:r>
      <w:r w:rsidRPr="00B74243">
        <w:rPr>
          <w:sz w:val="20"/>
          <w:szCs w:val="20"/>
          <w:lang w:val="es-MX"/>
        </w:rPr>
        <w:t>Al respecto la Defensoría del Pueblo tiene aperturado un trámite defensorial No. DPE-1701-170104-19-2024-001159 de seguimiento al cumplimiento de sentencia, en el marco del cual se ha elaborado el Informe de seguimiento a lo dispuesto en el Resolución emitida en la Causa No. 17230-2024-09062, sobre medidas cautelares autónomas a favor de las personas privadas de libertad respecto al derecho a la alimentación.</w:t>
      </w:r>
    </w:p>
  </w:footnote>
  <w:footnote w:id="44">
    <w:p w14:paraId="2ADD2240" w14:textId="77777777" w:rsidR="009E0A9E" w:rsidRPr="00845BB7" w:rsidRDefault="009E0A9E" w:rsidP="009E0A9E">
      <w:pPr>
        <w:pStyle w:val="FootnoteText"/>
        <w:rPr>
          <w:lang w:val="es-MX"/>
        </w:rPr>
      </w:pPr>
      <w:r>
        <w:rPr>
          <w:rStyle w:val="FootnoteReference"/>
        </w:rPr>
        <w:footnoteRef/>
      </w:r>
      <w:r>
        <w:t xml:space="preserve"> </w:t>
      </w:r>
      <w:r>
        <w:rPr>
          <w:lang w:val="es-MX"/>
        </w:rPr>
        <w:t xml:space="preserve">Tomado de: </w:t>
      </w:r>
      <w:r w:rsidRPr="00845BB7">
        <w:rPr>
          <w:lang w:val="es-MX"/>
        </w:rPr>
        <w:t>https://www.vistazo.com/actualidad/nacional/mujer-trans-y-activista-entre-las-victimas-colaterales-de-la-masacre-en-la-penitenciaria-del-litoral-YK1048313</w:t>
      </w:r>
    </w:p>
  </w:footnote>
  <w:footnote w:id="45">
    <w:p w14:paraId="0077A8DA" w14:textId="77777777" w:rsidR="009E0A9E" w:rsidRPr="000F0339" w:rsidRDefault="009E0A9E" w:rsidP="009E0A9E">
      <w:pPr>
        <w:pStyle w:val="FootnoteText"/>
        <w:jc w:val="both"/>
        <w:rPr>
          <w:rFonts w:ascii="Times New Roman" w:hAnsi="Times New Roman"/>
          <w:lang w:val="es-MX"/>
        </w:rPr>
      </w:pPr>
      <w:r w:rsidRPr="000F0339">
        <w:rPr>
          <w:rStyle w:val="FootnoteReference"/>
          <w:rFonts w:ascii="Times New Roman" w:hAnsi="Times New Roman"/>
        </w:rPr>
        <w:footnoteRef/>
      </w:r>
      <w:r w:rsidRPr="000F0339">
        <w:rPr>
          <w:rFonts w:ascii="Times New Roman" w:hAnsi="Times New Roman"/>
        </w:rPr>
        <w:t xml:space="preserve"> </w:t>
      </w:r>
      <w:r w:rsidRPr="000F0339">
        <w:rPr>
          <w:rFonts w:ascii="Times New Roman" w:hAnsi="Times New Roman"/>
          <w:lang w:val="es-MX" w:eastAsia="ja-JP"/>
        </w:rPr>
        <w:t>Ley Orgánica Reformatoria a Varios Cuerpos Legales para el Fortalecimiento de las Capacidades Institucionales y la Seguridad Integral</w:t>
      </w:r>
      <w:r w:rsidRPr="000F0339">
        <w:rPr>
          <w:rFonts w:ascii="Times New Roman" w:hAnsi="Times New Roman"/>
        </w:rPr>
        <w:t xml:space="preserve"> (2023): Chrome extension://efaidnbmnnnibpcajpcglclefindmkaj/https://www.atencionintegral.gob.ec/wp-content/uploads/2023/06/Ley-Organica-Reformatoria-a-Varios-Cuerpos-Legales-para-el-Fortalecimiento-de-las-Capacidades-Institucionales-y-la-Seguridad-Integral.pdf</w:t>
      </w:r>
    </w:p>
  </w:footnote>
  <w:footnote w:id="46">
    <w:p w14:paraId="09955E22" w14:textId="77777777" w:rsidR="009E0A9E" w:rsidRPr="009C2141" w:rsidRDefault="009E0A9E" w:rsidP="009E0A9E">
      <w:pPr>
        <w:pStyle w:val="FootnoteText"/>
        <w:rPr>
          <w:rFonts w:ascii="Times New Roman" w:hAnsi="Times New Roman"/>
          <w:lang w:val="es-MX"/>
        </w:rPr>
      </w:pPr>
      <w:r w:rsidRPr="009C2141">
        <w:rPr>
          <w:rStyle w:val="FootnoteReference"/>
          <w:rFonts w:ascii="Times New Roman" w:hAnsi="Times New Roman"/>
        </w:rPr>
        <w:footnoteRef/>
      </w:r>
      <w:r w:rsidRPr="009C2141">
        <w:rPr>
          <w:rFonts w:ascii="Times New Roman" w:hAnsi="Times New Roman"/>
        </w:rPr>
        <w:t xml:space="preserve"> </w:t>
      </w:r>
      <w:r w:rsidRPr="009C2141">
        <w:rPr>
          <w:rFonts w:ascii="Times New Roman" w:hAnsi="Times New Roman"/>
          <w:lang w:val="es-MX"/>
        </w:rPr>
        <w:t xml:space="preserve"> Sentencia </w:t>
      </w:r>
      <w:r w:rsidRPr="009C2141">
        <w:rPr>
          <w:rFonts w:ascii="Times New Roman" w:hAnsi="Times New Roman"/>
          <w:lang w:val="es-MX" w:eastAsia="ja-JP"/>
        </w:rPr>
        <w:t>Juicio No. 17294202000448</w:t>
      </w:r>
      <w:r w:rsidRPr="009C2141">
        <w:rPr>
          <w:rFonts w:ascii="Times New Roman" w:hAnsi="Times New Roman"/>
          <w:lang w:val="es-MX"/>
        </w:rPr>
        <w:t>: chrome-extension://efaidnbmnnnibpcajpcglclefindmkaj/https://www.dpe.gob.ec/wp-content/dpemnpt/accion-de-proteccion/2020-07-16%20Sentencia%20Accio%CC%81n%20de%20Proteccio%CC%81n%20PPL.pdf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8F4E7" w14:textId="77777777" w:rsidR="009E0A9E" w:rsidRDefault="009E0A9E" w:rsidP="00D6661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E809E4" w14:textId="77777777" w:rsidR="009E0A9E" w:rsidRDefault="009E0A9E" w:rsidP="00755F52">
    <w:pPr>
      <w:spacing w:line="34" w:lineRule="auto"/>
      <w:ind w:right="360"/>
      <w:jc w:val="center"/>
    </w:pPr>
  </w:p>
  <w:p w14:paraId="77D02207" w14:textId="77777777" w:rsidR="009E0A9E" w:rsidRDefault="009E0A9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5D30D" w14:textId="2BD0BF23" w:rsidR="009E0A9E" w:rsidRPr="006D5F04" w:rsidRDefault="00EF328B" w:rsidP="00EF328B">
    <w:pPr>
      <w:tabs>
        <w:tab w:val="center" w:pos="4419"/>
        <w:tab w:val="right" w:pos="8838"/>
      </w:tabs>
      <w:ind w:right="-149"/>
      <w:rPr>
        <w:sz w:val="20"/>
        <w:szCs w:val="20"/>
        <w:lang w:val="es-ES"/>
      </w:rPr>
    </w:pPr>
    <w:r w:rsidRPr="00B4757D">
      <w:rPr>
        <w:rFonts w:ascii="Garamond" w:hAnsi="Garamond"/>
        <w:noProof/>
        <w:lang w:val="es-ES" w:eastAsia="es-ES"/>
      </w:rPr>
      <w:drawing>
        <wp:inline distT="0" distB="0" distL="0" distR="0" wp14:anchorId="39B159CA" wp14:editId="73AE2A3B">
          <wp:extent cx="1600200" cy="771525"/>
          <wp:effectExtent l="0" t="0" r="0" b="0"/>
          <wp:docPr id="1380659079" name="Imagen 3"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659079" name="Imagen 3" descr="Imagen que contiene Interfaz de usuario gráfic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771525"/>
                  </a:xfrm>
                  <a:prstGeom prst="rect">
                    <a:avLst/>
                  </a:prstGeom>
                  <a:noFill/>
                  <a:ln>
                    <a:noFill/>
                  </a:ln>
                </pic:spPr>
              </pic:pic>
            </a:graphicData>
          </a:graphic>
        </wp:inline>
      </w:drawing>
    </w:r>
    <w:r w:rsidR="009E0A9E">
      <w:rPr>
        <w:sz w:val="20"/>
        <w:szCs w:val="20"/>
        <w:lang w:val="es-ES"/>
      </w:rPr>
      <w:t xml:space="preserve">                       </w:t>
    </w:r>
    <w:r w:rsidR="007A04F9">
      <w:rPr>
        <w:sz w:val="20"/>
        <w:szCs w:val="20"/>
        <w:lang w:val="es-ES"/>
      </w:rPr>
      <w:tab/>
    </w:r>
    <w:r w:rsidR="007A04F9">
      <w:rPr>
        <w:sz w:val="20"/>
        <w:szCs w:val="20"/>
        <w:lang w:val="es-ES"/>
      </w:rPr>
      <w:tab/>
    </w:r>
    <w:r w:rsidR="009E0A9E">
      <w:rPr>
        <w:sz w:val="20"/>
        <w:szCs w:val="20"/>
        <w:lang w:val="es-ES"/>
      </w:rPr>
      <w:t xml:space="preserve">                                 Informe Alternativo CAT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41C3B" w14:textId="77777777" w:rsidR="00705AA5" w:rsidRDefault="00705AA5" w:rsidP="00D6661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3C044F" w14:textId="77777777" w:rsidR="00705AA5" w:rsidRDefault="00705AA5" w:rsidP="00755F52">
    <w:pPr>
      <w:spacing w:line="34" w:lineRule="auto"/>
      <w:ind w:right="360"/>
      <w:jc w:val="center"/>
    </w:pPr>
  </w:p>
  <w:p w14:paraId="607E34B9" w14:textId="77777777" w:rsidR="00705AA5" w:rsidRDefault="00705AA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B577B" w14:textId="77777777" w:rsidR="00705AA5" w:rsidRPr="006D5F04" w:rsidRDefault="00705AA5" w:rsidP="00D2275C">
    <w:pPr>
      <w:tabs>
        <w:tab w:val="center" w:pos="4419"/>
        <w:tab w:val="right" w:pos="8838"/>
      </w:tabs>
      <w:ind w:right="-149"/>
      <w:jc w:val="right"/>
      <w:rPr>
        <w:sz w:val="20"/>
        <w:szCs w:val="20"/>
        <w:lang w:val="es-ES"/>
      </w:rPr>
    </w:pPr>
    <w:r>
      <w:rPr>
        <w:sz w:val="20"/>
        <w:szCs w:val="20"/>
        <w:lang w:val="es-ES"/>
      </w:rPr>
      <w:t xml:space="preserve">                                                        Informe Alterna</w:t>
    </w:r>
    <w:r w:rsidR="00D2275C">
      <w:rPr>
        <w:sz w:val="20"/>
        <w:szCs w:val="20"/>
        <w:lang w:val="es-ES"/>
      </w:rPr>
      <w:t>tivo CAT</w:t>
    </w:r>
    <w:r>
      <w:rPr>
        <w:sz w:val="20"/>
        <w:szCs w:val="20"/>
        <w:lang w:val="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E5BDD"/>
    <w:multiLevelType w:val="hybridMultilevel"/>
    <w:tmpl w:val="BBB0BF7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 w15:restartNumberingAfterBreak="0">
    <w:nsid w:val="133934DE"/>
    <w:multiLevelType w:val="hybridMultilevel"/>
    <w:tmpl w:val="5CB0375A"/>
    <w:lvl w:ilvl="0" w:tplc="ADE6C202">
      <w:numFmt w:val="bullet"/>
      <w:lvlText w:val="-"/>
      <w:lvlJc w:val="left"/>
      <w:pPr>
        <w:ind w:left="720" w:hanging="360"/>
      </w:pPr>
      <w:rPr>
        <w:rFonts w:ascii="Times New Roman" w:eastAsia="DejaVu Sans"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 w15:restartNumberingAfterBreak="0">
    <w:nsid w:val="160F5F2A"/>
    <w:multiLevelType w:val="multilevel"/>
    <w:tmpl w:val="2B5A73D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16E45336"/>
    <w:multiLevelType w:val="hybridMultilevel"/>
    <w:tmpl w:val="111E195A"/>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 w15:restartNumberingAfterBreak="0">
    <w:nsid w:val="182B53C5"/>
    <w:multiLevelType w:val="hybridMultilevel"/>
    <w:tmpl w:val="A2AC0F4A"/>
    <w:lvl w:ilvl="0" w:tplc="739A57FA">
      <w:start w:val="9"/>
      <w:numFmt w:val="bullet"/>
      <w:lvlText w:val="-"/>
      <w:lvlJc w:val="left"/>
      <w:pPr>
        <w:ind w:left="1800" w:hanging="360"/>
      </w:pPr>
      <w:rPr>
        <w:rFonts w:ascii="Times New Roman" w:eastAsia="Times New Roman" w:hAnsi="Times New Roman" w:cs="Times New Roman" w:hint="default"/>
      </w:rPr>
    </w:lvl>
    <w:lvl w:ilvl="1" w:tplc="6C1CF540">
      <w:start w:val="1"/>
      <w:numFmt w:val="bullet"/>
      <w:lvlText w:val="•"/>
      <w:lvlJc w:val="left"/>
      <w:pPr>
        <w:tabs>
          <w:tab w:val="num" w:pos="2520"/>
        </w:tabs>
        <w:ind w:left="2520" w:hanging="360"/>
      </w:pPr>
      <w:rPr>
        <w:rFonts w:ascii="Arial" w:hAnsi="Arial" w:hint="default"/>
      </w:rPr>
    </w:lvl>
    <w:lvl w:ilvl="2" w:tplc="48788D6C" w:tentative="1">
      <w:start w:val="1"/>
      <w:numFmt w:val="bullet"/>
      <w:lvlText w:val="•"/>
      <w:lvlJc w:val="left"/>
      <w:pPr>
        <w:tabs>
          <w:tab w:val="num" w:pos="3240"/>
        </w:tabs>
        <w:ind w:left="3240" w:hanging="360"/>
      </w:pPr>
      <w:rPr>
        <w:rFonts w:ascii="Arial" w:hAnsi="Arial" w:hint="default"/>
      </w:rPr>
    </w:lvl>
    <w:lvl w:ilvl="3" w:tplc="DB0CD8F6" w:tentative="1">
      <w:start w:val="1"/>
      <w:numFmt w:val="bullet"/>
      <w:lvlText w:val="•"/>
      <w:lvlJc w:val="left"/>
      <w:pPr>
        <w:tabs>
          <w:tab w:val="num" w:pos="3960"/>
        </w:tabs>
        <w:ind w:left="3960" w:hanging="360"/>
      </w:pPr>
      <w:rPr>
        <w:rFonts w:ascii="Arial" w:hAnsi="Arial" w:hint="default"/>
      </w:rPr>
    </w:lvl>
    <w:lvl w:ilvl="4" w:tplc="F8625264" w:tentative="1">
      <w:start w:val="1"/>
      <w:numFmt w:val="bullet"/>
      <w:lvlText w:val="•"/>
      <w:lvlJc w:val="left"/>
      <w:pPr>
        <w:tabs>
          <w:tab w:val="num" w:pos="4680"/>
        </w:tabs>
        <w:ind w:left="4680" w:hanging="360"/>
      </w:pPr>
      <w:rPr>
        <w:rFonts w:ascii="Arial" w:hAnsi="Arial" w:hint="default"/>
      </w:rPr>
    </w:lvl>
    <w:lvl w:ilvl="5" w:tplc="17D812A4" w:tentative="1">
      <w:start w:val="1"/>
      <w:numFmt w:val="bullet"/>
      <w:lvlText w:val="•"/>
      <w:lvlJc w:val="left"/>
      <w:pPr>
        <w:tabs>
          <w:tab w:val="num" w:pos="5400"/>
        </w:tabs>
        <w:ind w:left="5400" w:hanging="360"/>
      </w:pPr>
      <w:rPr>
        <w:rFonts w:ascii="Arial" w:hAnsi="Arial" w:hint="default"/>
      </w:rPr>
    </w:lvl>
    <w:lvl w:ilvl="6" w:tplc="A4B66A20" w:tentative="1">
      <w:start w:val="1"/>
      <w:numFmt w:val="bullet"/>
      <w:lvlText w:val="•"/>
      <w:lvlJc w:val="left"/>
      <w:pPr>
        <w:tabs>
          <w:tab w:val="num" w:pos="6120"/>
        </w:tabs>
        <w:ind w:left="6120" w:hanging="360"/>
      </w:pPr>
      <w:rPr>
        <w:rFonts w:ascii="Arial" w:hAnsi="Arial" w:hint="default"/>
      </w:rPr>
    </w:lvl>
    <w:lvl w:ilvl="7" w:tplc="D592CFCA" w:tentative="1">
      <w:start w:val="1"/>
      <w:numFmt w:val="bullet"/>
      <w:lvlText w:val="•"/>
      <w:lvlJc w:val="left"/>
      <w:pPr>
        <w:tabs>
          <w:tab w:val="num" w:pos="6840"/>
        </w:tabs>
        <w:ind w:left="6840" w:hanging="360"/>
      </w:pPr>
      <w:rPr>
        <w:rFonts w:ascii="Arial" w:hAnsi="Arial" w:hint="default"/>
      </w:rPr>
    </w:lvl>
    <w:lvl w:ilvl="8" w:tplc="172404EA" w:tentative="1">
      <w:start w:val="1"/>
      <w:numFmt w:val="bullet"/>
      <w:lvlText w:val="•"/>
      <w:lvlJc w:val="left"/>
      <w:pPr>
        <w:tabs>
          <w:tab w:val="num" w:pos="7560"/>
        </w:tabs>
        <w:ind w:left="7560" w:hanging="360"/>
      </w:pPr>
      <w:rPr>
        <w:rFonts w:ascii="Arial" w:hAnsi="Arial" w:hint="default"/>
      </w:rPr>
    </w:lvl>
  </w:abstractNum>
  <w:abstractNum w:abstractNumId="5" w15:restartNumberingAfterBreak="0">
    <w:nsid w:val="1A624A66"/>
    <w:multiLevelType w:val="hybridMultilevel"/>
    <w:tmpl w:val="F84E907A"/>
    <w:lvl w:ilvl="0" w:tplc="739A57FA">
      <w:start w:val="9"/>
      <w:numFmt w:val="bullet"/>
      <w:lvlText w:val="-"/>
      <w:lvlJc w:val="left"/>
      <w:pPr>
        <w:ind w:left="720" w:hanging="360"/>
      </w:pPr>
      <w:rPr>
        <w:rFonts w:ascii="Times New Roman" w:eastAsia="Times New Roman" w:hAnsi="Times New Roman" w:cs="Times New Roman"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FAA7B4C"/>
    <w:multiLevelType w:val="hybridMultilevel"/>
    <w:tmpl w:val="5860F45C"/>
    <w:lvl w:ilvl="0" w:tplc="EEF00F12">
      <w:start w:val="1"/>
      <w:numFmt w:val="upperRoman"/>
      <w:pStyle w:val="Heading1"/>
      <w:lvlText w:val="%1."/>
      <w:lvlJc w:val="left"/>
      <w:pPr>
        <w:ind w:left="1080" w:hanging="72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E62695"/>
    <w:multiLevelType w:val="hybridMultilevel"/>
    <w:tmpl w:val="A7CA6C08"/>
    <w:lvl w:ilvl="0" w:tplc="C7F24C88">
      <w:numFmt w:val="bullet"/>
      <w:pStyle w:val="Redaccin"/>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3A81657"/>
    <w:multiLevelType w:val="multilevel"/>
    <w:tmpl w:val="65C2543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256D6DAB"/>
    <w:multiLevelType w:val="hybridMultilevel"/>
    <w:tmpl w:val="361C31D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 w15:restartNumberingAfterBreak="0">
    <w:nsid w:val="26E41F99"/>
    <w:multiLevelType w:val="hybridMultilevel"/>
    <w:tmpl w:val="E1DEC3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7A36428"/>
    <w:multiLevelType w:val="hybridMultilevel"/>
    <w:tmpl w:val="BFDE2CE4"/>
    <w:lvl w:ilvl="0" w:tplc="4BE03F42">
      <w:start w:val="1"/>
      <w:numFmt w:val="decimal"/>
      <w:lvlText w:val="%1)"/>
      <w:lvlJc w:val="left"/>
      <w:pPr>
        <w:ind w:left="720" w:hanging="360"/>
      </w:pPr>
      <w:rPr>
        <w:rFonts w:hint="default"/>
        <w:b/>
        <w:i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2" w15:restartNumberingAfterBreak="0">
    <w:nsid w:val="29073897"/>
    <w:multiLevelType w:val="hybridMultilevel"/>
    <w:tmpl w:val="5B1E165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D072285"/>
    <w:multiLevelType w:val="hybridMultilevel"/>
    <w:tmpl w:val="7DB88332"/>
    <w:lvl w:ilvl="0" w:tplc="04090011">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CA48A2"/>
    <w:multiLevelType w:val="hybridMultilevel"/>
    <w:tmpl w:val="49AA85AC"/>
    <w:lvl w:ilvl="0" w:tplc="300A0017">
      <w:start w:val="1"/>
      <w:numFmt w:val="lowerLetter"/>
      <w:pStyle w:val="TOCHeading"/>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15:restartNumberingAfterBreak="0">
    <w:nsid w:val="31CF9905"/>
    <w:multiLevelType w:val="hybridMultilevel"/>
    <w:tmpl w:val="BADC1B48"/>
    <w:lvl w:ilvl="0" w:tplc="E28A5A80">
      <w:start w:val="1"/>
      <w:numFmt w:val="bullet"/>
      <w:lvlText w:val=""/>
      <w:lvlJc w:val="left"/>
      <w:pPr>
        <w:ind w:left="720" w:hanging="360"/>
      </w:pPr>
      <w:rPr>
        <w:rFonts w:ascii="Symbol" w:hAnsi="Symbol" w:hint="default"/>
      </w:rPr>
    </w:lvl>
    <w:lvl w:ilvl="1" w:tplc="78DCEE2A">
      <w:start w:val="1"/>
      <w:numFmt w:val="bullet"/>
      <w:lvlText w:val="o"/>
      <w:lvlJc w:val="left"/>
      <w:pPr>
        <w:ind w:left="1440" w:hanging="360"/>
      </w:pPr>
      <w:rPr>
        <w:rFonts w:ascii="Courier New" w:hAnsi="Courier New" w:hint="default"/>
      </w:rPr>
    </w:lvl>
    <w:lvl w:ilvl="2" w:tplc="8690B9CE">
      <w:start w:val="1"/>
      <w:numFmt w:val="bullet"/>
      <w:lvlText w:val=""/>
      <w:lvlJc w:val="left"/>
      <w:pPr>
        <w:ind w:left="2160" w:hanging="360"/>
      </w:pPr>
      <w:rPr>
        <w:rFonts w:ascii="Wingdings" w:hAnsi="Wingdings" w:hint="default"/>
      </w:rPr>
    </w:lvl>
    <w:lvl w:ilvl="3" w:tplc="B52E1E86">
      <w:start w:val="1"/>
      <w:numFmt w:val="bullet"/>
      <w:lvlText w:val=""/>
      <w:lvlJc w:val="left"/>
      <w:pPr>
        <w:ind w:left="2880" w:hanging="360"/>
      </w:pPr>
      <w:rPr>
        <w:rFonts w:ascii="Symbol" w:hAnsi="Symbol" w:hint="default"/>
      </w:rPr>
    </w:lvl>
    <w:lvl w:ilvl="4" w:tplc="43EAE3CA">
      <w:start w:val="1"/>
      <w:numFmt w:val="bullet"/>
      <w:lvlText w:val="o"/>
      <w:lvlJc w:val="left"/>
      <w:pPr>
        <w:ind w:left="3600" w:hanging="360"/>
      </w:pPr>
      <w:rPr>
        <w:rFonts w:ascii="Courier New" w:hAnsi="Courier New" w:hint="default"/>
      </w:rPr>
    </w:lvl>
    <w:lvl w:ilvl="5" w:tplc="757EF9CC">
      <w:start w:val="1"/>
      <w:numFmt w:val="bullet"/>
      <w:lvlText w:val=""/>
      <w:lvlJc w:val="left"/>
      <w:pPr>
        <w:ind w:left="4320" w:hanging="360"/>
      </w:pPr>
      <w:rPr>
        <w:rFonts w:ascii="Wingdings" w:hAnsi="Wingdings" w:hint="default"/>
      </w:rPr>
    </w:lvl>
    <w:lvl w:ilvl="6" w:tplc="B7561448">
      <w:start w:val="1"/>
      <w:numFmt w:val="bullet"/>
      <w:lvlText w:val=""/>
      <w:lvlJc w:val="left"/>
      <w:pPr>
        <w:ind w:left="5040" w:hanging="360"/>
      </w:pPr>
      <w:rPr>
        <w:rFonts w:ascii="Symbol" w:hAnsi="Symbol" w:hint="default"/>
      </w:rPr>
    </w:lvl>
    <w:lvl w:ilvl="7" w:tplc="4C0E1478">
      <w:start w:val="1"/>
      <w:numFmt w:val="bullet"/>
      <w:lvlText w:val="o"/>
      <w:lvlJc w:val="left"/>
      <w:pPr>
        <w:ind w:left="5760" w:hanging="360"/>
      </w:pPr>
      <w:rPr>
        <w:rFonts w:ascii="Courier New" w:hAnsi="Courier New" w:hint="default"/>
      </w:rPr>
    </w:lvl>
    <w:lvl w:ilvl="8" w:tplc="B0727F2C">
      <w:start w:val="1"/>
      <w:numFmt w:val="bullet"/>
      <w:lvlText w:val=""/>
      <w:lvlJc w:val="left"/>
      <w:pPr>
        <w:ind w:left="6480" w:hanging="360"/>
      </w:pPr>
      <w:rPr>
        <w:rFonts w:ascii="Wingdings" w:hAnsi="Wingdings" w:hint="default"/>
      </w:rPr>
    </w:lvl>
  </w:abstractNum>
  <w:abstractNum w:abstractNumId="16" w15:restartNumberingAfterBreak="0">
    <w:nsid w:val="37825F96"/>
    <w:multiLevelType w:val="hybridMultilevel"/>
    <w:tmpl w:val="A3CA2BB0"/>
    <w:lvl w:ilvl="0" w:tplc="5F56F802">
      <w:start w:val="1"/>
      <w:numFmt w:val="bullet"/>
      <w:lvlText w:val=""/>
      <w:lvlJc w:val="left"/>
      <w:pPr>
        <w:ind w:left="720" w:hanging="360"/>
      </w:pPr>
      <w:rPr>
        <w:rFonts w:ascii="Symbol" w:hAnsi="Symbol" w:hint="default"/>
      </w:rPr>
    </w:lvl>
    <w:lvl w:ilvl="1" w:tplc="22021D90">
      <w:start w:val="1"/>
      <w:numFmt w:val="bullet"/>
      <w:lvlText w:val="o"/>
      <w:lvlJc w:val="left"/>
      <w:pPr>
        <w:ind w:left="1440" w:hanging="360"/>
      </w:pPr>
      <w:rPr>
        <w:rFonts w:ascii="Courier New" w:hAnsi="Courier New" w:hint="default"/>
      </w:rPr>
    </w:lvl>
    <w:lvl w:ilvl="2" w:tplc="8DB6EB3C">
      <w:start w:val="1"/>
      <w:numFmt w:val="bullet"/>
      <w:lvlText w:val=""/>
      <w:lvlJc w:val="left"/>
      <w:pPr>
        <w:ind w:left="2160" w:hanging="360"/>
      </w:pPr>
      <w:rPr>
        <w:rFonts w:ascii="Wingdings" w:hAnsi="Wingdings" w:hint="default"/>
      </w:rPr>
    </w:lvl>
    <w:lvl w:ilvl="3" w:tplc="1124143A">
      <w:start w:val="1"/>
      <w:numFmt w:val="bullet"/>
      <w:lvlText w:val=""/>
      <w:lvlJc w:val="left"/>
      <w:pPr>
        <w:ind w:left="2880" w:hanging="360"/>
      </w:pPr>
      <w:rPr>
        <w:rFonts w:ascii="Symbol" w:hAnsi="Symbol" w:hint="default"/>
      </w:rPr>
    </w:lvl>
    <w:lvl w:ilvl="4" w:tplc="71A8A4F8">
      <w:start w:val="1"/>
      <w:numFmt w:val="bullet"/>
      <w:lvlText w:val="o"/>
      <w:lvlJc w:val="left"/>
      <w:pPr>
        <w:ind w:left="3600" w:hanging="360"/>
      </w:pPr>
      <w:rPr>
        <w:rFonts w:ascii="Courier New" w:hAnsi="Courier New" w:hint="default"/>
      </w:rPr>
    </w:lvl>
    <w:lvl w:ilvl="5" w:tplc="706EBB2E">
      <w:start w:val="1"/>
      <w:numFmt w:val="bullet"/>
      <w:lvlText w:val=""/>
      <w:lvlJc w:val="left"/>
      <w:pPr>
        <w:ind w:left="4320" w:hanging="360"/>
      </w:pPr>
      <w:rPr>
        <w:rFonts w:ascii="Wingdings" w:hAnsi="Wingdings" w:hint="default"/>
      </w:rPr>
    </w:lvl>
    <w:lvl w:ilvl="6" w:tplc="8CA6519C">
      <w:start w:val="1"/>
      <w:numFmt w:val="bullet"/>
      <w:lvlText w:val=""/>
      <w:lvlJc w:val="left"/>
      <w:pPr>
        <w:ind w:left="5040" w:hanging="360"/>
      </w:pPr>
      <w:rPr>
        <w:rFonts w:ascii="Symbol" w:hAnsi="Symbol" w:hint="default"/>
      </w:rPr>
    </w:lvl>
    <w:lvl w:ilvl="7" w:tplc="452E71D0">
      <w:start w:val="1"/>
      <w:numFmt w:val="bullet"/>
      <w:lvlText w:val="o"/>
      <w:lvlJc w:val="left"/>
      <w:pPr>
        <w:ind w:left="5760" w:hanging="360"/>
      </w:pPr>
      <w:rPr>
        <w:rFonts w:ascii="Courier New" w:hAnsi="Courier New" w:hint="default"/>
      </w:rPr>
    </w:lvl>
    <w:lvl w:ilvl="8" w:tplc="D88C3408">
      <w:start w:val="1"/>
      <w:numFmt w:val="bullet"/>
      <w:lvlText w:val=""/>
      <w:lvlJc w:val="left"/>
      <w:pPr>
        <w:ind w:left="6480" w:hanging="360"/>
      </w:pPr>
      <w:rPr>
        <w:rFonts w:ascii="Wingdings" w:hAnsi="Wingdings" w:hint="default"/>
      </w:rPr>
    </w:lvl>
  </w:abstractNum>
  <w:abstractNum w:abstractNumId="17" w15:restartNumberingAfterBreak="0">
    <w:nsid w:val="37A94B9C"/>
    <w:multiLevelType w:val="hybridMultilevel"/>
    <w:tmpl w:val="675CB254"/>
    <w:lvl w:ilvl="0" w:tplc="B4E0A566">
      <w:start w:val="1"/>
      <w:numFmt w:val="bullet"/>
      <w:lvlText w:val=""/>
      <w:lvlJc w:val="left"/>
      <w:pPr>
        <w:ind w:left="720" w:hanging="360"/>
      </w:pPr>
      <w:rPr>
        <w:rFonts w:ascii="Symbol" w:hAnsi="Symbol" w:hint="default"/>
      </w:rPr>
    </w:lvl>
    <w:lvl w:ilvl="1" w:tplc="BFD04628">
      <w:start w:val="1"/>
      <w:numFmt w:val="bullet"/>
      <w:lvlText w:val="o"/>
      <w:lvlJc w:val="left"/>
      <w:pPr>
        <w:ind w:left="1440" w:hanging="360"/>
      </w:pPr>
      <w:rPr>
        <w:rFonts w:ascii="Courier New" w:hAnsi="Courier New" w:hint="default"/>
      </w:rPr>
    </w:lvl>
    <w:lvl w:ilvl="2" w:tplc="E20A348C">
      <w:start w:val="1"/>
      <w:numFmt w:val="bullet"/>
      <w:lvlText w:val=""/>
      <w:lvlJc w:val="left"/>
      <w:pPr>
        <w:ind w:left="2160" w:hanging="360"/>
      </w:pPr>
      <w:rPr>
        <w:rFonts w:ascii="Wingdings" w:hAnsi="Wingdings" w:hint="default"/>
      </w:rPr>
    </w:lvl>
    <w:lvl w:ilvl="3" w:tplc="2B5CF41C">
      <w:start w:val="1"/>
      <w:numFmt w:val="bullet"/>
      <w:lvlText w:val=""/>
      <w:lvlJc w:val="left"/>
      <w:pPr>
        <w:ind w:left="2880" w:hanging="360"/>
      </w:pPr>
      <w:rPr>
        <w:rFonts w:ascii="Symbol" w:hAnsi="Symbol" w:hint="default"/>
      </w:rPr>
    </w:lvl>
    <w:lvl w:ilvl="4" w:tplc="59AC9BD8">
      <w:start w:val="1"/>
      <w:numFmt w:val="bullet"/>
      <w:lvlText w:val="o"/>
      <w:lvlJc w:val="left"/>
      <w:pPr>
        <w:ind w:left="3600" w:hanging="360"/>
      </w:pPr>
      <w:rPr>
        <w:rFonts w:ascii="Courier New" w:hAnsi="Courier New" w:hint="default"/>
      </w:rPr>
    </w:lvl>
    <w:lvl w:ilvl="5" w:tplc="30D48150">
      <w:start w:val="1"/>
      <w:numFmt w:val="bullet"/>
      <w:lvlText w:val=""/>
      <w:lvlJc w:val="left"/>
      <w:pPr>
        <w:ind w:left="4320" w:hanging="360"/>
      </w:pPr>
      <w:rPr>
        <w:rFonts w:ascii="Wingdings" w:hAnsi="Wingdings" w:hint="default"/>
      </w:rPr>
    </w:lvl>
    <w:lvl w:ilvl="6" w:tplc="7952E3B4">
      <w:start w:val="1"/>
      <w:numFmt w:val="bullet"/>
      <w:lvlText w:val=""/>
      <w:lvlJc w:val="left"/>
      <w:pPr>
        <w:ind w:left="5040" w:hanging="360"/>
      </w:pPr>
      <w:rPr>
        <w:rFonts w:ascii="Symbol" w:hAnsi="Symbol" w:hint="default"/>
      </w:rPr>
    </w:lvl>
    <w:lvl w:ilvl="7" w:tplc="2116BF56">
      <w:start w:val="1"/>
      <w:numFmt w:val="bullet"/>
      <w:lvlText w:val="o"/>
      <w:lvlJc w:val="left"/>
      <w:pPr>
        <w:ind w:left="5760" w:hanging="360"/>
      </w:pPr>
      <w:rPr>
        <w:rFonts w:ascii="Courier New" w:hAnsi="Courier New" w:hint="default"/>
      </w:rPr>
    </w:lvl>
    <w:lvl w:ilvl="8" w:tplc="C71E522E">
      <w:start w:val="1"/>
      <w:numFmt w:val="bullet"/>
      <w:lvlText w:val=""/>
      <w:lvlJc w:val="left"/>
      <w:pPr>
        <w:ind w:left="6480" w:hanging="360"/>
      </w:pPr>
      <w:rPr>
        <w:rFonts w:ascii="Wingdings" w:hAnsi="Wingdings" w:hint="default"/>
      </w:rPr>
    </w:lvl>
  </w:abstractNum>
  <w:abstractNum w:abstractNumId="18" w15:restartNumberingAfterBreak="0">
    <w:nsid w:val="381D8E25"/>
    <w:multiLevelType w:val="hybridMultilevel"/>
    <w:tmpl w:val="01D23602"/>
    <w:lvl w:ilvl="0" w:tplc="593A8BEC">
      <w:start w:val="1"/>
      <w:numFmt w:val="bullet"/>
      <w:lvlText w:val=""/>
      <w:lvlJc w:val="left"/>
      <w:pPr>
        <w:ind w:left="720" w:hanging="360"/>
      </w:pPr>
      <w:rPr>
        <w:rFonts w:ascii="Symbol" w:hAnsi="Symbol" w:hint="default"/>
      </w:rPr>
    </w:lvl>
    <w:lvl w:ilvl="1" w:tplc="88188978">
      <w:start w:val="1"/>
      <w:numFmt w:val="bullet"/>
      <w:lvlText w:val="o"/>
      <w:lvlJc w:val="left"/>
      <w:pPr>
        <w:ind w:left="1440" w:hanging="360"/>
      </w:pPr>
      <w:rPr>
        <w:rFonts w:ascii="Courier New" w:hAnsi="Courier New" w:hint="default"/>
      </w:rPr>
    </w:lvl>
    <w:lvl w:ilvl="2" w:tplc="2E7CC85C">
      <w:start w:val="1"/>
      <w:numFmt w:val="bullet"/>
      <w:lvlText w:val=""/>
      <w:lvlJc w:val="left"/>
      <w:pPr>
        <w:ind w:left="2160" w:hanging="360"/>
      </w:pPr>
      <w:rPr>
        <w:rFonts w:ascii="Wingdings" w:hAnsi="Wingdings" w:hint="default"/>
      </w:rPr>
    </w:lvl>
    <w:lvl w:ilvl="3" w:tplc="28468020">
      <w:start w:val="1"/>
      <w:numFmt w:val="bullet"/>
      <w:lvlText w:val=""/>
      <w:lvlJc w:val="left"/>
      <w:pPr>
        <w:ind w:left="2880" w:hanging="360"/>
      </w:pPr>
      <w:rPr>
        <w:rFonts w:ascii="Symbol" w:hAnsi="Symbol" w:hint="default"/>
      </w:rPr>
    </w:lvl>
    <w:lvl w:ilvl="4" w:tplc="EE6C3F5A">
      <w:start w:val="1"/>
      <w:numFmt w:val="bullet"/>
      <w:lvlText w:val="o"/>
      <w:lvlJc w:val="left"/>
      <w:pPr>
        <w:ind w:left="3600" w:hanging="360"/>
      </w:pPr>
      <w:rPr>
        <w:rFonts w:ascii="Courier New" w:hAnsi="Courier New" w:hint="default"/>
      </w:rPr>
    </w:lvl>
    <w:lvl w:ilvl="5" w:tplc="E96A3D5E">
      <w:start w:val="1"/>
      <w:numFmt w:val="bullet"/>
      <w:lvlText w:val=""/>
      <w:lvlJc w:val="left"/>
      <w:pPr>
        <w:ind w:left="4320" w:hanging="360"/>
      </w:pPr>
      <w:rPr>
        <w:rFonts w:ascii="Wingdings" w:hAnsi="Wingdings" w:hint="default"/>
      </w:rPr>
    </w:lvl>
    <w:lvl w:ilvl="6" w:tplc="94C60BE6">
      <w:start w:val="1"/>
      <w:numFmt w:val="bullet"/>
      <w:lvlText w:val=""/>
      <w:lvlJc w:val="left"/>
      <w:pPr>
        <w:ind w:left="5040" w:hanging="360"/>
      </w:pPr>
      <w:rPr>
        <w:rFonts w:ascii="Symbol" w:hAnsi="Symbol" w:hint="default"/>
      </w:rPr>
    </w:lvl>
    <w:lvl w:ilvl="7" w:tplc="CDA61518">
      <w:start w:val="1"/>
      <w:numFmt w:val="bullet"/>
      <w:lvlText w:val="o"/>
      <w:lvlJc w:val="left"/>
      <w:pPr>
        <w:ind w:left="5760" w:hanging="360"/>
      </w:pPr>
      <w:rPr>
        <w:rFonts w:ascii="Courier New" w:hAnsi="Courier New" w:hint="default"/>
      </w:rPr>
    </w:lvl>
    <w:lvl w:ilvl="8" w:tplc="BAC8392C">
      <w:start w:val="1"/>
      <w:numFmt w:val="bullet"/>
      <w:lvlText w:val=""/>
      <w:lvlJc w:val="left"/>
      <w:pPr>
        <w:ind w:left="6480" w:hanging="360"/>
      </w:pPr>
      <w:rPr>
        <w:rFonts w:ascii="Wingdings" w:hAnsi="Wingdings" w:hint="default"/>
      </w:rPr>
    </w:lvl>
  </w:abstractNum>
  <w:abstractNum w:abstractNumId="19" w15:restartNumberingAfterBreak="0">
    <w:nsid w:val="38CE6FEB"/>
    <w:multiLevelType w:val="hybridMultilevel"/>
    <w:tmpl w:val="51AEE6F0"/>
    <w:lvl w:ilvl="0" w:tplc="300A0015">
      <w:start w:val="1"/>
      <w:numFmt w:val="upp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0" w15:restartNumberingAfterBreak="0">
    <w:nsid w:val="4252139C"/>
    <w:multiLevelType w:val="hybridMultilevel"/>
    <w:tmpl w:val="15DA9BD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1" w15:restartNumberingAfterBreak="0">
    <w:nsid w:val="4C3F41A4"/>
    <w:multiLevelType w:val="hybridMultilevel"/>
    <w:tmpl w:val="C860AE96"/>
    <w:lvl w:ilvl="0" w:tplc="9E5CD07C">
      <w:start w:val="3"/>
      <w:numFmt w:val="bullet"/>
      <w:lvlText w:val="-"/>
      <w:lvlJc w:val="left"/>
      <w:pPr>
        <w:ind w:left="720" w:hanging="360"/>
      </w:pPr>
      <w:rPr>
        <w:rFonts w:ascii="Times New Roman" w:eastAsia="DejaVu Sans"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C954356"/>
    <w:multiLevelType w:val="hybridMultilevel"/>
    <w:tmpl w:val="9D8A5E3A"/>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3" w15:restartNumberingAfterBreak="0">
    <w:nsid w:val="4D1742C0"/>
    <w:multiLevelType w:val="hybridMultilevel"/>
    <w:tmpl w:val="262A6E6E"/>
    <w:lvl w:ilvl="0" w:tplc="300A0017">
      <w:start w:val="1"/>
      <w:numFmt w:val="lowerLetter"/>
      <w:lvlText w:val="%1)"/>
      <w:lvlJc w:val="left"/>
      <w:pPr>
        <w:ind w:left="1429" w:hanging="360"/>
      </w:pPr>
    </w:lvl>
    <w:lvl w:ilvl="1" w:tplc="300A0019" w:tentative="1">
      <w:start w:val="1"/>
      <w:numFmt w:val="lowerLetter"/>
      <w:lvlText w:val="%2."/>
      <w:lvlJc w:val="left"/>
      <w:pPr>
        <w:ind w:left="2149" w:hanging="360"/>
      </w:pPr>
    </w:lvl>
    <w:lvl w:ilvl="2" w:tplc="300A001B" w:tentative="1">
      <w:start w:val="1"/>
      <w:numFmt w:val="lowerRoman"/>
      <w:lvlText w:val="%3."/>
      <w:lvlJc w:val="right"/>
      <w:pPr>
        <w:ind w:left="2869" w:hanging="180"/>
      </w:pPr>
    </w:lvl>
    <w:lvl w:ilvl="3" w:tplc="300A000F" w:tentative="1">
      <w:start w:val="1"/>
      <w:numFmt w:val="decimal"/>
      <w:lvlText w:val="%4."/>
      <w:lvlJc w:val="left"/>
      <w:pPr>
        <w:ind w:left="3589" w:hanging="360"/>
      </w:pPr>
    </w:lvl>
    <w:lvl w:ilvl="4" w:tplc="300A0019" w:tentative="1">
      <w:start w:val="1"/>
      <w:numFmt w:val="lowerLetter"/>
      <w:lvlText w:val="%5."/>
      <w:lvlJc w:val="left"/>
      <w:pPr>
        <w:ind w:left="4309" w:hanging="360"/>
      </w:pPr>
    </w:lvl>
    <w:lvl w:ilvl="5" w:tplc="300A001B" w:tentative="1">
      <w:start w:val="1"/>
      <w:numFmt w:val="lowerRoman"/>
      <w:lvlText w:val="%6."/>
      <w:lvlJc w:val="right"/>
      <w:pPr>
        <w:ind w:left="5029" w:hanging="180"/>
      </w:pPr>
    </w:lvl>
    <w:lvl w:ilvl="6" w:tplc="300A000F" w:tentative="1">
      <w:start w:val="1"/>
      <w:numFmt w:val="decimal"/>
      <w:lvlText w:val="%7."/>
      <w:lvlJc w:val="left"/>
      <w:pPr>
        <w:ind w:left="5749" w:hanging="360"/>
      </w:pPr>
    </w:lvl>
    <w:lvl w:ilvl="7" w:tplc="300A0019" w:tentative="1">
      <w:start w:val="1"/>
      <w:numFmt w:val="lowerLetter"/>
      <w:lvlText w:val="%8."/>
      <w:lvlJc w:val="left"/>
      <w:pPr>
        <w:ind w:left="6469" w:hanging="360"/>
      </w:pPr>
    </w:lvl>
    <w:lvl w:ilvl="8" w:tplc="300A001B" w:tentative="1">
      <w:start w:val="1"/>
      <w:numFmt w:val="lowerRoman"/>
      <w:lvlText w:val="%9."/>
      <w:lvlJc w:val="right"/>
      <w:pPr>
        <w:ind w:left="7189" w:hanging="180"/>
      </w:pPr>
    </w:lvl>
  </w:abstractNum>
  <w:abstractNum w:abstractNumId="24" w15:restartNumberingAfterBreak="0">
    <w:nsid w:val="4DC36AAC"/>
    <w:multiLevelType w:val="hybridMultilevel"/>
    <w:tmpl w:val="2B2C89A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5" w15:restartNumberingAfterBreak="0">
    <w:nsid w:val="52CC2FB9"/>
    <w:multiLevelType w:val="hybridMultilevel"/>
    <w:tmpl w:val="358452E4"/>
    <w:lvl w:ilvl="0" w:tplc="300A0017">
      <w:start w:val="1"/>
      <w:numFmt w:val="lowerLetter"/>
      <w:lvlText w:val="%1)"/>
      <w:lvlJc w:val="left"/>
      <w:pPr>
        <w:ind w:left="1068" w:hanging="360"/>
      </w:pPr>
    </w:lvl>
    <w:lvl w:ilvl="1" w:tplc="300A0019">
      <w:start w:val="1"/>
      <w:numFmt w:val="lowerLetter"/>
      <w:lvlText w:val="%2."/>
      <w:lvlJc w:val="left"/>
      <w:pPr>
        <w:ind w:left="1788" w:hanging="360"/>
      </w:pPr>
    </w:lvl>
    <w:lvl w:ilvl="2" w:tplc="300A001B" w:tentative="1">
      <w:start w:val="1"/>
      <w:numFmt w:val="lowerRoman"/>
      <w:lvlText w:val="%3."/>
      <w:lvlJc w:val="right"/>
      <w:pPr>
        <w:ind w:left="2508" w:hanging="180"/>
      </w:pPr>
    </w:lvl>
    <w:lvl w:ilvl="3" w:tplc="300A000F" w:tentative="1">
      <w:start w:val="1"/>
      <w:numFmt w:val="decimal"/>
      <w:lvlText w:val="%4."/>
      <w:lvlJc w:val="left"/>
      <w:pPr>
        <w:ind w:left="3228" w:hanging="360"/>
      </w:pPr>
    </w:lvl>
    <w:lvl w:ilvl="4" w:tplc="300A0019" w:tentative="1">
      <w:start w:val="1"/>
      <w:numFmt w:val="lowerLetter"/>
      <w:lvlText w:val="%5."/>
      <w:lvlJc w:val="left"/>
      <w:pPr>
        <w:ind w:left="3948" w:hanging="360"/>
      </w:pPr>
    </w:lvl>
    <w:lvl w:ilvl="5" w:tplc="300A001B" w:tentative="1">
      <w:start w:val="1"/>
      <w:numFmt w:val="lowerRoman"/>
      <w:lvlText w:val="%6."/>
      <w:lvlJc w:val="right"/>
      <w:pPr>
        <w:ind w:left="4668" w:hanging="180"/>
      </w:pPr>
    </w:lvl>
    <w:lvl w:ilvl="6" w:tplc="300A000F" w:tentative="1">
      <w:start w:val="1"/>
      <w:numFmt w:val="decimal"/>
      <w:lvlText w:val="%7."/>
      <w:lvlJc w:val="left"/>
      <w:pPr>
        <w:ind w:left="5388" w:hanging="360"/>
      </w:pPr>
    </w:lvl>
    <w:lvl w:ilvl="7" w:tplc="300A0019" w:tentative="1">
      <w:start w:val="1"/>
      <w:numFmt w:val="lowerLetter"/>
      <w:lvlText w:val="%8."/>
      <w:lvlJc w:val="left"/>
      <w:pPr>
        <w:ind w:left="6108" w:hanging="360"/>
      </w:pPr>
    </w:lvl>
    <w:lvl w:ilvl="8" w:tplc="300A001B" w:tentative="1">
      <w:start w:val="1"/>
      <w:numFmt w:val="lowerRoman"/>
      <w:lvlText w:val="%9."/>
      <w:lvlJc w:val="right"/>
      <w:pPr>
        <w:ind w:left="6828" w:hanging="180"/>
      </w:pPr>
    </w:lvl>
  </w:abstractNum>
  <w:abstractNum w:abstractNumId="26" w15:restartNumberingAfterBreak="0">
    <w:nsid w:val="561A6A48"/>
    <w:multiLevelType w:val="hybridMultilevel"/>
    <w:tmpl w:val="13F28D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72D1DE8"/>
    <w:multiLevelType w:val="hybridMultilevel"/>
    <w:tmpl w:val="62A60DCE"/>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8" w15:restartNumberingAfterBreak="0">
    <w:nsid w:val="5AED1045"/>
    <w:multiLevelType w:val="hybridMultilevel"/>
    <w:tmpl w:val="32E8727C"/>
    <w:lvl w:ilvl="0" w:tplc="94FC21E6">
      <w:start w:val="1"/>
      <w:numFmt w:val="decimal"/>
      <w:pStyle w:val="Recomendaciones"/>
      <w:lvlText w:val="%1)"/>
      <w:lvlJc w:val="left"/>
      <w:pPr>
        <w:ind w:left="1428" w:hanging="360"/>
      </w:pPr>
    </w:lvl>
    <w:lvl w:ilvl="1" w:tplc="300A0019" w:tentative="1">
      <w:start w:val="1"/>
      <w:numFmt w:val="lowerLetter"/>
      <w:lvlText w:val="%2."/>
      <w:lvlJc w:val="left"/>
      <w:pPr>
        <w:ind w:left="2148" w:hanging="360"/>
      </w:pPr>
    </w:lvl>
    <w:lvl w:ilvl="2" w:tplc="300A001B" w:tentative="1">
      <w:start w:val="1"/>
      <w:numFmt w:val="lowerRoman"/>
      <w:lvlText w:val="%3."/>
      <w:lvlJc w:val="right"/>
      <w:pPr>
        <w:ind w:left="2868" w:hanging="180"/>
      </w:pPr>
    </w:lvl>
    <w:lvl w:ilvl="3" w:tplc="300A000F" w:tentative="1">
      <w:start w:val="1"/>
      <w:numFmt w:val="decimal"/>
      <w:lvlText w:val="%4."/>
      <w:lvlJc w:val="left"/>
      <w:pPr>
        <w:ind w:left="3588" w:hanging="360"/>
      </w:pPr>
    </w:lvl>
    <w:lvl w:ilvl="4" w:tplc="300A0019" w:tentative="1">
      <w:start w:val="1"/>
      <w:numFmt w:val="lowerLetter"/>
      <w:lvlText w:val="%5."/>
      <w:lvlJc w:val="left"/>
      <w:pPr>
        <w:ind w:left="4308" w:hanging="360"/>
      </w:pPr>
    </w:lvl>
    <w:lvl w:ilvl="5" w:tplc="300A001B" w:tentative="1">
      <w:start w:val="1"/>
      <w:numFmt w:val="lowerRoman"/>
      <w:lvlText w:val="%6."/>
      <w:lvlJc w:val="right"/>
      <w:pPr>
        <w:ind w:left="5028" w:hanging="180"/>
      </w:pPr>
    </w:lvl>
    <w:lvl w:ilvl="6" w:tplc="300A000F" w:tentative="1">
      <w:start w:val="1"/>
      <w:numFmt w:val="decimal"/>
      <w:lvlText w:val="%7."/>
      <w:lvlJc w:val="left"/>
      <w:pPr>
        <w:ind w:left="5748" w:hanging="360"/>
      </w:pPr>
    </w:lvl>
    <w:lvl w:ilvl="7" w:tplc="300A0019" w:tentative="1">
      <w:start w:val="1"/>
      <w:numFmt w:val="lowerLetter"/>
      <w:lvlText w:val="%8."/>
      <w:lvlJc w:val="left"/>
      <w:pPr>
        <w:ind w:left="6468" w:hanging="360"/>
      </w:pPr>
    </w:lvl>
    <w:lvl w:ilvl="8" w:tplc="300A001B" w:tentative="1">
      <w:start w:val="1"/>
      <w:numFmt w:val="lowerRoman"/>
      <w:lvlText w:val="%9."/>
      <w:lvlJc w:val="right"/>
      <w:pPr>
        <w:ind w:left="7188" w:hanging="180"/>
      </w:pPr>
    </w:lvl>
  </w:abstractNum>
  <w:abstractNum w:abstractNumId="29" w15:restartNumberingAfterBreak="0">
    <w:nsid w:val="5C4B78E5"/>
    <w:multiLevelType w:val="hybridMultilevel"/>
    <w:tmpl w:val="816C6CCE"/>
    <w:lvl w:ilvl="0" w:tplc="300A0017">
      <w:start w:val="1"/>
      <w:numFmt w:val="lowerLetter"/>
      <w:lvlText w:val="%1)"/>
      <w:lvlJc w:val="left"/>
      <w:pPr>
        <w:ind w:left="720" w:hanging="360"/>
      </w:p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0" w15:restartNumberingAfterBreak="0">
    <w:nsid w:val="613B6A7E"/>
    <w:multiLevelType w:val="hybridMultilevel"/>
    <w:tmpl w:val="8CD2BE68"/>
    <w:lvl w:ilvl="0" w:tplc="56C41BF0">
      <w:start w:val="1"/>
      <w:numFmt w:val="bullet"/>
      <w:lvlText w:val=""/>
      <w:lvlJc w:val="left"/>
      <w:pPr>
        <w:ind w:left="720" w:hanging="360"/>
      </w:pPr>
      <w:rPr>
        <w:rFonts w:ascii="Symbol" w:hAnsi="Symbol" w:hint="default"/>
      </w:rPr>
    </w:lvl>
    <w:lvl w:ilvl="1" w:tplc="07C448AC">
      <w:start w:val="1"/>
      <w:numFmt w:val="bullet"/>
      <w:lvlText w:val="o"/>
      <w:lvlJc w:val="left"/>
      <w:pPr>
        <w:ind w:left="1440" w:hanging="360"/>
      </w:pPr>
      <w:rPr>
        <w:rFonts w:ascii="Courier New" w:hAnsi="Courier New" w:hint="default"/>
      </w:rPr>
    </w:lvl>
    <w:lvl w:ilvl="2" w:tplc="520C0F62">
      <w:start w:val="1"/>
      <w:numFmt w:val="bullet"/>
      <w:lvlText w:val=""/>
      <w:lvlJc w:val="left"/>
      <w:pPr>
        <w:ind w:left="2160" w:hanging="360"/>
      </w:pPr>
      <w:rPr>
        <w:rFonts w:ascii="Wingdings" w:hAnsi="Wingdings" w:hint="default"/>
      </w:rPr>
    </w:lvl>
    <w:lvl w:ilvl="3" w:tplc="8BC4549C">
      <w:start w:val="1"/>
      <w:numFmt w:val="bullet"/>
      <w:lvlText w:val=""/>
      <w:lvlJc w:val="left"/>
      <w:pPr>
        <w:ind w:left="2880" w:hanging="360"/>
      </w:pPr>
      <w:rPr>
        <w:rFonts w:ascii="Symbol" w:hAnsi="Symbol" w:hint="default"/>
      </w:rPr>
    </w:lvl>
    <w:lvl w:ilvl="4" w:tplc="6290CA78">
      <w:start w:val="1"/>
      <w:numFmt w:val="bullet"/>
      <w:lvlText w:val="o"/>
      <w:lvlJc w:val="left"/>
      <w:pPr>
        <w:ind w:left="3600" w:hanging="360"/>
      </w:pPr>
      <w:rPr>
        <w:rFonts w:ascii="Courier New" w:hAnsi="Courier New" w:hint="default"/>
      </w:rPr>
    </w:lvl>
    <w:lvl w:ilvl="5" w:tplc="1B90C9B6">
      <w:start w:val="1"/>
      <w:numFmt w:val="bullet"/>
      <w:lvlText w:val=""/>
      <w:lvlJc w:val="left"/>
      <w:pPr>
        <w:ind w:left="4320" w:hanging="360"/>
      </w:pPr>
      <w:rPr>
        <w:rFonts w:ascii="Wingdings" w:hAnsi="Wingdings" w:hint="default"/>
      </w:rPr>
    </w:lvl>
    <w:lvl w:ilvl="6" w:tplc="D6E471FA">
      <w:start w:val="1"/>
      <w:numFmt w:val="bullet"/>
      <w:lvlText w:val=""/>
      <w:lvlJc w:val="left"/>
      <w:pPr>
        <w:ind w:left="5040" w:hanging="360"/>
      </w:pPr>
      <w:rPr>
        <w:rFonts w:ascii="Symbol" w:hAnsi="Symbol" w:hint="default"/>
      </w:rPr>
    </w:lvl>
    <w:lvl w:ilvl="7" w:tplc="E85486D6">
      <w:start w:val="1"/>
      <w:numFmt w:val="bullet"/>
      <w:lvlText w:val="o"/>
      <w:lvlJc w:val="left"/>
      <w:pPr>
        <w:ind w:left="5760" w:hanging="360"/>
      </w:pPr>
      <w:rPr>
        <w:rFonts w:ascii="Courier New" w:hAnsi="Courier New" w:hint="default"/>
      </w:rPr>
    </w:lvl>
    <w:lvl w:ilvl="8" w:tplc="5FCEC254">
      <w:start w:val="1"/>
      <w:numFmt w:val="bullet"/>
      <w:lvlText w:val=""/>
      <w:lvlJc w:val="left"/>
      <w:pPr>
        <w:ind w:left="6480" w:hanging="360"/>
      </w:pPr>
      <w:rPr>
        <w:rFonts w:ascii="Wingdings" w:hAnsi="Wingdings" w:hint="default"/>
      </w:rPr>
    </w:lvl>
  </w:abstractNum>
  <w:abstractNum w:abstractNumId="31" w15:restartNumberingAfterBreak="0">
    <w:nsid w:val="667E498A"/>
    <w:multiLevelType w:val="hybridMultilevel"/>
    <w:tmpl w:val="3C668C0A"/>
    <w:lvl w:ilvl="0" w:tplc="D92CF338">
      <w:start w:val="1"/>
      <w:numFmt w:val="upperLetter"/>
      <w:lvlText w:val="%1)"/>
      <w:lvlJc w:val="left"/>
      <w:pPr>
        <w:ind w:left="927" w:hanging="360"/>
      </w:pPr>
      <w:rPr>
        <w:rFonts w:hint="default"/>
      </w:rPr>
    </w:lvl>
    <w:lvl w:ilvl="1" w:tplc="300A0019">
      <w:start w:val="1"/>
      <w:numFmt w:val="lowerLetter"/>
      <w:lvlText w:val="%2."/>
      <w:lvlJc w:val="left"/>
      <w:pPr>
        <w:ind w:left="1647" w:hanging="360"/>
      </w:pPr>
    </w:lvl>
    <w:lvl w:ilvl="2" w:tplc="300A001B">
      <w:start w:val="1"/>
      <w:numFmt w:val="lowerRoman"/>
      <w:lvlText w:val="%3."/>
      <w:lvlJc w:val="right"/>
      <w:pPr>
        <w:ind w:left="2367" w:hanging="180"/>
      </w:pPr>
    </w:lvl>
    <w:lvl w:ilvl="3" w:tplc="300A000F" w:tentative="1">
      <w:start w:val="1"/>
      <w:numFmt w:val="decimal"/>
      <w:lvlText w:val="%4."/>
      <w:lvlJc w:val="left"/>
      <w:pPr>
        <w:ind w:left="3087" w:hanging="360"/>
      </w:pPr>
    </w:lvl>
    <w:lvl w:ilvl="4" w:tplc="300A0019" w:tentative="1">
      <w:start w:val="1"/>
      <w:numFmt w:val="lowerLetter"/>
      <w:lvlText w:val="%5."/>
      <w:lvlJc w:val="left"/>
      <w:pPr>
        <w:ind w:left="3807" w:hanging="360"/>
      </w:pPr>
    </w:lvl>
    <w:lvl w:ilvl="5" w:tplc="300A001B" w:tentative="1">
      <w:start w:val="1"/>
      <w:numFmt w:val="lowerRoman"/>
      <w:lvlText w:val="%6."/>
      <w:lvlJc w:val="right"/>
      <w:pPr>
        <w:ind w:left="4527" w:hanging="180"/>
      </w:pPr>
    </w:lvl>
    <w:lvl w:ilvl="6" w:tplc="300A000F" w:tentative="1">
      <w:start w:val="1"/>
      <w:numFmt w:val="decimal"/>
      <w:lvlText w:val="%7."/>
      <w:lvlJc w:val="left"/>
      <w:pPr>
        <w:ind w:left="5247" w:hanging="360"/>
      </w:pPr>
    </w:lvl>
    <w:lvl w:ilvl="7" w:tplc="300A0019" w:tentative="1">
      <w:start w:val="1"/>
      <w:numFmt w:val="lowerLetter"/>
      <w:lvlText w:val="%8."/>
      <w:lvlJc w:val="left"/>
      <w:pPr>
        <w:ind w:left="5967" w:hanging="360"/>
      </w:pPr>
    </w:lvl>
    <w:lvl w:ilvl="8" w:tplc="300A001B" w:tentative="1">
      <w:start w:val="1"/>
      <w:numFmt w:val="lowerRoman"/>
      <w:lvlText w:val="%9."/>
      <w:lvlJc w:val="right"/>
      <w:pPr>
        <w:ind w:left="6687" w:hanging="180"/>
      </w:pPr>
    </w:lvl>
  </w:abstractNum>
  <w:abstractNum w:abstractNumId="32" w15:restartNumberingAfterBreak="0">
    <w:nsid w:val="687811FB"/>
    <w:multiLevelType w:val="hybridMultilevel"/>
    <w:tmpl w:val="79EE1BCA"/>
    <w:lvl w:ilvl="0" w:tplc="300A0017">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3" w15:restartNumberingAfterBreak="0">
    <w:nsid w:val="69581900"/>
    <w:multiLevelType w:val="hybridMultilevel"/>
    <w:tmpl w:val="9F0C313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C9F5CFB"/>
    <w:multiLevelType w:val="hybridMultilevel"/>
    <w:tmpl w:val="9C0290B6"/>
    <w:lvl w:ilvl="0" w:tplc="739A57FA">
      <w:start w:val="9"/>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6FFD5532"/>
    <w:multiLevelType w:val="hybridMultilevel"/>
    <w:tmpl w:val="5348443E"/>
    <w:lvl w:ilvl="0" w:tplc="62364920">
      <w:start w:val="1"/>
      <w:numFmt w:val="bullet"/>
      <w:lvlText w:val=""/>
      <w:lvlJc w:val="left"/>
      <w:pPr>
        <w:ind w:left="720" w:hanging="360"/>
      </w:pPr>
      <w:rPr>
        <w:rFonts w:ascii="Symbol" w:hAnsi="Symbol" w:hint="default"/>
      </w:rPr>
    </w:lvl>
    <w:lvl w:ilvl="1" w:tplc="AC3CF794">
      <w:start w:val="1"/>
      <w:numFmt w:val="bullet"/>
      <w:lvlText w:val="o"/>
      <w:lvlJc w:val="left"/>
      <w:pPr>
        <w:ind w:left="1440" w:hanging="360"/>
      </w:pPr>
      <w:rPr>
        <w:rFonts w:ascii="Courier New" w:hAnsi="Courier New" w:hint="default"/>
      </w:rPr>
    </w:lvl>
    <w:lvl w:ilvl="2" w:tplc="91B2C172">
      <w:start w:val="1"/>
      <w:numFmt w:val="bullet"/>
      <w:lvlText w:val=""/>
      <w:lvlJc w:val="left"/>
      <w:pPr>
        <w:ind w:left="2160" w:hanging="360"/>
      </w:pPr>
      <w:rPr>
        <w:rFonts w:ascii="Wingdings" w:hAnsi="Wingdings" w:hint="default"/>
      </w:rPr>
    </w:lvl>
    <w:lvl w:ilvl="3" w:tplc="E0ACD3EC">
      <w:start w:val="1"/>
      <w:numFmt w:val="bullet"/>
      <w:lvlText w:val=""/>
      <w:lvlJc w:val="left"/>
      <w:pPr>
        <w:ind w:left="2880" w:hanging="360"/>
      </w:pPr>
      <w:rPr>
        <w:rFonts w:ascii="Symbol" w:hAnsi="Symbol" w:hint="default"/>
      </w:rPr>
    </w:lvl>
    <w:lvl w:ilvl="4" w:tplc="8730D792">
      <w:start w:val="1"/>
      <w:numFmt w:val="bullet"/>
      <w:lvlText w:val="o"/>
      <w:lvlJc w:val="left"/>
      <w:pPr>
        <w:ind w:left="3600" w:hanging="360"/>
      </w:pPr>
      <w:rPr>
        <w:rFonts w:ascii="Courier New" w:hAnsi="Courier New" w:hint="default"/>
      </w:rPr>
    </w:lvl>
    <w:lvl w:ilvl="5" w:tplc="B39E4AAE">
      <w:start w:val="1"/>
      <w:numFmt w:val="bullet"/>
      <w:lvlText w:val=""/>
      <w:lvlJc w:val="left"/>
      <w:pPr>
        <w:ind w:left="4320" w:hanging="360"/>
      </w:pPr>
      <w:rPr>
        <w:rFonts w:ascii="Wingdings" w:hAnsi="Wingdings" w:hint="default"/>
      </w:rPr>
    </w:lvl>
    <w:lvl w:ilvl="6" w:tplc="67140354">
      <w:start w:val="1"/>
      <w:numFmt w:val="bullet"/>
      <w:lvlText w:val=""/>
      <w:lvlJc w:val="left"/>
      <w:pPr>
        <w:ind w:left="5040" w:hanging="360"/>
      </w:pPr>
      <w:rPr>
        <w:rFonts w:ascii="Symbol" w:hAnsi="Symbol" w:hint="default"/>
      </w:rPr>
    </w:lvl>
    <w:lvl w:ilvl="7" w:tplc="2878D6F2">
      <w:start w:val="1"/>
      <w:numFmt w:val="bullet"/>
      <w:lvlText w:val="o"/>
      <w:lvlJc w:val="left"/>
      <w:pPr>
        <w:ind w:left="5760" w:hanging="360"/>
      </w:pPr>
      <w:rPr>
        <w:rFonts w:ascii="Courier New" w:hAnsi="Courier New" w:hint="default"/>
      </w:rPr>
    </w:lvl>
    <w:lvl w:ilvl="8" w:tplc="7BC25B7C">
      <w:start w:val="1"/>
      <w:numFmt w:val="bullet"/>
      <w:lvlText w:val=""/>
      <w:lvlJc w:val="left"/>
      <w:pPr>
        <w:ind w:left="6480" w:hanging="360"/>
      </w:pPr>
      <w:rPr>
        <w:rFonts w:ascii="Wingdings" w:hAnsi="Wingdings" w:hint="default"/>
      </w:rPr>
    </w:lvl>
  </w:abstractNum>
  <w:abstractNum w:abstractNumId="37" w15:restartNumberingAfterBreak="0">
    <w:nsid w:val="710D558E"/>
    <w:multiLevelType w:val="hybridMultilevel"/>
    <w:tmpl w:val="C4C4258A"/>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8" w15:restartNumberingAfterBreak="0">
    <w:nsid w:val="788DB9A0"/>
    <w:multiLevelType w:val="hybridMultilevel"/>
    <w:tmpl w:val="23DE70CC"/>
    <w:lvl w:ilvl="0" w:tplc="9C4A3D92">
      <w:start w:val="1"/>
      <w:numFmt w:val="decimal"/>
      <w:lvlText w:val="%1."/>
      <w:lvlJc w:val="left"/>
      <w:pPr>
        <w:ind w:left="720" w:hanging="360"/>
      </w:pPr>
    </w:lvl>
    <w:lvl w:ilvl="1" w:tplc="60A2A934">
      <w:start w:val="1"/>
      <w:numFmt w:val="lowerLetter"/>
      <w:lvlText w:val="%2."/>
      <w:lvlJc w:val="left"/>
      <w:pPr>
        <w:ind w:left="1440" w:hanging="360"/>
      </w:pPr>
    </w:lvl>
    <w:lvl w:ilvl="2" w:tplc="C494EFC2">
      <w:start w:val="1"/>
      <w:numFmt w:val="lowerRoman"/>
      <w:lvlText w:val="%3."/>
      <w:lvlJc w:val="right"/>
      <w:pPr>
        <w:ind w:left="2160" w:hanging="180"/>
      </w:pPr>
    </w:lvl>
    <w:lvl w:ilvl="3" w:tplc="8F7272FC">
      <w:start w:val="1"/>
      <w:numFmt w:val="decimal"/>
      <w:lvlText w:val="%4."/>
      <w:lvlJc w:val="left"/>
      <w:pPr>
        <w:ind w:left="2880" w:hanging="360"/>
      </w:pPr>
    </w:lvl>
    <w:lvl w:ilvl="4" w:tplc="D2989A5C">
      <w:start w:val="1"/>
      <w:numFmt w:val="lowerLetter"/>
      <w:lvlText w:val="%5."/>
      <w:lvlJc w:val="left"/>
      <w:pPr>
        <w:ind w:left="3600" w:hanging="360"/>
      </w:pPr>
    </w:lvl>
    <w:lvl w:ilvl="5" w:tplc="52363150">
      <w:start w:val="1"/>
      <w:numFmt w:val="lowerRoman"/>
      <w:lvlText w:val="%6."/>
      <w:lvlJc w:val="right"/>
      <w:pPr>
        <w:ind w:left="4320" w:hanging="180"/>
      </w:pPr>
    </w:lvl>
    <w:lvl w:ilvl="6" w:tplc="12E4F122">
      <w:start w:val="1"/>
      <w:numFmt w:val="decimal"/>
      <w:lvlText w:val="%7."/>
      <w:lvlJc w:val="left"/>
      <w:pPr>
        <w:ind w:left="5040" w:hanging="360"/>
      </w:pPr>
    </w:lvl>
    <w:lvl w:ilvl="7" w:tplc="32B80304">
      <w:start w:val="1"/>
      <w:numFmt w:val="lowerLetter"/>
      <w:lvlText w:val="%8."/>
      <w:lvlJc w:val="left"/>
      <w:pPr>
        <w:ind w:left="5760" w:hanging="360"/>
      </w:pPr>
    </w:lvl>
    <w:lvl w:ilvl="8" w:tplc="0D9EDE9A">
      <w:start w:val="1"/>
      <w:numFmt w:val="lowerRoman"/>
      <w:lvlText w:val="%9."/>
      <w:lvlJc w:val="right"/>
      <w:pPr>
        <w:ind w:left="6480" w:hanging="180"/>
      </w:pPr>
    </w:lvl>
  </w:abstractNum>
  <w:abstractNum w:abstractNumId="39" w15:restartNumberingAfterBreak="0">
    <w:nsid w:val="7B251545"/>
    <w:multiLevelType w:val="hybridMultilevel"/>
    <w:tmpl w:val="CDA4873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15:restartNumberingAfterBreak="0">
    <w:nsid w:val="7F34305B"/>
    <w:multiLevelType w:val="hybridMultilevel"/>
    <w:tmpl w:val="B5C00DE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7444169">
    <w:abstractNumId w:val="27"/>
  </w:num>
  <w:num w:numId="2" w16cid:durableId="1895047775">
    <w:abstractNumId w:val="8"/>
  </w:num>
  <w:num w:numId="3" w16cid:durableId="1014185070">
    <w:abstractNumId w:val="2"/>
  </w:num>
  <w:num w:numId="4" w16cid:durableId="646397066">
    <w:abstractNumId w:val="20"/>
  </w:num>
  <w:num w:numId="5" w16cid:durableId="1878930435">
    <w:abstractNumId w:val="7"/>
  </w:num>
  <w:num w:numId="6" w16cid:durableId="706106443">
    <w:abstractNumId w:val="34"/>
  </w:num>
  <w:num w:numId="7" w16cid:durableId="907151148">
    <w:abstractNumId w:val="28"/>
  </w:num>
  <w:num w:numId="8" w16cid:durableId="1337424019">
    <w:abstractNumId w:val="25"/>
  </w:num>
  <w:num w:numId="9" w16cid:durableId="563685369">
    <w:abstractNumId w:val="29"/>
  </w:num>
  <w:num w:numId="10" w16cid:durableId="215239919">
    <w:abstractNumId w:val="39"/>
  </w:num>
  <w:num w:numId="11" w16cid:durableId="1123959113">
    <w:abstractNumId w:val="4"/>
  </w:num>
  <w:num w:numId="12" w16cid:durableId="289022656">
    <w:abstractNumId w:val="12"/>
  </w:num>
  <w:num w:numId="13" w16cid:durableId="16852236">
    <w:abstractNumId w:val="6"/>
  </w:num>
  <w:num w:numId="14" w16cid:durableId="548478">
    <w:abstractNumId w:val="6"/>
    <w:lvlOverride w:ilvl="0">
      <w:startOverride w:val="1"/>
    </w:lvlOverride>
  </w:num>
  <w:num w:numId="15" w16cid:durableId="700938489">
    <w:abstractNumId w:val="1"/>
  </w:num>
  <w:num w:numId="16" w16cid:durableId="1572349292">
    <w:abstractNumId w:val="26"/>
  </w:num>
  <w:num w:numId="17" w16cid:durableId="915557545">
    <w:abstractNumId w:val="40"/>
  </w:num>
  <w:num w:numId="18" w16cid:durableId="354305369">
    <w:abstractNumId w:val="0"/>
  </w:num>
  <w:num w:numId="19" w16cid:durableId="1148521186">
    <w:abstractNumId w:val="14"/>
  </w:num>
  <w:num w:numId="20" w16cid:durableId="1442651308">
    <w:abstractNumId w:val="22"/>
  </w:num>
  <w:num w:numId="21" w16cid:durableId="459033432">
    <w:abstractNumId w:val="23"/>
  </w:num>
  <w:num w:numId="22" w16cid:durableId="1898323526">
    <w:abstractNumId w:val="5"/>
  </w:num>
  <w:num w:numId="23" w16cid:durableId="1717121807">
    <w:abstractNumId w:val="35"/>
  </w:num>
  <w:num w:numId="24" w16cid:durableId="1205827641">
    <w:abstractNumId w:val="32"/>
  </w:num>
  <w:num w:numId="25" w16cid:durableId="1461456742">
    <w:abstractNumId w:val="15"/>
  </w:num>
  <w:num w:numId="26" w16cid:durableId="1758016874">
    <w:abstractNumId w:val="17"/>
  </w:num>
  <w:num w:numId="27" w16cid:durableId="1635911799">
    <w:abstractNumId w:val="38"/>
  </w:num>
  <w:num w:numId="28" w16cid:durableId="1112440286">
    <w:abstractNumId w:val="30"/>
  </w:num>
  <w:num w:numId="29" w16cid:durableId="946155065">
    <w:abstractNumId w:val="16"/>
  </w:num>
  <w:num w:numId="30" w16cid:durableId="691498166">
    <w:abstractNumId w:val="36"/>
  </w:num>
  <w:num w:numId="31" w16cid:durableId="490293992">
    <w:abstractNumId w:val="18"/>
  </w:num>
  <w:num w:numId="32" w16cid:durableId="1746028259">
    <w:abstractNumId w:val="9"/>
  </w:num>
  <w:num w:numId="33" w16cid:durableId="1962566247">
    <w:abstractNumId w:val="37"/>
  </w:num>
  <w:num w:numId="34" w16cid:durableId="715815783">
    <w:abstractNumId w:val="24"/>
  </w:num>
  <w:num w:numId="35" w16cid:durableId="1143237444">
    <w:abstractNumId w:val="33"/>
  </w:num>
  <w:num w:numId="36" w16cid:durableId="1263414289">
    <w:abstractNumId w:val="3"/>
  </w:num>
  <w:num w:numId="37" w16cid:durableId="227106864">
    <w:abstractNumId w:val="11"/>
  </w:num>
  <w:num w:numId="38" w16cid:durableId="1858107844">
    <w:abstractNumId w:val="19"/>
  </w:num>
  <w:num w:numId="39" w16cid:durableId="982200328">
    <w:abstractNumId w:val="13"/>
  </w:num>
  <w:num w:numId="40" w16cid:durableId="1946956475">
    <w:abstractNumId w:val="10"/>
  </w:num>
  <w:num w:numId="41" w16cid:durableId="1059405881">
    <w:abstractNumId w:val="21"/>
  </w:num>
  <w:num w:numId="42" w16cid:durableId="1930698958">
    <w:abstractNumId w:val="3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A05"/>
    <w:rsid w:val="0000126E"/>
    <w:rsid w:val="0001397F"/>
    <w:rsid w:val="00014A3E"/>
    <w:rsid w:val="000166A9"/>
    <w:rsid w:val="000225E9"/>
    <w:rsid w:val="00027ECC"/>
    <w:rsid w:val="0003494B"/>
    <w:rsid w:val="00041722"/>
    <w:rsid w:val="00047FC8"/>
    <w:rsid w:val="00050706"/>
    <w:rsid w:val="000550C8"/>
    <w:rsid w:val="00056D39"/>
    <w:rsid w:val="00057004"/>
    <w:rsid w:val="00064371"/>
    <w:rsid w:val="00064C6D"/>
    <w:rsid w:val="00064E3F"/>
    <w:rsid w:val="00066AE9"/>
    <w:rsid w:val="00070C4B"/>
    <w:rsid w:val="00073443"/>
    <w:rsid w:val="0007516C"/>
    <w:rsid w:val="000753B6"/>
    <w:rsid w:val="000759BA"/>
    <w:rsid w:val="00076A95"/>
    <w:rsid w:val="000808F4"/>
    <w:rsid w:val="00086423"/>
    <w:rsid w:val="00092E09"/>
    <w:rsid w:val="00092F3A"/>
    <w:rsid w:val="0009777C"/>
    <w:rsid w:val="000A0045"/>
    <w:rsid w:val="000B18B3"/>
    <w:rsid w:val="000B45F3"/>
    <w:rsid w:val="000B5C42"/>
    <w:rsid w:val="000B7AF9"/>
    <w:rsid w:val="000C2561"/>
    <w:rsid w:val="000C5406"/>
    <w:rsid w:val="000D5960"/>
    <w:rsid w:val="000D63B2"/>
    <w:rsid w:val="000E1571"/>
    <w:rsid w:val="000F1076"/>
    <w:rsid w:val="000F3E52"/>
    <w:rsid w:val="00101B11"/>
    <w:rsid w:val="0010217F"/>
    <w:rsid w:val="00103A8B"/>
    <w:rsid w:val="00104E14"/>
    <w:rsid w:val="00104F16"/>
    <w:rsid w:val="00112604"/>
    <w:rsid w:val="00115E5D"/>
    <w:rsid w:val="00122028"/>
    <w:rsid w:val="00122BA4"/>
    <w:rsid w:val="00126372"/>
    <w:rsid w:val="001272C7"/>
    <w:rsid w:val="0013165A"/>
    <w:rsid w:val="0013324E"/>
    <w:rsid w:val="001342F8"/>
    <w:rsid w:val="00134B1E"/>
    <w:rsid w:val="00134D32"/>
    <w:rsid w:val="00142CDC"/>
    <w:rsid w:val="00144082"/>
    <w:rsid w:val="00144CD5"/>
    <w:rsid w:val="001450E7"/>
    <w:rsid w:val="00147BA5"/>
    <w:rsid w:val="001559E3"/>
    <w:rsid w:val="00156067"/>
    <w:rsid w:val="0015692C"/>
    <w:rsid w:val="001575BD"/>
    <w:rsid w:val="00157EDA"/>
    <w:rsid w:val="00160644"/>
    <w:rsid w:val="001616B4"/>
    <w:rsid w:val="00162A01"/>
    <w:rsid w:val="00166E92"/>
    <w:rsid w:val="00176F0C"/>
    <w:rsid w:val="0018416F"/>
    <w:rsid w:val="001854FB"/>
    <w:rsid w:val="00191CAD"/>
    <w:rsid w:val="00192DD9"/>
    <w:rsid w:val="00193642"/>
    <w:rsid w:val="00193764"/>
    <w:rsid w:val="00193ADB"/>
    <w:rsid w:val="001961D3"/>
    <w:rsid w:val="001A1330"/>
    <w:rsid w:val="001A157E"/>
    <w:rsid w:val="001A2F70"/>
    <w:rsid w:val="001A629C"/>
    <w:rsid w:val="001A7320"/>
    <w:rsid w:val="001B341F"/>
    <w:rsid w:val="001B53EB"/>
    <w:rsid w:val="001C2DA7"/>
    <w:rsid w:val="001C39F6"/>
    <w:rsid w:val="001C5B6A"/>
    <w:rsid w:val="001C66FE"/>
    <w:rsid w:val="001C77B1"/>
    <w:rsid w:val="001D533B"/>
    <w:rsid w:val="001D6904"/>
    <w:rsid w:val="001D7E59"/>
    <w:rsid w:val="001F1126"/>
    <w:rsid w:val="001F3288"/>
    <w:rsid w:val="001F3D59"/>
    <w:rsid w:val="001F58E5"/>
    <w:rsid w:val="00200277"/>
    <w:rsid w:val="00203ED5"/>
    <w:rsid w:val="002069FB"/>
    <w:rsid w:val="00213684"/>
    <w:rsid w:val="00221EBD"/>
    <w:rsid w:val="00223DE8"/>
    <w:rsid w:val="0022729F"/>
    <w:rsid w:val="00232164"/>
    <w:rsid w:val="00236E6D"/>
    <w:rsid w:val="00241B06"/>
    <w:rsid w:val="002429E5"/>
    <w:rsid w:val="00244655"/>
    <w:rsid w:val="00244C7A"/>
    <w:rsid w:val="0025783F"/>
    <w:rsid w:val="002612E9"/>
    <w:rsid w:val="00261FA1"/>
    <w:rsid w:val="00263AAD"/>
    <w:rsid w:val="002667C5"/>
    <w:rsid w:val="00270A64"/>
    <w:rsid w:val="002754A0"/>
    <w:rsid w:val="00276DAD"/>
    <w:rsid w:val="00280CEF"/>
    <w:rsid w:val="002811FB"/>
    <w:rsid w:val="00282BE1"/>
    <w:rsid w:val="0028319F"/>
    <w:rsid w:val="002845BE"/>
    <w:rsid w:val="00284BDC"/>
    <w:rsid w:val="002850BD"/>
    <w:rsid w:val="0028757A"/>
    <w:rsid w:val="00287C4D"/>
    <w:rsid w:val="00290C33"/>
    <w:rsid w:val="002912B2"/>
    <w:rsid w:val="00294918"/>
    <w:rsid w:val="00296069"/>
    <w:rsid w:val="00296C59"/>
    <w:rsid w:val="002A1F8A"/>
    <w:rsid w:val="002A6723"/>
    <w:rsid w:val="002A6946"/>
    <w:rsid w:val="002A74F1"/>
    <w:rsid w:val="002A7818"/>
    <w:rsid w:val="002B05BF"/>
    <w:rsid w:val="002C213A"/>
    <w:rsid w:val="002C57F1"/>
    <w:rsid w:val="002D33F9"/>
    <w:rsid w:val="002D449B"/>
    <w:rsid w:val="002E0A65"/>
    <w:rsid w:val="002E13BC"/>
    <w:rsid w:val="002E2412"/>
    <w:rsid w:val="002E2492"/>
    <w:rsid w:val="002F18FD"/>
    <w:rsid w:val="002F3DAB"/>
    <w:rsid w:val="002F3DCA"/>
    <w:rsid w:val="002F666A"/>
    <w:rsid w:val="002F6F7C"/>
    <w:rsid w:val="0030468B"/>
    <w:rsid w:val="00304BD0"/>
    <w:rsid w:val="00305CCA"/>
    <w:rsid w:val="00306693"/>
    <w:rsid w:val="00307D77"/>
    <w:rsid w:val="00311311"/>
    <w:rsid w:val="00313E9E"/>
    <w:rsid w:val="00314230"/>
    <w:rsid w:val="003150D5"/>
    <w:rsid w:val="003151C7"/>
    <w:rsid w:val="00316A79"/>
    <w:rsid w:val="00320F78"/>
    <w:rsid w:val="003231EE"/>
    <w:rsid w:val="00331ABE"/>
    <w:rsid w:val="003349D5"/>
    <w:rsid w:val="00335642"/>
    <w:rsid w:val="00346990"/>
    <w:rsid w:val="0034726C"/>
    <w:rsid w:val="00347573"/>
    <w:rsid w:val="003501C3"/>
    <w:rsid w:val="00350BD5"/>
    <w:rsid w:val="00351BB9"/>
    <w:rsid w:val="00354A8D"/>
    <w:rsid w:val="003561B0"/>
    <w:rsid w:val="0035768F"/>
    <w:rsid w:val="00366C02"/>
    <w:rsid w:val="00373857"/>
    <w:rsid w:val="00377B3D"/>
    <w:rsid w:val="0038002B"/>
    <w:rsid w:val="003814B0"/>
    <w:rsid w:val="0038177C"/>
    <w:rsid w:val="00386468"/>
    <w:rsid w:val="00387024"/>
    <w:rsid w:val="00390DF2"/>
    <w:rsid w:val="00396EEC"/>
    <w:rsid w:val="003A110C"/>
    <w:rsid w:val="003A62CF"/>
    <w:rsid w:val="003B2D19"/>
    <w:rsid w:val="003B3792"/>
    <w:rsid w:val="003B4FEE"/>
    <w:rsid w:val="003C1575"/>
    <w:rsid w:val="003C2926"/>
    <w:rsid w:val="003D040A"/>
    <w:rsid w:val="003D25E7"/>
    <w:rsid w:val="003D4A64"/>
    <w:rsid w:val="003D5275"/>
    <w:rsid w:val="003D56F6"/>
    <w:rsid w:val="003D589C"/>
    <w:rsid w:val="003D63DF"/>
    <w:rsid w:val="003D737F"/>
    <w:rsid w:val="003D77D6"/>
    <w:rsid w:val="003E0070"/>
    <w:rsid w:val="003E4011"/>
    <w:rsid w:val="003E5C74"/>
    <w:rsid w:val="003F2CAE"/>
    <w:rsid w:val="003F7156"/>
    <w:rsid w:val="003F7474"/>
    <w:rsid w:val="004043C3"/>
    <w:rsid w:val="00404616"/>
    <w:rsid w:val="00407B6A"/>
    <w:rsid w:val="00413A83"/>
    <w:rsid w:val="00414400"/>
    <w:rsid w:val="00415B55"/>
    <w:rsid w:val="004216EB"/>
    <w:rsid w:val="0042190F"/>
    <w:rsid w:val="00432DCA"/>
    <w:rsid w:val="004332EB"/>
    <w:rsid w:val="00434BA9"/>
    <w:rsid w:val="00435169"/>
    <w:rsid w:val="00436322"/>
    <w:rsid w:val="0044196E"/>
    <w:rsid w:val="004435EC"/>
    <w:rsid w:val="00453945"/>
    <w:rsid w:val="004557B7"/>
    <w:rsid w:val="00464068"/>
    <w:rsid w:val="00466CE6"/>
    <w:rsid w:val="00470674"/>
    <w:rsid w:val="004710FA"/>
    <w:rsid w:val="00474210"/>
    <w:rsid w:val="0047622B"/>
    <w:rsid w:val="00476ABD"/>
    <w:rsid w:val="00480B96"/>
    <w:rsid w:val="00481EE6"/>
    <w:rsid w:val="004826FB"/>
    <w:rsid w:val="0048303E"/>
    <w:rsid w:val="004851F0"/>
    <w:rsid w:val="00485681"/>
    <w:rsid w:val="004920F6"/>
    <w:rsid w:val="00493B87"/>
    <w:rsid w:val="004A1117"/>
    <w:rsid w:val="004A11CC"/>
    <w:rsid w:val="004A1C67"/>
    <w:rsid w:val="004A637C"/>
    <w:rsid w:val="004A67E8"/>
    <w:rsid w:val="004B3C90"/>
    <w:rsid w:val="004C3D65"/>
    <w:rsid w:val="004C4153"/>
    <w:rsid w:val="004C6D29"/>
    <w:rsid w:val="004D232A"/>
    <w:rsid w:val="004D2C87"/>
    <w:rsid w:val="004D4838"/>
    <w:rsid w:val="004D5392"/>
    <w:rsid w:val="004D6472"/>
    <w:rsid w:val="004E01D4"/>
    <w:rsid w:val="004E081F"/>
    <w:rsid w:val="004E2D03"/>
    <w:rsid w:val="004E3C13"/>
    <w:rsid w:val="004E3C23"/>
    <w:rsid w:val="004E5935"/>
    <w:rsid w:val="004F0488"/>
    <w:rsid w:val="004F0863"/>
    <w:rsid w:val="004F3D20"/>
    <w:rsid w:val="004F6D7B"/>
    <w:rsid w:val="00503147"/>
    <w:rsid w:val="005033F5"/>
    <w:rsid w:val="005124B0"/>
    <w:rsid w:val="0051363F"/>
    <w:rsid w:val="005166AA"/>
    <w:rsid w:val="00520221"/>
    <w:rsid w:val="00521398"/>
    <w:rsid w:val="0052204A"/>
    <w:rsid w:val="0053349E"/>
    <w:rsid w:val="00534DB6"/>
    <w:rsid w:val="005352E0"/>
    <w:rsid w:val="00542275"/>
    <w:rsid w:val="00546119"/>
    <w:rsid w:val="00546133"/>
    <w:rsid w:val="00552852"/>
    <w:rsid w:val="00553DB9"/>
    <w:rsid w:val="005558BE"/>
    <w:rsid w:val="00557327"/>
    <w:rsid w:val="00561ACE"/>
    <w:rsid w:val="005624E0"/>
    <w:rsid w:val="005641F2"/>
    <w:rsid w:val="00565135"/>
    <w:rsid w:val="00572822"/>
    <w:rsid w:val="00575B06"/>
    <w:rsid w:val="0058015D"/>
    <w:rsid w:val="00586663"/>
    <w:rsid w:val="00586DEC"/>
    <w:rsid w:val="00597D3F"/>
    <w:rsid w:val="005A334B"/>
    <w:rsid w:val="005B2970"/>
    <w:rsid w:val="005B2F09"/>
    <w:rsid w:val="005B3452"/>
    <w:rsid w:val="005B5CEB"/>
    <w:rsid w:val="005B7883"/>
    <w:rsid w:val="005B79E9"/>
    <w:rsid w:val="005C3AA6"/>
    <w:rsid w:val="005C45EE"/>
    <w:rsid w:val="005C5D7C"/>
    <w:rsid w:val="005D06A8"/>
    <w:rsid w:val="005D119B"/>
    <w:rsid w:val="005D236C"/>
    <w:rsid w:val="005E47FA"/>
    <w:rsid w:val="005E4912"/>
    <w:rsid w:val="005E6F1F"/>
    <w:rsid w:val="005F2EE7"/>
    <w:rsid w:val="005F44D1"/>
    <w:rsid w:val="005F536A"/>
    <w:rsid w:val="00606230"/>
    <w:rsid w:val="00610BDA"/>
    <w:rsid w:val="00612F41"/>
    <w:rsid w:val="00613033"/>
    <w:rsid w:val="00616D5D"/>
    <w:rsid w:val="006177F6"/>
    <w:rsid w:val="00621129"/>
    <w:rsid w:val="00621C8F"/>
    <w:rsid w:val="00622FE2"/>
    <w:rsid w:val="00627AED"/>
    <w:rsid w:val="00633916"/>
    <w:rsid w:val="0063760A"/>
    <w:rsid w:val="00640CCA"/>
    <w:rsid w:val="00640D14"/>
    <w:rsid w:val="00641D2B"/>
    <w:rsid w:val="0064561C"/>
    <w:rsid w:val="00646BB6"/>
    <w:rsid w:val="00655B7B"/>
    <w:rsid w:val="006604B7"/>
    <w:rsid w:val="00660842"/>
    <w:rsid w:val="00660DB9"/>
    <w:rsid w:val="00662D3E"/>
    <w:rsid w:val="0066483F"/>
    <w:rsid w:val="00664D13"/>
    <w:rsid w:val="0066523F"/>
    <w:rsid w:val="006672D3"/>
    <w:rsid w:val="00672DDD"/>
    <w:rsid w:val="00674D58"/>
    <w:rsid w:val="00676C91"/>
    <w:rsid w:val="00680095"/>
    <w:rsid w:val="00680562"/>
    <w:rsid w:val="006847F8"/>
    <w:rsid w:val="006851D1"/>
    <w:rsid w:val="006855CA"/>
    <w:rsid w:val="00690B77"/>
    <w:rsid w:val="00694602"/>
    <w:rsid w:val="006A1216"/>
    <w:rsid w:val="006A6BCD"/>
    <w:rsid w:val="006B1E74"/>
    <w:rsid w:val="006B3E1B"/>
    <w:rsid w:val="006B6B2D"/>
    <w:rsid w:val="006C1660"/>
    <w:rsid w:val="006C304A"/>
    <w:rsid w:val="006C3E11"/>
    <w:rsid w:val="006C4000"/>
    <w:rsid w:val="006C5911"/>
    <w:rsid w:val="006C742E"/>
    <w:rsid w:val="006D04D7"/>
    <w:rsid w:val="006D5F04"/>
    <w:rsid w:val="006E4DE4"/>
    <w:rsid w:val="006E56E8"/>
    <w:rsid w:val="006E7B20"/>
    <w:rsid w:val="006F4A58"/>
    <w:rsid w:val="006F528A"/>
    <w:rsid w:val="007038F6"/>
    <w:rsid w:val="00704195"/>
    <w:rsid w:val="00705AA5"/>
    <w:rsid w:val="00707877"/>
    <w:rsid w:val="007103DD"/>
    <w:rsid w:val="00710933"/>
    <w:rsid w:val="00711200"/>
    <w:rsid w:val="0071237C"/>
    <w:rsid w:val="00712E6D"/>
    <w:rsid w:val="007134DB"/>
    <w:rsid w:val="00714DE4"/>
    <w:rsid w:val="00722871"/>
    <w:rsid w:val="00723256"/>
    <w:rsid w:val="0072397F"/>
    <w:rsid w:val="007258B9"/>
    <w:rsid w:val="00725E1F"/>
    <w:rsid w:val="00727FCE"/>
    <w:rsid w:val="00731922"/>
    <w:rsid w:val="00731ACB"/>
    <w:rsid w:val="0073394E"/>
    <w:rsid w:val="007368AD"/>
    <w:rsid w:val="0074133D"/>
    <w:rsid w:val="0075196D"/>
    <w:rsid w:val="0075558C"/>
    <w:rsid w:val="00755F52"/>
    <w:rsid w:val="00761EFA"/>
    <w:rsid w:val="00762A93"/>
    <w:rsid w:val="00764873"/>
    <w:rsid w:val="0076556B"/>
    <w:rsid w:val="00766A5B"/>
    <w:rsid w:val="00771D31"/>
    <w:rsid w:val="0077376B"/>
    <w:rsid w:val="00775AE5"/>
    <w:rsid w:val="007778DD"/>
    <w:rsid w:val="007853D9"/>
    <w:rsid w:val="00790458"/>
    <w:rsid w:val="00791261"/>
    <w:rsid w:val="00791CC6"/>
    <w:rsid w:val="00793C8F"/>
    <w:rsid w:val="00796693"/>
    <w:rsid w:val="00797357"/>
    <w:rsid w:val="007A04F9"/>
    <w:rsid w:val="007A31CA"/>
    <w:rsid w:val="007B7967"/>
    <w:rsid w:val="007C5E6E"/>
    <w:rsid w:val="007C7591"/>
    <w:rsid w:val="007C7DA6"/>
    <w:rsid w:val="007D14E6"/>
    <w:rsid w:val="007D5CD5"/>
    <w:rsid w:val="007D6FC8"/>
    <w:rsid w:val="007E4275"/>
    <w:rsid w:val="007E715A"/>
    <w:rsid w:val="007F4ADB"/>
    <w:rsid w:val="007F6AE9"/>
    <w:rsid w:val="008008A6"/>
    <w:rsid w:val="00801731"/>
    <w:rsid w:val="0080333A"/>
    <w:rsid w:val="008039E1"/>
    <w:rsid w:val="0080462A"/>
    <w:rsid w:val="0080571C"/>
    <w:rsid w:val="00807854"/>
    <w:rsid w:val="0081030A"/>
    <w:rsid w:val="00817A14"/>
    <w:rsid w:val="00822CF6"/>
    <w:rsid w:val="0082378F"/>
    <w:rsid w:val="00827F46"/>
    <w:rsid w:val="00835D93"/>
    <w:rsid w:val="00836F89"/>
    <w:rsid w:val="00844014"/>
    <w:rsid w:val="00846459"/>
    <w:rsid w:val="00846A14"/>
    <w:rsid w:val="00847D5F"/>
    <w:rsid w:val="00854D34"/>
    <w:rsid w:val="00854E16"/>
    <w:rsid w:val="008565AE"/>
    <w:rsid w:val="00856B07"/>
    <w:rsid w:val="008572C4"/>
    <w:rsid w:val="00860A44"/>
    <w:rsid w:val="008616F0"/>
    <w:rsid w:val="00863435"/>
    <w:rsid w:val="00867983"/>
    <w:rsid w:val="00872827"/>
    <w:rsid w:val="0087349A"/>
    <w:rsid w:val="00875E12"/>
    <w:rsid w:val="00875E6E"/>
    <w:rsid w:val="00883869"/>
    <w:rsid w:val="008861A0"/>
    <w:rsid w:val="0088728B"/>
    <w:rsid w:val="00887F26"/>
    <w:rsid w:val="00893F51"/>
    <w:rsid w:val="00894D8C"/>
    <w:rsid w:val="00895DF4"/>
    <w:rsid w:val="00896B63"/>
    <w:rsid w:val="008A042C"/>
    <w:rsid w:val="008A1BA2"/>
    <w:rsid w:val="008A300F"/>
    <w:rsid w:val="008A7422"/>
    <w:rsid w:val="008A75FD"/>
    <w:rsid w:val="008A7890"/>
    <w:rsid w:val="008B08B8"/>
    <w:rsid w:val="008B118E"/>
    <w:rsid w:val="008B1A4D"/>
    <w:rsid w:val="008B3683"/>
    <w:rsid w:val="008B4983"/>
    <w:rsid w:val="008B4F86"/>
    <w:rsid w:val="008B5C14"/>
    <w:rsid w:val="008B5F8A"/>
    <w:rsid w:val="008C000A"/>
    <w:rsid w:val="008C406C"/>
    <w:rsid w:val="008C633D"/>
    <w:rsid w:val="008D5712"/>
    <w:rsid w:val="008D589C"/>
    <w:rsid w:val="008D6762"/>
    <w:rsid w:val="008E1AF8"/>
    <w:rsid w:val="008E586F"/>
    <w:rsid w:val="008E7085"/>
    <w:rsid w:val="008E71CE"/>
    <w:rsid w:val="008F1439"/>
    <w:rsid w:val="008F1777"/>
    <w:rsid w:val="008F60C3"/>
    <w:rsid w:val="008F6746"/>
    <w:rsid w:val="00903196"/>
    <w:rsid w:val="00907968"/>
    <w:rsid w:val="00910AE4"/>
    <w:rsid w:val="00911B2E"/>
    <w:rsid w:val="0091262E"/>
    <w:rsid w:val="00917F99"/>
    <w:rsid w:val="009215BC"/>
    <w:rsid w:val="00922000"/>
    <w:rsid w:val="00923202"/>
    <w:rsid w:val="00925514"/>
    <w:rsid w:val="00926476"/>
    <w:rsid w:val="0093163E"/>
    <w:rsid w:val="00935E1E"/>
    <w:rsid w:val="00936436"/>
    <w:rsid w:val="009377DD"/>
    <w:rsid w:val="0094224A"/>
    <w:rsid w:val="00944CB7"/>
    <w:rsid w:val="00945DDE"/>
    <w:rsid w:val="00952616"/>
    <w:rsid w:val="0096205E"/>
    <w:rsid w:val="00965E3E"/>
    <w:rsid w:val="00966BAC"/>
    <w:rsid w:val="0097004F"/>
    <w:rsid w:val="00970EB2"/>
    <w:rsid w:val="009733CF"/>
    <w:rsid w:val="009743CB"/>
    <w:rsid w:val="00981F8F"/>
    <w:rsid w:val="00983756"/>
    <w:rsid w:val="00986C09"/>
    <w:rsid w:val="009934F2"/>
    <w:rsid w:val="0099355C"/>
    <w:rsid w:val="00996A58"/>
    <w:rsid w:val="00997B8E"/>
    <w:rsid w:val="009A2455"/>
    <w:rsid w:val="009A2ABE"/>
    <w:rsid w:val="009A2C89"/>
    <w:rsid w:val="009A3DF3"/>
    <w:rsid w:val="009A6A2F"/>
    <w:rsid w:val="009B224D"/>
    <w:rsid w:val="009B465E"/>
    <w:rsid w:val="009B69AD"/>
    <w:rsid w:val="009C3E3E"/>
    <w:rsid w:val="009C6B31"/>
    <w:rsid w:val="009C755C"/>
    <w:rsid w:val="009C780F"/>
    <w:rsid w:val="009D041C"/>
    <w:rsid w:val="009D61BA"/>
    <w:rsid w:val="009E05CA"/>
    <w:rsid w:val="009E0A9E"/>
    <w:rsid w:val="009E0DAA"/>
    <w:rsid w:val="009E1A69"/>
    <w:rsid w:val="009E3427"/>
    <w:rsid w:val="009F04C3"/>
    <w:rsid w:val="009F3C82"/>
    <w:rsid w:val="009F43CB"/>
    <w:rsid w:val="009F554A"/>
    <w:rsid w:val="009F6EE4"/>
    <w:rsid w:val="00A10A09"/>
    <w:rsid w:val="00A119CE"/>
    <w:rsid w:val="00A14246"/>
    <w:rsid w:val="00A1563B"/>
    <w:rsid w:val="00A2295D"/>
    <w:rsid w:val="00A22EFC"/>
    <w:rsid w:val="00A2331C"/>
    <w:rsid w:val="00A263D5"/>
    <w:rsid w:val="00A27EC0"/>
    <w:rsid w:val="00A307D8"/>
    <w:rsid w:val="00A30FBF"/>
    <w:rsid w:val="00A34E64"/>
    <w:rsid w:val="00A34F5F"/>
    <w:rsid w:val="00A43F71"/>
    <w:rsid w:val="00A46A68"/>
    <w:rsid w:val="00A5012F"/>
    <w:rsid w:val="00A50379"/>
    <w:rsid w:val="00A506E3"/>
    <w:rsid w:val="00A50EE9"/>
    <w:rsid w:val="00A55067"/>
    <w:rsid w:val="00A64167"/>
    <w:rsid w:val="00A64DEE"/>
    <w:rsid w:val="00A667D4"/>
    <w:rsid w:val="00A711A2"/>
    <w:rsid w:val="00A72E6A"/>
    <w:rsid w:val="00A81135"/>
    <w:rsid w:val="00A84933"/>
    <w:rsid w:val="00A85266"/>
    <w:rsid w:val="00A86093"/>
    <w:rsid w:val="00A86F48"/>
    <w:rsid w:val="00A90F11"/>
    <w:rsid w:val="00A936D3"/>
    <w:rsid w:val="00A96F58"/>
    <w:rsid w:val="00A97A96"/>
    <w:rsid w:val="00A97D23"/>
    <w:rsid w:val="00AA2CAB"/>
    <w:rsid w:val="00AA2E71"/>
    <w:rsid w:val="00AB35BB"/>
    <w:rsid w:val="00AB3636"/>
    <w:rsid w:val="00AB5460"/>
    <w:rsid w:val="00AB5F40"/>
    <w:rsid w:val="00AC38CA"/>
    <w:rsid w:val="00AC3F0B"/>
    <w:rsid w:val="00AD0A33"/>
    <w:rsid w:val="00AD23F7"/>
    <w:rsid w:val="00AD5B8F"/>
    <w:rsid w:val="00AD5D2D"/>
    <w:rsid w:val="00AD73C6"/>
    <w:rsid w:val="00AE277E"/>
    <w:rsid w:val="00AE76B4"/>
    <w:rsid w:val="00AF7078"/>
    <w:rsid w:val="00AF7D05"/>
    <w:rsid w:val="00B07524"/>
    <w:rsid w:val="00B100F8"/>
    <w:rsid w:val="00B129B6"/>
    <w:rsid w:val="00B12A25"/>
    <w:rsid w:val="00B12EF3"/>
    <w:rsid w:val="00B17D95"/>
    <w:rsid w:val="00B17DD2"/>
    <w:rsid w:val="00B24AC8"/>
    <w:rsid w:val="00B31CB6"/>
    <w:rsid w:val="00B33BC6"/>
    <w:rsid w:val="00B35B7C"/>
    <w:rsid w:val="00B35F16"/>
    <w:rsid w:val="00B42D8B"/>
    <w:rsid w:val="00B45106"/>
    <w:rsid w:val="00B53C15"/>
    <w:rsid w:val="00B54160"/>
    <w:rsid w:val="00B57F97"/>
    <w:rsid w:val="00B608D8"/>
    <w:rsid w:val="00B61642"/>
    <w:rsid w:val="00B62B3B"/>
    <w:rsid w:val="00B63393"/>
    <w:rsid w:val="00B6429B"/>
    <w:rsid w:val="00B64B50"/>
    <w:rsid w:val="00B71139"/>
    <w:rsid w:val="00B72F36"/>
    <w:rsid w:val="00B73B16"/>
    <w:rsid w:val="00B74679"/>
    <w:rsid w:val="00B81BB1"/>
    <w:rsid w:val="00B93283"/>
    <w:rsid w:val="00B945EC"/>
    <w:rsid w:val="00B96D42"/>
    <w:rsid w:val="00BA2F6F"/>
    <w:rsid w:val="00BA3792"/>
    <w:rsid w:val="00BA3C11"/>
    <w:rsid w:val="00BA5F5F"/>
    <w:rsid w:val="00BB2CA5"/>
    <w:rsid w:val="00BB3180"/>
    <w:rsid w:val="00BB3B3F"/>
    <w:rsid w:val="00BC1F9A"/>
    <w:rsid w:val="00BC3FF4"/>
    <w:rsid w:val="00BC66B3"/>
    <w:rsid w:val="00BC6861"/>
    <w:rsid w:val="00BD01E0"/>
    <w:rsid w:val="00BD05E1"/>
    <w:rsid w:val="00BD3522"/>
    <w:rsid w:val="00BD43E6"/>
    <w:rsid w:val="00BE3F05"/>
    <w:rsid w:val="00BE486F"/>
    <w:rsid w:val="00BE50B8"/>
    <w:rsid w:val="00BF0305"/>
    <w:rsid w:val="00BF562D"/>
    <w:rsid w:val="00BF5A48"/>
    <w:rsid w:val="00C00EF4"/>
    <w:rsid w:val="00C0339B"/>
    <w:rsid w:val="00C0799A"/>
    <w:rsid w:val="00C10875"/>
    <w:rsid w:val="00C11D0D"/>
    <w:rsid w:val="00C203B6"/>
    <w:rsid w:val="00C42408"/>
    <w:rsid w:val="00C46FF8"/>
    <w:rsid w:val="00C50546"/>
    <w:rsid w:val="00C509C3"/>
    <w:rsid w:val="00C62680"/>
    <w:rsid w:val="00C62E8B"/>
    <w:rsid w:val="00C6356E"/>
    <w:rsid w:val="00C65461"/>
    <w:rsid w:val="00C6634E"/>
    <w:rsid w:val="00C70EAE"/>
    <w:rsid w:val="00C83B65"/>
    <w:rsid w:val="00C84094"/>
    <w:rsid w:val="00C87E40"/>
    <w:rsid w:val="00C91DF9"/>
    <w:rsid w:val="00C9219B"/>
    <w:rsid w:val="00C93A9F"/>
    <w:rsid w:val="00C95439"/>
    <w:rsid w:val="00CA085F"/>
    <w:rsid w:val="00CA12BC"/>
    <w:rsid w:val="00CA38EB"/>
    <w:rsid w:val="00CA4FE6"/>
    <w:rsid w:val="00CA58AA"/>
    <w:rsid w:val="00CA58BB"/>
    <w:rsid w:val="00CA624A"/>
    <w:rsid w:val="00CB0898"/>
    <w:rsid w:val="00CB0996"/>
    <w:rsid w:val="00CB1E5D"/>
    <w:rsid w:val="00CB244D"/>
    <w:rsid w:val="00CB7FF7"/>
    <w:rsid w:val="00CC2C1D"/>
    <w:rsid w:val="00CC7ACD"/>
    <w:rsid w:val="00CD484A"/>
    <w:rsid w:val="00CD50B5"/>
    <w:rsid w:val="00CD73A9"/>
    <w:rsid w:val="00CE20AB"/>
    <w:rsid w:val="00CE3736"/>
    <w:rsid w:val="00CE3923"/>
    <w:rsid w:val="00CE3B91"/>
    <w:rsid w:val="00CE4608"/>
    <w:rsid w:val="00CE5FFF"/>
    <w:rsid w:val="00CE6153"/>
    <w:rsid w:val="00CF1C40"/>
    <w:rsid w:val="00D0309C"/>
    <w:rsid w:val="00D05EC5"/>
    <w:rsid w:val="00D067C3"/>
    <w:rsid w:val="00D06B4A"/>
    <w:rsid w:val="00D06F12"/>
    <w:rsid w:val="00D07400"/>
    <w:rsid w:val="00D074F1"/>
    <w:rsid w:val="00D11D3F"/>
    <w:rsid w:val="00D14C46"/>
    <w:rsid w:val="00D21EF3"/>
    <w:rsid w:val="00D2275C"/>
    <w:rsid w:val="00D22828"/>
    <w:rsid w:val="00D240C9"/>
    <w:rsid w:val="00D26226"/>
    <w:rsid w:val="00D411C1"/>
    <w:rsid w:val="00D43954"/>
    <w:rsid w:val="00D43957"/>
    <w:rsid w:val="00D45694"/>
    <w:rsid w:val="00D46790"/>
    <w:rsid w:val="00D51842"/>
    <w:rsid w:val="00D52080"/>
    <w:rsid w:val="00D55C42"/>
    <w:rsid w:val="00D62420"/>
    <w:rsid w:val="00D63A7E"/>
    <w:rsid w:val="00D6661F"/>
    <w:rsid w:val="00D7466F"/>
    <w:rsid w:val="00D804E6"/>
    <w:rsid w:val="00D90D26"/>
    <w:rsid w:val="00D91C27"/>
    <w:rsid w:val="00D92FE6"/>
    <w:rsid w:val="00D9347E"/>
    <w:rsid w:val="00D97FB4"/>
    <w:rsid w:val="00DA116C"/>
    <w:rsid w:val="00DA21E8"/>
    <w:rsid w:val="00DB10C5"/>
    <w:rsid w:val="00DB1EA2"/>
    <w:rsid w:val="00DB2B85"/>
    <w:rsid w:val="00DB4BD3"/>
    <w:rsid w:val="00DB5CE9"/>
    <w:rsid w:val="00DB6296"/>
    <w:rsid w:val="00DC5925"/>
    <w:rsid w:val="00DC5991"/>
    <w:rsid w:val="00DC60FA"/>
    <w:rsid w:val="00DC6B86"/>
    <w:rsid w:val="00DD129F"/>
    <w:rsid w:val="00DD179B"/>
    <w:rsid w:val="00DD24F6"/>
    <w:rsid w:val="00DD39DC"/>
    <w:rsid w:val="00DD58B4"/>
    <w:rsid w:val="00DE16FA"/>
    <w:rsid w:val="00DE23AF"/>
    <w:rsid w:val="00DE4A3F"/>
    <w:rsid w:val="00DF11B0"/>
    <w:rsid w:val="00DF2923"/>
    <w:rsid w:val="00DF37E0"/>
    <w:rsid w:val="00DF4CBC"/>
    <w:rsid w:val="00E01765"/>
    <w:rsid w:val="00E0191B"/>
    <w:rsid w:val="00E14598"/>
    <w:rsid w:val="00E168DB"/>
    <w:rsid w:val="00E17018"/>
    <w:rsid w:val="00E17598"/>
    <w:rsid w:val="00E231EA"/>
    <w:rsid w:val="00E248E5"/>
    <w:rsid w:val="00E31B84"/>
    <w:rsid w:val="00E353C5"/>
    <w:rsid w:val="00E35F32"/>
    <w:rsid w:val="00E4291D"/>
    <w:rsid w:val="00E42F90"/>
    <w:rsid w:val="00E46FC9"/>
    <w:rsid w:val="00E51563"/>
    <w:rsid w:val="00E52758"/>
    <w:rsid w:val="00E54D98"/>
    <w:rsid w:val="00E603D9"/>
    <w:rsid w:val="00E6576D"/>
    <w:rsid w:val="00E76DE8"/>
    <w:rsid w:val="00E84BE1"/>
    <w:rsid w:val="00E86428"/>
    <w:rsid w:val="00E87A65"/>
    <w:rsid w:val="00E963EA"/>
    <w:rsid w:val="00E96C08"/>
    <w:rsid w:val="00EA2FE9"/>
    <w:rsid w:val="00EA5199"/>
    <w:rsid w:val="00EB1434"/>
    <w:rsid w:val="00EB44DF"/>
    <w:rsid w:val="00EB45B9"/>
    <w:rsid w:val="00EC4763"/>
    <w:rsid w:val="00EC57F4"/>
    <w:rsid w:val="00EC6462"/>
    <w:rsid w:val="00EC694C"/>
    <w:rsid w:val="00ED7A05"/>
    <w:rsid w:val="00EE334C"/>
    <w:rsid w:val="00EE3934"/>
    <w:rsid w:val="00EE5473"/>
    <w:rsid w:val="00EE592F"/>
    <w:rsid w:val="00EE5ECD"/>
    <w:rsid w:val="00EE6495"/>
    <w:rsid w:val="00EF255A"/>
    <w:rsid w:val="00EF328B"/>
    <w:rsid w:val="00EF350C"/>
    <w:rsid w:val="00F02153"/>
    <w:rsid w:val="00F05535"/>
    <w:rsid w:val="00F150FF"/>
    <w:rsid w:val="00F15675"/>
    <w:rsid w:val="00F158CC"/>
    <w:rsid w:val="00F21250"/>
    <w:rsid w:val="00F23220"/>
    <w:rsid w:val="00F2398D"/>
    <w:rsid w:val="00F309EB"/>
    <w:rsid w:val="00F32EEF"/>
    <w:rsid w:val="00F360AF"/>
    <w:rsid w:val="00F367C6"/>
    <w:rsid w:val="00F439B6"/>
    <w:rsid w:val="00F45E05"/>
    <w:rsid w:val="00F4737D"/>
    <w:rsid w:val="00F60558"/>
    <w:rsid w:val="00F629D5"/>
    <w:rsid w:val="00F634A3"/>
    <w:rsid w:val="00F667F6"/>
    <w:rsid w:val="00F710F9"/>
    <w:rsid w:val="00F730EE"/>
    <w:rsid w:val="00F76DF2"/>
    <w:rsid w:val="00F800D1"/>
    <w:rsid w:val="00F87F40"/>
    <w:rsid w:val="00F920F6"/>
    <w:rsid w:val="00F928EE"/>
    <w:rsid w:val="00F94EED"/>
    <w:rsid w:val="00FA0AE4"/>
    <w:rsid w:val="00FA303A"/>
    <w:rsid w:val="00FB4DBA"/>
    <w:rsid w:val="00FB667E"/>
    <w:rsid w:val="00FD501D"/>
    <w:rsid w:val="00FE552D"/>
    <w:rsid w:val="00FE59C1"/>
    <w:rsid w:val="00FF195C"/>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1F0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C" w:eastAsia="es-EC"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2E09"/>
    <w:rPr>
      <w:sz w:val="24"/>
      <w:szCs w:val="24"/>
      <w:lang w:val="es-CO" w:eastAsia="es-ES_tradnl"/>
    </w:rPr>
  </w:style>
  <w:style w:type="paragraph" w:styleId="Heading1">
    <w:name w:val="heading 1"/>
    <w:basedOn w:val="Normal"/>
    <w:next w:val="Normal"/>
    <w:link w:val="Heading1Char"/>
    <w:autoRedefine/>
    <w:uiPriority w:val="9"/>
    <w:qFormat/>
    <w:rsid w:val="00F60558"/>
    <w:pPr>
      <w:numPr>
        <w:numId w:val="13"/>
      </w:numPr>
      <w:autoSpaceDE w:val="0"/>
      <w:autoSpaceDN w:val="0"/>
      <w:adjustRightInd w:val="0"/>
      <w:jc w:val="both"/>
      <w:outlineLvl w:val="0"/>
    </w:pPr>
    <w:rPr>
      <w:b/>
      <w:bCs/>
      <w:lang w:val="es-ES"/>
    </w:rPr>
  </w:style>
  <w:style w:type="paragraph" w:styleId="Heading2">
    <w:name w:val="heading 2"/>
    <w:basedOn w:val="Normal"/>
    <w:next w:val="Normal"/>
    <w:link w:val="Heading2Char"/>
    <w:autoRedefine/>
    <w:uiPriority w:val="9"/>
    <w:qFormat/>
    <w:rsid w:val="00D45694"/>
    <w:pPr>
      <w:keepNext/>
      <w:ind w:firstLine="360"/>
      <w:outlineLvl w:val="1"/>
    </w:pPr>
    <w:rPr>
      <w:rFonts w:cs="Arial"/>
      <w:b/>
      <w:bCs/>
      <w:iCs/>
      <w:szCs w:val="28"/>
      <w:lang w:val="es-ES"/>
    </w:rPr>
  </w:style>
  <w:style w:type="paragraph" w:styleId="Heading3">
    <w:name w:val="heading 3"/>
    <w:basedOn w:val="Normal"/>
    <w:next w:val="Normal"/>
    <w:autoRedefine/>
    <w:qFormat/>
    <w:rsid w:val="00640CCA"/>
    <w:pPr>
      <w:spacing w:line="276" w:lineRule="auto"/>
      <w:ind w:firstLine="426"/>
      <w:jc w:val="both"/>
      <w:outlineLvl w:val="2"/>
    </w:pPr>
    <w:rPr>
      <w:b/>
    </w:rPr>
  </w:style>
  <w:style w:type="paragraph" w:styleId="Heading4">
    <w:name w:val="heading 4"/>
    <w:basedOn w:val="Normal"/>
    <w:next w:val="Normal"/>
    <w:link w:val="Heading4Char"/>
    <w:unhideWhenUsed/>
    <w:qFormat/>
    <w:rsid w:val="00A64167"/>
    <w:pPr>
      <w:keepNext/>
      <w:spacing w:before="240" w:after="60"/>
      <w:outlineLvl w:val="3"/>
    </w:pPr>
    <w:rPr>
      <w:b/>
      <w:bCs/>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customStyle="1" w:styleId="Level1">
    <w:name w:val="Level 1"/>
    <w:pPr>
      <w:autoSpaceDE w:val="0"/>
      <w:autoSpaceDN w:val="0"/>
      <w:adjustRightInd w:val="0"/>
      <w:spacing w:line="360" w:lineRule="auto"/>
      <w:ind w:left="720" w:firstLine="720"/>
    </w:pPr>
    <w:rPr>
      <w:sz w:val="24"/>
      <w:szCs w:val="24"/>
      <w:lang w:val="en-US" w:eastAsia="en-US"/>
    </w:rPr>
  </w:style>
  <w:style w:type="character" w:customStyle="1" w:styleId="SYSHYPERTEXT">
    <w:name w:val="SYS_HYPERTEXT"/>
    <w:rPr>
      <w:noProof/>
      <w:color w:val="0000FF"/>
      <w:u w:val="single"/>
    </w:rPr>
  </w:style>
  <w:style w:type="character" w:customStyle="1" w:styleId="QuickFormat2">
    <w:name w:val="QuickFormat2"/>
    <w:rPr>
      <w:rFonts w:ascii="Arial" w:hAnsi="Arial" w:cs="Arial"/>
    </w:rPr>
  </w:style>
  <w:style w:type="character" w:customStyle="1" w:styleId="QuickFormat3">
    <w:name w:val="QuickFormat3"/>
    <w:rPr>
      <w:rFonts w:ascii="Arial" w:hAnsi="Arial" w:cs="Arial"/>
      <w:b/>
      <w:bCs/>
      <w:i/>
      <w:iCs/>
    </w:rPr>
  </w:style>
  <w:style w:type="paragraph" w:styleId="Title">
    <w:name w:val="Title"/>
    <w:basedOn w:val="Normal"/>
    <w:qFormat/>
    <w:pPr>
      <w:autoSpaceDE w:val="0"/>
      <w:autoSpaceDN w:val="0"/>
      <w:adjustRightInd w:val="0"/>
      <w:jc w:val="center"/>
    </w:pPr>
    <w:rPr>
      <w:sz w:val="28"/>
      <w:szCs w:val="28"/>
    </w:rPr>
  </w:style>
  <w:style w:type="paragraph" w:styleId="BodyText">
    <w:name w:val="Body Text"/>
    <w:basedOn w:val="Normal"/>
    <w:link w:val="BodyTextChar"/>
    <w:pPr>
      <w:autoSpaceDE w:val="0"/>
      <w:autoSpaceDN w:val="0"/>
      <w:adjustRightInd w:val="0"/>
    </w:pPr>
    <w:rPr>
      <w:sz w:val="22"/>
      <w:szCs w:val="22"/>
    </w:rPr>
  </w:style>
  <w:style w:type="paragraph" w:styleId="Subtitle">
    <w:name w:val="Subtitle"/>
    <w:basedOn w:val="Normal"/>
    <w:link w:val="SubtitleChar"/>
    <w:uiPriority w:val="11"/>
    <w:qFormat/>
    <w:pPr>
      <w:autoSpaceDE w:val="0"/>
      <w:autoSpaceDN w:val="0"/>
      <w:adjustRightInd w:val="0"/>
    </w:pPr>
    <w:rPr>
      <w:b/>
      <w:bCs/>
    </w:rPr>
  </w:style>
  <w:style w:type="paragraph" w:styleId="BodyTextIndent">
    <w:name w:val="Body Text Indent"/>
    <w:basedOn w:val="Normal"/>
    <w:link w:val="BodyTextIndentChar"/>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pPr>
    <w:rPr>
      <w:sz w:val="32"/>
      <w:szCs w:val="32"/>
    </w:rPr>
  </w:style>
  <w:style w:type="paragraph" w:customStyle="1" w:styleId="QuickFormat6">
    <w:name w:val="QuickFormat6"/>
    <w:pPr>
      <w:autoSpaceDE w:val="0"/>
      <w:autoSpaceDN w:val="0"/>
      <w:adjustRightInd w:val="0"/>
      <w:spacing w:line="360" w:lineRule="auto"/>
      <w:ind w:firstLine="720"/>
    </w:pPr>
    <w:rPr>
      <w:rFonts w:ascii="Arial" w:hAnsi="Arial" w:cs="Arial"/>
      <w:sz w:val="24"/>
      <w:szCs w:val="24"/>
      <w:lang w:val="en-US" w:eastAsia="en-US"/>
    </w:rPr>
  </w:style>
  <w:style w:type="character" w:styleId="PageNumber">
    <w:name w:val="page number"/>
    <w:basedOn w:val="DefaultParagraphFont"/>
  </w:style>
  <w:style w:type="paragraph" w:styleId="BodyText2">
    <w:name w:val="Body Text 2"/>
    <w:basedOn w:val="Normal"/>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firstLine="720"/>
    </w:pPr>
    <w:rPr>
      <w:rFonts w:ascii="Arial" w:hAnsi="Arial" w:cs="Arial"/>
      <w:noProof/>
    </w:rPr>
  </w:style>
  <w:style w:type="paragraph" w:styleId="BodyTextIndent2">
    <w:name w:val="Body Text Indent 2"/>
    <w:basedOn w:val="Normal"/>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firstLine="720"/>
    </w:pPr>
    <w:rPr>
      <w:rFonts w:ascii="Arial" w:hAnsi="Arial" w:cs="Arial"/>
      <w:sz w:val="17"/>
      <w:szCs w:val="17"/>
    </w:rPr>
  </w:style>
  <w:style w:type="paragraph" w:styleId="BodyTextIndent3">
    <w:name w:val="Body Text Indent 3"/>
    <w:basedOn w:val="Normal"/>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1440" w:right="630" w:firstLine="720"/>
    </w:pPr>
    <w:rPr>
      <w:noProof/>
      <w:sz w:val="18"/>
      <w:szCs w:val="18"/>
    </w:rPr>
  </w:style>
  <w:style w:type="paragraph" w:customStyle="1" w:styleId="Epgrafe1">
    <w:name w:val="Epígrafe1"/>
    <w:basedOn w:val="Normal"/>
    <w:next w:val="Normal"/>
    <w:autoRedefine/>
    <w:uiPriority w:val="35"/>
    <w:qFormat/>
    <w:rsid w:val="006855CA"/>
    <w:pPr>
      <w:spacing w:before="120" w:after="120"/>
    </w:pPr>
    <w:rPr>
      <w:bCs/>
      <w:i/>
      <w:szCs w:val="20"/>
    </w:rPr>
  </w:style>
  <w:style w:type="paragraph" w:styleId="TableofFigures">
    <w:name w:val="table of figures"/>
    <w:basedOn w:val="Normal"/>
    <w:next w:val="Normal"/>
    <w:semiHidden/>
    <w:pPr>
      <w:ind w:left="480" w:hanging="480"/>
    </w:pPr>
  </w:style>
  <w:style w:type="character" w:styleId="Hyperlink">
    <w:name w:val="Hyperlink"/>
    <w:uiPriority w:val="99"/>
    <w:rPr>
      <w:color w:val="0000FF"/>
      <w:u w:val="single"/>
    </w:rPr>
  </w:style>
  <w:style w:type="paragraph" w:styleId="TOC1">
    <w:name w:val="toc 1"/>
    <w:basedOn w:val="Normal"/>
    <w:next w:val="Normal"/>
    <w:autoRedefine/>
    <w:uiPriority w:val="39"/>
    <w:rsid w:val="00BB2CA5"/>
    <w:pPr>
      <w:tabs>
        <w:tab w:val="left" w:pos="480"/>
        <w:tab w:val="right" w:leader="dot" w:pos="9352"/>
      </w:tabs>
    </w:pPr>
  </w:style>
  <w:style w:type="paragraph" w:styleId="TOC2">
    <w:name w:val="toc 2"/>
    <w:basedOn w:val="Normal"/>
    <w:next w:val="Normal"/>
    <w:autoRedefine/>
    <w:uiPriority w:val="39"/>
    <w:rsid w:val="00A96F58"/>
    <w:pPr>
      <w:tabs>
        <w:tab w:val="right" w:leader="dot" w:pos="9352"/>
      </w:tabs>
      <w:spacing w:line="276" w:lineRule="auto"/>
      <w:ind w:left="240"/>
      <w:jc w:val="both"/>
    </w:pPr>
  </w:style>
  <w:style w:type="paragraph" w:styleId="TOC3">
    <w:name w:val="toc 3"/>
    <w:basedOn w:val="Normal"/>
    <w:next w:val="Normal"/>
    <w:autoRedefine/>
    <w:uiPriority w:val="39"/>
    <w:rsid w:val="00D2275C"/>
    <w:pPr>
      <w:tabs>
        <w:tab w:val="right" w:leader="dot" w:pos="9352"/>
      </w:tabs>
      <w:spacing w:line="276" w:lineRule="auto"/>
      <w:ind w:left="480"/>
      <w:jc w:val="both"/>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hesistext">
    <w:name w:val="thesis text"/>
    <w:basedOn w:val="Normal"/>
    <w:autoRedefine/>
    <w:rsid w:val="00EE3934"/>
    <w:pPr>
      <w:spacing w:after="240"/>
      <w:ind w:firstLine="540"/>
    </w:pPr>
    <w:rPr>
      <w:lang w:eastAsia="es-ES"/>
    </w:rPr>
  </w:style>
  <w:style w:type="paragraph" w:customStyle="1" w:styleId="StyleCaptionCentered">
    <w:name w:val="Style Caption + Centered"/>
    <w:basedOn w:val="Epgrafe1"/>
    <w:autoRedefine/>
    <w:rsid w:val="000B7AF9"/>
    <w:rPr>
      <w:b/>
      <w:i w:val="0"/>
    </w:rPr>
  </w:style>
  <w:style w:type="character" w:customStyle="1" w:styleId="Heading1Char">
    <w:name w:val="Heading 1 Char"/>
    <w:link w:val="Heading1"/>
    <w:uiPriority w:val="9"/>
    <w:rsid w:val="00F60558"/>
    <w:rPr>
      <w:b/>
      <w:bCs/>
      <w:sz w:val="24"/>
      <w:szCs w:val="24"/>
      <w:lang w:val="es-ES" w:eastAsia="es-ES_tradnl"/>
    </w:rPr>
  </w:style>
  <w:style w:type="character" w:customStyle="1" w:styleId="Heading4Char">
    <w:name w:val="Heading 4 Char"/>
    <w:link w:val="Heading4"/>
    <w:rsid w:val="00A64167"/>
    <w:rPr>
      <w:b/>
      <w:bCs/>
      <w:i/>
      <w:sz w:val="24"/>
      <w:szCs w:val="28"/>
      <w:lang w:val="en-US" w:eastAsia="en-US"/>
    </w:rPr>
  </w:style>
  <w:style w:type="character" w:customStyle="1" w:styleId="BodyTextChar">
    <w:name w:val="Body Text Char"/>
    <w:link w:val="BodyText"/>
    <w:rsid w:val="00707877"/>
    <w:rPr>
      <w:sz w:val="22"/>
      <w:szCs w:val="22"/>
    </w:rPr>
  </w:style>
  <w:style w:type="character" w:customStyle="1" w:styleId="BodyTextIndentChar">
    <w:name w:val="Body Text Indent Char"/>
    <w:link w:val="BodyTextIndent"/>
    <w:rsid w:val="00707877"/>
    <w:rPr>
      <w:sz w:val="32"/>
      <w:szCs w:val="32"/>
    </w:rPr>
  </w:style>
  <w:style w:type="paragraph" w:customStyle="1" w:styleId="TtulodeTDC1">
    <w:name w:val="Título de TDC1"/>
    <w:basedOn w:val="Heading1"/>
    <w:next w:val="Normal"/>
    <w:uiPriority w:val="39"/>
    <w:unhideWhenUsed/>
    <w:qFormat/>
    <w:rsid w:val="008572C4"/>
    <w:pPr>
      <w:keepNext/>
      <w:keepLines/>
      <w:autoSpaceDE/>
      <w:autoSpaceDN/>
      <w:adjustRightInd/>
      <w:spacing w:before="480" w:line="276" w:lineRule="auto"/>
      <w:outlineLvl w:val="9"/>
    </w:pPr>
    <w:rPr>
      <w:rFonts w:ascii="Cambria" w:hAnsi="Cambria"/>
      <w:color w:val="365F91"/>
      <w:sz w:val="28"/>
      <w:szCs w:val="28"/>
      <w:lang w:val="es-CO" w:eastAsia="es-CO"/>
    </w:rPr>
  </w:style>
  <w:style w:type="paragraph" w:customStyle="1" w:styleId="Piedeimagen">
    <w:name w:val="Pie de imagen"/>
    <w:basedOn w:val="Epgrafe1"/>
    <w:qFormat/>
    <w:rsid w:val="00EE3934"/>
    <w:pPr>
      <w:spacing w:before="0" w:after="0"/>
      <w:ind w:firstLine="454"/>
    </w:pPr>
    <w:rPr>
      <w:rFonts w:eastAsia="Calibri"/>
      <w:sz w:val="20"/>
      <w:szCs w:val="24"/>
    </w:rPr>
  </w:style>
  <w:style w:type="paragraph" w:customStyle="1" w:styleId="Titulotabla">
    <w:name w:val="Titulo tabla"/>
    <w:basedOn w:val="Normal"/>
    <w:qFormat/>
    <w:rsid w:val="00160644"/>
    <w:pPr>
      <w:spacing w:line="276" w:lineRule="auto"/>
    </w:pPr>
    <w:rPr>
      <w:rFonts w:eastAsia="Calibri"/>
      <w:i/>
    </w:rPr>
  </w:style>
  <w:style w:type="paragraph" w:styleId="BalloonText">
    <w:name w:val="Balloon Text"/>
    <w:basedOn w:val="Normal"/>
    <w:link w:val="BalloonTextChar"/>
    <w:uiPriority w:val="99"/>
    <w:rsid w:val="00485681"/>
    <w:rPr>
      <w:sz w:val="18"/>
      <w:szCs w:val="18"/>
    </w:rPr>
  </w:style>
  <w:style w:type="character" w:customStyle="1" w:styleId="BalloonTextChar">
    <w:name w:val="Balloon Text Char"/>
    <w:link w:val="BalloonText"/>
    <w:uiPriority w:val="99"/>
    <w:rsid w:val="00485681"/>
    <w:rPr>
      <w:sz w:val="18"/>
      <w:szCs w:val="18"/>
      <w:lang w:val="en-US" w:eastAsia="en-US"/>
    </w:rPr>
  </w:style>
  <w:style w:type="character" w:customStyle="1" w:styleId="HeaderChar">
    <w:name w:val="Header Char"/>
    <w:link w:val="Header"/>
    <w:uiPriority w:val="99"/>
    <w:rsid w:val="00485681"/>
    <w:rPr>
      <w:sz w:val="24"/>
      <w:szCs w:val="24"/>
      <w:lang w:val="en-US" w:eastAsia="en-US"/>
    </w:rPr>
  </w:style>
  <w:style w:type="paragraph" w:customStyle="1" w:styleId="Default">
    <w:name w:val="Default"/>
    <w:rsid w:val="00CC2C1D"/>
    <w:pPr>
      <w:autoSpaceDE w:val="0"/>
      <w:autoSpaceDN w:val="0"/>
      <w:adjustRightInd w:val="0"/>
      <w:spacing w:line="360" w:lineRule="auto"/>
      <w:ind w:firstLine="720"/>
    </w:pPr>
    <w:rPr>
      <w:rFonts w:eastAsia="Calibri"/>
      <w:color w:val="000000"/>
      <w:sz w:val="24"/>
      <w:szCs w:val="24"/>
      <w:lang w:eastAsia="en-US"/>
    </w:rPr>
  </w:style>
  <w:style w:type="character" w:styleId="Strong">
    <w:name w:val="Strong"/>
    <w:uiPriority w:val="22"/>
    <w:qFormat/>
    <w:rsid w:val="001616B4"/>
    <w:rPr>
      <w:b/>
      <w:bCs/>
    </w:rPr>
  </w:style>
  <w:style w:type="paragraph" w:styleId="ListParagraph">
    <w:name w:val="List Paragraph"/>
    <w:basedOn w:val="Normal"/>
    <w:link w:val="ListParagraphChar"/>
    <w:uiPriority w:val="34"/>
    <w:qFormat/>
    <w:rsid w:val="00DF4CBC"/>
    <w:pPr>
      <w:ind w:left="720"/>
      <w:contextualSpacing/>
    </w:p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f"/>
    <w:basedOn w:val="Normal"/>
    <w:link w:val="FootnoteTextChar"/>
    <w:unhideWhenUsed/>
    <w:qFormat/>
    <w:rsid w:val="00DF4CBC"/>
    <w:rPr>
      <w:rFonts w:ascii="Calibri" w:eastAsia="Calibri" w:hAnsi="Calibri"/>
      <w:sz w:val="20"/>
      <w:szCs w:val="20"/>
      <w:lang w:val="es-ES"/>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DF4CBC"/>
    <w:rPr>
      <w:rFonts w:ascii="Calibri" w:eastAsia="Calibri" w:hAnsi="Calibri"/>
      <w:lang w:val="es-ES" w:eastAsia="en-US"/>
    </w:rPr>
  </w:style>
  <w:style w:type="character" w:styleId="FootnoteReference">
    <w:name w:val="footnote reference"/>
    <w:aliases w:val="4_G,ftref,BVI fnr,16 Point,Superscript 6 Point,Footnote,Footnote symbol,Footnote Refernece,Texto de nota al pie,Fußnotenzeichen_Raxen,4_G Char,4_G Char Char,4_G Char Char Char,ftref Char Char Char Char,Footnotes refss,Fus note,Ref"/>
    <w:unhideWhenUsed/>
    <w:qFormat/>
    <w:rsid w:val="00DF4CBC"/>
    <w:rPr>
      <w:vertAlign w:val="superscript"/>
    </w:rPr>
  </w:style>
  <w:style w:type="paragraph" w:customStyle="1" w:styleId="SingleTxtG">
    <w:name w:val="_ Single Txt_G"/>
    <w:basedOn w:val="Normal"/>
    <w:link w:val="SingleTxtGChar"/>
    <w:qFormat/>
    <w:rsid w:val="003C2926"/>
    <w:pPr>
      <w:spacing w:after="120" w:line="240" w:lineRule="atLeast"/>
      <w:ind w:left="1134" w:right="1134"/>
    </w:pPr>
    <w:rPr>
      <w:sz w:val="20"/>
      <w:szCs w:val="20"/>
      <w:lang w:val="es-ES" w:eastAsia="es-ES"/>
    </w:rPr>
  </w:style>
  <w:style w:type="character" w:customStyle="1" w:styleId="SingleTxtGChar">
    <w:name w:val="_ Single Txt_G Char"/>
    <w:link w:val="SingleTxtG"/>
    <w:rsid w:val="003C2926"/>
    <w:rPr>
      <w:lang w:val="es-ES" w:eastAsia="es-ES"/>
    </w:rPr>
  </w:style>
  <w:style w:type="paragraph" w:styleId="CommentText">
    <w:name w:val="annotation text"/>
    <w:basedOn w:val="Normal"/>
    <w:link w:val="CommentTextChar"/>
    <w:uiPriority w:val="99"/>
    <w:unhideWhenUsed/>
    <w:rsid w:val="00200277"/>
    <w:pPr>
      <w:spacing w:after="200" w:line="276" w:lineRule="auto"/>
    </w:pPr>
    <w:rPr>
      <w:rFonts w:ascii="Calibri" w:eastAsia="Calibri" w:hAnsi="Calibri"/>
      <w:sz w:val="20"/>
      <w:szCs w:val="20"/>
      <w:lang w:val="es-EC"/>
    </w:rPr>
  </w:style>
  <w:style w:type="character" w:customStyle="1" w:styleId="CommentTextChar">
    <w:name w:val="Comment Text Char"/>
    <w:link w:val="CommentText"/>
    <w:uiPriority w:val="99"/>
    <w:rsid w:val="00200277"/>
    <w:rPr>
      <w:rFonts w:ascii="Calibri" w:eastAsia="Calibri" w:hAnsi="Calibri"/>
      <w:lang w:val="es-EC" w:eastAsia="en-US"/>
    </w:rPr>
  </w:style>
  <w:style w:type="table" w:styleId="TableGrid">
    <w:name w:val="Table Grid"/>
    <w:basedOn w:val="TableNormal"/>
    <w:uiPriority w:val="39"/>
    <w:rsid w:val="00AC38CA"/>
    <w:rPr>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eNormal"/>
    <w:next w:val="TableGrid"/>
    <w:uiPriority w:val="39"/>
    <w:rsid w:val="00817A14"/>
    <w:rPr>
      <w:rFonts w:ascii="Calibri" w:eastAsia="Calibri" w:hAnsi="Calibri"/>
      <w:sz w:val="22"/>
      <w:szCs w:val="22"/>
      <w:lang w:val="uz-Cyrl-UZ"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idodelatabla">
    <w:name w:val="Contenido de la tabla"/>
    <w:basedOn w:val="Normal"/>
    <w:rsid w:val="00521398"/>
    <w:pPr>
      <w:widowControl w:val="0"/>
      <w:suppressLineNumbers/>
      <w:suppressAutoHyphens/>
    </w:pPr>
    <w:rPr>
      <w:rFonts w:eastAsia="DejaVu Sans" w:cs="Lohit Hindi"/>
      <w:kern w:val="1"/>
      <w:lang w:val="es-ES" w:eastAsia="zh-CN" w:bidi="hi-IN"/>
    </w:rPr>
  </w:style>
  <w:style w:type="character" w:customStyle="1" w:styleId="FooterChar">
    <w:name w:val="Footer Char"/>
    <w:link w:val="Footer"/>
    <w:uiPriority w:val="99"/>
    <w:rsid w:val="00F360AF"/>
    <w:rPr>
      <w:sz w:val="24"/>
      <w:szCs w:val="24"/>
      <w:lang w:val="en-US" w:eastAsia="en-US"/>
    </w:rPr>
  </w:style>
  <w:style w:type="character" w:customStyle="1" w:styleId="NoSpacingChar">
    <w:name w:val="No Spacing Char"/>
    <w:link w:val="NoSpacing"/>
    <w:uiPriority w:val="99"/>
    <w:rsid w:val="00F360AF"/>
    <w:rPr>
      <w:sz w:val="22"/>
      <w:szCs w:val="22"/>
      <w:lang w:val="en-GB" w:eastAsia="zh-CN"/>
    </w:rPr>
  </w:style>
  <w:style w:type="character" w:customStyle="1" w:styleId="TextonotapieCar1">
    <w:name w:val="Texto nota pie Car1"/>
    <w:uiPriority w:val="99"/>
    <w:semiHidden/>
    <w:rsid w:val="00F360AF"/>
    <w:rPr>
      <w:lang w:eastAsia="en-US"/>
    </w:rPr>
  </w:style>
  <w:style w:type="paragraph" w:customStyle="1" w:styleId="Sinespaciado1">
    <w:name w:val="Sin espaciado1"/>
    <w:basedOn w:val="Normal"/>
    <w:rsid w:val="00F360AF"/>
    <w:pPr>
      <w:suppressAutoHyphens/>
    </w:pPr>
    <w:rPr>
      <w:rFonts w:ascii="Calibri" w:hAnsi="Calibri" w:cs="font292"/>
      <w:lang w:val="es-EC" w:eastAsia="es-EC"/>
    </w:rPr>
  </w:style>
  <w:style w:type="paragraph" w:styleId="NoSpacing">
    <w:name w:val="No Spacing"/>
    <w:link w:val="NoSpacingChar"/>
    <w:uiPriority w:val="99"/>
    <w:qFormat/>
    <w:rsid w:val="00F360AF"/>
    <w:pPr>
      <w:spacing w:line="360" w:lineRule="auto"/>
      <w:ind w:firstLine="720"/>
    </w:pPr>
    <w:rPr>
      <w:sz w:val="22"/>
      <w:szCs w:val="22"/>
      <w:lang w:val="en-GB" w:eastAsia="zh-CN"/>
    </w:rPr>
  </w:style>
  <w:style w:type="character" w:styleId="CommentReference">
    <w:name w:val="annotation reference"/>
    <w:uiPriority w:val="99"/>
    <w:semiHidden/>
    <w:unhideWhenUsed/>
    <w:rsid w:val="00F360AF"/>
    <w:rPr>
      <w:sz w:val="16"/>
      <w:szCs w:val="16"/>
    </w:rPr>
  </w:style>
  <w:style w:type="paragraph" w:styleId="CommentSubject">
    <w:name w:val="annotation subject"/>
    <w:basedOn w:val="CommentText"/>
    <w:next w:val="CommentText"/>
    <w:link w:val="CommentSubjectChar"/>
    <w:uiPriority w:val="99"/>
    <w:semiHidden/>
    <w:unhideWhenUsed/>
    <w:rsid w:val="00F360AF"/>
    <w:pPr>
      <w:spacing w:after="160" w:line="259" w:lineRule="auto"/>
    </w:pPr>
    <w:rPr>
      <w:b/>
      <w:bCs/>
      <w:lang w:val="x-none"/>
    </w:rPr>
  </w:style>
  <w:style w:type="character" w:customStyle="1" w:styleId="CommentSubjectChar">
    <w:name w:val="Comment Subject Char"/>
    <w:link w:val="CommentSubject"/>
    <w:uiPriority w:val="99"/>
    <w:semiHidden/>
    <w:rsid w:val="00F360AF"/>
    <w:rPr>
      <w:rFonts w:ascii="Calibri" w:eastAsia="Calibri" w:hAnsi="Calibri"/>
      <w:b/>
      <w:bCs/>
      <w:lang w:val="x-none" w:eastAsia="en-US"/>
    </w:rPr>
  </w:style>
  <w:style w:type="paragraph" w:styleId="Revision">
    <w:name w:val="Revision"/>
    <w:hidden/>
    <w:uiPriority w:val="99"/>
    <w:semiHidden/>
    <w:rsid w:val="00F360AF"/>
    <w:pPr>
      <w:spacing w:line="360" w:lineRule="auto"/>
      <w:ind w:firstLine="720"/>
    </w:pPr>
    <w:rPr>
      <w:rFonts w:ascii="Calibri" w:eastAsia="Calibri" w:hAnsi="Calibri"/>
      <w:sz w:val="22"/>
      <w:szCs w:val="22"/>
      <w:lang w:eastAsia="en-US"/>
    </w:rPr>
  </w:style>
  <w:style w:type="paragraph" w:styleId="NormalWeb">
    <w:name w:val="Normal (Web)"/>
    <w:basedOn w:val="Normal"/>
    <w:uiPriority w:val="99"/>
    <w:unhideWhenUsed/>
    <w:rsid w:val="00F360AF"/>
    <w:pPr>
      <w:spacing w:before="100" w:beforeAutospacing="1" w:after="100" w:afterAutospacing="1"/>
    </w:pPr>
    <w:rPr>
      <w:lang w:val="es-EC" w:eastAsia="es-EC"/>
    </w:rPr>
  </w:style>
  <w:style w:type="character" w:customStyle="1" w:styleId="st">
    <w:name w:val="st"/>
    <w:rsid w:val="00F360AF"/>
  </w:style>
  <w:style w:type="character" w:customStyle="1" w:styleId="fontstyle01">
    <w:name w:val="fontstyle01"/>
    <w:rsid w:val="00F360AF"/>
    <w:rPr>
      <w:rFonts w:ascii="Times-Roman" w:hAnsi="Times-Roman" w:hint="default"/>
      <w:b w:val="0"/>
      <w:bCs w:val="0"/>
      <w:i w:val="0"/>
      <w:iCs w:val="0"/>
      <w:color w:val="000000"/>
      <w:sz w:val="18"/>
      <w:szCs w:val="18"/>
    </w:rPr>
  </w:style>
  <w:style w:type="character" w:customStyle="1" w:styleId="hit">
    <w:name w:val="hit"/>
    <w:rsid w:val="00F360AF"/>
  </w:style>
  <w:style w:type="paragraph" w:customStyle="1" w:styleId="LO-normal1">
    <w:name w:val="LO-normal1"/>
    <w:rsid w:val="00F360AF"/>
    <w:pPr>
      <w:suppressAutoHyphens/>
      <w:spacing w:line="276" w:lineRule="auto"/>
      <w:ind w:firstLine="720"/>
    </w:pPr>
    <w:rPr>
      <w:rFonts w:ascii="Arial" w:eastAsia="Arial" w:hAnsi="Arial" w:cs="Arial"/>
      <w:color w:val="000000"/>
      <w:kern w:val="1"/>
      <w:sz w:val="22"/>
      <w:lang w:val="es-ES" w:eastAsia="zh-CN"/>
    </w:rPr>
  </w:style>
  <w:style w:type="paragraph" w:customStyle="1" w:styleId="Standard">
    <w:name w:val="Standard"/>
    <w:rsid w:val="004E2D03"/>
    <w:pPr>
      <w:suppressAutoHyphens/>
      <w:autoSpaceDN w:val="0"/>
      <w:spacing w:line="360" w:lineRule="auto"/>
      <w:ind w:firstLine="720"/>
      <w:textAlignment w:val="baseline"/>
    </w:pPr>
    <w:rPr>
      <w:rFonts w:ascii="Liberation Serif" w:eastAsia="SimSun" w:hAnsi="Liberation Serif" w:cs="Arial"/>
      <w:kern w:val="3"/>
      <w:sz w:val="24"/>
      <w:szCs w:val="24"/>
      <w:lang w:eastAsia="zh-CN" w:bidi="hi-IN"/>
    </w:rPr>
  </w:style>
  <w:style w:type="character" w:styleId="FollowedHyperlink">
    <w:name w:val="FollowedHyperlink"/>
    <w:semiHidden/>
    <w:unhideWhenUsed/>
    <w:rsid w:val="00EE6495"/>
    <w:rPr>
      <w:color w:val="800080"/>
      <w:u w:val="single"/>
    </w:rPr>
  </w:style>
  <w:style w:type="table" w:customStyle="1" w:styleId="Tablaconcuadrcula2">
    <w:name w:val="Tabla con cuadrícula2"/>
    <w:basedOn w:val="TableNormal"/>
    <w:next w:val="TableGrid"/>
    <w:uiPriority w:val="59"/>
    <w:rsid w:val="006F528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eNormal"/>
    <w:next w:val="TableGrid"/>
    <w:uiPriority w:val="59"/>
    <w:rsid w:val="006F528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282BE1"/>
    <w:rPr>
      <w:color w:val="605E5C"/>
      <w:shd w:val="clear" w:color="auto" w:fill="E1DFDD"/>
    </w:rPr>
  </w:style>
  <w:style w:type="paragraph" w:styleId="Bibliography">
    <w:name w:val="Bibliography"/>
    <w:basedOn w:val="Normal"/>
    <w:next w:val="Normal"/>
    <w:uiPriority w:val="37"/>
    <w:unhideWhenUsed/>
    <w:rsid w:val="00436322"/>
    <w:pPr>
      <w:spacing w:after="200" w:line="276" w:lineRule="auto"/>
    </w:pPr>
    <w:rPr>
      <w:rFonts w:ascii="Calibri" w:eastAsia="Calibri" w:hAnsi="Calibri"/>
      <w:sz w:val="22"/>
      <w:szCs w:val="22"/>
      <w:lang w:val="es-EC"/>
    </w:rPr>
  </w:style>
  <w:style w:type="numbering" w:customStyle="1" w:styleId="Sinlista1">
    <w:name w:val="Sin lista1"/>
    <w:next w:val="NoList"/>
    <w:uiPriority w:val="99"/>
    <w:semiHidden/>
    <w:unhideWhenUsed/>
    <w:rsid w:val="00122BA4"/>
  </w:style>
  <w:style w:type="paragraph" w:customStyle="1" w:styleId="Predeterminado">
    <w:name w:val="Predeterminado"/>
    <w:rsid w:val="00122BA4"/>
    <w:pPr>
      <w:suppressAutoHyphens/>
      <w:spacing w:line="100" w:lineRule="atLeast"/>
    </w:pPr>
    <w:rPr>
      <w:color w:val="00000A"/>
      <w:sz w:val="24"/>
      <w:szCs w:val="24"/>
      <w:lang w:val="es-ES" w:eastAsia="zh-CN"/>
    </w:rPr>
  </w:style>
  <w:style w:type="character" w:customStyle="1" w:styleId="SubtitleChar">
    <w:name w:val="Subtitle Char"/>
    <w:link w:val="Subtitle"/>
    <w:uiPriority w:val="11"/>
    <w:rsid w:val="00122BA4"/>
    <w:rPr>
      <w:b/>
      <w:bCs/>
      <w:sz w:val="24"/>
      <w:szCs w:val="24"/>
      <w:lang w:val="en-US" w:eastAsia="en-US"/>
    </w:rPr>
  </w:style>
  <w:style w:type="paragraph" w:customStyle="1" w:styleId="Redaccin">
    <w:name w:val="Redacción"/>
    <w:basedOn w:val="ListParagraph"/>
    <w:link w:val="RedaccinCar"/>
    <w:qFormat/>
    <w:rsid w:val="00122BA4"/>
    <w:pPr>
      <w:numPr>
        <w:numId w:val="5"/>
      </w:numPr>
      <w:spacing w:before="120" w:after="120" w:line="276" w:lineRule="auto"/>
      <w:jc w:val="both"/>
    </w:pPr>
    <w:rPr>
      <w:rFonts w:eastAsia="Calibri"/>
      <w:lang w:val="es-ES"/>
    </w:rPr>
  </w:style>
  <w:style w:type="paragraph" w:customStyle="1" w:styleId="Citas">
    <w:name w:val="Citas"/>
    <w:basedOn w:val="Redaccin"/>
    <w:link w:val="CitasCar"/>
    <w:qFormat/>
    <w:rsid w:val="00122BA4"/>
    <w:pPr>
      <w:numPr>
        <w:numId w:val="0"/>
      </w:numPr>
      <w:spacing w:line="240" w:lineRule="auto"/>
      <w:ind w:left="709"/>
      <w:contextualSpacing w:val="0"/>
    </w:pPr>
    <w:rPr>
      <w:sz w:val="22"/>
      <w:szCs w:val="22"/>
    </w:rPr>
  </w:style>
  <w:style w:type="character" w:customStyle="1" w:styleId="ListParagraphChar">
    <w:name w:val="List Paragraph Char"/>
    <w:link w:val="ListParagraph"/>
    <w:rsid w:val="00122BA4"/>
    <w:rPr>
      <w:sz w:val="24"/>
      <w:szCs w:val="24"/>
      <w:lang w:val="en-US" w:eastAsia="en-US"/>
    </w:rPr>
  </w:style>
  <w:style w:type="character" w:customStyle="1" w:styleId="RedaccinCar">
    <w:name w:val="Redacción Car"/>
    <w:link w:val="Redaccin"/>
    <w:qFormat/>
    <w:rsid w:val="00122BA4"/>
    <w:rPr>
      <w:rFonts w:eastAsia="Calibri"/>
      <w:sz w:val="24"/>
      <w:szCs w:val="24"/>
      <w:lang w:val="es-ES" w:eastAsia="es-ES_tradnl"/>
    </w:rPr>
  </w:style>
  <w:style w:type="paragraph" w:customStyle="1" w:styleId="Intro">
    <w:name w:val="Intro"/>
    <w:basedOn w:val="Redaccin"/>
    <w:link w:val="IntroCar"/>
    <w:rsid w:val="00122BA4"/>
    <w:pPr>
      <w:numPr>
        <w:numId w:val="0"/>
      </w:numPr>
      <w:ind w:left="36"/>
    </w:pPr>
  </w:style>
  <w:style w:type="character" w:customStyle="1" w:styleId="CitasCar">
    <w:name w:val="Citas Car"/>
    <w:link w:val="Citas"/>
    <w:rsid w:val="00122BA4"/>
    <w:rPr>
      <w:rFonts w:eastAsia="Calibri"/>
      <w:sz w:val="22"/>
      <w:szCs w:val="22"/>
      <w:lang w:val="es-ES" w:eastAsia="en-US"/>
    </w:rPr>
  </w:style>
  <w:style w:type="paragraph" w:customStyle="1" w:styleId="Instituciones">
    <w:name w:val="Instituciones"/>
    <w:basedOn w:val="Intro"/>
    <w:link w:val="InstitucionesCar"/>
    <w:qFormat/>
    <w:rsid w:val="00122BA4"/>
    <w:rPr>
      <w:u w:val="single"/>
    </w:rPr>
  </w:style>
  <w:style w:type="character" w:customStyle="1" w:styleId="IntroCar">
    <w:name w:val="Intro Car"/>
    <w:link w:val="Intro"/>
    <w:rsid w:val="00122BA4"/>
    <w:rPr>
      <w:rFonts w:eastAsia="Calibri"/>
      <w:sz w:val="24"/>
      <w:szCs w:val="24"/>
      <w:lang w:val="es-ES" w:eastAsia="en-US"/>
    </w:rPr>
  </w:style>
  <w:style w:type="paragraph" w:customStyle="1" w:styleId="Recomendaciones">
    <w:name w:val="Recomendaciones"/>
    <w:basedOn w:val="Introduccin"/>
    <w:link w:val="RecomendacionesCar"/>
    <w:qFormat/>
    <w:rsid w:val="00122BA4"/>
    <w:pPr>
      <w:numPr>
        <w:numId w:val="7"/>
      </w:numPr>
    </w:pPr>
    <w:rPr>
      <w:u w:val="single"/>
    </w:rPr>
  </w:style>
  <w:style w:type="character" w:customStyle="1" w:styleId="InstitucionesCar">
    <w:name w:val="Instituciones Car"/>
    <w:link w:val="Instituciones"/>
    <w:rsid w:val="00122BA4"/>
    <w:rPr>
      <w:rFonts w:eastAsia="Calibri"/>
      <w:sz w:val="24"/>
      <w:szCs w:val="24"/>
      <w:u w:val="single"/>
      <w:lang w:val="es-ES" w:eastAsia="en-US"/>
    </w:rPr>
  </w:style>
  <w:style w:type="paragraph" w:customStyle="1" w:styleId="Estilo9">
    <w:name w:val="Estilo9"/>
    <w:basedOn w:val="Normal"/>
    <w:link w:val="Estilo9Car"/>
    <w:rsid w:val="00122BA4"/>
    <w:pPr>
      <w:widowControl w:val="0"/>
      <w:suppressAutoHyphens/>
      <w:spacing w:before="120" w:after="120"/>
      <w:ind w:firstLine="567"/>
      <w:jc w:val="both"/>
    </w:pPr>
    <w:rPr>
      <w:rFonts w:eastAsia="DejaVu Sans"/>
      <w:lang w:val="es-VE" w:eastAsia="es-EC"/>
    </w:rPr>
  </w:style>
  <w:style w:type="character" w:customStyle="1" w:styleId="RecomendacionesCar">
    <w:name w:val="Recomendaciones Car"/>
    <w:link w:val="Recomendaciones"/>
    <w:rsid w:val="00122BA4"/>
    <w:rPr>
      <w:rFonts w:eastAsia="DejaVu Sans" w:cs="Lohit Hindi"/>
      <w:sz w:val="24"/>
      <w:szCs w:val="24"/>
      <w:u w:val="single"/>
      <w:lang w:val="es-VE"/>
    </w:rPr>
  </w:style>
  <w:style w:type="character" w:customStyle="1" w:styleId="Estilo9Car">
    <w:name w:val="Estilo9 Car"/>
    <w:link w:val="Estilo9"/>
    <w:rsid w:val="00122BA4"/>
    <w:rPr>
      <w:rFonts w:eastAsia="DejaVu Sans"/>
      <w:sz w:val="24"/>
      <w:szCs w:val="24"/>
      <w:lang w:val="es-VE" w:eastAsia="es-EC"/>
    </w:rPr>
  </w:style>
  <w:style w:type="paragraph" w:customStyle="1" w:styleId="Introduccin">
    <w:name w:val="Introducción"/>
    <w:basedOn w:val="Redaccin"/>
    <w:link w:val="IntroduccinCar"/>
    <w:qFormat/>
    <w:rsid w:val="00122BA4"/>
    <w:pPr>
      <w:widowControl w:val="0"/>
      <w:numPr>
        <w:numId w:val="0"/>
      </w:numPr>
      <w:suppressAutoHyphens/>
      <w:ind w:firstLine="708"/>
      <w:contextualSpacing w:val="0"/>
    </w:pPr>
    <w:rPr>
      <w:rFonts w:eastAsia="DejaVu Sans" w:cs="Lohit Hindi"/>
      <w:lang w:val="es-VE" w:eastAsia="es-EC"/>
    </w:rPr>
  </w:style>
  <w:style w:type="character" w:customStyle="1" w:styleId="IntroduccinCar">
    <w:name w:val="Introducción Car"/>
    <w:link w:val="Introduccin"/>
    <w:qFormat/>
    <w:rsid w:val="00122BA4"/>
    <w:rPr>
      <w:rFonts w:eastAsia="DejaVu Sans" w:cs="Lohit Hindi"/>
      <w:sz w:val="24"/>
      <w:szCs w:val="24"/>
      <w:lang w:val="es-VE" w:eastAsia="es-EC"/>
    </w:rPr>
  </w:style>
  <w:style w:type="character" w:customStyle="1" w:styleId="WW8Num3z3">
    <w:name w:val="WW8Num3z3"/>
    <w:rsid w:val="00122BA4"/>
  </w:style>
  <w:style w:type="paragraph" w:customStyle="1" w:styleId="Estilodos">
    <w:name w:val="Estilo dos"/>
    <w:basedOn w:val="Normal"/>
    <w:link w:val="EstilodosCar"/>
    <w:autoRedefine/>
    <w:rsid w:val="00122BA4"/>
    <w:pPr>
      <w:widowControl w:val="0"/>
      <w:suppressAutoHyphens/>
      <w:spacing w:before="120" w:after="120"/>
      <w:jc w:val="both"/>
    </w:pPr>
    <w:rPr>
      <w:rFonts w:eastAsia="DejaVu Sans" w:cs="Lohit Hindi"/>
      <w:b/>
      <w:lang w:val="es-VE" w:eastAsia="es-EC"/>
    </w:rPr>
  </w:style>
  <w:style w:type="character" w:customStyle="1" w:styleId="EstilodosCar">
    <w:name w:val="Estilo dos Car"/>
    <w:link w:val="Estilodos"/>
    <w:rsid w:val="00122BA4"/>
    <w:rPr>
      <w:rFonts w:eastAsia="DejaVu Sans" w:cs="Lohit Hindi"/>
      <w:b/>
      <w:sz w:val="24"/>
      <w:szCs w:val="24"/>
      <w:lang w:val="es-VE" w:eastAsia="es-EC"/>
    </w:rPr>
  </w:style>
  <w:style w:type="paragraph" w:customStyle="1" w:styleId="Tabla">
    <w:name w:val="Tabla"/>
    <w:basedOn w:val="Normal"/>
    <w:link w:val="TablaCar"/>
    <w:qFormat/>
    <w:rsid w:val="00122BA4"/>
    <w:rPr>
      <w:rFonts w:eastAsia="Calibri"/>
      <w:lang w:val="es-ES"/>
    </w:rPr>
  </w:style>
  <w:style w:type="paragraph" w:customStyle="1" w:styleId="ttulotabla">
    <w:name w:val="título tabla"/>
    <w:basedOn w:val="Normal"/>
    <w:link w:val="ttulotablaCar"/>
    <w:qFormat/>
    <w:rsid w:val="00122BA4"/>
    <w:pPr>
      <w:spacing w:after="160" w:line="259" w:lineRule="auto"/>
    </w:pPr>
    <w:rPr>
      <w:rFonts w:eastAsia="Calibri"/>
      <w:i/>
      <w:lang w:val="es-ES"/>
    </w:rPr>
  </w:style>
  <w:style w:type="character" w:customStyle="1" w:styleId="TablaCar">
    <w:name w:val="Tabla Car"/>
    <w:link w:val="Tabla"/>
    <w:rsid w:val="00122BA4"/>
    <w:rPr>
      <w:rFonts w:eastAsia="Calibri"/>
      <w:sz w:val="24"/>
      <w:szCs w:val="24"/>
      <w:lang w:val="es-ES" w:eastAsia="en-US"/>
    </w:rPr>
  </w:style>
  <w:style w:type="paragraph" w:customStyle="1" w:styleId="Notas">
    <w:name w:val="Notas"/>
    <w:basedOn w:val="Normal"/>
    <w:link w:val="NotasCar"/>
    <w:rsid w:val="00122BA4"/>
    <w:pPr>
      <w:spacing w:before="240" w:after="160" w:line="259" w:lineRule="auto"/>
      <w:ind w:left="1276"/>
      <w:contextualSpacing/>
    </w:pPr>
    <w:rPr>
      <w:rFonts w:eastAsia="Calibri"/>
      <w:sz w:val="20"/>
      <w:szCs w:val="20"/>
      <w:lang w:val="es-ES"/>
    </w:rPr>
  </w:style>
  <w:style w:type="character" w:customStyle="1" w:styleId="ttulotablaCar">
    <w:name w:val="título tabla Car"/>
    <w:link w:val="ttulotabla"/>
    <w:rsid w:val="00122BA4"/>
    <w:rPr>
      <w:rFonts w:eastAsia="Calibri"/>
      <w:i/>
      <w:sz w:val="24"/>
      <w:szCs w:val="24"/>
      <w:lang w:val="es-ES" w:eastAsia="en-US"/>
    </w:rPr>
  </w:style>
  <w:style w:type="character" w:customStyle="1" w:styleId="NotasCar">
    <w:name w:val="Notas Car"/>
    <w:link w:val="Notas"/>
    <w:rsid w:val="00122BA4"/>
    <w:rPr>
      <w:rFonts w:eastAsia="Calibri"/>
      <w:lang w:val="es-ES" w:eastAsia="en-US"/>
    </w:rPr>
  </w:style>
  <w:style w:type="character" w:customStyle="1" w:styleId="Heading2Char">
    <w:name w:val="Heading 2 Char"/>
    <w:link w:val="Heading2"/>
    <w:uiPriority w:val="9"/>
    <w:rsid w:val="00D45694"/>
    <w:rPr>
      <w:rFonts w:cs="Arial"/>
      <w:b/>
      <w:bCs/>
      <w:iCs/>
      <w:sz w:val="24"/>
      <w:szCs w:val="28"/>
      <w:lang w:val="es-ES" w:eastAsia="en-US"/>
    </w:rPr>
  </w:style>
  <w:style w:type="paragraph" w:customStyle="1" w:styleId="Estilo1">
    <w:name w:val="Estilo1"/>
    <w:basedOn w:val="Redaccin"/>
    <w:link w:val="Estilo1Car"/>
    <w:rsid w:val="00122BA4"/>
    <w:pPr>
      <w:numPr>
        <w:numId w:val="0"/>
      </w:numPr>
      <w:ind w:left="36"/>
    </w:pPr>
    <w:rPr>
      <w:i/>
      <w:color w:val="A6A6A6"/>
    </w:rPr>
  </w:style>
  <w:style w:type="character" w:customStyle="1" w:styleId="Estilo1Car">
    <w:name w:val="Estilo1 Car"/>
    <w:link w:val="Estilo1"/>
    <w:rsid w:val="00122BA4"/>
    <w:rPr>
      <w:rFonts w:eastAsia="Calibri"/>
      <w:i/>
      <w:color w:val="A6A6A6"/>
      <w:sz w:val="24"/>
      <w:szCs w:val="24"/>
      <w:lang w:val="es-ES" w:eastAsia="en-US"/>
    </w:rPr>
  </w:style>
  <w:style w:type="character" w:customStyle="1" w:styleId="A5">
    <w:name w:val="A5"/>
    <w:uiPriority w:val="99"/>
    <w:rsid w:val="00122BA4"/>
    <w:rPr>
      <w:color w:val="000000"/>
      <w:sz w:val="22"/>
      <w:szCs w:val="22"/>
    </w:rPr>
  </w:style>
  <w:style w:type="paragraph" w:customStyle="1" w:styleId="Bullet1G">
    <w:name w:val="_Bullet 1_G"/>
    <w:basedOn w:val="Normal"/>
    <w:rsid w:val="00122BA4"/>
    <w:pPr>
      <w:numPr>
        <w:numId w:val="6"/>
      </w:numPr>
      <w:spacing w:after="120" w:line="240" w:lineRule="atLeast"/>
      <w:ind w:right="1134"/>
      <w:jc w:val="both"/>
    </w:pPr>
    <w:rPr>
      <w:sz w:val="20"/>
      <w:szCs w:val="20"/>
      <w:lang w:val="es-ES"/>
    </w:rPr>
  </w:style>
  <w:style w:type="table" w:customStyle="1" w:styleId="Tablaconcuadrcula4">
    <w:name w:val="Tabla con cuadrícula4"/>
    <w:basedOn w:val="TableNormal"/>
    <w:next w:val="TableGrid"/>
    <w:uiPriority w:val="39"/>
    <w:rsid w:val="00122BA4"/>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omendacin">
    <w:name w:val="Recomendación"/>
    <w:basedOn w:val="Recomendaciones"/>
    <w:link w:val="RecomendacinCar"/>
    <w:rsid w:val="00122BA4"/>
  </w:style>
  <w:style w:type="character" w:customStyle="1" w:styleId="RecomendacinCar">
    <w:name w:val="Recomendación Car"/>
    <w:link w:val="Recomendacin"/>
    <w:rsid w:val="00122BA4"/>
    <w:rPr>
      <w:rFonts w:eastAsia="DejaVu Sans" w:cs="Lohit Hindi"/>
      <w:sz w:val="24"/>
      <w:szCs w:val="24"/>
      <w:u w:val="single"/>
      <w:lang w:val="es-VE"/>
    </w:rPr>
  </w:style>
  <w:style w:type="paragraph" w:customStyle="1" w:styleId="Consideracionesyconclusiones">
    <w:name w:val="Consideraciones y conclusiones"/>
    <w:basedOn w:val="Redaccin"/>
    <w:link w:val="ConsideracionesyconclusionesCar"/>
    <w:qFormat/>
    <w:rsid w:val="00122BA4"/>
    <w:pPr>
      <w:numPr>
        <w:numId w:val="0"/>
      </w:numPr>
      <w:ind w:left="425" w:hanging="425"/>
      <w:contextualSpacing w:val="0"/>
    </w:pPr>
  </w:style>
  <w:style w:type="character" w:customStyle="1" w:styleId="ConsideracionesyconclusionesCar">
    <w:name w:val="Consideraciones y conclusiones Car"/>
    <w:link w:val="Consideracionesyconclusiones"/>
    <w:rsid w:val="00122BA4"/>
    <w:rPr>
      <w:rFonts w:eastAsia="Calibri"/>
      <w:sz w:val="24"/>
      <w:szCs w:val="24"/>
      <w:lang w:val="es-ES" w:eastAsia="en-US"/>
    </w:rPr>
  </w:style>
  <w:style w:type="paragraph" w:customStyle="1" w:styleId="Redaccin1">
    <w:name w:val="Redacción 1"/>
    <w:basedOn w:val="Redaccin"/>
    <w:link w:val="Redaccin1Car"/>
    <w:rsid w:val="00122BA4"/>
    <w:pPr>
      <w:widowControl w:val="0"/>
      <w:numPr>
        <w:numId w:val="0"/>
      </w:numPr>
      <w:suppressAutoHyphens/>
      <w:ind w:firstLine="567"/>
      <w:contextualSpacing w:val="0"/>
    </w:pPr>
    <w:rPr>
      <w:rFonts w:eastAsia="DejaVu Sans" w:cs="Lohit Hindi"/>
      <w:lang w:val="es-VE" w:eastAsia="es-EC"/>
    </w:rPr>
  </w:style>
  <w:style w:type="character" w:customStyle="1" w:styleId="Redaccin1Car">
    <w:name w:val="Redacción 1 Car"/>
    <w:link w:val="Redaccin1"/>
    <w:rsid w:val="00122BA4"/>
    <w:rPr>
      <w:rFonts w:eastAsia="DejaVu Sans" w:cs="Lohit Hindi"/>
      <w:sz w:val="24"/>
      <w:szCs w:val="24"/>
      <w:lang w:val="es-VE" w:eastAsia="es-EC"/>
    </w:rPr>
  </w:style>
  <w:style w:type="paragraph" w:customStyle="1" w:styleId="Textbody">
    <w:name w:val="Text body"/>
    <w:basedOn w:val="Standard"/>
    <w:rsid w:val="00122BA4"/>
    <w:pPr>
      <w:spacing w:after="140" w:line="276" w:lineRule="auto"/>
      <w:ind w:firstLine="0"/>
    </w:pPr>
  </w:style>
  <w:style w:type="character" w:customStyle="1" w:styleId="highlight">
    <w:name w:val="highlight"/>
    <w:basedOn w:val="DefaultParagraphFont"/>
    <w:rsid w:val="00122BA4"/>
  </w:style>
  <w:style w:type="table" w:customStyle="1" w:styleId="Tabladecuadrcula4-nfasis51">
    <w:name w:val="Tabla de cuadrícula 4 - Énfasis 51"/>
    <w:basedOn w:val="TableNormal"/>
    <w:uiPriority w:val="49"/>
    <w:rsid w:val="00122BA4"/>
    <w:rPr>
      <w:rFonts w:ascii="Calibri" w:eastAsia="Calibri" w:hAnsi="Calibri"/>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HTMLPreformatted">
    <w:name w:val="HTML Preformatted"/>
    <w:basedOn w:val="Normal"/>
    <w:link w:val="HTMLPreformattedChar"/>
    <w:uiPriority w:val="99"/>
    <w:unhideWhenUsed/>
    <w:rsid w:val="00122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C" w:eastAsia="es-EC"/>
    </w:rPr>
  </w:style>
  <w:style w:type="character" w:customStyle="1" w:styleId="HTMLPreformattedChar">
    <w:name w:val="HTML Preformatted Char"/>
    <w:link w:val="HTMLPreformatted"/>
    <w:uiPriority w:val="99"/>
    <w:rsid w:val="00122BA4"/>
    <w:rPr>
      <w:rFonts w:ascii="Courier New" w:hAnsi="Courier New" w:cs="Courier New"/>
      <w:lang w:val="es-EC" w:eastAsia="es-EC"/>
    </w:rPr>
  </w:style>
  <w:style w:type="character" w:customStyle="1" w:styleId="object">
    <w:name w:val="object"/>
    <w:basedOn w:val="DefaultParagraphFont"/>
    <w:rsid w:val="00122BA4"/>
  </w:style>
  <w:style w:type="character" w:customStyle="1" w:styleId="StrongEmphasis">
    <w:name w:val="Strong Emphasis"/>
    <w:rsid w:val="00122BA4"/>
    <w:rPr>
      <w:b/>
      <w:bCs/>
    </w:rPr>
  </w:style>
  <w:style w:type="character" w:customStyle="1" w:styleId="nfasisintenso1">
    <w:name w:val="Énfasis intenso1"/>
    <w:uiPriority w:val="21"/>
    <w:qFormat/>
    <w:rsid w:val="00122BA4"/>
    <w:rPr>
      <w:b/>
      <w:bCs/>
      <w:i/>
      <w:iCs/>
      <w:color w:val="5B9BD5"/>
    </w:rPr>
  </w:style>
  <w:style w:type="character" w:styleId="IntenseEmphasis">
    <w:name w:val="Intense Emphasis"/>
    <w:uiPriority w:val="21"/>
    <w:qFormat/>
    <w:rsid w:val="00122BA4"/>
    <w:rPr>
      <w:i/>
      <w:iCs/>
      <w:color w:val="4F81BD"/>
    </w:rPr>
  </w:style>
  <w:style w:type="character" w:customStyle="1" w:styleId="NotaCar">
    <w:name w:val="Nota Car"/>
    <w:link w:val="Nota"/>
    <w:qFormat/>
    <w:rsid w:val="00351BB9"/>
    <w:rPr>
      <w:i/>
    </w:rPr>
  </w:style>
  <w:style w:type="paragraph" w:customStyle="1" w:styleId="Nota">
    <w:name w:val="Nota"/>
    <w:basedOn w:val="Normal"/>
    <w:link w:val="NotaCar"/>
    <w:qFormat/>
    <w:rsid w:val="00351BB9"/>
    <w:pPr>
      <w:spacing w:line="259" w:lineRule="auto"/>
      <w:ind w:right="141"/>
    </w:pPr>
    <w:rPr>
      <w:i/>
      <w:sz w:val="20"/>
      <w:szCs w:val="20"/>
    </w:rPr>
  </w:style>
  <w:style w:type="paragraph" w:styleId="TOCHeading">
    <w:name w:val="TOC Heading"/>
    <w:basedOn w:val="Heading1"/>
    <w:next w:val="Normal"/>
    <w:uiPriority w:val="39"/>
    <w:unhideWhenUsed/>
    <w:qFormat/>
    <w:rsid w:val="009E0A9E"/>
    <w:pPr>
      <w:keepNext/>
      <w:keepLines/>
      <w:numPr>
        <w:numId w:val="19"/>
      </w:numPr>
      <w:autoSpaceDE/>
      <w:autoSpaceDN/>
      <w:adjustRightInd/>
      <w:spacing w:before="480" w:line="276" w:lineRule="auto"/>
      <w:outlineLvl w:val="9"/>
    </w:pPr>
    <w:rPr>
      <w:rFonts w:ascii="Cambria" w:hAnsi="Cambria"/>
      <w:color w:val="365F91"/>
      <w:sz w:val="28"/>
      <w:szCs w:val="28"/>
      <w:lang w:val="es-CO" w:eastAsia="es-CO"/>
    </w:rPr>
  </w:style>
  <w:style w:type="character" w:customStyle="1" w:styleId="Mencinsinresolver2">
    <w:name w:val="Mención sin resolver2"/>
    <w:uiPriority w:val="99"/>
    <w:semiHidden/>
    <w:unhideWhenUsed/>
    <w:rsid w:val="009E0A9E"/>
    <w:rPr>
      <w:color w:val="605E5C"/>
      <w:shd w:val="clear" w:color="auto" w:fill="E1DFDD"/>
    </w:rPr>
  </w:style>
  <w:style w:type="paragraph" w:customStyle="1" w:styleId="xelementtoproof">
    <w:name w:val="x_elementtoproof"/>
    <w:basedOn w:val="Normal"/>
    <w:rsid w:val="009E0A9E"/>
    <w:pPr>
      <w:spacing w:before="100" w:beforeAutospacing="1" w:after="100" w:afterAutospacing="1"/>
    </w:pPr>
    <w:rPr>
      <w:lang w:val="es-MX" w:eastAsia="es-MX"/>
    </w:rPr>
  </w:style>
  <w:style w:type="character" w:customStyle="1" w:styleId="Mencinsinresolver3">
    <w:name w:val="Mención sin resolver3"/>
    <w:basedOn w:val="DefaultParagraphFont"/>
    <w:uiPriority w:val="99"/>
    <w:semiHidden/>
    <w:unhideWhenUsed/>
    <w:rsid w:val="00B62B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765860">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865602149">
      <w:bodyDiv w:val="1"/>
      <w:marLeft w:val="0"/>
      <w:marRight w:val="0"/>
      <w:marTop w:val="0"/>
      <w:marBottom w:val="0"/>
      <w:divBdr>
        <w:top w:val="none" w:sz="0" w:space="0" w:color="auto"/>
        <w:left w:val="none" w:sz="0" w:space="0" w:color="auto"/>
        <w:bottom w:val="none" w:sz="0" w:space="0" w:color="auto"/>
        <w:right w:val="none" w:sz="0" w:space="0" w:color="auto"/>
      </w:divBdr>
    </w:div>
    <w:div w:id="1441534065">
      <w:bodyDiv w:val="1"/>
      <w:marLeft w:val="0"/>
      <w:marRight w:val="0"/>
      <w:marTop w:val="0"/>
      <w:marBottom w:val="0"/>
      <w:divBdr>
        <w:top w:val="none" w:sz="0" w:space="0" w:color="auto"/>
        <w:left w:val="none" w:sz="0" w:space="0" w:color="auto"/>
        <w:bottom w:val="none" w:sz="0" w:space="0" w:color="auto"/>
        <w:right w:val="none" w:sz="0" w:space="0" w:color="auto"/>
      </w:divBdr>
    </w:div>
    <w:div w:id="1820268627">
      <w:bodyDiv w:val="1"/>
      <w:marLeft w:val="0"/>
      <w:marRight w:val="0"/>
      <w:marTop w:val="0"/>
      <w:marBottom w:val="0"/>
      <w:divBdr>
        <w:top w:val="none" w:sz="0" w:space="0" w:color="auto"/>
        <w:left w:val="none" w:sz="0" w:space="0" w:color="auto"/>
        <w:bottom w:val="none" w:sz="0" w:space="0" w:color="auto"/>
        <w:right w:val="none" w:sz="0" w:space="0" w:color="auto"/>
      </w:divBdr>
    </w:div>
    <w:div w:id="183783734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chart" Target="charts/chart1.xml"/><Relationship Id="rId34"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mailto:ricardo.duran@dpe.gob.ec" TargetMode="External"/><Relationship Id="rId17" Type="http://schemas.openxmlformats.org/officeDocument/2006/relationships/image" Target="media/image5.png"/><Relationship Id="rId25" Type="http://schemas.openxmlformats.org/officeDocument/2006/relationships/header" Target="header2.xm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atencionintegral.gob.ec/estadisticas/" TargetMode="External"/><Relationship Id="rId29" Type="http://schemas.openxmlformats.org/officeDocument/2006/relationships/hyperlink" Target="https://www.eltelegrafo.com.ec/noticias/judicial/12/216-clinicas-adiccion-regularizac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pe.gob.ec" TargetMode="External"/><Relationship Id="rId24" Type="http://schemas.openxmlformats.org/officeDocument/2006/relationships/header" Target="header1.xml"/><Relationship Id="rId32" Type="http://schemas.openxmlformats.org/officeDocument/2006/relationships/hyperlink" Target="http://www.ninasnomadres.org/alza-la-voz/wp-content/uploads/2020/07/fact-sheet-el-golpe.pdf"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ecuadorencifras.gob.ec/documentos/web-inec/Poblacion_y_Demografia/Censo_penitenciario%20/2023/Principales_Resultados_CP2022.pdf" TargetMode="External"/><Relationship Id="rId28" Type="http://schemas.openxmlformats.org/officeDocument/2006/relationships/hyperlink" Target="http://www.calidadsalud.gob.ec/clausuran-establecimiento-ilegal-con-mas-de-30-personas-con-adicciones-en-hacinamiento-en-flor-de-bastion/"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s://www.salud.gob.ec/3-regulacion-control-y-sancion-a-establecimien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chart" Target="charts/chart2.xml"/><Relationship Id="rId27" Type="http://schemas.openxmlformats.org/officeDocument/2006/relationships/footer" Target="footer2.xml"/><Relationship Id="rId30" Type="http://schemas.openxmlformats.org/officeDocument/2006/relationships/hyperlink" Target="http://www.ninasnomadres.org/alza-la-voz/wp-content/uploads/2020/07/fact-sheet-el-golpe.pdf"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repositorio.dpe.gob.ec/bitstream/39000/2342/1/PT-DPE-007-2019.pdf" TargetMode="External"/><Relationship Id="rId3" Type="http://schemas.openxmlformats.org/officeDocument/2006/relationships/hyperlink" Target="https://www.finanzas.gob.ec/wp-content/uploads/downloads/2019/07/Directrices-Proforma-2020-y-PPC-2020-2023-V10-15-7-2019-public.-1.pdf" TargetMode="External"/><Relationship Id="rId7" Type="http://schemas.openxmlformats.org/officeDocument/2006/relationships/hyperlink" Target="https://youtu.be/Mfv9skHEwvo" TargetMode="External"/><Relationship Id="rId2" Type="http://schemas.openxmlformats.org/officeDocument/2006/relationships/hyperlink" Target="https://www.redinnovacion.org/articulo/se-reconsidera-la-ley-en-contra-de-la-violencia-de-g%C3%A9nero-propuesta-en-ecuador" TargetMode="External"/><Relationship Id="rId1" Type="http://schemas.openxmlformats.org/officeDocument/2006/relationships/hyperlink" Target="https://www.elcomercio.com/tendencias/polemica-cambios-ley-violencia-mujer.html" TargetMode="External"/><Relationship Id="rId6" Type="http://schemas.openxmlformats.org/officeDocument/2006/relationships/hyperlink" Target="https://www.planv.com.ec/sites/default/files/mandato_de_las_mujeres_amazonicas_.pdf" TargetMode="External"/><Relationship Id="rId11" Type="http://schemas.openxmlformats.org/officeDocument/2006/relationships/hyperlink" Target="https://www.apt.ch/detention-focus/es/detention_issues/6/" TargetMode="External"/><Relationship Id="rId5" Type="http://schemas.openxmlformats.org/officeDocument/2006/relationships/hyperlink" Target="http://www.pichinchacomunicaciones.com.ec/mujeres-amazonicas-exigen-que-cese-la-persecucion-y-amenazas-contra-las-defensoras-de-la-naturaleza/" TargetMode="External"/><Relationship Id="rId10" Type="http://schemas.openxmlformats.org/officeDocument/2006/relationships/hyperlink" Target="https://youtu.be/Mfv9skHEwvo" TargetMode="External"/><Relationship Id="rId4" Type="http://schemas.openxmlformats.org/officeDocument/2006/relationships/hyperlink" Target="https://www.finanzas.gob.ec/wp-content/uploads/downloads/2018/07/DIRECTRICES-PARA-LA-ELABORACION-DE-LA-PROFORMA-DEL-PGE.compressed.pdf" TargetMode="External"/><Relationship Id="rId9" Type="http://schemas.openxmlformats.org/officeDocument/2006/relationships/hyperlink" Target="http://www.pichinchacomunicaciones.com.ec/mujeres-defensoras-de-la-naturaleza-exigen-agilidad-en-la-investigacion-sobre-las-amenazas-de-muerte-recibida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charts/_rels/chart1.xml.rels><?xml version="1.0" encoding="UTF-8" standalone="yes"?>
<Relationships xmlns="http://schemas.openxmlformats.org/package/2006/relationships"><Relationship Id="rId2" Type="http://schemas.openxmlformats.org/officeDocument/2006/relationships/oleObject" Target="Libro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0" i="0" u="none" strike="noStrike" baseline="0">
                <a:latin typeface="Times New Roman" panose="02020603050405020304" pitchFamily="18" charset="0"/>
                <a:cs typeface="Times New Roman" panose="02020603050405020304" pitchFamily="18" charset="0"/>
              </a:rPr>
              <a:t>¿Con cuántas personas comparte su celda? </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bar"/>
        <c:grouping val="clustered"/>
        <c:varyColors val="0"/>
        <c:ser>
          <c:idx val="0"/>
          <c:order val="0"/>
          <c:tx>
            <c:strRef>
              <c:f>Hoja1!$B$1</c:f>
              <c:strCache>
                <c:ptCount val="1"/>
                <c:pt idx="0">
                  <c:v>hombres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Hoja1!$A$2:$A$6</c:f>
              <c:strCache>
                <c:ptCount val="5"/>
                <c:pt idx="0">
                  <c:v>Ninguna</c:v>
                </c:pt>
                <c:pt idx="1">
                  <c:v>De 1 a 5 personas</c:v>
                </c:pt>
                <c:pt idx="2">
                  <c:v>De 6 a 10 personas</c:v>
                </c:pt>
                <c:pt idx="3">
                  <c:v>De 11 a 15 personas</c:v>
                </c:pt>
                <c:pt idx="4">
                  <c:v>más de 15 personas</c:v>
                </c:pt>
              </c:strCache>
            </c:strRef>
          </c:cat>
          <c:val>
            <c:numRef>
              <c:f>Hoja1!$B$2:$B$6</c:f>
              <c:numCache>
                <c:formatCode>0.00%</c:formatCode>
                <c:ptCount val="5"/>
                <c:pt idx="0">
                  <c:v>8.0000000000000002E-3</c:v>
                </c:pt>
                <c:pt idx="1">
                  <c:v>0.56799999999999995</c:v>
                </c:pt>
                <c:pt idx="2">
                  <c:v>0.23400000000000001</c:v>
                </c:pt>
                <c:pt idx="3">
                  <c:v>9.2999999999999999E-2</c:v>
                </c:pt>
                <c:pt idx="4">
                  <c:v>9.7000000000000003E-2</c:v>
                </c:pt>
              </c:numCache>
            </c:numRef>
          </c:val>
          <c:extLst>
            <c:ext xmlns:c16="http://schemas.microsoft.com/office/drawing/2014/chart" uri="{C3380CC4-5D6E-409C-BE32-E72D297353CC}">
              <c16:uniqueId val="{00000000-CEA2-4E16-ADF9-ACC8B45E7F5D}"/>
            </c:ext>
          </c:extLst>
        </c:ser>
        <c:ser>
          <c:idx val="1"/>
          <c:order val="1"/>
          <c:tx>
            <c:strRef>
              <c:f>Hoja1!$C$1</c:f>
              <c:strCache>
                <c:ptCount val="1"/>
                <c:pt idx="0">
                  <c:v>mujeres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Hoja1!$A$2:$A$6</c:f>
              <c:strCache>
                <c:ptCount val="5"/>
                <c:pt idx="0">
                  <c:v>Ninguna</c:v>
                </c:pt>
                <c:pt idx="1">
                  <c:v>De 1 a 5 personas</c:v>
                </c:pt>
                <c:pt idx="2">
                  <c:v>De 6 a 10 personas</c:v>
                </c:pt>
                <c:pt idx="3">
                  <c:v>De 11 a 15 personas</c:v>
                </c:pt>
                <c:pt idx="4">
                  <c:v>más de 15 personas</c:v>
                </c:pt>
              </c:strCache>
            </c:strRef>
          </c:cat>
          <c:val>
            <c:numRef>
              <c:f>Hoja1!$C$2:$C$6</c:f>
              <c:numCache>
                <c:formatCode>0.00%</c:formatCode>
                <c:ptCount val="5"/>
                <c:pt idx="0">
                  <c:v>1.4999999999999999E-2</c:v>
                </c:pt>
                <c:pt idx="1">
                  <c:v>0.68600000000000005</c:v>
                </c:pt>
                <c:pt idx="2">
                  <c:v>0.19700000000000001</c:v>
                </c:pt>
                <c:pt idx="3">
                  <c:v>4.3999999999999997E-2</c:v>
                </c:pt>
                <c:pt idx="4">
                  <c:v>5.8000000000000003E-2</c:v>
                </c:pt>
              </c:numCache>
            </c:numRef>
          </c:val>
          <c:extLst>
            <c:ext xmlns:c16="http://schemas.microsoft.com/office/drawing/2014/chart" uri="{C3380CC4-5D6E-409C-BE32-E72D297353CC}">
              <c16:uniqueId val="{00000001-CEA2-4E16-ADF9-ACC8B45E7F5D}"/>
            </c:ext>
          </c:extLst>
        </c:ser>
        <c:dLbls>
          <c:dLblPos val="outEnd"/>
          <c:showLegendKey val="0"/>
          <c:showVal val="1"/>
          <c:showCatName val="0"/>
          <c:showSerName val="0"/>
          <c:showPercent val="0"/>
          <c:showBubbleSize val="0"/>
        </c:dLbls>
        <c:gapWidth val="182"/>
        <c:axId val="203720192"/>
        <c:axId val="203721344"/>
      </c:barChart>
      <c:catAx>
        <c:axId val="2037201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721344"/>
        <c:crosses val="autoZero"/>
        <c:auto val="1"/>
        <c:lblAlgn val="ctr"/>
        <c:lblOffset val="100"/>
        <c:noMultiLvlLbl val="0"/>
      </c:catAx>
      <c:valAx>
        <c:axId val="203721344"/>
        <c:scaling>
          <c:orientation val="minMax"/>
        </c:scaling>
        <c:delete val="1"/>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crossAx val="203720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MX" sz="1200">
                <a:latin typeface="Times New Roman" panose="02020603050405020304" pitchFamily="18" charset="0"/>
                <a:cs typeface="Times New Roman" panose="02020603050405020304" pitchFamily="18" charset="0"/>
              </a:rPr>
              <a:t>PPL</a:t>
            </a:r>
            <a:r>
              <a:rPr lang="es-MX" sz="1200" baseline="0">
                <a:latin typeface="Times New Roman" panose="02020603050405020304" pitchFamily="18" charset="0"/>
                <a:cs typeface="Times New Roman" panose="02020603050405020304" pitchFamily="18" charset="0"/>
              </a:rPr>
              <a:t> que reciben visitas</a:t>
            </a:r>
            <a:endParaRPr lang="es-MX" sz="1200">
              <a:latin typeface="Times New Roman" panose="02020603050405020304" pitchFamily="18" charset="0"/>
              <a:cs typeface="Times New Roman" panose="02020603050405020304" pitchFamily="18" charset="0"/>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percentStacked"/>
        <c:varyColors val="0"/>
        <c:ser>
          <c:idx val="0"/>
          <c:order val="0"/>
          <c:tx>
            <c:strRef>
              <c:f>Hoja1!$B$1</c:f>
              <c:strCache>
                <c:ptCount val="1"/>
                <c:pt idx="0">
                  <c:v>Si recibió visitas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Hoja1!$A$2:$A$4</c:f>
              <c:strCache>
                <c:ptCount val="3"/>
                <c:pt idx="0">
                  <c:v>Hombre</c:v>
                </c:pt>
                <c:pt idx="1">
                  <c:v>Mujer</c:v>
                </c:pt>
                <c:pt idx="2">
                  <c:v>Total </c:v>
                </c:pt>
              </c:strCache>
            </c:strRef>
          </c:cat>
          <c:val>
            <c:numRef>
              <c:f>Hoja1!$B$2:$B$4</c:f>
              <c:numCache>
                <c:formatCode>0.00%</c:formatCode>
                <c:ptCount val="3"/>
                <c:pt idx="0">
                  <c:v>0.54400000000000004</c:v>
                </c:pt>
                <c:pt idx="1">
                  <c:v>0.61499999999999999</c:v>
                </c:pt>
                <c:pt idx="2">
                  <c:v>0.54800000000000004</c:v>
                </c:pt>
              </c:numCache>
            </c:numRef>
          </c:val>
          <c:extLst>
            <c:ext xmlns:c16="http://schemas.microsoft.com/office/drawing/2014/chart" uri="{C3380CC4-5D6E-409C-BE32-E72D297353CC}">
              <c16:uniqueId val="{00000000-8653-4398-BA13-BEA148AE287F}"/>
            </c:ext>
          </c:extLst>
        </c:ser>
        <c:ser>
          <c:idx val="1"/>
          <c:order val="1"/>
          <c:tx>
            <c:strRef>
              <c:f>Hoja1!$C$1</c:f>
              <c:strCache>
                <c:ptCount val="1"/>
                <c:pt idx="0">
                  <c:v>No recibió visitas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Hoja1!$A$2:$A$4</c:f>
              <c:strCache>
                <c:ptCount val="3"/>
                <c:pt idx="0">
                  <c:v>Hombre</c:v>
                </c:pt>
                <c:pt idx="1">
                  <c:v>Mujer</c:v>
                </c:pt>
                <c:pt idx="2">
                  <c:v>Total </c:v>
                </c:pt>
              </c:strCache>
            </c:strRef>
          </c:cat>
          <c:val>
            <c:numRef>
              <c:f>Hoja1!$C$2:$C$4</c:f>
              <c:numCache>
                <c:formatCode>0.00%</c:formatCode>
                <c:ptCount val="3"/>
                <c:pt idx="0">
                  <c:v>0.45600000000000002</c:v>
                </c:pt>
                <c:pt idx="1">
                  <c:v>0.38500000000000001</c:v>
                </c:pt>
                <c:pt idx="2">
                  <c:v>0.45200000000000001</c:v>
                </c:pt>
              </c:numCache>
            </c:numRef>
          </c:val>
          <c:extLst>
            <c:ext xmlns:c16="http://schemas.microsoft.com/office/drawing/2014/chart" uri="{C3380CC4-5D6E-409C-BE32-E72D297353CC}">
              <c16:uniqueId val="{00000001-8653-4398-BA13-BEA148AE287F}"/>
            </c:ext>
          </c:extLst>
        </c:ser>
        <c:dLbls>
          <c:showLegendKey val="0"/>
          <c:showVal val="1"/>
          <c:showCatName val="0"/>
          <c:showSerName val="0"/>
          <c:showPercent val="0"/>
          <c:showBubbleSize val="0"/>
        </c:dLbls>
        <c:gapWidth val="150"/>
        <c:shape val="box"/>
        <c:axId val="203744768"/>
        <c:axId val="203746304"/>
        <c:axId val="0"/>
      </c:bar3DChart>
      <c:catAx>
        <c:axId val="20374476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746304"/>
        <c:crosses val="autoZero"/>
        <c:auto val="1"/>
        <c:lblAlgn val="ctr"/>
        <c:lblOffset val="100"/>
        <c:noMultiLvlLbl val="0"/>
      </c:catAx>
      <c:valAx>
        <c:axId val="20374630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744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Pla19</b:Tag>
    <b:SourceType>Book</b:SourceType>
    <b:Guid>{46D36B0C-AB2D-4620-A436-B207F954197D}</b:Guid>
    <b:Author>
      <b:Author>
        <b:NameList>
          <b:Person>
            <b:Last>PACTA</b:Last>
          </b:Person>
        </b:NameList>
      </b:Author>
    </b:Author>
    <b:Year>2019</b:Year>
    <b:City>Quito</b:City>
    <b:Publisher>Ministerio de Gobierno</b:Publisher>
    <b:Title>Plan de Acción contra la Trata de personas 2019-2030</b:Title>
    <b:RefOrder>1</b:RefOrder>
  </b:Source>
  <b:Source>
    <b:Tag>TIP20</b:Tag>
    <b:SourceType>Book</b:SourceType>
    <b:Guid>{E72D4E8D-57C5-4898-B91D-52BBA6A1478A}</b:Guid>
    <b:Author>
      <b:Author>
        <b:NameList>
          <b:Person>
            <b:Last>Report</b:Last>
            <b:First>TIP</b:First>
          </b:Person>
        </b:NameList>
      </b:Author>
    </b:Author>
    <b:Title>Traffickingin Persons Report 20th Edition</b:Title>
    <b:Year>2020</b:Year>
    <b:City>Washington</b:City>
    <b:Publisher>Department of State</b:Publisher>
    <b:RefOrder>2</b:RefOrder>
  </b:Source>
  <b:Source>
    <b:Tag>RO917</b:Tag>
    <b:SourceType>Book</b:SourceType>
    <b:Guid>{BDAF64B8-FA23-4574-BFF1-9B276E431459}</b:Guid>
    <b:Title>Suplemento Registro  Oficial No. 938</b:Title>
    <b:Year>2017</b:Year>
    <b:Author>
      <b:Author>
        <b:NameList>
          <b:Person>
            <b:Last>R.O.938</b:Last>
          </b:Person>
        </b:NameList>
      </b:Author>
    </b:Author>
    <b:City>Quito</b:City>
    <b:Publisher>Editorial Nacional</b:Publisher>
    <b:RefOrder>3</b:RefOrder>
  </b:Source>
  <b:Source>
    <b:Tag>RO5171</b:Tag>
    <b:SourceType>Book</b:SourceType>
    <b:Guid>{C242B001-CDC4-40B7-9098-E95D4CEBBE6C}</b:Guid>
    <b:Author>
      <b:Author>
        <b:NameList>
          <b:Person>
            <b:Last>R.O.55</b:Last>
          </b:Person>
        </b:NameList>
      </b:Author>
    </b:Author>
    <b:Title>Suplemento Registro Oficial No. 55</b:Title>
    <b:Year>2017</b:Year>
    <b:City>Quito</b:City>
    <b:Publisher>Editorial Nacional</b:Publisher>
    <b:RefOrder>4</b:RefOrder>
  </b:Source>
  <b:Source>
    <b:Tag>Med18</b:Tag>
    <b:SourceType>Case</b:SourceType>
    <b:Guid>{83D9A1B6-A65E-4890-ADFA-040D9495BC38}</b:Guid>
    <b:Title>Medida Cautelar</b:Title>
    <b:Year>2018</b:Year>
    <b:CaseNumber>17203201807971</b:CaseNumber>
    <b:Court>Unidad Judicial Tercera de la Familia, Mujere, Niiñez y Adolescencia del Cantón Quito </b:Court>
    <b:Month>Agosto</b:Month>
    <b:Day>17</b:Day>
    <b:RefOrder>5</b:RefOrder>
  </b:Source>
  <b:Source>
    <b:Tag>Acc19</b:Tag>
    <b:SourceType>Case</b:SourceType>
    <b:Guid>{F53F3889-BDF6-4B57-98CE-519E468DE5EE}</b:Guid>
    <b:Title>Acción de Protección </b:Title>
    <b:CaseNumber>04243-2019-00001</b:CaseNumber>
    <b:Court>Tribunal de Garantías Penales con sede en el CAntón Tulcán</b:Court>
    <b:Year>2019</b:Year>
    <b:Month>Febrero</b:Month>
    <b:RefOrder>6</b:RefOrder>
  </b:Source>
  <b:Source>
    <b:Tag>Acc191</b:Tag>
    <b:SourceType>Case</b:SourceType>
    <b:Guid>{5CAF663E-F25C-4C5E-9036-5472BEB11211}</b:Guid>
    <b:Title>Acción de Protección y Medida Cautelar</b:Title>
    <b:CaseNumber>04333-2019-00190</b:CaseNumber>
    <b:Court>Unidad Judicial con Sede en el Cantón Tulcán</b:Court>
    <b:Year>2019</b:Year>
    <b:Month>Marzo</b:Month>
    <b:RefOrder>7</b:RefOrder>
  </b:Source>
  <b:Source>
    <b:Tag>AHR18</b:Tag>
    <b:SourceType>Book</b:SourceType>
    <b:Guid>{8F80B4B9-F17D-47E7-9E65-3094E05B9383}</b:Guid>
    <b:Title>Informe del Relator Especial sobre tortura y otros tratos o penas crueles, inhumanos o degradantes</b:Title>
    <b:Year>2018</b:Year>
    <b:Author>
      <b:Author>
        <b:NameList>
          <b:Person>
            <b:Last>A/HRC/37/50</b:Last>
          </b:Person>
        </b:NameList>
      </b:Author>
    </b:Author>
    <b:Publisher>Asamblea General Naciones Unidas. Parr. </b:Publisher>
    <b:RefOrder>8</b:RefOrder>
  </b:Source>
  <b:Source>
    <b:Tag>CID17</b:Tag>
    <b:SourceType>Book</b:SourceType>
    <b:Guid>{B02AFFA2-A3DA-4998-94A1-62734EA1DA1B}</b:Guid>
    <b:Title>OEA/Ser*L/V/II</b:Title>
    <b:Year>2017</b:Year>
    <b:Author>
      <b:Author>
        <b:NameList>
          <b:Person>
            <b:Last>CIDH</b:Last>
          </b:Person>
        </b:NameList>
      </b:Author>
    </b:Author>
    <b:City>Washington</b:City>
    <b:Publisher>Comisión Interamericana de Derechos Humanos</b:Publisher>
    <b:RefOrder>9</b:RefOrder>
  </b:Source>
  <b:Source>
    <b:Tag>Opi14</b:Tag>
    <b:SourceType>Book</b:SourceType>
    <b:Guid>{E1BB32B7-444F-455F-879E-392DD425F508}</b:Guid>
    <b:Author>
      <b:Author>
        <b:NameList>
          <b:Person>
            <b:Last>OC-21/14</b:Last>
            <b:First>Opinió</b:First>
            <b:Middle>Consultiva</b:Middle>
          </b:Person>
        </b:NameList>
      </b:Author>
    </b:Author>
    <b:Title>Derechos y Garantias de Niños y Niñas en el Contexto de la Migración y/o en Necesidad de Protección Internacional</b:Title>
    <b:Year>2014</b:Year>
    <b:City>San José</b:City>
    <b:Publisher>Corte Interamericana de Derechos Humanos</b:Publisher>
    <b:RefOrder>10</b:RefOrder>
  </b:Source>
  <b:Source>
    <b:Tag>OIM19</b:Tag>
    <b:SourceType>Report</b:SourceType>
    <b:Guid>{1575F201-8C07-4549-A6B4-A425EA7DB587}</b:Guid>
    <b:Title>Monitoreo de Flujo de Población Venezonala</b:Title>
    <b:Year>2019</b:Year>
    <b:City>Quito</b:City>
    <b:Publisher>Organización Internacional para las Migraciones</b:Publisher>
    <b:Author>
      <b:Author>
        <b:NameList>
          <b:Person>
            <b:Last>OIM</b:Last>
            <b:First>DTM</b:First>
          </b:Person>
        </b:NameList>
      </b:Author>
    </b:Author>
    <b:RefOrder>1</b:RefOrder>
  </b:Source>
  <b:Source>
    <b:Tag>MarcadorDePosición1</b:Tag>
    <b:SourceType>Case</b:SourceType>
    <b:Guid>{6AB361AF-0D85-499F-9160-C3FF7A07F90A}</b:Guid>
    <b:Title>Medida Cautelar</b:Title>
    <b:Year>2018</b:Year>
    <b:CaseNumber>17203-2018-07971</b:CaseNumber>
    <b:Court>Unidad Judicial de la Familia Mujer, Niñez y Adolescencia del Distrito Metropolitano de Quito </b:Court>
    <b:Month>Agosto</b:Month>
    <b:Day>17</b:Day>
    <b:RefOrder>2</b:RefOrder>
  </b:Source>
  <b:Source>
    <b:Tag>DPE18</b:Tag>
    <b:SourceType>Report</b:SourceType>
    <b:Guid>{65418447-3E6C-4C93-BA05-C5FAE05C0F0E}</b:Guid>
    <b:Author>
      <b:Author>
        <b:NameList>
          <b:Person>
            <b:Last>DPE</b:Last>
          </b:Person>
        </b:NameList>
      </b:Author>
    </b:Author>
    <b:Title>Desafios en la Protección de los derechos de la Población Venezolana en Movilidad Humana</b:Title>
    <b:Year>2018</b:Year>
    <b:Publisher>Defensoria del Pueblo del Ecuador, documento digital</b:Publisher>
    <b:City>Quito</b:City>
    <b:RefOrder>3</b:RefOrder>
  </b:Source>
  <b:Source>
    <b:Tag>RON03</b:Tag>
    <b:SourceType>Book</b:SourceType>
    <b:Guid>{4247FC22-09D9-42C1-AE0B-484564DCFBEF}</b:Guid>
    <b:Title>Convención internacional sobre la proteccion de los derechos de todos los trabajadores migratorios y sus familias</b:Title>
    <b:Year>2003</b:Year>
    <b:City>Quito</b:City>
    <b:Author>
      <b:Author>
        <b:NameList>
          <b:Person>
            <b:Last>R.O.No.133</b:Last>
          </b:Person>
        </b:NameList>
      </b:Author>
    </b:Author>
    <b:RefOrder>4</b:RefOrder>
  </b:Source>
  <b:Source>
    <b:Tag>Acc192</b:Tag>
    <b:SourceType>Case</b:SourceType>
    <b:Guid>{3B945258-49D7-4A94-94FA-CF574990312E}</b:Guid>
    <b:Title>Acción de Protección y Medida Cautelar</b:Title>
    <b:Year>2019</b:Year>
    <b:CaseNumber>04333-2019-00190</b:CaseNumber>
    <b:Court>Unidad Judicial Civil, con sede en el Canton Tulcán</b:Court>
    <b:Month>marzo</b:Month>
    <b:Day>15</b:Day>
    <b:RefOrder>5</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2024-06-28T06:26:05+00:00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2024-06-28T06:26:05+00:00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2024-06-28T06:26:05+00:00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04BA7C-F372-493C-8619-B4C41C9434CD}">
  <ds:schemaRefs>
    <ds:schemaRef ds:uri="http://schemas.openxmlformats.org/officeDocument/2006/bibliography"/>
  </ds:schemaRefs>
</ds:datastoreItem>
</file>

<file path=customXml/itemProps2.xml><?xml version="1.0" encoding="utf-8"?>
<ds:datastoreItem xmlns:ds="http://schemas.openxmlformats.org/officeDocument/2006/customXml" ds:itemID="{EAD186E8-82BD-467E-B9C5-A2ADA7CB43DF}">
  <ds:schemaRefs>
    <ds:schemaRef ds:uri="http://schemas.microsoft.com/sharepoint/v3/contenttype/forms"/>
  </ds:schemaRefs>
</ds:datastoreItem>
</file>

<file path=customXml/itemProps3.xml><?xml version="1.0" encoding="utf-8"?>
<ds:datastoreItem xmlns:ds="http://schemas.openxmlformats.org/officeDocument/2006/customXml" ds:itemID="{8D5FA8FC-B086-44EE-B06C-4E0CCBBEC2C8}">
  <ds:schemaRefs>
    <ds:schemaRef ds:uri="http://schemas.microsoft.com/office/2006/metadata/properties"/>
    <ds:schemaRef ds:uri="http://schemas.microsoft.com/office/infopath/2007/PartnerControls"/>
    <ds:schemaRef ds:uri="985ec44e-1bab-4c0b-9df0-6ba128686fc9"/>
    <ds:schemaRef ds:uri="dfe5883a-cdd3-42a9-8146-0edb2232418f"/>
    <ds:schemaRef ds:uri="11a6fe0c-d8de-4390-afb3-d9c7c54181f0"/>
  </ds:schemaRefs>
</ds:datastoreItem>
</file>

<file path=customXml/itemProps4.xml><?xml version="1.0" encoding="utf-8"?>
<ds:datastoreItem xmlns:ds="http://schemas.openxmlformats.org/officeDocument/2006/customXml" ds:itemID="{FF52DA66-FB6C-4196-8E12-04DD3AFDD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55687</Words>
  <Characters>317417</Characters>
  <Application>Microsoft Office Word</Application>
  <DocSecurity>0</DocSecurity>
  <Lines>2645</Lines>
  <Paragraphs>744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372360</CharactersWithSpaces>
  <SharedDoc>false</SharedDoc>
  <HLinks>
    <vt:vector size="660" baseType="variant">
      <vt:variant>
        <vt:i4>2424864</vt:i4>
      </vt:variant>
      <vt:variant>
        <vt:i4>411</vt:i4>
      </vt:variant>
      <vt:variant>
        <vt:i4>0</vt:i4>
      </vt:variant>
      <vt:variant>
        <vt:i4>5</vt:i4>
      </vt:variant>
      <vt:variant>
        <vt:lpwstr>http://www.ninasnomadres.org/alza-la-voz/wp-content/uploads/2020/07/fact-sheet-el-golpe.pdf</vt:lpwstr>
      </vt:variant>
      <vt:variant>
        <vt:lpwstr/>
      </vt:variant>
      <vt:variant>
        <vt:i4>3145769</vt:i4>
      </vt:variant>
      <vt:variant>
        <vt:i4>408</vt:i4>
      </vt:variant>
      <vt:variant>
        <vt:i4>0</vt:i4>
      </vt:variant>
      <vt:variant>
        <vt:i4>5</vt:i4>
      </vt:variant>
      <vt:variant>
        <vt:lpwstr>https://www.salud.gob.ec/3-regulacion-control-y-sancion-a-establecimientos/</vt:lpwstr>
      </vt:variant>
      <vt:variant>
        <vt:lpwstr/>
      </vt:variant>
      <vt:variant>
        <vt:i4>2424864</vt:i4>
      </vt:variant>
      <vt:variant>
        <vt:i4>405</vt:i4>
      </vt:variant>
      <vt:variant>
        <vt:i4>0</vt:i4>
      </vt:variant>
      <vt:variant>
        <vt:i4>5</vt:i4>
      </vt:variant>
      <vt:variant>
        <vt:lpwstr>http://www.ninasnomadres.org/alza-la-voz/wp-content/uploads/2020/07/fact-sheet-el-golpe.pdf</vt:lpwstr>
      </vt:variant>
      <vt:variant>
        <vt:lpwstr/>
      </vt:variant>
      <vt:variant>
        <vt:i4>2293815</vt:i4>
      </vt:variant>
      <vt:variant>
        <vt:i4>402</vt:i4>
      </vt:variant>
      <vt:variant>
        <vt:i4>0</vt:i4>
      </vt:variant>
      <vt:variant>
        <vt:i4>5</vt:i4>
      </vt:variant>
      <vt:variant>
        <vt:lpwstr>https://drive.google.com/file/d/1KQa1CQOtVzDlwfByzgXodSwd9sJmYPzB/view</vt:lpwstr>
      </vt:variant>
      <vt:variant>
        <vt:lpwstr/>
      </vt:variant>
      <vt:variant>
        <vt:i4>6225940</vt:i4>
      </vt:variant>
      <vt:variant>
        <vt:i4>399</vt:i4>
      </vt:variant>
      <vt:variant>
        <vt:i4>0</vt:i4>
      </vt:variant>
      <vt:variant>
        <vt:i4>5</vt:i4>
      </vt:variant>
      <vt:variant>
        <vt:lpwstr>https://www.vistazo.com/seccion/pais/actualidad-nacional/en-el-encierro-tambien-nos-matan</vt:lpwstr>
      </vt:variant>
      <vt:variant>
        <vt:lpwstr/>
      </vt:variant>
      <vt:variant>
        <vt:i4>7798895</vt:i4>
      </vt:variant>
      <vt:variant>
        <vt:i4>396</vt:i4>
      </vt:variant>
      <vt:variant>
        <vt:i4>0</vt:i4>
      </vt:variant>
      <vt:variant>
        <vt:i4>5</vt:i4>
      </vt:variant>
      <vt:variant>
        <vt:lpwstr>https://www.redinnovacion.org/articulo/se-reconsidera-la-ley-en-contra-de-la-violencia-de-g%C3%A9nero-propuesta-en-ecuador</vt:lpwstr>
      </vt:variant>
      <vt:variant>
        <vt:lpwstr/>
      </vt:variant>
      <vt:variant>
        <vt:i4>6160462</vt:i4>
      </vt:variant>
      <vt:variant>
        <vt:i4>393</vt:i4>
      </vt:variant>
      <vt:variant>
        <vt:i4>0</vt:i4>
      </vt:variant>
      <vt:variant>
        <vt:i4>5</vt:i4>
      </vt:variant>
      <vt:variant>
        <vt:lpwstr>https://www.ninasnomadres.org/alza-la-voz/wp-content/uploads/2020/07/fact-sheet-el-golpe.pdf</vt:lpwstr>
      </vt:variant>
      <vt:variant>
        <vt:lpwstr/>
      </vt:variant>
      <vt:variant>
        <vt:i4>3211316</vt:i4>
      </vt:variant>
      <vt:variant>
        <vt:i4>390</vt:i4>
      </vt:variant>
      <vt:variant>
        <vt:i4>0</vt:i4>
      </vt:variant>
      <vt:variant>
        <vt:i4>5</vt:i4>
      </vt:variant>
      <vt:variant>
        <vt:lpwstr>https://www.ninasnomadres.org/</vt:lpwstr>
      </vt:variant>
      <vt:variant>
        <vt:lpwstr/>
      </vt:variant>
      <vt:variant>
        <vt:i4>1441807</vt:i4>
      </vt:variant>
      <vt:variant>
        <vt:i4>387</vt:i4>
      </vt:variant>
      <vt:variant>
        <vt:i4>0</vt:i4>
      </vt:variant>
      <vt:variant>
        <vt:i4>5</vt:i4>
      </vt:variant>
      <vt:variant>
        <vt:lpwstr>https://www.lahora.com.ec/quito/noticia/1102124891/ecuador-ejecutivo-veta-parcialmente-ley-de-violencia-contra-mujer</vt:lpwstr>
      </vt:variant>
      <vt:variant>
        <vt:lpwstr/>
      </vt:variant>
      <vt:variant>
        <vt:i4>6750316</vt:i4>
      </vt:variant>
      <vt:variant>
        <vt:i4>384</vt:i4>
      </vt:variant>
      <vt:variant>
        <vt:i4>0</vt:i4>
      </vt:variant>
      <vt:variant>
        <vt:i4>5</vt:i4>
      </vt:variant>
      <vt:variant>
        <vt:lpwstr>https://www.fiscalia.gob.ec/conformacion-del-subcomite-tecnico-de-validacion-de-femicidios/</vt:lpwstr>
      </vt:variant>
      <vt:variant>
        <vt:lpwstr/>
      </vt:variant>
      <vt:variant>
        <vt:i4>6750316</vt:i4>
      </vt:variant>
      <vt:variant>
        <vt:i4>381</vt:i4>
      </vt:variant>
      <vt:variant>
        <vt:i4>0</vt:i4>
      </vt:variant>
      <vt:variant>
        <vt:i4>5</vt:i4>
      </vt:variant>
      <vt:variant>
        <vt:lpwstr>https://www.fiscalia.gob.ec/conformacion-del-subcomite-tecnico-de-validacion-de-femicidios/</vt:lpwstr>
      </vt:variant>
      <vt:variant>
        <vt:lpwstr/>
      </vt:variant>
      <vt:variant>
        <vt:i4>2162806</vt:i4>
      </vt:variant>
      <vt:variant>
        <vt:i4>378</vt:i4>
      </vt:variant>
      <vt:variant>
        <vt:i4>0</vt:i4>
      </vt:variant>
      <vt:variant>
        <vt:i4>5</vt:i4>
      </vt:variant>
      <vt:variant>
        <vt:lpwstr>https://www.finanzas.gob.ec/wp-content/uploads/downloads/2018/07/DIRECTRICES-PARA-LA-ELABORACION-DE-LA-PROFORMA-DEL-PGE.compressed.pdf</vt:lpwstr>
      </vt:variant>
      <vt:variant>
        <vt:lpwstr/>
      </vt:variant>
      <vt:variant>
        <vt:i4>7864367</vt:i4>
      </vt:variant>
      <vt:variant>
        <vt:i4>375</vt:i4>
      </vt:variant>
      <vt:variant>
        <vt:i4>0</vt:i4>
      </vt:variant>
      <vt:variant>
        <vt:i4>5</vt:i4>
      </vt:variant>
      <vt:variant>
        <vt:lpwstr>https://www.finanzas.gob.ec/wp-content/uploads/downloads/2019/07/Directrices-Proforma-2020-y-PPC-2020-2023-V10-15-7-2019-public.-1.pdf</vt:lpwstr>
      </vt:variant>
      <vt:variant>
        <vt:lpwstr/>
      </vt:variant>
      <vt:variant>
        <vt:i4>7667761</vt:i4>
      </vt:variant>
      <vt:variant>
        <vt:i4>372</vt:i4>
      </vt:variant>
      <vt:variant>
        <vt:i4>0</vt:i4>
      </vt:variant>
      <vt:variant>
        <vt:i4>5</vt:i4>
      </vt:variant>
      <vt:variant>
        <vt:lpwstr>https://www.eluniverso.com/noticias/2020/01/13/nota/7688340/servicio-victimas-violencia-se-queda-mitad-personal</vt:lpwstr>
      </vt:variant>
      <vt:variant>
        <vt:lpwstr/>
      </vt:variant>
      <vt:variant>
        <vt:i4>13</vt:i4>
      </vt:variant>
      <vt:variant>
        <vt:i4>369</vt:i4>
      </vt:variant>
      <vt:variant>
        <vt:i4>0</vt:i4>
      </vt:variant>
      <vt:variant>
        <vt:i4>5</vt:i4>
      </vt:variant>
      <vt:variant>
        <vt:lpwstr>https://www.eltelegrafo.com.ec/noticias/judicial/12/pandemia-violencia-genero</vt:lpwstr>
      </vt:variant>
      <vt:variant>
        <vt:lpwstr/>
      </vt:variant>
      <vt:variant>
        <vt:i4>7536760</vt:i4>
      </vt:variant>
      <vt:variant>
        <vt:i4>366</vt:i4>
      </vt:variant>
      <vt:variant>
        <vt:i4>0</vt:i4>
      </vt:variant>
      <vt:variant>
        <vt:i4>5</vt:i4>
      </vt:variant>
      <vt:variant>
        <vt:lpwstr>https://www.elcomercio.com/tendencias/polemica-cambios-ley-violencia-mujer.html</vt:lpwstr>
      </vt:variant>
      <vt:variant>
        <vt:lpwstr/>
      </vt:variant>
      <vt:variant>
        <vt:i4>3276842</vt:i4>
      </vt:variant>
      <vt:variant>
        <vt:i4>363</vt:i4>
      </vt:variant>
      <vt:variant>
        <vt:i4>0</vt:i4>
      </vt:variant>
      <vt:variant>
        <vt:i4>5</vt:i4>
      </vt:variant>
      <vt:variant>
        <vt:lpwstr>https://www.elcomercio.com/actualidad/delitos-sexuales-denunciados-aislamiento-coronavirus.html</vt:lpwstr>
      </vt:variant>
      <vt:variant>
        <vt:lpwstr/>
      </vt:variant>
      <vt:variant>
        <vt:i4>5374030</vt:i4>
      </vt:variant>
      <vt:variant>
        <vt:i4>360</vt:i4>
      </vt:variant>
      <vt:variant>
        <vt:i4>0</vt:i4>
      </vt:variant>
      <vt:variant>
        <vt:i4>5</vt:i4>
      </vt:variant>
      <vt:variant>
        <vt:lpwstr>https://twitter.com/DerechosQuito/status/1254131099267223552</vt:lpwstr>
      </vt:variant>
      <vt:variant>
        <vt:lpwstr/>
      </vt:variant>
      <vt:variant>
        <vt:i4>524355</vt:i4>
      </vt:variant>
      <vt:variant>
        <vt:i4>357</vt:i4>
      </vt:variant>
      <vt:variant>
        <vt:i4>0</vt:i4>
      </vt:variant>
      <vt:variant>
        <vt:i4>5</vt:i4>
      </vt:variant>
      <vt:variant>
        <vt:lpwstr>https://twitter.com/CorteConstEcu/status/1199780434416218113/photo/1</vt:lpwstr>
      </vt:variant>
      <vt:variant>
        <vt:lpwstr/>
      </vt:variant>
      <vt:variant>
        <vt:i4>458823</vt:i4>
      </vt:variant>
      <vt:variant>
        <vt:i4>354</vt:i4>
      </vt:variant>
      <vt:variant>
        <vt:i4>0</vt:i4>
      </vt:variant>
      <vt:variant>
        <vt:i4>5</vt:i4>
      </vt:variant>
      <vt:variant>
        <vt:lpwstr>https://www.funcionjudicial.gob.ec/index.php/es/saladeprensa/noticias/item/8975-2469-casos-de-violencia-contra-la-mujer-fueron-atendidos-en-las-unidades-judiciales-desde-el-16-de- marzo-al-15-de-mayo-de-2020.html</vt:lpwstr>
      </vt:variant>
      <vt:variant>
        <vt:lpwstr/>
      </vt:variant>
      <vt:variant>
        <vt:i4>2752627</vt:i4>
      </vt:variant>
      <vt:variant>
        <vt:i4>351</vt:i4>
      </vt:variant>
      <vt:variant>
        <vt:i4>0</vt:i4>
      </vt:variant>
      <vt:variant>
        <vt:i4>5</vt:i4>
      </vt:variant>
      <vt:variant>
        <vt:lpwstr>https://m.facebook.com/NinaWarmiEC/photos/a.484211278700954/962792200842857/?type=3&amp;source</vt:lpwstr>
      </vt:variant>
      <vt:variant>
        <vt:lpwstr/>
      </vt:variant>
      <vt:variant>
        <vt:i4>2424864</vt:i4>
      </vt:variant>
      <vt:variant>
        <vt:i4>348</vt:i4>
      </vt:variant>
      <vt:variant>
        <vt:i4>0</vt:i4>
      </vt:variant>
      <vt:variant>
        <vt:i4>5</vt:i4>
      </vt:variant>
      <vt:variant>
        <vt:lpwstr>http://www.ninasnomadres.org/alza-la-voz/wp-content/uploads/2020/07/fact-sheet-el-golpe.pdf</vt:lpwstr>
      </vt:variant>
      <vt:variant>
        <vt:lpwstr/>
      </vt:variant>
      <vt:variant>
        <vt:i4>2490488</vt:i4>
      </vt:variant>
      <vt:variant>
        <vt:i4>345</vt:i4>
      </vt:variant>
      <vt:variant>
        <vt:i4>0</vt:i4>
      </vt:variant>
      <vt:variant>
        <vt:i4>5</vt:i4>
      </vt:variant>
      <vt:variant>
        <vt:lpwstr>http://www.fundacionaldea.org/noticias-aldea/39gd9x9btdt76zmtzgm7zlgmlkrjze</vt:lpwstr>
      </vt:variant>
      <vt:variant>
        <vt:lpwstr/>
      </vt:variant>
      <vt:variant>
        <vt:i4>5570631</vt:i4>
      </vt:variant>
      <vt:variant>
        <vt:i4>342</vt:i4>
      </vt:variant>
      <vt:variant>
        <vt:i4>0</vt:i4>
      </vt:variant>
      <vt:variant>
        <vt:i4>5</vt:i4>
      </vt:variant>
      <vt:variant>
        <vt:lpwstr>https://cepamgye.org/es/</vt:lpwstr>
      </vt:variant>
      <vt:variant>
        <vt:lpwstr/>
      </vt:variant>
      <vt:variant>
        <vt:i4>6160394</vt:i4>
      </vt:variant>
      <vt:variant>
        <vt:i4>339</vt:i4>
      </vt:variant>
      <vt:variant>
        <vt:i4>0</vt:i4>
      </vt:variant>
      <vt:variant>
        <vt:i4>5</vt:i4>
      </vt:variant>
      <vt:variant>
        <vt:lpwstr>http://surkuna.org/sitio/</vt:lpwstr>
      </vt:variant>
      <vt:variant>
        <vt:lpwstr/>
      </vt:variant>
      <vt:variant>
        <vt:i4>5374024</vt:i4>
      </vt:variant>
      <vt:variant>
        <vt:i4>336</vt:i4>
      </vt:variant>
      <vt:variant>
        <vt:i4>0</vt:i4>
      </vt:variant>
      <vt:variant>
        <vt:i4>5</vt:i4>
      </vt:variant>
      <vt:variant>
        <vt:lpwstr>http://sacc.corteconstitucional.gob.ec/storage/api/v1/10_DWL_FL/e2NhcnBldGE6J2VzY3JpdG8nLCB1dWlkOicwOWE2NTBkMi03NGFmLTRlOGYtYjIwMy0yOWNhODE2MTYwNTgucGRmJ30=</vt:lpwstr>
      </vt:variant>
      <vt:variant>
        <vt:lpwstr/>
      </vt:variant>
      <vt:variant>
        <vt:i4>5505100</vt:i4>
      </vt:variant>
      <vt:variant>
        <vt:i4>333</vt:i4>
      </vt:variant>
      <vt:variant>
        <vt:i4>0</vt:i4>
      </vt:variant>
      <vt:variant>
        <vt:i4>5</vt:i4>
      </vt:variant>
      <vt:variant>
        <vt:lpwstr>http://proteccionderechosquito.gob.ec/2020/04/25/8780706/</vt:lpwstr>
      </vt:variant>
      <vt:variant>
        <vt:lpwstr/>
      </vt:variant>
      <vt:variant>
        <vt:i4>4259923</vt:i4>
      </vt:variant>
      <vt:variant>
        <vt:i4>330</vt:i4>
      </vt:variant>
      <vt:variant>
        <vt:i4>0</vt:i4>
      </vt:variant>
      <vt:variant>
        <vt:i4>5</vt:i4>
      </vt:variant>
      <vt:variant>
        <vt:lpwstr>http://doc.corteconstitucional.gob.ec:8080/alfresco/d/d/workspace/SpacesStore/5cca69d2-b5d0-4dd5-9ac3-dbeb25ca7faf/0034-19-in.pdf?guest=true</vt:lpwstr>
      </vt:variant>
      <vt:variant>
        <vt:lpwstr/>
      </vt:variant>
      <vt:variant>
        <vt:i4>4587628</vt:i4>
      </vt:variant>
      <vt:variant>
        <vt:i4>327</vt:i4>
      </vt:variant>
      <vt:variant>
        <vt:i4>0</vt:i4>
      </vt:variant>
      <vt:variant>
        <vt:i4>5</vt:i4>
      </vt:variant>
      <vt:variant>
        <vt:lpwstr>http://doc.corteconstitucional.gob.ec:8080/alfresco/d/d/workspace/SpacesStore/5a66bc12-ce3a-403c-8e6a-131fe3652138/demanda_0034-19-in.pdf?guest=true</vt:lpwstr>
      </vt:variant>
      <vt:variant>
        <vt:lpwstr/>
      </vt:variant>
      <vt:variant>
        <vt:i4>4194306</vt:i4>
      </vt:variant>
      <vt:variant>
        <vt:i4>324</vt:i4>
      </vt:variant>
      <vt:variant>
        <vt:i4>0</vt:i4>
      </vt:variant>
      <vt:variant>
        <vt:i4>5</vt:i4>
      </vt:variant>
      <vt:variant>
        <vt:lpwstr>http://mujerymujer.org/wp-content/uploads/2020/07/Reporte-Mujer-Mujer-FPAL-2020-1.pdf</vt:lpwstr>
      </vt:variant>
      <vt:variant>
        <vt:lpwstr/>
      </vt:variant>
      <vt:variant>
        <vt:i4>5570635</vt:i4>
      </vt:variant>
      <vt:variant>
        <vt:i4>321</vt:i4>
      </vt:variant>
      <vt:variant>
        <vt:i4>0</vt:i4>
      </vt:variant>
      <vt:variant>
        <vt:i4>5</vt:i4>
      </vt:variant>
      <vt:variant>
        <vt:lpwstr>https://www.eltelegrafo.com.ec/noticias/judicial/12/216-clinicas-adiccion-regularizacion</vt:lpwstr>
      </vt:variant>
      <vt:variant>
        <vt:lpwstr/>
      </vt:variant>
      <vt:variant>
        <vt:i4>5898320</vt:i4>
      </vt:variant>
      <vt:variant>
        <vt:i4>318</vt:i4>
      </vt:variant>
      <vt:variant>
        <vt:i4>0</vt:i4>
      </vt:variant>
      <vt:variant>
        <vt:i4>5</vt:i4>
      </vt:variant>
      <vt:variant>
        <vt:lpwstr>http://www.calidadsalud.gob.ec/clausuran-establecimiento-ilegal-con-mas-de-30-personas-con-adicciones-en-hacinamiento-en-flor-de-bastion/</vt:lpwstr>
      </vt:variant>
      <vt:variant>
        <vt:lpwstr/>
      </vt:variant>
      <vt:variant>
        <vt:i4>2228348</vt:i4>
      </vt:variant>
      <vt:variant>
        <vt:i4>315</vt:i4>
      </vt:variant>
      <vt:variant>
        <vt:i4>0</vt:i4>
      </vt:variant>
      <vt:variant>
        <vt:i4>5</vt:i4>
      </vt:variant>
      <vt:variant>
        <vt:lpwstr>https://www.aldia.com.ec/presidiario-fue-asesinado-por-una-deuda-de-30-00-en-sucumbios/</vt:lpwstr>
      </vt:variant>
      <vt:variant>
        <vt:lpwstr/>
      </vt:variant>
      <vt:variant>
        <vt:i4>2031616</vt:i4>
      </vt:variant>
      <vt:variant>
        <vt:i4>312</vt:i4>
      </vt:variant>
      <vt:variant>
        <vt:i4>0</vt:i4>
      </vt:variant>
      <vt:variant>
        <vt:i4>5</vt:i4>
      </vt:variant>
      <vt:variant>
        <vt:lpwstr>https://www.eltelegrafo.com.ec/noticias/judicial/12/pabellon-maximaseguridad-privadolibertad</vt:lpwstr>
      </vt:variant>
      <vt:variant>
        <vt:lpwstr/>
      </vt:variant>
      <vt:variant>
        <vt:i4>7536762</vt:i4>
      </vt:variant>
      <vt:variant>
        <vt:i4>309</vt:i4>
      </vt:variant>
      <vt:variant>
        <vt:i4>0</vt:i4>
      </vt:variant>
      <vt:variant>
        <vt:i4>5</vt:i4>
      </vt:variant>
      <vt:variant>
        <vt:lpwstr>https://www.lahora.com.ec/noticia/1102214650/presunto-suicidio-en-la-carcel-de-el-inca-causa-conmocion</vt:lpwstr>
      </vt:variant>
      <vt:variant>
        <vt:lpwstr/>
      </vt:variant>
      <vt:variant>
        <vt:i4>6357039</vt:i4>
      </vt:variant>
      <vt:variant>
        <vt:i4>306</vt:i4>
      </vt:variant>
      <vt:variant>
        <vt:i4>0</vt:i4>
      </vt:variant>
      <vt:variant>
        <vt:i4>5</vt:i4>
      </vt:variant>
      <vt:variant>
        <vt:lpwstr>https://www.extra.ec/actualidad/fallecido-centro-rehabilitacion-latacunga-muerte-XL2629707</vt:lpwstr>
      </vt:variant>
      <vt:variant>
        <vt:lpwstr/>
      </vt:variant>
      <vt:variant>
        <vt:i4>9</vt:i4>
      </vt:variant>
      <vt:variant>
        <vt:i4>303</vt:i4>
      </vt:variant>
      <vt:variant>
        <vt:i4>0</vt:i4>
      </vt:variant>
      <vt:variant>
        <vt:i4>5</vt:i4>
      </vt:variant>
      <vt:variant>
        <vt:lpwstr>https://www.eltelegrafo.com.ec/noticias/judicial/12/muerteviolenta-crs-latacunga</vt:lpwstr>
      </vt:variant>
      <vt:variant>
        <vt:lpwstr/>
      </vt:variant>
      <vt:variant>
        <vt:i4>3801122</vt:i4>
      </vt:variant>
      <vt:variant>
        <vt:i4>300</vt:i4>
      </vt:variant>
      <vt:variant>
        <vt:i4>0</vt:i4>
      </vt:variant>
      <vt:variant>
        <vt:i4>5</vt:i4>
      </vt:variant>
      <vt:variant>
        <vt:lpwstr>https://www.eltelegrafo.com.ec/noticias/judicial/12/enfrentamiento-carcel-guayaquil</vt:lpwstr>
      </vt:variant>
      <vt:variant>
        <vt:lpwstr/>
      </vt:variant>
      <vt:variant>
        <vt:i4>7143521</vt:i4>
      </vt:variant>
      <vt:variant>
        <vt:i4>297</vt:i4>
      </vt:variant>
      <vt:variant>
        <vt:i4>0</vt:i4>
      </vt:variant>
      <vt:variant>
        <vt:i4>5</vt:i4>
      </vt:variant>
      <vt:variant>
        <vt:lpwstr>https://www.eluniverso.com/noticias/2019/05/08/nota/7321157/asesinato-reo-carcel-latacunga-fue-planificado-segun-comandante</vt:lpwstr>
      </vt:variant>
      <vt:variant>
        <vt:lpwstr/>
      </vt:variant>
      <vt:variant>
        <vt:i4>3866662</vt:i4>
      </vt:variant>
      <vt:variant>
        <vt:i4>294</vt:i4>
      </vt:variant>
      <vt:variant>
        <vt:i4>0</vt:i4>
      </vt:variant>
      <vt:variant>
        <vt:i4>5</vt:i4>
      </vt:variant>
      <vt:variant>
        <vt:lpwstr>https://www.ecuavisa.com/articulo/noticias/nacional/488601-31-reos-asesinados-carceles-ecuador-16-mesesNoticia en progreso de ecuavisa</vt:lpwstr>
      </vt:variant>
      <vt:variant>
        <vt:lpwstr/>
      </vt:variant>
      <vt:variant>
        <vt:i4>6422629</vt:i4>
      </vt:variant>
      <vt:variant>
        <vt:i4>291</vt:i4>
      </vt:variant>
      <vt:variant>
        <vt:i4>0</vt:i4>
      </vt:variant>
      <vt:variant>
        <vt:i4>5</vt:i4>
      </vt:variant>
      <vt:variant>
        <vt:lpwstr>https://www.elcomercio.com/actualidad/turba-lincha-prisionero-penitenciaria-guayaquil.html</vt:lpwstr>
      </vt:variant>
      <vt:variant>
        <vt:lpwstr/>
      </vt:variant>
      <vt:variant>
        <vt:i4>6881388</vt:i4>
      </vt:variant>
      <vt:variant>
        <vt:i4>288</vt:i4>
      </vt:variant>
      <vt:variant>
        <vt:i4>0</vt:i4>
      </vt:variant>
      <vt:variant>
        <vt:i4>5</vt:i4>
      </vt:variant>
      <vt:variant>
        <vt:lpwstr>https://www.metroecuador.com.ec/ec/noticias/2019/05/30/cuatro-fallecidos-amotinamiento-la-penitenciaria-guayaquil.html</vt:lpwstr>
      </vt:variant>
      <vt:variant>
        <vt:lpwstr/>
      </vt:variant>
      <vt:variant>
        <vt:i4>1900636</vt:i4>
      </vt:variant>
      <vt:variant>
        <vt:i4>285</vt:i4>
      </vt:variant>
      <vt:variant>
        <vt:i4>0</vt:i4>
      </vt:variant>
      <vt:variant>
        <vt:i4>5</vt:i4>
      </vt:variant>
      <vt:variant>
        <vt:lpwstr>https://www.eluniverso.com/noticias/2019/06/12/nota/7374132/asi-asesinaron-alias-cubano-centro-privacion-regional</vt:lpwstr>
      </vt:variant>
      <vt:variant>
        <vt:lpwstr/>
      </vt:variant>
      <vt:variant>
        <vt:i4>7405689</vt:i4>
      </vt:variant>
      <vt:variant>
        <vt:i4>282</vt:i4>
      </vt:variant>
      <vt:variant>
        <vt:i4>0</vt:i4>
      </vt:variant>
      <vt:variant>
        <vt:i4>5</vt:i4>
      </vt:variant>
      <vt:variant>
        <vt:lpwstr>https://www.extra.ec/actualidad/carcelregional-violencia-asesinatos-muerte-emergencia-EH2911226</vt:lpwstr>
      </vt:variant>
      <vt:variant>
        <vt:lpwstr/>
      </vt:variant>
      <vt:variant>
        <vt:i4>1966088</vt:i4>
      </vt:variant>
      <vt:variant>
        <vt:i4>279</vt:i4>
      </vt:variant>
      <vt:variant>
        <vt:i4>0</vt:i4>
      </vt:variant>
      <vt:variant>
        <vt:i4>5</vt:i4>
      </vt:variant>
      <vt:variant>
        <vt:lpwstr>https://www.vistazo.com/seccion/pais/actualidad-nacional/nuevo-incidente-en-penitenciaria-del-litoral-deja-un-muerto</vt:lpwstr>
      </vt:variant>
      <vt:variant>
        <vt:lpwstr/>
      </vt:variant>
      <vt:variant>
        <vt:i4>5308497</vt:i4>
      </vt:variant>
      <vt:variant>
        <vt:i4>276</vt:i4>
      </vt:variant>
      <vt:variant>
        <vt:i4>0</vt:i4>
      </vt:variant>
      <vt:variant>
        <vt:i4>5</vt:i4>
      </vt:variant>
      <vt:variant>
        <vt:lpwstr>https://www.eluniverso.com/tema/penitenciaria-litoral</vt:lpwstr>
      </vt:variant>
      <vt:variant>
        <vt:lpwstr/>
      </vt:variant>
      <vt:variant>
        <vt:i4>2293884</vt:i4>
      </vt:variant>
      <vt:variant>
        <vt:i4>273</vt:i4>
      </vt:variant>
      <vt:variant>
        <vt:i4>0</vt:i4>
      </vt:variant>
      <vt:variant>
        <vt:i4>5</vt:i4>
      </vt:variant>
      <vt:variant>
        <vt:lpwstr>https://www.eluniverso.com/noticias/2019/01/21/nota/7149659/chapo-guzman-su-nexo-ecuador-saltan-juicio</vt:lpwstr>
      </vt:variant>
      <vt:variant>
        <vt:lpwstr/>
      </vt:variant>
      <vt:variant>
        <vt:i4>2293852</vt:i4>
      </vt:variant>
      <vt:variant>
        <vt:i4>243</vt:i4>
      </vt:variant>
      <vt:variant>
        <vt:i4>0</vt:i4>
      </vt:variant>
      <vt:variant>
        <vt:i4>5</vt:i4>
      </vt:variant>
      <vt:variant>
        <vt:lpwstr>mailto:dniipp@dpe.gob.ec</vt:lpwstr>
      </vt:variant>
      <vt:variant>
        <vt:lpwstr/>
      </vt:variant>
      <vt:variant>
        <vt:i4>1245235</vt:i4>
      </vt:variant>
      <vt:variant>
        <vt:i4>233</vt:i4>
      </vt:variant>
      <vt:variant>
        <vt:i4>0</vt:i4>
      </vt:variant>
      <vt:variant>
        <vt:i4>5</vt:i4>
      </vt:variant>
      <vt:variant>
        <vt:lpwstr/>
      </vt:variant>
      <vt:variant>
        <vt:lpwstr>_Toc50130770</vt:lpwstr>
      </vt:variant>
      <vt:variant>
        <vt:i4>1703986</vt:i4>
      </vt:variant>
      <vt:variant>
        <vt:i4>227</vt:i4>
      </vt:variant>
      <vt:variant>
        <vt:i4>0</vt:i4>
      </vt:variant>
      <vt:variant>
        <vt:i4>5</vt:i4>
      </vt:variant>
      <vt:variant>
        <vt:lpwstr/>
      </vt:variant>
      <vt:variant>
        <vt:lpwstr>_Toc50130769</vt:lpwstr>
      </vt:variant>
      <vt:variant>
        <vt:i4>1769522</vt:i4>
      </vt:variant>
      <vt:variant>
        <vt:i4>221</vt:i4>
      </vt:variant>
      <vt:variant>
        <vt:i4>0</vt:i4>
      </vt:variant>
      <vt:variant>
        <vt:i4>5</vt:i4>
      </vt:variant>
      <vt:variant>
        <vt:lpwstr/>
      </vt:variant>
      <vt:variant>
        <vt:lpwstr>_Toc50130768</vt:lpwstr>
      </vt:variant>
      <vt:variant>
        <vt:i4>1310770</vt:i4>
      </vt:variant>
      <vt:variant>
        <vt:i4>215</vt:i4>
      </vt:variant>
      <vt:variant>
        <vt:i4>0</vt:i4>
      </vt:variant>
      <vt:variant>
        <vt:i4>5</vt:i4>
      </vt:variant>
      <vt:variant>
        <vt:lpwstr/>
      </vt:variant>
      <vt:variant>
        <vt:lpwstr>_Toc50130767</vt:lpwstr>
      </vt:variant>
      <vt:variant>
        <vt:i4>1376306</vt:i4>
      </vt:variant>
      <vt:variant>
        <vt:i4>209</vt:i4>
      </vt:variant>
      <vt:variant>
        <vt:i4>0</vt:i4>
      </vt:variant>
      <vt:variant>
        <vt:i4>5</vt:i4>
      </vt:variant>
      <vt:variant>
        <vt:lpwstr/>
      </vt:variant>
      <vt:variant>
        <vt:lpwstr>_Toc50130766</vt:lpwstr>
      </vt:variant>
      <vt:variant>
        <vt:i4>1441842</vt:i4>
      </vt:variant>
      <vt:variant>
        <vt:i4>203</vt:i4>
      </vt:variant>
      <vt:variant>
        <vt:i4>0</vt:i4>
      </vt:variant>
      <vt:variant>
        <vt:i4>5</vt:i4>
      </vt:variant>
      <vt:variant>
        <vt:lpwstr/>
      </vt:variant>
      <vt:variant>
        <vt:lpwstr>_Toc50130765</vt:lpwstr>
      </vt:variant>
      <vt:variant>
        <vt:i4>1507378</vt:i4>
      </vt:variant>
      <vt:variant>
        <vt:i4>197</vt:i4>
      </vt:variant>
      <vt:variant>
        <vt:i4>0</vt:i4>
      </vt:variant>
      <vt:variant>
        <vt:i4>5</vt:i4>
      </vt:variant>
      <vt:variant>
        <vt:lpwstr/>
      </vt:variant>
      <vt:variant>
        <vt:lpwstr>_Toc50130764</vt:lpwstr>
      </vt:variant>
      <vt:variant>
        <vt:i4>1048626</vt:i4>
      </vt:variant>
      <vt:variant>
        <vt:i4>191</vt:i4>
      </vt:variant>
      <vt:variant>
        <vt:i4>0</vt:i4>
      </vt:variant>
      <vt:variant>
        <vt:i4>5</vt:i4>
      </vt:variant>
      <vt:variant>
        <vt:lpwstr/>
      </vt:variant>
      <vt:variant>
        <vt:lpwstr>_Toc50130763</vt:lpwstr>
      </vt:variant>
      <vt:variant>
        <vt:i4>1114162</vt:i4>
      </vt:variant>
      <vt:variant>
        <vt:i4>185</vt:i4>
      </vt:variant>
      <vt:variant>
        <vt:i4>0</vt:i4>
      </vt:variant>
      <vt:variant>
        <vt:i4>5</vt:i4>
      </vt:variant>
      <vt:variant>
        <vt:lpwstr/>
      </vt:variant>
      <vt:variant>
        <vt:lpwstr>_Toc50130762</vt:lpwstr>
      </vt:variant>
      <vt:variant>
        <vt:i4>1179698</vt:i4>
      </vt:variant>
      <vt:variant>
        <vt:i4>179</vt:i4>
      </vt:variant>
      <vt:variant>
        <vt:i4>0</vt:i4>
      </vt:variant>
      <vt:variant>
        <vt:i4>5</vt:i4>
      </vt:variant>
      <vt:variant>
        <vt:lpwstr/>
      </vt:variant>
      <vt:variant>
        <vt:lpwstr>_Toc50130761</vt:lpwstr>
      </vt:variant>
      <vt:variant>
        <vt:i4>1245234</vt:i4>
      </vt:variant>
      <vt:variant>
        <vt:i4>173</vt:i4>
      </vt:variant>
      <vt:variant>
        <vt:i4>0</vt:i4>
      </vt:variant>
      <vt:variant>
        <vt:i4>5</vt:i4>
      </vt:variant>
      <vt:variant>
        <vt:lpwstr/>
      </vt:variant>
      <vt:variant>
        <vt:lpwstr>_Toc50130760</vt:lpwstr>
      </vt:variant>
      <vt:variant>
        <vt:i4>1703985</vt:i4>
      </vt:variant>
      <vt:variant>
        <vt:i4>167</vt:i4>
      </vt:variant>
      <vt:variant>
        <vt:i4>0</vt:i4>
      </vt:variant>
      <vt:variant>
        <vt:i4>5</vt:i4>
      </vt:variant>
      <vt:variant>
        <vt:lpwstr/>
      </vt:variant>
      <vt:variant>
        <vt:lpwstr>_Toc50130759</vt:lpwstr>
      </vt:variant>
      <vt:variant>
        <vt:i4>1769521</vt:i4>
      </vt:variant>
      <vt:variant>
        <vt:i4>161</vt:i4>
      </vt:variant>
      <vt:variant>
        <vt:i4>0</vt:i4>
      </vt:variant>
      <vt:variant>
        <vt:i4>5</vt:i4>
      </vt:variant>
      <vt:variant>
        <vt:lpwstr/>
      </vt:variant>
      <vt:variant>
        <vt:lpwstr>_Toc50130758</vt:lpwstr>
      </vt:variant>
      <vt:variant>
        <vt:i4>1310769</vt:i4>
      </vt:variant>
      <vt:variant>
        <vt:i4>155</vt:i4>
      </vt:variant>
      <vt:variant>
        <vt:i4>0</vt:i4>
      </vt:variant>
      <vt:variant>
        <vt:i4>5</vt:i4>
      </vt:variant>
      <vt:variant>
        <vt:lpwstr/>
      </vt:variant>
      <vt:variant>
        <vt:lpwstr>_Toc50130757</vt:lpwstr>
      </vt:variant>
      <vt:variant>
        <vt:i4>1376305</vt:i4>
      </vt:variant>
      <vt:variant>
        <vt:i4>149</vt:i4>
      </vt:variant>
      <vt:variant>
        <vt:i4>0</vt:i4>
      </vt:variant>
      <vt:variant>
        <vt:i4>5</vt:i4>
      </vt:variant>
      <vt:variant>
        <vt:lpwstr/>
      </vt:variant>
      <vt:variant>
        <vt:lpwstr>_Toc50130756</vt:lpwstr>
      </vt:variant>
      <vt:variant>
        <vt:i4>1441841</vt:i4>
      </vt:variant>
      <vt:variant>
        <vt:i4>143</vt:i4>
      </vt:variant>
      <vt:variant>
        <vt:i4>0</vt:i4>
      </vt:variant>
      <vt:variant>
        <vt:i4>5</vt:i4>
      </vt:variant>
      <vt:variant>
        <vt:lpwstr/>
      </vt:variant>
      <vt:variant>
        <vt:lpwstr>_Toc50130755</vt:lpwstr>
      </vt:variant>
      <vt:variant>
        <vt:i4>1507377</vt:i4>
      </vt:variant>
      <vt:variant>
        <vt:i4>137</vt:i4>
      </vt:variant>
      <vt:variant>
        <vt:i4>0</vt:i4>
      </vt:variant>
      <vt:variant>
        <vt:i4>5</vt:i4>
      </vt:variant>
      <vt:variant>
        <vt:lpwstr/>
      </vt:variant>
      <vt:variant>
        <vt:lpwstr>_Toc50130754</vt:lpwstr>
      </vt:variant>
      <vt:variant>
        <vt:i4>1048625</vt:i4>
      </vt:variant>
      <vt:variant>
        <vt:i4>131</vt:i4>
      </vt:variant>
      <vt:variant>
        <vt:i4>0</vt:i4>
      </vt:variant>
      <vt:variant>
        <vt:i4>5</vt:i4>
      </vt:variant>
      <vt:variant>
        <vt:lpwstr/>
      </vt:variant>
      <vt:variant>
        <vt:lpwstr>_Toc50130753</vt:lpwstr>
      </vt:variant>
      <vt:variant>
        <vt:i4>1114161</vt:i4>
      </vt:variant>
      <vt:variant>
        <vt:i4>125</vt:i4>
      </vt:variant>
      <vt:variant>
        <vt:i4>0</vt:i4>
      </vt:variant>
      <vt:variant>
        <vt:i4>5</vt:i4>
      </vt:variant>
      <vt:variant>
        <vt:lpwstr/>
      </vt:variant>
      <vt:variant>
        <vt:lpwstr>_Toc50130752</vt:lpwstr>
      </vt:variant>
      <vt:variant>
        <vt:i4>1179697</vt:i4>
      </vt:variant>
      <vt:variant>
        <vt:i4>119</vt:i4>
      </vt:variant>
      <vt:variant>
        <vt:i4>0</vt:i4>
      </vt:variant>
      <vt:variant>
        <vt:i4>5</vt:i4>
      </vt:variant>
      <vt:variant>
        <vt:lpwstr/>
      </vt:variant>
      <vt:variant>
        <vt:lpwstr>_Toc50130751</vt:lpwstr>
      </vt:variant>
      <vt:variant>
        <vt:i4>1245233</vt:i4>
      </vt:variant>
      <vt:variant>
        <vt:i4>113</vt:i4>
      </vt:variant>
      <vt:variant>
        <vt:i4>0</vt:i4>
      </vt:variant>
      <vt:variant>
        <vt:i4>5</vt:i4>
      </vt:variant>
      <vt:variant>
        <vt:lpwstr/>
      </vt:variant>
      <vt:variant>
        <vt:lpwstr>_Toc50130750</vt:lpwstr>
      </vt:variant>
      <vt:variant>
        <vt:i4>1703984</vt:i4>
      </vt:variant>
      <vt:variant>
        <vt:i4>107</vt:i4>
      </vt:variant>
      <vt:variant>
        <vt:i4>0</vt:i4>
      </vt:variant>
      <vt:variant>
        <vt:i4>5</vt:i4>
      </vt:variant>
      <vt:variant>
        <vt:lpwstr/>
      </vt:variant>
      <vt:variant>
        <vt:lpwstr>_Toc50130749</vt:lpwstr>
      </vt:variant>
      <vt:variant>
        <vt:i4>1769520</vt:i4>
      </vt:variant>
      <vt:variant>
        <vt:i4>101</vt:i4>
      </vt:variant>
      <vt:variant>
        <vt:i4>0</vt:i4>
      </vt:variant>
      <vt:variant>
        <vt:i4>5</vt:i4>
      </vt:variant>
      <vt:variant>
        <vt:lpwstr/>
      </vt:variant>
      <vt:variant>
        <vt:lpwstr>_Toc50130748</vt:lpwstr>
      </vt:variant>
      <vt:variant>
        <vt:i4>1310768</vt:i4>
      </vt:variant>
      <vt:variant>
        <vt:i4>95</vt:i4>
      </vt:variant>
      <vt:variant>
        <vt:i4>0</vt:i4>
      </vt:variant>
      <vt:variant>
        <vt:i4>5</vt:i4>
      </vt:variant>
      <vt:variant>
        <vt:lpwstr/>
      </vt:variant>
      <vt:variant>
        <vt:lpwstr>_Toc50130747</vt:lpwstr>
      </vt:variant>
      <vt:variant>
        <vt:i4>1376304</vt:i4>
      </vt:variant>
      <vt:variant>
        <vt:i4>89</vt:i4>
      </vt:variant>
      <vt:variant>
        <vt:i4>0</vt:i4>
      </vt:variant>
      <vt:variant>
        <vt:i4>5</vt:i4>
      </vt:variant>
      <vt:variant>
        <vt:lpwstr/>
      </vt:variant>
      <vt:variant>
        <vt:lpwstr>_Toc50130746</vt:lpwstr>
      </vt:variant>
      <vt:variant>
        <vt:i4>1441840</vt:i4>
      </vt:variant>
      <vt:variant>
        <vt:i4>83</vt:i4>
      </vt:variant>
      <vt:variant>
        <vt:i4>0</vt:i4>
      </vt:variant>
      <vt:variant>
        <vt:i4>5</vt:i4>
      </vt:variant>
      <vt:variant>
        <vt:lpwstr/>
      </vt:variant>
      <vt:variant>
        <vt:lpwstr>_Toc50130745</vt:lpwstr>
      </vt:variant>
      <vt:variant>
        <vt:i4>1507376</vt:i4>
      </vt:variant>
      <vt:variant>
        <vt:i4>77</vt:i4>
      </vt:variant>
      <vt:variant>
        <vt:i4>0</vt:i4>
      </vt:variant>
      <vt:variant>
        <vt:i4>5</vt:i4>
      </vt:variant>
      <vt:variant>
        <vt:lpwstr/>
      </vt:variant>
      <vt:variant>
        <vt:lpwstr>_Toc50130744</vt:lpwstr>
      </vt:variant>
      <vt:variant>
        <vt:i4>1048624</vt:i4>
      </vt:variant>
      <vt:variant>
        <vt:i4>71</vt:i4>
      </vt:variant>
      <vt:variant>
        <vt:i4>0</vt:i4>
      </vt:variant>
      <vt:variant>
        <vt:i4>5</vt:i4>
      </vt:variant>
      <vt:variant>
        <vt:lpwstr/>
      </vt:variant>
      <vt:variant>
        <vt:lpwstr>_Toc50130743</vt:lpwstr>
      </vt:variant>
      <vt:variant>
        <vt:i4>1114160</vt:i4>
      </vt:variant>
      <vt:variant>
        <vt:i4>65</vt:i4>
      </vt:variant>
      <vt:variant>
        <vt:i4>0</vt:i4>
      </vt:variant>
      <vt:variant>
        <vt:i4>5</vt:i4>
      </vt:variant>
      <vt:variant>
        <vt:lpwstr/>
      </vt:variant>
      <vt:variant>
        <vt:lpwstr>_Toc50130742</vt:lpwstr>
      </vt:variant>
      <vt:variant>
        <vt:i4>1179696</vt:i4>
      </vt:variant>
      <vt:variant>
        <vt:i4>59</vt:i4>
      </vt:variant>
      <vt:variant>
        <vt:i4>0</vt:i4>
      </vt:variant>
      <vt:variant>
        <vt:i4>5</vt:i4>
      </vt:variant>
      <vt:variant>
        <vt:lpwstr/>
      </vt:variant>
      <vt:variant>
        <vt:lpwstr>_Toc50130741</vt:lpwstr>
      </vt:variant>
      <vt:variant>
        <vt:i4>1245232</vt:i4>
      </vt:variant>
      <vt:variant>
        <vt:i4>53</vt:i4>
      </vt:variant>
      <vt:variant>
        <vt:i4>0</vt:i4>
      </vt:variant>
      <vt:variant>
        <vt:i4>5</vt:i4>
      </vt:variant>
      <vt:variant>
        <vt:lpwstr/>
      </vt:variant>
      <vt:variant>
        <vt:lpwstr>_Toc50130740</vt:lpwstr>
      </vt:variant>
      <vt:variant>
        <vt:i4>1703991</vt:i4>
      </vt:variant>
      <vt:variant>
        <vt:i4>47</vt:i4>
      </vt:variant>
      <vt:variant>
        <vt:i4>0</vt:i4>
      </vt:variant>
      <vt:variant>
        <vt:i4>5</vt:i4>
      </vt:variant>
      <vt:variant>
        <vt:lpwstr/>
      </vt:variant>
      <vt:variant>
        <vt:lpwstr>_Toc50130739</vt:lpwstr>
      </vt:variant>
      <vt:variant>
        <vt:i4>1769527</vt:i4>
      </vt:variant>
      <vt:variant>
        <vt:i4>41</vt:i4>
      </vt:variant>
      <vt:variant>
        <vt:i4>0</vt:i4>
      </vt:variant>
      <vt:variant>
        <vt:i4>5</vt:i4>
      </vt:variant>
      <vt:variant>
        <vt:lpwstr/>
      </vt:variant>
      <vt:variant>
        <vt:lpwstr>_Toc50130738</vt:lpwstr>
      </vt:variant>
      <vt:variant>
        <vt:i4>1310775</vt:i4>
      </vt:variant>
      <vt:variant>
        <vt:i4>35</vt:i4>
      </vt:variant>
      <vt:variant>
        <vt:i4>0</vt:i4>
      </vt:variant>
      <vt:variant>
        <vt:i4>5</vt:i4>
      </vt:variant>
      <vt:variant>
        <vt:lpwstr/>
      </vt:variant>
      <vt:variant>
        <vt:lpwstr>_Toc50130737</vt:lpwstr>
      </vt:variant>
      <vt:variant>
        <vt:i4>1376311</vt:i4>
      </vt:variant>
      <vt:variant>
        <vt:i4>29</vt:i4>
      </vt:variant>
      <vt:variant>
        <vt:i4>0</vt:i4>
      </vt:variant>
      <vt:variant>
        <vt:i4>5</vt:i4>
      </vt:variant>
      <vt:variant>
        <vt:lpwstr/>
      </vt:variant>
      <vt:variant>
        <vt:lpwstr>_Toc50130736</vt:lpwstr>
      </vt:variant>
      <vt:variant>
        <vt:i4>1441847</vt:i4>
      </vt:variant>
      <vt:variant>
        <vt:i4>23</vt:i4>
      </vt:variant>
      <vt:variant>
        <vt:i4>0</vt:i4>
      </vt:variant>
      <vt:variant>
        <vt:i4>5</vt:i4>
      </vt:variant>
      <vt:variant>
        <vt:lpwstr/>
      </vt:variant>
      <vt:variant>
        <vt:lpwstr>_Toc50130735</vt:lpwstr>
      </vt:variant>
      <vt:variant>
        <vt:i4>1507383</vt:i4>
      </vt:variant>
      <vt:variant>
        <vt:i4>17</vt:i4>
      </vt:variant>
      <vt:variant>
        <vt:i4>0</vt:i4>
      </vt:variant>
      <vt:variant>
        <vt:i4>5</vt:i4>
      </vt:variant>
      <vt:variant>
        <vt:lpwstr/>
      </vt:variant>
      <vt:variant>
        <vt:lpwstr>_Toc50130734</vt:lpwstr>
      </vt:variant>
      <vt:variant>
        <vt:i4>1048631</vt:i4>
      </vt:variant>
      <vt:variant>
        <vt:i4>11</vt:i4>
      </vt:variant>
      <vt:variant>
        <vt:i4>0</vt:i4>
      </vt:variant>
      <vt:variant>
        <vt:i4>5</vt:i4>
      </vt:variant>
      <vt:variant>
        <vt:lpwstr/>
      </vt:variant>
      <vt:variant>
        <vt:lpwstr>_Toc50130733</vt:lpwstr>
      </vt:variant>
      <vt:variant>
        <vt:i4>1114167</vt:i4>
      </vt:variant>
      <vt:variant>
        <vt:i4>5</vt:i4>
      </vt:variant>
      <vt:variant>
        <vt:i4>0</vt:i4>
      </vt:variant>
      <vt:variant>
        <vt:i4>5</vt:i4>
      </vt:variant>
      <vt:variant>
        <vt:lpwstr/>
      </vt:variant>
      <vt:variant>
        <vt:lpwstr>_Toc50130732</vt:lpwstr>
      </vt:variant>
      <vt:variant>
        <vt:i4>6619180</vt:i4>
      </vt:variant>
      <vt:variant>
        <vt:i4>0</vt:i4>
      </vt:variant>
      <vt:variant>
        <vt:i4>0</vt:i4>
      </vt:variant>
      <vt:variant>
        <vt:i4>5</vt:i4>
      </vt:variant>
      <vt:variant>
        <vt:lpwstr>http://www.dpe.gob.ec/</vt:lpwstr>
      </vt:variant>
      <vt:variant>
        <vt:lpwstr/>
      </vt:variant>
      <vt:variant>
        <vt:i4>3932224</vt:i4>
      </vt:variant>
      <vt:variant>
        <vt:i4>63</vt:i4>
      </vt:variant>
      <vt:variant>
        <vt:i4>0</vt:i4>
      </vt:variant>
      <vt:variant>
        <vt:i4>5</vt:i4>
      </vt:variant>
      <vt:variant>
        <vt:lpwstr>https://www.apt.ch/detention-focus/es/detention_issues/6/</vt:lpwstr>
      </vt:variant>
      <vt:variant>
        <vt:lpwstr/>
      </vt:variant>
      <vt:variant>
        <vt:i4>6160462</vt:i4>
      </vt:variant>
      <vt:variant>
        <vt:i4>60</vt:i4>
      </vt:variant>
      <vt:variant>
        <vt:i4>0</vt:i4>
      </vt:variant>
      <vt:variant>
        <vt:i4>5</vt:i4>
      </vt:variant>
      <vt:variant>
        <vt:lpwstr>https://www.ninasnomadres.org/alza-la-voz/wp-content/uploads/2020/07/fact-sheet-el-golpe.pdf</vt:lpwstr>
      </vt:variant>
      <vt:variant>
        <vt:lpwstr/>
      </vt:variant>
      <vt:variant>
        <vt:i4>2424864</vt:i4>
      </vt:variant>
      <vt:variant>
        <vt:i4>57</vt:i4>
      </vt:variant>
      <vt:variant>
        <vt:i4>0</vt:i4>
      </vt:variant>
      <vt:variant>
        <vt:i4>5</vt:i4>
      </vt:variant>
      <vt:variant>
        <vt:lpwstr>http://www.ninasnomadres.org/alza-la-voz/wp-content/uploads/2020/07/fact-sheet-el-golpe.pdf</vt:lpwstr>
      </vt:variant>
      <vt:variant>
        <vt:lpwstr/>
      </vt:variant>
      <vt:variant>
        <vt:i4>3211316</vt:i4>
      </vt:variant>
      <vt:variant>
        <vt:i4>54</vt:i4>
      </vt:variant>
      <vt:variant>
        <vt:i4>0</vt:i4>
      </vt:variant>
      <vt:variant>
        <vt:i4>5</vt:i4>
      </vt:variant>
      <vt:variant>
        <vt:lpwstr>https://www.ninasnomadres.org/</vt:lpwstr>
      </vt:variant>
      <vt:variant>
        <vt:lpwstr/>
      </vt:variant>
      <vt:variant>
        <vt:i4>5374024</vt:i4>
      </vt:variant>
      <vt:variant>
        <vt:i4>51</vt:i4>
      </vt:variant>
      <vt:variant>
        <vt:i4>0</vt:i4>
      </vt:variant>
      <vt:variant>
        <vt:i4>5</vt:i4>
      </vt:variant>
      <vt:variant>
        <vt:lpwstr>http://sacc.corteconstitucional.gob.ec/storage/api/v1/10_DWL_FL/e2NhcnBldGE6J2VzY3JpdG8nLCB1dWlkOicwOWE2NTBkMi03NGFmLTRlOGYtYjIwMy0yOWNhODE2MTYwNTgucGRmJ30=</vt:lpwstr>
      </vt:variant>
      <vt:variant>
        <vt:lpwstr/>
      </vt:variant>
      <vt:variant>
        <vt:i4>4259923</vt:i4>
      </vt:variant>
      <vt:variant>
        <vt:i4>48</vt:i4>
      </vt:variant>
      <vt:variant>
        <vt:i4>0</vt:i4>
      </vt:variant>
      <vt:variant>
        <vt:i4>5</vt:i4>
      </vt:variant>
      <vt:variant>
        <vt:lpwstr>http://doc.corteconstitucional.gob.ec:8080/alfresco/d/d/workspace/SpacesStore/5cca69d2-b5d0-4dd5-9ac3-dbeb25ca7faf/0034-19-in.pdf?guest=true</vt:lpwstr>
      </vt:variant>
      <vt:variant>
        <vt:lpwstr/>
      </vt:variant>
      <vt:variant>
        <vt:i4>4587628</vt:i4>
      </vt:variant>
      <vt:variant>
        <vt:i4>45</vt:i4>
      </vt:variant>
      <vt:variant>
        <vt:i4>0</vt:i4>
      </vt:variant>
      <vt:variant>
        <vt:i4>5</vt:i4>
      </vt:variant>
      <vt:variant>
        <vt:lpwstr>http://doc.corteconstitucional.gob.ec:8080/alfresco/d/d/workspace/SpacesStore/5a66bc12-ce3a-403c-8e6a-131fe3652138/demanda_0034-19-in.pdf?guest=true</vt:lpwstr>
      </vt:variant>
      <vt:variant>
        <vt:lpwstr/>
      </vt:variant>
      <vt:variant>
        <vt:i4>524355</vt:i4>
      </vt:variant>
      <vt:variant>
        <vt:i4>42</vt:i4>
      </vt:variant>
      <vt:variant>
        <vt:i4>0</vt:i4>
      </vt:variant>
      <vt:variant>
        <vt:i4>5</vt:i4>
      </vt:variant>
      <vt:variant>
        <vt:lpwstr>https://twitter.com/CorteConstEcu/status/1199780434416218113/photo/1</vt:lpwstr>
      </vt:variant>
      <vt:variant>
        <vt:lpwstr/>
      </vt:variant>
      <vt:variant>
        <vt:i4>2424864</vt:i4>
      </vt:variant>
      <vt:variant>
        <vt:i4>39</vt:i4>
      </vt:variant>
      <vt:variant>
        <vt:i4>0</vt:i4>
      </vt:variant>
      <vt:variant>
        <vt:i4>5</vt:i4>
      </vt:variant>
      <vt:variant>
        <vt:lpwstr>http://www.ninasnomadres.org/alza-la-voz/wp-content/uploads/2020/07/fact-sheet-el-golpe.pdf</vt:lpwstr>
      </vt:variant>
      <vt:variant>
        <vt:lpwstr/>
      </vt:variant>
      <vt:variant>
        <vt:i4>2424864</vt:i4>
      </vt:variant>
      <vt:variant>
        <vt:i4>36</vt:i4>
      </vt:variant>
      <vt:variant>
        <vt:i4>0</vt:i4>
      </vt:variant>
      <vt:variant>
        <vt:i4>5</vt:i4>
      </vt:variant>
      <vt:variant>
        <vt:lpwstr>http://www.ninasnomadres.org/alza-la-voz/wp-content/uploads/2020/07/fact-sheet-el-golpe.pdf</vt:lpwstr>
      </vt:variant>
      <vt:variant>
        <vt:lpwstr/>
      </vt:variant>
      <vt:variant>
        <vt:i4>6422626</vt:i4>
      </vt:variant>
      <vt:variant>
        <vt:i4>33</vt:i4>
      </vt:variant>
      <vt:variant>
        <vt:i4>0</vt:i4>
      </vt:variant>
      <vt:variant>
        <vt:i4>5</vt:i4>
      </vt:variant>
      <vt:variant>
        <vt:lpwstr>https://www.dpe.gob.ec/tenemos-una-deuda-con-las-mujeres-de-este-pais-sobre-su-derecho-a-decidir-es-momento-de-tomar-acciones-que-beneficien-todos-y-todas-gina-benavides-durante-comparecencia-ante-pleno/</vt:lpwstr>
      </vt:variant>
      <vt:variant>
        <vt:lpwstr/>
      </vt:variant>
      <vt:variant>
        <vt:i4>5308426</vt:i4>
      </vt:variant>
      <vt:variant>
        <vt:i4>30</vt:i4>
      </vt:variant>
      <vt:variant>
        <vt:i4>0</vt:i4>
      </vt:variant>
      <vt:variant>
        <vt:i4>5</vt:i4>
      </vt:variant>
      <vt:variant>
        <vt:lpwstr>https://www.youtube.com/watch?v=v1u1ZwssmQw&amp;list=PLO1bXdXR3sQIszdhk0SxwuDNIDNTUTW15&amp;index=15</vt:lpwstr>
      </vt:variant>
      <vt:variant>
        <vt:lpwstr/>
      </vt:variant>
      <vt:variant>
        <vt:i4>5832787</vt:i4>
      </vt:variant>
      <vt:variant>
        <vt:i4>27</vt:i4>
      </vt:variant>
      <vt:variant>
        <vt:i4>0</vt:i4>
      </vt:variant>
      <vt:variant>
        <vt:i4>5</vt:i4>
      </vt:variant>
      <vt:variant>
        <vt:lpwstr>https://youtu.be/Mfv9skHEwvo</vt:lpwstr>
      </vt:variant>
      <vt:variant>
        <vt:lpwstr/>
      </vt:variant>
      <vt:variant>
        <vt:i4>5439578</vt:i4>
      </vt:variant>
      <vt:variant>
        <vt:i4>24</vt:i4>
      </vt:variant>
      <vt:variant>
        <vt:i4>0</vt:i4>
      </vt:variant>
      <vt:variant>
        <vt:i4>5</vt:i4>
      </vt:variant>
      <vt:variant>
        <vt:lpwstr>http://www.pichinchacomunicaciones.com.ec/mujeres-defensoras-de-la-naturaleza-exigen-agilidad-en-la-investigacion-sobre-las-amenazas-de-muerte-recibidas/</vt:lpwstr>
      </vt:variant>
      <vt:variant>
        <vt:lpwstr/>
      </vt:variant>
      <vt:variant>
        <vt:i4>5177434</vt:i4>
      </vt:variant>
      <vt:variant>
        <vt:i4>21</vt:i4>
      </vt:variant>
      <vt:variant>
        <vt:i4>0</vt:i4>
      </vt:variant>
      <vt:variant>
        <vt:i4>5</vt:i4>
      </vt:variant>
      <vt:variant>
        <vt:lpwstr>http://repositorio.dpe.gob.ec/bitstream/39000/2342/1/PT-DPE-007-2019.pdf</vt:lpwstr>
      </vt:variant>
      <vt:variant>
        <vt:lpwstr/>
      </vt:variant>
      <vt:variant>
        <vt:i4>5832787</vt:i4>
      </vt:variant>
      <vt:variant>
        <vt:i4>18</vt:i4>
      </vt:variant>
      <vt:variant>
        <vt:i4>0</vt:i4>
      </vt:variant>
      <vt:variant>
        <vt:i4>5</vt:i4>
      </vt:variant>
      <vt:variant>
        <vt:lpwstr>https://youtu.be/Mfv9skHEwvo</vt:lpwstr>
      </vt:variant>
      <vt:variant>
        <vt:lpwstr/>
      </vt:variant>
      <vt:variant>
        <vt:i4>4784190</vt:i4>
      </vt:variant>
      <vt:variant>
        <vt:i4>15</vt:i4>
      </vt:variant>
      <vt:variant>
        <vt:i4>0</vt:i4>
      </vt:variant>
      <vt:variant>
        <vt:i4>5</vt:i4>
      </vt:variant>
      <vt:variant>
        <vt:lpwstr>https://www.planv.com.ec/sites/default/files/mandato_de_las_mujeres_amazonicas_.pdf</vt:lpwstr>
      </vt:variant>
      <vt:variant>
        <vt:lpwstr/>
      </vt:variant>
      <vt:variant>
        <vt:i4>8061054</vt:i4>
      </vt:variant>
      <vt:variant>
        <vt:i4>12</vt:i4>
      </vt:variant>
      <vt:variant>
        <vt:i4>0</vt:i4>
      </vt:variant>
      <vt:variant>
        <vt:i4>5</vt:i4>
      </vt:variant>
      <vt:variant>
        <vt:lpwstr>http://www.pichinchacomunicaciones.com.ec/mujeres-amazonicas-exigen-que-cese-la-persecucion-y-amenazas-contra-las-defensoras-de-la-naturaleza/</vt:lpwstr>
      </vt:variant>
      <vt:variant>
        <vt:lpwstr/>
      </vt:variant>
      <vt:variant>
        <vt:i4>2162806</vt:i4>
      </vt:variant>
      <vt:variant>
        <vt:i4>9</vt:i4>
      </vt:variant>
      <vt:variant>
        <vt:i4>0</vt:i4>
      </vt:variant>
      <vt:variant>
        <vt:i4>5</vt:i4>
      </vt:variant>
      <vt:variant>
        <vt:lpwstr>https://www.finanzas.gob.ec/wp-content/uploads/downloads/2018/07/DIRECTRICES-PARA-LA-ELABORACION-DE-LA-PROFORMA-DEL-PGE.compressed.pdf</vt:lpwstr>
      </vt:variant>
      <vt:variant>
        <vt:lpwstr/>
      </vt:variant>
      <vt:variant>
        <vt:i4>7864367</vt:i4>
      </vt:variant>
      <vt:variant>
        <vt:i4>6</vt:i4>
      </vt:variant>
      <vt:variant>
        <vt:i4>0</vt:i4>
      </vt:variant>
      <vt:variant>
        <vt:i4>5</vt:i4>
      </vt:variant>
      <vt:variant>
        <vt:lpwstr>https://www.finanzas.gob.ec/wp-content/uploads/downloads/2019/07/Directrices-Proforma-2020-y-PPC-2020-2023-V10-15-7-2019-public.-1.pdf</vt:lpwstr>
      </vt:variant>
      <vt:variant>
        <vt:lpwstr/>
      </vt:variant>
      <vt:variant>
        <vt:i4>7798895</vt:i4>
      </vt:variant>
      <vt:variant>
        <vt:i4>3</vt:i4>
      </vt:variant>
      <vt:variant>
        <vt:i4>0</vt:i4>
      </vt:variant>
      <vt:variant>
        <vt:i4>5</vt:i4>
      </vt:variant>
      <vt:variant>
        <vt:lpwstr>https://www.redinnovacion.org/articulo/se-reconsidera-la-ley-en-contra-de-la-violencia-de-g%C3%A9nero-propuesta-en-ecuador</vt:lpwstr>
      </vt:variant>
      <vt:variant>
        <vt:lpwstr/>
      </vt:variant>
      <vt:variant>
        <vt:i4>7536760</vt:i4>
      </vt:variant>
      <vt:variant>
        <vt:i4>0</vt:i4>
      </vt:variant>
      <vt:variant>
        <vt:i4>0</vt:i4>
      </vt:variant>
      <vt:variant>
        <vt:i4>5</vt:i4>
      </vt:variant>
      <vt:variant>
        <vt:lpwstr>https://www.elcomercio.com/tendencias/polemica-cambios-ley-violencia-mujer.html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2024-06-28T16:48:00Z</dcterms:created>
  <dcterms:modified xsi:type="dcterms:W3CDTF">2024-06-28T16:48:00Z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