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B5879" w14:textId="77777777" w:rsidR="009A63EB" w:rsidRDefault="009A63EB">
      <w:pPr>
        <w:spacing w:line="276" w:lineRule="auto"/>
        <w:jc w:val="center"/>
        <w:rPr>
          <w:rFonts w:ascii="Times New Roman" w:eastAsia="Times New Roman" w:hAnsi="Times New Roman" w:cs="Times New Roman"/>
          <w:b/>
          <w:color w:val="0070C0"/>
          <w:sz w:val="24"/>
          <w:szCs w:val="24"/>
          <w:u w:val="single"/>
        </w:rPr>
      </w:pPr>
      <w:bookmarkStart w:id="0" w:name="_gjdgxs" w:colFirst="0" w:colLast="0"/>
      <w:bookmarkEnd w:id="0"/>
    </w:p>
    <w:p w14:paraId="5E37819B" w14:textId="77777777" w:rsidR="001F2AAC" w:rsidRDefault="001F2AAC">
      <w:pPr>
        <w:spacing w:line="276" w:lineRule="auto"/>
        <w:jc w:val="center"/>
        <w:rPr>
          <w:rFonts w:ascii="Times New Roman" w:eastAsia="Times New Roman" w:hAnsi="Times New Roman" w:cs="Times New Roman"/>
          <w:b/>
          <w:color w:val="0070C0"/>
          <w:sz w:val="24"/>
          <w:szCs w:val="24"/>
          <w:u w:val="single"/>
        </w:rPr>
      </w:pPr>
    </w:p>
    <w:p w14:paraId="4E5E0FAB" w14:textId="12AEFD48" w:rsidR="009A63EB" w:rsidRDefault="00000000">
      <w:pPr>
        <w:spacing w:line="276" w:lineRule="auto"/>
        <w:jc w:val="center"/>
        <w:rPr>
          <w:rFonts w:ascii="Times New Roman" w:eastAsia="Times New Roman" w:hAnsi="Times New Roman" w:cs="Times New Roman"/>
          <w:b/>
          <w:color w:val="0070C0"/>
          <w:sz w:val="24"/>
          <w:szCs w:val="24"/>
          <w:u w:val="single"/>
        </w:rPr>
      </w:pPr>
      <w:r>
        <w:rPr>
          <w:rFonts w:ascii="Times New Roman" w:eastAsia="Times New Roman" w:hAnsi="Times New Roman" w:cs="Times New Roman"/>
          <w:b/>
          <w:color w:val="0070C0"/>
          <w:sz w:val="24"/>
          <w:szCs w:val="24"/>
          <w:u w:val="single"/>
        </w:rPr>
        <w:t>COMITE POUR L’ELIMINATION DE TOUTES LES FORMES DE DISCRIMINATION A L’EGARD DES FEMMES</w:t>
      </w:r>
    </w:p>
    <w:p w14:paraId="098BFAAD" w14:textId="77777777" w:rsidR="009A63EB" w:rsidRDefault="009A63EB">
      <w:pPr>
        <w:spacing w:line="276" w:lineRule="auto"/>
        <w:jc w:val="center"/>
        <w:rPr>
          <w:rFonts w:ascii="Times New Roman" w:eastAsia="Times New Roman" w:hAnsi="Times New Roman" w:cs="Times New Roman"/>
          <w:b/>
          <w:color w:val="0070C0"/>
          <w:sz w:val="24"/>
          <w:szCs w:val="24"/>
          <w:u w:val="single"/>
        </w:rPr>
      </w:pPr>
    </w:p>
    <w:p w14:paraId="5A1C735F" w14:textId="77777777" w:rsidR="009A63EB" w:rsidRDefault="00000000">
      <w:pPr>
        <w:spacing w:line="276" w:lineRule="auto"/>
        <w:jc w:val="center"/>
        <w:rPr>
          <w:rFonts w:ascii="Times New Roman" w:eastAsia="Times New Roman" w:hAnsi="Times New Roman" w:cs="Times New Roman"/>
          <w:b/>
          <w:color w:val="0070C0"/>
          <w:sz w:val="24"/>
          <w:szCs w:val="24"/>
          <w:u w:val="single"/>
        </w:rPr>
      </w:pPr>
      <w:r>
        <w:rPr>
          <w:rFonts w:ascii="Times New Roman" w:eastAsia="Times New Roman" w:hAnsi="Times New Roman" w:cs="Times New Roman"/>
          <w:b/>
          <w:color w:val="0070C0"/>
          <w:sz w:val="24"/>
          <w:szCs w:val="24"/>
          <w:u w:val="single"/>
        </w:rPr>
        <w:t>RAPPORT ALTERNATIF DU CENTRE DE FORMATION EN MECANISME DE PROTECTION DES DROITS HUMAINS (CFMPDH) SUR LA MISE EN ŒUVRE DE LA CONVENTION SUR L’ELIMINATION DE TOUTES LES FORMES DE DISCRIMINATION A L’EGARD DES FEMMES 2019-2024</w:t>
      </w:r>
    </w:p>
    <w:p w14:paraId="1082EA04" w14:textId="77777777" w:rsidR="009A63EB" w:rsidRDefault="00000000">
      <w:pPr>
        <w:spacing w:line="276" w:lineRule="auto"/>
        <w:jc w:val="center"/>
        <w:rPr>
          <w:rFonts w:ascii="Times New Roman" w:eastAsia="Times New Roman" w:hAnsi="Times New Roman" w:cs="Times New Roman"/>
          <w:b/>
          <w:color w:val="800000"/>
          <w:sz w:val="24"/>
          <w:szCs w:val="24"/>
          <w:u w:val="single"/>
        </w:rPr>
      </w:pPr>
      <w:r>
        <w:rPr>
          <w:rFonts w:ascii="Times New Roman" w:eastAsia="Times New Roman" w:hAnsi="Times New Roman" w:cs="Times New Roman"/>
          <w:b/>
          <w:color w:val="800000"/>
          <w:sz w:val="24"/>
          <w:szCs w:val="24"/>
          <w:u w:val="single"/>
        </w:rPr>
        <w:t>Septembre 2024</w:t>
      </w:r>
    </w:p>
    <w:p w14:paraId="09586184" w14:textId="77777777" w:rsidR="009A63EB" w:rsidRDefault="009A63EB">
      <w:pPr>
        <w:spacing w:line="276" w:lineRule="auto"/>
        <w:jc w:val="center"/>
        <w:rPr>
          <w:rFonts w:ascii="Times New Roman" w:eastAsia="Times New Roman" w:hAnsi="Times New Roman" w:cs="Times New Roman"/>
          <w:b/>
          <w:color w:val="800000"/>
          <w:sz w:val="24"/>
          <w:szCs w:val="24"/>
          <w:u w:val="single"/>
        </w:rPr>
      </w:pPr>
    </w:p>
    <w:p w14:paraId="1EA1B210" w14:textId="77777777" w:rsidR="009A63EB" w:rsidRDefault="00000000">
      <w:pPr>
        <w:numPr>
          <w:ilvl w:val="0"/>
          <w:numId w:val="5"/>
        </w:numPr>
        <w:pBdr>
          <w:top w:val="nil"/>
          <w:left w:val="nil"/>
          <w:bottom w:val="nil"/>
          <w:right w:val="nil"/>
          <w:between w:val="nil"/>
        </w:pBdr>
        <w:spacing w:line="276" w:lineRule="auto"/>
      </w:pPr>
      <w:r>
        <w:rPr>
          <w:rFonts w:ascii="Times New Roman" w:eastAsia="Times New Roman" w:hAnsi="Times New Roman" w:cs="Times New Roman"/>
          <w:b/>
          <w:color w:val="2F5496"/>
        </w:rPr>
        <w:t>Introduction</w:t>
      </w:r>
    </w:p>
    <w:p w14:paraId="3C38D0A0" w14:textId="0870EAE9" w:rsidR="009A63EB" w:rsidRDefault="0000000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L’auteur</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du présent rapport est le Centre de Formation en </w:t>
      </w:r>
      <w:r w:rsidR="001F2AAC">
        <w:rPr>
          <w:rFonts w:ascii="Times New Roman" w:eastAsia="Times New Roman" w:hAnsi="Times New Roman" w:cs="Times New Roman"/>
          <w:color w:val="000000"/>
          <w:sz w:val="24"/>
          <w:szCs w:val="24"/>
        </w:rPr>
        <w:t>M</w:t>
      </w:r>
      <w:r>
        <w:rPr>
          <w:rFonts w:ascii="Times New Roman" w:eastAsia="Times New Roman" w:hAnsi="Times New Roman" w:cs="Times New Roman"/>
          <w:color w:val="000000"/>
          <w:sz w:val="24"/>
          <w:szCs w:val="24"/>
        </w:rPr>
        <w:t>écanisme</w:t>
      </w:r>
      <w:r w:rsidR="001F2AAC">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de </w:t>
      </w:r>
      <w:r w:rsidR="001F2AAC">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rotection des Droits </w:t>
      </w:r>
      <w:r w:rsidR="001F2AAC">
        <w:rPr>
          <w:rFonts w:ascii="Times New Roman" w:eastAsia="Times New Roman" w:hAnsi="Times New Roman" w:cs="Times New Roman"/>
          <w:color w:val="000000"/>
          <w:sz w:val="24"/>
          <w:szCs w:val="24"/>
        </w:rPr>
        <w:t>H</w:t>
      </w:r>
      <w:r>
        <w:rPr>
          <w:rFonts w:ascii="Times New Roman" w:eastAsia="Times New Roman" w:hAnsi="Times New Roman" w:cs="Times New Roman"/>
          <w:color w:val="000000"/>
          <w:sz w:val="24"/>
          <w:szCs w:val="24"/>
        </w:rPr>
        <w:t>umains (CFMPDH)</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en coalition avec l’Institut TONAFA</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et l’ONG Filles en Actions</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w:t>
      </w:r>
    </w:p>
    <w:p w14:paraId="6AA86888" w14:textId="77777777" w:rsidR="009A63EB" w:rsidRDefault="009A63E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5FCA4B6" w14:textId="77777777" w:rsidR="001F2AAC" w:rsidRDefault="001F2AAC">
      <w:pPr>
        <w:spacing w:line="276" w:lineRule="auto"/>
        <w:jc w:val="both"/>
        <w:rPr>
          <w:rFonts w:ascii="Times New Roman" w:eastAsia="Times New Roman" w:hAnsi="Times New Roman" w:cs="Times New Roman"/>
          <w:sz w:val="24"/>
          <w:szCs w:val="24"/>
        </w:rPr>
      </w:pPr>
    </w:p>
    <w:p w14:paraId="59BF2483" w14:textId="7D4923CA"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présent rapport du CFMPDH, en coalition avec l’Institut TONAFA et l’ONG Filles en Actions a pour vocation de faire le bilan de la mise en œuvre de la convention sur l’élimination de toutes les formes de discrimination à l’égard des femmes sur la </w:t>
      </w:r>
      <w:r w:rsidR="001F2AAC">
        <w:rPr>
          <w:rFonts w:ascii="Times New Roman" w:eastAsia="Times New Roman" w:hAnsi="Times New Roman" w:cs="Times New Roman"/>
          <w:sz w:val="24"/>
          <w:szCs w:val="24"/>
        </w:rPr>
        <w:t>période</w:t>
      </w:r>
      <w:r>
        <w:rPr>
          <w:rFonts w:ascii="Times New Roman" w:eastAsia="Times New Roman" w:hAnsi="Times New Roman" w:cs="Times New Roman"/>
          <w:sz w:val="24"/>
          <w:szCs w:val="24"/>
        </w:rPr>
        <w:t xml:space="preserve"> 2019-2024 en vue du prochain examen du Bénin devant le </w:t>
      </w:r>
      <w:r w:rsidR="001F2AAC">
        <w:rPr>
          <w:rFonts w:ascii="Times New Roman" w:eastAsia="Times New Roman" w:hAnsi="Times New Roman" w:cs="Times New Roman"/>
          <w:sz w:val="24"/>
          <w:szCs w:val="24"/>
        </w:rPr>
        <w:t>C</w:t>
      </w:r>
      <w:r>
        <w:rPr>
          <w:rFonts w:ascii="Times New Roman" w:eastAsia="Times New Roman" w:hAnsi="Times New Roman" w:cs="Times New Roman"/>
          <w:sz w:val="24"/>
          <w:szCs w:val="24"/>
        </w:rPr>
        <w:t>omité pour l’élimination de toutes les formes de discrimination à l’égard des femmes et de faire des recommandations pragmatiques. Une telle entreprise obéit à la nécessité de contribuer par le plaidoyer international à l’enracinement du respect des droits humains en particulier ceux des femmes au Bénin.</w:t>
      </w:r>
    </w:p>
    <w:p w14:paraId="14E8A024"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11 novembre 1981, la République du Bénin a procédé à la signature de la Convention Internationale sur l’Elimination de toutes les formes de Discrimination à l’Egard des Femmes (CEDEF), en la ratifiant en date du 12 mars 1992. </w:t>
      </w:r>
    </w:p>
    <w:p w14:paraId="3B5443CB" w14:textId="58FFDB2D"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prochaine pré-session de l’examen dudit rapport par le Comité étant prévue </w:t>
      </w:r>
      <w:r w:rsidR="001F2AAC">
        <w:rPr>
          <w:rFonts w:ascii="Times New Roman" w:eastAsia="Times New Roman" w:hAnsi="Times New Roman" w:cs="Times New Roman"/>
          <w:sz w:val="24"/>
          <w:szCs w:val="24"/>
        </w:rPr>
        <w:t>au</w:t>
      </w:r>
      <w:r>
        <w:rPr>
          <w:rFonts w:ascii="Times New Roman" w:eastAsia="Times New Roman" w:hAnsi="Times New Roman" w:cs="Times New Roman"/>
          <w:sz w:val="24"/>
          <w:szCs w:val="24"/>
        </w:rPr>
        <w:t xml:space="preserve"> 21 octobre 2024, le présent rapport alternatif s’inscrit dans cette dynamique en vue de porter une lecture de la société civile sur les différentes mesures prises par le Bénin pour l’application de la Convention</w:t>
      </w:r>
    </w:p>
    <w:p w14:paraId="2AB99DDC" w14:textId="77777777" w:rsidR="009A63EB" w:rsidRDefault="00000000">
      <w:pPr>
        <w:spacing w:line="276" w:lineRule="auto"/>
        <w:jc w:val="both"/>
        <w:rPr>
          <w:rFonts w:ascii="Times New Roman" w:eastAsia="Times New Roman" w:hAnsi="Times New Roman" w:cs="Times New Roman"/>
          <w:b/>
          <w:color w:val="2F5496"/>
          <w:sz w:val="24"/>
          <w:szCs w:val="24"/>
        </w:rPr>
      </w:pPr>
      <w:r>
        <w:rPr>
          <w:rFonts w:ascii="Times New Roman" w:eastAsia="Times New Roman" w:hAnsi="Times New Roman" w:cs="Times New Roman"/>
          <w:sz w:val="24"/>
          <w:szCs w:val="24"/>
        </w:rPr>
        <w:t xml:space="preserve">Dans ce rapport, en effet, la coalition présente le cadre légal et institutionnel de protection des droits des femmes et offre une analyse sur la situation des droits des femmes, en lien avec la convention, en ce qui concerne l’accès à la justice et le pouvoir économique. </w:t>
      </w:r>
    </w:p>
    <w:p w14:paraId="2DE9D5F8" w14:textId="77777777" w:rsidR="009A63EB" w:rsidRDefault="00000000">
      <w:pPr>
        <w:spacing w:line="276" w:lineRule="auto"/>
        <w:jc w:val="both"/>
      </w:pPr>
      <w:r>
        <w:rPr>
          <w:rFonts w:ascii="Times New Roman" w:eastAsia="Times New Roman" w:hAnsi="Times New Roman" w:cs="Times New Roman"/>
          <w:b/>
          <w:color w:val="2F5496"/>
        </w:rPr>
        <w:t xml:space="preserve">Méthodologie </w:t>
      </w:r>
    </w:p>
    <w:p w14:paraId="7EC244C9" w14:textId="77777777" w:rsidR="009A63EB" w:rsidRDefault="00000000">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L’élaboration de ce rapport a suivi une démarche participative. Elle a consisté à : </w:t>
      </w:r>
    </w:p>
    <w:p w14:paraId="7DD5CDF9"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 xml:space="preserve">Mettre en place un comité scientifique ; </w:t>
      </w:r>
    </w:p>
    <w:p w14:paraId="0E4BCC83"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 xml:space="preserve">Collecter des informations (revue documentaire, informations recueillies auprès de diverses sources…) ;  </w:t>
      </w:r>
    </w:p>
    <w:p w14:paraId="0CF1653B"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 xml:space="preserve">Responsabiliser le comité de rédaction pour la production du rapport ; </w:t>
      </w:r>
    </w:p>
    <w:p w14:paraId="23C53F48"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Faire la synthèse, le traitement, l’analyse et élaborer le document final ;</w:t>
      </w:r>
    </w:p>
    <w:p w14:paraId="6119857F"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 xml:space="preserve">Organiser l’atelier de validation ; </w:t>
      </w:r>
    </w:p>
    <w:p w14:paraId="2B2338E6" w14:textId="77777777" w:rsidR="009A63EB" w:rsidRDefault="00000000">
      <w:pPr>
        <w:numPr>
          <w:ilvl w:val="0"/>
          <w:numId w:val="6"/>
        </w:numPr>
        <w:pBdr>
          <w:top w:val="nil"/>
          <w:left w:val="nil"/>
          <w:bottom w:val="nil"/>
          <w:right w:val="nil"/>
          <w:between w:val="nil"/>
        </w:pBdr>
        <w:spacing w:line="276" w:lineRule="auto"/>
        <w:jc w:val="both"/>
        <w:rPr>
          <w:color w:val="000000"/>
          <w:sz w:val="24"/>
          <w:szCs w:val="24"/>
        </w:rPr>
      </w:pPr>
      <w:r>
        <w:rPr>
          <w:rFonts w:ascii="Times New Roman" w:eastAsia="Times New Roman" w:hAnsi="Times New Roman" w:cs="Times New Roman"/>
          <w:color w:val="000000"/>
          <w:sz w:val="24"/>
          <w:szCs w:val="24"/>
        </w:rPr>
        <w:t xml:space="preserve">Transmettre le rapport au </w:t>
      </w:r>
      <w:r>
        <w:rPr>
          <w:color w:val="000000"/>
        </w:rPr>
        <w:t>comité.</w:t>
      </w:r>
    </w:p>
    <w:p w14:paraId="014A8848" w14:textId="77777777" w:rsidR="009A63EB" w:rsidRDefault="00000000">
      <w:pPr>
        <w:spacing w:line="276" w:lineRule="auto"/>
        <w:jc w:val="both"/>
        <w:rPr>
          <w:rFonts w:ascii="Times New Roman" w:eastAsia="Times New Roman" w:hAnsi="Times New Roman" w:cs="Times New Roman"/>
          <w:b/>
          <w:color w:val="2F5496"/>
          <w:sz w:val="24"/>
          <w:szCs w:val="24"/>
        </w:rPr>
      </w:pPr>
      <w:r>
        <w:rPr>
          <w:rFonts w:ascii="Times New Roman" w:eastAsia="Times New Roman" w:hAnsi="Times New Roman" w:cs="Times New Roman"/>
          <w:b/>
          <w:color w:val="2F5496"/>
          <w:sz w:val="24"/>
          <w:szCs w:val="24"/>
        </w:rPr>
        <w:t>Présentation et analyse des données</w:t>
      </w:r>
    </w:p>
    <w:p w14:paraId="235AD287" w14:textId="06C1122E"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est important de reconnaitre que le Bénin a fait d’importants progrès en matière de cadre juridique et institutionnel pour la mise en œuvre de la convention pour l’élimination de toutes les formes de discrimination à l’égard des femmes. Les mécanismes de promotion des femmes et de leurs droits ont été aussi renforcés à travers la mise en place des services genre et développement au sein des ministères.</w:t>
      </w:r>
    </w:p>
    <w:p w14:paraId="6E4B4A80" w14:textId="77777777" w:rsidR="009A63EB" w:rsidRDefault="00000000">
      <w:pPr>
        <w:numPr>
          <w:ilvl w:val="1"/>
          <w:numId w:val="7"/>
        </w:numPr>
        <w:spacing w:line="276" w:lineRule="auto"/>
        <w:jc w:val="both"/>
        <w:rPr>
          <w:rFonts w:ascii="Times New Roman" w:eastAsia="Times New Roman" w:hAnsi="Times New Roman" w:cs="Times New Roman"/>
          <w:b/>
          <w:sz w:val="24"/>
          <w:szCs w:val="24"/>
        </w:rPr>
      </w:pPr>
      <w:bookmarkStart w:id="1" w:name="_30j0zll" w:colFirst="0" w:colLast="0"/>
      <w:bookmarkEnd w:id="1"/>
      <w:r>
        <w:rPr>
          <w:rFonts w:ascii="Times New Roman" w:eastAsia="Times New Roman" w:hAnsi="Times New Roman" w:cs="Times New Roman"/>
          <w:b/>
          <w:sz w:val="24"/>
          <w:szCs w:val="24"/>
        </w:rPr>
        <w:t xml:space="preserve">Cadre légal de mise en œuvre de la Convention </w:t>
      </w:r>
    </w:p>
    <w:p w14:paraId="59760473"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 Bénin, la loi n° 90-32 du 11 décembre 1990 portant Constitution de la République du Bénin modifiée par la loi n° 2019-40 du 7 novembre 2019, en tant que loi fondamentale pose en son </w:t>
      </w:r>
      <w:r>
        <w:rPr>
          <w:rFonts w:ascii="Times New Roman" w:eastAsia="Times New Roman" w:hAnsi="Times New Roman" w:cs="Times New Roman"/>
          <w:sz w:val="24"/>
          <w:szCs w:val="24"/>
        </w:rPr>
        <w:lastRenderedPageBreak/>
        <w:t>article 26, le principe de la non-discrimination et de la protection des droits de la femme comme des principes à valeurs constitutionnelles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1F95A03F" w14:textId="37E319F2" w:rsidR="009A63EB" w:rsidRDefault="00000000">
      <w:pPr>
        <w:spacing w:line="276" w:lineRule="auto"/>
        <w:jc w:val="both"/>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t>Les principes de non-discrimination et de protection des droits de la femme consacrés par la Constitution ont été repris par plusieurs autres textes au plan national. On peut citer entre autres, la loi n°2017-06 du 13 avril 2017 relative à la promotion et à la protection des droits des personnes handicapées, la loi n° 2015-08 du 08 décembre 2015 portant Code de l’enfant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la loi n°2021-13 du 20 décembre 2021 modifiant et complétant la loi n°2002-07 du 24 août 2004 portant code des personnes et de la famille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la loi n° 2021-11 du 20 décembre 2021 portant dispositions spéciales de répression des infractions commises à raison du sexe des personnes et de protection de la femme et la loi n°2021-12 du 20 décembre 2021 modifiant et complétant la loi n°2003-04 du 03 mars 2003 relative à la santé sexuelle et à la reproduction. </w:t>
      </w:r>
    </w:p>
    <w:p w14:paraId="4A315D03" w14:textId="62047FE1"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Ces différents textes législatifs</w:t>
      </w:r>
      <w:r w:rsidR="001F2AA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malheureusement</w:t>
      </w:r>
      <w:r w:rsidR="001F2AA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ne fournissent pas une définition claire de la notion de discrimination. On constate aussi que ces avancées législatives n’ont pas aidé à l’amélioration de la situation des femmes au Bénin et à la réduction de la discrimination à l’égard des femmes.</w:t>
      </w:r>
    </w:p>
    <w:p w14:paraId="62CA2AE8" w14:textId="77777777" w:rsidR="009A63EB" w:rsidRDefault="00000000">
      <w:pPr>
        <w:spacing w:line="276" w:lineRule="auto"/>
        <w:jc w:val="both"/>
        <w:rPr>
          <w:rFonts w:ascii="Times New Roman" w:eastAsia="Times New Roman" w:hAnsi="Times New Roman" w:cs="Times New Roman"/>
          <w:b/>
          <w:color w:val="2F5496"/>
          <w:sz w:val="24"/>
          <w:szCs w:val="24"/>
        </w:rPr>
      </w:pPr>
      <w:r>
        <w:rPr>
          <w:rFonts w:ascii="Times New Roman" w:eastAsia="Times New Roman" w:hAnsi="Times New Roman" w:cs="Times New Roman"/>
          <w:b/>
          <w:color w:val="2F5496"/>
          <w:sz w:val="24"/>
          <w:szCs w:val="24"/>
        </w:rPr>
        <w:t xml:space="preserve">Recommandations : </w:t>
      </w:r>
    </w:p>
    <w:p w14:paraId="20F85957" w14:textId="0405A5E6" w:rsidR="001533D6" w:rsidRPr="001533D6" w:rsidRDefault="00000000" w:rsidP="001533D6">
      <w:pPr>
        <w:pStyle w:val="Paragraphedeliste"/>
        <w:numPr>
          <w:ilvl w:val="0"/>
          <w:numId w:val="8"/>
        </w:numPr>
        <w:spacing w:line="276" w:lineRule="auto"/>
        <w:jc w:val="both"/>
        <w:rPr>
          <w:rFonts w:ascii="Times New Roman" w:eastAsia="Times New Roman" w:hAnsi="Times New Roman" w:cs="Times New Roman"/>
          <w:sz w:val="24"/>
          <w:szCs w:val="24"/>
        </w:rPr>
      </w:pPr>
      <w:r w:rsidRPr="001533D6">
        <w:rPr>
          <w:rFonts w:ascii="Times New Roman" w:eastAsia="Times New Roman" w:hAnsi="Times New Roman" w:cs="Times New Roman"/>
          <w:sz w:val="24"/>
          <w:szCs w:val="24"/>
        </w:rPr>
        <w:t xml:space="preserve">Donner une définition claire </w:t>
      </w:r>
      <w:r w:rsidR="001F2AAC" w:rsidRPr="001533D6">
        <w:rPr>
          <w:rFonts w:ascii="Times New Roman" w:eastAsia="Times New Roman" w:hAnsi="Times New Roman" w:cs="Times New Roman"/>
          <w:sz w:val="24"/>
          <w:szCs w:val="24"/>
        </w:rPr>
        <w:t>à</w:t>
      </w:r>
      <w:r w:rsidRPr="001533D6">
        <w:rPr>
          <w:rFonts w:ascii="Times New Roman" w:eastAsia="Times New Roman" w:hAnsi="Times New Roman" w:cs="Times New Roman"/>
          <w:sz w:val="24"/>
          <w:szCs w:val="24"/>
        </w:rPr>
        <w:t xml:space="preserve"> la notion de discrimination dans l</w:t>
      </w:r>
      <w:r w:rsidR="001533D6" w:rsidRPr="001533D6">
        <w:rPr>
          <w:rFonts w:ascii="Times New Roman" w:eastAsia="Times New Roman" w:hAnsi="Times New Roman" w:cs="Times New Roman"/>
          <w:sz w:val="24"/>
          <w:szCs w:val="24"/>
        </w:rPr>
        <w:t>a</w:t>
      </w:r>
      <w:r w:rsidRPr="001533D6">
        <w:rPr>
          <w:rFonts w:ascii="Times New Roman" w:eastAsia="Times New Roman" w:hAnsi="Times New Roman" w:cs="Times New Roman"/>
          <w:sz w:val="24"/>
          <w:szCs w:val="24"/>
        </w:rPr>
        <w:t xml:space="preserve"> législation béninoise afin de l</w:t>
      </w:r>
      <w:r w:rsidR="001533D6" w:rsidRPr="001533D6">
        <w:rPr>
          <w:rFonts w:ascii="Times New Roman" w:eastAsia="Times New Roman" w:hAnsi="Times New Roman" w:cs="Times New Roman"/>
          <w:sz w:val="24"/>
          <w:szCs w:val="24"/>
        </w:rPr>
        <w:t>a</w:t>
      </w:r>
      <w:r w:rsidRPr="001533D6">
        <w:rPr>
          <w:rFonts w:ascii="Times New Roman" w:eastAsia="Times New Roman" w:hAnsi="Times New Roman" w:cs="Times New Roman"/>
          <w:sz w:val="24"/>
          <w:szCs w:val="24"/>
        </w:rPr>
        <w:t xml:space="preserve"> rendre conforme à l’article 1</w:t>
      </w:r>
      <w:r w:rsidRPr="001533D6">
        <w:rPr>
          <w:rFonts w:ascii="Times New Roman" w:eastAsia="Times New Roman" w:hAnsi="Times New Roman" w:cs="Times New Roman"/>
          <w:sz w:val="24"/>
          <w:szCs w:val="24"/>
          <w:vertAlign w:val="superscript"/>
        </w:rPr>
        <w:t xml:space="preserve">er </w:t>
      </w:r>
      <w:r w:rsidRPr="001533D6">
        <w:rPr>
          <w:rFonts w:ascii="Times New Roman" w:eastAsia="Times New Roman" w:hAnsi="Times New Roman" w:cs="Times New Roman"/>
          <w:sz w:val="24"/>
          <w:szCs w:val="24"/>
        </w:rPr>
        <w:t>de la Convention sur l'élimination de toutes les formes de discrimination à l'égard des femmes</w:t>
      </w:r>
      <w:r>
        <w:rPr>
          <w:vertAlign w:val="superscript"/>
        </w:rPr>
        <w:footnoteReference w:id="8"/>
      </w:r>
      <w:r w:rsidRPr="001533D6">
        <w:rPr>
          <w:rFonts w:ascii="Times New Roman" w:eastAsia="Times New Roman" w:hAnsi="Times New Roman" w:cs="Times New Roman"/>
          <w:sz w:val="24"/>
          <w:szCs w:val="24"/>
        </w:rPr>
        <w:t>.</w:t>
      </w:r>
    </w:p>
    <w:p w14:paraId="5C2F8D01" w14:textId="77777777" w:rsidR="001533D6" w:rsidRPr="001533D6" w:rsidRDefault="001533D6" w:rsidP="001533D6">
      <w:pPr>
        <w:pStyle w:val="Paragraphedeliste"/>
        <w:spacing w:line="276" w:lineRule="auto"/>
        <w:jc w:val="both"/>
        <w:rPr>
          <w:rFonts w:ascii="Times New Roman" w:eastAsia="Times New Roman" w:hAnsi="Times New Roman" w:cs="Times New Roman"/>
          <w:sz w:val="24"/>
          <w:szCs w:val="24"/>
        </w:rPr>
      </w:pPr>
    </w:p>
    <w:p w14:paraId="6991FCA5" w14:textId="77777777" w:rsidR="001533D6" w:rsidRDefault="001533D6" w:rsidP="001533D6">
      <w:pPr>
        <w:pStyle w:val="Paragraphedeliste"/>
        <w:spacing w:line="276" w:lineRule="auto"/>
        <w:jc w:val="both"/>
        <w:rPr>
          <w:rFonts w:ascii="Times New Roman" w:eastAsia="Times New Roman" w:hAnsi="Times New Roman" w:cs="Times New Roman"/>
          <w:sz w:val="24"/>
          <w:szCs w:val="24"/>
        </w:rPr>
      </w:pPr>
    </w:p>
    <w:p w14:paraId="38464C21" w14:textId="728814C7" w:rsidR="009A63EB" w:rsidRPr="001533D6" w:rsidRDefault="00000000" w:rsidP="001533D6">
      <w:pPr>
        <w:pStyle w:val="Paragraphedeliste"/>
        <w:numPr>
          <w:ilvl w:val="0"/>
          <w:numId w:val="8"/>
        </w:numPr>
        <w:spacing w:line="276" w:lineRule="auto"/>
        <w:jc w:val="both"/>
        <w:rPr>
          <w:rFonts w:ascii="Times New Roman" w:eastAsia="Times New Roman" w:hAnsi="Times New Roman" w:cs="Times New Roman"/>
          <w:sz w:val="24"/>
          <w:szCs w:val="24"/>
        </w:rPr>
      </w:pPr>
      <w:r w:rsidRPr="001533D6">
        <w:rPr>
          <w:rFonts w:ascii="Times New Roman" w:eastAsia="Times New Roman" w:hAnsi="Times New Roman" w:cs="Times New Roman"/>
          <w:sz w:val="24"/>
          <w:szCs w:val="24"/>
        </w:rPr>
        <w:lastRenderedPageBreak/>
        <w:t>Vulgariser la Convention sur l'élimination de toutes les formes de discrimination à l'égard des femmes et les autres textes législatifs concernant les droits des femmes conformément à l’article 40 de la constitution béninoise</w:t>
      </w:r>
      <w:r>
        <w:rPr>
          <w:vertAlign w:val="superscript"/>
        </w:rPr>
        <w:footnoteReference w:id="9"/>
      </w:r>
      <w:r w:rsidRPr="001533D6">
        <w:rPr>
          <w:rFonts w:ascii="Times New Roman" w:eastAsia="Times New Roman" w:hAnsi="Times New Roman" w:cs="Times New Roman"/>
          <w:sz w:val="24"/>
          <w:szCs w:val="24"/>
        </w:rPr>
        <w:t xml:space="preserve">. </w:t>
      </w:r>
    </w:p>
    <w:p w14:paraId="7BE35205" w14:textId="77777777" w:rsidR="009A63EB" w:rsidRDefault="009A63EB">
      <w:pPr>
        <w:spacing w:line="276" w:lineRule="auto"/>
        <w:jc w:val="both"/>
        <w:rPr>
          <w:rFonts w:ascii="Times New Roman" w:eastAsia="Times New Roman" w:hAnsi="Times New Roman" w:cs="Times New Roman"/>
          <w:sz w:val="24"/>
          <w:szCs w:val="24"/>
        </w:rPr>
      </w:pPr>
    </w:p>
    <w:p w14:paraId="5ACE92C9" w14:textId="77777777" w:rsidR="009A63EB" w:rsidRDefault="00000000">
      <w:pPr>
        <w:pStyle w:val="Titre2"/>
        <w:numPr>
          <w:ilvl w:val="1"/>
          <w:numId w:val="7"/>
        </w:numPr>
        <w:rPr>
          <w:rFonts w:ascii="Overlock" w:eastAsia="Overlock" w:hAnsi="Overlock" w:cs="Overlock"/>
          <w:b/>
          <w:color w:val="000000"/>
          <w:sz w:val="24"/>
          <w:szCs w:val="24"/>
        </w:rPr>
      </w:pPr>
      <w:bookmarkStart w:id="3" w:name="_3znysh7" w:colFirst="0" w:colLast="0"/>
      <w:bookmarkEnd w:id="3"/>
      <w:r>
        <w:rPr>
          <w:rFonts w:ascii="Overlock" w:eastAsia="Overlock" w:hAnsi="Overlock" w:cs="Overlock"/>
          <w:b/>
          <w:color w:val="000000"/>
          <w:sz w:val="24"/>
          <w:szCs w:val="24"/>
        </w:rPr>
        <w:t xml:space="preserve">Cadre institutionnel de mise en œuvre de la Convention </w:t>
      </w:r>
    </w:p>
    <w:p w14:paraId="41E2045B" w14:textId="77777777" w:rsidR="009A63EB" w:rsidRDefault="009A63EB"/>
    <w:p w14:paraId="16CE0103" w14:textId="77777777" w:rsidR="009A63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Bénin dispose de plusieurs mécanismes de protection des droits humains des femmes qui ont été renforcés ces dernières années. En effet, pour la mise en œuvre effective de la convention, le Bénin a mis en place plusieurs institutions. Il s’agit de : la Cour constitutionnelle ; les Cours et tribunaux</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de justice ; la Cour de Répression des Infractions Economiques et du Terrorismes (CRIET) ; les commissariats de police ; la Commission Béninoise des Droits de l’Homme (CBDH) ; l’Institut National de la Femme (INF).</w:t>
      </w:r>
    </w:p>
    <w:p w14:paraId="78097D6B" w14:textId="77777777" w:rsidR="009A63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soutien à ces institutions, le Bénin dispose également de Centres Intégrés de Prise en Charge des Victimes de Violences basées sur le Genre (CIPVVBG) situé à Cotonou, Abomey et Parakou, ainsi que de Centres de Promotion sociale (CPS) répartis dans tout le pays. Cependant, ces structures nécessitent des réfections importantes et une formation continue de leurs agents pour améliorer la qualité de l’assistance offerte aux victimes. Le Bénin dispose aussi d’un Conseil National de Promotion de l’Équité et l’Égalité du Genre (CNPEEG)</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w:t>
      </w:r>
    </w:p>
    <w:p w14:paraId="1F1D6DF4" w14:textId="63B937A2" w:rsidR="009A63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CBDH, avec un mandat général et transversal, œuvre pour le respect du droit de ne pas faire l’objet de discrimination, tandis que l’INF se concentre spécifiquement sur la protection des droits des femmes. L'une des dimensions essentielles de leur</w:t>
      </w:r>
      <w:r w:rsidR="001533D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intervention</w:t>
      </w:r>
      <w:r w:rsidR="001533D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consiste à recevoir et traiter les plaintes des victimes, à les orienter vers les juridictions compétentes et à les accompagner tout au long des procédures judiciaires. Cette approche intégrée permet la mise en place de recours effectifs pour les femmes victimes de violations de leurs droits, répondant ainsi aux exigences de l’article 2 (c) de la Convention sur l'élimination de toutes les formes de discrimination à l'égard des femmes (CEDEF).</w:t>
      </w:r>
    </w:p>
    <w:p w14:paraId="470FFBB0" w14:textId="7279D11B" w:rsidR="009A63E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Cependant, de nombreuses personnes dénoncent la politisation de ces deux institutions à cause de l’absence d’autonomie financière</w:t>
      </w:r>
      <w:r w:rsidR="001533D6">
        <w:rPr>
          <w:rFonts w:ascii="Times New Roman" w:eastAsia="Times New Roman" w:hAnsi="Times New Roman" w:cs="Times New Roman"/>
          <w:sz w:val="24"/>
          <w:szCs w:val="24"/>
        </w:rPr>
        <w:t xml:space="preserve"> notamment</w:t>
      </w:r>
      <w:r>
        <w:rPr>
          <w:rFonts w:ascii="Times New Roman" w:eastAsia="Times New Roman" w:hAnsi="Times New Roman" w:cs="Times New Roman"/>
          <w:sz w:val="24"/>
          <w:szCs w:val="24"/>
        </w:rPr>
        <w:t>. L’INF est rattaché à la présidence et la présidence de son conseil d’administration est assurée par le Secrétaire général de la Présidence de la République, </w:t>
      </w:r>
      <w:r>
        <w:rPr>
          <w:rFonts w:ascii="Times New Roman" w:eastAsia="Times New Roman" w:hAnsi="Times New Roman" w:cs="Times New Roman"/>
          <w:b/>
          <w:sz w:val="24"/>
          <w:szCs w:val="24"/>
        </w:rPr>
        <w:t>Pascal Irénée Koupaki</w:t>
      </w:r>
      <w:r>
        <w:rPr>
          <w:rFonts w:ascii="Times New Roman" w:eastAsia="Times New Roman" w:hAnsi="Times New Roman" w:cs="Times New Roman"/>
          <w:sz w:val="24"/>
          <w:szCs w:val="24"/>
        </w:rPr>
        <w:t>. La nouvelle loi sur la CBDH n’intègre plus de façon précise et claire un quota pour la représentation de la femme au sein des commissaires.</w:t>
      </w:r>
    </w:p>
    <w:p w14:paraId="4B3764CE" w14:textId="274133E2" w:rsidR="009A63EB" w:rsidRDefault="00000000" w:rsidP="001533D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Cour de Répression des Infractions Économiques et du Terrorisme (CRIET) a vu son champ de compétence élargi grâce à la loi n°2021-11 du 20 décembre 2021, qui introduit des dispositions spécifiques pour la répression des infractions commises à raison du sexe et la </w:t>
      </w:r>
      <w:r>
        <w:rPr>
          <w:rFonts w:ascii="Times New Roman" w:eastAsia="Times New Roman" w:hAnsi="Times New Roman" w:cs="Times New Roman"/>
          <w:sz w:val="24"/>
          <w:szCs w:val="24"/>
        </w:rPr>
        <w:lastRenderedPageBreak/>
        <w:t>protection de la femme. Cette évolution normative confère à la CRIET un rôle important dans la lutte contre les violences fondées sur le genre, en lui permettant de juger des infractions qui touchent spécifiquement les femmes.</w:t>
      </w:r>
    </w:p>
    <w:p w14:paraId="272312D2" w14:textId="77777777" w:rsidR="009A63EB" w:rsidRDefault="009A63EB">
      <w:pPr>
        <w:spacing w:line="276" w:lineRule="auto"/>
        <w:jc w:val="both"/>
        <w:rPr>
          <w:rFonts w:ascii="Times New Roman" w:eastAsia="Times New Roman" w:hAnsi="Times New Roman" w:cs="Times New Roman"/>
          <w:sz w:val="24"/>
          <w:szCs w:val="24"/>
        </w:rPr>
      </w:pPr>
    </w:p>
    <w:p w14:paraId="0795CFEB" w14:textId="77777777" w:rsidR="009A63EB" w:rsidRDefault="00000000">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PRÉSENTATION ET ANALYSE DE LA SITUATION DES DROITS HUMAINS DES FEMMES EN RAPPORT AVEC LA CONVENTION</w:t>
      </w:r>
    </w:p>
    <w:p w14:paraId="195624BE" w14:textId="77777777" w:rsidR="009A63EB" w:rsidRDefault="009A63EB">
      <w:pPr>
        <w:spacing w:after="0" w:line="276" w:lineRule="auto"/>
        <w:ind w:left="360"/>
        <w:jc w:val="both"/>
        <w:rPr>
          <w:rFonts w:ascii="Times New Roman" w:eastAsia="Times New Roman" w:hAnsi="Times New Roman" w:cs="Times New Roman"/>
          <w:sz w:val="24"/>
          <w:szCs w:val="24"/>
        </w:rPr>
      </w:pPr>
    </w:p>
    <w:p w14:paraId="18CC539C" w14:textId="77777777" w:rsidR="009A63EB" w:rsidRDefault="009A63EB">
      <w:pPr>
        <w:spacing w:line="276" w:lineRule="auto"/>
        <w:ind w:left="360"/>
        <w:jc w:val="both"/>
        <w:rPr>
          <w:rFonts w:ascii="Times New Roman" w:eastAsia="Times New Roman" w:hAnsi="Times New Roman" w:cs="Times New Roman"/>
          <w:sz w:val="24"/>
          <w:szCs w:val="24"/>
        </w:rPr>
      </w:pPr>
    </w:p>
    <w:p w14:paraId="71B03F31" w14:textId="77777777" w:rsidR="009A63EB" w:rsidRDefault="00000000">
      <w:pPr>
        <w:numPr>
          <w:ilvl w:val="0"/>
          <w:numId w:val="4"/>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Droit d’accès à la justice </w:t>
      </w:r>
    </w:p>
    <w:p w14:paraId="11752B7F" w14:textId="77777777" w:rsidR="009A63EB" w:rsidRDefault="009A63EB">
      <w:pPr>
        <w:spacing w:after="0" w:line="276" w:lineRule="auto"/>
        <w:ind w:left="360"/>
        <w:jc w:val="both"/>
        <w:rPr>
          <w:rFonts w:ascii="Times New Roman" w:eastAsia="Times New Roman" w:hAnsi="Times New Roman" w:cs="Times New Roman"/>
          <w:sz w:val="24"/>
          <w:szCs w:val="24"/>
        </w:rPr>
      </w:pPr>
    </w:p>
    <w:p w14:paraId="571261CE" w14:textId="77777777" w:rsidR="009A63EB"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Malgré les avancées notables sur le plan institutionnel et législatif, des défis subsistent, notamment en matière de sensibilisation et d’information des victimes sur l’existence et l’accessibilité des mécanismes de protection de leurs droits. En outre, l’efficacité de la gestion judiciaire des affaires relevant de la loi spéciale sur la répression des infractions commises à raison du sexe reste un enjeu majeur. La compétence exclusive de la CRIET pose un problème d’accessibilité pour les victimes, tant sur le plan géographique qu’économique, limitant ainsi la portée de cette juridiction spéciale.</w:t>
      </w:r>
    </w:p>
    <w:p w14:paraId="773EFE4A" w14:textId="77777777" w:rsidR="009A63EB" w:rsidRDefault="009A63EB">
      <w:pPr>
        <w:spacing w:after="0" w:line="276" w:lineRule="auto"/>
        <w:jc w:val="both"/>
        <w:rPr>
          <w:rFonts w:ascii="Times New Roman" w:eastAsia="Times New Roman" w:hAnsi="Times New Roman" w:cs="Times New Roman"/>
          <w:sz w:val="24"/>
          <w:szCs w:val="24"/>
        </w:rPr>
      </w:pPr>
    </w:p>
    <w:p w14:paraId="46AE50A6" w14:textId="7334FD3F"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Bénin dispose de plusieurs cours et tribunaux, plusieurs tribunaux ont été crée</w:t>
      </w:r>
      <w:r w:rsidR="001533D6">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et rendu fonctionnel</w:t>
      </w:r>
      <w:r w:rsidR="001533D6">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ces dernières années.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Cependant, l'accès à la justice reste entravé par les coûts élevés associés aux procédures judiciaires, y compris les frais d'avocat, les coûts des actes de procédure, et les frais liés aux déplacements vers les juridictions. Pour beaucoup de femmes, en particulier celles vivant dans des zones rurales ou en situation de précarité économique, ces coûts sont prohibitifs. Par exemple, les femmes victimes de violences domestiques doivent souvent choisir entre engager des poursuites judiciaires ou subvenir aux besoins essentiels de leur famille, ce qui dissuade plusieurs d'entre elles de faire appel à la justice.</w:t>
      </w:r>
    </w:p>
    <w:p w14:paraId="2858BC35"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Plusieurs femmes dénoncent la lenteur des procédures judiciaires. Cette lenteur décourage les victimes de poursuivre leurs plaintes jusqu'au bout. Par exemple, dans les affaires de violences basées sur le genre, il n'est pas rare que les décisions prennent plusieurs années à cause de l’instruction des dossiers et des sessions criminelles qui ne sont pas réguliers. Cette situation, exposent les victimes à des pressions familiales et sociales pour abandonner leurs poursuites. Cette lenteur compromet également l’efficacité des mesures de protection qui pourrait être accordée en urgence. </w:t>
      </w:r>
    </w:p>
    <w:p w14:paraId="6F39172A" w14:textId="77777777" w:rsidR="009A63EB" w:rsidRDefault="0000000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Recommandations : </w:t>
      </w:r>
    </w:p>
    <w:p w14:paraId="7C3AA542" w14:textId="7E8AF2A0" w:rsidR="009A63EB" w:rsidRDefault="00000000">
      <w:pPr>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Mettre en place des dispositifs d’assistance juridique et financière pour les victimes de violences basées sur le genre</w:t>
      </w:r>
      <w:r w:rsidR="001533D6">
        <w:rPr>
          <w:rFonts w:ascii="Times New Roman" w:eastAsia="Times New Roman" w:hAnsi="Times New Roman" w:cs="Times New Roman"/>
          <w:color w:val="000000"/>
          <w:sz w:val="24"/>
          <w:szCs w:val="24"/>
        </w:rPr>
        <w:t> ;</w:t>
      </w:r>
    </w:p>
    <w:p w14:paraId="70E2D0AE" w14:textId="7DF0B3AA" w:rsidR="009A63EB" w:rsidRDefault="00000000">
      <w:pPr>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Accélérer les procédures judiciaires, en particulier pour les affaires de violences basées sur le genre</w:t>
      </w:r>
      <w:r w:rsidR="001533D6">
        <w:rPr>
          <w:rFonts w:ascii="Times New Roman" w:eastAsia="Times New Roman" w:hAnsi="Times New Roman" w:cs="Times New Roman"/>
          <w:color w:val="000000"/>
          <w:sz w:val="24"/>
          <w:szCs w:val="24"/>
        </w:rPr>
        <w:t> ;</w:t>
      </w:r>
    </w:p>
    <w:p w14:paraId="486C9F38" w14:textId="52E44555" w:rsidR="009A63EB" w:rsidRDefault="00000000">
      <w:pPr>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Établir des mesures de protection urgentes et systématiques pour les victimes tout au long du processus judiciaire</w:t>
      </w:r>
      <w:r w:rsidR="001533D6">
        <w:rPr>
          <w:rFonts w:ascii="Times New Roman" w:eastAsia="Times New Roman" w:hAnsi="Times New Roman" w:cs="Times New Roman"/>
          <w:color w:val="000000"/>
          <w:sz w:val="24"/>
          <w:szCs w:val="24"/>
        </w:rPr>
        <w:t>.</w:t>
      </w:r>
    </w:p>
    <w:p w14:paraId="0A24F280" w14:textId="77777777" w:rsidR="009A63EB" w:rsidRDefault="009A63EB">
      <w:pPr>
        <w:spacing w:line="276" w:lineRule="auto"/>
        <w:jc w:val="both"/>
        <w:rPr>
          <w:rFonts w:ascii="Times New Roman" w:eastAsia="Times New Roman" w:hAnsi="Times New Roman" w:cs="Times New Roman"/>
          <w:sz w:val="24"/>
          <w:szCs w:val="24"/>
        </w:rPr>
      </w:pPr>
    </w:p>
    <w:p w14:paraId="4677D318" w14:textId="77777777" w:rsidR="009A63EB" w:rsidRDefault="00000000" w:rsidP="001533D6">
      <w:pPr>
        <w:numPr>
          <w:ilvl w:val="0"/>
          <w:numId w:val="8"/>
        </w:numPr>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eastAsia="Times New Roman" w:hAnsi="Times New Roman" w:cs="Times New Roman"/>
          <w:b/>
          <w:color w:val="000000"/>
          <w:sz w:val="24"/>
          <w:szCs w:val="24"/>
        </w:rPr>
        <w:t xml:space="preserve">Le pouvoir économique des femmes </w:t>
      </w:r>
    </w:p>
    <w:p w14:paraId="7DEA1B34" w14:textId="77777777" w:rsidR="009A63EB" w:rsidRDefault="009A63EB">
      <w:pPr>
        <w:spacing w:line="276" w:lineRule="auto"/>
        <w:jc w:val="both"/>
        <w:rPr>
          <w:rFonts w:ascii="Times New Roman" w:eastAsia="Times New Roman" w:hAnsi="Times New Roman" w:cs="Times New Roman"/>
          <w:sz w:val="24"/>
          <w:szCs w:val="24"/>
        </w:rPr>
      </w:pPr>
    </w:p>
    <w:p w14:paraId="192291C7"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Relativement au pouvoir économique des femmes, il est important de noter les efforts significatifs du gouvernement Bénin dans la réalisation d’un plein pouvoir économique pour les femmes. Les micros crédit « Alafia »</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la vision de modernisation des marchés, le renforcement de la justice foncière en vue d’une égalité des femmes dans l’accès aux terres, et d’autres projets, constituent, a priori, des initiatives salutaires.  Par ailleurs, malgré les engagements du pays vis-à-vis de la Convention sur l'élimination de toutes les formes de discrimination à l'égard des femmes (CEDEF) et la volonté observée chez les autorités, les femmes, qui jouent un rôle majeur dans l'économie informelle, sont souvent les premières victimes de certaines politiques publiques problématiques. </w:t>
      </w:r>
    </w:p>
    <w:p w14:paraId="5E3F4ABF"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exemple, dans le cadre des opérations de déguerpissement dans les villes observées ces dernières années dans plusieurs régions du pays, les femmes sont les premières à être privés de leurs activités habituelles. Le déguerpissement des petits coins de revente, appelée, « Gbadahi »</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en langue « Fon »</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qui naissent dans les quartiers pour répondre aux besoins des populations de proximité, lorsqu’ils sont détruits, entraine une rupture du pouvoir économique de survie dont disposent ces femmes. </w:t>
      </w:r>
    </w:p>
    <w:p w14:paraId="3D2357DB"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2023, Amnesty International a publié un rapport intitulé «Chassés pour planter des cocotiers, expulsions forcées pour le tourisme et l'aménagement du territoire au Bénin »</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Selon ce rapport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il ne fait aucun doute que ces déguerpissements aient un impact direct sur les femmes, majoritairement impliquées dans le petit commerce, l’agriculture de subsistance ou la pêche. Les mesures, prises au nom de l'assainissement ou du développement, exacerbent leur précarité. En plus de perdre leur source de revenus, elles se retrouvent confrontées à des déplacements forcés qui les isolent davantage des centres économiques et sociaux.</w:t>
      </w:r>
    </w:p>
    <w:p w14:paraId="0FEE3791"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Aussi, le projet de déplacement du marché de Dantokpa</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qui est l’un des plus grands centres d’activités économiques pour les femmes béninoises, représente également une menace pour </w:t>
      </w:r>
      <w:r>
        <w:rPr>
          <w:rFonts w:ascii="Times New Roman" w:eastAsia="Times New Roman" w:hAnsi="Times New Roman" w:cs="Times New Roman"/>
          <w:sz w:val="24"/>
          <w:szCs w:val="24"/>
        </w:rPr>
        <w:lastRenderedPageBreak/>
        <w:t xml:space="preserve">leur pouvoir économique. Ce marché, véritable poumon économique pour de nombreuses femmes, est un espace où elles ont bâti leur autonomie financière. Aujourd’hui, ce grand marché est en cours de déplacement. </w:t>
      </w:r>
    </w:p>
    <w:p w14:paraId="40D66255"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ailleurs, l'accès au microcrédit, qui pourrait permettre aux femmes de relancer ou développer leurs activités économiques, reste limité. Les critères d'octroi sont souvent trop stricts pour les femmes travaillant dans l’informel ou ne disposant pas de garanties foncières. Cela aggrave leur marginalisation économique et limite leur capacité à se rétablir après des chocs économiques comme les déguerpissements. Pour celles qui arrivent à obtenir ce financement, « Les remboursements faits par certains bénéficiaires ou certaines femmes ne sont pas reversés dans les caisses du MCPP. Des détournements s’opèrent à certains niveaux et après ont dit que c’est les femmes qui n’ont pas remboursés et qui sont en impayés » </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pire, « Certaines femmes lorsqu’elles reçoivent les crédits, sont braquées sur le chemin de retour vers leurs maisons parce que le village sait qu’il y a eu déboursement et les femmes sont allées chercher des sous. Il n’y avait pas de discrétion. »</w:t>
      </w:r>
      <w:r>
        <w:rPr>
          <w:rFonts w:ascii="Times New Roman" w:eastAsia="Times New Roman" w:hAnsi="Times New Roman" w:cs="Times New Roman"/>
          <w:sz w:val="24"/>
          <w:szCs w:val="24"/>
          <w:vertAlign w:val="superscript"/>
        </w:rPr>
        <w:footnoteReference w:id="19"/>
      </w:r>
    </w:p>
    <w:p w14:paraId="7B873A9B"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cela s’ajoute les difficultés fiscales et l’inflation sans précédent créer depuis la fin de la COVID-19 par la cherté de la vie, avec les nombreux conflits bilatéraux entre le Bénin et certains de ces voisins.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0DE04373" w14:textId="77777777" w:rsidR="009A63E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Ces situations rendent difficile la construction d’un pouvoir économique solide pour les femmes au Bénin. </w:t>
      </w:r>
    </w:p>
    <w:p w14:paraId="6F883F0F" w14:textId="704134E3" w:rsidR="009A63EB" w:rsidRDefault="001533D6">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Recommandations</w:t>
      </w:r>
      <w:r w:rsidR="00000000">
        <w:rPr>
          <w:rFonts w:ascii="Times New Roman" w:eastAsia="Times New Roman" w:hAnsi="Times New Roman" w:cs="Times New Roman"/>
          <w:b/>
          <w:sz w:val="24"/>
          <w:szCs w:val="24"/>
        </w:rPr>
        <w:t xml:space="preserve"> : </w:t>
      </w:r>
    </w:p>
    <w:p w14:paraId="58E809B3" w14:textId="79BC4FAD" w:rsidR="009A63EB" w:rsidRDefault="00000000">
      <w:pPr>
        <w:numPr>
          <w:ilvl w:val="0"/>
          <w:numId w:val="2"/>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Elaborer une politique nationale favorisant l’investissement dans le renforcement du pouvoir économique des femmes au Bénin</w:t>
      </w:r>
      <w:r w:rsidR="001533D6">
        <w:rPr>
          <w:rFonts w:ascii="Times New Roman" w:eastAsia="Times New Roman" w:hAnsi="Times New Roman" w:cs="Times New Roman"/>
          <w:color w:val="000000"/>
          <w:sz w:val="24"/>
          <w:szCs w:val="24"/>
        </w:rPr>
        <w:t> ;</w:t>
      </w:r>
    </w:p>
    <w:p w14:paraId="58C8FD8E" w14:textId="71F7EF6B" w:rsidR="009A63EB" w:rsidRDefault="00000000">
      <w:pPr>
        <w:numPr>
          <w:ilvl w:val="0"/>
          <w:numId w:val="2"/>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Promouvoir l’éducation financière et l’accès aux ressources numériques pour les femmes rurales</w:t>
      </w:r>
      <w:r w:rsidR="001533D6">
        <w:rPr>
          <w:rFonts w:ascii="Times New Roman" w:eastAsia="Times New Roman" w:hAnsi="Times New Roman" w:cs="Times New Roman"/>
          <w:color w:val="000000"/>
          <w:sz w:val="24"/>
          <w:szCs w:val="24"/>
        </w:rPr>
        <w:t> ;</w:t>
      </w:r>
    </w:p>
    <w:p w14:paraId="31B40F26" w14:textId="35100F5C" w:rsidR="009A63EB" w:rsidRDefault="00000000">
      <w:pPr>
        <w:numPr>
          <w:ilvl w:val="0"/>
          <w:numId w:val="2"/>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Mettre en place un cadre fiscal incitatif pour les entreprises dirigées par des femmes, en mettant à jour les outils programmatiques liés à l’institutionnalisation du genre dans le pays</w:t>
      </w:r>
      <w:r w:rsidR="001533D6">
        <w:rPr>
          <w:rFonts w:ascii="Times New Roman" w:eastAsia="Times New Roman" w:hAnsi="Times New Roman" w:cs="Times New Roman"/>
          <w:color w:val="000000"/>
          <w:sz w:val="24"/>
          <w:szCs w:val="24"/>
        </w:rPr>
        <w:t>.</w:t>
      </w:r>
    </w:p>
    <w:p w14:paraId="63B5E11F" w14:textId="77777777" w:rsidR="009A63EB" w:rsidRDefault="009A63EB">
      <w:pPr>
        <w:spacing w:line="276" w:lineRule="auto"/>
        <w:jc w:val="both"/>
        <w:rPr>
          <w:rFonts w:ascii="Times New Roman" w:eastAsia="Times New Roman" w:hAnsi="Times New Roman" w:cs="Times New Roman"/>
          <w:sz w:val="24"/>
          <w:szCs w:val="24"/>
        </w:rPr>
      </w:pPr>
    </w:p>
    <w:p w14:paraId="538A4491" w14:textId="77777777" w:rsidR="009A63EB" w:rsidRDefault="009A63EB">
      <w:pPr>
        <w:spacing w:line="276" w:lineRule="auto"/>
        <w:jc w:val="both"/>
        <w:rPr>
          <w:rFonts w:ascii="Times New Roman" w:eastAsia="Times New Roman" w:hAnsi="Times New Roman" w:cs="Times New Roman"/>
          <w:sz w:val="24"/>
          <w:szCs w:val="24"/>
        </w:rPr>
      </w:pPr>
    </w:p>
    <w:p w14:paraId="7A755480" w14:textId="77777777" w:rsidR="009A63EB" w:rsidRDefault="009A63EB">
      <w:pPr>
        <w:spacing w:line="276" w:lineRule="auto"/>
        <w:jc w:val="both"/>
        <w:rPr>
          <w:rFonts w:ascii="Times New Roman" w:eastAsia="Times New Roman" w:hAnsi="Times New Roman" w:cs="Times New Roman"/>
          <w:sz w:val="24"/>
          <w:szCs w:val="24"/>
        </w:rPr>
      </w:pPr>
    </w:p>
    <w:p w14:paraId="0237ACF0" w14:textId="77777777" w:rsidR="009A63EB" w:rsidRDefault="009A63EB">
      <w:pPr>
        <w:spacing w:line="276" w:lineRule="auto"/>
        <w:jc w:val="both"/>
        <w:rPr>
          <w:rFonts w:ascii="Times New Roman" w:eastAsia="Times New Roman" w:hAnsi="Times New Roman" w:cs="Times New Roman"/>
          <w:sz w:val="24"/>
          <w:szCs w:val="24"/>
        </w:rPr>
      </w:pPr>
    </w:p>
    <w:p w14:paraId="2CF21F2C" w14:textId="77777777" w:rsidR="009A63EB" w:rsidRDefault="009A63EB"/>
    <w:sectPr w:rsidR="009A63EB">
      <w:headerReference w:type="default" r:id="rId7"/>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516AD" w14:textId="77777777" w:rsidR="00B01B1D" w:rsidRDefault="00B01B1D">
      <w:pPr>
        <w:spacing w:after="0" w:line="240" w:lineRule="auto"/>
      </w:pPr>
      <w:r>
        <w:separator/>
      </w:r>
    </w:p>
  </w:endnote>
  <w:endnote w:type="continuationSeparator" w:id="0">
    <w:p w14:paraId="452DD356" w14:textId="77777777" w:rsidR="00B01B1D" w:rsidRDefault="00B01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sarivo">
    <w:altName w:val="Calibri"/>
    <w:charset w:val="00"/>
    <w:family w:val="auto"/>
    <w:pitch w:val="default"/>
  </w:font>
  <w:font w:name="Overlock">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7AEE2" w14:textId="77777777" w:rsidR="00B01B1D" w:rsidRDefault="00B01B1D">
      <w:pPr>
        <w:spacing w:after="0" w:line="240" w:lineRule="auto"/>
      </w:pPr>
      <w:r>
        <w:separator/>
      </w:r>
    </w:p>
  </w:footnote>
  <w:footnote w:type="continuationSeparator" w:id="0">
    <w:p w14:paraId="126BA9E8" w14:textId="77777777" w:rsidR="00B01B1D" w:rsidRDefault="00B01B1D">
      <w:pPr>
        <w:spacing w:after="0" w:line="240" w:lineRule="auto"/>
      </w:pPr>
      <w:r>
        <w:continuationSeparator/>
      </w:r>
    </w:p>
  </w:footnote>
  <w:footnote w:id="1">
    <w:p w14:paraId="5DF04409"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Le siège social de l’organisation est fixé au Bénin, dans le Département du Littoral, dans la Commune de Cotonou, au 12e Arrondissement quartier AKOGBATO dans la cité Glèglè, Carré N° 415, Maison BABAYEDJOU, Boîte postale : 03 BP4215 Cotonou, Numéro : +229 96114261, Email : </w:t>
      </w:r>
      <w:hyperlink r:id="rId1">
        <w:r>
          <w:rPr>
            <w:color w:val="0000FF"/>
            <w:sz w:val="20"/>
            <w:szCs w:val="20"/>
            <w:u w:val="single"/>
          </w:rPr>
          <w:t>cfmpdh@gmail.com</w:t>
        </w:r>
      </w:hyperlink>
      <w:r>
        <w:rPr>
          <w:color w:val="000000"/>
          <w:sz w:val="20"/>
          <w:szCs w:val="20"/>
        </w:rPr>
        <w:t xml:space="preserve"> </w:t>
      </w:r>
    </w:p>
    <w:p w14:paraId="656EF079" w14:textId="77777777" w:rsidR="009A63EB" w:rsidRDefault="009A63EB">
      <w:pPr>
        <w:pBdr>
          <w:top w:val="nil"/>
          <w:left w:val="nil"/>
          <w:bottom w:val="nil"/>
          <w:right w:val="nil"/>
          <w:between w:val="nil"/>
        </w:pBdr>
        <w:spacing w:after="0" w:line="240" w:lineRule="auto"/>
        <w:rPr>
          <w:color w:val="000000"/>
          <w:sz w:val="20"/>
          <w:szCs w:val="20"/>
        </w:rPr>
      </w:pPr>
    </w:p>
  </w:footnote>
  <w:footnote w:id="2">
    <w:p w14:paraId="6C0C3EAD" w14:textId="77777777" w:rsidR="009A63EB"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Créé en 2018, le CFMPDH est l’une des rares organisations de la société civile béninoise spécialisée dans la formation dans les mécanismes de promotion et de protection des droits humains. Il renforce les capacités des jeunes, des femmes et des organisations sur les problématiques des droits humains et met à la disposition de ceux-ci et du public en général des ressources documentaires de qualité. Aussi, mène-t-il des études, des recherches dans ledit domaine et en faire une large diffusion. A travers le contentieux stratégique devant les mécanismes de protection des droits humains, aussi bien nationaux, régionaux qu’internationaux, il participe au rayonnement des droits humains.</w:t>
      </w:r>
    </w:p>
    <w:p w14:paraId="2CCD6231" w14:textId="77777777" w:rsidR="009A63EB" w:rsidRDefault="009A63EB">
      <w:pPr>
        <w:pBdr>
          <w:top w:val="nil"/>
          <w:left w:val="nil"/>
          <w:bottom w:val="nil"/>
          <w:right w:val="nil"/>
          <w:between w:val="nil"/>
        </w:pBdr>
        <w:spacing w:after="0" w:line="240" w:lineRule="auto"/>
        <w:jc w:val="both"/>
        <w:rPr>
          <w:color w:val="000000"/>
          <w:sz w:val="20"/>
          <w:szCs w:val="20"/>
        </w:rPr>
      </w:pPr>
    </w:p>
  </w:footnote>
  <w:footnote w:id="3">
    <w:p w14:paraId="5E3CC8A4" w14:textId="77777777" w:rsidR="009A63EB" w:rsidRDefault="00000000">
      <w:pPr>
        <w:jc w:val="both"/>
        <w:rPr>
          <w:sz w:val="20"/>
          <w:szCs w:val="20"/>
        </w:rPr>
      </w:pPr>
      <w:r>
        <w:rPr>
          <w:vertAlign w:val="superscript"/>
        </w:rPr>
        <w:footnoteRef/>
      </w:r>
      <w:r>
        <w:rPr>
          <w:sz w:val="20"/>
          <w:szCs w:val="20"/>
        </w:rPr>
        <w:t xml:space="preserve"> L’institut TONAFA est une Organisation Non Gouvernemental, citoyenne et civ tech destinée à former les jeunes à la non-violence tout en contribuant à l’inclusion des femmes en politique pour le développement durable et la paix. Son objectif est de Prévenir et de gérer tout type de conflits sociaux au bénin à travers des programmes de non-violence. Sa mission est d’œuvrer de manière continue pour promouvoir la paix, prévenir et gérer le cas échéant les conflits sociaux à travers une plateforme numérique de veille et de sensibilisation et initier des formations à l’endroit des jeunes et des femmes pour une participation active aux débats publics, l’inclusion en politique et l’apprentissage de l’usage des voies légales de recours en tant que citoyens. L’institut à travers ses programmes développe chez les jeunes surtout et les citoyens en général la culture de la communication non violente, la culture du dialogue et de la médiation des conflits.</w:t>
      </w:r>
    </w:p>
  </w:footnote>
  <w:footnote w:id="4">
    <w:p w14:paraId="5CEA296C" w14:textId="77777777" w:rsidR="009A63EB" w:rsidRDefault="00000000">
      <w:pPr>
        <w:jc w:val="both"/>
        <w:rPr>
          <w:rFonts w:ascii="Rosarivo" w:eastAsia="Rosarivo" w:hAnsi="Rosarivo" w:cs="Rosarivo"/>
          <w:sz w:val="20"/>
          <w:szCs w:val="20"/>
        </w:rPr>
      </w:pPr>
      <w:r>
        <w:rPr>
          <w:vertAlign w:val="superscript"/>
        </w:rPr>
        <w:footnoteRef/>
      </w:r>
      <w:r>
        <w:rPr>
          <w:sz w:val="20"/>
          <w:szCs w:val="20"/>
        </w:rPr>
        <w:t>Filles en Actions, un réseau féministe basé au Bénin a entrepris une tournée nationale pour évaluer avec plus de 300 filles, l’état des lieux des expériences des filles en matière de santé et hygiène menstruelle. Pour répondre à ces questions vitales, la tournée s’est étendue aux douze (12) départements du pays et a permis de rassembler au moins trente filles dans chaque département, permettant ainsi des espaces de discussion ouverts et informels pour traiter des questions de santé et d'hygiène menstruelle (SHM).</w:t>
      </w:r>
      <w:r>
        <w:rPr>
          <w:rFonts w:ascii="Rosarivo" w:eastAsia="Rosarivo" w:hAnsi="Rosarivo" w:cs="Rosarivo"/>
          <w:sz w:val="20"/>
          <w:szCs w:val="20"/>
        </w:rPr>
        <w:t xml:space="preserve"> </w:t>
      </w:r>
    </w:p>
    <w:p w14:paraId="1E43F904" w14:textId="77777777" w:rsidR="009A63EB" w:rsidRDefault="009A63EB">
      <w:pPr>
        <w:pBdr>
          <w:top w:val="nil"/>
          <w:left w:val="nil"/>
          <w:bottom w:val="nil"/>
          <w:right w:val="nil"/>
          <w:between w:val="nil"/>
        </w:pBdr>
        <w:spacing w:after="0" w:line="240" w:lineRule="auto"/>
        <w:rPr>
          <w:color w:val="000000"/>
          <w:sz w:val="20"/>
          <w:szCs w:val="20"/>
        </w:rPr>
      </w:pPr>
    </w:p>
  </w:footnote>
  <w:footnote w:id="5">
    <w:p w14:paraId="30B4CDB2" w14:textId="77777777" w:rsidR="009A63EB" w:rsidRDefault="00000000">
      <w:pPr>
        <w:shd w:val="clear" w:color="auto" w:fill="FFFFFF"/>
        <w:spacing w:after="0" w:line="240" w:lineRule="auto"/>
        <w:jc w:val="both"/>
        <w:rPr>
          <w:sz w:val="20"/>
          <w:szCs w:val="20"/>
        </w:rPr>
      </w:pPr>
      <w:r>
        <w:rPr>
          <w:vertAlign w:val="superscript"/>
        </w:rPr>
        <w:footnoteRef/>
      </w:r>
      <w:r>
        <w:rPr>
          <w:sz w:val="20"/>
          <w:szCs w:val="20"/>
        </w:rPr>
        <w:t xml:space="preserve"> </w:t>
      </w:r>
      <w:r>
        <w:rPr>
          <w:b/>
          <w:sz w:val="20"/>
          <w:szCs w:val="20"/>
        </w:rPr>
        <w:t>Article 26 :</w:t>
      </w:r>
      <w:r>
        <w:rPr>
          <w:sz w:val="20"/>
          <w:szCs w:val="20"/>
        </w:rPr>
        <w:t xml:space="preserve"> « L’Etat assure à tous l’égalité devant la loi, sans distinction d’origine, de race, de sexe, de religion, d’opinion politique ou de position sociale.</w:t>
      </w:r>
    </w:p>
    <w:p w14:paraId="2343E4D5" w14:textId="77777777" w:rsidR="009A63EB" w:rsidRDefault="00000000">
      <w:pPr>
        <w:rPr>
          <w:sz w:val="20"/>
          <w:szCs w:val="20"/>
        </w:rPr>
      </w:pPr>
      <w:r>
        <w:rPr>
          <w:sz w:val="20"/>
          <w:szCs w:val="20"/>
        </w:rPr>
        <w:t xml:space="preserve">L’homme et la femme sont égaux en droit. Toutefois, la loi peut fixer des dispositions spéciales d’amélioration de la représentation du peuple par les femmes. </w:t>
      </w:r>
      <w:r>
        <w:rPr>
          <w:b/>
          <w:sz w:val="20"/>
          <w:szCs w:val="20"/>
        </w:rPr>
        <w:t>» Article 3 :</w:t>
      </w:r>
      <w:r>
        <w:rPr>
          <w:sz w:val="20"/>
          <w:szCs w:val="20"/>
        </w:rPr>
        <w:t xml:space="preserve"> « …Toutes les personnes bénéficient d'une totale égalité devant la loi. Toutes les personnes ont droit à une égale protection de la loi. »</w:t>
      </w:r>
    </w:p>
  </w:footnote>
  <w:footnote w:id="6">
    <w:p w14:paraId="7EAE7792" w14:textId="77777777" w:rsidR="009A63EB" w:rsidRDefault="00000000">
      <w:pPr>
        <w:rPr>
          <w:sz w:val="20"/>
          <w:szCs w:val="20"/>
        </w:rPr>
      </w:pPr>
      <w:r>
        <w:rPr>
          <w:vertAlign w:val="superscript"/>
        </w:rPr>
        <w:footnoteRef/>
      </w:r>
      <w:r>
        <w:rPr>
          <w:sz w:val="20"/>
          <w:szCs w:val="20"/>
        </w:rPr>
        <w:t xml:space="preserve"> </w:t>
      </w:r>
      <w:r>
        <w:rPr>
          <w:b/>
          <w:sz w:val="20"/>
          <w:szCs w:val="20"/>
        </w:rPr>
        <w:t xml:space="preserve">Article 7 : Principe de non-discrimination : </w:t>
      </w:r>
      <w:r>
        <w:rPr>
          <w:sz w:val="20"/>
          <w:szCs w:val="20"/>
        </w:rPr>
        <w:t>« Tout enfant a le droit de jouir de tous les droits et libertés reconnus et garantis par la présente loi et a notamment droit à un traitement égal en matière de services, de biens ou de prestations, sans discrimination fondée sur la race, l'origine, le groupe ethnique, l'origine sociale ou nationale, le sexe, la langue, la religion, l'appartenance politique ou autre opinion, la fortune, la naissance, le handicap, la situation familiale ou autre statut… ».</w:t>
      </w:r>
    </w:p>
    <w:p w14:paraId="062E2516" w14:textId="77777777" w:rsidR="009A63EB" w:rsidRDefault="009A63EB">
      <w:pPr>
        <w:pBdr>
          <w:top w:val="nil"/>
          <w:left w:val="nil"/>
          <w:bottom w:val="nil"/>
          <w:right w:val="nil"/>
          <w:between w:val="nil"/>
        </w:pBdr>
        <w:spacing w:after="0" w:line="240" w:lineRule="auto"/>
        <w:rPr>
          <w:color w:val="000000"/>
          <w:sz w:val="20"/>
          <w:szCs w:val="20"/>
        </w:rPr>
      </w:pPr>
    </w:p>
  </w:footnote>
  <w:footnote w:id="7">
    <w:p w14:paraId="33517903" w14:textId="77777777" w:rsidR="009A63EB" w:rsidRDefault="00000000">
      <w:pPr>
        <w:rPr>
          <w:sz w:val="20"/>
          <w:szCs w:val="20"/>
        </w:rPr>
      </w:pPr>
      <w:r>
        <w:rPr>
          <w:vertAlign w:val="superscript"/>
        </w:rPr>
        <w:footnoteRef/>
      </w:r>
      <w:r>
        <w:rPr>
          <w:sz w:val="20"/>
          <w:szCs w:val="20"/>
        </w:rPr>
        <w:t xml:space="preserve"> </w:t>
      </w:r>
      <w:r>
        <w:rPr>
          <w:b/>
          <w:sz w:val="20"/>
          <w:szCs w:val="20"/>
        </w:rPr>
        <w:t>Article 1er</w:t>
      </w:r>
      <w:r>
        <w:rPr>
          <w:sz w:val="20"/>
          <w:szCs w:val="20"/>
        </w:rPr>
        <w:t> : « Toute personne humaine, sans distinction aucune notamment de race, de couleur, de sexe, de religion, de langue, d'opinion politique ou de toute autre opinion, d'origine nationale ou sociale, de fortune, de naissance ou de toute autre situation, est sujet de droit, de sa naissance à son décès ».</w:t>
      </w:r>
    </w:p>
  </w:footnote>
  <w:footnote w:id="8">
    <w:p w14:paraId="579C2E85"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b/>
          <w:color w:val="000000"/>
          <w:sz w:val="20"/>
          <w:szCs w:val="20"/>
        </w:rPr>
        <w:t>Article 1</w:t>
      </w:r>
      <w:r>
        <w:rPr>
          <w:b/>
          <w:color w:val="000000"/>
          <w:sz w:val="20"/>
          <w:szCs w:val="20"/>
          <w:vertAlign w:val="superscript"/>
        </w:rPr>
        <w:t>er</w:t>
      </w:r>
      <w:r>
        <w:rPr>
          <w:color w:val="000000"/>
          <w:sz w:val="20"/>
          <w:szCs w:val="20"/>
        </w:rPr>
        <w:t> : « 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14:paraId="1DB19AA1" w14:textId="77777777" w:rsidR="009A63EB" w:rsidRDefault="009A63EB">
      <w:pPr>
        <w:pBdr>
          <w:top w:val="nil"/>
          <w:left w:val="nil"/>
          <w:bottom w:val="nil"/>
          <w:right w:val="nil"/>
          <w:between w:val="nil"/>
        </w:pBdr>
        <w:spacing w:after="0" w:line="240" w:lineRule="auto"/>
        <w:rPr>
          <w:color w:val="000000"/>
          <w:sz w:val="20"/>
          <w:szCs w:val="20"/>
        </w:rPr>
      </w:pPr>
    </w:p>
  </w:footnote>
  <w:footnote w:id="9">
    <w:p w14:paraId="4185E50F"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b/>
          <w:color w:val="000000"/>
          <w:sz w:val="20"/>
          <w:szCs w:val="20"/>
        </w:rPr>
        <w:t>Article 40 :</w:t>
      </w:r>
      <w:r>
        <w:rPr>
          <w:color w:val="000000"/>
          <w:sz w:val="20"/>
          <w:szCs w:val="20"/>
        </w:rPr>
        <w:t xml:space="preserve"> « L’État a le devoir d’assurer la diffusion et l’enseignement de la Constitution, de la Déclaration Universelle des Droits de l’Homme de 1948, de la Charte Africaine des Droits de l’Homme et des Peuples de 1981 ainsi que de tous les instruments internationaux dûment ratifiés et relatifs aux Droits de l’Homme. L’État doit intégrer les droits de la personne humaine dans les programmes d’alphabétisation et d’enseignement aux différents cycles scolaires et universitaires et dans tous les programmes de formation des Forces Armées, des Forces de Sécurité Publique et Assimilés. L’État doit également assurer dans les langues nationales par tous les moyens de communication de masse, en particulier par la radiodiffusion et la télévision, la diffusion et l’enseignement de ces mêmes droits. »</w:t>
      </w:r>
    </w:p>
  </w:footnote>
  <w:footnote w:id="10">
    <w:p w14:paraId="48B150BB"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créé par décret n°2013-51 du 11 février 2013 portant création, attributions, organisation et fonctionnement du Conseil national de promotion de l’équité et l’égalité du genre.</w:t>
      </w:r>
    </w:p>
  </w:footnote>
  <w:footnote w:id="11">
    <w:p w14:paraId="5572FF6F"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
        <w:r>
          <w:rPr>
            <w:color w:val="0000FF"/>
            <w:sz w:val="20"/>
            <w:szCs w:val="20"/>
            <w:u w:val="single"/>
          </w:rPr>
          <w:t>https://justice.gouv.bj/cours-tribunaux/</w:t>
        </w:r>
      </w:hyperlink>
      <w:r>
        <w:rPr>
          <w:color w:val="000000"/>
          <w:sz w:val="20"/>
          <w:szCs w:val="20"/>
        </w:rPr>
        <w:t>, consulté le 20 aout 2024 à 9H50 minutes</w:t>
      </w:r>
    </w:p>
  </w:footnote>
  <w:footnote w:id="12">
    <w:p w14:paraId="37BE1593"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Nom d’un projet de micro-crédit du gouvernement </w:t>
      </w:r>
    </w:p>
  </w:footnote>
  <w:footnote w:id="13">
    <w:p w14:paraId="124E707D"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Marché du soir, en langue Fon </w:t>
      </w:r>
    </w:p>
  </w:footnote>
  <w:footnote w:id="14">
    <w:p w14:paraId="663E14D8"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Langue au Bénin </w:t>
      </w:r>
    </w:p>
  </w:footnote>
  <w:footnote w:id="15">
    <w:p w14:paraId="76B28D77"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
        <w:r>
          <w:rPr>
            <w:color w:val="0000FF"/>
            <w:sz w:val="20"/>
            <w:szCs w:val="20"/>
            <w:u w:val="single"/>
          </w:rPr>
          <w:t>https://www.amnesty.org/en/documents/afr14/7383/2023/fr/</w:t>
        </w:r>
      </w:hyperlink>
      <w:r>
        <w:rPr>
          <w:color w:val="000000"/>
          <w:sz w:val="20"/>
          <w:szCs w:val="20"/>
        </w:rPr>
        <w:t xml:space="preserve"> </w:t>
      </w:r>
    </w:p>
  </w:footnote>
  <w:footnote w:id="16">
    <w:p w14:paraId="3AE9F6C2"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 des femmes avaient construit elles-mêmes sur la côte, or ceux qui ont recensé ont refusé de recenser les femmes sous prétexte que ce sont les hommes qui construisent les maisons. Après des discussions avec les chefs d’arrondissement et de village, certaines ont finalement été ajoutées à la liste des personnes à dédommager »  </w:t>
      </w:r>
      <w:hyperlink r:id="rId4">
        <w:r>
          <w:rPr>
            <w:color w:val="0000FF"/>
            <w:sz w:val="20"/>
            <w:szCs w:val="20"/>
            <w:u w:val="single"/>
          </w:rPr>
          <w:t>https://www.amnesty.org/en/documents/afr14/7383/2023/fr/</w:t>
        </w:r>
      </w:hyperlink>
      <w:r>
        <w:rPr>
          <w:color w:val="000000"/>
          <w:sz w:val="20"/>
          <w:szCs w:val="20"/>
        </w:rPr>
        <w:t xml:space="preserve"> </w:t>
      </w:r>
    </w:p>
  </w:footnote>
  <w:footnote w:id="17">
    <w:p w14:paraId="3CAC32F0"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RFI, Le grand marché Dantokpa de Cotonou, la fin d'une époque, </w:t>
      </w:r>
      <w:hyperlink r:id="rId5">
        <w:r>
          <w:rPr>
            <w:color w:val="0000FF"/>
            <w:sz w:val="20"/>
            <w:szCs w:val="20"/>
            <w:u w:val="single"/>
          </w:rPr>
          <w:t>https://rfi.fr/fr/podcasts/afrique-%C3%A9conomie/20220725-le-grand-march%C3%A9-dantokpa-de-cotonou-la-fin-d-une-%C3%A9poque</w:t>
        </w:r>
      </w:hyperlink>
      <w:r>
        <w:rPr>
          <w:color w:val="000000"/>
          <w:sz w:val="20"/>
          <w:szCs w:val="20"/>
        </w:rPr>
        <w:t xml:space="preserve">  </w:t>
      </w:r>
    </w:p>
  </w:footnote>
  <w:footnote w:id="18">
    <w:p w14:paraId="352AFF73"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Examen national approfondi sur la mise en oeuvre du programme d’action de Beijing au Bénin, </w:t>
      </w:r>
      <w:hyperlink r:id="rId6">
        <w:r>
          <w:rPr>
            <w:color w:val="0000FF"/>
            <w:sz w:val="20"/>
            <w:szCs w:val="20"/>
            <w:u w:val="single"/>
          </w:rPr>
          <w:t>https://www.unwomen.org/sites/default/files/Headquarters/Attachments/Sections/CSW/64/National-reviews/Benin.pdf</w:t>
        </w:r>
      </w:hyperlink>
      <w:r>
        <w:rPr>
          <w:color w:val="000000"/>
          <w:sz w:val="20"/>
          <w:szCs w:val="20"/>
        </w:rPr>
        <w:t xml:space="preserve">, p. 77 </w:t>
      </w:r>
    </w:p>
  </w:footnote>
  <w:footnote w:id="19">
    <w:p w14:paraId="4D96A596"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Idem </w:t>
      </w:r>
    </w:p>
  </w:footnote>
  <w:footnote w:id="20">
    <w:p w14:paraId="275B37EC" w14:textId="77777777" w:rsidR="009A63EB"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7">
        <w:r>
          <w:rPr>
            <w:color w:val="0000FF"/>
            <w:sz w:val="20"/>
            <w:szCs w:val="20"/>
            <w:u w:val="single"/>
          </w:rPr>
          <w:t>https://french.ahram.org.eg/News/48135.aspx</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4962B" w14:textId="4952464F" w:rsidR="009A63EB" w:rsidRDefault="001F2AAC" w:rsidP="001F2AAC">
    <w:pPr>
      <w:pBdr>
        <w:top w:val="nil"/>
        <w:left w:val="nil"/>
        <w:bottom w:val="nil"/>
        <w:right w:val="nil"/>
        <w:between w:val="nil"/>
      </w:pBdr>
      <w:tabs>
        <w:tab w:val="center" w:pos="4536"/>
        <w:tab w:val="right" w:pos="9072"/>
        <w:tab w:val="left" w:pos="735"/>
      </w:tabs>
      <w:spacing w:after="0" w:line="240" w:lineRule="auto"/>
      <w:rPr>
        <w:color w:val="000000"/>
      </w:rPr>
    </w:pPr>
    <w:r>
      <w:rPr>
        <w:noProof/>
      </w:rPr>
      <w:drawing>
        <wp:anchor distT="0" distB="0" distL="0" distR="0" simplePos="0" relativeHeight="251658240" behindDoc="1" locked="0" layoutInCell="1" hidden="0" allowOverlap="1" wp14:anchorId="70C7564D" wp14:editId="356E1ACF">
          <wp:simplePos x="0" y="0"/>
          <wp:positionH relativeFrom="column">
            <wp:posOffset>-267335</wp:posOffset>
          </wp:positionH>
          <wp:positionV relativeFrom="paragraph">
            <wp:posOffset>-423545</wp:posOffset>
          </wp:positionV>
          <wp:extent cx="1162050" cy="8788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2050" cy="878840"/>
                  </a:xfrm>
                  <a:prstGeom prst="rect">
                    <a:avLst/>
                  </a:prstGeom>
                  <a:ln/>
                </pic:spPr>
              </pic:pic>
            </a:graphicData>
          </a:graphic>
          <wp14:sizeRelV relativeFrom="margin">
            <wp14:pctHeight>0</wp14:pctHeight>
          </wp14:sizeRelV>
        </wp:anchor>
      </w:drawing>
    </w:r>
    <w:r w:rsidR="00000000">
      <w:rPr>
        <w:color w:val="000000"/>
      </w:rPr>
      <w:tab/>
      <w:t xml:space="preserve">                                                    </w:t>
    </w:r>
    <w:r w:rsidR="00000000">
      <w:rPr>
        <w:noProof/>
      </w:rPr>
      <w:drawing>
        <wp:anchor distT="0" distB="0" distL="0" distR="0" simplePos="0" relativeHeight="251659264" behindDoc="1" locked="0" layoutInCell="1" hidden="0" allowOverlap="1" wp14:anchorId="76C54BC0" wp14:editId="09F7F1B3">
          <wp:simplePos x="0" y="0"/>
          <wp:positionH relativeFrom="column">
            <wp:posOffset>5043805</wp:posOffset>
          </wp:positionH>
          <wp:positionV relativeFrom="paragraph">
            <wp:posOffset>-343099</wp:posOffset>
          </wp:positionV>
          <wp:extent cx="1038804" cy="78105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38804" cy="781050"/>
                  </a:xfrm>
                  <a:prstGeom prst="rect">
                    <a:avLst/>
                  </a:prstGeom>
                  <a:ln/>
                </pic:spPr>
              </pic:pic>
            </a:graphicData>
          </a:graphic>
        </wp:anchor>
      </w:drawing>
    </w:r>
    <w:r w:rsidR="00000000">
      <w:rPr>
        <w:noProof/>
      </w:rPr>
      <w:drawing>
        <wp:anchor distT="0" distB="0" distL="0" distR="0" simplePos="0" relativeHeight="251660288" behindDoc="1" locked="0" layoutInCell="1" hidden="0" allowOverlap="1" wp14:anchorId="080017B4" wp14:editId="069A064C">
          <wp:simplePos x="0" y="0"/>
          <wp:positionH relativeFrom="column">
            <wp:posOffset>2385272</wp:posOffset>
          </wp:positionH>
          <wp:positionV relativeFrom="paragraph">
            <wp:posOffset>-361314</wp:posOffset>
          </wp:positionV>
          <wp:extent cx="990176" cy="798138"/>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990176" cy="7981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D6F17"/>
    <w:multiLevelType w:val="multilevel"/>
    <w:tmpl w:val="06624D10"/>
    <w:lvl w:ilvl="0">
      <w:start w:val="1"/>
      <w:numFmt w:val="decimal"/>
      <w:lvlText w:val="%1-"/>
      <w:lvlJc w:val="left"/>
      <w:pPr>
        <w:ind w:left="360" w:hanging="360"/>
      </w:pPr>
      <w:rPr>
        <w:b/>
        <w:color w:val="2F5496"/>
        <w:sz w:val="22"/>
        <w:szCs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064124C"/>
    <w:multiLevelType w:val="multilevel"/>
    <w:tmpl w:val="63ECEA46"/>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007002"/>
    <w:multiLevelType w:val="multilevel"/>
    <w:tmpl w:val="84CE6BA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2FC25629"/>
    <w:multiLevelType w:val="multilevel"/>
    <w:tmpl w:val="5582D81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9B2E62"/>
    <w:multiLevelType w:val="multilevel"/>
    <w:tmpl w:val="2FE85F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963B6D"/>
    <w:multiLevelType w:val="hybridMultilevel"/>
    <w:tmpl w:val="1A20A6EA"/>
    <w:lvl w:ilvl="0" w:tplc="BC36033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549C1BD5"/>
    <w:multiLevelType w:val="multilevel"/>
    <w:tmpl w:val="EFE4B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B811532"/>
    <w:multiLevelType w:val="multilevel"/>
    <w:tmpl w:val="920C4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93321736">
    <w:abstractNumId w:val="3"/>
  </w:num>
  <w:num w:numId="2" w16cid:durableId="1587223110">
    <w:abstractNumId w:val="6"/>
  </w:num>
  <w:num w:numId="3" w16cid:durableId="7567939">
    <w:abstractNumId w:val="7"/>
  </w:num>
  <w:num w:numId="4" w16cid:durableId="1970864696">
    <w:abstractNumId w:val="4"/>
  </w:num>
  <w:num w:numId="5" w16cid:durableId="707529734">
    <w:abstractNumId w:val="0"/>
  </w:num>
  <w:num w:numId="6" w16cid:durableId="1137652082">
    <w:abstractNumId w:val="1"/>
  </w:num>
  <w:num w:numId="7" w16cid:durableId="1696073659">
    <w:abstractNumId w:val="2"/>
  </w:num>
  <w:num w:numId="8" w16cid:durableId="118108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EB"/>
    <w:rsid w:val="001533D6"/>
    <w:rsid w:val="001F2AAC"/>
    <w:rsid w:val="009A63EB"/>
    <w:rsid w:val="00B01B1D"/>
  </w:rsids>
  <m:mathPr>
    <m:mathFont m:val="Cambria Math"/>
    <m:brkBin m:val="before"/>
    <m:brkBinSub m:val="--"/>
    <m:smallFrac m:val="0"/>
    <m:dispDef/>
    <m:lMargin m:val="0"/>
    <m:rMargin m:val="0"/>
    <m:defJc m:val="centerGroup"/>
    <m:wrapIndent m:val="1440"/>
    <m:intLim m:val="subSup"/>
    <m:naryLim m:val="undOvr"/>
  </m:mathPr>
  <w:themeFontLang w:val="fr-BJ"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EA1E"/>
  <w15:docId w15:val="{11046275-449F-4C72-80CE-A532647FB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fr-FR" w:eastAsia="fr-BJ"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unhideWhenUsed/>
    <w:qFormat/>
    <w:pPr>
      <w:keepNext/>
      <w:keepLines/>
      <w:spacing w:before="40" w:after="0"/>
      <w:outlineLvl w:val="1"/>
    </w:pPr>
    <w:rPr>
      <w:color w:val="2F5496"/>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40" w:after="0"/>
      <w:outlineLvl w:val="3"/>
    </w:pPr>
    <w:rPr>
      <w:i/>
      <w:color w:val="2F5496"/>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tte">
    <w:name w:val="header"/>
    <w:basedOn w:val="Normal"/>
    <w:link w:val="En-tteCar"/>
    <w:uiPriority w:val="99"/>
    <w:unhideWhenUsed/>
    <w:rsid w:val="001F2AAC"/>
    <w:pPr>
      <w:tabs>
        <w:tab w:val="center" w:pos="4536"/>
        <w:tab w:val="right" w:pos="9072"/>
      </w:tabs>
      <w:spacing w:after="0" w:line="240" w:lineRule="auto"/>
    </w:pPr>
  </w:style>
  <w:style w:type="character" w:customStyle="1" w:styleId="En-tteCar">
    <w:name w:val="En-tête Car"/>
    <w:basedOn w:val="Policepardfaut"/>
    <w:link w:val="En-tte"/>
    <w:uiPriority w:val="99"/>
    <w:rsid w:val="001F2AAC"/>
  </w:style>
  <w:style w:type="paragraph" w:styleId="Pieddepage">
    <w:name w:val="footer"/>
    <w:basedOn w:val="Normal"/>
    <w:link w:val="PieddepageCar"/>
    <w:uiPriority w:val="99"/>
    <w:unhideWhenUsed/>
    <w:rsid w:val="001F2AA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2AAC"/>
  </w:style>
  <w:style w:type="paragraph" w:styleId="Paragraphedeliste">
    <w:name w:val="List Paragraph"/>
    <w:basedOn w:val="Normal"/>
    <w:uiPriority w:val="34"/>
    <w:qFormat/>
    <w:rsid w:val="00153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afr14/7383/2023/fr/" TargetMode="External"/><Relationship Id="rId7" Type="http://schemas.openxmlformats.org/officeDocument/2006/relationships/hyperlink" Target="https://french.ahram.org.eg/News/48135.aspx" TargetMode="External"/><Relationship Id="rId2" Type="http://schemas.openxmlformats.org/officeDocument/2006/relationships/hyperlink" Target="https://justice.gouv.bj/cours-tribunaux/" TargetMode="External"/><Relationship Id="rId1" Type="http://schemas.openxmlformats.org/officeDocument/2006/relationships/hyperlink" Target="mailto:cfmpdh@gmail.com" TargetMode="External"/><Relationship Id="rId6" Type="http://schemas.openxmlformats.org/officeDocument/2006/relationships/hyperlink" Target="https://www.unwomen.org/sites/default/files/Headquarters/Attachments/Sections/CSW/64/National-reviews/Benin.pdf" TargetMode="External"/><Relationship Id="rId5" Type="http://schemas.openxmlformats.org/officeDocument/2006/relationships/hyperlink" Target="https://rfi.fr/fr/podcasts/afrique-%C3%A9conomie/20220725-le-grand-march%C3%A9-dantokpa-de-cotonou-la-fin-d-une-%C3%A9poque" TargetMode="External"/><Relationship Id="rId4" Type="http://schemas.openxmlformats.org/officeDocument/2006/relationships/hyperlink" Target="https://www.amnesty.org/en/documents/afr14/7383/2023/f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9D14D7-720B-4874-B998-0B2A8CC14F89}"/>
</file>

<file path=customXml/itemProps2.xml><?xml version="1.0" encoding="utf-8"?>
<ds:datastoreItem xmlns:ds="http://schemas.openxmlformats.org/officeDocument/2006/customXml" ds:itemID="{3E3B6E53-A88B-4772-9279-B342B0DF132A}"/>
</file>

<file path=docProps/app.xml><?xml version="1.0" encoding="utf-8"?>
<Properties xmlns="http://schemas.openxmlformats.org/officeDocument/2006/extended-properties" xmlns:vt="http://schemas.openxmlformats.org/officeDocument/2006/docPropsVTypes">
  <Template>Normal</Template>
  <TotalTime>19</TotalTime>
  <Pages>7</Pages>
  <Words>2109</Words>
  <Characters>12024</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JURISTE4</cp:lastModifiedBy>
  <cp:revision>2</cp:revision>
  <dcterms:created xsi:type="dcterms:W3CDTF">2024-09-08T23:54:00Z</dcterms:created>
  <dcterms:modified xsi:type="dcterms:W3CDTF">2024-09-09T00:13:00Z</dcterms:modified>
</cp:coreProperties>
</file>