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3A2E" w:rsidRDefault="00383A2E" w:rsidP="00383A2E">
      <w:pPr>
        <w:jc w:val="center"/>
      </w:pPr>
      <w:r>
        <w:rPr>
          <w:noProof/>
        </w:rPr>
        <w:drawing>
          <wp:inline distT="0" distB="0" distL="0" distR="0" wp14:anchorId="07A77BCB" wp14:editId="3F44C887">
            <wp:extent cx="2257425" cy="2257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الوفاق كحلي.jpg"/>
                    <pic:cNvPicPr/>
                  </pic:nvPicPr>
                  <pic:blipFill>
                    <a:blip r:embed="rId9">
                      <a:extLst>
                        <a:ext uri="{28A0092B-C50C-407E-A947-70E740481C1C}">
                          <a14:useLocalDpi xmlns:a14="http://schemas.microsoft.com/office/drawing/2010/main" val="0"/>
                        </a:ext>
                      </a:extLst>
                    </a:blip>
                    <a:stretch>
                      <a:fillRect/>
                    </a:stretch>
                  </pic:blipFill>
                  <pic:spPr>
                    <a:xfrm>
                      <a:off x="0" y="0"/>
                      <a:ext cx="2257425" cy="2257425"/>
                    </a:xfrm>
                    <a:prstGeom prst="rect">
                      <a:avLst/>
                    </a:prstGeom>
                  </pic:spPr>
                </pic:pic>
              </a:graphicData>
            </a:graphic>
          </wp:inline>
        </w:drawing>
      </w:r>
    </w:p>
    <w:p w:rsidR="00383A2E" w:rsidRPr="008D0E3F" w:rsidRDefault="00383A2E" w:rsidP="00383A2E">
      <w:pPr>
        <w:jc w:val="center"/>
        <w:rPr>
          <w:sz w:val="40"/>
          <w:szCs w:val="40"/>
        </w:rPr>
      </w:pPr>
    </w:p>
    <w:p w:rsidR="00383A2E" w:rsidRPr="00383A2E" w:rsidRDefault="00383A2E" w:rsidP="00383A2E">
      <w:pPr>
        <w:jc w:val="center"/>
        <w:rPr>
          <w:sz w:val="160"/>
          <w:szCs w:val="160"/>
        </w:rPr>
      </w:pPr>
      <w:r w:rsidRPr="00383A2E">
        <w:rPr>
          <w:sz w:val="160"/>
          <w:szCs w:val="160"/>
        </w:rPr>
        <w:t>Bahrain</w:t>
      </w:r>
    </w:p>
    <w:p w:rsidR="00383A2E" w:rsidRPr="00206065" w:rsidRDefault="00383A2E" w:rsidP="00383A2E">
      <w:pPr>
        <w:jc w:val="center"/>
        <w:rPr>
          <w:rFonts w:ascii="Times New Roman" w:eastAsia="Times New Roman" w:hAnsi="Times New Roman" w:cs="Times New Roman"/>
          <w:b/>
          <w:color w:val="000000" w:themeColor="text1"/>
          <w:sz w:val="56"/>
          <w:szCs w:val="56"/>
        </w:rPr>
      </w:pPr>
      <w:r w:rsidRPr="00206065">
        <w:rPr>
          <w:rFonts w:ascii="Times New Roman" w:eastAsia="Times New Roman" w:hAnsi="Times New Roman" w:cs="Times New Roman"/>
          <w:b/>
          <w:color w:val="000000" w:themeColor="text1"/>
          <w:sz w:val="56"/>
          <w:szCs w:val="56"/>
        </w:rPr>
        <w:t>Violations of Freedom of Speech and Political Rights, and Military Trials in Bahrain</w:t>
      </w:r>
    </w:p>
    <w:p w:rsidR="00383A2E" w:rsidRPr="008D0E3F" w:rsidRDefault="00383A2E" w:rsidP="00383A2E">
      <w:pPr>
        <w:jc w:val="center"/>
        <w:rPr>
          <w:b/>
          <w:bCs/>
          <w:color w:val="000000" w:themeColor="text1"/>
          <w:sz w:val="40"/>
          <w:szCs w:val="40"/>
        </w:rPr>
      </w:pPr>
    </w:p>
    <w:p w:rsidR="00383A2E" w:rsidRDefault="00383A2E">
      <w:pPr>
        <w:rPr>
          <w:rFonts w:ascii="Times New Roman" w:eastAsia="Times New Roman" w:hAnsi="Times New Roman" w:cs="Times New Roman"/>
          <w:b/>
          <w:color w:val="FF0000"/>
          <w:sz w:val="24"/>
          <w:szCs w:val="24"/>
        </w:rPr>
      </w:pPr>
    </w:p>
    <w:p w:rsidR="0062710D" w:rsidRPr="004678EB" w:rsidRDefault="004678EB" w:rsidP="004678EB">
      <w:pPr>
        <w:jc w:val="center"/>
        <w:rPr>
          <w:rFonts w:ascii="Times New Roman" w:eastAsia="Times New Roman" w:hAnsi="Times New Roman" w:cs="Times New Roman"/>
          <w:bCs/>
          <w:color w:val="000000" w:themeColor="text1"/>
          <w:sz w:val="40"/>
          <w:szCs w:val="40"/>
        </w:rPr>
      </w:pPr>
      <w:r w:rsidRPr="0062710D">
        <w:rPr>
          <w:rFonts w:ascii="Times New Roman" w:eastAsia="Times New Roman" w:hAnsi="Times New Roman" w:cs="Times New Roman"/>
          <w:bCs/>
          <w:color w:val="000000" w:themeColor="text1"/>
          <w:sz w:val="32"/>
          <w:szCs w:val="32"/>
        </w:rPr>
        <w:t xml:space="preserve">Issued by: </w:t>
      </w:r>
      <w:proofErr w:type="spellStart"/>
      <w:r w:rsidRPr="004678EB">
        <w:rPr>
          <w:rFonts w:ascii="Times New Roman" w:eastAsia="Times New Roman" w:hAnsi="Times New Roman" w:cs="Times New Roman"/>
          <w:b/>
          <w:color w:val="000000" w:themeColor="text1"/>
          <w:sz w:val="40"/>
          <w:szCs w:val="40"/>
        </w:rPr>
        <w:t>Alwefaq</w:t>
      </w:r>
      <w:proofErr w:type="spellEnd"/>
      <w:r w:rsidRPr="004678EB">
        <w:rPr>
          <w:rFonts w:ascii="Times New Roman" w:eastAsia="Times New Roman" w:hAnsi="Times New Roman" w:cs="Times New Roman"/>
          <w:b/>
          <w:color w:val="000000" w:themeColor="text1"/>
          <w:sz w:val="40"/>
          <w:szCs w:val="40"/>
        </w:rPr>
        <w:t xml:space="preserve"> National Islamic Society</w:t>
      </w:r>
    </w:p>
    <w:p w:rsidR="0062710D" w:rsidRDefault="0062710D" w:rsidP="00C8525A">
      <w:pPr>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br w:type="page"/>
      </w:r>
    </w:p>
    <w:p w:rsidR="00002534" w:rsidRDefault="00002534" w:rsidP="00C8525A">
      <w:pPr>
        <w:jc w:val="both"/>
        <w:rPr>
          <w:rFonts w:ascii="Times New Roman" w:eastAsia="Times New Roman" w:hAnsi="Times New Roman" w:cs="Times New Roman"/>
          <w:b/>
          <w:color w:val="FF0000"/>
          <w:sz w:val="24"/>
          <w:szCs w:val="24"/>
        </w:rPr>
      </w:pPr>
    </w:p>
    <w:sdt>
      <w:sdtPr>
        <w:id w:val="88589294"/>
        <w:docPartObj>
          <w:docPartGallery w:val="Table of Contents"/>
          <w:docPartUnique/>
        </w:docPartObj>
      </w:sdtPr>
      <w:sdtEndPr>
        <w:rPr>
          <w:rFonts w:ascii="Calibri" w:eastAsia="Calibri" w:hAnsi="Calibri" w:cs="Calibri"/>
          <w:b/>
          <w:bCs/>
          <w:noProof/>
          <w:color w:val="auto"/>
          <w:sz w:val="22"/>
          <w:szCs w:val="22"/>
        </w:rPr>
      </w:sdtEndPr>
      <w:sdtContent>
        <w:p w:rsidR="00002534" w:rsidRDefault="00002534">
          <w:pPr>
            <w:pStyle w:val="TOCHeading"/>
          </w:pPr>
          <w:r>
            <w:t>Contents</w:t>
          </w:r>
        </w:p>
        <w:p w:rsidR="00002534" w:rsidRPr="00002534" w:rsidRDefault="00002534" w:rsidP="00002534"/>
        <w:p w:rsidR="00002534" w:rsidRDefault="00002534">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0848452" w:history="1">
            <w:r w:rsidRPr="00624BB6">
              <w:rPr>
                <w:rStyle w:val="Hyperlink"/>
                <w:rFonts w:ascii="Times New Roman" w:hAnsi="Times New Roman" w:cs="Times New Roman"/>
                <w:noProof/>
              </w:rPr>
              <w:t>I - Violations of Freedom of Speech</w:t>
            </w:r>
            <w:r>
              <w:rPr>
                <w:noProof/>
                <w:webHidden/>
              </w:rPr>
              <w:tab/>
            </w:r>
            <w:r>
              <w:rPr>
                <w:noProof/>
                <w:webHidden/>
              </w:rPr>
              <w:fldChar w:fldCharType="begin"/>
            </w:r>
            <w:r>
              <w:rPr>
                <w:noProof/>
                <w:webHidden/>
              </w:rPr>
              <w:instrText xml:space="preserve"> PAGEREF _Toc100848452 \h </w:instrText>
            </w:r>
            <w:r>
              <w:rPr>
                <w:noProof/>
                <w:webHidden/>
              </w:rPr>
            </w:r>
            <w:r>
              <w:rPr>
                <w:noProof/>
                <w:webHidden/>
              </w:rPr>
              <w:fldChar w:fldCharType="separate"/>
            </w:r>
            <w:r>
              <w:rPr>
                <w:noProof/>
                <w:webHidden/>
              </w:rPr>
              <w:t>3</w:t>
            </w:r>
            <w:r>
              <w:rPr>
                <w:noProof/>
                <w:webHidden/>
              </w:rPr>
              <w:fldChar w:fldCharType="end"/>
            </w:r>
          </w:hyperlink>
        </w:p>
        <w:p w:rsidR="00002534" w:rsidRDefault="00002534">
          <w:pPr>
            <w:pStyle w:val="TOC1"/>
            <w:tabs>
              <w:tab w:val="right" w:leader="dot" w:pos="9350"/>
            </w:tabs>
            <w:rPr>
              <w:rFonts w:asciiTheme="minorHAnsi" w:eastAsiaTheme="minorEastAsia" w:hAnsiTheme="minorHAnsi" w:cstheme="minorBidi"/>
              <w:noProof/>
            </w:rPr>
          </w:pPr>
          <w:hyperlink w:anchor="_Toc100848453" w:history="1">
            <w:r w:rsidRPr="00624BB6">
              <w:rPr>
                <w:rStyle w:val="Hyperlink"/>
                <w:rFonts w:ascii="Times New Roman" w:hAnsi="Times New Roman" w:cs="Times New Roman"/>
                <w:noProof/>
              </w:rPr>
              <w:t>II - Violations of Political Rights</w:t>
            </w:r>
            <w:r>
              <w:rPr>
                <w:noProof/>
                <w:webHidden/>
              </w:rPr>
              <w:tab/>
            </w:r>
            <w:r>
              <w:rPr>
                <w:noProof/>
                <w:webHidden/>
              </w:rPr>
              <w:fldChar w:fldCharType="begin"/>
            </w:r>
            <w:r>
              <w:rPr>
                <w:noProof/>
                <w:webHidden/>
              </w:rPr>
              <w:instrText xml:space="preserve"> PAGEREF _Toc100848453 \h </w:instrText>
            </w:r>
            <w:r>
              <w:rPr>
                <w:noProof/>
                <w:webHidden/>
              </w:rPr>
            </w:r>
            <w:r>
              <w:rPr>
                <w:noProof/>
                <w:webHidden/>
              </w:rPr>
              <w:fldChar w:fldCharType="separate"/>
            </w:r>
            <w:r>
              <w:rPr>
                <w:noProof/>
                <w:webHidden/>
              </w:rPr>
              <w:t>4</w:t>
            </w:r>
            <w:r>
              <w:rPr>
                <w:noProof/>
                <w:webHidden/>
              </w:rPr>
              <w:fldChar w:fldCharType="end"/>
            </w:r>
          </w:hyperlink>
        </w:p>
        <w:p w:rsidR="00002534" w:rsidRDefault="00002534">
          <w:pPr>
            <w:pStyle w:val="TOC2"/>
            <w:tabs>
              <w:tab w:val="left" w:pos="660"/>
              <w:tab w:val="right" w:leader="dot" w:pos="9350"/>
            </w:tabs>
            <w:rPr>
              <w:rFonts w:asciiTheme="minorHAnsi" w:eastAsiaTheme="minorEastAsia" w:hAnsiTheme="minorHAnsi" w:cstheme="minorBidi"/>
              <w:noProof/>
            </w:rPr>
          </w:pPr>
          <w:hyperlink w:anchor="_Toc100848454" w:history="1">
            <w:r w:rsidRPr="00624BB6">
              <w:rPr>
                <w:rStyle w:val="Hyperlink"/>
                <w:rFonts w:ascii="Times New Roman" w:eastAsia="Times New Roman" w:hAnsi="Times New Roman" w:cs="Times New Roman"/>
                <w:noProof/>
              </w:rPr>
              <w:t>●</w:t>
            </w:r>
            <w:r>
              <w:rPr>
                <w:rFonts w:asciiTheme="minorHAnsi" w:eastAsiaTheme="minorEastAsia" w:hAnsiTheme="minorHAnsi" w:cstheme="minorBidi"/>
                <w:noProof/>
              </w:rPr>
              <w:tab/>
            </w:r>
            <w:r w:rsidRPr="00624BB6">
              <w:rPr>
                <w:rStyle w:val="Hyperlink"/>
                <w:rFonts w:asciiTheme="majorBidi" w:hAnsiTheme="majorBidi"/>
                <w:b/>
                <w:bCs/>
                <w:noProof/>
              </w:rPr>
              <w:t>Constitutional Amendments of 2012</w:t>
            </w:r>
            <w:r>
              <w:rPr>
                <w:noProof/>
                <w:webHidden/>
              </w:rPr>
              <w:tab/>
            </w:r>
            <w:r>
              <w:rPr>
                <w:noProof/>
                <w:webHidden/>
              </w:rPr>
              <w:fldChar w:fldCharType="begin"/>
            </w:r>
            <w:r>
              <w:rPr>
                <w:noProof/>
                <w:webHidden/>
              </w:rPr>
              <w:instrText xml:space="preserve"> PAGEREF _Toc100848454 \h </w:instrText>
            </w:r>
            <w:r>
              <w:rPr>
                <w:noProof/>
                <w:webHidden/>
              </w:rPr>
            </w:r>
            <w:r>
              <w:rPr>
                <w:noProof/>
                <w:webHidden/>
              </w:rPr>
              <w:fldChar w:fldCharType="separate"/>
            </w:r>
            <w:r>
              <w:rPr>
                <w:noProof/>
                <w:webHidden/>
              </w:rPr>
              <w:t>5</w:t>
            </w:r>
            <w:r>
              <w:rPr>
                <w:noProof/>
                <w:webHidden/>
              </w:rPr>
              <w:fldChar w:fldCharType="end"/>
            </w:r>
          </w:hyperlink>
        </w:p>
        <w:p w:rsidR="00002534" w:rsidRDefault="00002534">
          <w:pPr>
            <w:pStyle w:val="TOC2"/>
            <w:tabs>
              <w:tab w:val="left" w:pos="660"/>
              <w:tab w:val="right" w:leader="dot" w:pos="9350"/>
            </w:tabs>
            <w:rPr>
              <w:rFonts w:asciiTheme="minorHAnsi" w:eastAsiaTheme="minorEastAsia" w:hAnsiTheme="minorHAnsi" w:cstheme="minorBidi"/>
              <w:noProof/>
            </w:rPr>
          </w:pPr>
          <w:hyperlink w:anchor="_Toc100848455" w:history="1">
            <w:r w:rsidRPr="00624BB6">
              <w:rPr>
                <w:rStyle w:val="Hyperlink"/>
                <w:rFonts w:ascii="Times New Roman" w:eastAsia="Times New Roman" w:hAnsi="Times New Roman" w:cs="Times New Roman"/>
                <w:noProof/>
              </w:rPr>
              <w:t>●</w:t>
            </w:r>
            <w:r>
              <w:rPr>
                <w:rFonts w:asciiTheme="minorHAnsi" w:eastAsiaTheme="minorEastAsia" w:hAnsiTheme="minorHAnsi" w:cstheme="minorBidi"/>
                <w:noProof/>
              </w:rPr>
              <w:tab/>
            </w:r>
            <w:r w:rsidRPr="00624BB6">
              <w:rPr>
                <w:rStyle w:val="Hyperlink"/>
                <w:rFonts w:asciiTheme="majorBidi" w:hAnsiTheme="majorBidi"/>
                <w:b/>
                <w:bCs/>
                <w:noProof/>
              </w:rPr>
              <w:t>Constitutional Amendment of 2017</w:t>
            </w:r>
            <w:r>
              <w:rPr>
                <w:noProof/>
                <w:webHidden/>
              </w:rPr>
              <w:tab/>
            </w:r>
            <w:r>
              <w:rPr>
                <w:noProof/>
                <w:webHidden/>
              </w:rPr>
              <w:fldChar w:fldCharType="begin"/>
            </w:r>
            <w:r>
              <w:rPr>
                <w:noProof/>
                <w:webHidden/>
              </w:rPr>
              <w:instrText xml:space="preserve"> PAGEREF _Toc100848455 \h </w:instrText>
            </w:r>
            <w:r>
              <w:rPr>
                <w:noProof/>
                <w:webHidden/>
              </w:rPr>
            </w:r>
            <w:r>
              <w:rPr>
                <w:noProof/>
                <w:webHidden/>
              </w:rPr>
              <w:fldChar w:fldCharType="separate"/>
            </w:r>
            <w:r>
              <w:rPr>
                <w:noProof/>
                <w:webHidden/>
              </w:rPr>
              <w:t>5</w:t>
            </w:r>
            <w:r>
              <w:rPr>
                <w:noProof/>
                <w:webHidden/>
              </w:rPr>
              <w:fldChar w:fldCharType="end"/>
            </w:r>
          </w:hyperlink>
        </w:p>
        <w:p w:rsidR="00002534" w:rsidRDefault="00002534">
          <w:pPr>
            <w:pStyle w:val="TOC2"/>
            <w:tabs>
              <w:tab w:val="left" w:pos="660"/>
              <w:tab w:val="right" w:leader="dot" w:pos="9350"/>
            </w:tabs>
            <w:rPr>
              <w:rFonts w:asciiTheme="minorHAnsi" w:eastAsiaTheme="minorEastAsia" w:hAnsiTheme="minorHAnsi" w:cstheme="minorBidi"/>
              <w:noProof/>
            </w:rPr>
          </w:pPr>
          <w:hyperlink w:anchor="_Toc100848456" w:history="1">
            <w:r w:rsidRPr="00624BB6">
              <w:rPr>
                <w:rStyle w:val="Hyperlink"/>
                <w:rFonts w:ascii="Symbol" w:eastAsia="Times New Roman" w:hAnsi="Symbol"/>
                <w:bCs/>
                <w:noProof/>
              </w:rPr>
              <w:t></w:t>
            </w:r>
            <w:r>
              <w:rPr>
                <w:rFonts w:asciiTheme="minorHAnsi" w:eastAsiaTheme="minorEastAsia" w:hAnsiTheme="minorHAnsi" w:cstheme="minorBidi"/>
                <w:noProof/>
              </w:rPr>
              <w:tab/>
            </w:r>
            <w:r w:rsidRPr="00624BB6">
              <w:rPr>
                <w:rStyle w:val="Hyperlink"/>
                <w:rFonts w:asciiTheme="majorBidi" w:eastAsia="Times New Roman" w:hAnsiTheme="majorBidi"/>
                <w:b/>
                <w:bCs/>
                <w:noProof/>
              </w:rPr>
              <w:t>Legislations and Laws on Political Rights</w:t>
            </w:r>
            <w:r>
              <w:rPr>
                <w:noProof/>
                <w:webHidden/>
              </w:rPr>
              <w:tab/>
            </w:r>
            <w:r>
              <w:rPr>
                <w:noProof/>
                <w:webHidden/>
              </w:rPr>
              <w:fldChar w:fldCharType="begin"/>
            </w:r>
            <w:r>
              <w:rPr>
                <w:noProof/>
                <w:webHidden/>
              </w:rPr>
              <w:instrText xml:space="preserve"> PAGEREF _Toc100848456 \h </w:instrText>
            </w:r>
            <w:r>
              <w:rPr>
                <w:noProof/>
                <w:webHidden/>
              </w:rPr>
            </w:r>
            <w:r>
              <w:rPr>
                <w:noProof/>
                <w:webHidden/>
              </w:rPr>
              <w:fldChar w:fldCharType="separate"/>
            </w:r>
            <w:r>
              <w:rPr>
                <w:noProof/>
                <w:webHidden/>
              </w:rPr>
              <w:t>6</w:t>
            </w:r>
            <w:r>
              <w:rPr>
                <w:noProof/>
                <w:webHidden/>
              </w:rPr>
              <w:fldChar w:fldCharType="end"/>
            </w:r>
          </w:hyperlink>
        </w:p>
        <w:p w:rsidR="00002534" w:rsidRDefault="00002534">
          <w:pPr>
            <w:pStyle w:val="TOC1"/>
            <w:tabs>
              <w:tab w:val="right" w:leader="dot" w:pos="9350"/>
            </w:tabs>
            <w:rPr>
              <w:rFonts w:asciiTheme="minorHAnsi" w:eastAsiaTheme="minorEastAsia" w:hAnsiTheme="minorHAnsi" w:cstheme="minorBidi"/>
              <w:noProof/>
            </w:rPr>
          </w:pPr>
          <w:hyperlink w:anchor="_Toc100848457" w:history="1">
            <w:r w:rsidRPr="00624BB6">
              <w:rPr>
                <w:rStyle w:val="Hyperlink"/>
                <w:rFonts w:ascii="Times New Roman" w:hAnsi="Times New Roman" w:cs="Times New Roman"/>
                <w:noProof/>
                <w:lang w:val="en-GB"/>
              </w:rPr>
              <w:t>III - Military Trials</w:t>
            </w:r>
            <w:r>
              <w:rPr>
                <w:noProof/>
                <w:webHidden/>
              </w:rPr>
              <w:tab/>
            </w:r>
            <w:r>
              <w:rPr>
                <w:noProof/>
                <w:webHidden/>
              </w:rPr>
              <w:fldChar w:fldCharType="begin"/>
            </w:r>
            <w:r>
              <w:rPr>
                <w:noProof/>
                <w:webHidden/>
              </w:rPr>
              <w:instrText xml:space="preserve"> PAGEREF _Toc100848457 \h </w:instrText>
            </w:r>
            <w:r>
              <w:rPr>
                <w:noProof/>
                <w:webHidden/>
              </w:rPr>
            </w:r>
            <w:r>
              <w:rPr>
                <w:noProof/>
                <w:webHidden/>
              </w:rPr>
              <w:fldChar w:fldCharType="separate"/>
            </w:r>
            <w:r>
              <w:rPr>
                <w:noProof/>
                <w:webHidden/>
              </w:rPr>
              <w:t>10</w:t>
            </w:r>
            <w:r>
              <w:rPr>
                <w:noProof/>
                <w:webHidden/>
              </w:rPr>
              <w:fldChar w:fldCharType="end"/>
            </w:r>
          </w:hyperlink>
        </w:p>
        <w:p w:rsidR="00002534" w:rsidRDefault="00002534">
          <w:pPr>
            <w:pStyle w:val="TOC1"/>
            <w:tabs>
              <w:tab w:val="right" w:leader="dot" w:pos="9350"/>
            </w:tabs>
            <w:rPr>
              <w:rFonts w:asciiTheme="minorHAnsi" w:eastAsiaTheme="minorEastAsia" w:hAnsiTheme="minorHAnsi" w:cstheme="minorBidi"/>
              <w:noProof/>
            </w:rPr>
          </w:pPr>
          <w:hyperlink w:anchor="_Toc100848458" w:history="1">
            <w:r w:rsidRPr="00624BB6">
              <w:rPr>
                <w:rStyle w:val="Hyperlink"/>
                <w:rFonts w:ascii="Times New Roman" w:hAnsi="Times New Roman" w:cs="Times New Roman"/>
                <w:noProof/>
                <w:lang w:val="en-GB"/>
              </w:rPr>
              <w:t>IV – Recommendations to the Government of Bahrain:</w:t>
            </w:r>
            <w:r>
              <w:rPr>
                <w:noProof/>
                <w:webHidden/>
              </w:rPr>
              <w:tab/>
            </w:r>
            <w:r>
              <w:rPr>
                <w:noProof/>
                <w:webHidden/>
              </w:rPr>
              <w:fldChar w:fldCharType="begin"/>
            </w:r>
            <w:r>
              <w:rPr>
                <w:noProof/>
                <w:webHidden/>
              </w:rPr>
              <w:instrText xml:space="preserve"> PAGEREF _Toc100848458 \h </w:instrText>
            </w:r>
            <w:r>
              <w:rPr>
                <w:noProof/>
                <w:webHidden/>
              </w:rPr>
            </w:r>
            <w:r>
              <w:rPr>
                <w:noProof/>
                <w:webHidden/>
              </w:rPr>
              <w:fldChar w:fldCharType="separate"/>
            </w:r>
            <w:r>
              <w:rPr>
                <w:noProof/>
                <w:webHidden/>
              </w:rPr>
              <w:t>11</w:t>
            </w:r>
            <w:r>
              <w:rPr>
                <w:noProof/>
                <w:webHidden/>
              </w:rPr>
              <w:fldChar w:fldCharType="end"/>
            </w:r>
          </w:hyperlink>
        </w:p>
        <w:p w:rsidR="00D34E2F" w:rsidRPr="00002534" w:rsidRDefault="00002534" w:rsidP="00002534">
          <w:r>
            <w:rPr>
              <w:b/>
              <w:bCs/>
              <w:noProof/>
            </w:rPr>
            <w:fldChar w:fldCharType="end"/>
          </w:r>
        </w:p>
      </w:sdtContent>
    </w:sdt>
    <w:p w:rsidR="00002534" w:rsidRDefault="00002534" w:rsidP="00C8525A">
      <w:pPr>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br w:type="page"/>
      </w:r>
    </w:p>
    <w:p w:rsidR="00B160C9" w:rsidRDefault="00D207EB" w:rsidP="00C8525A">
      <w:pPr>
        <w:jc w:val="both"/>
        <w:rPr>
          <w:rFonts w:ascii="Times New Roman" w:eastAsia="Times New Roman" w:hAnsi="Times New Roman" w:cs="Times New Roman"/>
          <w:b/>
          <w:color w:val="FF0000"/>
          <w:sz w:val="24"/>
          <w:szCs w:val="24"/>
        </w:rPr>
      </w:pPr>
      <w:r>
        <w:rPr>
          <w:rFonts w:ascii="Times New Roman" w:eastAsia="Times New Roman" w:hAnsi="Times New Roman" w:cs="Times New Roman"/>
          <w:b/>
          <w:color w:val="FF0000"/>
          <w:sz w:val="24"/>
          <w:szCs w:val="24"/>
        </w:rPr>
        <w:lastRenderedPageBreak/>
        <w:t xml:space="preserve">Violations of </w:t>
      </w:r>
      <w:r w:rsidR="00332AB8">
        <w:rPr>
          <w:rFonts w:ascii="Times New Roman" w:eastAsia="Times New Roman" w:hAnsi="Times New Roman" w:cs="Times New Roman"/>
          <w:b/>
          <w:color w:val="FF0000"/>
          <w:sz w:val="24"/>
          <w:szCs w:val="24"/>
        </w:rPr>
        <w:t xml:space="preserve">Freedom of Speech and </w:t>
      </w:r>
      <w:r>
        <w:rPr>
          <w:rFonts w:ascii="Times New Roman" w:eastAsia="Times New Roman" w:hAnsi="Times New Roman" w:cs="Times New Roman"/>
          <w:b/>
          <w:color w:val="FF0000"/>
          <w:sz w:val="24"/>
          <w:szCs w:val="24"/>
        </w:rPr>
        <w:t>Political Rights</w:t>
      </w:r>
      <w:r w:rsidR="00332AB8">
        <w:rPr>
          <w:rFonts w:ascii="Times New Roman" w:eastAsia="Times New Roman" w:hAnsi="Times New Roman" w:cs="Times New Roman"/>
          <w:b/>
          <w:color w:val="FF0000"/>
          <w:sz w:val="24"/>
          <w:szCs w:val="24"/>
        </w:rPr>
        <w:t xml:space="preserve">, and Military </w:t>
      </w:r>
      <w:r w:rsidR="00C8525A">
        <w:rPr>
          <w:rFonts w:ascii="Times New Roman" w:eastAsia="Times New Roman" w:hAnsi="Times New Roman" w:cs="Times New Roman"/>
          <w:b/>
          <w:color w:val="FF0000"/>
          <w:sz w:val="24"/>
          <w:szCs w:val="24"/>
        </w:rPr>
        <w:t>Trials</w:t>
      </w:r>
      <w:r>
        <w:rPr>
          <w:rFonts w:ascii="Times New Roman" w:eastAsia="Times New Roman" w:hAnsi="Times New Roman" w:cs="Times New Roman"/>
          <w:b/>
          <w:color w:val="FF0000"/>
          <w:sz w:val="24"/>
          <w:szCs w:val="24"/>
        </w:rPr>
        <w:t xml:space="preserve"> in Bahrain</w:t>
      </w:r>
    </w:p>
    <w:p w:rsidR="00332AB8" w:rsidRDefault="00332AB8">
      <w:pPr>
        <w:jc w:val="both"/>
        <w:rPr>
          <w:rFonts w:ascii="Times New Roman" w:eastAsia="Times New Roman" w:hAnsi="Times New Roman" w:cs="Times New Roman"/>
          <w:sz w:val="24"/>
          <w:szCs w:val="24"/>
        </w:rPr>
      </w:pPr>
    </w:p>
    <w:p w:rsidR="00332AB8" w:rsidRPr="00D34E2F" w:rsidRDefault="00332AB8" w:rsidP="00D34E2F">
      <w:pPr>
        <w:pStyle w:val="Heading1"/>
        <w:rPr>
          <w:rFonts w:ascii="Times New Roman" w:hAnsi="Times New Roman" w:cs="Times New Roman"/>
          <w:sz w:val="24"/>
          <w:szCs w:val="24"/>
        </w:rPr>
      </w:pPr>
      <w:bookmarkStart w:id="0" w:name="_Toc100848452"/>
      <w:r w:rsidRPr="00D34E2F">
        <w:rPr>
          <w:rFonts w:ascii="Times New Roman" w:hAnsi="Times New Roman" w:cs="Times New Roman"/>
          <w:sz w:val="24"/>
          <w:szCs w:val="24"/>
        </w:rPr>
        <w:t>I - Violations of Freedom of Speech</w:t>
      </w:r>
      <w:bookmarkEnd w:id="0"/>
    </w:p>
    <w:p w:rsidR="00332AB8" w:rsidRPr="00332AB8" w:rsidRDefault="00332AB8" w:rsidP="00332AB8">
      <w:pPr>
        <w:rPr>
          <w:rFonts w:asciiTheme="majorBidi" w:hAnsiTheme="majorBidi" w:cs="Times New Roman"/>
          <w:sz w:val="24"/>
          <w:szCs w:val="24"/>
          <w:rtl/>
          <w:lang w:val="en-GB"/>
        </w:rPr>
      </w:pPr>
      <w:r>
        <w:rPr>
          <w:rFonts w:asciiTheme="majorBidi" w:hAnsiTheme="majorBidi" w:cs="Times New Roman"/>
          <w:sz w:val="24"/>
          <w:szCs w:val="24"/>
          <w:lang w:val="en-GB"/>
        </w:rPr>
        <w:t>At</w:t>
      </w:r>
      <w:r w:rsidRPr="00332AB8">
        <w:rPr>
          <w:rFonts w:asciiTheme="majorBidi" w:hAnsiTheme="majorBidi" w:cs="Times New Roman"/>
          <w:sz w:val="24"/>
          <w:szCs w:val="24"/>
          <w:lang w:val="en-GB"/>
        </w:rPr>
        <w:t xml:space="preserve"> a time when the Bahraini government controls all official media and bans them from opposition forces or individuals and institutions affiliated with the opposition, as part of measures to restrict freedom of expression</w:t>
      </w:r>
      <w:r w:rsidRPr="00332AB8">
        <w:rPr>
          <w:rFonts w:asciiTheme="majorBidi" w:hAnsiTheme="majorBidi" w:cs="Times New Roman"/>
          <w:sz w:val="24"/>
          <w:szCs w:val="24"/>
          <w:rtl/>
          <w:lang w:val="en-GB"/>
        </w:rPr>
        <w:t>.</w:t>
      </w:r>
    </w:p>
    <w:p w:rsidR="00332AB8" w:rsidRPr="00332AB8" w:rsidRDefault="00332AB8" w:rsidP="00332AB8">
      <w:pPr>
        <w:rPr>
          <w:rFonts w:asciiTheme="majorBidi" w:hAnsiTheme="majorBidi" w:cs="Times New Roman"/>
          <w:sz w:val="24"/>
          <w:szCs w:val="24"/>
          <w:rtl/>
          <w:lang w:val="en-GB"/>
        </w:rPr>
      </w:pPr>
    </w:p>
    <w:p w:rsidR="00332AB8" w:rsidRPr="00332AB8" w:rsidRDefault="00332AB8" w:rsidP="00332AB8">
      <w:pPr>
        <w:rPr>
          <w:rFonts w:asciiTheme="majorBidi" w:hAnsiTheme="majorBidi" w:cs="Times New Roman"/>
          <w:sz w:val="24"/>
          <w:szCs w:val="24"/>
          <w:rtl/>
          <w:lang w:val="en-GB"/>
        </w:rPr>
      </w:pPr>
      <w:r w:rsidRPr="00332AB8">
        <w:rPr>
          <w:rFonts w:asciiTheme="majorBidi" w:hAnsiTheme="majorBidi" w:cs="Times New Roman"/>
          <w:sz w:val="24"/>
          <w:szCs w:val="24"/>
          <w:lang w:val="en-GB"/>
        </w:rPr>
        <w:t>Even in 2000, after some independent newspapers were issued, and political societies were allowed to publish periodicals, the opposition was not allowed to have access to a satellite channel or a radio station. Besides, in 201</w:t>
      </w:r>
      <w:bookmarkStart w:id="1" w:name="_GoBack"/>
      <w:bookmarkEnd w:id="1"/>
      <w:r w:rsidRPr="00332AB8">
        <w:rPr>
          <w:rFonts w:asciiTheme="majorBidi" w:hAnsiTheme="majorBidi" w:cs="Times New Roman"/>
          <w:sz w:val="24"/>
          <w:szCs w:val="24"/>
          <w:lang w:val="en-GB"/>
        </w:rPr>
        <w:t>0, the publications of the opposition political societies, and later Al-</w:t>
      </w:r>
      <w:proofErr w:type="spellStart"/>
      <w:r w:rsidRPr="00332AB8">
        <w:rPr>
          <w:rFonts w:asciiTheme="majorBidi" w:hAnsiTheme="majorBidi" w:cs="Times New Roman"/>
          <w:sz w:val="24"/>
          <w:szCs w:val="24"/>
          <w:lang w:val="en-GB"/>
        </w:rPr>
        <w:t>Wasat</w:t>
      </w:r>
      <w:proofErr w:type="spellEnd"/>
      <w:r w:rsidRPr="00332AB8">
        <w:rPr>
          <w:rFonts w:asciiTheme="majorBidi" w:hAnsiTheme="majorBidi" w:cs="Times New Roman"/>
          <w:sz w:val="24"/>
          <w:szCs w:val="24"/>
          <w:lang w:val="en-GB"/>
        </w:rPr>
        <w:t xml:space="preserve"> newspaper, were suspended</w:t>
      </w:r>
      <w:r w:rsidRPr="00332AB8">
        <w:rPr>
          <w:rFonts w:asciiTheme="majorBidi" w:hAnsiTheme="majorBidi" w:cs="Times New Roman"/>
          <w:sz w:val="24"/>
          <w:szCs w:val="24"/>
          <w:rtl/>
          <w:lang w:val="en-GB"/>
        </w:rPr>
        <w:t>.</w:t>
      </w:r>
    </w:p>
    <w:p w:rsidR="00332AB8" w:rsidRPr="00332AB8" w:rsidRDefault="00332AB8" w:rsidP="00332AB8">
      <w:pPr>
        <w:rPr>
          <w:rFonts w:asciiTheme="majorBidi" w:hAnsiTheme="majorBidi" w:cs="Times New Roman"/>
          <w:sz w:val="24"/>
          <w:szCs w:val="24"/>
          <w:rtl/>
          <w:lang w:val="en-GB"/>
        </w:rPr>
      </w:pPr>
    </w:p>
    <w:p w:rsidR="00332AB8" w:rsidRPr="00332AB8" w:rsidRDefault="00332AB8" w:rsidP="00332AB8">
      <w:pPr>
        <w:rPr>
          <w:rFonts w:asciiTheme="majorBidi" w:hAnsiTheme="majorBidi" w:cs="Times New Roman"/>
          <w:sz w:val="24"/>
          <w:szCs w:val="24"/>
          <w:rtl/>
          <w:lang w:val="en-GB"/>
        </w:rPr>
      </w:pPr>
      <w:r w:rsidRPr="00332AB8">
        <w:rPr>
          <w:rFonts w:asciiTheme="majorBidi" w:hAnsiTheme="majorBidi" w:cs="Times New Roman"/>
          <w:sz w:val="24"/>
          <w:szCs w:val="24"/>
          <w:lang w:val="en-GB"/>
        </w:rPr>
        <w:t>The Internet is also restricted in Bahrain, where “many websites continue to be blocked, social media users questioned in the security department, users are pressured to remove content, and citizens are arrested for posting content on the Internet.”  The Ministry of Interior also continues to warn against addressing critical emerging issues related to the local and regional political situations.  The authorities threatens to take legal action against followers of social media accounts that criticise the government, where censorship levels are very high</w:t>
      </w:r>
      <w:r w:rsidRPr="00332AB8">
        <w:rPr>
          <w:rFonts w:asciiTheme="majorBidi" w:hAnsiTheme="majorBidi" w:cs="Times New Roman"/>
          <w:sz w:val="24"/>
          <w:szCs w:val="24"/>
          <w:rtl/>
          <w:lang w:val="en-GB"/>
        </w:rPr>
        <w:t>.</w:t>
      </w:r>
    </w:p>
    <w:p w:rsidR="00332AB8" w:rsidRPr="00332AB8" w:rsidRDefault="00332AB8" w:rsidP="00332AB8">
      <w:pPr>
        <w:rPr>
          <w:rFonts w:asciiTheme="majorBidi" w:hAnsiTheme="majorBidi" w:cs="Times New Roman"/>
          <w:sz w:val="24"/>
          <w:szCs w:val="24"/>
          <w:rtl/>
          <w:lang w:val="en-GB"/>
        </w:rPr>
      </w:pPr>
    </w:p>
    <w:p w:rsidR="00332AB8" w:rsidRPr="00332AB8" w:rsidRDefault="00332AB8" w:rsidP="00332AB8">
      <w:pPr>
        <w:rPr>
          <w:rFonts w:asciiTheme="majorBidi" w:hAnsiTheme="majorBidi" w:cs="Times New Roman"/>
          <w:sz w:val="24"/>
          <w:szCs w:val="24"/>
          <w:rtl/>
          <w:lang w:val="en-GB"/>
        </w:rPr>
      </w:pPr>
      <w:r w:rsidRPr="00332AB8">
        <w:rPr>
          <w:rFonts w:asciiTheme="majorBidi" w:hAnsiTheme="majorBidi" w:cs="Times New Roman"/>
          <w:sz w:val="24"/>
          <w:szCs w:val="24"/>
          <w:lang w:val="en-GB"/>
        </w:rPr>
        <w:t>Journalists and social media activists, including those abroad, also face extrajudicial intimidation; reports of grave abuses against detainees continue to come in.  Hence, the government relentlessly manipulates and control online data</w:t>
      </w:r>
      <w:r w:rsidRPr="00332AB8">
        <w:rPr>
          <w:rFonts w:asciiTheme="majorBidi" w:hAnsiTheme="majorBidi" w:cs="Times New Roman"/>
          <w:sz w:val="24"/>
          <w:szCs w:val="24"/>
          <w:rtl/>
          <w:lang w:val="en-GB"/>
        </w:rPr>
        <w:t>.</w:t>
      </w:r>
    </w:p>
    <w:p w:rsidR="00332AB8" w:rsidRPr="00332AB8" w:rsidRDefault="00332AB8" w:rsidP="00332AB8">
      <w:pPr>
        <w:rPr>
          <w:rFonts w:asciiTheme="majorBidi" w:hAnsiTheme="majorBidi" w:cs="Times New Roman"/>
          <w:sz w:val="24"/>
          <w:szCs w:val="24"/>
          <w:rtl/>
          <w:lang w:val="en-GB"/>
        </w:rPr>
      </w:pPr>
    </w:p>
    <w:p w:rsidR="00332AB8" w:rsidRPr="00332AB8" w:rsidRDefault="00332AB8" w:rsidP="00332AB8">
      <w:pPr>
        <w:rPr>
          <w:rFonts w:asciiTheme="majorBidi" w:hAnsiTheme="majorBidi" w:cs="Times New Roman"/>
          <w:sz w:val="24"/>
          <w:szCs w:val="24"/>
          <w:rtl/>
          <w:lang w:val="en-GB"/>
        </w:rPr>
      </w:pPr>
      <w:r w:rsidRPr="00332AB8">
        <w:rPr>
          <w:rFonts w:asciiTheme="majorBidi" w:hAnsiTheme="majorBidi" w:cs="Times New Roman"/>
          <w:sz w:val="24"/>
          <w:szCs w:val="24"/>
          <w:lang w:val="en-GB"/>
        </w:rPr>
        <w:t>Between 2011 and the end of 2021, the Bahraini authorities carried out (20107) cases of arbitrary arrest related to the popular protests that erupted in February 2011, according to local rights reports.  It appears that most of the monitored arrests fall into at least (1) of the following (2) categories, according to the classification of the United Nations Working Group on Arbitrary Detention, where arbitrary deprivation of liberty occurs if it results from the exercise of freedom of expression and assembly (Category I), and if the rules do not respect the international law relating to the right to a fair trial (Category III)</w:t>
      </w:r>
      <w:r w:rsidRPr="00332AB8">
        <w:rPr>
          <w:rFonts w:asciiTheme="majorBidi" w:hAnsiTheme="majorBidi" w:cs="Times New Roman"/>
          <w:sz w:val="24"/>
          <w:szCs w:val="24"/>
          <w:rtl/>
          <w:lang w:val="en-GB"/>
        </w:rPr>
        <w:t>.</w:t>
      </w:r>
    </w:p>
    <w:p w:rsidR="00332AB8" w:rsidRPr="00332AB8" w:rsidRDefault="00332AB8" w:rsidP="00332AB8">
      <w:pPr>
        <w:rPr>
          <w:rFonts w:asciiTheme="majorBidi" w:hAnsiTheme="majorBidi" w:cs="Times New Roman"/>
          <w:sz w:val="24"/>
          <w:szCs w:val="24"/>
          <w:rtl/>
          <w:lang w:val="en-GB"/>
        </w:rPr>
      </w:pPr>
    </w:p>
    <w:p w:rsidR="00332AB8" w:rsidRPr="00332AB8" w:rsidRDefault="00332AB8" w:rsidP="00332AB8">
      <w:pPr>
        <w:rPr>
          <w:rFonts w:asciiTheme="majorBidi" w:hAnsiTheme="majorBidi" w:cs="Times New Roman"/>
          <w:sz w:val="24"/>
          <w:szCs w:val="24"/>
          <w:rtl/>
          <w:lang w:val="en-GB"/>
        </w:rPr>
      </w:pPr>
      <w:r w:rsidRPr="00332AB8">
        <w:rPr>
          <w:rFonts w:asciiTheme="majorBidi" w:hAnsiTheme="majorBidi" w:cs="Times New Roman"/>
          <w:sz w:val="24"/>
          <w:szCs w:val="24"/>
          <w:lang w:val="en-GB"/>
        </w:rPr>
        <w:lastRenderedPageBreak/>
        <w:t>Paragraph 1281 of BICI’s report states: Article 165 of the Penal Code has been applied in a manner that violates freedom of opinion and freedom of expression, as opinions that express opposition to the existing regime in Bahrain and opinions calling for any peaceful change in the structure or system of government or calling for regime change were excluded from public debate</w:t>
      </w:r>
      <w:r w:rsidRPr="00332AB8">
        <w:rPr>
          <w:rFonts w:asciiTheme="majorBidi" w:hAnsiTheme="majorBidi" w:cs="Times New Roman"/>
          <w:sz w:val="24"/>
          <w:szCs w:val="24"/>
          <w:rtl/>
          <w:lang w:val="en-GB"/>
        </w:rPr>
        <w:t>.</w:t>
      </w:r>
    </w:p>
    <w:p w:rsidR="00332AB8" w:rsidRPr="00332AB8" w:rsidRDefault="00332AB8" w:rsidP="00332AB8">
      <w:pPr>
        <w:rPr>
          <w:rFonts w:asciiTheme="majorBidi" w:hAnsiTheme="majorBidi" w:cs="Times New Roman"/>
          <w:sz w:val="24"/>
          <w:szCs w:val="24"/>
          <w:rtl/>
          <w:lang w:val="en-GB"/>
        </w:rPr>
      </w:pPr>
    </w:p>
    <w:p w:rsidR="00332AB8" w:rsidRPr="00332AB8" w:rsidRDefault="00332AB8" w:rsidP="00332AB8">
      <w:pPr>
        <w:rPr>
          <w:rFonts w:asciiTheme="majorBidi" w:hAnsiTheme="majorBidi" w:cs="Times New Roman"/>
          <w:sz w:val="24"/>
          <w:szCs w:val="24"/>
          <w:rtl/>
          <w:lang w:val="en-GB"/>
        </w:rPr>
      </w:pPr>
      <w:r w:rsidRPr="00332AB8">
        <w:rPr>
          <w:rFonts w:asciiTheme="majorBidi" w:hAnsiTheme="majorBidi" w:cs="Times New Roman"/>
          <w:sz w:val="24"/>
          <w:szCs w:val="24"/>
          <w:lang w:val="en-GB"/>
        </w:rPr>
        <w:t xml:space="preserve">Criticism of official figures and government institutions in the public and political spheres is criminalised in Bahrain, and among the figures who have been retaliated for exercising freedom of expression is Sheikh Ali Salman, SG of Al </w:t>
      </w:r>
      <w:proofErr w:type="spellStart"/>
      <w:r w:rsidRPr="00332AB8">
        <w:rPr>
          <w:rFonts w:asciiTheme="majorBidi" w:hAnsiTheme="majorBidi" w:cs="Times New Roman"/>
          <w:sz w:val="24"/>
          <w:szCs w:val="24"/>
          <w:lang w:val="en-GB"/>
        </w:rPr>
        <w:t>Wefaq</w:t>
      </w:r>
      <w:proofErr w:type="spellEnd"/>
      <w:r w:rsidRPr="00332AB8">
        <w:rPr>
          <w:rFonts w:asciiTheme="majorBidi" w:hAnsiTheme="majorBidi" w:cs="Times New Roman"/>
          <w:sz w:val="24"/>
          <w:szCs w:val="24"/>
          <w:lang w:val="en-GB"/>
        </w:rPr>
        <w:t xml:space="preserve"> National Islamic Society. Further, trials and prosecutions continue against many for publishing statements and opinions opposing or criticising the government’s policy, which is a violation of the principle of legally identifying violations, which implies that the legitimate exercise of basic freedoms cannot be legally described as violations, because the penal code should prohibit only forms of </w:t>
      </w:r>
      <w:proofErr w:type="spellStart"/>
      <w:r w:rsidRPr="00332AB8">
        <w:rPr>
          <w:rFonts w:asciiTheme="majorBidi" w:hAnsiTheme="majorBidi" w:cs="Times New Roman"/>
          <w:sz w:val="24"/>
          <w:szCs w:val="24"/>
          <w:lang w:val="en-GB"/>
        </w:rPr>
        <w:t>behavior</w:t>
      </w:r>
      <w:proofErr w:type="spellEnd"/>
      <w:r w:rsidRPr="00332AB8">
        <w:rPr>
          <w:rFonts w:asciiTheme="majorBidi" w:hAnsiTheme="majorBidi" w:cs="Times New Roman"/>
          <w:sz w:val="24"/>
          <w:szCs w:val="24"/>
          <w:lang w:val="en-GB"/>
        </w:rPr>
        <w:t xml:space="preserve"> that harm society</w:t>
      </w:r>
      <w:r w:rsidRPr="00332AB8">
        <w:rPr>
          <w:rFonts w:asciiTheme="majorBidi" w:hAnsiTheme="majorBidi" w:cs="Times New Roman"/>
          <w:sz w:val="24"/>
          <w:szCs w:val="24"/>
          <w:rtl/>
          <w:lang w:val="en-GB"/>
        </w:rPr>
        <w:t xml:space="preserve">.  </w:t>
      </w:r>
    </w:p>
    <w:p w:rsidR="00332AB8" w:rsidRPr="00332AB8" w:rsidRDefault="00332AB8" w:rsidP="00332AB8">
      <w:pPr>
        <w:rPr>
          <w:rFonts w:asciiTheme="majorBidi" w:hAnsiTheme="majorBidi" w:cs="Times New Roman"/>
          <w:sz w:val="24"/>
          <w:szCs w:val="24"/>
          <w:rtl/>
          <w:lang w:val="en-GB"/>
        </w:rPr>
      </w:pPr>
    </w:p>
    <w:p w:rsidR="00332AB8" w:rsidRPr="00332AB8" w:rsidRDefault="00332AB8" w:rsidP="00332AB8">
      <w:pPr>
        <w:rPr>
          <w:rFonts w:asciiTheme="majorBidi" w:hAnsiTheme="majorBidi" w:cs="Times New Roman"/>
          <w:sz w:val="24"/>
          <w:szCs w:val="24"/>
          <w:rtl/>
          <w:lang w:val="en-GB"/>
        </w:rPr>
      </w:pPr>
      <w:r w:rsidRPr="00332AB8">
        <w:rPr>
          <w:rFonts w:asciiTheme="majorBidi" w:hAnsiTheme="majorBidi" w:cs="Times New Roman"/>
          <w:sz w:val="24"/>
          <w:szCs w:val="24"/>
          <w:lang w:val="en-GB"/>
        </w:rPr>
        <w:t>This is the same result presented by the BICI’s report, in paragraphs 1282 to 1284, which refers to the application of articles of the Bahraini Penal Code with the aim of restricting freedom of opinion and expression, without these articles providing for a material act that results in harm to the society or the individual</w:t>
      </w:r>
      <w:r w:rsidRPr="00332AB8">
        <w:rPr>
          <w:rFonts w:asciiTheme="majorBidi" w:hAnsiTheme="majorBidi" w:cs="Times New Roman"/>
          <w:sz w:val="24"/>
          <w:szCs w:val="24"/>
          <w:rtl/>
          <w:lang w:val="en-GB"/>
        </w:rPr>
        <w:t>.</w:t>
      </w:r>
    </w:p>
    <w:p w:rsidR="00332AB8" w:rsidRPr="00332AB8" w:rsidRDefault="00332AB8" w:rsidP="00332AB8">
      <w:pPr>
        <w:rPr>
          <w:rFonts w:asciiTheme="majorBidi" w:hAnsiTheme="majorBidi" w:cs="Times New Roman"/>
          <w:sz w:val="24"/>
          <w:szCs w:val="24"/>
          <w:rtl/>
          <w:lang w:val="en-GB"/>
        </w:rPr>
      </w:pPr>
    </w:p>
    <w:p w:rsidR="00332AB8" w:rsidRPr="00332AB8" w:rsidRDefault="00332AB8" w:rsidP="00332AB8">
      <w:pPr>
        <w:rPr>
          <w:rFonts w:asciiTheme="majorBidi" w:hAnsiTheme="majorBidi" w:cs="Times New Roman"/>
          <w:sz w:val="24"/>
          <w:szCs w:val="24"/>
          <w:rtl/>
          <w:lang w:val="en-GB"/>
        </w:rPr>
      </w:pPr>
      <w:r w:rsidRPr="00332AB8">
        <w:rPr>
          <w:rFonts w:asciiTheme="majorBidi" w:hAnsiTheme="majorBidi" w:cs="Times New Roman"/>
          <w:sz w:val="24"/>
          <w:szCs w:val="24"/>
          <w:rtl/>
          <w:lang w:val="en-GB"/>
        </w:rPr>
        <w:t xml:space="preserve"> </w:t>
      </w:r>
      <w:r w:rsidRPr="00332AB8">
        <w:rPr>
          <w:rFonts w:asciiTheme="majorBidi" w:hAnsiTheme="majorBidi" w:cs="Times New Roman"/>
          <w:sz w:val="24"/>
          <w:szCs w:val="24"/>
          <w:lang w:val="en-GB"/>
        </w:rPr>
        <w:t>For instance, Paragraph 1284 states, “Articles 165, 168, and 169 of the Penal Code also restrict freedom of opinion and expression by criminalising incitement to hatred against the regime or harming the public interest, without stipulating any material act that results in harm to society or the individual, and it has been applied  to suppress legitimate criticism of the government</w:t>
      </w:r>
      <w:r w:rsidRPr="00332AB8">
        <w:rPr>
          <w:rFonts w:asciiTheme="majorBidi" w:hAnsiTheme="majorBidi" w:cs="Times New Roman"/>
          <w:sz w:val="24"/>
          <w:szCs w:val="24"/>
          <w:rtl/>
          <w:lang w:val="en-GB"/>
        </w:rPr>
        <w:t>.”</w:t>
      </w:r>
    </w:p>
    <w:p w:rsidR="00C8525A" w:rsidRDefault="00C8525A">
      <w:pPr>
        <w:jc w:val="both"/>
        <w:rPr>
          <w:rFonts w:ascii="Times New Roman" w:eastAsia="Times New Roman" w:hAnsi="Times New Roman" w:cs="Times New Roman"/>
          <w:sz w:val="24"/>
          <w:szCs w:val="24"/>
          <w:lang w:val="en-GB"/>
        </w:rPr>
      </w:pPr>
    </w:p>
    <w:p w:rsidR="00C8525A" w:rsidRPr="00D34E2F" w:rsidRDefault="00C8525A" w:rsidP="00D34E2F">
      <w:pPr>
        <w:pStyle w:val="Heading1"/>
        <w:rPr>
          <w:rFonts w:ascii="Times New Roman" w:hAnsi="Times New Roman" w:cs="Times New Roman"/>
          <w:sz w:val="24"/>
          <w:szCs w:val="24"/>
        </w:rPr>
      </w:pPr>
      <w:bookmarkStart w:id="2" w:name="_Toc100848453"/>
      <w:r w:rsidRPr="00D34E2F">
        <w:rPr>
          <w:rFonts w:ascii="Times New Roman" w:hAnsi="Times New Roman" w:cs="Times New Roman"/>
          <w:sz w:val="24"/>
          <w:szCs w:val="24"/>
        </w:rPr>
        <w:t>II - Violations of Political Rights</w:t>
      </w:r>
      <w:bookmarkEnd w:id="2"/>
    </w:p>
    <w:p w:rsidR="00C8525A" w:rsidRPr="00332AB8" w:rsidRDefault="00C8525A">
      <w:pPr>
        <w:jc w:val="both"/>
        <w:rPr>
          <w:rFonts w:ascii="Times New Roman" w:eastAsia="Times New Roman" w:hAnsi="Times New Roman" w:cs="Times New Roman"/>
          <w:sz w:val="24"/>
          <w:szCs w:val="24"/>
          <w:lang w:val="en-GB"/>
        </w:rPr>
      </w:pPr>
    </w:p>
    <w:p w:rsidR="00B160C9" w:rsidRDefault="00D207EB" w:rsidP="00713C4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Bahrain, when addressing political rights and the rights associated with them on the one hand, and the political and human rights situation on the other hand, we notice the absence of many of these rights and the existence of broad violations that undermine political and human rights action, leading up to the political isolation practiced against all members of opposition political societies in 2018.</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Some of the reasons that caused the violation of political rights are the constitutional amendments in 2002 and subsequent amendments, which led to the lack of significant political principles and rights, particularly the principle stating that "the people are the source of powers". This–in conjunction with government procedures and measures–led to the absence of this principle among others, to be explained, which resulted in the violation of political rights in Bahrain that included: preventing political gatherings, dissolving and targeting political societies, especially opposition groups, prosecuting and targeting political activists for exercising their freedom of opinion and expression, and practicing political isolation against political societies and their members by the government in the 2018 elections.</w:t>
      </w:r>
    </w:p>
    <w:p w:rsidR="00B160C9" w:rsidRDefault="00D207EB">
      <w:pPr>
        <w:numPr>
          <w:ilvl w:val="0"/>
          <w:numId w:val="2"/>
        </w:numPr>
        <w:jc w:val="both"/>
        <w:rPr>
          <w:rFonts w:ascii="Times New Roman" w:eastAsia="Times New Roman" w:hAnsi="Times New Roman" w:cs="Times New Roman"/>
          <w:b/>
          <w:sz w:val="24"/>
          <w:szCs w:val="24"/>
        </w:rPr>
      </w:pPr>
      <w:bookmarkStart w:id="3" w:name="_Toc100848454"/>
      <w:r w:rsidRPr="00002534">
        <w:rPr>
          <w:rStyle w:val="Heading2Char"/>
          <w:rFonts w:asciiTheme="majorBidi" w:hAnsiTheme="majorBidi"/>
          <w:b/>
          <w:bCs/>
          <w:color w:val="000000" w:themeColor="text1"/>
          <w:sz w:val="24"/>
          <w:szCs w:val="24"/>
        </w:rPr>
        <w:t>Constitutional Amendments of 2012</w:t>
      </w:r>
      <w:bookmarkEnd w:id="3"/>
      <w:r>
        <w:rPr>
          <w:rFonts w:ascii="Times New Roman" w:eastAsia="Times New Roman" w:hAnsi="Times New Roman" w:cs="Times New Roman"/>
          <w:b/>
          <w:sz w:val="24"/>
          <w:szCs w:val="24"/>
          <w:vertAlign w:val="superscript"/>
        </w:rPr>
        <w:footnoteReference w:id="1"/>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constitutional amendments that were approved on May 3, 2012, were extensive, under which the texts of Articles (42, clause c), (52), (53), (57, clause a), (59), (65) and (67 clauses b, c, d), (68), (83), (85), (86), (88), (91, first paragraph), (92 clause a), (102), (103) and (109 clauses b, c), (115) and (120 clause a), were changed.</w:t>
      </w:r>
    </w:p>
    <w:p w:rsidR="00B160C9" w:rsidRDefault="00713C4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D207EB">
        <w:rPr>
          <w:rFonts w:ascii="Times New Roman" w:eastAsia="Times New Roman" w:hAnsi="Times New Roman" w:cs="Times New Roman"/>
          <w:sz w:val="24"/>
          <w:szCs w:val="24"/>
        </w:rPr>
        <w:t>t is safe to say that some of these amendments were supportive of the government, and guaranteed that it, or its program, would not be affected. Paragraph (d) of Article 67 stipulates, “If the Council of Representatives decides by a majority of two thirds of its members that it is not possible to cooperate with the Prime Minister, the matter is submitted to the King for a decision, either by relieving the Prime Minister of his post and appointing a new Government, or by dissolving the Chamber of Deputies.” This means that the Council of Representatives cannot have any effect on the executive authority, since it is impossible to have two-thirds of the parliament's members vote on the inability to cooperate with the Prime Minister. Nonetheless, even if this is achieved, the final decision will be in the hands of the King, who can, in light of this article, dissolve the Council of Representatives and appoint a new Council of Ministers.</w:t>
      </w:r>
    </w:p>
    <w:p w:rsidR="00B160C9" w:rsidRDefault="00B160C9">
      <w:pPr>
        <w:jc w:val="both"/>
        <w:rPr>
          <w:rFonts w:ascii="Times New Roman" w:eastAsia="Times New Roman" w:hAnsi="Times New Roman" w:cs="Times New Roman"/>
          <w:b/>
          <w:sz w:val="24"/>
          <w:szCs w:val="24"/>
        </w:rPr>
      </w:pPr>
    </w:p>
    <w:p w:rsidR="00B160C9" w:rsidRDefault="00D207EB">
      <w:pPr>
        <w:numPr>
          <w:ilvl w:val="0"/>
          <w:numId w:val="1"/>
        </w:numPr>
        <w:jc w:val="both"/>
        <w:rPr>
          <w:rFonts w:ascii="Times New Roman" w:eastAsia="Times New Roman" w:hAnsi="Times New Roman" w:cs="Times New Roman"/>
          <w:b/>
          <w:sz w:val="24"/>
          <w:szCs w:val="24"/>
        </w:rPr>
      </w:pPr>
      <w:bookmarkStart w:id="4" w:name="_Toc100848455"/>
      <w:r w:rsidRPr="00002534">
        <w:rPr>
          <w:rStyle w:val="Heading2Char"/>
          <w:rFonts w:asciiTheme="majorBidi" w:hAnsiTheme="majorBidi"/>
          <w:b/>
          <w:bCs/>
          <w:color w:val="000000" w:themeColor="text1"/>
          <w:sz w:val="24"/>
          <w:szCs w:val="24"/>
        </w:rPr>
        <w:t>Constitutional Amendment of 2017</w:t>
      </w:r>
      <w:bookmarkEnd w:id="4"/>
      <w:r>
        <w:rPr>
          <w:rFonts w:ascii="Times New Roman" w:eastAsia="Times New Roman" w:hAnsi="Times New Roman" w:cs="Times New Roman"/>
          <w:b/>
          <w:sz w:val="24"/>
          <w:szCs w:val="24"/>
          <w:vertAlign w:val="superscript"/>
        </w:rPr>
        <w:footnoteReference w:id="2"/>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Monday, April 3, 2017, the King of Bahrain ratified the constitutional amendment that grants the military judiciary broad powers, including trying civilians before military courts. The constitutional amendment stipulates replacing Article (105/paragraph b) of the constitution to state the following: "The law regulates the military judiciary and shows its competencies with regards to the Bahrain Defense Force, National Guards, and the Public Security Forces," in place of the paragraph currently in force, which stipulates, "The jurisdiction of military courts shall be confined to military offences committed by members of the Defense Force, the National Guard, and the </w:t>
      </w:r>
      <w:r>
        <w:rPr>
          <w:rFonts w:ascii="Times New Roman" w:eastAsia="Times New Roman" w:hAnsi="Times New Roman" w:cs="Times New Roman"/>
          <w:sz w:val="24"/>
          <w:szCs w:val="24"/>
        </w:rPr>
        <w:lastRenderedPageBreak/>
        <w:t xml:space="preserve">Security Forces. It does not extend to other persons except when martial law is declared and within the bounds prescribed by law." </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noteworthy that the report of the Bahrain International Commission of Inquiry (</w:t>
      </w:r>
      <w:proofErr w:type="spellStart"/>
      <w:r>
        <w:rPr>
          <w:rFonts w:ascii="Times New Roman" w:eastAsia="Times New Roman" w:hAnsi="Times New Roman" w:cs="Times New Roman"/>
          <w:sz w:val="24"/>
          <w:szCs w:val="24"/>
        </w:rPr>
        <w:t>Bassiouni</w:t>
      </w:r>
      <w:proofErr w:type="spellEnd"/>
      <w:r>
        <w:rPr>
          <w:rFonts w:ascii="Times New Roman" w:eastAsia="Times New Roman" w:hAnsi="Times New Roman" w:cs="Times New Roman"/>
          <w:sz w:val="24"/>
          <w:szCs w:val="24"/>
        </w:rPr>
        <w:t xml:space="preserve"> report) criticized trying civilians before military courts, during the implementation of the National Safety Law (State of emergency), which was declared by the King in March 2011, to counter the protests. The </w:t>
      </w:r>
      <w:proofErr w:type="spellStart"/>
      <w:r>
        <w:rPr>
          <w:rFonts w:ascii="Times New Roman" w:eastAsia="Times New Roman" w:hAnsi="Times New Roman" w:cs="Times New Roman"/>
          <w:sz w:val="24"/>
          <w:szCs w:val="24"/>
        </w:rPr>
        <w:t>Bassiouni</w:t>
      </w:r>
      <w:proofErr w:type="spellEnd"/>
      <w:r>
        <w:rPr>
          <w:rFonts w:ascii="Times New Roman" w:eastAsia="Times New Roman" w:hAnsi="Times New Roman" w:cs="Times New Roman"/>
          <w:sz w:val="24"/>
          <w:szCs w:val="24"/>
        </w:rPr>
        <w:t xml:space="preserve"> report had recommended redoing all the trials in civil courts.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procedural mechanism adopted for amending the Constitution</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dictates going through several procedures, through which it is hard to amend the constitution without the approval of the authorities. However, this amendment was carried out at a rapid pace. The Council of Representatives held, on Sunday, February 5, 2017, a special session for that matter, and approved the amendment proposal, and it was referred to the Council of Representatives’ Legislative and Legal Affairs Committee, which approved it. At the Council of Representatives’ session held on Tuesday, February 21, 2017, the parliament majority approved the draft amendment, with 31 out of 40 MPs voting in favor. The amendment was urgently referred to the Consultative (</w:t>
      </w:r>
      <w:proofErr w:type="spellStart"/>
      <w:r>
        <w:rPr>
          <w:rFonts w:ascii="Times New Roman" w:eastAsia="Times New Roman" w:hAnsi="Times New Roman" w:cs="Times New Roman"/>
          <w:sz w:val="24"/>
          <w:szCs w:val="24"/>
        </w:rPr>
        <w:t>Shura</w:t>
      </w:r>
      <w:proofErr w:type="spellEnd"/>
      <w:r>
        <w:rPr>
          <w:rFonts w:ascii="Times New Roman" w:eastAsia="Times New Roman" w:hAnsi="Times New Roman" w:cs="Times New Roman"/>
          <w:sz w:val="24"/>
          <w:szCs w:val="24"/>
        </w:rPr>
        <w:t>) Council.</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constitutional amendment request was accompanied by a media campaign aimed at passing the amendment, and political meetings between members of the Council of Representatives and government figures. All of that clearly showed the government's desire to tighten its security and judicial measures in order to face escalating protests. The constitutional amendment was followed by an amendment to the Military Judiciary Law promulgated by Legislative Decree No. (34)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2002, whose articles clearly demonstrated the government's intention to try civilians before military courts in cases related to the political crisis in Bahrain.</w:t>
      </w:r>
      <w:r>
        <w:rPr>
          <w:rFonts w:ascii="Times New Roman" w:eastAsia="Times New Roman" w:hAnsi="Times New Roman" w:cs="Times New Roman"/>
          <w:sz w:val="24"/>
          <w:szCs w:val="24"/>
          <w:vertAlign w:val="superscript"/>
        </w:rPr>
        <w:footnoteReference w:id="4"/>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adoption of this constitutional amendment was carried out even though it violated laws and human rights guarantees and despite the existence of many legal issues concerning it and concerning the Military Judiciary Law.</w:t>
      </w:r>
      <w:r>
        <w:rPr>
          <w:rFonts w:ascii="Times New Roman" w:eastAsia="Times New Roman" w:hAnsi="Times New Roman" w:cs="Times New Roman"/>
          <w:sz w:val="24"/>
          <w:szCs w:val="24"/>
          <w:vertAlign w:val="superscript"/>
        </w:rPr>
        <w:footnoteReference w:id="5"/>
      </w:r>
    </w:p>
    <w:p w:rsidR="00B160C9" w:rsidRDefault="00B160C9">
      <w:pPr>
        <w:jc w:val="both"/>
        <w:rPr>
          <w:rFonts w:ascii="Times New Roman" w:eastAsia="Times New Roman" w:hAnsi="Times New Roman" w:cs="Times New Roman"/>
          <w:b/>
          <w:sz w:val="24"/>
          <w:szCs w:val="24"/>
        </w:rPr>
      </w:pPr>
    </w:p>
    <w:p w:rsidR="00B160C9" w:rsidRPr="00002534" w:rsidRDefault="00D207EB" w:rsidP="00002534">
      <w:pPr>
        <w:pStyle w:val="Heading2"/>
        <w:numPr>
          <w:ilvl w:val="0"/>
          <w:numId w:val="4"/>
        </w:numPr>
        <w:rPr>
          <w:rFonts w:asciiTheme="majorBidi" w:eastAsia="Times New Roman" w:hAnsiTheme="majorBidi"/>
          <w:b/>
          <w:bCs/>
          <w:color w:val="000000" w:themeColor="text1"/>
          <w:sz w:val="24"/>
          <w:szCs w:val="24"/>
        </w:rPr>
      </w:pPr>
      <w:bookmarkStart w:id="5" w:name="_Toc100848456"/>
      <w:r w:rsidRPr="00002534">
        <w:rPr>
          <w:rFonts w:asciiTheme="majorBidi" w:eastAsia="Times New Roman" w:hAnsiTheme="majorBidi"/>
          <w:b/>
          <w:bCs/>
          <w:color w:val="000000" w:themeColor="text1"/>
          <w:sz w:val="24"/>
          <w:szCs w:val="24"/>
        </w:rPr>
        <w:t>Legislations and Laws on Political Rights</w:t>
      </w:r>
      <w:bookmarkEnd w:id="5"/>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said that many political rights in Bahrain have been confiscated, due to the constitutional amendments as well as some laws and legislations that were issued in light of these amendments, or due to the manner in which they are implemented. This has made political life in Bahrain, and the rights associated with it, witness a decline in the legislative field and in the practical implementation of these laws and legislations, as well as in the method of exercising these rights–</w:t>
      </w:r>
      <w:r>
        <w:rPr>
          <w:rFonts w:ascii="Times New Roman" w:eastAsia="Times New Roman" w:hAnsi="Times New Roman" w:cs="Times New Roman"/>
          <w:sz w:val="24"/>
          <w:szCs w:val="24"/>
        </w:rPr>
        <w:lastRenderedPageBreak/>
        <w:t>before which the government puts obstacles and security measures that limit exercising them, and even violate them in many cases.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of this occurs despite the fact that international conventions and treaties and constitutions, including the Constitution of Bahrain, emphasize the importance of political rights by describing them as among the significant human rights. On the international level, Article 25 of the International Covenant on Civil and Political Rights stipulates, “Every citizen shall have the right and the opportunity, without any of the distinctions mentioned in article 2 and without unreasonable restrictions: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To take part in the conduct of public affairs, directly or through freely chosen representatives;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To vote and to be elected at genuine periodic elections which shall be by universal and equal suffrage and shall be held by secret ballot, guaranteeing the free expression of the will of the electors;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To have access, on general terms of equality, to public service in his country.”</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exercise of political rights is also stated in the Universal Declaration of Human Rights, Article 21, paragraph 1 of which stipulates, “Everyone has the right to take part in the government of his country, directly or through freely chosen representatives.”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for the Bahraini Constitution, paragraph e of Article 1 stipulates, “Citizens, both men and women, are entitled to participate in public affairs and may enjoy political rights, including the right to vote and to stand for elections, in accordance with this Constitution and the conditions and principles laid down by law. No citizen can be deprived of the right to vote or to nominate oneself for elections except by law.”</w:t>
      </w:r>
    </w:p>
    <w:p w:rsidR="00B160C9" w:rsidRDefault="00D207EB" w:rsidP="00713C4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regard to the legislation that guarantees political rights in Bahrain, a set of laws were issued, the most important of which is Decree-Law No. 13 of 1972 on the Provisions for the Election of the Constituent Assembly, which was adopted for electing the Council of Representatives in 1973. The government repealed this law, and issued a number of laws after the constitutional amendments in 2002. </w:t>
      </w:r>
    </w:p>
    <w:p w:rsidR="00B160C9" w:rsidRDefault="00713C43" w:rsidP="00713C4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D207EB">
        <w:rPr>
          <w:rFonts w:ascii="Times New Roman" w:eastAsia="Times New Roman" w:hAnsi="Times New Roman" w:cs="Times New Roman"/>
          <w:sz w:val="24"/>
          <w:szCs w:val="24"/>
        </w:rPr>
        <w:t>hese laws</w:t>
      </w:r>
      <w:r>
        <w:rPr>
          <w:rFonts w:ascii="Times New Roman" w:eastAsia="Times New Roman" w:hAnsi="Times New Roman" w:cs="Times New Roman"/>
          <w:sz w:val="24"/>
          <w:szCs w:val="24"/>
        </w:rPr>
        <w:t xml:space="preserve"> </w:t>
      </w:r>
      <w:r w:rsidR="00D207EB">
        <w:rPr>
          <w:rFonts w:ascii="Times New Roman" w:eastAsia="Times New Roman" w:hAnsi="Times New Roman" w:cs="Times New Roman"/>
          <w:sz w:val="24"/>
          <w:szCs w:val="24"/>
        </w:rPr>
        <w:t>were not issued by a legislative body, but rather by the authorities and royal will. These laws contradict some principles and legislations that guarantee the political rights of all citizens in accordance with what international laws indicate, and some of them even contradict the principles of constitutional jurisprudence.</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instance, it can be said that Decree-Law No. (15) of 2002 regarding the </w:t>
      </w:r>
      <w:proofErr w:type="spellStart"/>
      <w:r>
        <w:rPr>
          <w:rFonts w:ascii="Times New Roman" w:eastAsia="Times New Roman" w:hAnsi="Times New Roman" w:cs="Times New Roman"/>
          <w:sz w:val="24"/>
          <w:szCs w:val="24"/>
        </w:rPr>
        <w:t>Shura</w:t>
      </w:r>
      <w:proofErr w:type="spellEnd"/>
      <w:r>
        <w:rPr>
          <w:rFonts w:ascii="Times New Roman" w:eastAsia="Times New Roman" w:hAnsi="Times New Roman" w:cs="Times New Roman"/>
          <w:sz w:val="24"/>
          <w:szCs w:val="24"/>
        </w:rPr>
        <w:t xml:space="preserve"> Council and the House of Representatives, which regulates the appointment of members of the Consultative Council and running for Parliament, has reduced the people's power in terms of political participation and the management of the country's public affairs–stipulated in Article 25 of the </w:t>
      </w:r>
      <w:r>
        <w:rPr>
          <w:rFonts w:ascii="Times New Roman" w:eastAsia="Times New Roman" w:hAnsi="Times New Roman" w:cs="Times New Roman"/>
          <w:sz w:val="24"/>
          <w:szCs w:val="24"/>
        </w:rPr>
        <w:lastRenderedPageBreak/>
        <w:t>International Covenant on Civil and Political Rights–since this law caused half of the legislative authority to be appointed by the king.</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regard to the Law on Exercising Political Rights No. (14)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2002, it can be said that Decree Law No. (13)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1972 on the Provisions for the Election of the Constituent Assembly–which was adopted for the elections of the House of Representatives in 1973–came ahead of the Law on Exercising Political Rights No. (14)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2002. The new law gave the authorities the power to distribute electoral districts and control the voters' lists, according to Article 17 thereof, which stipulates, “[...] a decree shall be issued to specify regions and electoral districts and their boundaries, and the number of sub-committees needed to conduct the polling and counting processes [...].” This led to the unfair distribution of electoral districts, and the removal of many from the voters' list for political reasons.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should be noted that this law was amended to prevent a large number of citizens from the right to vote and run in the 2018 elections. As part of the procedures aimed at confiscating political and civil rights, and by using the parliament and other institutions to achieve their goals, the Bahraini authorities carried out a legislative amendment, among other amendments regarding the exercise of political rights, in order to prevent a large number of citizens from participating in the 2018 elections. This was included in a broad process aimed primarily at confiscating political rights through practicing political isolation against all members of political societies.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Article 1 of the law stated that “the text of paragraph 2 of article 3 of Decree Law No. (14)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2002 on Exercising Political Rights shall be replaced by the following text, and every one of the following shall be forbidden from running for parliament:”</w:t>
      </w:r>
      <w:r>
        <w:rPr>
          <w:rFonts w:ascii="Times New Roman" w:eastAsia="Times New Roman" w:hAnsi="Times New Roman" w:cs="Times New Roman"/>
          <w:sz w:val="24"/>
          <w:szCs w:val="24"/>
          <w:vertAlign w:val="superscript"/>
        </w:rPr>
        <w:footnoteReference w:id="6"/>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An individual convicted of committing a felony even if a special amnesty is granted or they have been rehabilitated.</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An individual sentenced to prison for deliberate offenses for more than six months, even if a special amnesty has been granted.</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Actual leaders and members of political societies, which have been dissolved by a final sentence for committing serious violations of the provisions of the constitution of the Kingdom or any of its laws.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Any individual who intentionally harms or disrupts the constitutional or parliamentary process by terminating or leaving parliamentary work in the Council of Representatives or having their membership revoked for the same reasons.</w:t>
      </w:r>
    </w:p>
    <w:p w:rsidR="00B160C9" w:rsidRDefault="00B160C9">
      <w:pPr>
        <w:jc w:val="both"/>
        <w:rPr>
          <w:rFonts w:ascii="Times New Roman" w:eastAsia="Times New Roman" w:hAnsi="Times New Roman" w:cs="Times New Roman"/>
          <w:sz w:val="24"/>
          <w:szCs w:val="24"/>
        </w:rPr>
      </w:pPr>
    </w:p>
    <w:tbl>
      <w:tblPr>
        <w:tblStyle w:val="a"/>
        <w:bidiVisual/>
        <w:tblW w:w="92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93"/>
      </w:tblGrid>
      <w:tr w:rsidR="00B160C9">
        <w:trPr>
          <w:trHeight w:val="2938"/>
        </w:trPr>
        <w:tc>
          <w:tcPr>
            <w:tcW w:w="9293" w:type="dxa"/>
            <w:shd w:val="clear" w:color="auto" w:fill="D9D9D9"/>
            <w:vAlign w:val="center"/>
          </w:tcPr>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Therefore, in light of this, thousands of Bahraini citizens were excluded from the right to vote and run for office in the 2018 elections. They include those convicted in politically-motivated cases such as participation in marches and rallies and many cases that involve freedom of opinion and expression, as well as thousands of citizens belonging to political societies that have been dissolved because of their opposition to government policy, whether they were the leaders of political societies, employees or members, simply because they are members of these societies.</w:t>
            </w:r>
          </w:p>
        </w:tc>
      </w:tr>
    </w:tbl>
    <w:p w:rsidR="00B160C9" w:rsidRDefault="00B160C9">
      <w:pPr>
        <w:jc w:val="both"/>
        <w:rPr>
          <w:rFonts w:ascii="Times New Roman" w:eastAsia="Times New Roman" w:hAnsi="Times New Roman" w:cs="Times New Roman"/>
          <w:sz w:val="24"/>
          <w:szCs w:val="24"/>
        </w:rPr>
      </w:pP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considered a clear violation of paragraph (e) of Article 1 of the Bahraini Constitution which stipulates, “Citizens, both men and women, are entitled to participate in public affairs and may enjoy political rights, including the right to vote and to stand for elections, in accordance with this Constitution and the conditions and principles laid down by law. No citizen can be deprived of the right to vote or to nominate oneself for elections except by law.”</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it can be said that the previous amendment to the Law on Exercising Political Rights directly affects the right to exercise rights and freedoms, and punishes citizens because of their political inclinations and affiliations. Denying them the right to participate in the 2018 elections because they were members of societies that were operating in accordance with the law, is a flagrant violation of the principles of the constitution, which stipulate the right of citizens to exercise rights and freedoms.</w:t>
      </w:r>
    </w:p>
    <w:p w:rsidR="00B160C9" w:rsidRDefault="00D207EB">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phrase “No citizen can be deprived of the right to vote or to nominate oneself for elections except by law” does not justify the regulation of a law that deprives anyone of these rights. The regulation of the law is supposed to rather put in place guarantees that ensure the exercise of rights and freedoms, especially since the Bahraini constitution stipulates a number of principles, including Article (4) which stipulates that freedom, equality and equal opportunities for citizens are pillars of society guaranteed by the State. Furthermore, Article (18) stipulates, “People are equal in human dignity, and citizens are equal before the law in public rights and duties. There shall be no discrimination among them on the basis of sex, origin, language, religion or creed.” Moreover, Article (31) stipulates, “The public rights and freedoms stated in this Constitution may only be regulated or limited by or in accordance with the law, and such regulation or limitation may not prejudice the essence of the right or freedom.”</w:t>
      </w:r>
    </w:p>
    <w:p w:rsidR="00B160C9" w:rsidRDefault="00D207EB" w:rsidP="00713C4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Bahraini Lawyer Abdullah Al-</w:t>
      </w:r>
      <w:proofErr w:type="spellStart"/>
      <w:r>
        <w:rPr>
          <w:rFonts w:ascii="Times New Roman" w:eastAsia="Times New Roman" w:hAnsi="Times New Roman" w:cs="Times New Roman"/>
          <w:sz w:val="24"/>
          <w:szCs w:val="24"/>
        </w:rPr>
        <w:t>Shamlawi</w:t>
      </w:r>
      <w:proofErr w:type="spellEnd"/>
      <w:r>
        <w:rPr>
          <w:rFonts w:ascii="Times New Roman" w:eastAsia="Times New Roman" w:hAnsi="Times New Roman" w:cs="Times New Roman"/>
          <w:sz w:val="24"/>
          <w:szCs w:val="24"/>
        </w:rPr>
        <w:t xml:space="preserve"> declared in an article entitled, </w:t>
      </w:r>
      <w:r>
        <w:rPr>
          <w:rFonts w:ascii="Times New Roman" w:eastAsia="Times New Roman" w:hAnsi="Times New Roman" w:cs="Times New Roman"/>
          <w:b/>
          <w:sz w:val="24"/>
          <w:szCs w:val="24"/>
        </w:rPr>
        <w:t>“The Extent to which the Political Isolation Law against Members of Political Societies Abides by the Constitution”</w:t>
      </w:r>
      <w:r>
        <w:rPr>
          <w:rFonts w:ascii="Times New Roman" w:eastAsia="Times New Roman" w:hAnsi="Times New Roman" w:cs="Times New Roman"/>
          <w:sz w:val="24"/>
          <w:szCs w:val="24"/>
        </w:rPr>
        <w:t xml:space="preserve"> that “the legislator has set, at his discretion, conditions in which he defines the legal positions which make individuals equal before the law, after using the discretionary power conferred to him as a constitutional mandate to which he referred the regulation of the citizen's exercise of </w:t>
      </w:r>
      <w:r>
        <w:rPr>
          <w:rFonts w:ascii="Times New Roman" w:eastAsia="Times New Roman" w:hAnsi="Times New Roman" w:cs="Times New Roman"/>
          <w:sz w:val="24"/>
          <w:szCs w:val="24"/>
        </w:rPr>
        <w:lastRenderedPageBreak/>
        <w:t>constitutional rights, without setting specific restrictions for this regulation, even though the legislative authority is originally considered a discretionary power when organizing rights, unless the constitution states specific restrictions, and the control of constitutionality of laws takes place, if existent, without being bound to the limits and restrictions stipulated by the constitution, the legislator’s regulation of the right of citizens to vote should not weaken this right or undermine it, as the provisions of law prevented groups of citizens from exercising their political rights, since this law affected their right to equality. Hence, these provisions have affected public rights guaranteed by the constitution, and have differentiated between citizens in practicing these rights; and the regular legislator has thus violated this right, which is subjected to what is handled by the Constitutional Court.”</w:t>
      </w:r>
      <w:r>
        <w:rPr>
          <w:rFonts w:ascii="Times New Roman" w:eastAsia="Times New Roman" w:hAnsi="Times New Roman" w:cs="Times New Roman"/>
          <w:sz w:val="24"/>
          <w:szCs w:val="24"/>
          <w:vertAlign w:val="superscript"/>
        </w:rPr>
        <w:footnoteReference w:id="7"/>
      </w:r>
    </w:p>
    <w:p w:rsidR="00B160C9" w:rsidRDefault="00B160C9">
      <w:pPr>
        <w:jc w:val="both"/>
        <w:rPr>
          <w:rFonts w:ascii="Times New Roman" w:eastAsia="Times New Roman" w:hAnsi="Times New Roman" w:cs="Times New Roman"/>
          <w:sz w:val="24"/>
          <w:szCs w:val="24"/>
        </w:rPr>
      </w:pPr>
    </w:p>
    <w:p w:rsidR="00B160C9" w:rsidRDefault="00D207EB" w:rsidP="000025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regard to Decree-Law No. (16)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2002 concerning the National Audit Office, we can say that this law eliminated the authority of financial and administrative supervision from the Council of Representatives and rendered it subordinate to the Royal Court. Its first article stipulates that “An independent body having public legal capacity shall be established under the name, the ‘National Audit Office,’ and is subordinate to the king. The office shall conduct financial supervisions over state funds and the funds of the entities stipulated in Article (4) of this law, and it ensures in particular the validity and legality of the use of these funds and their proper management pursuant to this law.”</w:t>
      </w:r>
    </w:p>
    <w:p w:rsidR="00C8525A" w:rsidRPr="00332AB8" w:rsidRDefault="00C8525A" w:rsidP="00C8525A">
      <w:pPr>
        <w:rPr>
          <w:rFonts w:asciiTheme="majorBidi" w:hAnsiTheme="majorBidi" w:cs="Times New Roman"/>
          <w:sz w:val="24"/>
          <w:szCs w:val="24"/>
          <w:rtl/>
          <w:lang w:val="en-GB"/>
        </w:rPr>
      </w:pPr>
    </w:p>
    <w:p w:rsidR="00C8525A" w:rsidRPr="00D34E2F" w:rsidRDefault="00C8525A" w:rsidP="00D34E2F">
      <w:pPr>
        <w:pStyle w:val="Heading1"/>
        <w:rPr>
          <w:rFonts w:ascii="Times New Roman" w:hAnsi="Times New Roman" w:cs="Times New Roman"/>
          <w:sz w:val="24"/>
          <w:szCs w:val="24"/>
          <w:rtl/>
          <w:lang w:val="en-GB"/>
        </w:rPr>
      </w:pPr>
      <w:bookmarkStart w:id="6" w:name="_Toc100848457"/>
      <w:r w:rsidRPr="00D34E2F">
        <w:rPr>
          <w:rFonts w:ascii="Times New Roman" w:hAnsi="Times New Roman" w:cs="Times New Roman"/>
          <w:sz w:val="24"/>
          <w:szCs w:val="24"/>
          <w:lang w:val="en-GB"/>
        </w:rPr>
        <w:t>III - Military Trials</w:t>
      </w:r>
      <w:bookmarkEnd w:id="6"/>
      <w:r w:rsidRPr="00D34E2F">
        <w:rPr>
          <w:rFonts w:ascii="Times New Roman" w:hAnsi="Times New Roman" w:cs="Times New Roman"/>
          <w:sz w:val="24"/>
          <w:szCs w:val="24"/>
          <w:rtl/>
          <w:lang w:val="en-GB"/>
        </w:rPr>
        <w:t xml:space="preserve"> </w:t>
      </w:r>
    </w:p>
    <w:p w:rsidR="00C8525A" w:rsidRPr="00332AB8" w:rsidRDefault="00C8525A" w:rsidP="00C8525A">
      <w:pPr>
        <w:rPr>
          <w:rFonts w:asciiTheme="majorBidi" w:hAnsiTheme="majorBidi" w:cs="Times New Roman"/>
          <w:sz w:val="24"/>
          <w:szCs w:val="24"/>
          <w:rtl/>
          <w:lang w:val="en-GB"/>
        </w:rPr>
      </w:pPr>
    </w:p>
    <w:p w:rsidR="00C8525A" w:rsidRPr="00332AB8" w:rsidRDefault="00C8525A" w:rsidP="00C8525A">
      <w:pPr>
        <w:rPr>
          <w:rFonts w:asciiTheme="majorBidi" w:hAnsiTheme="majorBidi" w:cs="Times New Roman"/>
          <w:sz w:val="24"/>
          <w:szCs w:val="24"/>
          <w:rtl/>
          <w:lang w:val="en-GB"/>
        </w:rPr>
      </w:pPr>
      <w:r w:rsidRPr="00332AB8">
        <w:rPr>
          <w:rFonts w:asciiTheme="majorBidi" w:hAnsiTheme="majorBidi" w:cs="Times New Roman"/>
          <w:sz w:val="24"/>
          <w:szCs w:val="24"/>
          <w:lang w:val="en-GB"/>
        </w:rPr>
        <w:t xml:space="preserve">The Bahraini authorities have used enforced disappearance and military trials as a means of political intimidation and revenge.  Some political detainees have been subjected to such abuse, and are currently detained in the </w:t>
      </w:r>
      <w:proofErr w:type="spellStart"/>
      <w:r w:rsidRPr="00332AB8">
        <w:rPr>
          <w:rFonts w:asciiTheme="majorBidi" w:hAnsiTheme="majorBidi" w:cs="Times New Roman"/>
          <w:sz w:val="24"/>
          <w:szCs w:val="24"/>
          <w:lang w:val="en-GB"/>
        </w:rPr>
        <w:t>Qurain</w:t>
      </w:r>
      <w:proofErr w:type="spellEnd"/>
      <w:r w:rsidRPr="00332AB8">
        <w:rPr>
          <w:rFonts w:asciiTheme="majorBidi" w:hAnsiTheme="majorBidi" w:cs="Times New Roman"/>
          <w:sz w:val="24"/>
          <w:szCs w:val="24"/>
          <w:lang w:val="en-GB"/>
        </w:rPr>
        <w:t xml:space="preserve"> Military Prison after being subjected to an unfair trial after an (illegal) constitutional amendment to Article 105 of the constitution allows the trial of civilians in the military judiciary in 2017. Among those detainees are: Muhammad </w:t>
      </w:r>
      <w:proofErr w:type="spellStart"/>
      <w:r w:rsidRPr="00332AB8">
        <w:rPr>
          <w:rFonts w:asciiTheme="majorBidi" w:hAnsiTheme="majorBidi" w:cs="Times New Roman"/>
          <w:sz w:val="24"/>
          <w:szCs w:val="24"/>
          <w:lang w:val="en-GB"/>
        </w:rPr>
        <w:t>Abd</w:t>
      </w:r>
      <w:proofErr w:type="spellEnd"/>
      <w:r w:rsidRPr="00332AB8">
        <w:rPr>
          <w:rFonts w:asciiTheme="majorBidi" w:hAnsiTheme="majorBidi" w:cs="Times New Roman"/>
          <w:sz w:val="24"/>
          <w:szCs w:val="24"/>
          <w:lang w:val="en-GB"/>
        </w:rPr>
        <w:t xml:space="preserve"> al-Hassan al-</w:t>
      </w:r>
      <w:proofErr w:type="spellStart"/>
      <w:r w:rsidRPr="00332AB8">
        <w:rPr>
          <w:rFonts w:asciiTheme="majorBidi" w:hAnsiTheme="majorBidi" w:cs="Times New Roman"/>
          <w:sz w:val="24"/>
          <w:szCs w:val="24"/>
          <w:lang w:val="en-GB"/>
        </w:rPr>
        <w:t>Metghawi</w:t>
      </w:r>
      <w:proofErr w:type="spellEnd"/>
      <w:r w:rsidRPr="00332AB8">
        <w:rPr>
          <w:rFonts w:asciiTheme="majorBidi" w:hAnsiTheme="majorBidi" w:cs="Times New Roman"/>
          <w:sz w:val="24"/>
          <w:szCs w:val="24"/>
          <w:lang w:val="en-GB"/>
        </w:rPr>
        <w:t xml:space="preserve">, </w:t>
      </w:r>
      <w:proofErr w:type="spellStart"/>
      <w:r w:rsidRPr="00332AB8">
        <w:rPr>
          <w:rFonts w:asciiTheme="majorBidi" w:hAnsiTheme="majorBidi" w:cs="Times New Roman"/>
          <w:sz w:val="24"/>
          <w:szCs w:val="24"/>
          <w:lang w:val="en-GB"/>
        </w:rPr>
        <w:t>Fahdel</w:t>
      </w:r>
      <w:proofErr w:type="spellEnd"/>
      <w:r w:rsidRPr="00332AB8">
        <w:rPr>
          <w:rFonts w:asciiTheme="majorBidi" w:hAnsiTheme="majorBidi" w:cs="Times New Roman"/>
          <w:sz w:val="24"/>
          <w:szCs w:val="24"/>
          <w:lang w:val="en-GB"/>
        </w:rPr>
        <w:t xml:space="preserve"> </w:t>
      </w:r>
      <w:proofErr w:type="spellStart"/>
      <w:r w:rsidRPr="00332AB8">
        <w:rPr>
          <w:rFonts w:asciiTheme="majorBidi" w:hAnsiTheme="majorBidi" w:cs="Times New Roman"/>
          <w:sz w:val="24"/>
          <w:szCs w:val="24"/>
          <w:lang w:val="en-GB"/>
        </w:rPr>
        <w:t>Sayyed</w:t>
      </w:r>
      <w:proofErr w:type="spellEnd"/>
      <w:r w:rsidRPr="00332AB8">
        <w:rPr>
          <w:rFonts w:asciiTheme="majorBidi" w:hAnsiTheme="majorBidi" w:cs="Times New Roman"/>
          <w:sz w:val="24"/>
          <w:szCs w:val="24"/>
          <w:lang w:val="en-GB"/>
        </w:rPr>
        <w:t xml:space="preserve"> Abbas </w:t>
      </w:r>
      <w:proofErr w:type="spellStart"/>
      <w:r w:rsidRPr="00332AB8">
        <w:rPr>
          <w:rFonts w:asciiTheme="majorBidi" w:hAnsiTheme="majorBidi" w:cs="Times New Roman"/>
          <w:sz w:val="24"/>
          <w:szCs w:val="24"/>
          <w:lang w:val="en-GB"/>
        </w:rPr>
        <w:t>Radhi</w:t>
      </w:r>
      <w:proofErr w:type="spellEnd"/>
      <w:r w:rsidRPr="00332AB8">
        <w:rPr>
          <w:rFonts w:asciiTheme="majorBidi" w:hAnsiTheme="majorBidi" w:cs="Times New Roman"/>
          <w:sz w:val="24"/>
          <w:szCs w:val="24"/>
          <w:lang w:val="en-GB"/>
        </w:rPr>
        <w:t xml:space="preserve">, </w:t>
      </w:r>
      <w:proofErr w:type="spellStart"/>
      <w:r w:rsidRPr="00332AB8">
        <w:rPr>
          <w:rFonts w:asciiTheme="majorBidi" w:hAnsiTheme="majorBidi" w:cs="Times New Roman"/>
          <w:sz w:val="24"/>
          <w:szCs w:val="24"/>
          <w:lang w:val="en-GB"/>
        </w:rPr>
        <w:t>Sayyed</w:t>
      </w:r>
      <w:proofErr w:type="spellEnd"/>
      <w:r w:rsidRPr="00332AB8">
        <w:rPr>
          <w:rFonts w:asciiTheme="majorBidi" w:hAnsiTheme="majorBidi" w:cs="Times New Roman"/>
          <w:sz w:val="24"/>
          <w:szCs w:val="24"/>
          <w:lang w:val="en-GB"/>
        </w:rPr>
        <w:t xml:space="preserve"> Alawi Hussain and Mubarak Adel Mubarak </w:t>
      </w:r>
      <w:proofErr w:type="spellStart"/>
      <w:r w:rsidRPr="00332AB8">
        <w:rPr>
          <w:rFonts w:asciiTheme="majorBidi" w:hAnsiTheme="majorBidi" w:cs="Times New Roman"/>
          <w:sz w:val="24"/>
          <w:szCs w:val="24"/>
          <w:lang w:val="en-GB"/>
        </w:rPr>
        <w:t>Muhanna</w:t>
      </w:r>
      <w:proofErr w:type="spellEnd"/>
      <w:r w:rsidRPr="00332AB8">
        <w:rPr>
          <w:rFonts w:asciiTheme="majorBidi" w:hAnsiTheme="majorBidi" w:cs="Times New Roman"/>
          <w:sz w:val="24"/>
          <w:szCs w:val="24"/>
          <w:rtl/>
          <w:lang w:val="en-GB"/>
        </w:rPr>
        <w:t>.</w:t>
      </w:r>
    </w:p>
    <w:p w:rsidR="00C8525A" w:rsidRPr="00332AB8" w:rsidRDefault="00C8525A" w:rsidP="00C8525A">
      <w:pPr>
        <w:rPr>
          <w:rFonts w:asciiTheme="majorBidi" w:hAnsiTheme="majorBidi" w:cs="Times New Roman"/>
          <w:sz w:val="24"/>
          <w:szCs w:val="24"/>
          <w:rtl/>
          <w:lang w:val="en-GB"/>
        </w:rPr>
      </w:pPr>
      <w:r w:rsidRPr="00332AB8">
        <w:rPr>
          <w:rFonts w:asciiTheme="majorBidi" w:hAnsiTheme="majorBidi" w:cs="Times New Roman"/>
          <w:sz w:val="24"/>
          <w:szCs w:val="24"/>
          <w:rtl/>
          <w:lang w:val="en-GB"/>
        </w:rPr>
        <w:t xml:space="preserve"> </w:t>
      </w:r>
    </w:p>
    <w:p w:rsidR="00C8525A" w:rsidRPr="00332AB8" w:rsidRDefault="00C8525A" w:rsidP="00C8525A">
      <w:pPr>
        <w:rPr>
          <w:rFonts w:asciiTheme="majorBidi" w:hAnsiTheme="majorBidi" w:cs="Times New Roman"/>
          <w:sz w:val="24"/>
          <w:szCs w:val="24"/>
          <w:rtl/>
          <w:lang w:val="en-GB"/>
        </w:rPr>
      </w:pPr>
      <w:r w:rsidRPr="00332AB8">
        <w:rPr>
          <w:rFonts w:asciiTheme="majorBidi" w:hAnsiTheme="majorBidi" w:cs="Times New Roman"/>
          <w:sz w:val="24"/>
          <w:szCs w:val="24"/>
          <w:lang w:val="en-GB"/>
        </w:rPr>
        <w:t xml:space="preserve">A panel of 8 United Nations experts demanded in 2018 that they be retried - if there is credible evidence of their involvement in serious crimes - but through a civilian court that provides all </w:t>
      </w:r>
      <w:r w:rsidRPr="00332AB8">
        <w:rPr>
          <w:rFonts w:asciiTheme="majorBidi" w:hAnsiTheme="majorBidi" w:cs="Times New Roman"/>
          <w:sz w:val="24"/>
          <w:szCs w:val="24"/>
          <w:lang w:val="en-GB"/>
        </w:rPr>
        <w:lastRenderedPageBreak/>
        <w:t>fair trial guarantees under international human rights law, noting that they were tried in a mass trial by a military court, and their trial did not appear fair according to due process guarantees enshrined in international human rights law</w:t>
      </w:r>
      <w:r w:rsidRPr="00332AB8">
        <w:rPr>
          <w:rFonts w:asciiTheme="majorBidi" w:hAnsiTheme="majorBidi" w:cs="Times New Roman"/>
          <w:sz w:val="24"/>
          <w:szCs w:val="24"/>
          <w:rtl/>
          <w:lang w:val="en-GB"/>
        </w:rPr>
        <w:t>.</w:t>
      </w:r>
    </w:p>
    <w:p w:rsidR="00C8525A" w:rsidRPr="00332AB8" w:rsidRDefault="00C8525A" w:rsidP="00C8525A">
      <w:pPr>
        <w:rPr>
          <w:rFonts w:asciiTheme="majorBidi" w:hAnsiTheme="majorBidi" w:cs="Times New Roman"/>
          <w:sz w:val="24"/>
          <w:szCs w:val="24"/>
          <w:rtl/>
          <w:lang w:val="en-GB"/>
        </w:rPr>
      </w:pPr>
    </w:p>
    <w:p w:rsidR="00C8525A" w:rsidRPr="00332AB8" w:rsidRDefault="00C8525A" w:rsidP="00C8525A">
      <w:pPr>
        <w:rPr>
          <w:rFonts w:asciiTheme="majorBidi" w:hAnsiTheme="majorBidi" w:cs="Times New Roman"/>
          <w:sz w:val="24"/>
          <w:szCs w:val="24"/>
          <w:rtl/>
          <w:lang w:val="en-GB"/>
        </w:rPr>
      </w:pPr>
      <w:r w:rsidRPr="00332AB8">
        <w:rPr>
          <w:rFonts w:asciiTheme="majorBidi" w:hAnsiTheme="majorBidi" w:cs="Times New Roman"/>
          <w:sz w:val="24"/>
          <w:szCs w:val="24"/>
          <w:lang w:val="en-GB"/>
        </w:rPr>
        <w:t>The Committee also expressed its concern about placing them in solitary confinement in very small cells for prolonged periods, interrogating them and exposing them to torture and ill-treatment to obtain confessions from them, as well as denying them access to their lawyers and legal representation until the late stages of their trial</w:t>
      </w:r>
      <w:r w:rsidRPr="00332AB8">
        <w:rPr>
          <w:rFonts w:asciiTheme="majorBidi" w:hAnsiTheme="majorBidi" w:cs="Times New Roman"/>
          <w:sz w:val="24"/>
          <w:szCs w:val="24"/>
          <w:rtl/>
          <w:lang w:val="en-GB"/>
        </w:rPr>
        <w:t>.</w:t>
      </w:r>
    </w:p>
    <w:p w:rsidR="00C8525A" w:rsidRPr="00332AB8" w:rsidRDefault="00C8525A" w:rsidP="00C8525A">
      <w:pPr>
        <w:rPr>
          <w:rFonts w:asciiTheme="majorBidi" w:hAnsiTheme="majorBidi" w:cs="Times New Roman"/>
          <w:sz w:val="24"/>
          <w:szCs w:val="24"/>
          <w:rtl/>
          <w:lang w:val="en-GB"/>
        </w:rPr>
      </w:pPr>
    </w:p>
    <w:p w:rsidR="00C8525A" w:rsidRDefault="00C8525A" w:rsidP="00002534">
      <w:pPr>
        <w:rPr>
          <w:rFonts w:asciiTheme="majorBidi" w:hAnsiTheme="majorBidi" w:cs="Times New Roman"/>
          <w:sz w:val="24"/>
          <w:szCs w:val="24"/>
          <w:lang w:val="en-GB"/>
        </w:rPr>
      </w:pPr>
      <w:r w:rsidRPr="00332AB8">
        <w:rPr>
          <w:rFonts w:asciiTheme="majorBidi" w:hAnsiTheme="majorBidi" w:cs="Times New Roman"/>
          <w:sz w:val="24"/>
          <w:szCs w:val="24"/>
          <w:rtl/>
          <w:lang w:val="en-GB"/>
        </w:rPr>
        <w:t xml:space="preserve"> </w:t>
      </w:r>
      <w:r w:rsidRPr="00332AB8">
        <w:rPr>
          <w:rFonts w:asciiTheme="majorBidi" w:hAnsiTheme="majorBidi" w:cs="Times New Roman"/>
          <w:sz w:val="24"/>
          <w:szCs w:val="24"/>
          <w:lang w:val="en-GB"/>
        </w:rPr>
        <w:t>The number of enforced disappearances between November 2017 and February 2022 have reached (439), including (54) minors, while the total number of days of disappearance have been (7083) days</w:t>
      </w:r>
      <w:r w:rsidRPr="00332AB8">
        <w:rPr>
          <w:rFonts w:asciiTheme="majorBidi" w:hAnsiTheme="majorBidi" w:cs="Times New Roman"/>
          <w:sz w:val="24"/>
          <w:szCs w:val="24"/>
          <w:rtl/>
          <w:lang w:val="en-GB"/>
        </w:rPr>
        <w:t>.</w:t>
      </w:r>
    </w:p>
    <w:p w:rsidR="00C8525A" w:rsidRDefault="00C8525A" w:rsidP="00C8525A">
      <w:pPr>
        <w:rPr>
          <w:rFonts w:asciiTheme="majorBidi" w:hAnsiTheme="majorBidi" w:cs="Times New Roman"/>
          <w:sz w:val="24"/>
          <w:szCs w:val="24"/>
          <w:lang w:val="en-GB"/>
        </w:rPr>
      </w:pPr>
    </w:p>
    <w:p w:rsidR="00C8525A" w:rsidRPr="00D34E2F" w:rsidRDefault="00C8525A" w:rsidP="00D34E2F">
      <w:pPr>
        <w:pStyle w:val="Heading1"/>
        <w:rPr>
          <w:rFonts w:ascii="Times New Roman" w:hAnsi="Times New Roman" w:cs="Times New Roman"/>
          <w:sz w:val="24"/>
          <w:szCs w:val="24"/>
          <w:lang w:val="en-GB"/>
        </w:rPr>
      </w:pPr>
      <w:bookmarkStart w:id="7" w:name="_Toc100848458"/>
      <w:r w:rsidRPr="00D34E2F">
        <w:rPr>
          <w:rFonts w:ascii="Times New Roman" w:hAnsi="Times New Roman" w:cs="Times New Roman"/>
          <w:sz w:val="24"/>
          <w:szCs w:val="24"/>
          <w:lang w:val="en-GB"/>
        </w:rPr>
        <w:t>IV – Recommendations to the Government of Bahrain:</w:t>
      </w:r>
      <w:bookmarkEnd w:id="7"/>
    </w:p>
    <w:p w:rsidR="00C8525A" w:rsidRPr="00C8525A" w:rsidRDefault="00C8525A" w:rsidP="00C8525A">
      <w:pPr>
        <w:rPr>
          <w:rFonts w:asciiTheme="majorBidi" w:hAnsiTheme="majorBidi" w:cs="Times New Roman"/>
          <w:color w:val="000000" w:themeColor="text1"/>
          <w:sz w:val="24"/>
          <w:szCs w:val="24"/>
          <w:lang w:val="en-GB"/>
        </w:rPr>
      </w:pPr>
    </w:p>
    <w:p w:rsidR="00C8525A" w:rsidRPr="00C8525A" w:rsidRDefault="00C8525A" w:rsidP="00C8525A">
      <w:pPr>
        <w:rPr>
          <w:rFonts w:asciiTheme="majorBidi" w:hAnsiTheme="majorBidi" w:cs="Times New Roman"/>
          <w:color w:val="000000" w:themeColor="text1"/>
          <w:sz w:val="24"/>
          <w:szCs w:val="24"/>
          <w:lang w:val="en-GB"/>
        </w:rPr>
      </w:pPr>
      <w:r w:rsidRPr="00C8525A">
        <w:rPr>
          <w:rFonts w:asciiTheme="majorBidi" w:hAnsiTheme="majorBidi" w:cs="Times New Roman"/>
          <w:color w:val="000000" w:themeColor="text1"/>
          <w:sz w:val="24"/>
          <w:szCs w:val="24"/>
          <w:lang w:val="en-GB"/>
        </w:rPr>
        <w:t>● Fulfil its obligations on the International Covenant on Civil and Political Rights by implementing Articles 2, 25, and 26.</w:t>
      </w:r>
    </w:p>
    <w:p w:rsidR="00C8525A" w:rsidRPr="00C8525A" w:rsidRDefault="00C8525A" w:rsidP="00C8525A">
      <w:pPr>
        <w:rPr>
          <w:rFonts w:asciiTheme="majorBidi" w:hAnsiTheme="majorBidi" w:cs="Times New Roman"/>
          <w:color w:val="000000" w:themeColor="text1"/>
          <w:sz w:val="24"/>
          <w:szCs w:val="24"/>
          <w:lang w:val="en-GB"/>
        </w:rPr>
      </w:pPr>
      <w:r w:rsidRPr="00C8525A">
        <w:rPr>
          <w:rFonts w:asciiTheme="majorBidi" w:hAnsiTheme="majorBidi" w:cs="Times New Roman"/>
          <w:color w:val="000000" w:themeColor="text1"/>
          <w:sz w:val="24"/>
          <w:szCs w:val="24"/>
          <w:lang w:val="en-GB"/>
        </w:rPr>
        <w:t>● Repeal law (no.25) of 2018, which amended Article 3 of degree law (no. 14) of 2002</w:t>
      </w:r>
    </w:p>
    <w:p w:rsidR="00C8525A" w:rsidRPr="00C8525A" w:rsidRDefault="00C8525A" w:rsidP="00C8525A">
      <w:pPr>
        <w:rPr>
          <w:rFonts w:asciiTheme="majorBidi" w:hAnsiTheme="majorBidi" w:cs="Times New Roman"/>
          <w:color w:val="000000" w:themeColor="text1"/>
          <w:sz w:val="24"/>
          <w:szCs w:val="24"/>
          <w:lang w:val="en-GB"/>
        </w:rPr>
      </w:pPr>
      <w:r w:rsidRPr="00C8525A">
        <w:rPr>
          <w:rFonts w:asciiTheme="majorBidi" w:hAnsiTheme="majorBidi" w:cs="Times New Roman"/>
          <w:color w:val="000000" w:themeColor="text1"/>
          <w:sz w:val="24"/>
          <w:szCs w:val="24"/>
          <w:lang w:val="en-GB"/>
        </w:rPr>
        <w:t>● Repeal law (no 15) of 2018, which amended decree law (no 21) of 1989</w:t>
      </w:r>
    </w:p>
    <w:p w:rsidR="00C8525A" w:rsidRPr="00C8525A" w:rsidRDefault="00C8525A" w:rsidP="00C8525A">
      <w:pPr>
        <w:rPr>
          <w:rFonts w:asciiTheme="majorBidi" w:hAnsiTheme="majorBidi" w:cs="Times New Roman"/>
          <w:color w:val="000000" w:themeColor="text1"/>
          <w:sz w:val="24"/>
          <w:szCs w:val="24"/>
          <w:lang w:val="en-GB"/>
        </w:rPr>
      </w:pPr>
      <w:r w:rsidRPr="00C8525A">
        <w:rPr>
          <w:rFonts w:asciiTheme="majorBidi" w:hAnsiTheme="majorBidi" w:cs="Times New Roman"/>
          <w:color w:val="000000" w:themeColor="text1"/>
          <w:sz w:val="24"/>
          <w:szCs w:val="24"/>
          <w:lang w:val="en-GB"/>
        </w:rPr>
        <w:t>● Withdraw the circular of the Ministry of Labour and Social Development No.2020/36/731. This document requires that the names of candidates for the board of director of NGOs should be sent to the Ministry of Labour for evaluation.</w:t>
      </w:r>
    </w:p>
    <w:p w:rsidR="00C8525A" w:rsidRPr="00C8525A" w:rsidRDefault="00C8525A" w:rsidP="00C8525A">
      <w:pPr>
        <w:rPr>
          <w:rFonts w:asciiTheme="majorBidi" w:hAnsiTheme="majorBidi" w:cs="Times New Roman"/>
          <w:color w:val="000000" w:themeColor="text1"/>
          <w:sz w:val="24"/>
          <w:szCs w:val="24"/>
          <w:lang w:val="en-GB"/>
        </w:rPr>
      </w:pPr>
      <w:r w:rsidRPr="00C8525A">
        <w:rPr>
          <w:rFonts w:asciiTheme="majorBidi" w:hAnsiTheme="majorBidi" w:cs="Times New Roman"/>
          <w:color w:val="000000" w:themeColor="text1"/>
          <w:sz w:val="24"/>
          <w:szCs w:val="24"/>
          <w:lang w:val="en-GB"/>
        </w:rPr>
        <w:t>● Lift all restrictions on the political opposition regarding candidacy and voting in parliamentary and municipal elections.</w:t>
      </w:r>
    </w:p>
    <w:p w:rsidR="00C8525A" w:rsidRPr="00C8525A" w:rsidRDefault="00C8525A" w:rsidP="00C8525A">
      <w:pPr>
        <w:rPr>
          <w:rFonts w:asciiTheme="majorBidi" w:hAnsiTheme="majorBidi" w:cs="Times New Roman"/>
          <w:color w:val="000000" w:themeColor="text1"/>
          <w:sz w:val="24"/>
          <w:szCs w:val="24"/>
          <w:lang w:val="en-GB"/>
        </w:rPr>
      </w:pPr>
      <w:r w:rsidRPr="00C8525A">
        <w:rPr>
          <w:rFonts w:asciiTheme="majorBidi" w:hAnsiTheme="majorBidi" w:cs="Times New Roman"/>
          <w:color w:val="000000" w:themeColor="text1"/>
          <w:sz w:val="24"/>
          <w:szCs w:val="24"/>
          <w:lang w:val="en-GB"/>
        </w:rPr>
        <w:t>● Restore normalcy to political life through reconsidering the decision to dissolve Al-</w:t>
      </w:r>
      <w:proofErr w:type="spellStart"/>
      <w:r w:rsidRPr="00C8525A">
        <w:rPr>
          <w:rFonts w:asciiTheme="majorBidi" w:hAnsiTheme="majorBidi" w:cs="Times New Roman"/>
          <w:color w:val="000000" w:themeColor="text1"/>
          <w:sz w:val="24"/>
          <w:szCs w:val="24"/>
          <w:lang w:val="en-GB"/>
        </w:rPr>
        <w:t>Wefaq</w:t>
      </w:r>
      <w:proofErr w:type="spellEnd"/>
      <w:r w:rsidRPr="00C8525A">
        <w:rPr>
          <w:rFonts w:asciiTheme="majorBidi" w:hAnsiTheme="majorBidi" w:cs="Times New Roman"/>
          <w:color w:val="000000" w:themeColor="text1"/>
          <w:sz w:val="24"/>
          <w:szCs w:val="24"/>
          <w:lang w:val="en-GB"/>
        </w:rPr>
        <w:t>, the National Democratic Action Society, and the Islamic Action Society.</w:t>
      </w:r>
    </w:p>
    <w:p w:rsidR="008C68C8" w:rsidRPr="008C68C8" w:rsidRDefault="00C8525A" w:rsidP="008C68C8">
      <w:pPr>
        <w:rPr>
          <w:rFonts w:asciiTheme="majorBidi" w:hAnsiTheme="majorBidi" w:cs="Times New Roman"/>
          <w:color w:val="000000" w:themeColor="text1"/>
          <w:sz w:val="24"/>
          <w:szCs w:val="24"/>
          <w:lang w:val="en-GB"/>
        </w:rPr>
      </w:pPr>
      <w:r w:rsidRPr="00C8525A">
        <w:rPr>
          <w:rFonts w:asciiTheme="majorBidi" w:hAnsiTheme="majorBidi" w:cs="Times New Roman"/>
          <w:color w:val="000000" w:themeColor="text1"/>
          <w:sz w:val="24"/>
          <w:szCs w:val="24"/>
          <w:lang w:val="en-GB"/>
        </w:rPr>
        <w:t>● Launch a comprehensive national dialogue to resolve contentious points with the opposition, so that rights violations can end.</w:t>
      </w:r>
      <w:r w:rsidR="004678EB">
        <w:rPr>
          <w:rFonts w:asciiTheme="majorBidi" w:hAnsiTheme="majorBidi" w:cs="Times New Roman"/>
          <w:color w:val="000000" w:themeColor="text1"/>
          <w:sz w:val="24"/>
          <w:szCs w:val="24"/>
          <w:lang w:val="en-GB"/>
        </w:rPr>
        <w:br w:type="page"/>
      </w:r>
    </w:p>
    <w:p w:rsidR="004678EB" w:rsidRPr="004678EB" w:rsidRDefault="004678EB" w:rsidP="004678EB">
      <w:pPr>
        <w:jc w:val="both"/>
        <w:rPr>
          <w:rFonts w:ascii="Times New Roman" w:eastAsia="Times New Roman" w:hAnsi="Times New Roman" w:cs="Times New Roman"/>
          <w:bCs/>
          <w:color w:val="000000" w:themeColor="text1"/>
          <w:sz w:val="32"/>
          <w:szCs w:val="32"/>
        </w:rPr>
      </w:pPr>
      <w:r w:rsidRPr="004678EB">
        <w:rPr>
          <w:rFonts w:ascii="Times New Roman" w:eastAsia="Times New Roman" w:hAnsi="Times New Roman" w:cs="Times New Roman"/>
          <w:bCs/>
          <w:color w:val="000000" w:themeColor="text1"/>
          <w:sz w:val="32"/>
          <w:szCs w:val="32"/>
        </w:rPr>
        <w:lastRenderedPageBreak/>
        <w:t xml:space="preserve">Website: </w:t>
      </w:r>
      <w:hyperlink r:id="rId10" w:history="1">
        <w:r w:rsidRPr="004678EB">
          <w:rPr>
            <w:rStyle w:val="Hyperlink"/>
            <w:rFonts w:ascii="Times New Roman" w:eastAsia="Times New Roman" w:hAnsi="Times New Roman" w:cs="Times New Roman"/>
            <w:bCs/>
            <w:sz w:val="32"/>
            <w:szCs w:val="32"/>
          </w:rPr>
          <w:t>www.alwefaq.org</w:t>
        </w:r>
      </w:hyperlink>
    </w:p>
    <w:p w:rsidR="004678EB" w:rsidRPr="004678EB" w:rsidRDefault="004678EB" w:rsidP="004678EB">
      <w:pPr>
        <w:jc w:val="both"/>
        <w:rPr>
          <w:rFonts w:ascii="Times New Roman" w:hAnsi="Times New Roman" w:cs="Times New Roman"/>
          <w:color w:val="333333"/>
          <w:sz w:val="32"/>
          <w:szCs w:val="32"/>
          <w:shd w:val="clear" w:color="auto" w:fill="FFFFFF"/>
        </w:rPr>
      </w:pPr>
      <w:r w:rsidRPr="004678EB">
        <w:rPr>
          <w:rFonts w:ascii="Times New Roman" w:eastAsia="Times New Roman" w:hAnsi="Times New Roman" w:cs="Times New Roman"/>
          <w:bCs/>
          <w:color w:val="000000" w:themeColor="text1"/>
          <w:sz w:val="32"/>
          <w:szCs w:val="32"/>
        </w:rPr>
        <w:t xml:space="preserve">E-mail: </w:t>
      </w:r>
      <w:hyperlink r:id="rId11" w:history="1">
        <w:r w:rsidRPr="004678EB">
          <w:rPr>
            <w:rStyle w:val="Hyperlink"/>
            <w:rFonts w:ascii="Times New Roman" w:hAnsi="Times New Roman" w:cs="Times New Roman"/>
            <w:sz w:val="32"/>
            <w:szCs w:val="32"/>
            <w:shd w:val="clear" w:color="auto" w:fill="FFFFFF"/>
          </w:rPr>
          <w:t>alwefaqsociety.bh@gmail.com</w:t>
        </w:r>
      </w:hyperlink>
    </w:p>
    <w:p w:rsidR="004678EB" w:rsidRPr="004678EB" w:rsidRDefault="004678EB" w:rsidP="004678EB">
      <w:pPr>
        <w:jc w:val="both"/>
        <w:rPr>
          <w:rFonts w:ascii="Times New Roman" w:eastAsia="Times New Roman" w:hAnsi="Times New Roman" w:cs="Times New Roman"/>
          <w:bCs/>
          <w:color w:val="000000" w:themeColor="text1"/>
          <w:sz w:val="32"/>
          <w:szCs w:val="32"/>
        </w:rPr>
      </w:pPr>
      <w:r w:rsidRPr="004678EB">
        <w:rPr>
          <w:rFonts w:ascii="Times New Roman" w:eastAsia="Times New Roman" w:hAnsi="Times New Roman" w:cs="Times New Roman"/>
          <w:bCs/>
          <w:color w:val="000000" w:themeColor="text1"/>
          <w:sz w:val="32"/>
          <w:szCs w:val="32"/>
        </w:rPr>
        <w:t xml:space="preserve">Tel: </w:t>
      </w:r>
      <w:r w:rsidRPr="004678EB">
        <w:rPr>
          <w:rFonts w:ascii="Times New Roman" w:hAnsi="Times New Roman" w:cs="Times New Roman"/>
          <w:color w:val="333333"/>
          <w:sz w:val="32"/>
          <w:szCs w:val="32"/>
          <w:shd w:val="clear" w:color="auto" w:fill="FFFFFF"/>
        </w:rPr>
        <w:t>+4917622132041</w:t>
      </w:r>
    </w:p>
    <w:p w:rsidR="004678EB" w:rsidRPr="004678EB" w:rsidRDefault="004678EB" w:rsidP="004678EB">
      <w:pPr>
        <w:jc w:val="both"/>
        <w:rPr>
          <w:rFonts w:ascii="Times New Roman" w:eastAsia="Times New Roman" w:hAnsi="Times New Roman" w:cs="Times New Roman"/>
          <w:bCs/>
          <w:color w:val="000000" w:themeColor="text1"/>
          <w:sz w:val="32"/>
          <w:szCs w:val="32"/>
        </w:rPr>
      </w:pPr>
      <w:r w:rsidRPr="004678EB">
        <w:rPr>
          <w:rFonts w:ascii="Times New Roman" w:eastAsia="Times New Roman" w:hAnsi="Times New Roman" w:cs="Times New Roman"/>
          <w:bCs/>
          <w:color w:val="000000" w:themeColor="text1"/>
          <w:sz w:val="32"/>
          <w:szCs w:val="32"/>
        </w:rPr>
        <w:t>Twitter: @ALWEFAQ &amp; @</w:t>
      </w:r>
      <w:proofErr w:type="spellStart"/>
      <w:r w:rsidRPr="004678EB">
        <w:rPr>
          <w:rFonts w:ascii="Times New Roman" w:eastAsia="Times New Roman" w:hAnsi="Times New Roman" w:cs="Times New Roman"/>
          <w:bCs/>
          <w:color w:val="000000" w:themeColor="text1"/>
          <w:sz w:val="32"/>
          <w:szCs w:val="32"/>
        </w:rPr>
        <w:t>AlWefaqEN</w:t>
      </w:r>
      <w:proofErr w:type="spellEnd"/>
    </w:p>
    <w:p w:rsidR="004678EB" w:rsidRPr="004678EB" w:rsidRDefault="004678EB" w:rsidP="004678EB">
      <w:pPr>
        <w:jc w:val="both"/>
        <w:rPr>
          <w:rFonts w:ascii="Times New Roman" w:eastAsia="Times New Roman" w:hAnsi="Times New Roman" w:cs="Times New Roman"/>
          <w:bCs/>
          <w:color w:val="000000" w:themeColor="text1"/>
          <w:sz w:val="32"/>
          <w:szCs w:val="32"/>
        </w:rPr>
      </w:pPr>
      <w:r w:rsidRPr="004678EB">
        <w:rPr>
          <w:rFonts w:ascii="Times New Roman" w:eastAsia="Times New Roman" w:hAnsi="Times New Roman" w:cs="Times New Roman"/>
          <w:bCs/>
          <w:color w:val="000000" w:themeColor="text1"/>
          <w:sz w:val="32"/>
          <w:szCs w:val="32"/>
        </w:rPr>
        <w:t xml:space="preserve">Facebook: </w:t>
      </w:r>
      <w:proofErr w:type="spellStart"/>
      <w:r w:rsidRPr="004678EB">
        <w:rPr>
          <w:rFonts w:ascii="Times New Roman" w:eastAsia="Times New Roman" w:hAnsi="Times New Roman" w:cs="Times New Roman"/>
          <w:bCs/>
          <w:color w:val="000000" w:themeColor="text1"/>
          <w:sz w:val="32"/>
          <w:szCs w:val="32"/>
        </w:rPr>
        <w:t>Alwefaqnews</w:t>
      </w:r>
      <w:proofErr w:type="spellEnd"/>
    </w:p>
    <w:p w:rsidR="004678EB" w:rsidRPr="004678EB" w:rsidRDefault="004678EB" w:rsidP="004678EB">
      <w:pPr>
        <w:jc w:val="both"/>
        <w:rPr>
          <w:rFonts w:ascii="Times New Roman" w:eastAsia="Times New Roman" w:hAnsi="Times New Roman" w:cs="Times New Roman"/>
          <w:bCs/>
          <w:color w:val="000000" w:themeColor="text1"/>
          <w:sz w:val="32"/>
          <w:szCs w:val="32"/>
        </w:rPr>
      </w:pPr>
      <w:r w:rsidRPr="004678EB">
        <w:rPr>
          <w:rFonts w:ascii="Times New Roman" w:eastAsia="Times New Roman" w:hAnsi="Times New Roman" w:cs="Times New Roman"/>
          <w:bCs/>
          <w:color w:val="000000" w:themeColor="text1"/>
          <w:sz w:val="32"/>
          <w:szCs w:val="32"/>
        </w:rPr>
        <w:t>Instagram: @</w:t>
      </w:r>
      <w:proofErr w:type="spellStart"/>
      <w:r w:rsidRPr="004678EB">
        <w:rPr>
          <w:rFonts w:ascii="Times New Roman" w:eastAsia="Times New Roman" w:hAnsi="Times New Roman" w:cs="Times New Roman"/>
          <w:bCs/>
          <w:color w:val="000000" w:themeColor="text1"/>
          <w:sz w:val="32"/>
          <w:szCs w:val="32"/>
        </w:rPr>
        <w:t>Alwefaq</w:t>
      </w:r>
      <w:proofErr w:type="spellEnd"/>
    </w:p>
    <w:p w:rsidR="008C68C8" w:rsidRDefault="004678EB" w:rsidP="008C68C8">
      <w:pPr>
        <w:jc w:val="both"/>
        <w:rPr>
          <w:rFonts w:ascii="Times New Roman" w:eastAsia="Times New Roman" w:hAnsi="Times New Roman" w:cs="Times New Roman"/>
          <w:bCs/>
          <w:color w:val="000000" w:themeColor="text1"/>
          <w:sz w:val="32"/>
          <w:szCs w:val="32"/>
        </w:rPr>
      </w:pPr>
      <w:r w:rsidRPr="004678EB">
        <w:rPr>
          <w:rFonts w:ascii="Times New Roman" w:eastAsia="Times New Roman" w:hAnsi="Times New Roman" w:cs="Times New Roman"/>
          <w:bCs/>
          <w:color w:val="000000" w:themeColor="text1"/>
          <w:sz w:val="32"/>
          <w:szCs w:val="32"/>
        </w:rPr>
        <w:t>YouTube: @</w:t>
      </w:r>
      <w:proofErr w:type="spellStart"/>
      <w:r w:rsidRPr="004678EB">
        <w:rPr>
          <w:rFonts w:ascii="Times New Roman" w:eastAsia="Times New Roman" w:hAnsi="Times New Roman" w:cs="Times New Roman"/>
          <w:bCs/>
          <w:color w:val="000000" w:themeColor="text1"/>
          <w:sz w:val="32"/>
          <w:szCs w:val="32"/>
        </w:rPr>
        <w:t>Alwefaq</w:t>
      </w:r>
      <w:r w:rsidRPr="004678EB">
        <w:rPr>
          <w:rFonts w:ascii="Times New Roman" w:eastAsia="Times New Roman" w:hAnsi="Times New Roman" w:cs="Times New Roman"/>
          <w:bCs/>
          <w:color w:val="000000" w:themeColor="text1"/>
          <w:sz w:val="32"/>
          <w:szCs w:val="32"/>
        </w:rPr>
        <w:t>Society</w:t>
      </w:r>
      <w:proofErr w:type="spellEnd"/>
    </w:p>
    <w:p w:rsidR="001C7098" w:rsidRPr="004678EB" w:rsidRDefault="001C7098" w:rsidP="008C68C8">
      <w:pPr>
        <w:jc w:val="both"/>
        <w:rPr>
          <w:rFonts w:ascii="Times New Roman" w:eastAsia="Times New Roman" w:hAnsi="Times New Roman" w:cs="Times New Roman"/>
          <w:bCs/>
          <w:color w:val="000000" w:themeColor="text1"/>
          <w:sz w:val="32"/>
          <w:szCs w:val="32"/>
        </w:rPr>
      </w:pPr>
    </w:p>
    <w:sectPr w:rsidR="001C7098" w:rsidRPr="004678EB">
      <w:headerReference w:type="default" r:id="rId12"/>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F3B" w:rsidRDefault="00954F3B">
      <w:pPr>
        <w:spacing w:after="0" w:line="240" w:lineRule="auto"/>
      </w:pPr>
      <w:r>
        <w:separator/>
      </w:r>
    </w:p>
  </w:endnote>
  <w:endnote w:type="continuationSeparator" w:id="0">
    <w:p w:rsidR="00954F3B" w:rsidRDefault="00954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7405377"/>
      <w:docPartObj>
        <w:docPartGallery w:val="Page Numbers (Bottom of Page)"/>
        <w:docPartUnique/>
      </w:docPartObj>
    </w:sdtPr>
    <w:sdtEndPr>
      <w:rPr>
        <w:noProof/>
      </w:rPr>
    </w:sdtEndPr>
    <w:sdtContent>
      <w:p w:rsidR="00C8525A" w:rsidRDefault="00C8525A">
        <w:pPr>
          <w:pStyle w:val="Footer"/>
          <w:jc w:val="center"/>
        </w:pPr>
        <w:r>
          <w:fldChar w:fldCharType="begin"/>
        </w:r>
        <w:r>
          <w:instrText xml:space="preserve"> PAGE   \* MERGEFORMAT </w:instrText>
        </w:r>
        <w:r>
          <w:fldChar w:fldCharType="separate"/>
        </w:r>
        <w:r w:rsidR="00002534">
          <w:rPr>
            <w:noProof/>
          </w:rPr>
          <w:t>3</w:t>
        </w:r>
        <w:r>
          <w:rPr>
            <w:noProof/>
          </w:rPr>
          <w:fldChar w:fldCharType="end"/>
        </w:r>
      </w:p>
    </w:sdtContent>
  </w:sdt>
  <w:p w:rsidR="00C8525A" w:rsidRDefault="00C8525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F3B" w:rsidRDefault="00954F3B">
      <w:pPr>
        <w:spacing w:after="0" w:line="240" w:lineRule="auto"/>
      </w:pPr>
      <w:r>
        <w:separator/>
      </w:r>
    </w:p>
  </w:footnote>
  <w:footnote w:type="continuationSeparator" w:id="0">
    <w:p w:rsidR="00954F3B" w:rsidRDefault="00954F3B">
      <w:pPr>
        <w:spacing w:after="0" w:line="240" w:lineRule="auto"/>
      </w:pPr>
      <w:r>
        <w:continuationSeparator/>
      </w:r>
    </w:p>
  </w:footnote>
  <w:footnote w:id="1">
    <w:p w:rsidR="00B160C9" w:rsidRDefault="00D207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2012 Amendments to the Bahraini Constitution, </w:t>
      </w:r>
      <w:hyperlink r:id="rId1">
        <w:r>
          <w:rPr>
            <w:color w:val="0000FF"/>
            <w:sz w:val="20"/>
            <w:szCs w:val="20"/>
            <w:u w:val="single"/>
          </w:rPr>
          <w:t>https://goo.gl/Jtg4jH</w:t>
        </w:r>
      </w:hyperlink>
    </w:p>
  </w:footnote>
  <w:footnote w:id="2">
    <w:p w:rsidR="00B160C9" w:rsidRDefault="00D207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2017 Amendments to the Constitution of the Kingdom of Bahrain, </w:t>
      </w:r>
      <w:hyperlink r:id="rId2">
        <w:r>
          <w:rPr>
            <w:color w:val="0000FF"/>
            <w:sz w:val="20"/>
            <w:szCs w:val="20"/>
            <w:u w:val="single"/>
          </w:rPr>
          <w:t>https://goo.gl/19tYmF</w:t>
        </w:r>
      </w:hyperlink>
      <w:r>
        <w:rPr>
          <w:color w:val="000000"/>
          <w:sz w:val="20"/>
          <w:szCs w:val="20"/>
        </w:rPr>
        <w:t xml:space="preserve"> </w:t>
      </w:r>
    </w:p>
  </w:footnote>
  <w:footnote w:id="3">
    <w:p w:rsidR="00B160C9" w:rsidRDefault="00D207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See articles 87 to 92 of Decree-Law No. 54 of 2002 on the internal regulations of the House of Representatives</w:t>
      </w:r>
    </w:p>
  </w:footnote>
  <w:footnote w:id="4">
    <w:p w:rsidR="00B160C9" w:rsidRDefault="00D207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Law No. 12 of 2017 amending some provisions of the Military Judiciary Law promulgated by Legislative Decree No. 34 of 2002</w:t>
      </w:r>
    </w:p>
  </w:footnote>
  <w:footnote w:id="5">
    <w:p w:rsidR="00B160C9" w:rsidRDefault="00D207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For more information, see the 2017 report of the BFHR “Chased without Protection”</w:t>
      </w:r>
    </w:p>
  </w:footnote>
  <w:footnote w:id="6">
    <w:p w:rsidR="00B160C9" w:rsidRDefault="00D207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Law No. (25) </w:t>
      </w:r>
      <w:proofErr w:type="gramStart"/>
      <w:r>
        <w:rPr>
          <w:color w:val="000000"/>
          <w:sz w:val="20"/>
          <w:szCs w:val="20"/>
        </w:rPr>
        <w:t>of</w:t>
      </w:r>
      <w:proofErr w:type="gramEnd"/>
      <w:r>
        <w:rPr>
          <w:color w:val="000000"/>
          <w:sz w:val="20"/>
          <w:szCs w:val="20"/>
        </w:rPr>
        <w:t xml:space="preserve"> 2018, amending Article 3 of Decree Law No. (14) </w:t>
      </w:r>
      <w:proofErr w:type="gramStart"/>
      <w:r>
        <w:rPr>
          <w:color w:val="000000"/>
          <w:sz w:val="20"/>
          <w:szCs w:val="20"/>
        </w:rPr>
        <w:t>of</w:t>
      </w:r>
      <w:proofErr w:type="gramEnd"/>
      <w:r>
        <w:rPr>
          <w:color w:val="000000"/>
          <w:sz w:val="20"/>
          <w:szCs w:val="20"/>
        </w:rPr>
        <w:t xml:space="preserve"> 2002, regarding the exercise of political rights, Bahrain.</w:t>
      </w:r>
    </w:p>
  </w:footnote>
  <w:footnote w:id="7">
    <w:p w:rsidR="00B160C9" w:rsidRDefault="00D207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Abdullah Al-</w:t>
      </w:r>
      <w:proofErr w:type="spellStart"/>
      <w:r>
        <w:rPr>
          <w:color w:val="000000"/>
          <w:sz w:val="20"/>
          <w:szCs w:val="20"/>
        </w:rPr>
        <w:t>Shamlawi</w:t>
      </w:r>
      <w:proofErr w:type="spellEnd"/>
      <w:r>
        <w:rPr>
          <w:color w:val="000000"/>
          <w:sz w:val="20"/>
          <w:szCs w:val="20"/>
        </w:rPr>
        <w:t xml:space="preserve"> - The Extent to which the Political Isolation Law against Members of Political </w:t>
      </w:r>
      <w:r>
        <w:rPr>
          <w:sz w:val="20"/>
          <w:szCs w:val="20"/>
        </w:rPr>
        <w:t>Societies</w:t>
      </w:r>
      <w:r>
        <w:rPr>
          <w:color w:val="000000"/>
          <w:sz w:val="20"/>
          <w:szCs w:val="20"/>
        </w:rPr>
        <w:t xml:space="preserve"> Abides by the Constitution”, published on Oct. 23, 2019 </w:t>
      </w:r>
      <w:hyperlink r:id="rId3">
        <w:r>
          <w:rPr>
            <w:color w:val="0563C1"/>
            <w:sz w:val="20"/>
            <w:szCs w:val="20"/>
            <w:u w:val="single"/>
          </w:rPr>
          <w:t>http://www.twitlonger.com/show/n_1sqn0h9</w:t>
        </w:r>
      </w:hyperlink>
      <w:r>
        <w:rPr>
          <w:color w:val="000000"/>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525A" w:rsidRDefault="00C8525A" w:rsidP="00C8525A">
    <w:pPr>
      <w:pStyle w:val="Header"/>
    </w:pPr>
    <w:r>
      <w:rPr>
        <w:noProof/>
      </w:rPr>
      <w:drawing>
        <wp:inline distT="0" distB="0" distL="0" distR="0" wp14:anchorId="5077A07C" wp14:editId="18548F57">
          <wp:extent cx="65722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الوفاق أبيض.jpg"/>
                  <pic:cNvPicPr/>
                </pic:nvPicPr>
                <pic:blipFill>
                  <a:blip r:embed="rId1">
                    <a:extLst>
                      <a:ext uri="{28A0092B-C50C-407E-A947-70E740481C1C}">
                        <a14:useLocalDpi xmlns:a14="http://schemas.microsoft.com/office/drawing/2010/main" val="0"/>
                      </a:ext>
                    </a:extLst>
                  </a:blip>
                  <a:stretch>
                    <a:fillRect/>
                  </a:stretch>
                </pic:blipFill>
                <pic:spPr>
                  <a:xfrm>
                    <a:off x="0" y="0"/>
                    <a:ext cx="657672" cy="810176"/>
                  </a:xfrm>
                  <a:prstGeom prst="rect">
                    <a:avLst/>
                  </a:prstGeom>
                </pic:spPr>
              </pic:pic>
            </a:graphicData>
          </a:graphic>
        </wp:inline>
      </w:drawing>
    </w:r>
  </w:p>
  <w:p w:rsidR="00C8525A" w:rsidRDefault="00C852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83F4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26D14C67"/>
    <w:multiLevelType w:val="hybridMultilevel"/>
    <w:tmpl w:val="12665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9E2D9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3A620BF"/>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0C9"/>
    <w:rsid w:val="00002534"/>
    <w:rsid w:val="001C7098"/>
    <w:rsid w:val="00272111"/>
    <w:rsid w:val="00332AB8"/>
    <w:rsid w:val="00383A2E"/>
    <w:rsid w:val="004678EB"/>
    <w:rsid w:val="00574081"/>
    <w:rsid w:val="0062710D"/>
    <w:rsid w:val="00713C43"/>
    <w:rsid w:val="008C68C8"/>
    <w:rsid w:val="00954F3B"/>
    <w:rsid w:val="00A32E55"/>
    <w:rsid w:val="00A87965"/>
    <w:rsid w:val="00B160C9"/>
    <w:rsid w:val="00C8525A"/>
    <w:rsid w:val="00CD0BBA"/>
    <w:rsid w:val="00D207EB"/>
    <w:rsid w:val="00D34E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52CB20B-3C89-6D4F-BC6D-A772CCE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731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BB731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BB731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BB7319"/>
    <w:pPr>
      <w:ind w:left="720"/>
      <w:contextualSpacing/>
    </w:pPr>
  </w:style>
  <w:style w:type="paragraph" w:styleId="FootnoteText">
    <w:name w:val="footnote text"/>
    <w:basedOn w:val="Normal"/>
    <w:link w:val="FootnoteTextChar"/>
    <w:uiPriority w:val="99"/>
    <w:unhideWhenUsed/>
    <w:rsid w:val="00BB7319"/>
    <w:pPr>
      <w:spacing w:after="0" w:line="240" w:lineRule="auto"/>
    </w:pPr>
    <w:rPr>
      <w:sz w:val="20"/>
      <w:szCs w:val="20"/>
    </w:rPr>
  </w:style>
  <w:style w:type="character" w:customStyle="1" w:styleId="FootnoteTextChar">
    <w:name w:val="Footnote Text Char"/>
    <w:basedOn w:val="DefaultParagraphFont"/>
    <w:link w:val="FootnoteText"/>
    <w:uiPriority w:val="99"/>
    <w:rsid w:val="00BB7319"/>
    <w:rPr>
      <w:sz w:val="20"/>
      <w:szCs w:val="20"/>
    </w:rPr>
  </w:style>
  <w:style w:type="character" w:styleId="FootnoteReference">
    <w:name w:val="footnote reference"/>
    <w:basedOn w:val="DefaultParagraphFont"/>
    <w:uiPriority w:val="99"/>
    <w:unhideWhenUsed/>
    <w:rsid w:val="00BB7319"/>
    <w:rPr>
      <w:vertAlign w:val="superscript"/>
    </w:rPr>
  </w:style>
  <w:style w:type="character" w:styleId="Hyperlink">
    <w:name w:val="Hyperlink"/>
    <w:basedOn w:val="DefaultParagraphFont"/>
    <w:uiPriority w:val="99"/>
    <w:unhideWhenUsed/>
    <w:rsid w:val="00BB7319"/>
    <w:rPr>
      <w:color w:val="0000FF" w:themeColor="hyperlink"/>
      <w:u w:val="single"/>
    </w:rPr>
  </w:style>
  <w:style w:type="table" w:styleId="TableGrid">
    <w:name w:val="Table Grid"/>
    <w:basedOn w:val="TableNormal"/>
    <w:uiPriority w:val="39"/>
    <w:rsid w:val="00BB73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B73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7319"/>
  </w:style>
  <w:style w:type="paragraph" w:styleId="Footer">
    <w:name w:val="footer"/>
    <w:basedOn w:val="Normal"/>
    <w:link w:val="FooterChar"/>
    <w:uiPriority w:val="99"/>
    <w:unhideWhenUsed/>
    <w:rsid w:val="00BB73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7319"/>
  </w:style>
  <w:style w:type="character" w:styleId="FollowedHyperlink">
    <w:name w:val="FollowedHyperlink"/>
    <w:basedOn w:val="DefaultParagraphFont"/>
    <w:uiPriority w:val="99"/>
    <w:semiHidden/>
    <w:unhideWhenUsed/>
    <w:rsid w:val="00BB7319"/>
    <w:rPr>
      <w:color w:val="800080" w:themeColor="followedHyperlink"/>
      <w:u w:val="single"/>
    </w:rPr>
  </w:style>
  <w:style w:type="character" w:customStyle="1" w:styleId="Hyperlink1">
    <w:name w:val="Hyperlink1"/>
    <w:basedOn w:val="DefaultParagraphFont"/>
    <w:uiPriority w:val="99"/>
    <w:unhideWhenUsed/>
    <w:rsid w:val="00BB7319"/>
    <w:rPr>
      <w:color w:val="0563C1"/>
      <w:u w:val="single"/>
    </w:rPr>
  </w:style>
  <w:style w:type="character" w:styleId="CommentReference">
    <w:name w:val="annotation reference"/>
    <w:basedOn w:val="DefaultParagraphFont"/>
    <w:uiPriority w:val="99"/>
    <w:semiHidden/>
    <w:unhideWhenUsed/>
    <w:rsid w:val="00BB7319"/>
    <w:rPr>
      <w:sz w:val="16"/>
      <w:szCs w:val="16"/>
    </w:rPr>
  </w:style>
  <w:style w:type="paragraph" w:styleId="CommentText">
    <w:name w:val="annotation text"/>
    <w:basedOn w:val="Normal"/>
    <w:link w:val="CommentTextChar"/>
    <w:uiPriority w:val="99"/>
    <w:semiHidden/>
    <w:unhideWhenUsed/>
    <w:rsid w:val="00BB7319"/>
    <w:pPr>
      <w:spacing w:line="240" w:lineRule="auto"/>
    </w:pPr>
    <w:rPr>
      <w:sz w:val="20"/>
      <w:szCs w:val="20"/>
    </w:rPr>
  </w:style>
  <w:style w:type="character" w:customStyle="1" w:styleId="CommentTextChar">
    <w:name w:val="Comment Text Char"/>
    <w:basedOn w:val="DefaultParagraphFont"/>
    <w:link w:val="CommentText"/>
    <w:uiPriority w:val="99"/>
    <w:semiHidden/>
    <w:rsid w:val="00BB7319"/>
    <w:rPr>
      <w:sz w:val="20"/>
      <w:szCs w:val="20"/>
    </w:rPr>
  </w:style>
  <w:style w:type="paragraph" w:styleId="CommentSubject">
    <w:name w:val="annotation subject"/>
    <w:basedOn w:val="CommentText"/>
    <w:next w:val="CommentText"/>
    <w:link w:val="CommentSubjectChar"/>
    <w:uiPriority w:val="99"/>
    <w:semiHidden/>
    <w:unhideWhenUsed/>
    <w:rsid w:val="00BB7319"/>
    <w:rPr>
      <w:b/>
      <w:bCs/>
    </w:rPr>
  </w:style>
  <w:style w:type="character" w:customStyle="1" w:styleId="CommentSubjectChar">
    <w:name w:val="Comment Subject Char"/>
    <w:basedOn w:val="CommentTextChar"/>
    <w:link w:val="CommentSubject"/>
    <w:uiPriority w:val="99"/>
    <w:semiHidden/>
    <w:rsid w:val="00BB7319"/>
    <w:rPr>
      <w:b/>
      <w:bCs/>
      <w:sz w:val="20"/>
      <w:szCs w:val="20"/>
    </w:rPr>
  </w:style>
  <w:style w:type="paragraph" w:styleId="BalloonText">
    <w:name w:val="Balloon Text"/>
    <w:basedOn w:val="Normal"/>
    <w:link w:val="BalloonTextChar"/>
    <w:uiPriority w:val="99"/>
    <w:semiHidden/>
    <w:unhideWhenUsed/>
    <w:rsid w:val="00BB73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7319"/>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NoSpacing">
    <w:name w:val="No Spacing"/>
    <w:link w:val="NoSpacingChar"/>
    <w:uiPriority w:val="1"/>
    <w:qFormat/>
    <w:rsid w:val="00383A2E"/>
    <w:pPr>
      <w:spacing w:after="0"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383A2E"/>
    <w:rPr>
      <w:rFonts w:asciiTheme="minorHAnsi" w:eastAsiaTheme="minorEastAsia" w:hAnsiTheme="minorHAnsi" w:cstheme="minorBidi"/>
    </w:rPr>
  </w:style>
  <w:style w:type="paragraph" w:styleId="TOCHeading">
    <w:name w:val="TOC Heading"/>
    <w:basedOn w:val="Heading1"/>
    <w:next w:val="Normal"/>
    <w:uiPriority w:val="39"/>
    <w:unhideWhenUsed/>
    <w:qFormat/>
    <w:rsid w:val="00002534"/>
    <w:pPr>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02534"/>
    <w:pPr>
      <w:spacing w:after="100"/>
    </w:pPr>
  </w:style>
  <w:style w:type="paragraph" w:styleId="TOC2">
    <w:name w:val="toc 2"/>
    <w:basedOn w:val="Normal"/>
    <w:next w:val="Normal"/>
    <w:autoRedefine/>
    <w:uiPriority w:val="39"/>
    <w:unhideWhenUsed/>
    <w:rsid w:val="0000253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lwefaqsociety.bh@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alwefaq.org"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twitlonger.com/show/n_1sqn0h9" TargetMode="External"/><Relationship Id="rId2" Type="http://schemas.openxmlformats.org/officeDocument/2006/relationships/hyperlink" Target="https://goo.gl/19tYmF" TargetMode="External"/><Relationship Id="rId1" Type="http://schemas.openxmlformats.org/officeDocument/2006/relationships/hyperlink" Target="https://goo.gl/Jtg4j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AlUjGhuvw4n+Ud/5m9r8Np8Ing==">AMUW2mWc0PBuLwOnGB5sa4pp3+IJonkEZVjrfqaqR2OBLaBwnlX1zN+I5uaNu+52QbZHv+lCfsgORRRlDQWSIuVOSzJHuQ1VYVor5XTJXUpu7CIothWBNJc=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BE5338-0922-4789-9F8A-05B8EDD3E0EC}">
  <ds:schemaRefs>
    <ds:schemaRef ds:uri="http://schemas.openxmlformats.org/officeDocument/2006/bibliography"/>
  </ds:schemaRefs>
</ds:datastoreItem>
</file>

<file path=customXml/itemProps3.xml><?xml version="1.0" encoding="utf-8"?>
<ds:datastoreItem xmlns:ds="http://schemas.openxmlformats.org/officeDocument/2006/customXml" ds:itemID="{D29E3598-E516-4D33-B53F-2552EA779066}"/>
</file>

<file path=customXml/itemProps4.xml><?xml version="1.0" encoding="utf-8"?>
<ds:datastoreItem xmlns:ds="http://schemas.openxmlformats.org/officeDocument/2006/customXml" ds:itemID="{EFF3B968-32A2-421D-83B0-FC16ECAD2793}"/>
</file>

<file path=customXml/itemProps5.xml><?xml version="1.0" encoding="utf-8"?>
<ds:datastoreItem xmlns:ds="http://schemas.openxmlformats.org/officeDocument/2006/customXml" ds:itemID="{565106EC-0050-4254-875D-0FF144CF53BE}"/>
</file>

<file path=docProps/app.xml><?xml version="1.0" encoding="utf-8"?>
<Properties xmlns="http://schemas.openxmlformats.org/officeDocument/2006/extended-properties" xmlns:vt="http://schemas.openxmlformats.org/officeDocument/2006/docPropsVTypes">
  <Template>Normal</Template>
  <TotalTime>113</TotalTime>
  <Pages>12</Pages>
  <Words>3534</Words>
  <Characters>20150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13</cp:revision>
  <dcterms:created xsi:type="dcterms:W3CDTF">2022-04-09T17:43:00Z</dcterms:created>
  <dcterms:modified xsi:type="dcterms:W3CDTF">2022-04-14T14:08:00Z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