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301A" w:rsidRDefault="00DB301A"/>
    <w:p w:rsidR="00D86AB4" w:rsidRDefault="00D86AB4" w:rsidP="00D86AB4">
      <w:pPr>
        <w:suppressAutoHyphens w:val="0"/>
        <w:spacing w:before="120"/>
        <w:jc w:val="both"/>
        <w:rPr>
          <w:bCs/>
        </w:rPr>
      </w:pPr>
      <w:r w:rsidRPr="006C5805">
        <w:rPr>
          <w:bCs/>
        </w:rPr>
        <w:t>OBSERVATOIRE MAURITANIEN DES DROITS DE L’HOMME ET DE LA DEMOCRATIE</w:t>
      </w:r>
      <w:r>
        <w:rPr>
          <w:bCs/>
        </w:rPr>
        <w:t xml:space="preserve">. </w:t>
      </w:r>
    </w:p>
    <w:p w:rsidR="00D86AB4" w:rsidRDefault="00D86AB4" w:rsidP="00D86AB4">
      <w:pPr>
        <w:suppressAutoHyphens w:val="0"/>
        <w:spacing w:before="120"/>
        <w:jc w:val="both"/>
        <w:rPr>
          <w:bCs/>
        </w:rPr>
      </w:pPr>
    </w:p>
    <w:p w:rsidR="00DB301A" w:rsidRDefault="00DB301A"/>
    <w:p w:rsidR="00DB301A" w:rsidRDefault="00DB301A"/>
    <w:p w:rsidR="00785389" w:rsidRDefault="00785389"/>
    <w:p w:rsidR="00785389" w:rsidRDefault="00785389"/>
    <w:p w:rsidR="00785389" w:rsidRDefault="00785389"/>
    <w:p w:rsidR="00D86AB4" w:rsidRDefault="00D86AB4" w:rsidP="00D86AB4">
      <w:pPr>
        <w:pStyle w:val="HChG"/>
        <w:jc w:val="both"/>
        <w:rPr>
          <w:sz w:val="24"/>
          <w:szCs w:val="24"/>
        </w:rPr>
      </w:pPr>
    </w:p>
    <w:p w:rsidR="00D86AB4" w:rsidRDefault="00D86AB4" w:rsidP="00D86AB4">
      <w:pPr>
        <w:pStyle w:val="HChG"/>
        <w:jc w:val="both"/>
        <w:rPr>
          <w:sz w:val="24"/>
          <w:szCs w:val="24"/>
        </w:rPr>
      </w:pPr>
    </w:p>
    <w:p w:rsidR="00D86AB4" w:rsidRDefault="00D86AB4" w:rsidP="00D86AB4">
      <w:pPr>
        <w:pStyle w:val="HChG"/>
        <w:jc w:val="both"/>
        <w:rPr>
          <w:sz w:val="24"/>
          <w:szCs w:val="24"/>
        </w:rPr>
      </w:pPr>
    </w:p>
    <w:p w:rsidR="00D86AB4" w:rsidRPr="00D86AB4" w:rsidRDefault="00D86AB4" w:rsidP="00D86AB4"/>
    <w:p w:rsidR="00D86AB4" w:rsidRPr="009349BD" w:rsidRDefault="00D86AB4" w:rsidP="00FD2227">
      <w:pPr>
        <w:pStyle w:val="HChG"/>
        <w:jc w:val="both"/>
        <w:rPr>
          <w:sz w:val="24"/>
          <w:szCs w:val="24"/>
          <w:vertAlign w:val="subscript"/>
        </w:rPr>
      </w:pPr>
      <w:r w:rsidRPr="009349BD">
        <w:rPr>
          <w:sz w:val="24"/>
          <w:szCs w:val="24"/>
        </w:rPr>
        <w:t xml:space="preserve">Ce </w:t>
      </w:r>
      <w:r w:rsidR="008D7693">
        <w:rPr>
          <w:sz w:val="24"/>
          <w:szCs w:val="24"/>
        </w:rPr>
        <w:t>Document soumit à la CAT dans sa 6</w:t>
      </w:r>
      <w:r w:rsidR="00FD2227">
        <w:rPr>
          <w:sz w:val="24"/>
          <w:szCs w:val="24"/>
        </w:rPr>
        <w:t>2</w:t>
      </w:r>
      <w:r w:rsidR="00FD2227" w:rsidRPr="00FD2227">
        <w:rPr>
          <w:sz w:val="24"/>
          <w:szCs w:val="24"/>
          <w:vertAlign w:val="superscript"/>
        </w:rPr>
        <w:t>ème</w:t>
      </w:r>
      <w:r w:rsidR="00FD2227">
        <w:rPr>
          <w:sz w:val="24"/>
          <w:szCs w:val="24"/>
        </w:rPr>
        <w:t xml:space="preserve"> Session </w:t>
      </w:r>
      <w:r w:rsidRPr="009349BD">
        <w:rPr>
          <w:sz w:val="24"/>
          <w:szCs w:val="24"/>
        </w:rPr>
        <w:t>est un rapport de suivi de la mise en œuvre des recommandations concernant le rapport initial de la Mauritanie, adoptées par le Comité  con</w:t>
      </w:r>
      <w:bookmarkStart w:id="0" w:name="_GoBack"/>
      <w:bookmarkEnd w:id="0"/>
      <w:r w:rsidRPr="009349BD">
        <w:rPr>
          <w:sz w:val="24"/>
          <w:szCs w:val="24"/>
        </w:rPr>
        <w:t>tre la Torture à sa cinquantième session (6-31 mai 2013)</w:t>
      </w: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8D7693" w:rsidP="008D7693">
      <w:pPr>
        <w:suppressAutoHyphens w:val="0"/>
        <w:spacing w:before="120"/>
        <w:jc w:val="both"/>
        <w:rPr>
          <w:lang w:val="fr-FR"/>
        </w:rPr>
      </w:pPr>
      <w:r>
        <w:rPr>
          <w:lang w:val="fr-FR"/>
        </w:rPr>
        <w:t xml:space="preserve">Nouakchott, le 20/06/2017                                                       Enquête menée par </w:t>
      </w:r>
      <w:proofErr w:type="spellStart"/>
      <w:r>
        <w:rPr>
          <w:lang w:val="fr-FR"/>
        </w:rPr>
        <w:t>Souvi</w:t>
      </w:r>
      <w:proofErr w:type="spellEnd"/>
      <w:r>
        <w:rPr>
          <w:lang w:val="fr-FR"/>
        </w:rPr>
        <w:t xml:space="preserve"> Sidi </w:t>
      </w:r>
      <w:proofErr w:type="spellStart"/>
      <w:r>
        <w:rPr>
          <w:lang w:val="fr-FR"/>
        </w:rPr>
        <w:t>Batt</w:t>
      </w:r>
      <w:proofErr w:type="spellEnd"/>
      <w:r>
        <w:rPr>
          <w:lang w:val="fr-FR"/>
        </w:rPr>
        <w:t xml:space="preserve">                 </w:t>
      </w: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D86AB4" w:rsidRDefault="00D86AB4" w:rsidP="00D86AB4">
      <w:pPr>
        <w:suppressAutoHyphens w:val="0"/>
        <w:spacing w:before="120"/>
        <w:jc w:val="both"/>
        <w:rPr>
          <w:lang w:val="fr-FR"/>
        </w:rPr>
      </w:pPr>
    </w:p>
    <w:p w:rsidR="008D7693" w:rsidRDefault="008D7693" w:rsidP="00D86AB4">
      <w:pPr>
        <w:suppressAutoHyphens w:val="0"/>
        <w:spacing w:before="120"/>
        <w:jc w:val="both"/>
        <w:rPr>
          <w:lang w:val="fr-FR"/>
        </w:rPr>
      </w:pPr>
    </w:p>
    <w:p w:rsidR="008D7693" w:rsidRDefault="008D7693" w:rsidP="00D86AB4">
      <w:pPr>
        <w:suppressAutoHyphens w:val="0"/>
        <w:spacing w:before="120"/>
        <w:jc w:val="both"/>
        <w:rPr>
          <w:lang w:val="fr-FR"/>
        </w:rPr>
      </w:pPr>
    </w:p>
    <w:p w:rsidR="008D7693" w:rsidRDefault="008D7693" w:rsidP="00D86AB4">
      <w:pPr>
        <w:suppressAutoHyphens w:val="0"/>
        <w:spacing w:before="120"/>
        <w:jc w:val="both"/>
        <w:rPr>
          <w:lang w:val="fr-FR"/>
        </w:rPr>
      </w:pPr>
    </w:p>
    <w:p w:rsidR="0077151E" w:rsidRPr="009349BD" w:rsidRDefault="0077151E" w:rsidP="0077151E">
      <w:pPr>
        <w:pStyle w:val="H1G"/>
        <w:numPr>
          <w:ilvl w:val="0"/>
          <w:numId w:val="8"/>
        </w:numPr>
        <w:jc w:val="both"/>
        <w:rPr>
          <w:lang w:val="fr-FR"/>
        </w:rPr>
      </w:pPr>
      <w:r w:rsidRPr="009349BD">
        <w:rPr>
          <w:lang w:val="fr-FR"/>
        </w:rPr>
        <w:lastRenderedPageBreak/>
        <w:t>Introduction</w:t>
      </w:r>
    </w:p>
    <w:p w:rsidR="00D86AB4" w:rsidRPr="00D86AB4" w:rsidRDefault="00D86AB4" w:rsidP="00D86AB4">
      <w:pPr>
        <w:suppressAutoHyphens w:val="0"/>
        <w:spacing w:before="120"/>
        <w:jc w:val="both"/>
        <w:rPr>
          <w:b/>
          <w:bCs/>
          <w:sz w:val="28"/>
          <w:szCs w:val="28"/>
        </w:rPr>
      </w:pPr>
    </w:p>
    <w:p w:rsidR="00D86AB4" w:rsidRDefault="006C5805" w:rsidP="006C5805">
      <w:pPr>
        <w:suppressAutoHyphens w:val="0"/>
        <w:spacing w:before="120"/>
        <w:jc w:val="both"/>
        <w:rPr>
          <w:lang w:val="fr-FR"/>
        </w:rPr>
      </w:pPr>
      <w:r w:rsidRPr="009349BD">
        <w:rPr>
          <w:lang w:val="fr-FR"/>
        </w:rPr>
        <w:t>L’OMADHD, remercie les rapporteurs spéciaux des Nations Unies et particulièrement le rapporteur spéciale sur la Torture,  qui a investi pleinement son temps à étudié la question de la torture en Mauritanie et pour sa disponibilité à écouter avec patience toutes les revendications et allégations qui lui ont été portée</w:t>
      </w:r>
      <w:r w:rsidR="00FD2227">
        <w:rPr>
          <w:lang w:val="fr-FR"/>
        </w:rPr>
        <w:t>s</w:t>
      </w:r>
      <w:r w:rsidRPr="009349BD">
        <w:rPr>
          <w:lang w:val="fr-FR"/>
        </w:rPr>
        <w:t xml:space="preserve"> de la part de  la société civile et autres individus. Nous saluons la volonté pressentie,  des hautes autorités de l’Etat partie visant à renforcer la collaboration avec les mécanismes régionaux et internationaux des droits de l’homme. Nous somme satisfait du niveau de la concertation </w:t>
      </w:r>
      <w:r w:rsidR="00D86AB4">
        <w:rPr>
          <w:lang w:val="fr-FR"/>
        </w:rPr>
        <w:t xml:space="preserve">engagé par la Mauritanie </w:t>
      </w:r>
      <w:r w:rsidRPr="009349BD">
        <w:rPr>
          <w:lang w:val="fr-FR"/>
        </w:rPr>
        <w:t>avec la société civile visant à l’impliqués davantage dans la création d’un arsenal juridique adéquat et harmonisé avec les instruments juridique régionaux et internationaux des droits de l’homme.</w:t>
      </w:r>
      <w:r>
        <w:rPr>
          <w:lang w:val="fr-FR"/>
        </w:rPr>
        <w:t xml:space="preserve"> </w:t>
      </w:r>
    </w:p>
    <w:p w:rsidR="006C5805" w:rsidRDefault="006C5805" w:rsidP="006C5805">
      <w:pPr>
        <w:suppressAutoHyphens w:val="0"/>
        <w:spacing w:before="120"/>
        <w:jc w:val="both"/>
        <w:rPr>
          <w:lang w:val="fr-FR"/>
        </w:rPr>
      </w:pPr>
      <w:r w:rsidRPr="009349BD">
        <w:rPr>
          <w:lang w:val="fr-FR"/>
        </w:rPr>
        <w:t>On note cependant,  que la Mauritanie doit veiller d’avantage à l’application stricte de la loi et de lutter fermement contre l’impunité et doit veiller à la mise en place des mécanismes nationaux de protection des droits de l’homme avec rigueur et responsabilité.</w:t>
      </w:r>
    </w:p>
    <w:p w:rsidR="006C5805" w:rsidRPr="006C5805" w:rsidRDefault="006C5805" w:rsidP="006C5805">
      <w:pPr>
        <w:suppressAutoHyphens w:val="0"/>
        <w:spacing w:before="120"/>
        <w:jc w:val="both"/>
        <w:rPr>
          <w:bCs/>
        </w:rPr>
      </w:pPr>
      <w:r w:rsidRPr="009349BD">
        <w:rPr>
          <w:lang w:val="fr-FR"/>
        </w:rPr>
        <w:t xml:space="preserve">  </w:t>
      </w:r>
    </w:p>
    <w:p w:rsidR="006C5805" w:rsidRPr="009349BD" w:rsidRDefault="006C5805" w:rsidP="006C5805">
      <w:pPr>
        <w:jc w:val="both"/>
        <w:rPr>
          <w:b/>
          <w:bCs/>
          <w:sz w:val="24"/>
          <w:szCs w:val="24"/>
        </w:rPr>
      </w:pPr>
      <w:r w:rsidRPr="009349BD">
        <w:rPr>
          <w:b/>
          <w:bCs/>
          <w:sz w:val="24"/>
          <w:szCs w:val="24"/>
        </w:rPr>
        <w:t>II. Instruments juridique de protection des droits de l’homme :</w:t>
      </w:r>
    </w:p>
    <w:p w:rsidR="006C5805" w:rsidRPr="009349BD" w:rsidRDefault="006C5805" w:rsidP="006C5805">
      <w:pPr>
        <w:jc w:val="both"/>
      </w:pPr>
    </w:p>
    <w:p w:rsidR="006C5805" w:rsidRPr="009349BD" w:rsidRDefault="006C5805" w:rsidP="006C5805">
      <w:pPr>
        <w:pStyle w:val="ListParagraph"/>
        <w:numPr>
          <w:ilvl w:val="0"/>
          <w:numId w:val="11"/>
        </w:numPr>
        <w:jc w:val="both"/>
        <w:rPr>
          <w:u w:val="single"/>
        </w:rPr>
      </w:pPr>
      <w:r w:rsidRPr="009349BD">
        <w:rPr>
          <w:u w:val="single"/>
        </w:rPr>
        <w:t xml:space="preserve">Niveau international </w:t>
      </w:r>
    </w:p>
    <w:p w:rsidR="006C5805" w:rsidRPr="009349BD" w:rsidRDefault="006C5805" w:rsidP="006C5805">
      <w:pPr>
        <w:jc w:val="both"/>
      </w:pPr>
      <w:r w:rsidRPr="009349BD">
        <w:t xml:space="preserve"> La Mauritanie est partie aux principaux instruments relatifs aux droits de l’homme de l’ONU interdisant la torture et les mauvais traitements,  à savoir</w:t>
      </w:r>
    </w:p>
    <w:p w:rsidR="006C5805" w:rsidRPr="009349BD" w:rsidRDefault="006C5805" w:rsidP="006C5805">
      <w:pPr>
        <w:pStyle w:val="ListParagraph"/>
        <w:numPr>
          <w:ilvl w:val="0"/>
          <w:numId w:val="1"/>
        </w:numPr>
        <w:jc w:val="both"/>
        <w:rPr>
          <w:rFonts w:asciiTheme="majorBidi" w:hAnsiTheme="majorBidi" w:cstheme="majorBidi"/>
          <w:sz w:val="20"/>
          <w:szCs w:val="20"/>
        </w:rPr>
      </w:pPr>
      <w:r w:rsidRPr="009349BD">
        <w:rPr>
          <w:rFonts w:asciiTheme="majorBidi" w:hAnsiTheme="majorBidi" w:cstheme="majorBidi"/>
          <w:sz w:val="20"/>
          <w:szCs w:val="20"/>
        </w:rPr>
        <w:t xml:space="preserve">le Pacte international relatif aux droits civils et politiques, </w:t>
      </w:r>
    </w:p>
    <w:p w:rsidR="006C5805" w:rsidRPr="009349BD" w:rsidRDefault="006C5805" w:rsidP="006C5805">
      <w:pPr>
        <w:pStyle w:val="ListParagraph"/>
        <w:numPr>
          <w:ilvl w:val="0"/>
          <w:numId w:val="1"/>
        </w:numPr>
        <w:jc w:val="both"/>
        <w:rPr>
          <w:rFonts w:asciiTheme="majorBidi" w:hAnsiTheme="majorBidi" w:cstheme="majorBidi"/>
          <w:sz w:val="20"/>
          <w:szCs w:val="20"/>
        </w:rPr>
      </w:pPr>
      <w:r w:rsidRPr="009349BD">
        <w:rPr>
          <w:rFonts w:asciiTheme="majorBidi" w:hAnsiTheme="majorBidi" w:cstheme="majorBidi"/>
          <w:sz w:val="20"/>
          <w:szCs w:val="20"/>
        </w:rPr>
        <w:t>la Convention contre la torture et autres peines ou traitements cruels, inhumains ou dégradants et le Protocole facultatif s’y rapportant,</w:t>
      </w:r>
    </w:p>
    <w:p w:rsidR="006C5805" w:rsidRPr="009349BD" w:rsidRDefault="006C5805" w:rsidP="006C5805">
      <w:pPr>
        <w:pStyle w:val="ListParagraph"/>
        <w:numPr>
          <w:ilvl w:val="0"/>
          <w:numId w:val="1"/>
        </w:numPr>
        <w:jc w:val="both"/>
        <w:rPr>
          <w:rFonts w:asciiTheme="majorBidi" w:hAnsiTheme="majorBidi" w:cstheme="majorBidi"/>
          <w:sz w:val="20"/>
          <w:szCs w:val="20"/>
        </w:rPr>
      </w:pPr>
      <w:r w:rsidRPr="009349BD">
        <w:rPr>
          <w:rFonts w:asciiTheme="majorBidi" w:hAnsiTheme="majorBidi" w:cstheme="majorBidi"/>
          <w:sz w:val="20"/>
          <w:szCs w:val="20"/>
        </w:rPr>
        <w:t xml:space="preserve"> la Convention relative aux droits de l’enfant,</w:t>
      </w:r>
    </w:p>
    <w:p w:rsidR="006C5805" w:rsidRPr="009349BD" w:rsidRDefault="006C5805" w:rsidP="006C5805">
      <w:pPr>
        <w:pStyle w:val="ListParagraph"/>
        <w:numPr>
          <w:ilvl w:val="0"/>
          <w:numId w:val="1"/>
        </w:numPr>
        <w:jc w:val="both"/>
        <w:rPr>
          <w:rFonts w:asciiTheme="majorBidi" w:hAnsiTheme="majorBidi" w:cstheme="majorBidi"/>
          <w:sz w:val="20"/>
          <w:szCs w:val="20"/>
        </w:rPr>
      </w:pPr>
      <w:r w:rsidRPr="009349BD">
        <w:rPr>
          <w:rFonts w:asciiTheme="majorBidi" w:hAnsiTheme="majorBidi" w:cstheme="majorBidi"/>
          <w:sz w:val="20"/>
          <w:szCs w:val="20"/>
        </w:rPr>
        <w:t xml:space="preserve"> la Convention internationale sur l’élimination de toutes les formes de discrimination raciale,</w:t>
      </w:r>
    </w:p>
    <w:p w:rsidR="006C5805" w:rsidRPr="009349BD" w:rsidRDefault="006C5805" w:rsidP="006C5805">
      <w:pPr>
        <w:pStyle w:val="ListParagraph"/>
        <w:numPr>
          <w:ilvl w:val="0"/>
          <w:numId w:val="1"/>
        </w:numPr>
        <w:jc w:val="both"/>
        <w:rPr>
          <w:rFonts w:asciiTheme="majorBidi" w:hAnsiTheme="majorBidi" w:cstheme="majorBidi"/>
          <w:sz w:val="20"/>
          <w:szCs w:val="20"/>
        </w:rPr>
      </w:pPr>
      <w:r w:rsidRPr="009349BD">
        <w:rPr>
          <w:rFonts w:asciiTheme="majorBidi" w:hAnsiTheme="majorBidi" w:cstheme="majorBidi"/>
          <w:sz w:val="20"/>
          <w:szCs w:val="20"/>
        </w:rPr>
        <w:t xml:space="preserve"> la Convention sur l’élimination de toutes les formes de discrimination à l’égard des femmes </w:t>
      </w:r>
    </w:p>
    <w:p w:rsidR="006C5805" w:rsidRPr="009349BD" w:rsidRDefault="006C5805" w:rsidP="006C5805">
      <w:pPr>
        <w:pStyle w:val="ListParagraph"/>
        <w:numPr>
          <w:ilvl w:val="0"/>
          <w:numId w:val="1"/>
        </w:numPr>
        <w:jc w:val="both"/>
      </w:pPr>
      <w:r w:rsidRPr="009349BD">
        <w:rPr>
          <w:rFonts w:asciiTheme="majorBidi" w:hAnsiTheme="majorBidi" w:cstheme="majorBidi"/>
          <w:sz w:val="20"/>
          <w:szCs w:val="20"/>
        </w:rPr>
        <w:t xml:space="preserve"> la Convention relative aux droits des personnes handicapées</w:t>
      </w:r>
      <w:r w:rsidRPr="009349BD">
        <w:t>.</w:t>
      </w:r>
    </w:p>
    <w:p w:rsidR="006C5805" w:rsidRPr="009349BD" w:rsidRDefault="006C5805" w:rsidP="006C5805">
      <w:pPr>
        <w:jc w:val="both"/>
      </w:pPr>
      <w:r w:rsidRPr="009349BD">
        <w:t xml:space="preserve">  N.B : Ces instruments internationaux priment les lois nationales.</w:t>
      </w:r>
    </w:p>
    <w:p w:rsidR="006C5805" w:rsidRPr="009349BD" w:rsidRDefault="006C5805" w:rsidP="006C5805">
      <w:pPr>
        <w:jc w:val="both"/>
      </w:pPr>
    </w:p>
    <w:p w:rsidR="006C5805" w:rsidRPr="009349BD" w:rsidRDefault="006C5805" w:rsidP="006C5805">
      <w:pPr>
        <w:jc w:val="both"/>
        <w:rPr>
          <w:u w:val="single"/>
        </w:rPr>
      </w:pPr>
      <w:r w:rsidRPr="009349BD">
        <w:rPr>
          <w:u w:val="single"/>
        </w:rPr>
        <w:t xml:space="preserve">B. Niveau régional </w:t>
      </w:r>
    </w:p>
    <w:p w:rsidR="006C5805" w:rsidRPr="009349BD" w:rsidRDefault="006C5805" w:rsidP="006C5805">
      <w:pPr>
        <w:jc w:val="both"/>
        <w:rPr>
          <w:u w:val="single"/>
        </w:rPr>
      </w:pPr>
    </w:p>
    <w:p w:rsidR="006C5805" w:rsidRPr="009349BD" w:rsidRDefault="006C5805" w:rsidP="006C5805">
      <w:pPr>
        <w:jc w:val="both"/>
      </w:pPr>
      <w:r w:rsidRPr="009349BD">
        <w:t>La Mauritanie est partie à :</w:t>
      </w:r>
    </w:p>
    <w:p w:rsidR="006C5805" w:rsidRPr="009349BD" w:rsidRDefault="006C5805" w:rsidP="006C5805">
      <w:pPr>
        <w:pStyle w:val="ListParagraph"/>
        <w:numPr>
          <w:ilvl w:val="0"/>
          <w:numId w:val="2"/>
        </w:numPr>
        <w:jc w:val="both"/>
        <w:rPr>
          <w:rFonts w:asciiTheme="majorBidi" w:hAnsiTheme="majorBidi" w:cstheme="majorBidi"/>
          <w:sz w:val="20"/>
          <w:szCs w:val="20"/>
        </w:rPr>
      </w:pPr>
      <w:r w:rsidRPr="009349BD">
        <w:rPr>
          <w:rFonts w:asciiTheme="majorBidi" w:hAnsiTheme="majorBidi" w:cstheme="majorBidi"/>
          <w:sz w:val="20"/>
          <w:szCs w:val="20"/>
        </w:rPr>
        <w:t xml:space="preserve">La Charte africaine des droits de l’homme et des peuples, </w:t>
      </w:r>
    </w:p>
    <w:p w:rsidR="006C5805" w:rsidRPr="009349BD" w:rsidRDefault="006C5805" w:rsidP="006C5805">
      <w:pPr>
        <w:pStyle w:val="ListParagraph"/>
        <w:numPr>
          <w:ilvl w:val="0"/>
          <w:numId w:val="2"/>
        </w:numPr>
        <w:jc w:val="both"/>
        <w:rPr>
          <w:rFonts w:asciiTheme="majorBidi" w:hAnsiTheme="majorBidi" w:cstheme="majorBidi"/>
          <w:sz w:val="20"/>
          <w:szCs w:val="20"/>
        </w:rPr>
      </w:pPr>
      <w:r w:rsidRPr="009349BD">
        <w:rPr>
          <w:rFonts w:asciiTheme="majorBidi" w:hAnsiTheme="majorBidi" w:cstheme="majorBidi"/>
          <w:sz w:val="20"/>
          <w:szCs w:val="20"/>
        </w:rPr>
        <w:t>à son Protocole relatif aux droits de la femme en Afrique,</w:t>
      </w:r>
    </w:p>
    <w:p w:rsidR="006C5805" w:rsidRPr="009349BD" w:rsidRDefault="006C5805" w:rsidP="006C5805">
      <w:pPr>
        <w:pStyle w:val="ListParagraph"/>
        <w:numPr>
          <w:ilvl w:val="0"/>
          <w:numId w:val="2"/>
        </w:numPr>
        <w:jc w:val="both"/>
        <w:rPr>
          <w:rFonts w:asciiTheme="majorBidi" w:hAnsiTheme="majorBidi" w:cstheme="majorBidi"/>
          <w:sz w:val="20"/>
          <w:szCs w:val="20"/>
        </w:rPr>
      </w:pPr>
      <w:r w:rsidRPr="009349BD">
        <w:rPr>
          <w:rFonts w:asciiTheme="majorBidi" w:hAnsiTheme="majorBidi" w:cstheme="majorBidi"/>
          <w:sz w:val="20"/>
          <w:szCs w:val="20"/>
        </w:rPr>
        <w:t xml:space="preserve"> à son Protocole portant création d’une Cour africaine des droits de l’homme et des peuples.</w:t>
      </w:r>
    </w:p>
    <w:p w:rsidR="006C5805" w:rsidRPr="009349BD" w:rsidRDefault="006C5805" w:rsidP="006C5805">
      <w:pPr>
        <w:pStyle w:val="ListParagraph"/>
        <w:numPr>
          <w:ilvl w:val="0"/>
          <w:numId w:val="2"/>
        </w:numPr>
        <w:jc w:val="both"/>
        <w:rPr>
          <w:rFonts w:asciiTheme="majorBidi" w:hAnsiTheme="majorBidi" w:cstheme="majorBidi"/>
          <w:sz w:val="20"/>
          <w:szCs w:val="20"/>
        </w:rPr>
      </w:pPr>
      <w:r w:rsidRPr="009349BD">
        <w:rPr>
          <w:rFonts w:asciiTheme="majorBidi" w:hAnsiTheme="majorBidi" w:cstheme="majorBidi"/>
          <w:sz w:val="20"/>
          <w:szCs w:val="20"/>
        </w:rPr>
        <w:t xml:space="preserve"> à la Charte africaine des droits et du bien-être de l’enfant</w:t>
      </w:r>
    </w:p>
    <w:p w:rsidR="006C5805" w:rsidRPr="009349BD" w:rsidRDefault="006C5805" w:rsidP="006C5805">
      <w:pPr>
        <w:pStyle w:val="ListParagraph"/>
        <w:numPr>
          <w:ilvl w:val="0"/>
          <w:numId w:val="2"/>
        </w:numPr>
        <w:jc w:val="both"/>
        <w:rPr>
          <w:rFonts w:asciiTheme="majorBidi" w:hAnsiTheme="majorBidi" w:cstheme="majorBidi"/>
          <w:sz w:val="20"/>
          <w:szCs w:val="20"/>
        </w:rPr>
      </w:pPr>
      <w:r w:rsidRPr="009349BD">
        <w:rPr>
          <w:rFonts w:asciiTheme="majorBidi" w:hAnsiTheme="majorBidi" w:cstheme="majorBidi"/>
          <w:sz w:val="20"/>
          <w:szCs w:val="20"/>
        </w:rPr>
        <w:t xml:space="preserve"> A souscrit aux lignes directrices et mesures d’interdiction et de prévention de la torture et des peines ou traitements cruels, inhumains ou dégradants en Afrique (Lignes directrices de </w:t>
      </w:r>
      <w:proofErr w:type="spellStart"/>
      <w:r w:rsidRPr="009349BD">
        <w:rPr>
          <w:rFonts w:asciiTheme="majorBidi" w:hAnsiTheme="majorBidi" w:cstheme="majorBidi"/>
          <w:sz w:val="20"/>
          <w:szCs w:val="20"/>
        </w:rPr>
        <w:t>Robben</w:t>
      </w:r>
      <w:proofErr w:type="spellEnd"/>
      <w:r w:rsidRPr="009349BD">
        <w:rPr>
          <w:rFonts w:asciiTheme="majorBidi" w:hAnsiTheme="majorBidi" w:cstheme="majorBidi"/>
          <w:sz w:val="20"/>
          <w:szCs w:val="20"/>
        </w:rPr>
        <w:t xml:space="preserve"> Island). </w:t>
      </w:r>
    </w:p>
    <w:p w:rsidR="006C5805" w:rsidRPr="009349BD" w:rsidRDefault="006C5805" w:rsidP="006C5805">
      <w:pPr>
        <w:jc w:val="both"/>
        <w:rPr>
          <w:u w:val="single"/>
        </w:rPr>
      </w:pPr>
      <w:r w:rsidRPr="009349BD">
        <w:rPr>
          <w:u w:val="single"/>
        </w:rPr>
        <w:t xml:space="preserve"> C. Niveau national :</w:t>
      </w:r>
    </w:p>
    <w:p w:rsidR="006C5805" w:rsidRPr="009349BD" w:rsidRDefault="006C5805" w:rsidP="006C5805">
      <w:pPr>
        <w:jc w:val="both"/>
      </w:pPr>
    </w:p>
    <w:p w:rsidR="006C5805" w:rsidRPr="009349BD" w:rsidRDefault="006C5805" w:rsidP="006C5805">
      <w:pPr>
        <w:jc w:val="both"/>
      </w:pPr>
      <w:r w:rsidRPr="009349BD">
        <w:t xml:space="preserve"> Au niveau national,  la loi no 2015-033 relative à la lutte contre la torture a été adoptée, venant remplacer la loi de 2013. Elle contient une définition de la torture et des dispositions régissant son interdiction, sa prévention et sa répression et prévoit des mesures de réparation et de protection. Elle prévoit en outre de nouvelles garanties pour toutes les personnes privées de liberté.</w:t>
      </w:r>
    </w:p>
    <w:p w:rsidR="006C5805" w:rsidRDefault="006C5805" w:rsidP="006C5805">
      <w:pPr>
        <w:jc w:val="both"/>
      </w:pPr>
      <w:r w:rsidRPr="009349BD">
        <w:t xml:space="preserve">  </w:t>
      </w:r>
      <w:proofErr w:type="gramStart"/>
      <w:r w:rsidRPr="009349BD">
        <w:t>la</w:t>
      </w:r>
      <w:proofErr w:type="gramEnd"/>
      <w:r w:rsidRPr="009349BD">
        <w:t xml:space="preserve"> Mauritanie a également adopté, en septembre 2015, la loi no 2015-034 instituant un mécanisme national de prévention de la torture, dont l’objectif est d’empêcher le recours à la torture et à d’autres peines ou traitements cruels, inhumains ou dégradants dans les lieux de détention.</w:t>
      </w:r>
      <w:r>
        <w:t xml:space="preserve"> </w:t>
      </w:r>
    </w:p>
    <w:p w:rsidR="006C5805" w:rsidRDefault="006C5805" w:rsidP="006C5805">
      <w:pPr>
        <w:jc w:val="both"/>
      </w:pPr>
    </w:p>
    <w:p w:rsidR="006C5805" w:rsidRDefault="006C5805" w:rsidP="006C5805">
      <w:pPr>
        <w:jc w:val="both"/>
      </w:pPr>
    </w:p>
    <w:p w:rsidR="0077151E" w:rsidRDefault="0077151E" w:rsidP="006C5805">
      <w:pPr>
        <w:jc w:val="both"/>
        <w:rPr>
          <w:lang w:val="fr-FR"/>
        </w:rPr>
      </w:pPr>
    </w:p>
    <w:p w:rsidR="0077151E" w:rsidRDefault="0077151E" w:rsidP="006C5805">
      <w:pPr>
        <w:jc w:val="both"/>
        <w:rPr>
          <w:lang w:val="fr-FR"/>
        </w:rPr>
      </w:pPr>
    </w:p>
    <w:p w:rsidR="0077151E" w:rsidRDefault="0077151E" w:rsidP="006C5805">
      <w:pPr>
        <w:jc w:val="both"/>
        <w:rPr>
          <w:lang w:val="fr-FR"/>
        </w:rPr>
      </w:pPr>
    </w:p>
    <w:p w:rsidR="0077151E" w:rsidRPr="009349BD" w:rsidRDefault="0077151E" w:rsidP="0077151E">
      <w:pPr>
        <w:pStyle w:val="H1G"/>
        <w:numPr>
          <w:ilvl w:val="0"/>
          <w:numId w:val="9"/>
        </w:numPr>
        <w:jc w:val="both"/>
        <w:rPr>
          <w:lang w:val="fr-FR"/>
        </w:rPr>
      </w:pPr>
      <w:r w:rsidRPr="009349BD">
        <w:rPr>
          <w:lang w:val="fr-FR"/>
        </w:rPr>
        <w:t xml:space="preserve">L’état d’avancement des principaux sujets de préoccupation et recommandations qui ont été souligné par le Comité lors du premier passage de la Mauritanie en 2013. </w:t>
      </w:r>
    </w:p>
    <w:p w:rsidR="0077151E" w:rsidRPr="009349BD" w:rsidRDefault="0077151E" w:rsidP="0077151E">
      <w:pPr>
        <w:pStyle w:val="H23G"/>
        <w:numPr>
          <w:ilvl w:val="0"/>
          <w:numId w:val="10"/>
        </w:numPr>
        <w:jc w:val="both"/>
        <w:rPr>
          <w:lang w:val="fr-FR"/>
        </w:rPr>
      </w:pPr>
      <w:r w:rsidRPr="009349BD">
        <w:rPr>
          <w:lang w:val="fr-FR"/>
        </w:rPr>
        <w:t xml:space="preserve">Définition et incrimination de la torture </w:t>
      </w:r>
    </w:p>
    <w:p w:rsidR="0077151E" w:rsidRDefault="0077151E" w:rsidP="006C5805">
      <w:pPr>
        <w:jc w:val="both"/>
        <w:rPr>
          <w:lang w:val="fr-FR"/>
        </w:rPr>
      </w:pPr>
    </w:p>
    <w:p w:rsidR="006C5805" w:rsidRPr="009349BD" w:rsidRDefault="006C5805" w:rsidP="006C5805">
      <w:pPr>
        <w:jc w:val="both"/>
      </w:pPr>
      <w:r w:rsidRPr="009349BD">
        <w:rPr>
          <w:lang w:val="fr-FR"/>
        </w:rPr>
        <w:t>On note notre satisfaction, du fait que la torture a été bien  définie dans la loi 2015-33 avec tous les éléments de la définition contenue dans l’article Premier de la convention et est incriminé  comme un crime contre l’humanité sanctionné par des peines proportionnées à leurs gravités. Nous saluons aussi la large diffusion de la loi incriminant la torture et surtout sa publication au journal officiel. L’organisation des multiples séances de formations et campagne de sensibilisation du personnel de sécurité et du personnel chargé de l’application de la loi, constitue une preuve de bonne volonté et une  mise en demeure claire et formelles aux responsables des forces de sécurité sur la prohibition de la torture, sa pénalisation et sur les sanction proportionné à la gravité du crime.</w:t>
      </w:r>
      <w:r w:rsidRPr="009349BD">
        <w:t xml:space="preserve"> </w:t>
      </w:r>
    </w:p>
    <w:p w:rsidR="006C5805" w:rsidRPr="009349BD" w:rsidRDefault="006C5805" w:rsidP="006C5805">
      <w:pPr>
        <w:pStyle w:val="H23G"/>
        <w:numPr>
          <w:ilvl w:val="0"/>
          <w:numId w:val="10"/>
        </w:numPr>
        <w:jc w:val="both"/>
        <w:rPr>
          <w:lang w:val="fr-FR"/>
        </w:rPr>
      </w:pPr>
      <w:r w:rsidRPr="009349BD">
        <w:rPr>
          <w:lang w:val="fr-FR"/>
        </w:rPr>
        <w:t>Application directe de la Convention par les juridictions internes</w:t>
      </w:r>
    </w:p>
    <w:p w:rsidR="006C5805" w:rsidRPr="009349BD" w:rsidRDefault="006C5805" w:rsidP="006C5805">
      <w:pPr>
        <w:jc w:val="both"/>
      </w:pPr>
      <w:r w:rsidRPr="009349BD">
        <w:rPr>
          <w:lang w:val="fr-FR"/>
        </w:rPr>
        <w:t xml:space="preserve"> </w:t>
      </w:r>
      <w:r w:rsidRPr="009349BD">
        <w:t>La loi no 2015-033 relative à la lutte contre la torture a été adoptée, venant remplacer la loi de 2013. Elle contient une définition de la torture et des dispositions régissant son interdiction, sa prévention et sa répression et prévoit des mesures de réparation et de protection. Elle prévoit en outre de nouvelles garanties pour toutes les personnes privées de liberté.</w:t>
      </w:r>
    </w:p>
    <w:p w:rsidR="006C5805" w:rsidRPr="009349BD" w:rsidRDefault="006C5805" w:rsidP="006C5805">
      <w:pPr>
        <w:jc w:val="both"/>
      </w:pPr>
    </w:p>
    <w:p w:rsidR="006C5805" w:rsidRPr="009349BD" w:rsidRDefault="006C5805" w:rsidP="006C5805">
      <w:pPr>
        <w:jc w:val="both"/>
      </w:pPr>
    </w:p>
    <w:p w:rsidR="006C5805" w:rsidRPr="009349BD" w:rsidRDefault="006C5805" w:rsidP="006C5805">
      <w:pPr>
        <w:jc w:val="both"/>
      </w:pPr>
      <w:r w:rsidRPr="009349BD">
        <w:rPr>
          <w:bCs/>
          <w:lang w:val="fr-FR"/>
        </w:rPr>
        <w:t>Les aveux obtenus sous la torture ne sont pas admis comme preuve, chose garanti par la loi et les avocats veilles à son application</w:t>
      </w:r>
      <w:r w:rsidRPr="009349BD">
        <w:rPr>
          <w:b/>
          <w:lang w:val="fr-FR"/>
        </w:rPr>
        <w:t xml:space="preserve">. </w:t>
      </w:r>
      <w:r w:rsidRPr="009349BD">
        <w:t xml:space="preserve"> Les articles préliminaires du Code de procédure pénale prévoient des garanties supplémentaires contre la torture, et précisent que tout aveu obtenu par la torture, la violence ou la force est irrecevable. De plus, son article 58 dispose que la dignité humaine de toutes les personnes privées, de quelle que manière que ce soit, de leur liberté doit être respectée et interdit de les maltraiter moralement ou physiquement ou de les détenir dans des lieux autres que ceux prévus à cet effet par la loi. </w:t>
      </w:r>
    </w:p>
    <w:p w:rsidR="006C5805" w:rsidRDefault="006C5805" w:rsidP="006C5805">
      <w:pPr>
        <w:jc w:val="both"/>
      </w:pPr>
      <w:r w:rsidRPr="009349BD">
        <w:t>En plus, l’article 15 de la loi no 2010-07 du 20 janvier 2010 relative au statut de la Police nationale dispose que les membres de la Police nationale doivent s’abstenir de tout</w:t>
      </w:r>
      <w:r>
        <w:t xml:space="preserve"> traitement cruel ou dégradant. </w:t>
      </w:r>
    </w:p>
    <w:p w:rsidR="006C5805" w:rsidRDefault="006C5805" w:rsidP="006C5805">
      <w:pPr>
        <w:jc w:val="both"/>
      </w:pPr>
    </w:p>
    <w:p w:rsidR="0077151E" w:rsidRPr="009349BD" w:rsidRDefault="0077151E" w:rsidP="00FD2227">
      <w:pPr>
        <w:pStyle w:val="H23G"/>
        <w:numPr>
          <w:ilvl w:val="0"/>
          <w:numId w:val="10"/>
        </w:numPr>
        <w:jc w:val="both"/>
        <w:rPr>
          <w:lang w:val="fr-FR"/>
        </w:rPr>
      </w:pPr>
      <w:r w:rsidRPr="009349BD">
        <w:rPr>
          <w:lang w:val="fr-FR"/>
        </w:rPr>
        <w:t>Garanties juridiques fondamentales</w:t>
      </w:r>
    </w:p>
    <w:p w:rsidR="006C5805" w:rsidRDefault="006C5805" w:rsidP="006C5805">
      <w:pPr>
        <w:jc w:val="both"/>
      </w:pPr>
    </w:p>
    <w:p w:rsidR="006C5805" w:rsidRDefault="006C5805" w:rsidP="006C5805">
      <w:pPr>
        <w:jc w:val="both"/>
        <w:rPr>
          <w:bCs/>
          <w:lang w:val="fr-FR"/>
        </w:rPr>
      </w:pPr>
      <w:r w:rsidRPr="009349BD">
        <w:rPr>
          <w:bCs/>
          <w:lang w:val="fr-FR"/>
        </w:rPr>
        <w:t>La Mauritanie à connue des avancées notoires en matière de droit des personnes privées de liberté à savoir :</w:t>
      </w:r>
      <w:r>
        <w:rPr>
          <w:bCs/>
          <w:lang w:val="fr-FR"/>
        </w:rPr>
        <w:t xml:space="preserve"> </w:t>
      </w:r>
    </w:p>
    <w:p w:rsidR="006C5805" w:rsidRDefault="006C5805" w:rsidP="006C5805">
      <w:pPr>
        <w:jc w:val="both"/>
        <w:rPr>
          <w:bCs/>
          <w:lang w:val="fr-FR"/>
        </w:rPr>
      </w:pPr>
    </w:p>
    <w:p w:rsidR="006C5805" w:rsidRDefault="006C5805" w:rsidP="006C5805">
      <w:pPr>
        <w:jc w:val="both"/>
        <w:rPr>
          <w:bCs/>
          <w:lang w:val="fr-FR"/>
        </w:rPr>
      </w:pPr>
    </w:p>
    <w:p w:rsidR="006C5805" w:rsidRPr="009349BD" w:rsidRDefault="006C5805" w:rsidP="006C5805">
      <w:pPr>
        <w:pStyle w:val="SingleTxtG"/>
        <w:numPr>
          <w:ilvl w:val="0"/>
          <w:numId w:val="3"/>
        </w:numPr>
        <w:tabs>
          <w:tab w:val="left" w:pos="2835"/>
        </w:tabs>
        <w:rPr>
          <w:lang w:eastAsia="en-GB"/>
        </w:rPr>
      </w:pPr>
      <w:r w:rsidRPr="009349BD">
        <w:rPr>
          <w:lang w:eastAsia="en-GB"/>
        </w:rPr>
        <w:t>le droit d’être informé des motifs de son arrestation;</w:t>
      </w:r>
    </w:p>
    <w:p w:rsidR="006C5805" w:rsidRPr="009349BD" w:rsidRDefault="006C5805" w:rsidP="006C5805">
      <w:pPr>
        <w:pStyle w:val="SingleTxtG"/>
        <w:numPr>
          <w:ilvl w:val="0"/>
          <w:numId w:val="3"/>
        </w:numPr>
        <w:tabs>
          <w:tab w:val="left" w:pos="2835"/>
        </w:tabs>
        <w:rPr>
          <w:lang w:eastAsia="en-GB"/>
        </w:rPr>
      </w:pPr>
      <w:r w:rsidRPr="009349BD">
        <w:rPr>
          <w:lang w:eastAsia="en-GB"/>
        </w:rPr>
        <w:t>la possibilité d’avoir rapidement accès à un conseil légal indépendant dès le début de la privation de liberté et, le cas échéant, à une aide juridictionnelle;</w:t>
      </w:r>
      <w:r w:rsidRPr="009349BD">
        <w:tab/>
      </w:r>
    </w:p>
    <w:p w:rsidR="006C5805" w:rsidRPr="009349BD" w:rsidRDefault="006C5805" w:rsidP="006C5805">
      <w:pPr>
        <w:pStyle w:val="SingleTxtG"/>
        <w:numPr>
          <w:ilvl w:val="0"/>
          <w:numId w:val="3"/>
        </w:numPr>
        <w:tabs>
          <w:tab w:val="left" w:pos="2835"/>
        </w:tabs>
        <w:rPr>
          <w:bCs/>
          <w:lang w:eastAsia="en-GB"/>
        </w:rPr>
      </w:pPr>
      <w:r w:rsidRPr="009349BD">
        <w:rPr>
          <w:bCs/>
        </w:rPr>
        <w:t>l’assurance de pouvoir se</w:t>
      </w:r>
      <w:r w:rsidRPr="009349BD">
        <w:rPr>
          <w:bCs/>
          <w:lang w:eastAsia="en-GB"/>
        </w:rPr>
        <w:t xml:space="preserve"> faire examiner par un médecin indépendant et de contacter un membre de sa famille; et</w:t>
      </w:r>
    </w:p>
    <w:p w:rsidR="006C5805" w:rsidRPr="009349BD" w:rsidRDefault="006C5805" w:rsidP="006C5805">
      <w:pPr>
        <w:pStyle w:val="SingleTxtG"/>
        <w:numPr>
          <w:ilvl w:val="0"/>
          <w:numId w:val="3"/>
        </w:numPr>
        <w:tabs>
          <w:tab w:val="left" w:pos="2835"/>
        </w:tabs>
        <w:rPr>
          <w:lang w:eastAsia="en-GB"/>
        </w:rPr>
      </w:pPr>
      <w:r w:rsidRPr="009349BD">
        <w:rPr>
          <w:lang w:eastAsia="en-GB"/>
        </w:rPr>
        <w:t xml:space="preserve"> la possibilité d’être présenté sans délai à un juge et de faire examiner par un tribunal la légalité de sa détention, conformément aux normes internationales;</w:t>
      </w:r>
    </w:p>
    <w:p w:rsidR="006C5805" w:rsidRPr="009349BD" w:rsidRDefault="006C5805" w:rsidP="006C5805">
      <w:pPr>
        <w:pStyle w:val="SingleTxtG"/>
        <w:tabs>
          <w:tab w:val="left" w:pos="2835"/>
        </w:tabs>
        <w:ind w:left="0"/>
        <w:rPr>
          <w:bCs/>
          <w:lang w:val="fr-FR"/>
        </w:rPr>
      </w:pPr>
      <w:r w:rsidRPr="009349BD">
        <w:rPr>
          <w:bCs/>
          <w:lang w:val="fr-FR"/>
        </w:rPr>
        <w:lastRenderedPageBreak/>
        <w:t>Alors nous signalons notre insatisfaction au sujet suivant :</w:t>
      </w:r>
    </w:p>
    <w:p w:rsidR="006C5805" w:rsidRPr="009349BD" w:rsidRDefault="006C5805" w:rsidP="006C5805">
      <w:pPr>
        <w:pStyle w:val="SingleTxtG"/>
        <w:numPr>
          <w:ilvl w:val="0"/>
          <w:numId w:val="4"/>
        </w:numPr>
        <w:tabs>
          <w:tab w:val="left" w:pos="2835"/>
        </w:tabs>
        <w:rPr>
          <w:b/>
          <w:bCs/>
          <w:lang w:eastAsia="en-GB"/>
        </w:rPr>
      </w:pPr>
      <w:r w:rsidRPr="009349BD">
        <w:rPr>
          <w:bCs/>
          <w:lang w:val="fr-FR"/>
        </w:rPr>
        <w:t>les arrestations arbitraires, car ne seront pas reconnues en tant que telle, toutes les preuves  seront jugulées et démonté sous d’autres formes a fin de culpabilisé le détenue, toutefois nous soulevons notre inquiétude pour l’indépendance de la justice et loin d’espérer avoir une indemnisation des victimes de la détention arbitraire.</w:t>
      </w:r>
    </w:p>
    <w:p w:rsidR="006C5805" w:rsidRPr="009349BD" w:rsidRDefault="006C5805" w:rsidP="006C5805">
      <w:pPr>
        <w:pStyle w:val="SingleTxtG"/>
        <w:numPr>
          <w:ilvl w:val="0"/>
          <w:numId w:val="4"/>
        </w:numPr>
        <w:rPr>
          <w:b/>
          <w:bCs/>
          <w:lang w:eastAsia="en-GB"/>
        </w:rPr>
      </w:pPr>
      <w:r w:rsidRPr="009349BD">
        <w:rPr>
          <w:bCs/>
          <w:lang w:val="fr-FR"/>
        </w:rPr>
        <w:t>La longueur du délai de garde à vue qui est de 15 jours renouvelable en matière de crimes terroristes et des atteintes à la sûreté de l’État</w:t>
      </w:r>
    </w:p>
    <w:p w:rsidR="006C5805" w:rsidRPr="006C5805" w:rsidRDefault="006C5805" w:rsidP="006C5805">
      <w:pPr>
        <w:jc w:val="both"/>
        <w:rPr>
          <w:bCs/>
        </w:rPr>
      </w:pPr>
    </w:p>
    <w:p w:rsidR="006C5805" w:rsidRDefault="006C5805" w:rsidP="006C5805">
      <w:pPr>
        <w:jc w:val="both"/>
        <w:rPr>
          <w:bCs/>
          <w:lang w:val="fr-FR"/>
        </w:rPr>
      </w:pPr>
    </w:p>
    <w:p w:rsidR="0077151E" w:rsidRPr="004D1245" w:rsidRDefault="0077151E" w:rsidP="00FD2227">
      <w:pPr>
        <w:pStyle w:val="SingleTxtG"/>
        <w:numPr>
          <w:ilvl w:val="0"/>
          <w:numId w:val="10"/>
        </w:numPr>
        <w:rPr>
          <w:b/>
          <w:lang w:val="fr-FR"/>
        </w:rPr>
      </w:pPr>
      <w:r w:rsidRPr="004D1245">
        <w:rPr>
          <w:b/>
          <w:lang w:val="fr-FR"/>
        </w:rPr>
        <w:t xml:space="preserve">Au sujet d’amender la loi n° 2010-043 relative à la lutte contre le terrorisme pour en restreindre la portée de manière à ce qu’elle n’occasionne pas de détentions arbitraires ni de traitements prohibés par la Convention. </w:t>
      </w:r>
    </w:p>
    <w:p w:rsidR="006C5805" w:rsidRDefault="006C5805" w:rsidP="006C5805">
      <w:pPr>
        <w:jc w:val="both"/>
        <w:rPr>
          <w:bCs/>
          <w:lang w:val="fr-FR"/>
        </w:rPr>
      </w:pPr>
    </w:p>
    <w:p w:rsidR="00175ADA" w:rsidRDefault="006C5805" w:rsidP="00175ADA">
      <w:pPr>
        <w:jc w:val="both"/>
        <w:rPr>
          <w:lang w:val="fr-FR" w:bidi="ar-DZ"/>
        </w:rPr>
      </w:pPr>
      <w:r w:rsidRPr="009349BD">
        <w:rPr>
          <w:lang w:val="fr-FR" w:bidi="ar-DZ"/>
        </w:rPr>
        <w:t>La législation relative à la lutte contre le terrorisme fait act</w:t>
      </w:r>
      <w:r>
        <w:rPr>
          <w:lang w:val="fr-FR" w:bidi="ar-DZ"/>
        </w:rPr>
        <w:t xml:space="preserve">uellement l’objet d’un audit de </w:t>
      </w:r>
      <w:r w:rsidRPr="009349BD">
        <w:rPr>
          <w:lang w:val="fr-FR" w:bidi="ar-DZ"/>
        </w:rPr>
        <w:t>la part de la direction du contreterrorisme des Nations Unies, de l’ONUDC et du PNUD sur initiative des autorités mauritaniennes. L’objet de cet audit est d’adapter la législation nationale à l’évolution du terrorisme et à la législation internationale dans le respect des droits de l’homme.</w:t>
      </w:r>
      <w:r w:rsidR="00175ADA">
        <w:rPr>
          <w:lang w:val="fr-FR" w:bidi="ar-DZ"/>
        </w:rPr>
        <w:t xml:space="preserve"> </w:t>
      </w:r>
    </w:p>
    <w:p w:rsidR="00175ADA" w:rsidRDefault="00175ADA" w:rsidP="00175ADA">
      <w:pPr>
        <w:jc w:val="both"/>
        <w:rPr>
          <w:lang w:val="fr-FR" w:bidi="ar-DZ"/>
        </w:rPr>
      </w:pPr>
    </w:p>
    <w:p w:rsidR="00175ADA" w:rsidRDefault="00175ADA" w:rsidP="00175ADA">
      <w:pPr>
        <w:jc w:val="both"/>
        <w:rPr>
          <w:lang w:val="fr-FR" w:bidi="ar-DZ"/>
        </w:rPr>
      </w:pPr>
    </w:p>
    <w:p w:rsidR="0077151E" w:rsidRPr="009349BD" w:rsidRDefault="0077151E" w:rsidP="00FD2227">
      <w:pPr>
        <w:pStyle w:val="H23G"/>
        <w:numPr>
          <w:ilvl w:val="0"/>
          <w:numId w:val="10"/>
        </w:numPr>
        <w:jc w:val="both"/>
        <w:rPr>
          <w:lang w:val="fr-FR"/>
        </w:rPr>
      </w:pPr>
      <w:r w:rsidRPr="009349BD">
        <w:rPr>
          <w:lang w:val="fr-FR"/>
        </w:rPr>
        <w:t>Détention au secret et disparitions forcées</w:t>
      </w:r>
    </w:p>
    <w:p w:rsidR="00175ADA" w:rsidRDefault="00175ADA" w:rsidP="00175ADA">
      <w:pPr>
        <w:jc w:val="both"/>
        <w:rPr>
          <w:lang w:val="fr-FR" w:bidi="ar-DZ"/>
        </w:rPr>
      </w:pPr>
    </w:p>
    <w:p w:rsidR="00175ADA" w:rsidRDefault="006C5805" w:rsidP="00175ADA">
      <w:pPr>
        <w:jc w:val="both"/>
        <w:rPr>
          <w:bCs/>
          <w:lang w:val="fr-FR"/>
        </w:rPr>
      </w:pPr>
      <w:r w:rsidRPr="009349BD">
        <w:rPr>
          <w:lang w:val="fr-FR"/>
        </w:rPr>
        <w:t xml:space="preserve">Nous signalons que les détenues </w:t>
      </w:r>
      <w:proofErr w:type="spellStart"/>
      <w:r w:rsidRPr="009349BD">
        <w:rPr>
          <w:lang w:val="fr-FR"/>
        </w:rPr>
        <w:t>Salaviste</w:t>
      </w:r>
      <w:proofErr w:type="spellEnd"/>
      <w:r w:rsidRPr="009349BD">
        <w:rPr>
          <w:lang w:val="fr-FR"/>
        </w:rPr>
        <w:t xml:space="preserve"> ont été éloignées dans une prison secrète et quelques personnes </w:t>
      </w:r>
      <w:r w:rsidR="004D1245" w:rsidRPr="009349BD">
        <w:rPr>
          <w:lang w:val="fr-FR"/>
        </w:rPr>
        <w:t>par</w:t>
      </w:r>
      <w:r w:rsidR="004D1245">
        <w:rPr>
          <w:lang w:val="fr-FR"/>
        </w:rPr>
        <w:t xml:space="preserve">mi </w:t>
      </w:r>
      <w:r w:rsidRPr="009349BD">
        <w:rPr>
          <w:lang w:val="fr-FR"/>
        </w:rPr>
        <w:t xml:space="preserve"> eux  sont mortes dans des circonstances obscures.</w:t>
      </w:r>
      <w:r w:rsidR="00175ADA">
        <w:rPr>
          <w:lang w:val="fr-FR"/>
        </w:rPr>
        <w:t xml:space="preserve"> </w:t>
      </w:r>
      <w:r w:rsidRPr="009349BD">
        <w:rPr>
          <w:lang w:val="fr-FR"/>
        </w:rPr>
        <w:t xml:space="preserve">Au sujet  de la ténue du registre des détenues, il est maintenue un registre sous forme de papiers, qui ne peut pas garantir le suivi et la revue après un certains temps, il comprend ; l’identité, le motif, l’autorité en charge de détention. </w:t>
      </w:r>
      <w:r w:rsidR="00175ADA">
        <w:rPr>
          <w:lang w:val="fr-FR"/>
        </w:rPr>
        <w:t xml:space="preserve"> </w:t>
      </w:r>
      <w:r w:rsidRPr="009349BD">
        <w:rPr>
          <w:bCs/>
          <w:lang w:val="fr-FR"/>
        </w:rPr>
        <w:t>Le crime de disparition forcée n’est pas encore défini dans la législation nationale</w:t>
      </w:r>
      <w:r w:rsidR="00175ADA">
        <w:rPr>
          <w:bCs/>
          <w:lang w:val="fr-FR"/>
        </w:rPr>
        <w:t>.</w:t>
      </w:r>
    </w:p>
    <w:p w:rsidR="00175ADA" w:rsidRDefault="00175ADA" w:rsidP="00175ADA">
      <w:pPr>
        <w:jc w:val="both"/>
        <w:rPr>
          <w:bCs/>
          <w:lang w:val="fr-FR"/>
        </w:rPr>
      </w:pPr>
    </w:p>
    <w:p w:rsidR="0077151E" w:rsidRPr="004D1245" w:rsidRDefault="0077151E" w:rsidP="00FD2227">
      <w:pPr>
        <w:pStyle w:val="ListParagraph"/>
        <w:numPr>
          <w:ilvl w:val="0"/>
          <w:numId w:val="10"/>
        </w:numPr>
        <w:spacing w:after="120" w:line="240" w:lineRule="auto"/>
        <w:ind w:right="1134"/>
        <w:jc w:val="both"/>
        <w:rPr>
          <w:rFonts w:asciiTheme="majorBidi" w:hAnsiTheme="majorBidi" w:cstheme="majorBidi"/>
          <w:b/>
          <w:sz w:val="20"/>
          <w:szCs w:val="20"/>
          <w:lang w:eastAsia="fr-CH"/>
        </w:rPr>
      </w:pPr>
      <w:r w:rsidRPr="004D1245">
        <w:rPr>
          <w:rFonts w:asciiTheme="majorBidi" w:hAnsiTheme="majorBidi" w:cstheme="majorBidi"/>
          <w:b/>
          <w:sz w:val="20"/>
          <w:szCs w:val="20"/>
          <w:lang w:eastAsia="fr-CH"/>
        </w:rPr>
        <w:t>Prise des mesures efficaces pour que soient menées, sans délai, des enquêtes pénales approfondies, indépendantes et impartiales sur toutes les allégations de torture et mauvais traitements reçues, déférer les auteurs de ces actes à la justice, qui devrait les punir par des peines appropriées.</w:t>
      </w:r>
    </w:p>
    <w:p w:rsidR="0077151E" w:rsidRPr="009349BD" w:rsidRDefault="0077151E" w:rsidP="00FD2227">
      <w:pPr>
        <w:pStyle w:val="H23G"/>
        <w:numPr>
          <w:ilvl w:val="0"/>
          <w:numId w:val="23"/>
        </w:numPr>
        <w:jc w:val="both"/>
        <w:rPr>
          <w:lang w:val="fr-FR"/>
        </w:rPr>
      </w:pPr>
      <w:r w:rsidRPr="009349BD">
        <w:rPr>
          <w:lang w:val="fr-FR"/>
        </w:rPr>
        <w:t>Commission nationale des droits de l’homme</w:t>
      </w:r>
    </w:p>
    <w:p w:rsidR="00175ADA" w:rsidRDefault="00175ADA" w:rsidP="00175ADA">
      <w:pPr>
        <w:jc w:val="both"/>
        <w:rPr>
          <w:bCs/>
          <w:lang w:val="fr-FR"/>
        </w:rPr>
      </w:pPr>
    </w:p>
    <w:p w:rsidR="00175ADA" w:rsidRDefault="00175ADA" w:rsidP="00175ADA">
      <w:pPr>
        <w:jc w:val="both"/>
        <w:rPr>
          <w:bCs/>
          <w:lang w:val="fr-FR"/>
        </w:rPr>
      </w:pPr>
      <w:r>
        <w:rPr>
          <w:lang w:val="fr-FR"/>
        </w:rPr>
        <w:t xml:space="preserve"> </w:t>
      </w:r>
      <w:r w:rsidR="006C5805" w:rsidRPr="009349BD">
        <w:rPr>
          <w:lang w:val="fr-FR"/>
        </w:rPr>
        <w:t>On  note avec insatisfaction la non conformité   de la Commission nationale des droits de l’homme,  au statut A  qu’elle en bénéficie depuis 2011 défini par les principes de Paris.</w:t>
      </w:r>
      <w:r>
        <w:rPr>
          <w:lang w:val="fr-FR"/>
        </w:rPr>
        <w:t xml:space="preserve"> </w:t>
      </w:r>
      <w:r w:rsidR="006C5805" w:rsidRPr="009349BD">
        <w:rPr>
          <w:lang w:val="fr-FR"/>
        </w:rPr>
        <w:t>En effet la possibilité pour une  Commission pro-gouvernementale d’entreprendre des visites inopinées dans tous les lieux de détention au sein de l’État partie, n’apporte pas de changement positif dans la situation des détenues.</w:t>
      </w:r>
      <w:r>
        <w:rPr>
          <w:lang w:val="fr-FR"/>
        </w:rPr>
        <w:t xml:space="preserve"> </w:t>
      </w:r>
      <w:r w:rsidR="006C5805" w:rsidRPr="009349BD">
        <w:rPr>
          <w:bCs/>
          <w:lang w:val="fr-FR"/>
        </w:rPr>
        <w:t>L’État partie devrait fournir plus d’effort pour mettre en place une CNDH en pleine conformité avec les Principes de Paris (résolution 48/134 de l’Assemblée générale), et doter cette institution des ressources financières et humaines nécessaires.</w:t>
      </w:r>
      <w:r>
        <w:rPr>
          <w:bCs/>
          <w:lang w:val="fr-FR"/>
        </w:rPr>
        <w:t xml:space="preserve"> </w:t>
      </w:r>
    </w:p>
    <w:p w:rsidR="00175ADA" w:rsidRDefault="00175ADA" w:rsidP="00175ADA">
      <w:pPr>
        <w:jc w:val="both"/>
        <w:rPr>
          <w:bCs/>
          <w:lang w:val="fr-FR"/>
        </w:rPr>
      </w:pPr>
    </w:p>
    <w:p w:rsidR="0077151E" w:rsidRPr="009349BD" w:rsidRDefault="0077151E" w:rsidP="00FD2227">
      <w:pPr>
        <w:pStyle w:val="H23G"/>
        <w:numPr>
          <w:ilvl w:val="0"/>
          <w:numId w:val="23"/>
        </w:numPr>
        <w:jc w:val="both"/>
        <w:rPr>
          <w:lang w:val="fr-FR"/>
        </w:rPr>
      </w:pPr>
      <w:r w:rsidRPr="009349BD">
        <w:rPr>
          <w:lang w:val="fr-FR"/>
        </w:rPr>
        <w:t>Mécanisme national de prévention de la torture</w:t>
      </w:r>
    </w:p>
    <w:p w:rsidR="00175ADA" w:rsidRDefault="00175ADA" w:rsidP="00175ADA">
      <w:pPr>
        <w:jc w:val="both"/>
        <w:rPr>
          <w:bCs/>
          <w:lang w:val="fr-FR"/>
        </w:rPr>
      </w:pPr>
    </w:p>
    <w:p w:rsidR="00175ADA" w:rsidRDefault="006C5805" w:rsidP="00175ADA">
      <w:pPr>
        <w:jc w:val="both"/>
      </w:pPr>
      <w:r w:rsidRPr="009349BD">
        <w:t xml:space="preserve">la Mauritanie a parfaitement adopté, en septembre 2015, la loi no 2015-034 instituant un mécanisme national de prévention de la torture, dont l’objectif est d’empêcher le recours à la torture et à d’autres peines ou traitements cruels, inhumains ou dégradants dans les lieux de détention,  cependant , il est regrettable que la création de ce MNP n’a pas été conforme avec les règles et dispositions de la loi 2015-034. </w:t>
      </w:r>
      <w:r w:rsidRPr="009349BD">
        <w:rPr>
          <w:bCs/>
          <w:lang w:val="fr-FR"/>
        </w:rPr>
        <w:t xml:space="preserve">Nous regrettons fort le fait de mettre en place frauduleusement  un MNP par des  procédures </w:t>
      </w:r>
      <w:r w:rsidRPr="009349BD">
        <w:rPr>
          <w:bCs/>
          <w:lang w:val="fr-FR"/>
        </w:rPr>
        <w:lastRenderedPageBreak/>
        <w:t>éloignant les organisations de défense et de protection des droits de l’homme en les remplaçant par des membres d’organisation de protection du consommateur et autre membres d’organisations  de protection de l’environnement, cela traduit une volonté de ne  prendre des mesures pratiques efficaces pour que soient menées sans délai des enquêtes pénale approfondies, indépendantes et impartiales sur toutes les allégations de torture et mauvais traitements, et nous ne pouvons croire que dans des  pareils conditions  les auteurs auront peur d’être  déférer et puni par des peines appropriées.</w:t>
      </w:r>
      <w:r w:rsidR="00175ADA">
        <w:t xml:space="preserve"> </w:t>
      </w:r>
    </w:p>
    <w:p w:rsidR="00175ADA" w:rsidRDefault="006C5805" w:rsidP="00175ADA">
      <w:pPr>
        <w:jc w:val="both"/>
        <w:rPr>
          <w:bCs/>
          <w:lang w:eastAsia="fr-CH"/>
        </w:rPr>
      </w:pPr>
      <w:r w:rsidRPr="009349BD">
        <w:rPr>
          <w:bCs/>
          <w:lang w:eastAsia="fr-CH"/>
        </w:rPr>
        <w:t xml:space="preserve">A cet égard, les mécanismes nationaux chargés de mener des enquêtes pénales approfondies, indépendantes  et impartiales tel que La CNDH et le MNP sont défaillants et ont besoin d’une remise en conformité avec la loi. Avant cette remise en conformité les victimes des actes de torture ne peuvent faire des alléguassions de torture a peur d’aggraver leurs situations. </w:t>
      </w:r>
      <w:r w:rsidR="00175ADA">
        <w:rPr>
          <w:bCs/>
          <w:lang w:eastAsia="fr-CH"/>
        </w:rPr>
        <w:t xml:space="preserve"> </w:t>
      </w:r>
    </w:p>
    <w:p w:rsidR="006C5805" w:rsidRPr="00175ADA" w:rsidRDefault="006C5805" w:rsidP="00175ADA">
      <w:pPr>
        <w:jc w:val="both"/>
      </w:pPr>
      <w:r w:rsidRPr="009349BD">
        <w:rPr>
          <w:bCs/>
          <w:lang w:val="fr-FR"/>
        </w:rPr>
        <w:t>Le MNP mit en place n’est pas en conformité avec les paragraphes 1 et 2 de l’article 18 du protocole facultatif se rapportant à la convention et relatif au compétence collective des membres désignés,  et est totalement opposé aux directives de la SPT concernant les mécanismes nationaux de prévention (CAT/OP/12/5).</w:t>
      </w:r>
    </w:p>
    <w:p w:rsidR="006C5805" w:rsidRPr="009349BD" w:rsidRDefault="006C5805" w:rsidP="006C5805">
      <w:pPr>
        <w:jc w:val="both"/>
        <w:rPr>
          <w:bCs/>
          <w:lang w:val="fr-FR"/>
        </w:rPr>
      </w:pPr>
      <w:r w:rsidRPr="009349BD">
        <w:rPr>
          <w:bCs/>
          <w:lang w:val="fr-FR"/>
        </w:rPr>
        <w:t xml:space="preserve">Cette défaillance explique, le retard et l’embarras des actions de ce MNP,  qui depuis une année n’a enregistré aucun acte de torture malgré la grève de faim des détenues pour mauvais  traitement et les multiples violentes arrestations des manifestants et les rafles contre les migrants et autres ressortissant étrangers. </w:t>
      </w:r>
    </w:p>
    <w:p w:rsidR="006C5805" w:rsidRPr="009349BD" w:rsidRDefault="006C5805" w:rsidP="006C5805">
      <w:pPr>
        <w:jc w:val="both"/>
        <w:rPr>
          <w:rFonts w:asciiTheme="majorBidi" w:hAnsiTheme="majorBidi" w:cstheme="majorBidi"/>
        </w:rPr>
      </w:pPr>
      <w:r w:rsidRPr="009349BD">
        <w:rPr>
          <w:rFonts w:asciiTheme="majorBidi" w:hAnsiTheme="majorBidi" w:cstheme="majorBidi"/>
        </w:rPr>
        <w:t xml:space="preserve">  Des actions comme séminaire de démarrage, quelques visites initiales des lieux de détention ont été menées par le dit mécanisme. Le MNP est complètement sourd et aveugle par rapport aux plaintes des manifestants victimes de la torture et au cries des détenues qui ont mené une grève de faim réclamant l’amélioration des conditions de détention et leurs droits au visite. Les visites initiales que le MNP a menées  n’ont pas souligné l’état critique des lieux de détention comme Prison de Kiffa qui manque de lumière , d’éclairage et pas de toilette, les urines coule dans le couloir, les fenêtres son situé très haut et forme de petit cercle ne pouvant donné l’aération nécessaire a l’intérieur du bâtiment.</w:t>
      </w:r>
    </w:p>
    <w:p w:rsidR="006C5805" w:rsidRPr="009349BD" w:rsidRDefault="006C5805" w:rsidP="006C5805">
      <w:pPr>
        <w:jc w:val="both"/>
        <w:rPr>
          <w:rFonts w:asciiTheme="majorBidi" w:hAnsiTheme="majorBidi" w:cstheme="majorBidi"/>
        </w:rPr>
      </w:pPr>
    </w:p>
    <w:p w:rsidR="00175ADA" w:rsidRDefault="006C5805" w:rsidP="00175ADA">
      <w:pPr>
        <w:jc w:val="both"/>
        <w:rPr>
          <w:rFonts w:asciiTheme="majorBidi" w:hAnsiTheme="majorBidi" w:cstheme="majorBidi"/>
        </w:rPr>
      </w:pPr>
      <w:r w:rsidRPr="009349BD">
        <w:rPr>
          <w:rFonts w:asciiTheme="majorBidi" w:hAnsiTheme="majorBidi" w:cstheme="majorBidi"/>
        </w:rPr>
        <w:t xml:space="preserve">Suite à cette défaillance, on recommande  de rétablir le MNP conformément à la loi 2015-34 et aux directive de SPT relatives à la mise en œuvre des mécanisme nationaux, et  retiré immédiatement les personnes  non éligibles,  pour montrer  de bonne volonté politique et de prendre des mesures urgentes pour faire appliquer les lois et les garanties existantes  et veiller à ce que les pratiques et le contexte actuels ne favorisent pas la torture et d’autres peines ou mauvais traitements. </w:t>
      </w:r>
      <w:r w:rsidR="00175ADA">
        <w:rPr>
          <w:rFonts w:asciiTheme="majorBidi" w:hAnsiTheme="majorBidi" w:cstheme="majorBidi"/>
        </w:rPr>
        <w:t xml:space="preserve"> </w:t>
      </w:r>
    </w:p>
    <w:p w:rsidR="00175ADA" w:rsidRDefault="00175ADA" w:rsidP="00175ADA">
      <w:pPr>
        <w:jc w:val="both"/>
        <w:rPr>
          <w:rFonts w:asciiTheme="majorBidi" w:hAnsiTheme="majorBidi" w:cstheme="majorBidi"/>
        </w:rPr>
      </w:pPr>
    </w:p>
    <w:p w:rsidR="00175ADA" w:rsidRPr="009349BD" w:rsidRDefault="00175ADA" w:rsidP="00FD2227">
      <w:pPr>
        <w:pStyle w:val="H23G"/>
        <w:numPr>
          <w:ilvl w:val="0"/>
          <w:numId w:val="10"/>
        </w:numPr>
        <w:jc w:val="both"/>
        <w:rPr>
          <w:lang w:val="fr-FR"/>
        </w:rPr>
      </w:pPr>
      <w:r w:rsidRPr="009349BD">
        <w:rPr>
          <w:lang w:val="fr-FR"/>
        </w:rPr>
        <w:t>Indépendance du pouvoir judiciaire</w:t>
      </w:r>
    </w:p>
    <w:p w:rsidR="00175ADA" w:rsidRPr="009349BD" w:rsidRDefault="00175ADA" w:rsidP="00175ADA">
      <w:pPr>
        <w:jc w:val="both"/>
        <w:rPr>
          <w:rFonts w:asciiTheme="majorBidi" w:hAnsiTheme="majorBidi" w:cstheme="majorBidi"/>
        </w:rPr>
      </w:pPr>
    </w:p>
    <w:p w:rsidR="00175ADA" w:rsidRPr="009349BD" w:rsidRDefault="00175ADA" w:rsidP="00175ADA">
      <w:pPr>
        <w:jc w:val="both"/>
        <w:rPr>
          <w:rFonts w:asciiTheme="majorBidi" w:hAnsiTheme="majorBidi" w:cstheme="majorBidi"/>
        </w:rPr>
      </w:pPr>
    </w:p>
    <w:p w:rsidR="00175ADA" w:rsidRPr="009349BD" w:rsidRDefault="00175ADA" w:rsidP="00175ADA">
      <w:pPr>
        <w:jc w:val="both"/>
        <w:rPr>
          <w:rFonts w:asciiTheme="majorBidi" w:hAnsiTheme="majorBidi" w:cstheme="majorBidi"/>
        </w:rPr>
      </w:pPr>
      <w:r w:rsidRPr="009349BD">
        <w:rPr>
          <w:lang w:val="fr-FR"/>
        </w:rPr>
        <w:t>En matière d’indépendance de la justice, nous demeurons fortement préoccupés malgré les mesures prises par le gouvernement  susceptibles de garantir son  indépendance à savoir :</w:t>
      </w:r>
    </w:p>
    <w:p w:rsidR="00175ADA" w:rsidRPr="009349BD" w:rsidRDefault="00175ADA" w:rsidP="00175ADA">
      <w:pPr>
        <w:pStyle w:val="SingleTxtG"/>
        <w:numPr>
          <w:ilvl w:val="0"/>
          <w:numId w:val="5"/>
        </w:numPr>
        <w:rPr>
          <w:lang w:val="fr-FR"/>
        </w:rPr>
      </w:pPr>
      <w:r w:rsidRPr="009349BD">
        <w:rPr>
          <w:lang w:val="fr-FR"/>
        </w:rPr>
        <w:t>Augmentation considérable des salaires et indemnités des magistrats</w:t>
      </w:r>
    </w:p>
    <w:p w:rsidR="00175ADA" w:rsidRDefault="00175ADA" w:rsidP="00175ADA">
      <w:pPr>
        <w:pStyle w:val="SingleTxtG"/>
        <w:numPr>
          <w:ilvl w:val="0"/>
          <w:numId w:val="5"/>
        </w:numPr>
        <w:rPr>
          <w:lang w:val="fr-FR"/>
        </w:rPr>
      </w:pPr>
      <w:r w:rsidRPr="009349BD">
        <w:rPr>
          <w:lang w:val="fr-FR" w:bidi="ar-DZ"/>
        </w:rPr>
        <w:t>Le principe de l’inamovibilité.</w:t>
      </w:r>
    </w:p>
    <w:p w:rsidR="00175ADA" w:rsidRPr="009349BD" w:rsidRDefault="00175ADA" w:rsidP="00175ADA">
      <w:pPr>
        <w:pStyle w:val="SingleTxtG"/>
        <w:numPr>
          <w:ilvl w:val="0"/>
          <w:numId w:val="5"/>
        </w:numPr>
        <w:rPr>
          <w:lang w:val="fr-FR"/>
        </w:rPr>
      </w:pPr>
      <w:r w:rsidRPr="009349BD">
        <w:rPr>
          <w:lang w:val="fr-FR" w:bidi="ar-DZ"/>
        </w:rPr>
        <w:t xml:space="preserve"> La gestion spécifique de leur carrière par le Conseil Supérieur de la magistrature comprenant des magistrats élus par leurs pairs </w:t>
      </w:r>
      <w:r>
        <w:rPr>
          <w:lang w:val="fr-FR" w:bidi="ar-DZ"/>
        </w:rPr>
        <w:t xml:space="preserve">en vue de </w:t>
      </w:r>
      <w:r w:rsidRPr="009349BD">
        <w:rPr>
          <w:lang w:val="fr-FR" w:bidi="ar-DZ"/>
        </w:rPr>
        <w:t>conforte</w:t>
      </w:r>
      <w:r>
        <w:rPr>
          <w:lang w:val="fr-FR" w:bidi="ar-DZ"/>
        </w:rPr>
        <w:t xml:space="preserve">r </w:t>
      </w:r>
      <w:r w:rsidRPr="009349BD">
        <w:rPr>
          <w:lang w:val="fr-FR" w:bidi="ar-DZ"/>
        </w:rPr>
        <w:t xml:space="preserve"> leur indépendance.</w:t>
      </w:r>
    </w:p>
    <w:p w:rsidR="00175ADA" w:rsidRDefault="00175ADA" w:rsidP="00175ADA">
      <w:pPr>
        <w:pStyle w:val="SingleTxtG"/>
        <w:numPr>
          <w:ilvl w:val="0"/>
          <w:numId w:val="5"/>
        </w:numPr>
        <w:rPr>
          <w:lang w:val="fr-FR"/>
        </w:rPr>
      </w:pPr>
      <w:r w:rsidRPr="009349BD">
        <w:rPr>
          <w:lang w:val="fr-FR" w:bidi="ar-DZ"/>
        </w:rPr>
        <w:t xml:space="preserve">La réforme du statut de la magistrature comprend des mesures permettant à ce que chaque magistrat bénéficie en matière disciplinaire du double degré de juridiction au sein de l’instance gérant la carrière des magistrats. </w:t>
      </w:r>
    </w:p>
    <w:p w:rsidR="004D1245" w:rsidRDefault="004D1245" w:rsidP="004D1245">
      <w:pPr>
        <w:pStyle w:val="SingleTxtG"/>
        <w:rPr>
          <w:lang w:val="fr-FR" w:bidi="ar-DZ"/>
        </w:rPr>
      </w:pPr>
    </w:p>
    <w:p w:rsidR="004D1245" w:rsidRDefault="004D1245" w:rsidP="004D1245">
      <w:pPr>
        <w:pStyle w:val="SingleTxtG"/>
        <w:rPr>
          <w:lang w:val="fr-FR" w:bidi="ar-DZ"/>
        </w:rPr>
      </w:pPr>
    </w:p>
    <w:p w:rsidR="004D1245" w:rsidRDefault="004D1245" w:rsidP="004D1245">
      <w:pPr>
        <w:pStyle w:val="SingleTxtG"/>
        <w:rPr>
          <w:lang w:val="fr-FR" w:bidi="ar-DZ"/>
        </w:rPr>
      </w:pPr>
    </w:p>
    <w:p w:rsidR="004D1245" w:rsidRDefault="004D1245" w:rsidP="004D1245">
      <w:pPr>
        <w:pStyle w:val="SingleTxtG"/>
        <w:rPr>
          <w:lang w:val="fr-FR" w:bidi="ar-DZ"/>
        </w:rPr>
      </w:pPr>
    </w:p>
    <w:p w:rsidR="004D1245" w:rsidRPr="009349BD" w:rsidRDefault="004D1245" w:rsidP="004D1245">
      <w:pPr>
        <w:pStyle w:val="SingleTxtG"/>
        <w:rPr>
          <w:lang w:val="fr-FR"/>
        </w:rPr>
      </w:pPr>
    </w:p>
    <w:p w:rsidR="00175ADA" w:rsidRPr="009349BD" w:rsidRDefault="00175ADA" w:rsidP="00FD2227">
      <w:pPr>
        <w:pStyle w:val="H23G"/>
        <w:numPr>
          <w:ilvl w:val="0"/>
          <w:numId w:val="10"/>
        </w:numPr>
        <w:jc w:val="both"/>
        <w:rPr>
          <w:lang w:val="fr-FR"/>
        </w:rPr>
      </w:pPr>
      <w:r w:rsidRPr="009349BD">
        <w:rPr>
          <w:lang w:val="fr-FR"/>
        </w:rPr>
        <w:lastRenderedPageBreak/>
        <w:t xml:space="preserve">Principe de Non-refoulement, migrants, réfugiés et demandeurs d’asile </w:t>
      </w:r>
    </w:p>
    <w:p w:rsidR="00175ADA" w:rsidRPr="00FD2227" w:rsidRDefault="00175ADA" w:rsidP="00175ADA">
      <w:pPr>
        <w:jc w:val="both"/>
        <w:rPr>
          <w:rFonts w:asciiTheme="majorBidi" w:hAnsiTheme="majorBidi" w:cstheme="majorBidi"/>
          <w:lang w:val="fr-FR"/>
        </w:rPr>
      </w:pPr>
    </w:p>
    <w:p w:rsidR="00175ADA" w:rsidRPr="00175ADA" w:rsidRDefault="00175ADA" w:rsidP="00175ADA">
      <w:pPr>
        <w:jc w:val="both"/>
        <w:rPr>
          <w:rFonts w:asciiTheme="majorBidi" w:hAnsiTheme="majorBidi" w:cstheme="majorBidi"/>
        </w:rPr>
      </w:pPr>
      <w:r w:rsidRPr="009349BD">
        <w:rPr>
          <w:lang w:val="fr-FR"/>
        </w:rPr>
        <w:t xml:space="preserve">Il est satisfaisant le fait d’introduire dans le Code de procédure pénale en 2011, exclusion de l’extradition si l’extradé risque d’être soumis à la torture dans l’état requérant. </w:t>
      </w:r>
      <w:r>
        <w:rPr>
          <w:lang w:val="fr-FR"/>
        </w:rPr>
        <w:t xml:space="preserve"> </w:t>
      </w:r>
      <w:r w:rsidRPr="009349BD">
        <w:rPr>
          <w:lang w:val="fr-FR"/>
        </w:rPr>
        <w:t xml:space="preserve">La Mauritanie a belle et bien ouvert ses frontières aux populations déplacées maliennes, depuis l’éruption de violences au nord-Mali en janvier 2012. </w:t>
      </w:r>
    </w:p>
    <w:p w:rsidR="00175ADA" w:rsidRPr="009349BD" w:rsidRDefault="00175ADA" w:rsidP="00175ADA">
      <w:pPr>
        <w:pStyle w:val="SingleTxtG"/>
        <w:ind w:left="0"/>
        <w:rPr>
          <w:bCs/>
          <w:lang w:val="fr-FR"/>
        </w:rPr>
      </w:pPr>
      <w:r w:rsidRPr="009349BD">
        <w:rPr>
          <w:bCs/>
          <w:lang w:val="fr-FR"/>
        </w:rPr>
        <w:t>Nous signalons notre satisfaction aussi  du fait que :</w:t>
      </w:r>
    </w:p>
    <w:p w:rsidR="00175ADA" w:rsidRPr="009349BD" w:rsidRDefault="00175ADA" w:rsidP="00175ADA">
      <w:pPr>
        <w:pStyle w:val="SingleTxtG"/>
        <w:rPr>
          <w:bCs/>
          <w:lang w:val="fr-FR"/>
        </w:rPr>
      </w:pPr>
      <w:r w:rsidRPr="009349BD">
        <w:rPr>
          <w:bCs/>
          <w:lang w:val="fr-FR"/>
        </w:rPr>
        <w:t xml:space="preserve"> qu’aucune personne, y compris en situation irrégulière de séjour sur son territoire, ne soit expulsée, extradée ou refoulée vers un État où il y a des motifs sérieux de croire qu’elle risque d’être soumise à la torture, et de s’assurer que les décisions adoptées soient prises à la suite d’un examen individuel, et que les personnes concernées puissent avoir la possibilité de faire appel de ces décisions; </w:t>
      </w:r>
    </w:p>
    <w:p w:rsidR="00175ADA" w:rsidRPr="009349BD" w:rsidRDefault="00175ADA" w:rsidP="00175ADA">
      <w:pPr>
        <w:pStyle w:val="SingleTxtG"/>
        <w:rPr>
          <w:bCs/>
          <w:lang w:val="fr-FR"/>
        </w:rPr>
      </w:pPr>
      <w:r w:rsidRPr="009349BD">
        <w:rPr>
          <w:bCs/>
          <w:lang w:val="fr-FR"/>
        </w:rPr>
        <w:t>De garantir à toute personne détenue en rapport avec la lutte contre l’immigration clandestine l’accès à un recours judiciaire effectif pour contester la légalité des décisions administratives relatives à sa détention, son expulsion ou son refoulement, le cas échéant;</w:t>
      </w:r>
    </w:p>
    <w:p w:rsidR="00175ADA" w:rsidRPr="009349BD" w:rsidRDefault="00175ADA" w:rsidP="00175ADA">
      <w:pPr>
        <w:pStyle w:val="SingleTxtG"/>
        <w:rPr>
          <w:bCs/>
          <w:lang w:val="fr-FR"/>
        </w:rPr>
      </w:pPr>
      <w:r w:rsidRPr="009349BD">
        <w:rPr>
          <w:bCs/>
          <w:lang w:val="fr-FR"/>
        </w:rPr>
        <w:t>De s’assurer que la détention de demandeurs d’asile n’est utilisée qu’en dernier ressort et, quand nécessaire, pour la durée la plus courte possible, en s’appuyant sur des mesures alternatives à la détention;</w:t>
      </w:r>
    </w:p>
    <w:p w:rsidR="00175ADA" w:rsidRDefault="00175ADA" w:rsidP="00175ADA">
      <w:pPr>
        <w:pStyle w:val="SingleTxtG"/>
        <w:rPr>
          <w:bCs/>
          <w:lang w:val="fr-FR"/>
        </w:rPr>
      </w:pPr>
      <w:r w:rsidRPr="009349BD">
        <w:rPr>
          <w:bCs/>
          <w:lang w:val="fr-FR"/>
        </w:rPr>
        <w:t>De délivrer des documents d’identité aux Mauritaniens expulsés par le passé et rapatriés, ainsi qu’aux membres de leur famille.</w:t>
      </w:r>
    </w:p>
    <w:p w:rsidR="00FD2227" w:rsidRPr="009349BD" w:rsidRDefault="00FD2227" w:rsidP="00175ADA">
      <w:pPr>
        <w:pStyle w:val="SingleTxtG"/>
        <w:rPr>
          <w:bCs/>
          <w:lang w:val="fr-FR"/>
        </w:rPr>
      </w:pPr>
    </w:p>
    <w:p w:rsidR="00175ADA" w:rsidRPr="009349BD" w:rsidRDefault="00175ADA" w:rsidP="00FD2227">
      <w:pPr>
        <w:pStyle w:val="H23G"/>
        <w:numPr>
          <w:ilvl w:val="0"/>
          <w:numId w:val="10"/>
        </w:numPr>
        <w:jc w:val="center"/>
        <w:rPr>
          <w:lang w:val="fr-FR"/>
        </w:rPr>
      </w:pPr>
      <w:r w:rsidRPr="009349BD">
        <w:rPr>
          <w:lang w:val="fr-FR"/>
        </w:rPr>
        <w:t>Formation</w:t>
      </w:r>
    </w:p>
    <w:p w:rsidR="00175ADA" w:rsidRDefault="00175ADA" w:rsidP="00175ADA">
      <w:pPr>
        <w:jc w:val="both"/>
        <w:rPr>
          <w:rFonts w:asciiTheme="majorBidi" w:hAnsiTheme="majorBidi" w:cstheme="majorBidi"/>
        </w:rPr>
      </w:pPr>
    </w:p>
    <w:p w:rsidR="00175ADA" w:rsidRDefault="006C5805" w:rsidP="00175ADA">
      <w:pPr>
        <w:jc w:val="both"/>
        <w:rPr>
          <w:lang w:val="fr-FR"/>
        </w:rPr>
      </w:pPr>
      <w:r w:rsidRPr="009349BD">
        <w:rPr>
          <w:lang w:val="fr-FR"/>
        </w:rPr>
        <w:t xml:space="preserve">Tout en prenant note des multiples formations, y compris dans le domaine des droits de l’homme, organisées au bénéfice des membres des services de sécurité, nous somme fortement inquiété et préoccupé par l’absence de </w:t>
      </w:r>
      <w:r w:rsidR="004D1245">
        <w:rPr>
          <w:lang w:val="fr-FR"/>
        </w:rPr>
        <w:t xml:space="preserve">programme de </w:t>
      </w:r>
      <w:r w:rsidRPr="009349BD">
        <w:rPr>
          <w:lang w:val="fr-FR"/>
        </w:rPr>
        <w:t>formation continue sur la Convention contre la torture, notamment</w:t>
      </w:r>
      <w:r w:rsidR="004D1245">
        <w:rPr>
          <w:lang w:val="fr-FR"/>
        </w:rPr>
        <w:t xml:space="preserve"> sur </w:t>
      </w:r>
      <w:r w:rsidRPr="009349BD">
        <w:rPr>
          <w:lang w:val="fr-FR"/>
        </w:rPr>
        <w:t xml:space="preserve"> l’interdiction absolue de la torture, prévue pour les policiers, gendarmes, officiers de la police judiciaire, agents pénitentiaires ainsi que le personnel chargé de l’application des lois comme les juges, procureurs et avocats. soucieux aussi du fait que le Manuel pour enquêter efficacement sur la torture et autres peines ou traitements cruels, inhumains ou dégradants (Protocole d’Istanbul, 1999) ne semble pas être utilisé systématiquement dans l’examen des cas de torture ou de mauvais traitements</w:t>
      </w:r>
      <w:r w:rsidR="00175ADA">
        <w:rPr>
          <w:lang w:val="fr-FR"/>
        </w:rPr>
        <w:t xml:space="preserve">. </w:t>
      </w:r>
    </w:p>
    <w:p w:rsidR="00175ADA" w:rsidRDefault="00175ADA" w:rsidP="00175ADA">
      <w:pPr>
        <w:jc w:val="both"/>
        <w:rPr>
          <w:lang w:val="fr-FR"/>
        </w:rPr>
      </w:pPr>
    </w:p>
    <w:p w:rsidR="00175ADA" w:rsidRPr="00A21F9B" w:rsidRDefault="00175ADA" w:rsidP="00FD2227">
      <w:pPr>
        <w:pStyle w:val="SingleTxtG"/>
        <w:numPr>
          <w:ilvl w:val="0"/>
          <w:numId w:val="10"/>
        </w:numPr>
        <w:jc w:val="center"/>
        <w:rPr>
          <w:b/>
          <w:bCs/>
          <w:lang w:val="fr-FR"/>
        </w:rPr>
      </w:pPr>
      <w:r w:rsidRPr="00A21F9B">
        <w:rPr>
          <w:b/>
          <w:bCs/>
          <w:lang w:val="fr-FR"/>
        </w:rPr>
        <w:t>Enquêtes</w:t>
      </w:r>
    </w:p>
    <w:p w:rsidR="00175ADA" w:rsidRDefault="00175ADA" w:rsidP="00175ADA">
      <w:pPr>
        <w:jc w:val="both"/>
        <w:rPr>
          <w:lang w:val="fr-FR"/>
        </w:rPr>
      </w:pPr>
    </w:p>
    <w:p w:rsidR="00175ADA" w:rsidRDefault="006C5805" w:rsidP="00D90C1D">
      <w:pPr>
        <w:jc w:val="both"/>
        <w:rPr>
          <w:lang w:val="fr-FR"/>
        </w:rPr>
      </w:pPr>
      <w:r w:rsidRPr="009349BD">
        <w:rPr>
          <w:lang w:val="fr-FR"/>
        </w:rPr>
        <w:t xml:space="preserve">Nous somme </w:t>
      </w:r>
      <w:r w:rsidR="00D90C1D">
        <w:rPr>
          <w:lang w:val="fr-FR"/>
        </w:rPr>
        <w:t>hautement</w:t>
      </w:r>
      <w:r w:rsidRPr="009349BD">
        <w:rPr>
          <w:lang w:val="fr-FR"/>
        </w:rPr>
        <w:t xml:space="preserve"> préoccupé, surtout après plus d’une année passé sur le démarrage du MNP  et plus 11 ans de fonction de la CNDH,  par le manque d’informations relatives aux poursuites des auteurs d’actes de torture et  de</w:t>
      </w:r>
      <w:r w:rsidRPr="009349BD">
        <w:t xml:space="preserve"> </w:t>
      </w:r>
      <w:r w:rsidRPr="009349BD">
        <w:rPr>
          <w:lang w:val="fr-FR"/>
        </w:rPr>
        <w:t>l’absence patente de données statistiques relatives au nombre de plaintes pénales enregistrées pour actes de torture, et aux enquêtes et condamnations qui auraient été menées à la suite de telles plaintes, ce qui suggère que les dit mécanismes sont défaillants et travaillent en dehors de leurs mission principale.</w:t>
      </w:r>
      <w:r w:rsidR="00175ADA">
        <w:rPr>
          <w:lang w:val="fr-FR"/>
        </w:rPr>
        <w:t xml:space="preserve"> </w:t>
      </w:r>
    </w:p>
    <w:p w:rsidR="00175ADA" w:rsidRDefault="00175ADA" w:rsidP="00175ADA">
      <w:pPr>
        <w:jc w:val="both"/>
        <w:rPr>
          <w:lang w:val="fr-FR"/>
        </w:rPr>
      </w:pPr>
    </w:p>
    <w:p w:rsidR="00175ADA" w:rsidRDefault="00175ADA" w:rsidP="00175ADA">
      <w:pPr>
        <w:jc w:val="both"/>
        <w:rPr>
          <w:lang w:val="fr-FR"/>
        </w:rPr>
      </w:pPr>
    </w:p>
    <w:p w:rsidR="00175ADA" w:rsidRPr="009349BD" w:rsidRDefault="00175ADA" w:rsidP="00FD2227">
      <w:pPr>
        <w:pStyle w:val="H23G"/>
        <w:numPr>
          <w:ilvl w:val="0"/>
          <w:numId w:val="10"/>
        </w:numPr>
        <w:jc w:val="both"/>
      </w:pPr>
      <w:r w:rsidRPr="009349BD">
        <w:t>Mise en œuvre de l’interdiction des pratiques esclavagistes</w:t>
      </w:r>
    </w:p>
    <w:p w:rsidR="00175ADA" w:rsidRPr="00175ADA" w:rsidRDefault="00175ADA" w:rsidP="00175ADA">
      <w:pPr>
        <w:jc w:val="both"/>
      </w:pPr>
    </w:p>
    <w:p w:rsidR="00175ADA" w:rsidRDefault="00175ADA" w:rsidP="00175ADA">
      <w:pPr>
        <w:jc w:val="both"/>
        <w:rPr>
          <w:lang w:val="fr-FR"/>
        </w:rPr>
      </w:pPr>
    </w:p>
    <w:p w:rsidR="00175ADA" w:rsidRDefault="006C5805" w:rsidP="00175ADA">
      <w:pPr>
        <w:jc w:val="both"/>
        <w:rPr>
          <w:lang w:val="fr-FR" w:bidi="ar-DZ"/>
        </w:rPr>
      </w:pPr>
      <w:r w:rsidRPr="009349BD">
        <w:rPr>
          <w:lang w:val="fr-FR" w:bidi="ar-DZ"/>
        </w:rPr>
        <w:t xml:space="preserve">La constitution proclame en son article premier : « La République assure à tous les citoyens sans distinction d’origine, de race, de sexe ou de condition sociale l’égalité devant la loi. Toute propagande particulariste de caractère racial ou ethnique est punie par la loi ». </w:t>
      </w:r>
      <w:r w:rsidR="00175ADA">
        <w:rPr>
          <w:lang w:val="fr-FR" w:bidi="ar-DZ"/>
        </w:rPr>
        <w:t xml:space="preserve"> </w:t>
      </w:r>
      <w:r w:rsidRPr="009349BD">
        <w:rPr>
          <w:lang w:val="fr-FR" w:bidi="ar-DZ"/>
        </w:rPr>
        <w:t xml:space="preserve">Dans ce </w:t>
      </w:r>
      <w:r w:rsidRPr="009349BD">
        <w:rPr>
          <w:lang w:val="fr-FR"/>
        </w:rPr>
        <w:t>cadre</w:t>
      </w:r>
      <w:r w:rsidRPr="009349BD">
        <w:rPr>
          <w:lang w:val="fr-FR" w:bidi="ar-DZ"/>
        </w:rPr>
        <w:t xml:space="preserve">, le gouvernement a </w:t>
      </w:r>
      <w:r w:rsidRPr="009349BD">
        <w:rPr>
          <w:lang w:val="fr-FR" w:bidi="ar-DZ"/>
        </w:rPr>
        <w:lastRenderedPageBreak/>
        <w:t>élaboré un plan d’action qui comprend des mesures politiques, économiques et sociales pour prévenir et lutter contre la discrimination raciale, la xénophobie et l’intolérance. Le dit plan concrétise la mise en œuvre des engagements internationaux de la Mauritanie. Cependant, nous signalons notre inquiétude par rapport au retard de la mise en œuvre des plans d’actions de lutte contre la discrimination et de lutte contre la traite.</w:t>
      </w:r>
      <w:r w:rsidR="00175ADA">
        <w:rPr>
          <w:lang w:val="fr-FR" w:bidi="ar-DZ"/>
        </w:rPr>
        <w:t xml:space="preserve"> </w:t>
      </w:r>
    </w:p>
    <w:p w:rsidR="00175ADA" w:rsidRDefault="00175ADA" w:rsidP="00175ADA">
      <w:pPr>
        <w:jc w:val="both"/>
        <w:rPr>
          <w:lang w:val="fr-FR" w:bidi="ar-DZ"/>
        </w:rPr>
      </w:pPr>
    </w:p>
    <w:p w:rsidR="00175ADA" w:rsidRDefault="006C5805" w:rsidP="00175ADA">
      <w:pPr>
        <w:jc w:val="both"/>
        <w:rPr>
          <w:lang w:val="fr-FR" w:bidi="ar-DZ"/>
        </w:rPr>
      </w:pPr>
      <w:r w:rsidRPr="009349BD">
        <w:rPr>
          <w:lang w:val="fr-FR" w:bidi="ar-DZ"/>
        </w:rPr>
        <w:t xml:space="preserve">La loi </w:t>
      </w:r>
      <w:r w:rsidRPr="009349BD">
        <w:rPr>
          <w:lang w:val="fr-FR"/>
        </w:rPr>
        <w:t>n</w:t>
      </w:r>
      <w:r w:rsidRPr="009349BD">
        <w:rPr>
          <w:vertAlign w:val="superscript"/>
          <w:lang w:val="fr-FR"/>
        </w:rPr>
        <w:t>o</w:t>
      </w:r>
      <w:r w:rsidRPr="009349BD">
        <w:rPr>
          <w:lang w:val="fr-FR"/>
        </w:rPr>
        <w:t> </w:t>
      </w:r>
      <w:r w:rsidRPr="009349BD">
        <w:rPr>
          <w:lang w:val="fr-FR" w:bidi="ar-DZ"/>
        </w:rPr>
        <w:t xml:space="preserve">2015.031 du 10 septembre 2015 abrogeant et remplaçant la loi </w:t>
      </w:r>
      <w:r w:rsidRPr="009349BD">
        <w:rPr>
          <w:lang w:val="fr-FR"/>
        </w:rPr>
        <w:t>n</w:t>
      </w:r>
      <w:r w:rsidRPr="009349BD">
        <w:rPr>
          <w:vertAlign w:val="superscript"/>
          <w:lang w:val="fr-FR"/>
        </w:rPr>
        <w:t>o</w:t>
      </w:r>
      <w:r w:rsidRPr="009349BD">
        <w:rPr>
          <w:lang w:val="fr-FR"/>
        </w:rPr>
        <w:t> </w:t>
      </w:r>
      <w:r w:rsidRPr="009349BD">
        <w:rPr>
          <w:lang w:val="fr-FR" w:bidi="ar-DZ"/>
        </w:rPr>
        <w:t>2007-048 du 3 septembre 2007 portant incrimination de l’esclavage et réprimant les pratiques esclavagistes a concrétisé la volonté de mettre fin au pratiques esclavagiste, en ce basant sur une terminologie claire et précise relative à l’esclavage, et affirme l’imprescriptibilité des crimes et pratique esclavagistes, en de même donne droit à réparation des victimes  et soulève et aggrave les sanctions.</w:t>
      </w:r>
      <w:r w:rsidR="00175ADA">
        <w:rPr>
          <w:lang w:val="fr-FR" w:bidi="ar-DZ"/>
        </w:rPr>
        <w:t xml:space="preserve"> </w:t>
      </w:r>
    </w:p>
    <w:p w:rsidR="00175ADA" w:rsidRDefault="006C5805" w:rsidP="00175ADA">
      <w:pPr>
        <w:jc w:val="both"/>
        <w:rPr>
          <w:lang w:val="fr-FR" w:bidi="ar-DZ"/>
        </w:rPr>
      </w:pPr>
      <w:r w:rsidRPr="009349BD">
        <w:rPr>
          <w:lang w:val="fr-FR" w:bidi="ar-DZ"/>
        </w:rPr>
        <w:t xml:space="preserve"> Alors que l’institution d’une juridiction ayant compétence nationale pour connaitre des infractions relatives à l’esclavage est une mesure inappropriée, il suffit de renforcer l’indépendance de la justice et renforcer la formation des magistrats, et de sensibiliser les juges et la profession judiciaire dans son ensemble</w:t>
      </w:r>
      <w:r w:rsidRPr="009349BD">
        <w:rPr>
          <w:bCs/>
          <w:lang w:val="fr-FR"/>
        </w:rPr>
        <w:t xml:space="preserve"> à travers des modules de formation spécifique à la question de la discrimination raciale et à sa judiciarisassions  à la lumière des normes internationales;</w:t>
      </w:r>
      <w:r w:rsidRPr="009349BD">
        <w:rPr>
          <w:lang w:val="fr-FR" w:bidi="ar-DZ"/>
        </w:rPr>
        <w:t xml:space="preserve"> pour que nous   jouissons tous de la justice.</w:t>
      </w:r>
      <w:r w:rsidR="00175ADA">
        <w:rPr>
          <w:lang w:val="fr-FR" w:bidi="ar-DZ"/>
        </w:rPr>
        <w:t xml:space="preserve"> </w:t>
      </w:r>
      <w:r w:rsidRPr="009349BD">
        <w:rPr>
          <w:lang w:val="fr-FR" w:bidi="ar-DZ"/>
        </w:rPr>
        <w:t xml:space="preserve"> Il faut cependant remplacer cette juridiction spéciale par la mise en place d’un mécanisme indépendant, sous forme de cellule nationale  de lutte contre la traite. </w:t>
      </w:r>
      <w:r w:rsidR="00175ADA">
        <w:rPr>
          <w:lang w:val="fr-FR" w:bidi="ar-DZ"/>
        </w:rPr>
        <w:t xml:space="preserve"> </w:t>
      </w:r>
    </w:p>
    <w:p w:rsidR="00175ADA" w:rsidRDefault="006C5805" w:rsidP="00175ADA">
      <w:pPr>
        <w:jc w:val="both"/>
        <w:rPr>
          <w:bCs/>
          <w:lang w:val="fr-FR"/>
        </w:rPr>
      </w:pPr>
      <w:r w:rsidRPr="009349BD">
        <w:rPr>
          <w:bCs/>
          <w:lang w:val="fr-FR"/>
        </w:rPr>
        <w:t>Cela est  indispensable pour lutter efficacement contre l’esclavage et la discrimination, y compris les formes traditionnelles et modernes d’esclavage, qui inclue les pratiques des mariages précoces, forcés, la servitude, le travail forcé des enfants, la traite et l’exploitation des travailleurs domestiques.</w:t>
      </w:r>
    </w:p>
    <w:p w:rsidR="00175ADA" w:rsidRDefault="00175ADA" w:rsidP="00175ADA">
      <w:pPr>
        <w:jc w:val="both"/>
        <w:rPr>
          <w:bCs/>
          <w:lang w:val="fr-FR"/>
        </w:rPr>
      </w:pPr>
    </w:p>
    <w:p w:rsidR="00175ADA" w:rsidRDefault="00175ADA" w:rsidP="00175ADA">
      <w:pPr>
        <w:jc w:val="both"/>
        <w:rPr>
          <w:bCs/>
          <w:lang w:val="fr-FR"/>
        </w:rPr>
      </w:pPr>
    </w:p>
    <w:p w:rsidR="00175ADA" w:rsidRPr="009349BD" w:rsidRDefault="00175ADA" w:rsidP="00FD2227">
      <w:pPr>
        <w:pStyle w:val="H23G"/>
        <w:numPr>
          <w:ilvl w:val="0"/>
          <w:numId w:val="10"/>
        </w:numPr>
        <w:jc w:val="center"/>
        <w:rPr>
          <w:lang w:val="fr-FR"/>
        </w:rPr>
      </w:pPr>
      <w:r w:rsidRPr="009349BD">
        <w:rPr>
          <w:lang w:val="fr-FR"/>
        </w:rPr>
        <w:t>Conditions de détention</w:t>
      </w:r>
    </w:p>
    <w:p w:rsidR="00175ADA" w:rsidRDefault="00175ADA" w:rsidP="00FD2227">
      <w:pPr>
        <w:jc w:val="center"/>
        <w:rPr>
          <w:bCs/>
          <w:lang w:val="fr-FR"/>
        </w:rPr>
      </w:pPr>
    </w:p>
    <w:p w:rsidR="00175ADA" w:rsidRDefault="00175ADA" w:rsidP="00175ADA">
      <w:pPr>
        <w:jc w:val="both"/>
        <w:rPr>
          <w:bCs/>
          <w:lang w:val="fr-FR"/>
        </w:rPr>
      </w:pPr>
    </w:p>
    <w:p w:rsidR="00175ADA" w:rsidRDefault="006C5805" w:rsidP="00175ADA">
      <w:pPr>
        <w:jc w:val="both"/>
        <w:rPr>
          <w:bCs/>
          <w:lang w:val="fr-FR"/>
        </w:rPr>
      </w:pPr>
      <w:r w:rsidRPr="009349BD">
        <w:rPr>
          <w:bCs/>
          <w:lang w:val="fr-FR"/>
        </w:rPr>
        <w:tab/>
        <w:t>Tout en prenant acte des efforts consentis par l’État partie pour la rénovation de ses établissement pénitentiaires, il demeure préoccupant et inquiétant du fait que les conditions de détention sont encore  en deçà des normes internationales dans l’ensemble des centres de détention, notamment en raison du manque d’hygiène, de ventilation, d’éclairage, de couchage, d’alimentation et de soins médicaux qui y prévaut. Et le cas le plus insatisfaisant  est la situation de la prison de Kiffa.</w:t>
      </w:r>
      <w:r w:rsidR="00175ADA">
        <w:rPr>
          <w:bCs/>
          <w:lang w:val="fr-FR"/>
        </w:rPr>
        <w:t xml:space="preserve"> </w:t>
      </w:r>
    </w:p>
    <w:p w:rsidR="00175ADA" w:rsidRDefault="006C5805" w:rsidP="00175ADA">
      <w:pPr>
        <w:jc w:val="both"/>
        <w:rPr>
          <w:bCs/>
          <w:lang w:val="fr-FR"/>
        </w:rPr>
      </w:pPr>
      <w:r w:rsidRPr="009349BD">
        <w:rPr>
          <w:bCs/>
          <w:lang w:val="fr-FR"/>
        </w:rPr>
        <w:t>L’Etat doit augmenter les fonds alloués pour rendre les conditions de vie dans tous les établissements pénitentiaires conformes aux normes internationales et à l’Ensemble de règles minima pour le traitement des détenus [Conseil économique et social de l’Organisation des Nations Unies, résolutions 663 C (XXIV) et 2076 (LXII)];  la pension journalière d’un Prisonnier ne dépasse pas 250 UM  équivaut à moins d’un dollars par jours, les gardes de sécurité se plaignent encore</w:t>
      </w:r>
      <w:r>
        <w:rPr>
          <w:bCs/>
          <w:lang w:val="fr-FR"/>
        </w:rPr>
        <w:t xml:space="preserve">, ils se déclarent </w:t>
      </w:r>
      <w:r w:rsidRPr="009349BD">
        <w:rPr>
          <w:bCs/>
          <w:lang w:val="fr-FR"/>
        </w:rPr>
        <w:t xml:space="preserve"> victime de cette maigre pension.</w:t>
      </w:r>
    </w:p>
    <w:p w:rsidR="00175ADA" w:rsidRDefault="006C5805" w:rsidP="00175ADA">
      <w:pPr>
        <w:jc w:val="both"/>
        <w:rPr>
          <w:bCs/>
          <w:lang w:val="fr-FR"/>
        </w:rPr>
      </w:pPr>
      <w:r w:rsidRPr="009349BD">
        <w:rPr>
          <w:bCs/>
          <w:lang w:val="fr-FR"/>
        </w:rPr>
        <w:t xml:space="preserve"> L’accès à l’eau po</w:t>
      </w:r>
      <w:r>
        <w:rPr>
          <w:bCs/>
          <w:lang w:val="fr-FR"/>
        </w:rPr>
        <w:t>table demeure inquiétant dans les</w:t>
      </w:r>
      <w:r w:rsidRPr="009349BD">
        <w:rPr>
          <w:bCs/>
          <w:lang w:val="fr-FR"/>
        </w:rPr>
        <w:t xml:space="preserve"> prison</w:t>
      </w:r>
      <w:r>
        <w:rPr>
          <w:bCs/>
          <w:lang w:val="fr-FR"/>
        </w:rPr>
        <w:t>s</w:t>
      </w:r>
      <w:r w:rsidRPr="009349BD">
        <w:rPr>
          <w:bCs/>
          <w:lang w:val="fr-FR"/>
        </w:rPr>
        <w:t xml:space="preserve"> à l’intérieur du pays, contraignant par la suite l’accès  à l’hygiène et aux produits de première nécessité; Les lieux de détention sont en majorité des maisons de particulier louer par le département de la justice et ne sont pas conçue pour recevoir plus qu’une famille alors moins pour servir de prison, il manque  l’éclairage naturel et la ventilation des cellules n’est pas  suffisantes ;</w:t>
      </w:r>
    </w:p>
    <w:p w:rsidR="00175ADA" w:rsidRDefault="006C5805" w:rsidP="00175ADA">
      <w:pPr>
        <w:jc w:val="both"/>
        <w:rPr>
          <w:bCs/>
          <w:lang w:val="fr-FR"/>
        </w:rPr>
      </w:pPr>
      <w:r w:rsidRPr="009349BD">
        <w:rPr>
          <w:bCs/>
          <w:lang w:val="fr-FR"/>
        </w:rPr>
        <w:t xml:space="preserve"> La prise en charge médicale et psychosociale des détenus n’est pas assurer, comme il le faut, faute de moyen et de persévérance des autorités pénitentiaires, suite à cela la prévention des décès en milieux  carcérales  n’est pas envisagée et loin d’être contrôlée.</w:t>
      </w:r>
      <w:r w:rsidR="00175ADA">
        <w:rPr>
          <w:bCs/>
          <w:lang w:val="fr-FR"/>
        </w:rPr>
        <w:t xml:space="preserve"> </w:t>
      </w:r>
    </w:p>
    <w:p w:rsidR="00175ADA" w:rsidRDefault="006C5805" w:rsidP="00175ADA">
      <w:pPr>
        <w:jc w:val="both"/>
        <w:rPr>
          <w:bCs/>
          <w:lang w:val="fr-FR"/>
        </w:rPr>
      </w:pPr>
      <w:r w:rsidRPr="009349BD">
        <w:rPr>
          <w:bCs/>
          <w:lang w:val="fr-FR"/>
        </w:rPr>
        <w:t>Réduction de la surpopulation carcérale constitue un véritable défit devant les autorités mauritanienne, à cause des moyens colossale</w:t>
      </w:r>
      <w:r>
        <w:rPr>
          <w:bCs/>
          <w:lang w:val="fr-FR"/>
        </w:rPr>
        <w:t xml:space="preserve">s </w:t>
      </w:r>
      <w:r w:rsidRPr="009349BD">
        <w:rPr>
          <w:bCs/>
          <w:lang w:val="fr-FR"/>
        </w:rPr>
        <w:t xml:space="preserve"> que cela requière et surtout la construction des Prisons sur l’étendue du territoire national répondant aux normes internationales.</w:t>
      </w:r>
      <w:r w:rsidR="00175ADA">
        <w:rPr>
          <w:bCs/>
          <w:lang w:val="fr-FR"/>
        </w:rPr>
        <w:t xml:space="preserve"> </w:t>
      </w:r>
      <w:r w:rsidRPr="009349BD">
        <w:rPr>
          <w:bCs/>
          <w:lang w:val="fr-FR"/>
        </w:rPr>
        <w:t>Par contre l’Etat a fait recours à des mesures non privatives de liberté, compte tenu des Règles minima des Nations Unies pour l’élaboration de mesures non privatives de liberté (Règles de Tokyo);</w:t>
      </w:r>
      <w:r w:rsidR="00175ADA">
        <w:rPr>
          <w:bCs/>
          <w:lang w:val="fr-FR"/>
        </w:rPr>
        <w:t xml:space="preserve"> </w:t>
      </w:r>
    </w:p>
    <w:p w:rsidR="00175ADA" w:rsidRDefault="006C5805" w:rsidP="00175ADA">
      <w:pPr>
        <w:jc w:val="both"/>
        <w:rPr>
          <w:bCs/>
          <w:lang w:val="fr-FR"/>
        </w:rPr>
      </w:pPr>
      <w:r w:rsidRPr="009349BD">
        <w:rPr>
          <w:bCs/>
          <w:lang w:val="fr-FR"/>
        </w:rPr>
        <w:t xml:space="preserve">Il faut impérativement remettre en conformité avec la loi les mécanisme </w:t>
      </w:r>
      <w:r>
        <w:rPr>
          <w:bCs/>
          <w:lang w:val="fr-FR"/>
        </w:rPr>
        <w:t>MNP</w:t>
      </w:r>
      <w:r w:rsidRPr="009349BD">
        <w:rPr>
          <w:bCs/>
          <w:lang w:val="fr-FR"/>
        </w:rPr>
        <w:t xml:space="preserve"> et la CNDH qui sont créer dans des conditions frauduleuses claire et flagrantes et punir les membres des commission</w:t>
      </w:r>
      <w:r>
        <w:rPr>
          <w:bCs/>
          <w:lang w:val="fr-FR"/>
        </w:rPr>
        <w:t>s</w:t>
      </w:r>
      <w:r w:rsidRPr="009349BD">
        <w:rPr>
          <w:bCs/>
          <w:lang w:val="fr-FR"/>
        </w:rPr>
        <w:t xml:space="preserve"> responsable de cette acte de sabotage des institutions nationales ;  pour pouvoir garantir à ce que ces institution</w:t>
      </w:r>
      <w:r>
        <w:rPr>
          <w:bCs/>
          <w:lang w:val="fr-FR"/>
        </w:rPr>
        <w:t xml:space="preserve">s </w:t>
      </w:r>
      <w:r w:rsidRPr="009349BD">
        <w:rPr>
          <w:bCs/>
          <w:lang w:val="fr-FR"/>
        </w:rPr>
        <w:t xml:space="preserve"> puisse gagné la confiance de la population et œuvrer efficacement pour accomplir leurs missions, et pour que les détenus puissent effectivement déposer plainte devant un organe indépendant </w:t>
      </w:r>
      <w:r w:rsidRPr="009349BD">
        <w:rPr>
          <w:bCs/>
          <w:lang w:val="fr-FR"/>
        </w:rPr>
        <w:lastRenderedPageBreak/>
        <w:t>concernant leurs conditions de détention et des mauvais traitements et garantir à ce que ces plaintes fassent l’objet d’enquêtes impartiales, promptes et indépendantes;</w:t>
      </w:r>
      <w:r w:rsidR="00175ADA">
        <w:rPr>
          <w:bCs/>
          <w:lang w:val="fr-FR"/>
        </w:rPr>
        <w:t xml:space="preserve"> </w:t>
      </w:r>
    </w:p>
    <w:p w:rsidR="00175ADA" w:rsidRDefault="00175ADA" w:rsidP="00175ADA">
      <w:pPr>
        <w:jc w:val="both"/>
        <w:rPr>
          <w:bCs/>
          <w:lang w:val="fr-FR"/>
        </w:rPr>
      </w:pPr>
    </w:p>
    <w:p w:rsidR="00175ADA" w:rsidRDefault="00175ADA" w:rsidP="00175ADA">
      <w:pPr>
        <w:jc w:val="both"/>
        <w:rPr>
          <w:bCs/>
          <w:lang w:val="fr-FR"/>
        </w:rPr>
      </w:pPr>
    </w:p>
    <w:p w:rsidR="0077151E" w:rsidRPr="009349BD" w:rsidRDefault="0077151E" w:rsidP="00FD2227">
      <w:pPr>
        <w:pStyle w:val="H23G"/>
        <w:numPr>
          <w:ilvl w:val="0"/>
          <w:numId w:val="10"/>
        </w:numPr>
        <w:jc w:val="center"/>
        <w:rPr>
          <w:lang w:val="fr-FR"/>
        </w:rPr>
      </w:pPr>
      <w:r w:rsidRPr="009349BD">
        <w:rPr>
          <w:lang w:val="fr-FR"/>
        </w:rPr>
        <w:t>Traite des personnes et violences contre les femmes</w:t>
      </w:r>
    </w:p>
    <w:p w:rsidR="00175ADA" w:rsidRDefault="00175ADA" w:rsidP="00175ADA">
      <w:pPr>
        <w:jc w:val="both"/>
        <w:rPr>
          <w:bCs/>
          <w:lang w:val="fr-FR"/>
        </w:rPr>
      </w:pPr>
    </w:p>
    <w:p w:rsidR="00D86AB4" w:rsidRDefault="006C5805" w:rsidP="00D86AB4">
      <w:pPr>
        <w:jc w:val="both"/>
        <w:rPr>
          <w:lang w:val="fr-FR"/>
        </w:rPr>
      </w:pPr>
      <w:r w:rsidRPr="009349BD">
        <w:rPr>
          <w:lang w:val="fr-FR"/>
        </w:rPr>
        <w:t>On  prend note des nombreuses mesures législatives, institutionnelles et de sensibilisation adoptées par l’État partie pour prévenir et combattre la traite des personnes, y compris l’adoption de la loi n° 2003-025 du 17 juillet 2003 portant répression de la traite des personnes, cependant le plan d’action national de lutte contre la traite n’est pas encore adopté et nous remarquons le retard de la Mauritanie par rapport aux Pays voisin dans la mise en place d’une cellule de lutte contre la traite des personnes.  Malgré que La traite des personnes en Mauritanie prenne une ampleur très considérable à cause de l’énorme fortune qu’elle engendre, surtout entre la Mauritanie et  les Ils Canarie, La France et Le Golf</w:t>
      </w:r>
      <w:r w:rsidR="00D86AB4">
        <w:rPr>
          <w:lang w:val="fr-FR"/>
        </w:rPr>
        <w:t xml:space="preserve">. </w:t>
      </w:r>
      <w:r w:rsidRPr="009349BD">
        <w:rPr>
          <w:lang w:val="fr-FR"/>
        </w:rPr>
        <w:t>Toutefois, la  pénalisation du viol,  est alourdit,  mais la condamnation pour viol n’est toujours pas certes, aussi la prévalence et le traitement de la violence domestique sont inquiétant comme  l’ampleur du phénomène de la traite.</w:t>
      </w:r>
    </w:p>
    <w:p w:rsidR="00D86AB4" w:rsidRDefault="00D86AB4" w:rsidP="00D86AB4">
      <w:pPr>
        <w:jc w:val="both"/>
        <w:rPr>
          <w:lang w:val="fr-FR"/>
        </w:rPr>
      </w:pPr>
    </w:p>
    <w:p w:rsidR="008D7693" w:rsidRPr="009349BD" w:rsidRDefault="008D7693" w:rsidP="008D7693">
      <w:pPr>
        <w:pStyle w:val="SingleTxtG"/>
        <w:ind w:left="0"/>
        <w:rPr>
          <w:b/>
          <w:lang w:val="fr-FR"/>
        </w:rPr>
      </w:pPr>
      <w:r w:rsidRPr="009349BD">
        <w:rPr>
          <w:b/>
          <w:lang w:val="fr-FR"/>
        </w:rPr>
        <w:t>Alors nous recommandons :</w:t>
      </w:r>
    </w:p>
    <w:p w:rsidR="008D7693" w:rsidRPr="009349BD" w:rsidRDefault="008D7693" w:rsidP="008D7693">
      <w:pPr>
        <w:pStyle w:val="SingleTxtG"/>
        <w:numPr>
          <w:ilvl w:val="0"/>
          <w:numId w:val="6"/>
        </w:numPr>
        <w:rPr>
          <w:bCs/>
        </w:rPr>
      </w:pPr>
      <w:r w:rsidRPr="009349BD">
        <w:rPr>
          <w:bCs/>
        </w:rPr>
        <w:t>Accélérée la mise en œuvre d’un plan d’action national de lutte contre la traite et la mise en place d’une cellule nationale de lutte contre la traite pouvant conduire :</w:t>
      </w:r>
    </w:p>
    <w:p w:rsidR="008D7693" w:rsidRPr="009349BD" w:rsidRDefault="008D7693" w:rsidP="008D7693">
      <w:pPr>
        <w:pStyle w:val="SingleTxtG"/>
        <w:numPr>
          <w:ilvl w:val="0"/>
          <w:numId w:val="7"/>
        </w:numPr>
        <w:rPr>
          <w:bCs/>
        </w:rPr>
      </w:pPr>
      <w:r w:rsidRPr="009349BD">
        <w:rPr>
          <w:bCs/>
        </w:rPr>
        <w:t>Une lutte efficace et des études sur l’ampleur réelle et les causes de la traite des personnes dans l’État partie;</w:t>
      </w:r>
    </w:p>
    <w:p w:rsidR="008D7693" w:rsidRPr="009349BD" w:rsidRDefault="008D7693" w:rsidP="008D7693">
      <w:pPr>
        <w:pStyle w:val="SingleTxtG"/>
        <w:numPr>
          <w:ilvl w:val="0"/>
          <w:numId w:val="7"/>
        </w:numPr>
        <w:rPr>
          <w:bCs/>
        </w:rPr>
      </w:pPr>
      <w:r w:rsidRPr="009349BD">
        <w:rPr>
          <w:bCs/>
        </w:rPr>
        <w:t xml:space="preserve"> et Mettre fin à l’impunité en enquêtant de manière régulière sur les allégations de viol, de traite, de violence domestique, en engageant des poursuites contre les auteurs et en les sanctionnant de manière appropriée;</w:t>
      </w:r>
    </w:p>
    <w:p w:rsidR="008D7693" w:rsidRPr="009349BD" w:rsidRDefault="008D7693" w:rsidP="008D7693">
      <w:pPr>
        <w:pStyle w:val="SingleTxtG"/>
        <w:numPr>
          <w:ilvl w:val="0"/>
          <w:numId w:val="7"/>
        </w:numPr>
        <w:rPr>
          <w:bCs/>
        </w:rPr>
      </w:pPr>
      <w:r w:rsidRPr="009349BD">
        <w:rPr>
          <w:bCs/>
        </w:rPr>
        <w:t>et offrir une protection aux victimes, y compris une indemnisation adéquate et une réhabilitation si nécessaire, et renforcer ses campagnes de sensibilisation;</w:t>
      </w:r>
    </w:p>
    <w:p w:rsidR="008D7693" w:rsidRPr="009349BD" w:rsidRDefault="008D7693" w:rsidP="008D7693">
      <w:pPr>
        <w:pStyle w:val="SingleTxtG"/>
        <w:numPr>
          <w:ilvl w:val="0"/>
          <w:numId w:val="7"/>
        </w:numPr>
        <w:rPr>
          <w:bCs/>
        </w:rPr>
      </w:pPr>
      <w:r w:rsidRPr="009349BD">
        <w:rPr>
          <w:bCs/>
        </w:rPr>
        <w:t xml:space="preserve"> Former les enquêteurs et le personnel en contact avec les victimes de la traite, y compris les services d’immigration, et doter les centres d’accueil de ressources suffisantes. </w:t>
      </w:r>
    </w:p>
    <w:p w:rsidR="008D7693" w:rsidRDefault="008D7693" w:rsidP="00D86AB4">
      <w:pPr>
        <w:jc w:val="both"/>
        <w:rPr>
          <w:lang w:val="fr-FR"/>
        </w:rPr>
      </w:pPr>
    </w:p>
    <w:p w:rsidR="008D7693" w:rsidRPr="009349BD" w:rsidRDefault="008D7693" w:rsidP="008D7693">
      <w:pPr>
        <w:pStyle w:val="H23G"/>
        <w:numPr>
          <w:ilvl w:val="0"/>
          <w:numId w:val="10"/>
        </w:numPr>
        <w:jc w:val="both"/>
        <w:rPr>
          <w:lang w:val="fr-FR"/>
        </w:rPr>
      </w:pPr>
      <w:r w:rsidRPr="009349BD">
        <w:rPr>
          <w:lang w:val="fr-FR"/>
        </w:rPr>
        <w:t>Mutilations génitales féminines</w:t>
      </w:r>
    </w:p>
    <w:p w:rsidR="008D7693" w:rsidRDefault="008D7693" w:rsidP="00D86AB4">
      <w:pPr>
        <w:jc w:val="both"/>
        <w:rPr>
          <w:lang w:val="fr-FR"/>
        </w:rPr>
      </w:pPr>
    </w:p>
    <w:p w:rsidR="00D86AB4" w:rsidRDefault="00313E85" w:rsidP="00D86AB4">
      <w:pPr>
        <w:jc w:val="both"/>
        <w:rPr>
          <w:bCs/>
          <w:lang w:val="fr-FR"/>
        </w:rPr>
      </w:pPr>
      <w:r>
        <w:rPr>
          <w:lang w:val="fr-FR"/>
        </w:rPr>
        <w:t xml:space="preserve"> </w:t>
      </w:r>
      <w:r w:rsidR="006C5805" w:rsidRPr="009349BD">
        <w:rPr>
          <w:lang w:val="fr-FR"/>
        </w:rPr>
        <w:t xml:space="preserve">Nous somme fortement préoccupé par l’absence de pénalisation de la pratique des mutilations génitales féminines. </w:t>
      </w:r>
      <w:r w:rsidR="006C5805" w:rsidRPr="009349BD">
        <w:rPr>
          <w:bCs/>
          <w:lang w:val="fr-FR"/>
        </w:rPr>
        <w:t xml:space="preserve">Les traditions et la complexité du phénomène,  l’Etat reste incapable de prendre des mesures ferme pour mettre fin à la pratique des mutilations génitale, alors il n’a pas encore adopté, une loi interdisant les mutilations génitales féminines et n’a également pas encore mit en place un mécanisme juridique adéquat visant à faciliter le dépôt de plaintes par les victimes, en menant des enquêtes, en poursuivant et punissant les responsables par des sanctions appropriées et en fournissant une réparation adéquate, une indemnisation ou une réhabilitation aux victimes. Néanmoins nous somme satisfait des larges et multiples campagnes de sensibilisations, en particulier auprès des familles, sur les effets néfastes de cette pratique. </w:t>
      </w:r>
    </w:p>
    <w:p w:rsidR="00D86AB4" w:rsidRDefault="00D86AB4" w:rsidP="00D86AB4">
      <w:pPr>
        <w:jc w:val="both"/>
        <w:rPr>
          <w:bCs/>
          <w:lang w:val="fr-FR"/>
        </w:rPr>
      </w:pPr>
    </w:p>
    <w:p w:rsidR="00FD2227" w:rsidRDefault="00FD2227" w:rsidP="00D86AB4">
      <w:pPr>
        <w:jc w:val="both"/>
        <w:rPr>
          <w:bCs/>
          <w:lang w:val="fr-FR"/>
        </w:rPr>
      </w:pPr>
    </w:p>
    <w:p w:rsidR="00FD2227" w:rsidRDefault="00FD2227" w:rsidP="00D86AB4">
      <w:pPr>
        <w:jc w:val="both"/>
        <w:rPr>
          <w:bCs/>
          <w:lang w:val="fr-FR"/>
        </w:rPr>
      </w:pPr>
    </w:p>
    <w:p w:rsidR="008D7693" w:rsidRPr="009349BD" w:rsidRDefault="008D7693" w:rsidP="00FD2227">
      <w:pPr>
        <w:pStyle w:val="H23G"/>
        <w:numPr>
          <w:ilvl w:val="0"/>
          <w:numId w:val="10"/>
        </w:numPr>
        <w:jc w:val="both"/>
        <w:rPr>
          <w:lang w:val="fr-FR"/>
        </w:rPr>
      </w:pPr>
      <w:r w:rsidRPr="009349BD">
        <w:rPr>
          <w:lang w:val="fr-FR"/>
        </w:rPr>
        <w:lastRenderedPageBreak/>
        <w:t>Châtiments corporels</w:t>
      </w:r>
    </w:p>
    <w:p w:rsidR="00D86AB4" w:rsidRDefault="006C5805" w:rsidP="00AB3E1E">
      <w:pPr>
        <w:jc w:val="both"/>
        <w:rPr>
          <w:rFonts w:ascii="Verdana" w:hAnsi="Verdana"/>
          <w:sz w:val="17"/>
          <w:szCs w:val="17"/>
        </w:rPr>
      </w:pPr>
      <w:r w:rsidRPr="009349BD">
        <w:rPr>
          <w:lang w:val="fr-FR"/>
        </w:rPr>
        <w:t xml:space="preserve">.Nous somme ravi de l’adoption de l’ordonnance n° 2005-015 du 5 décembre 2005 portant protection pénale de l’enfant, qui prévoit des peines d’emprisonnement pour les cas de torture et de barbarie commis contre des enfants, malgré tout,  l’interdiction des châtiments corporels des enfants n’est pas effective,  surtout dans le milieux des </w:t>
      </w:r>
      <w:proofErr w:type="spellStart"/>
      <w:r w:rsidRPr="009349BD">
        <w:rPr>
          <w:lang w:val="fr-FR"/>
        </w:rPr>
        <w:t>Mahadras</w:t>
      </w:r>
      <w:proofErr w:type="spellEnd"/>
      <w:r w:rsidRPr="009349BD">
        <w:rPr>
          <w:lang w:val="fr-FR"/>
        </w:rPr>
        <w:t xml:space="preserve"> et autre lieux d’enseignement traditionnelles et semblent même être </w:t>
      </w:r>
      <w:r w:rsidRPr="009349BD">
        <w:t>considérés comme une méthode éducative convenable et efficace en milieu familiale</w:t>
      </w:r>
      <w:r w:rsidRPr="009349BD">
        <w:rPr>
          <w:rFonts w:ascii="Verdana" w:hAnsi="Verdana"/>
          <w:sz w:val="17"/>
          <w:szCs w:val="17"/>
        </w:rPr>
        <w:t>.</w:t>
      </w:r>
      <w:r w:rsidR="00D86AB4">
        <w:rPr>
          <w:rFonts w:ascii="Verdana" w:hAnsi="Verdana"/>
          <w:sz w:val="17"/>
          <w:szCs w:val="17"/>
        </w:rPr>
        <w:t xml:space="preserve"> </w:t>
      </w:r>
    </w:p>
    <w:p w:rsidR="008D7693" w:rsidRPr="009349BD" w:rsidRDefault="008D7693" w:rsidP="00FD2227">
      <w:pPr>
        <w:pStyle w:val="H23G"/>
        <w:numPr>
          <w:ilvl w:val="0"/>
          <w:numId w:val="10"/>
        </w:numPr>
        <w:jc w:val="both"/>
        <w:rPr>
          <w:lang w:val="fr-FR"/>
        </w:rPr>
      </w:pPr>
      <w:r w:rsidRPr="009349BD">
        <w:rPr>
          <w:lang w:val="fr-FR"/>
        </w:rPr>
        <w:t>Collecte de données statistiques</w:t>
      </w:r>
    </w:p>
    <w:p w:rsidR="008D7693" w:rsidRDefault="008D7693" w:rsidP="00D86AB4">
      <w:pPr>
        <w:jc w:val="both"/>
        <w:rPr>
          <w:rFonts w:ascii="Verdana" w:hAnsi="Verdana"/>
          <w:sz w:val="17"/>
          <w:szCs w:val="17"/>
        </w:rPr>
      </w:pPr>
    </w:p>
    <w:p w:rsidR="00D86AB4" w:rsidRDefault="006C5805" w:rsidP="00D86AB4">
      <w:pPr>
        <w:jc w:val="both"/>
        <w:rPr>
          <w:lang w:val="fr-FR"/>
        </w:rPr>
      </w:pPr>
      <w:r w:rsidRPr="009349BD">
        <w:rPr>
          <w:lang w:val="fr-FR"/>
        </w:rPr>
        <w:t xml:space="preserve">On regrette l’absence de données complètes et désagrégées en termes de plaintes, enquêtes, poursuites et condamnations relatives à des actes de torture et des mauvais traitements imputés à des agents des service de sécurité, y compris à des gendarmes, des policiers et à des membres de l’administration pénitentiaire. Des données statistiques manquent aussi à propos de la traite des personnes, la violence à l’égard des femmes, notamment la violence familiale et les </w:t>
      </w:r>
      <w:r w:rsidR="00D86AB4">
        <w:rPr>
          <w:lang w:val="fr-FR"/>
        </w:rPr>
        <w:t xml:space="preserve">mutilations génitales féminines. </w:t>
      </w:r>
    </w:p>
    <w:p w:rsidR="00D86AB4" w:rsidRDefault="00D86AB4" w:rsidP="00D86AB4">
      <w:pPr>
        <w:jc w:val="both"/>
        <w:rPr>
          <w:lang w:val="fr-FR"/>
        </w:rPr>
      </w:pPr>
    </w:p>
    <w:p w:rsidR="00D86AB4" w:rsidRDefault="006C5805" w:rsidP="00D86AB4">
      <w:pPr>
        <w:jc w:val="both"/>
        <w:rPr>
          <w:bCs/>
          <w:lang w:val="fr-FR"/>
        </w:rPr>
      </w:pPr>
      <w:r w:rsidRPr="009349BD">
        <w:rPr>
          <w:bCs/>
          <w:lang w:val="fr-FR"/>
        </w:rPr>
        <w:t>Le mécanisme MNP mit en place est défaillant et n’est pas  indépendant,  et alors n’est pas  apte par défaut de compétence et n’est pas capable de  traiter des données statistiques, désagrégées par âge et sexe de la victime, utiles pour surveiller l’application de la Convention au niveau national, surtout des données sur les plaintes, les enquêtes, les poursuites et les condamnations relatives à des actes de torture et des mauvais traitements imputés à des agents des service de sécurité, y compris à des gendarmes, des policiers et à des membres de l’administration pénitentiaire ainsi que des données sur les décès en détention.</w:t>
      </w:r>
      <w:r w:rsidR="00D86AB4">
        <w:rPr>
          <w:bCs/>
          <w:lang w:val="fr-FR"/>
        </w:rPr>
        <w:t xml:space="preserve"> </w:t>
      </w:r>
    </w:p>
    <w:p w:rsidR="00D86AB4" w:rsidRDefault="00D86AB4" w:rsidP="00D86AB4">
      <w:pPr>
        <w:jc w:val="both"/>
        <w:rPr>
          <w:bCs/>
          <w:lang w:val="fr-FR"/>
        </w:rPr>
      </w:pPr>
    </w:p>
    <w:p w:rsidR="006C5805" w:rsidRPr="00D86AB4" w:rsidRDefault="006C5805" w:rsidP="00D86AB4">
      <w:pPr>
        <w:jc w:val="both"/>
        <w:rPr>
          <w:rFonts w:asciiTheme="majorBidi" w:hAnsiTheme="majorBidi" w:cstheme="majorBidi"/>
        </w:rPr>
      </w:pPr>
      <w:r w:rsidRPr="009349BD">
        <w:rPr>
          <w:bCs/>
          <w:lang w:val="fr-FR"/>
        </w:rPr>
        <w:t>En outre la cellule nationale de lutte contre la traite, n’est pas envisagé à l’instant, qui est l’institution adéquate utilisé par tous les pays de la région pour compiler les  données statistiques fournies sur la traite des personnes, sur la violence à l’égard des femmes et sur les mutilations génitales féminines, ainsi que sur les mesures de réparation, notamment l’indemnisation et la réadaptation dont ont bénéficié les victimes.</w:t>
      </w:r>
    </w:p>
    <w:p w:rsidR="006C5805" w:rsidRPr="009349BD" w:rsidRDefault="006C5805" w:rsidP="006C5805">
      <w:pPr>
        <w:pStyle w:val="H23G"/>
        <w:jc w:val="both"/>
      </w:pPr>
      <w:r w:rsidRPr="009349BD">
        <w:rPr>
          <w:lang w:val="fr-FR"/>
        </w:rPr>
        <w:tab/>
      </w:r>
      <w:r w:rsidRPr="009349BD">
        <w:rPr>
          <w:lang w:val="fr-FR"/>
        </w:rPr>
        <w:tab/>
      </w:r>
    </w:p>
    <w:p w:rsidR="006C5805" w:rsidRPr="009349BD" w:rsidRDefault="006C5805" w:rsidP="006C5805">
      <w:pPr>
        <w:jc w:val="both"/>
      </w:pPr>
    </w:p>
    <w:p w:rsidR="00655874" w:rsidRPr="006C5805" w:rsidRDefault="00655874"/>
    <w:sectPr w:rsidR="00655874" w:rsidRPr="006C5805" w:rsidSect="0065587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95791"/>
    <w:multiLevelType w:val="hybridMultilevel"/>
    <w:tmpl w:val="48CC19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871487"/>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2">
    <w:nsid w:val="199927A4"/>
    <w:multiLevelType w:val="hybridMultilevel"/>
    <w:tmpl w:val="293A07DC"/>
    <w:lvl w:ilvl="0" w:tplc="040C000B">
      <w:start w:val="1"/>
      <w:numFmt w:val="bullet"/>
      <w:lvlText w:val=""/>
      <w:lvlJc w:val="left"/>
      <w:pPr>
        <w:ind w:left="2220" w:hanging="360"/>
      </w:pPr>
      <w:rPr>
        <w:rFonts w:ascii="Wingdings" w:hAnsi="Wingdings" w:hint="default"/>
      </w:rPr>
    </w:lvl>
    <w:lvl w:ilvl="1" w:tplc="040C0003" w:tentative="1">
      <w:start w:val="1"/>
      <w:numFmt w:val="bullet"/>
      <w:lvlText w:val="o"/>
      <w:lvlJc w:val="left"/>
      <w:pPr>
        <w:ind w:left="2940" w:hanging="360"/>
      </w:pPr>
      <w:rPr>
        <w:rFonts w:ascii="Courier New" w:hAnsi="Courier New" w:cs="Courier New" w:hint="default"/>
      </w:rPr>
    </w:lvl>
    <w:lvl w:ilvl="2" w:tplc="040C0005" w:tentative="1">
      <w:start w:val="1"/>
      <w:numFmt w:val="bullet"/>
      <w:lvlText w:val=""/>
      <w:lvlJc w:val="left"/>
      <w:pPr>
        <w:ind w:left="3660" w:hanging="360"/>
      </w:pPr>
      <w:rPr>
        <w:rFonts w:ascii="Wingdings" w:hAnsi="Wingdings" w:hint="default"/>
      </w:rPr>
    </w:lvl>
    <w:lvl w:ilvl="3" w:tplc="040C0001" w:tentative="1">
      <w:start w:val="1"/>
      <w:numFmt w:val="bullet"/>
      <w:lvlText w:val=""/>
      <w:lvlJc w:val="left"/>
      <w:pPr>
        <w:ind w:left="4380" w:hanging="360"/>
      </w:pPr>
      <w:rPr>
        <w:rFonts w:ascii="Symbol" w:hAnsi="Symbol" w:hint="default"/>
      </w:rPr>
    </w:lvl>
    <w:lvl w:ilvl="4" w:tplc="040C0003" w:tentative="1">
      <w:start w:val="1"/>
      <w:numFmt w:val="bullet"/>
      <w:lvlText w:val="o"/>
      <w:lvlJc w:val="left"/>
      <w:pPr>
        <w:ind w:left="5100" w:hanging="360"/>
      </w:pPr>
      <w:rPr>
        <w:rFonts w:ascii="Courier New" w:hAnsi="Courier New" w:cs="Courier New" w:hint="default"/>
      </w:rPr>
    </w:lvl>
    <w:lvl w:ilvl="5" w:tplc="040C0005" w:tentative="1">
      <w:start w:val="1"/>
      <w:numFmt w:val="bullet"/>
      <w:lvlText w:val=""/>
      <w:lvlJc w:val="left"/>
      <w:pPr>
        <w:ind w:left="5820" w:hanging="360"/>
      </w:pPr>
      <w:rPr>
        <w:rFonts w:ascii="Wingdings" w:hAnsi="Wingdings" w:hint="default"/>
      </w:rPr>
    </w:lvl>
    <w:lvl w:ilvl="6" w:tplc="040C0001" w:tentative="1">
      <w:start w:val="1"/>
      <w:numFmt w:val="bullet"/>
      <w:lvlText w:val=""/>
      <w:lvlJc w:val="left"/>
      <w:pPr>
        <w:ind w:left="6540" w:hanging="360"/>
      </w:pPr>
      <w:rPr>
        <w:rFonts w:ascii="Symbol" w:hAnsi="Symbol" w:hint="default"/>
      </w:rPr>
    </w:lvl>
    <w:lvl w:ilvl="7" w:tplc="040C0003" w:tentative="1">
      <w:start w:val="1"/>
      <w:numFmt w:val="bullet"/>
      <w:lvlText w:val="o"/>
      <w:lvlJc w:val="left"/>
      <w:pPr>
        <w:ind w:left="7260" w:hanging="360"/>
      </w:pPr>
      <w:rPr>
        <w:rFonts w:ascii="Courier New" w:hAnsi="Courier New" w:cs="Courier New" w:hint="default"/>
      </w:rPr>
    </w:lvl>
    <w:lvl w:ilvl="8" w:tplc="040C0005" w:tentative="1">
      <w:start w:val="1"/>
      <w:numFmt w:val="bullet"/>
      <w:lvlText w:val=""/>
      <w:lvlJc w:val="left"/>
      <w:pPr>
        <w:ind w:left="7980" w:hanging="360"/>
      </w:pPr>
      <w:rPr>
        <w:rFonts w:ascii="Wingdings" w:hAnsi="Wingdings" w:hint="default"/>
      </w:rPr>
    </w:lvl>
  </w:abstractNum>
  <w:abstractNum w:abstractNumId="3">
    <w:nsid w:val="25B0150A"/>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4">
    <w:nsid w:val="29932BE8"/>
    <w:multiLevelType w:val="hybridMultilevel"/>
    <w:tmpl w:val="62DE374E"/>
    <w:lvl w:ilvl="0" w:tplc="040C000B">
      <w:start w:val="1"/>
      <w:numFmt w:val="bullet"/>
      <w:lvlText w:val=""/>
      <w:lvlJc w:val="left"/>
      <w:pPr>
        <w:ind w:left="749" w:hanging="360"/>
      </w:pPr>
      <w:rPr>
        <w:rFonts w:ascii="Wingdings" w:hAnsi="Wingdings" w:hint="default"/>
      </w:rPr>
    </w:lvl>
    <w:lvl w:ilvl="1" w:tplc="040C0003" w:tentative="1">
      <w:start w:val="1"/>
      <w:numFmt w:val="bullet"/>
      <w:lvlText w:val="o"/>
      <w:lvlJc w:val="left"/>
      <w:pPr>
        <w:ind w:left="1469" w:hanging="360"/>
      </w:pPr>
      <w:rPr>
        <w:rFonts w:ascii="Courier New" w:hAnsi="Courier New" w:cs="Courier New" w:hint="default"/>
      </w:rPr>
    </w:lvl>
    <w:lvl w:ilvl="2" w:tplc="040C0005" w:tentative="1">
      <w:start w:val="1"/>
      <w:numFmt w:val="bullet"/>
      <w:lvlText w:val=""/>
      <w:lvlJc w:val="left"/>
      <w:pPr>
        <w:ind w:left="2189" w:hanging="360"/>
      </w:pPr>
      <w:rPr>
        <w:rFonts w:ascii="Wingdings" w:hAnsi="Wingdings" w:hint="default"/>
      </w:rPr>
    </w:lvl>
    <w:lvl w:ilvl="3" w:tplc="040C0001" w:tentative="1">
      <w:start w:val="1"/>
      <w:numFmt w:val="bullet"/>
      <w:lvlText w:val=""/>
      <w:lvlJc w:val="left"/>
      <w:pPr>
        <w:ind w:left="2909" w:hanging="360"/>
      </w:pPr>
      <w:rPr>
        <w:rFonts w:ascii="Symbol" w:hAnsi="Symbol" w:hint="default"/>
      </w:rPr>
    </w:lvl>
    <w:lvl w:ilvl="4" w:tplc="040C0003" w:tentative="1">
      <w:start w:val="1"/>
      <w:numFmt w:val="bullet"/>
      <w:lvlText w:val="o"/>
      <w:lvlJc w:val="left"/>
      <w:pPr>
        <w:ind w:left="3629" w:hanging="360"/>
      </w:pPr>
      <w:rPr>
        <w:rFonts w:ascii="Courier New" w:hAnsi="Courier New" w:cs="Courier New" w:hint="default"/>
      </w:rPr>
    </w:lvl>
    <w:lvl w:ilvl="5" w:tplc="040C0005" w:tentative="1">
      <w:start w:val="1"/>
      <w:numFmt w:val="bullet"/>
      <w:lvlText w:val=""/>
      <w:lvlJc w:val="left"/>
      <w:pPr>
        <w:ind w:left="4349" w:hanging="360"/>
      </w:pPr>
      <w:rPr>
        <w:rFonts w:ascii="Wingdings" w:hAnsi="Wingdings" w:hint="default"/>
      </w:rPr>
    </w:lvl>
    <w:lvl w:ilvl="6" w:tplc="040C0001" w:tentative="1">
      <w:start w:val="1"/>
      <w:numFmt w:val="bullet"/>
      <w:lvlText w:val=""/>
      <w:lvlJc w:val="left"/>
      <w:pPr>
        <w:ind w:left="5069" w:hanging="360"/>
      </w:pPr>
      <w:rPr>
        <w:rFonts w:ascii="Symbol" w:hAnsi="Symbol" w:hint="default"/>
      </w:rPr>
    </w:lvl>
    <w:lvl w:ilvl="7" w:tplc="040C0003" w:tentative="1">
      <w:start w:val="1"/>
      <w:numFmt w:val="bullet"/>
      <w:lvlText w:val="o"/>
      <w:lvlJc w:val="left"/>
      <w:pPr>
        <w:ind w:left="5789" w:hanging="360"/>
      </w:pPr>
      <w:rPr>
        <w:rFonts w:ascii="Courier New" w:hAnsi="Courier New" w:cs="Courier New" w:hint="default"/>
      </w:rPr>
    </w:lvl>
    <w:lvl w:ilvl="8" w:tplc="040C0005" w:tentative="1">
      <w:start w:val="1"/>
      <w:numFmt w:val="bullet"/>
      <w:lvlText w:val=""/>
      <w:lvlJc w:val="left"/>
      <w:pPr>
        <w:ind w:left="6509" w:hanging="360"/>
      </w:pPr>
      <w:rPr>
        <w:rFonts w:ascii="Wingdings" w:hAnsi="Wingdings" w:hint="default"/>
      </w:rPr>
    </w:lvl>
  </w:abstractNum>
  <w:abstractNum w:abstractNumId="5">
    <w:nsid w:val="2A2929F0"/>
    <w:multiLevelType w:val="hybridMultilevel"/>
    <w:tmpl w:val="25AC99E4"/>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6">
    <w:nsid w:val="2B407DFF"/>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7">
    <w:nsid w:val="302664A8"/>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8">
    <w:nsid w:val="34DF0F5E"/>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9">
    <w:nsid w:val="35844FE8"/>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10">
    <w:nsid w:val="35FE10BE"/>
    <w:multiLevelType w:val="hybridMultilevel"/>
    <w:tmpl w:val="0DB05FDA"/>
    <w:lvl w:ilvl="0" w:tplc="040C000B">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1">
    <w:nsid w:val="363F3A93"/>
    <w:multiLevelType w:val="hybridMultilevel"/>
    <w:tmpl w:val="CEB0DA0E"/>
    <w:lvl w:ilvl="0" w:tplc="040C000B">
      <w:start w:val="1"/>
      <w:numFmt w:val="bullet"/>
      <w:lvlText w:val=""/>
      <w:lvlJc w:val="left"/>
      <w:pPr>
        <w:ind w:left="749" w:hanging="360"/>
      </w:pPr>
      <w:rPr>
        <w:rFonts w:ascii="Wingdings" w:hAnsi="Wingdings" w:hint="default"/>
      </w:rPr>
    </w:lvl>
    <w:lvl w:ilvl="1" w:tplc="040C0003" w:tentative="1">
      <w:start w:val="1"/>
      <w:numFmt w:val="bullet"/>
      <w:lvlText w:val="o"/>
      <w:lvlJc w:val="left"/>
      <w:pPr>
        <w:ind w:left="1469" w:hanging="360"/>
      </w:pPr>
      <w:rPr>
        <w:rFonts w:ascii="Courier New" w:hAnsi="Courier New" w:cs="Courier New" w:hint="default"/>
      </w:rPr>
    </w:lvl>
    <w:lvl w:ilvl="2" w:tplc="040C0005" w:tentative="1">
      <w:start w:val="1"/>
      <w:numFmt w:val="bullet"/>
      <w:lvlText w:val=""/>
      <w:lvlJc w:val="left"/>
      <w:pPr>
        <w:ind w:left="2189" w:hanging="360"/>
      </w:pPr>
      <w:rPr>
        <w:rFonts w:ascii="Wingdings" w:hAnsi="Wingdings" w:hint="default"/>
      </w:rPr>
    </w:lvl>
    <w:lvl w:ilvl="3" w:tplc="040C0001" w:tentative="1">
      <w:start w:val="1"/>
      <w:numFmt w:val="bullet"/>
      <w:lvlText w:val=""/>
      <w:lvlJc w:val="left"/>
      <w:pPr>
        <w:ind w:left="2909" w:hanging="360"/>
      </w:pPr>
      <w:rPr>
        <w:rFonts w:ascii="Symbol" w:hAnsi="Symbol" w:hint="default"/>
      </w:rPr>
    </w:lvl>
    <w:lvl w:ilvl="4" w:tplc="040C0003" w:tentative="1">
      <w:start w:val="1"/>
      <w:numFmt w:val="bullet"/>
      <w:lvlText w:val="o"/>
      <w:lvlJc w:val="left"/>
      <w:pPr>
        <w:ind w:left="3629" w:hanging="360"/>
      </w:pPr>
      <w:rPr>
        <w:rFonts w:ascii="Courier New" w:hAnsi="Courier New" w:cs="Courier New" w:hint="default"/>
      </w:rPr>
    </w:lvl>
    <w:lvl w:ilvl="5" w:tplc="040C0005" w:tentative="1">
      <w:start w:val="1"/>
      <w:numFmt w:val="bullet"/>
      <w:lvlText w:val=""/>
      <w:lvlJc w:val="left"/>
      <w:pPr>
        <w:ind w:left="4349" w:hanging="360"/>
      </w:pPr>
      <w:rPr>
        <w:rFonts w:ascii="Wingdings" w:hAnsi="Wingdings" w:hint="default"/>
      </w:rPr>
    </w:lvl>
    <w:lvl w:ilvl="6" w:tplc="040C0001" w:tentative="1">
      <w:start w:val="1"/>
      <w:numFmt w:val="bullet"/>
      <w:lvlText w:val=""/>
      <w:lvlJc w:val="left"/>
      <w:pPr>
        <w:ind w:left="5069" w:hanging="360"/>
      </w:pPr>
      <w:rPr>
        <w:rFonts w:ascii="Symbol" w:hAnsi="Symbol" w:hint="default"/>
      </w:rPr>
    </w:lvl>
    <w:lvl w:ilvl="7" w:tplc="040C0003" w:tentative="1">
      <w:start w:val="1"/>
      <w:numFmt w:val="bullet"/>
      <w:lvlText w:val="o"/>
      <w:lvlJc w:val="left"/>
      <w:pPr>
        <w:ind w:left="5789" w:hanging="360"/>
      </w:pPr>
      <w:rPr>
        <w:rFonts w:ascii="Courier New" w:hAnsi="Courier New" w:cs="Courier New" w:hint="default"/>
      </w:rPr>
    </w:lvl>
    <w:lvl w:ilvl="8" w:tplc="040C0005" w:tentative="1">
      <w:start w:val="1"/>
      <w:numFmt w:val="bullet"/>
      <w:lvlText w:val=""/>
      <w:lvlJc w:val="left"/>
      <w:pPr>
        <w:ind w:left="6509" w:hanging="360"/>
      </w:pPr>
      <w:rPr>
        <w:rFonts w:ascii="Wingdings" w:hAnsi="Wingdings" w:hint="default"/>
      </w:rPr>
    </w:lvl>
  </w:abstractNum>
  <w:abstractNum w:abstractNumId="12">
    <w:nsid w:val="3CE84AEA"/>
    <w:multiLevelType w:val="hybridMultilevel"/>
    <w:tmpl w:val="CFA0D996"/>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4FCD344B"/>
    <w:multiLevelType w:val="hybridMultilevel"/>
    <w:tmpl w:val="78109246"/>
    <w:lvl w:ilvl="0" w:tplc="040C000F">
      <w:start w:val="1"/>
      <w:numFmt w:val="decimal"/>
      <w:lvlText w:val="%1."/>
      <w:lvlJc w:val="left"/>
      <w:pPr>
        <w:ind w:left="1778"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14">
    <w:nsid w:val="4FFC376F"/>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15">
    <w:nsid w:val="51E224A5"/>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16">
    <w:nsid w:val="5B7C7C5F"/>
    <w:multiLevelType w:val="hybridMultilevel"/>
    <w:tmpl w:val="331C09D4"/>
    <w:lvl w:ilvl="0" w:tplc="040C000B">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7">
    <w:nsid w:val="679D3C83"/>
    <w:multiLevelType w:val="hybridMultilevel"/>
    <w:tmpl w:val="3600183C"/>
    <w:lvl w:ilvl="0" w:tplc="14BA7BEA">
      <w:start w:val="1"/>
      <w:numFmt w:val="upperLetter"/>
      <w:lvlText w:val="%1."/>
      <w:lvlJc w:val="left"/>
      <w:pPr>
        <w:ind w:left="405" w:hanging="360"/>
      </w:pPr>
      <w:rPr>
        <w:rFonts w:hint="default"/>
      </w:rPr>
    </w:lvl>
    <w:lvl w:ilvl="1" w:tplc="040C0019" w:tentative="1">
      <w:start w:val="1"/>
      <w:numFmt w:val="lowerLetter"/>
      <w:lvlText w:val="%2."/>
      <w:lvlJc w:val="left"/>
      <w:pPr>
        <w:ind w:left="1125" w:hanging="360"/>
      </w:pPr>
    </w:lvl>
    <w:lvl w:ilvl="2" w:tplc="040C001B" w:tentative="1">
      <w:start w:val="1"/>
      <w:numFmt w:val="lowerRoman"/>
      <w:lvlText w:val="%3."/>
      <w:lvlJc w:val="right"/>
      <w:pPr>
        <w:ind w:left="1845" w:hanging="180"/>
      </w:pPr>
    </w:lvl>
    <w:lvl w:ilvl="3" w:tplc="040C000F" w:tentative="1">
      <w:start w:val="1"/>
      <w:numFmt w:val="decimal"/>
      <w:lvlText w:val="%4."/>
      <w:lvlJc w:val="left"/>
      <w:pPr>
        <w:ind w:left="2565" w:hanging="360"/>
      </w:pPr>
    </w:lvl>
    <w:lvl w:ilvl="4" w:tplc="040C0019" w:tentative="1">
      <w:start w:val="1"/>
      <w:numFmt w:val="lowerLetter"/>
      <w:lvlText w:val="%5."/>
      <w:lvlJc w:val="left"/>
      <w:pPr>
        <w:ind w:left="3285" w:hanging="360"/>
      </w:pPr>
    </w:lvl>
    <w:lvl w:ilvl="5" w:tplc="040C001B" w:tentative="1">
      <w:start w:val="1"/>
      <w:numFmt w:val="lowerRoman"/>
      <w:lvlText w:val="%6."/>
      <w:lvlJc w:val="right"/>
      <w:pPr>
        <w:ind w:left="4005" w:hanging="180"/>
      </w:pPr>
    </w:lvl>
    <w:lvl w:ilvl="6" w:tplc="040C000F" w:tentative="1">
      <w:start w:val="1"/>
      <w:numFmt w:val="decimal"/>
      <w:lvlText w:val="%7."/>
      <w:lvlJc w:val="left"/>
      <w:pPr>
        <w:ind w:left="4725" w:hanging="360"/>
      </w:pPr>
    </w:lvl>
    <w:lvl w:ilvl="7" w:tplc="040C0019" w:tentative="1">
      <w:start w:val="1"/>
      <w:numFmt w:val="lowerLetter"/>
      <w:lvlText w:val="%8."/>
      <w:lvlJc w:val="left"/>
      <w:pPr>
        <w:ind w:left="5445" w:hanging="360"/>
      </w:pPr>
    </w:lvl>
    <w:lvl w:ilvl="8" w:tplc="040C001B" w:tentative="1">
      <w:start w:val="1"/>
      <w:numFmt w:val="lowerRoman"/>
      <w:lvlText w:val="%9."/>
      <w:lvlJc w:val="right"/>
      <w:pPr>
        <w:ind w:left="6165" w:hanging="180"/>
      </w:pPr>
    </w:lvl>
  </w:abstractNum>
  <w:abstractNum w:abstractNumId="18">
    <w:nsid w:val="6FB3744D"/>
    <w:multiLevelType w:val="hybridMultilevel"/>
    <w:tmpl w:val="09404870"/>
    <w:lvl w:ilvl="0" w:tplc="040C000B">
      <w:start w:val="1"/>
      <w:numFmt w:val="bullet"/>
      <w:lvlText w:val=""/>
      <w:lvlJc w:val="left"/>
      <w:pPr>
        <w:ind w:left="1854" w:hanging="360"/>
      </w:pPr>
      <w:rPr>
        <w:rFonts w:ascii="Wingdings" w:hAnsi="Wingdings" w:hint="default"/>
      </w:rPr>
    </w:lvl>
    <w:lvl w:ilvl="1" w:tplc="040C0003" w:tentative="1">
      <w:start w:val="1"/>
      <w:numFmt w:val="bullet"/>
      <w:lvlText w:val="o"/>
      <w:lvlJc w:val="left"/>
      <w:pPr>
        <w:ind w:left="2574" w:hanging="360"/>
      </w:pPr>
      <w:rPr>
        <w:rFonts w:ascii="Courier New" w:hAnsi="Courier New" w:cs="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9">
    <w:nsid w:val="70716157"/>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abstractNum w:abstractNumId="20">
    <w:nsid w:val="7BE44040"/>
    <w:multiLevelType w:val="hybridMultilevel"/>
    <w:tmpl w:val="ED28B53C"/>
    <w:lvl w:ilvl="0" w:tplc="60F4ECE0">
      <w:start w:val="3"/>
      <w:numFmt w:val="upperRoman"/>
      <w:lvlText w:val="%1-"/>
      <w:lvlJc w:val="left"/>
      <w:pPr>
        <w:ind w:left="1440" w:hanging="72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1">
    <w:nsid w:val="7C3C5BD0"/>
    <w:multiLevelType w:val="hybridMultilevel"/>
    <w:tmpl w:val="2998F896"/>
    <w:lvl w:ilvl="0" w:tplc="040C000D">
      <w:start w:val="1"/>
      <w:numFmt w:val="bullet"/>
      <w:lvlText w:val=""/>
      <w:lvlJc w:val="left"/>
      <w:pPr>
        <w:ind w:left="2214" w:hanging="360"/>
      </w:pPr>
      <w:rPr>
        <w:rFonts w:ascii="Wingdings" w:hAnsi="Wingdings" w:hint="default"/>
      </w:rPr>
    </w:lvl>
    <w:lvl w:ilvl="1" w:tplc="040C0003" w:tentative="1">
      <w:start w:val="1"/>
      <w:numFmt w:val="bullet"/>
      <w:lvlText w:val="o"/>
      <w:lvlJc w:val="left"/>
      <w:pPr>
        <w:ind w:left="2934" w:hanging="360"/>
      </w:pPr>
      <w:rPr>
        <w:rFonts w:ascii="Courier New" w:hAnsi="Courier New" w:cs="Courier New" w:hint="default"/>
      </w:rPr>
    </w:lvl>
    <w:lvl w:ilvl="2" w:tplc="040C0005" w:tentative="1">
      <w:start w:val="1"/>
      <w:numFmt w:val="bullet"/>
      <w:lvlText w:val=""/>
      <w:lvlJc w:val="left"/>
      <w:pPr>
        <w:ind w:left="3654" w:hanging="360"/>
      </w:pPr>
      <w:rPr>
        <w:rFonts w:ascii="Wingdings" w:hAnsi="Wingdings" w:hint="default"/>
      </w:rPr>
    </w:lvl>
    <w:lvl w:ilvl="3" w:tplc="040C0001" w:tentative="1">
      <w:start w:val="1"/>
      <w:numFmt w:val="bullet"/>
      <w:lvlText w:val=""/>
      <w:lvlJc w:val="left"/>
      <w:pPr>
        <w:ind w:left="4374" w:hanging="360"/>
      </w:pPr>
      <w:rPr>
        <w:rFonts w:ascii="Symbol" w:hAnsi="Symbol" w:hint="default"/>
      </w:rPr>
    </w:lvl>
    <w:lvl w:ilvl="4" w:tplc="040C0003" w:tentative="1">
      <w:start w:val="1"/>
      <w:numFmt w:val="bullet"/>
      <w:lvlText w:val="o"/>
      <w:lvlJc w:val="left"/>
      <w:pPr>
        <w:ind w:left="5094" w:hanging="360"/>
      </w:pPr>
      <w:rPr>
        <w:rFonts w:ascii="Courier New" w:hAnsi="Courier New" w:cs="Courier New" w:hint="default"/>
      </w:rPr>
    </w:lvl>
    <w:lvl w:ilvl="5" w:tplc="040C0005" w:tentative="1">
      <w:start w:val="1"/>
      <w:numFmt w:val="bullet"/>
      <w:lvlText w:val=""/>
      <w:lvlJc w:val="left"/>
      <w:pPr>
        <w:ind w:left="5814" w:hanging="360"/>
      </w:pPr>
      <w:rPr>
        <w:rFonts w:ascii="Wingdings" w:hAnsi="Wingdings" w:hint="default"/>
      </w:rPr>
    </w:lvl>
    <w:lvl w:ilvl="6" w:tplc="040C0001" w:tentative="1">
      <w:start w:val="1"/>
      <w:numFmt w:val="bullet"/>
      <w:lvlText w:val=""/>
      <w:lvlJc w:val="left"/>
      <w:pPr>
        <w:ind w:left="6534" w:hanging="360"/>
      </w:pPr>
      <w:rPr>
        <w:rFonts w:ascii="Symbol" w:hAnsi="Symbol" w:hint="default"/>
      </w:rPr>
    </w:lvl>
    <w:lvl w:ilvl="7" w:tplc="040C0003" w:tentative="1">
      <w:start w:val="1"/>
      <w:numFmt w:val="bullet"/>
      <w:lvlText w:val="o"/>
      <w:lvlJc w:val="left"/>
      <w:pPr>
        <w:ind w:left="7254" w:hanging="360"/>
      </w:pPr>
      <w:rPr>
        <w:rFonts w:ascii="Courier New" w:hAnsi="Courier New" w:cs="Courier New" w:hint="default"/>
      </w:rPr>
    </w:lvl>
    <w:lvl w:ilvl="8" w:tplc="040C0005" w:tentative="1">
      <w:start w:val="1"/>
      <w:numFmt w:val="bullet"/>
      <w:lvlText w:val=""/>
      <w:lvlJc w:val="left"/>
      <w:pPr>
        <w:ind w:left="7974" w:hanging="360"/>
      </w:pPr>
      <w:rPr>
        <w:rFonts w:ascii="Wingdings" w:hAnsi="Wingdings" w:hint="default"/>
      </w:rPr>
    </w:lvl>
  </w:abstractNum>
  <w:abstractNum w:abstractNumId="22">
    <w:nsid w:val="7C872A53"/>
    <w:multiLevelType w:val="hybridMultilevel"/>
    <w:tmpl w:val="78109246"/>
    <w:lvl w:ilvl="0" w:tplc="040C000F">
      <w:start w:val="1"/>
      <w:numFmt w:val="decimal"/>
      <w:lvlText w:val="%1."/>
      <w:lvlJc w:val="left"/>
      <w:pPr>
        <w:ind w:left="1860" w:hanging="360"/>
      </w:pPr>
    </w:lvl>
    <w:lvl w:ilvl="1" w:tplc="040C0019" w:tentative="1">
      <w:start w:val="1"/>
      <w:numFmt w:val="lowerLetter"/>
      <w:lvlText w:val="%2."/>
      <w:lvlJc w:val="left"/>
      <w:pPr>
        <w:ind w:left="2580" w:hanging="360"/>
      </w:pPr>
    </w:lvl>
    <w:lvl w:ilvl="2" w:tplc="040C001B" w:tentative="1">
      <w:start w:val="1"/>
      <w:numFmt w:val="lowerRoman"/>
      <w:lvlText w:val="%3."/>
      <w:lvlJc w:val="right"/>
      <w:pPr>
        <w:ind w:left="3300" w:hanging="180"/>
      </w:pPr>
    </w:lvl>
    <w:lvl w:ilvl="3" w:tplc="040C000F" w:tentative="1">
      <w:start w:val="1"/>
      <w:numFmt w:val="decimal"/>
      <w:lvlText w:val="%4."/>
      <w:lvlJc w:val="left"/>
      <w:pPr>
        <w:ind w:left="4020" w:hanging="360"/>
      </w:pPr>
    </w:lvl>
    <w:lvl w:ilvl="4" w:tplc="040C0019" w:tentative="1">
      <w:start w:val="1"/>
      <w:numFmt w:val="lowerLetter"/>
      <w:lvlText w:val="%5."/>
      <w:lvlJc w:val="left"/>
      <w:pPr>
        <w:ind w:left="4740" w:hanging="360"/>
      </w:pPr>
    </w:lvl>
    <w:lvl w:ilvl="5" w:tplc="040C001B" w:tentative="1">
      <w:start w:val="1"/>
      <w:numFmt w:val="lowerRoman"/>
      <w:lvlText w:val="%6."/>
      <w:lvlJc w:val="right"/>
      <w:pPr>
        <w:ind w:left="5460" w:hanging="180"/>
      </w:pPr>
    </w:lvl>
    <w:lvl w:ilvl="6" w:tplc="040C000F" w:tentative="1">
      <w:start w:val="1"/>
      <w:numFmt w:val="decimal"/>
      <w:lvlText w:val="%7."/>
      <w:lvlJc w:val="left"/>
      <w:pPr>
        <w:ind w:left="6180" w:hanging="360"/>
      </w:pPr>
    </w:lvl>
    <w:lvl w:ilvl="7" w:tplc="040C0019" w:tentative="1">
      <w:start w:val="1"/>
      <w:numFmt w:val="lowerLetter"/>
      <w:lvlText w:val="%8."/>
      <w:lvlJc w:val="left"/>
      <w:pPr>
        <w:ind w:left="6900" w:hanging="360"/>
      </w:pPr>
    </w:lvl>
    <w:lvl w:ilvl="8" w:tplc="040C001B" w:tentative="1">
      <w:start w:val="1"/>
      <w:numFmt w:val="lowerRoman"/>
      <w:lvlText w:val="%9."/>
      <w:lvlJc w:val="right"/>
      <w:pPr>
        <w:ind w:left="7620" w:hanging="180"/>
      </w:pPr>
    </w:lvl>
  </w:abstractNum>
  <w:num w:numId="1">
    <w:abstractNumId w:val="4"/>
  </w:num>
  <w:num w:numId="2">
    <w:abstractNumId w:val="11"/>
  </w:num>
  <w:num w:numId="3">
    <w:abstractNumId w:val="10"/>
  </w:num>
  <w:num w:numId="4">
    <w:abstractNumId w:val="0"/>
  </w:num>
  <w:num w:numId="5">
    <w:abstractNumId w:val="18"/>
  </w:num>
  <w:num w:numId="6">
    <w:abstractNumId w:val="16"/>
  </w:num>
  <w:num w:numId="7">
    <w:abstractNumId w:val="21"/>
  </w:num>
  <w:num w:numId="8">
    <w:abstractNumId w:val="12"/>
  </w:num>
  <w:num w:numId="9">
    <w:abstractNumId w:val="20"/>
  </w:num>
  <w:num w:numId="10">
    <w:abstractNumId w:val="5"/>
  </w:num>
  <w:num w:numId="11">
    <w:abstractNumId w:val="17"/>
  </w:num>
  <w:num w:numId="12">
    <w:abstractNumId w:val="7"/>
  </w:num>
  <w:num w:numId="13">
    <w:abstractNumId w:val="14"/>
  </w:num>
  <w:num w:numId="14">
    <w:abstractNumId w:val="13"/>
  </w:num>
  <w:num w:numId="15">
    <w:abstractNumId w:val="22"/>
  </w:num>
  <w:num w:numId="16">
    <w:abstractNumId w:val="19"/>
  </w:num>
  <w:num w:numId="17">
    <w:abstractNumId w:val="1"/>
  </w:num>
  <w:num w:numId="18">
    <w:abstractNumId w:val="9"/>
  </w:num>
  <w:num w:numId="19">
    <w:abstractNumId w:val="8"/>
  </w:num>
  <w:num w:numId="20">
    <w:abstractNumId w:val="6"/>
  </w:num>
  <w:num w:numId="21">
    <w:abstractNumId w:val="3"/>
  </w:num>
  <w:num w:numId="22">
    <w:abstractNumId w:val="1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956"/>
    <w:rsid w:val="00175ADA"/>
    <w:rsid w:val="00313E85"/>
    <w:rsid w:val="004D1245"/>
    <w:rsid w:val="00655874"/>
    <w:rsid w:val="006A59A9"/>
    <w:rsid w:val="006C5805"/>
    <w:rsid w:val="0077151E"/>
    <w:rsid w:val="00785389"/>
    <w:rsid w:val="008D7693"/>
    <w:rsid w:val="00AB3E1E"/>
    <w:rsid w:val="00D86AB4"/>
    <w:rsid w:val="00D90C1D"/>
    <w:rsid w:val="00DB301A"/>
    <w:rsid w:val="00EC7956"/>
    <w:rsid w:val="00FD2227"/>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956"/>
    <w:pPr>
      <w:suppressAutoHyphens/>
      <w:spacing w:after="0" w:line="240" w:lineRule="atLeast"/>
    </w:pPr>
    <w:rPr>
      <w:rFonts w:ascii="Times New Roman" w:eastAsia="Times New Roman" w:hAnsi="Times New Roman" w:cs="Times New Roman"/>
      <w:sz w:val="2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TxtGChar">
    <w:name w:val="_ Single Txt_G Char"/>
    <w:link w:val="SingleTxtG"/>
    <w:locked/>
    <w:rsid w:val="00EC7956"/>
    <w:rPr>
      <w:rFonts w:ascii="Times New Roman" w:eastAsia="Times New Roman" w:hAnsi="Times New Roman" w:cs="Times New Roman"/>
      <w:sz w:val="20"/>
      <w:szCs w:val="20"/>
      <w:lang w:val="fr-CH"/>
    </w:rPr>
  </w:style>
  <w:style w:type="paragraph" w:customStyle="1" w:styleId="SingleTxtG">
    <w:name w:val="_ Single Txt_G"/>
    <w:basedOn w:val="Normal"/>
    <w:link w:val="SingleTxtGChar"/>
    <w:qFormat/>
    <w:rsid w:val="00EC7956"/>
    <w:pPr>
      <w:spacing w:after="120"/>
      <w:ind w:left="1134" w:right="1134"/>
      <w:jc w:val="both"/>
    </w:pPr>
  </w:style>
  <w:style w:type="paragraph" w:customStyle="1" w:styleId="H1G">
    <w:name w:val="_ H_1_G"/>
    <w:basedOn w:val="Normal"/>
    <w:next w:val="Normal"/>
    <w:rsid w:val="006C580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6C5805"/>
    <w:pPr>
      <w:keepNext/>
      <w:keepLines/>
      <w:tabs>
        <w:tab w:val="right" w:pos="851"/>
      </w:tabs>
      <w:spacing w:before="360" w:after="240" w:line="300" w:lineRule="exact"/>
      <w:ind w:left="1134" w:right="1134" w:hanging="1134"/>
    </w:pPr>
    <w:rPr>
      <w:b/>
      <w:sz w:val="28"/>
    </w:rPr>
  </w:style>
  <w:style w:type="paragraph" w:customStyle="1" w:styleId="H23G">
    <w:name w:val="_ H_2/3_G"/>
    <w:basedOn w:val="Normal"/>
    <w:next w:val="Normal"/>
    <w:rsid w:val="006C5805"/>
    <w:pPr>
      <w:keepNext/>
      <w:keepLines/>
      <w:tabs>
        <w:tab w:val="right" w:pos="851"/>
      </w:tabs>
      <w:spacing w:before="240" w:after="120" w:line="240" w:lineRule="exact"/>
      <w:ind w:left="1134" w:right="1134" w:hanging="1134"/>
    </w:pPr>
    <w:rPr>
      <w:b/>
    </w:rPr>
  </w:style>
  <w:style w:type="paragraph" w:styleId="ListParagraph">
    <w:name w:val="List Paragraph"/>
    <w:basedOn w:val="Normal"/>
    <w:uiPriority w:val="34"/>
    <w:qFormat/>
    <w:rsid w:val="006C5805"/>
    <w:pPr>
      <w:suppressAutoHyphens w:val="0"/>
      <w:spacing w:after="200" w:line="276" w:lineRule="auto"/>
      <w:ind w:left="720"/>
      <w:contextualSpacing/>
    </w:pPr>
    <w:rPr>
      <w:rFonts w:asciiTheme="minorHAnsi" w:eastAsiaTheme="minorHAnsi" w:hAnsiTheme="minorHAnsi" w:cstheme="minorBidi"/>
      <w:sz w:val="22"/>
      <w:szCs w:val="22"/>
      <w:lang w:val="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956"/>
    <w:pPr>
      <w:suppressAutoHyphens/>
      <w:spacing w:after="0" w:line="240" w:lineRule="atLeast"/>
    </w:pPr>
    <w:rPr>
      <w:rFonts w:ascii="Times New Roman" w:eastAsia="Times New Roman" w:hAnsi="Times New Roman" w:cs="Times New Roman"/>
      <w:sz w:val="2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TxtGChar">
    <w:name w:val="_ Single Txt_G Char"/>
    <w:link w:val="SingleTxtG"/>
    <w:locked/>
    <w:rsid w:val="00EC7956"/>
    <w:rPr>
      <w:rFonts w:ascii="Times New Roman" w:eastAsia="Times New Roman" w:hAnsi="Times New Roman" w:cs="Times New Roman"/>
      <w:sz w:val="20"/>
      <w:szCs w:val="20"/>
      <w:lang w:val="fr-CH"/>
    </w:rPr>
  </w:style>
  <w:style w:type="paragraph" w:customStyle="1" w:styleId="SingleTxtG">
    <w:name w:val="_ Single Txt_G"/>
    <w:basedOn w:val="Normal"/>
    <w:link w:val="SingleTxtGChar"/>
    <w:qFormat/>
    <w:rsid w:val="00EC7956"/>
    <w:pPr>
      <w:spacing w:after="120"/>
      <w:ind w:left="1134" w:right="1134"/>
      <w:jc w:val="both"/>
    </w:pPr>
  </w:style>
  <w:style w:type="paragraph" w:customStyle="1" w:styleId="H1G">
    <w:name w:val="_ H_1_G"/>
    <w:basedOn w:val="Normal"/>
    <w:next w:val="Normal"/>
    <w:rsid w:val="006C580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6C5805"/>
    <w:pPr>
      <w:keepNext/>
      <w:keepLines/>
      <w:tabs>
        <w:tab w:val="right" w:pos="851"/>
      </w:tabs>
      <w:spacing w:before="360" w:after="240" w:line="300" w:lineRule="exact"/>
      <w:ind w:left="1134" w:right="1134" w:hanging="1134"/>
    </w:pPr>
    <w:rPr>
      <w:b/>
      <w:sz w:val="28"/>
    </w:rPr>
  </w:style>
  <w:style w:type="paragraph" w:customStyle="1" w:styleId="H23G">
    <w:name w:val="_ H_2/3_G"/>
    <w:basedOn w:val="Normal"/>
    <w:next w:val="Normal"/>
    <w:rsid w:val="006C5805"/>
    <w:pPr>
      <w:keepNext/>
      <w:keepLines/>
      <w:tabs>
        <w:tab w:val="right" w:pos="851"/>
      </w:tabs>
      <w:spacing w:before="240" w:after="120" w:line="240" w:lineRule="exact"/>
      <w:ind w:left="1134" w:right="1134" w:hanging="1134"/>
    </w:pPr>
    <w:rPr>
      <w:b/>
    </w:rPr>
  </w:style>
  <w:style w:type="paragraph" w:styleId="ListParagraph">
    <w:name w:val="List Paragraph"/>
    <w:basedOn w:val="Normal"/>
    <w:uiPriority w:val="34"/>
    <w:qFormat/>
    <w:rsid w:val="006C5805"/>
    <w:pPr>
      <w:suppressAutoHyphens w:val="0"/>
      <w:spacing w:after="200" w:line="276" w:lineRule="auto"/>
      <w:ind w:left="720"/>
      <w:contextualSpacing/>
    </w:pPr>
    <w:rPr>
      <w:rFonts w:asciiTheme="minorHAnsi" w:eastAsiaTheme="minorHAnsi" w:hAnsiTheme="minorHAnsi" w:cstheme="minorBidi"/>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0DB000-2403-42AF-94C6-F914B1F41A77}"/>
</file>

<file path=customXml/itemProps2.xml><?xml version="1.0" encoding="utf-8"?>
<ds:datastoreItem xmlns:ds="http://schemas.openxmlformats.org/officeDocument/2006/customXml" ds:itemID="{A9712090-4C6D-4A8D-8760-8DF4834D1586}"/>
</file>

<file path=customXml/itemProps3.xml><?xml version="1.0" encoding="utf-8"?>
<ds:datastoreItem xmlns:ds="http://schemas.openxmlformats.org/officeDocument/2006/customXml" ds:itemID="{7A994401-9C4F-4174-828A-DD04ABBB6CC1}"/>
</file>

<file path=docProps/app.xml><?xml version="1.0" encoding="utf-8"?>
<Properties xmlns="http://schemas.openxmlformats.org/officeDocument/2006/extended-properties" xmlns:vt="http://schemas.openxmlformats.org/officeDocument/2006/docPropsVTypes">
  <Template>Normal.dotm</Template>
  <TotalTime>0</TotalTime>
  <Pages>9</Pages>
  <Words>4043</Words>
  <Characters>22240</Characters>
  <Application>Microsoft Office Word</Application>
  <DocSecurity>0</DocSecurity>
  <Lines>185</Lines>
  <Paragraphs>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kiffainfo</dc:creator>
  <cp:lastModifiedBy>Liliana Trillo Diaz</cp:lastModifiedBy>
  <cp:revision>2</cp:revision>
  <dcterms:created xsi:type="dcterms:W3CDTF">2017-06-21T12:47:00Z</dcterms:created>
  <dcterms:modified xsi:type="dcterms:W3CDTF">2017-06-21T12:47:00Z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