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D9170" w14:textId="77777777" w:rsidR="00501A88" w:rsidRDefault="00501A88">
      <w:pPr>
        <w:widowControl w:val="0"/>
        <w:rPr>
          <w:rFonts w:ascii="Calibri" w:eastAsia="Calibri" w:hAnsi="Calibri" w:cs="Calibri"/>
          <w:b/>
        </w:rPr>
      </w:pPr>
    </w:p>
    <w:sdt>
      <w:sdtPr>
        <w:tag w:val="goog_rdk_0"/>
        <w:id w:val="-2100092060"/>
        <w:lock w:val="contentLocked"/>
      </w:sdtPr>
      <w:sdtContent>
        <w:tbl>
          <w:tblPr>
            <w:tblStyle w:val="a"/>
            <w:tblW w:w="906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4532"/>
            <w:gridCol w:w="4533"/>
          </w:tblGrid>
          <w:tr w:rsidR="00501A88" w14:paraId="76E320A5" w14:textId="77777777">
            <w:trPr>
              <w:jc w:val="center"/>
            </w:trPr>
            <w:tc>
              <w:tcPr>
                <w:tcW w:w="4532" w:type="dxa"/>
                <w:shd w:val="clear" w:color="auto" w:fill="auto"/>
                <w:tcMar>
                  <w:top w:w="100" w:type="dxa"/>
                  <w:left w:w="100" w:type="dxa"/>
                  <w:bottom w:w="100" w:type="dxa"/>
                  <w:right w:w="100" w:type="dxa"/>
                </w:tcMar>
                <w:vAlign w:val="center"/>
              </w:tcPr>
              <w:p w14:paraId="3F8166FB" w14:textId="77777777" w:rsidR="00501A88" w:rsidRDefault="00000000">
                <w:pPr>
                  <w:widowControl w:val="0"/>
                  <w:pBdr>
                    <w:top w:val="nil"/>
                    <w:left w:val="nil"/>
                    <w:bottom w:val="nil"/>
                    <w:right w:val="nil"/>
                    <w:between w:val="nil"/>
                  </w:pBdr>
                  <w:rPr>
                    <w:rFonts w:ascii="Calibri" w:eastAsia="Calibri" w:hAnsi="Calibri" w:cs="Calibri"/>
                    <w:b/>
                  </w:rPr>
                </w:pPr>
                <w:r>
                  <w:rPr>
                    <w:rFonts w:ascii="Calibri" w:eastAsia="Calibri" w:hAnsi="Calibri" w:cs="Calibri"/>
                    <w:b/>
                    <w:noProof/>
                  </w:rPr>
                  <w:drawing>
                    <wp:inline distT="114300" distB="114300" distL="114300" distR="114300" wp14:anchorId="44BC189C" wp14:editId="7F08FD72">
                      <wp:extent cx="2733675" cy="5588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733675" cy="558800"/>
                              </a:xfrm>
                              <a:prstGeom prst="rect">
                                <a:avLst/>
                              </a:prstGeom>
                              <a:ln/>
                            </pic:spPr>
                          </pic:pic>
                        </a:graphicData>
                      </a:graphic>
                    </wp:inline>
                  </w:drawing>
                </w:r>
              </w:p>
            </w:tc>
            <w:tc>
              <w:tcPr>
                <w:tcW w:w="4532" w:type="dxa"/>
                <w:shd w:val="clear" w:color="auto" w:fill="auto"/>
                <w:tcMar>
                  <w:top w:w="100" w:type="dxa"/>
                  <w:left w:w="100" w:type="dxa"/>
                  <w:bottom w:w="100" w:type="dxa"/>
                  <w:right w:w="100" w:type="dxa"/>
                </w:tcMar>
                <w:vAlign w:val="center"/>
              </w:tcPr>
              <w:p w14:paraId="6258773C" w14:textId="77777777" w:rsidR="00501A88" w:rsidRDefault="00000000">
                <w:pPr>
                  <w:widowControl w:val="0"/>
                  <w:pBdr>
                    <w:top w:val="nil"/>
                    <w:left w:val="nil"/>
                    <w:bottom w:val="nil"/>
                    <w:right w:val="nil"/>
                    <w:between w:val="nil"/>
                  </w:pBdr>
                  <w:jc w:val="center"/>
                  <w:rPr>
                    <w:rFonts w:ascii="Calibri" w:eastAsia="Calibri" w:hAnsi="Calibri" w:cs="Calibri"/>
                    <w:b/>
                  </w:rPr>
                </w:pPr>
                <w:r>
                  <w:rPr>
                    <w:rFonts w:ascii="Calibri" w:eastAsia="Calibri" w:hAnsi="Calibri" w:cs="Calibri"/>
                    <w:b/>
                    <w:noProof/>
                  </w:rPr>
                  <w:drawing>
                    <wp:inline distT="114300" distB="114300" distL="114300" distR="114300" wp14:anchorId="16F00A62" wp14:editId="11CB10C5">
                      <wp:extent cx="2485708" cy="74838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t="18350" r="-4160" b="25838"/>
                              <a:stretch>
                                <a:fillRect/>
                              </a:stretch>
                            </pic:blipFill>
                            <pic:spPr>
                              <a:xfrm>
                                <a:off x="0" y="0"/>
                                <a:ext cx="2485708" cy="748385"/>
                              </a:xfrm>
                              <a:prstGeom prst="rect">
                                <a:avLst/>
                              </a:prstGeom>
                              <a:ln/>
                            </pic:spPr>
                          </pic:pic>
                        </a:graphicData>
                      </a:graphic>
                    </wp:inline>
                  </w:drawing>
                </w:r>
              </w:p>
            </w:tc>
          </w:tr>
        </w:tbl>
      </w:sdtContent>
    </w:sdt>
    <w:p w14:paraId="026850B5" w14:textId="77777777" w:rsidR="00501A88" w:rsidRDefault="00501A88">
      <w:pPr>
        <w:widowControl w:val="0"/>
        <w:jc w:val="center"/>
        <w:rPr>
          <w:rFonts w:ascii="Calibri" w:eastAsia="Calibri" w:hAnsi="Calibri" w:cs="Calibri"/>
          <w:b/>
        </w:rPr>
      </w:pPr>
    </w:p>
    <w:p w14:paraId="76ECDF7B" w14:textId="77777777" w:rsidR="00501A88" w:rsidRDefault="00000000">
      <w:pPr>
        <w:widowControl w:val="0"/>
        <w:spacing w:after="200"/>
        <w:jc w:val="center"/>
        <w:rPr>
          <w:rFonts w:ascii="Calibri" w:eastAsia="Calibri" w:hAnsi="Calibri" w:cs="Calibri"/>
          <w:b/>
        </w:rPr>
      </w:pPr>
      <w:r>
        <w:rPr>
          <w:rFonts w:ascii="Calibri" w:eastAsia="Calibri" w:hAnsi="Calibri" w:cs="Calibri"/>
          <w:b/>
        </w:rPr>
        <w:t>Work Better Innovations and Southeast and East Asian Centre</w:t>
      </w:r>
    </w:p>
    <w:p w14:paraId="78466692" w14:textId="77777777" w:rsidR="00501A88" w:rsidRDefault="00000000">
      <w:pPr>
        <w:widowControl w:val="0"/>
        <w:spacing w:after="200"/>
        <w:jc w:val="center"/>
        <w:rPr>
          <w:rFonts w:ascii="Calibri" w:eastAsia="Calibri" w:hAnsi="Calibri" w:cs="Calibri"/>
          <w:b/>
        </w:rPr>
      </w:pPr>
      <w:r>
        <w:rPr>
          <w:rFonts w:ascii="Calibri" w:eastAsia="Calibri" w:hAnsi="Calibri" w:cs="Calibri"/>
          <w:b/>
        </w:rPr>
        <w:t>Submission to the UN Committee on Economic, Social and Cultural Rights (CESCR)</w:t>
      </w:r>
      <w:r>
        <w:rPr>
          <w:rFonts w:ascii="Calibri" w:eastAsia="Calibri" w:hAnsi="Calibri" w:cs="Calibri"/>
          <w:b/>
        </w:rPr>
        <w:br/>
        <w:t>for the List of Issues and for the Adoption of Concluding Observations</w:t>
      </w:r>
    </w:p>
    <w:p w14:paraId="3FD9EDBE" w14:textId="77777777" w:rsidR="00501A88" w:rsidRDefault="00000000">
      <w:pPr>
        <w:widowControl w:val="0"/>
        <w:spacing w:after="200"/>
        <w:jc w:val="center"/>
        <w:rPr>
          <w:rFonts w:ascii="Calibri" w:eastAsia="Calibri" w:hAnsi="Calibri" w:cs="Calibri"/>
          <w:b/>
        </w:rPr>
      </w:pPr>
      <w:r>
        <w:rPr>
          <w:rFonts w:ascii="Calibri" w:eastAsia="Calibri" w:hAnsi="Calibri" w:cs="Calibri"/>
          <w:b/>
        </w:rPr>
        <w:t>7</w:t>
      </w:r>
      <w:r>
        <w:rPr>
          <w:rFonts w:ascii="Calibri" w:eastAsia="Calibri" w:hAnsi="Calibri" w:cs="Calibri"/>
          <w:b/>
          <w:vertAlign w:val="superscript"/>
        </w:rPr>
        <w:t>th</w:t>
      </w:r>
      <w:r>
        <w:rPr>
          <w:rFonts w:ascii="Calibri" w:eastAsia="Calibri" w:hAnsi="Calibri" w:cs="Calibri"/>
          <w:b/>
        </w:rPr>
        <w:t xml:space="preserve"> Periodic Review of the United Kingdom of Great Britain and Northern Ireland</w:t>
      </w:r>
    </w:p>
    <w:p w14:paraId="268271DC" w14:textId="77777777" w:rsidR="00501A88" w:rsidRDefault="00000000">
      <w:pPr>
        <w:widowControl w:val="0"/>
        <w:jc w:val="center"/>
        <w:rPr>
          <w:rFonts w:ascii="Calibri" w:eastAsia="Calibri" w:hAnsi="Calibri" w:cs="Calibri"/>
        </w:rPr>
      </w:pPr>
      <w:r>
        <w:rPr>
          <w:rFonts w:ascii="Calibri" w:eastAsia="Calibri" w:hAnsi="Calibri" w:cs="Calibri"/>
        </w:rPr>
        <w:t>77</w:t>
      </w:r>
      <w:r>
        <w:rPr>
          <w:rFonts w:ascii="Calibri" w:eastAsia="Calibri" w:hAnsi="Calibri" w:cs="Calibri"/>
          <w:vertAlign w:val="superscript"/>
        </w:rPr>
        <w:t>th</w:t>
      </w:r>
      <w:r>
        <w:rPr>
          <w:rFonts w:ascii="Calibri" w:eastAsia="Calibri" w:hAnsi="Calibri" w:cs="Calibri"/>
        </w:rPr>
        <w:t xml:space="preserve"> Session</w:t>
      </w:r>
    </w:p>
    <w:p w14:paraId="7556C49C" w14:textId="77777777" w:rsidR="00501A88" w:rsidRDefault="00000000">
      <w:pPr>
        <w:widowControl w:val="0"/>
        <w:spacing w:after="200"/>
        <w:jc w:val="center"/>
        <w:rPr>
          <w:rFonts w:ascii="Calibri" w:eastAsia="Calibri" w:hAnsi="Calibri" w:cs="Calibri"/>
        </w:rPr>
      </w:pPr>
      <w:r>
        <w:rPr>
          <w:rFonts w:ascii="Calibri" w:eastAsia="Calibri" w:hAnsi="Calibri" w:cs="Calibri"/>
        </w:rPr>
        <w:t>Geneva, February 2025</w:t>
      </w:r>
    </w:p>
    <w:p w14:paraId="1CC17DA6" w14:textId="77777777" w:rsidR="00501A88" w:rsidRPr="00C0069F" w:rsidRDefault="00000000">
      <w:pPr>
        <w:pStyle w:val="Heading1"/>
        <w:rPr>
          <w:rFonts w:ascii="Calibri" w:eastAsia="Calibri" w:hAnsi="Calibri" w:cs="Calibri"/>
          <w:b/>
          <w:bCs/>
          <w:color w:val="FF5C39"/>
          <w:sz w:val="24"/>
          <w:szCs w:val="24"/>
        </w:rPr>
      </w:pPr>
      <w:r w:rsidRPr="00C0069F">
        <w:rPr>
          <w:rFonts w:ascii="Calibri" w:eastAsia="Calibri" w:hAnsi="Calibri" w:cs="Calibri"/>
          <w:b/>
          <w:bCs/>
          <w:color w:val="FF5C39"/>
          <w:sz w:val="24"/>
          <w:szCs w:val="24"/>
        </w:rPr>
        <w:t>About Us</w:t>
      </w:r>
    </w:p>
    <w:p w14:paraId="45FE0F36" w14:textId="77777777" w:rsidR="00501A88" w:rsidRDefault="00000000">
      <w:pPr>
        <w:widowControl w:val="0"/>
        <w:spacing w:after="200"/>
        <w:rPr>
          <w:rFonts w:ascii="Calibri" w:eastAsia="Calibri" w:hAnsi="Calibri" w:cs="Calibri"/>
        </w:rPr>
      </w:pPr>
      <w:r>
        <w:rPr>
          <w:rFonts w:ascii="Calibri" w:eastAsia="Calibri" w:hAnsi="Calibri" w:cs="Calibri"/>
          <w:b/>
        </w:rPr>
        <w:t>Work Better Innovations</w:t>
      </w:r>
      <w:r>
        <w:rPr>
          <w:rFonts w:ascii="Calibri" w:eastAsia="Calibri" w:hAnsi="Calibri" w:cs="Calibri"/>
        </w:rPr>
        <w:t xml:space="preserve"> (</w:t>
      </w:r>
      <w:hyperlink r:id="rId10">
        <w:r w:rsidR="00501A88">
          <w:rPr>
            <w:rFonts w:ascii="Calibri" w:eastAsia="Calibri" w:hAnsi="Calibri" w:cs="Calibri"/>
            <w:i/>
            <w:color w:val="1155CC"/>
            <w:u w:val="single"/>
          </w:rPr>
          <w:t>WBI</w:t>
        </w:r>
      </w:hyperlink>
      <w:r>
        <w:rPr>
          <w:rFonts w:ascii="Calibri" w:eastAsia="Calibri" w:hAnsi="Calibri" w:cs="Calibri"/>
          <w:color w:val="003057"/>
        </w:rPr>
        <w:t>)</w:t>
      </w:r>
      <w:r>
        <w:rPr>
          <w:rFonts w:ascii="Calibri" w:eastAsia="Calibri" w:hAnsi="Calibri" w:cs="Calibri"/>
        </w:rPr>
        <w:t xml:space="preserve"> is a community interest company in England. We are a social enterprise on a mission to support an inclusive and sustainable economy. We work innovatively on projects on business and human rights and have strong subject matter expertise in international law and standards. We drive social impact through two main pillars of our social enterprise: </w:t>
      </w:r>
      <w:r>
        <w:rPr>
          <w:rFonts w:ascii="Calibri" w:eastAsia="Calibri" w:hAnsi="Calibri" w:cs="Calibri"/>
          <w:b/>
        </w:rPr>
        <w:t xml:space="preserve">(1) </w:t>
      </w:r>
      <w:r>
        <w:rPr>
          <w:rFonts w:ascii="Calibri" w:eastAsia="Calibri" w:hAnsi="Calibri" w:cs="Calibri"/>
        </w:rPr>
        <w:t xml:space="preserve">research and training on international human rights and labour standards to foster compliance by states and businesses, and </w:t>
      </w:r>
      <w:r>
        <w:rPr>
          <w:rFonts w:ascii="Calibri" w:eastAsia="Calibri" w:hAnsi="Calibri" w:cs="Calibri"/>
          <w:b/>
        </w:rPr>
        <w:t xml:space="preserve">(2) </w:t>
      </w:r>
      <w:r>
        <w:rPr>
          <w:rFonts w:ascii="Calibri" w:eastAsia="Calibri" w:hAnsi="Calibri" w:cs="Calibri"/>
        </w:rPr>
        <w:t xml:space="preserve">innovative community service projects that address inequalities in employment and health for marginalised groups in the UK. We are the proud recipient of an Innovation Award for Community Innovation in Portsmouth, UK, in 2022. </w:t>
      </w:r>
    </w:p>
    <w:p w14:paraId="3E9A7684" w14:textId="77777777" w:rsidR="00501A88" w:rsidRDefault="00000000">
      <w:pPr>
        <w:widowControl w:val="0"/>
        <w:spacing w:after="200"/>
        <w:rPr>
          <w:rFonts w:ascii="Calibri" w:eastAsia="Calibri" w:hAnsi="Calibri" w:cs="Calibri"/>
        </w:rPr>
      </w:pPr>
      <w:r>
        <w:rPr>
          <w:rFonts w:ascii="Calibri" w:eastAsia="Calibri" w:hAnsi="Calibri" w:cs="Calibri"/>
          <w:b/>
        </w:rPr>
        <w:t xml:space="preserve">Southeast and East Asian Centre CIC </w:t>
      </w:r>
      <w:r>
        <w:rPr>
          <w:rFonts w:ascii="Calibri" w:eastAsia="Calibri" w:hAnsi="Calibri" w:cs="Calibri"/>
        </w:rPr>
        <w:t>(</w:t>
      </w:r>
      <w:hyperlink r:id="rId11">
        <w:r w:rsidR="00501A88">
          <w:rPr>
            <w:rFonts w:ascii="Calibri" w:eastAsia="Calibri" w:hAnsi="Calibri" w:cs="Calibri"/>
            <w:i/>
            <w:color w:val="1155CC"/>
            <w:u w:val="single"/>
          </w:rPr>
          <w:t>SEEAC</w:t>
        </w:r>
      </w:hyperlink>
      <w:r>
        <w:rPr>
          <w:rFonts w:ascii="Calibri" w:eastAsia="Calibri" w:hAnsi="Calibri" w:cs="Calibri"/>
        </w:rPr>
        <w:t xml:space="preserve">) is a London-based community organisation by and for migrants, refugees and people seeking asylum from Southeast and East Asia and people of these heritages living in the UK. We provide essential community services to individuals and groups on issues around welfare, employment and labour exploitation, wellbeing and mental health, identity-based hate and discrimination, and immigration. Based on our experiences as a grassroots organisation, we advocate and campaign to address intersectional challenges faced by marginalised and under-represented groups in our communities, such as precarious migrant workers, asylum seekers, survivors of trafficking and labour exploitation, people of marginalised genders. </w:t>
      </w:r>
    </w:p>
    <w:p w14:paraId="46C16F02" w14:textId="77777777" w:rsidR="00501A88" w:rsidRDefault="00000000">
      <w:pPr>
        <w:widowControl w:val="0"/>
        <w:spacing w:after="200"/>
        <w:rPr>
          <w:rFonts w:ascii="Calibri" w:eastAsia="Calibri" w:hAnsi="Calibri" w:cs="Calibri"/>
        </w:rPr>
      </w:pPr>
      <w:r>
        <w:rPr>
          <w:rFonts w:ascii="Calibri" w:eastAsia="Calibri" w:hAnsi="Calibri" w:cs="Calibri"/>
          <w:b/>
          <w:color w:val="FF5C39"/>
        </w:rPr>
        <w:t>Contact</w:t>
      </w:r>
      <w:r>
        <w:rPr>
          <w:rFonts w:ascii="Calibri" w:eastAsia="Calibri" w:hAnsi="Calibri" w:cs="Calibri"/>
          <w:b/>
        </w:rPr>
        <w:t xml:space="preserve"> </w:t>
      </w:r>
    </w:p>
    <w:sdt>
      <w:sdtPr>
        <w:tag w:val="goog_rdk_1"/>
        <w:id w:val="-196081373"/>
        <w:lock w:val="contentLocked"/>
      </w:sdtPr>
      <w:sdtContent>
        <w:tbl>
          <w:tblPr>
            <w:tblStyle w:val="a0"/>
            <w:tblW w:w="9065"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Look w:val="0600" w:firstRow="0" w:lastRow="0" w:firstColumn="0" w:lastColumn="0" w:noHBand="1" w:noVBand="1"/>
          </w:tblPr>
          <w:tblGrid>
            <w:gridCol w:w="4532"/>
            <w:gridCol w:w="4533"/>
          </w:tblGrid>
          <w:tr w:rsidR="00501A88" w14:paraId="59562525" w14:textId="77777777">
            <w:trPr>
              <w:trHeight w:val="295"/>
            </w:trPr>
            <w:tc>
              <w:tcPr>
                <w:tcW w:w="4532" w:type="dxa"/>
                <w:shd w:val="clear" w:color="auto" w:fill="F3F3F3"/>
                <w:tcMar>
                  <w:top w:w="100" w:type="dxa"/>
                  <w:left w:w="100" w:type="dxa"/>
                  <w:bottom w:w="100" w:type="dxa"/>
                  <w:right w:w="100" w:type="dxa"/>
                </w:tcMar>
              </w:tcPr>
              <w:p w14:paraId="05CC7D64" w14:textId="77777777" w:rsidR="00501A88" w:rsidRDefault="00501A88">
                <w:pPr>
                  <w:widowControl w:val="0"/>
                  <w:jc w:val="center"/>
                  <w:rPr>
                    <w:rFonts w:ascii="Calibri" w:eastAsia="Calibri" w:hAnsi="Calibri" w:cs="Calibri"/>
                    <w:b/>
                  </w:rPr>
                </w:pPr>
                <w:hyperlink r:id="rId12">
                  <w:r>
                    <w:rPr>
                      <w:rFonts w:ascii="Calibri" w:eastAsia="Calibri" w:hAnsi="Calibri" w:cs="Calibri"/>
                      <w:b/>
                      <w:color w:val="1155CC"/>
                      <w:u w:val="single"/>
                    </w:rPr>
                    <w:t>Work Better Innovations</w:t>
                  </w:r>
                </w:hyperlink>
              </w:p>
            </w:tc>
            <w:tc>
              <w:tcPr>
                <w:tcW w:w="4532" w:type="dxa"/>
                <w:shd w:val="clear" w:color="auto" w:fill="F3F3F3"/>
                <w:tcMar>
                  <w:top w:w="100" w:type="dxa"/>
                  <w:left w:w="100" w:type="dxa"/>
                  <w:bottom w:w="100" w:type="dxa"/>
                  <w:right w:w="100" w:type="dxa"/>
                </w:tcMar>
                <w:vAlign w:val="center"/>
              </w:tcPr>
              <w:p w14:paraId="10F31AC1" w14:textId="77777777" w:rsidR="00501A88" w:rsidRDefault="00501A88">
                <w:pPr>
                  <w:widowControl w:val="0"/>
                  <w:jc w:val="center"/>
                  <w:rPr>
                    <w:rFonts w:ascii="Calibri" w:eastAsia="Calibri" w:hAnsi="Calibri" w:cs="Calibri"/>
                    <w:b/>
                  </w:rPr>
                </w:pPr>
                <w:hyperlink r:id="rId13">
                  <w:r>
                    <w:rPr>
                      <w:rFonts w:ascii="Calibri" w:eastAsia="Calibri" w:hAnsi="Calibri" w:cs="Calibri"/>
                      <w:b/>
                      <w:color w:val="1155CC"/>
                      <w:u w:val="single"/>
                    </w:rPr>
                    <w:t>Southeast and East Asian Centre</w:t>
                  </w:r>
                </w:hyperlink>
              </w:p>
            </w:tc>
          </w:tr>
          <w:tr w:rsidR="00501A88" w14:paraId="3EE884B9" w14:textId="77777777">
            <w:tc>
              <w:tcPr>
                <w:tcW w:w="4532" w:type="dxa"/>
                <w:shd w:val="clear" w:color="auto" w:fill="F3F3F3"/>
                <w:tcMar>
                  <w:top w:w="100" w:type="dxa"/>
                  <w:left w:w="100" w:type="dxa"/>
                  <w:bottom w:w="100" w:type="dxa"/>
                  <w:right w:w="100" w:type="dxa"/>
                </w:tcMar>
              </w:tcPr>
              <w:p w14:paraId="58DBDDC6" w14:textId="77777777" w:rsidR="00501A88" w:rsidRDefault="00000000">
                <w:pPr>
                  <w:widowControl w:val="0"/>
                  <w:numPr>
                    <w:ilvl w:val="0"/>
                    <w:numId w:val="5"/>
                  </w:numPr>
                  <w:rPr>
                    <w:rFonts w:ascii="Calibri" w:eastAsia="Calibri" w:hAnsi="Calibri" w:cs="Calibri"/>
                  </w:rPr>
                </w:pPr>
                <w:r>
                  <w:rPr>
                    <w:rFonts w:ascii="Calibri" w:eastAsia="Calibri" w:hAnsi="Calibri" w:cs="Calibri"/>
                  </w:rPr>
                  <w:t xml:space="preserve">Dr Bonny Ling, Executive Director </w:t>
                </w:r>
                <w:hyperlink r:id="rId14">
                  <w:r w:rsidR="00501A88">
                    <w:rPr>
                      <w:rFonts w:ascii="Calibri" w:eastAsia="Calibri" w:hAnsi="Calibri" w:cs="Calibri"/>
                      <w:i/>
                      <w:color w:val="1155CC"/>
                      <w:u w:val="single"/>
                    </w:rPr>
                    <w:t>bonny.ling@wbi.org.uk</w:t>
                  </w:r>
                </w:hyperlink>
                <w:hyperlink r:id="rId15">
                  <w:r w:rsidR="00501A88">
                    <w:rPr>
                      <w:rFonts w:ascii="Calibri" w:eastAsia="Calibri" w:hAnsi="Calibri" w:cs="Calibri"/>
                      <w:color w:val="0000FF"/>
                    </w:rPr>
                    <w:t xml:space="preserve"> </w:t>
                  </w:r>
                </w:hyperlink>
                <w:r>
                  <w:rPr>
                    <w:rFonts w:ascii="Calibri" w:eastAsia="Calibri" w:hAnsi="Calibri" w:cs="Calibri"/>
                  </w:rPr>
                  <w:t xml:space="preserve"> </w:t>
                </w:r>
              </w:p>
              <w:p w14:paraId="05D7CCE6" w14:textId="77777777" w:rsidR="00501A88" w:rsidRDefault="00501A88">
                <w:pPr>
                  <w:widowControl w:val="0"/>
                  <w:ind w:left="720"/>
                  <w:rPr>
                    <w:rFonts w:ascii="Calibri" w:eastAsia="Calibri" w:hAnsi="Calibri" w:cs="Calibri"/>
                  </w:rPr>
                </w:pPr>
              </w:p>
              <w:p w14:paraId="42DC5079" w14:textId="77777777" w:rsidR="00501A88" w:rsidRDefault="00000000">
                <w:pPr>
                  <w:widowControl w:val="0"/>
                  <w:numPr>
                    <w:ilvl w:val="0"/>
                    <w:numId w:val="5"/>
                  </w:numPr>
                  <w:rPr>
                    <w:rFonts w:ascii="Calibri" w:eastAsia="Calibri" w:hAnsi="Calibri" w:cs="Calibri"/>
                  </w:rPr>
                </w:pPr>
                <w:r>
                  <w:rPr>
                    <w:rFonts w:ascii="Calibri" w:eastAsia="Calibri" w:hAnsi="Calibri" w:cs="Calibri"/>
                  </w:rPr>
                  <w:t xml:space="preserve">Ms Anita David, Director of Community Engagement     </w:t>
                </w:r>
                <w:r>
                  <w:rPr>
                    <w:rFonts w:ascii="Calibri" w:eastAsia="Calibri" w:hAnsi="Calibri" w:cs="Calibri"/>
                  </w:rPr>
                  <w:br/>
                </w:r>
                <w:r>
                  <w:rPr>
                    <w:rFonts w:ascii="Calibri" w:eastAsia="Calibri" w:hAnsi="Calibri" w:cs="Calibri"/>
                    <w:i/>
                    <w:color w:val="1155CC"/>
                    <w:u w:val="single"/>
                  </w:rPr>
                  <w:t>anita.david@wbi.org.uk</w:t>
                </w:r>
              </w:p>
            </w:tc>
            <w:tc>
              <w:tcPr>
                <w:tcW w:w="4532" w:type="dxa"/>
                <w:shd w:val="clear" w:color="auto" w:fill="F3F3F3"/>
                <w:tcMar>
                  <w:top w:w="100" w:type="dxa"/>
                  <w:left w:w="100" w:type="dxa"/>
                  <w:bottom w:w="100" w:type="dxa"/>
                  <w:right w:w="100" w:type="dxa"/>
                </w:tcMar>
              </w:tcPr>
              <w:p w14:paraId="1907FF49" w14:textId="77777777" w:rsidR="00501A88" w:rsidRDefault="00000000">
                <w:pPr>
                  <w:widowControl w:val="0"/>
                  <w:numPr>
                    <w:ilvl w:val="0"/>
                    <w:numId w:val="5"/>
                  </w:numPr>
                  <w:rPr>
                    <w:rFonts w:ascii="Arial" w:eastAsia="Arial" w:hAnsi="Arial" w:cs="Arial"/>
                    <w:b/>
                  </w:rPr>
                </w:pPr>
                <w:r>
                  <w:rPr>
                    <w:rFonts w:ascii="Calibri" w:eastAsia="Calibri" w:hAnsi="Calibri" w:cs="Calibri"/>
                  </w:rPr>
                  <w:t xml:space="preserve">Ms Mariko Hayashi, Executive Director </w:t>
                </w:r>
                <w:hyperlink r:id="rId16">
                  <w:r w:rsidR="00501A88">
                    <w:rPr>
                      <w:rFonts w:ascii="Calibri" w:eastAsia="Calibri" w:hAnsi="Calibri" w:cs="Calibri"/>
                      <w:i/>
                      <w:color w:val="1155CC"/>
                      <w:u w:val="single"/>
                    </w:rPr>
                    <w:t>mariko@seeac.org.uk</w:t>
                  </w:r>
                </w:hyperlink>
              </w:p>
              <w:p w14:paraId="62D95860" w14:textId="77777777" w:rsidR="00501A88" w:rsidRDefault="00501A88">
                <w:pPr>
                  <w:widowControl w:val="0"/>
                  <w:rPr>
                    <w:rFonts w:ascii="Calibri" w:eastAsia="Calibri" w:hAnsi="Calibri" w:cs="Calibri"/>
                    <w:i/>
                    <w:color w:val="1155CC"/>
                    <w:u w:val="single"/>
                  </w:rPr>
                </w:pPr>
              </w:p>
              <w:p w14:paraId="4720584E" w14:textId="77777777" w:rsidR="00501A88" w:rsidRDefault="00000000">
                <w:pPr>
                  <w:widowControl w:val="0"/>
                  <w:numPr>
                    <w:ilvl w:val="0"/>
                    <w:numId w:val="5"/>
                  </w:numPr>
                  <w:rPr>
                    <w:rFonts w:ascii="Arial" w:eastAsia="Arial" w:hAnsi="Arial" w:cs="Arial"/>
                    <w:b/>
                  </w:rPr>
                </w:pPr>
                <w:r>
                  <w:rPr>
                    <w:rFonts w:ascii="Calibri" w:eastAsia="Calibri" w:hAnsi="Calibri" w:cs="Calibri"/>
                  </w:rPr>
                  <w:t xml:space="preserve">Dr Nova Fransisca Silitonga, Deputy Executive Director / Programme Manager </w:t>
                </w:r>
                <w:hyperlink r:id="rId17">
                  <w:r w:rsidR="00501A88">
                    <w:rPr>
                      <w:rFonts w:ascii="Calibri" w:eastAsia="Calibri" w:hAnsi="Calibri" w:cs="Calibri"/>
                      <w:i/>
                      <w:color w:val="1155CC"/>
                      <w:u w:val="single"/>
                    </w:rPr>
                    <w:t>nova@seeac.org.uk</w:t>
                  </w:r>
                </w:hyperlink>
              </w:p>
            </w:tc>
          </w:tr>
        </w:tbl>
      </w:sdtContent>
    </w:sdt>
    <w:p w14:paraId="7938859F" w14:textId="77777777" w:rsidR="00501A88" w:rsidRDefault="00000000" w:rsidP="00C0069F">
      <w:pPr>
        <w:pStyle w:val="Heading1"/>
        <w:spacing w:before="0" w:after="0"/>
        <w:rPr>
          <w:rFonts w:ascii="Calibri" w:eastAsia="Calibri" w:hAnsi="Calibri" w:cs="Calibri"/>
          <w:b/>
          <w:bCs/>
          <w:color w:val="FF5C39"/>
          <w:sz w:val="24"/>
          <w:szCs w:val="24"/>
        </w:rPr>
      </w:pPr>
      <w:bookmarkStart w:id="0" w:name="_heading=h.lqivhsayxq4f" w:colFirst="0" w:colLast="0"/>
      <w:bookmarkEnd w:id="0"/>
      <w:r w:rsidRPr="00C0069F">
        <w:rPr>
          <w:rFonts w:ascii="Calibri" w:eastAsia="Calibri" w:hAnsi="Calibri" w:cs="Calibri"/>
          <w:b/>
          <w:bCs/>
          <w:color w:val="FF5C39"/>
          <w:sz w:val="24"/>
          <w:szCs w:val="24"/>
        </w:rPr>
        <w:lastRenderedPageBreak/>
        <w:t>Introduction</w:t>
      </w:r>
    </w:p>
    <w:p w14:paraId="0337C414" w14:textId="77777777" w:rsidR="00C0069F" w:rsidRPr="00C0069F" w:rsidRDefault="00C0069F" w:rsidP="00C0069F">
      <w:pPr>
        <w:rPr>
          <w:rFonts w:eastAsia="Calibri"/>
        </w:rPr>
      </w:pPr>
    </w:p>
    <w:p w14:paraId="086B0B7E" w14:textId="77777777" w:rsidR="00501A88" w:rsidRDefault="00000000">
      <w:pPr>
        <w:widowControl w:val="0"/>
        <w:numPr>
          <w:ilvl w:val="0"/>
          <w:numId w:val="4"/>
        </w:numPr>
        <w:pBdr>
          <w:top w:val="nil"/>
          <w:left w:val="nil"/>
          <w:bottom w:val="nil"/>
          <w:right w:val="nil"/>
          <w:between w:val="nil"/>
        </w:pBdr>
        <w:spacing w:after="200"/>
        <w:rPr>
          <w:rFonts w:ascii="Calibri" w:eastAsia="Calibri" w:hAnsi="Calibri" w:cs="Calibri"/>
          <w:color w:val="000000"/>
        </w:rPr>
      </w:pPr>
      <w:r>
        <w:rPr>
          <w:rFonts w:ascii="Calibri" w:eastAsia="Calibri" w:hAnsi="Calibri" w:cs="Calibri"/>
          <w:color w:val="000000"/>
        </w:rPr>
        <w:t>This is a joint submission by Work Bette</w:t>
      </w:r>
      <w:r>
        <w:rPr>
          <w:rFonts w:ascii="Calibri" w:eastAsia="Calibri" w:hAnsi="Calibri" w:cs="Calibri"/>
        </w:rPr>
        <w:t>r</w:t>
      </w:r>
      <w:r>
        <w:rPr>
          <w:rFonts w:ascii="Calibri" w:eastAsia="Calibri" w:hAnsi="Calibri" w:cs="Calibri"/>
          <w:color w:val="000000"/>
        </w:rPr>
        <w:t xml:space="preserve"> Innovations (WBI) and the </w:t>
      </w:r>
      <w:r>
        <w:rPr>
          <w:rFonts w:ascii="Calibri" w:eastAsia="Calibri" w:hAnsi="Calibri" w:cs="Calibri"/>
        </w:rPr>
        <w:t>Southeast and East Asian Centre (</w:t>
      </w:r>
      <w:r>
        <w:rPr>
          <w:rFonts w:ascii="Calibri" w:eastAsia="Calibri" w:hAnsi="Calibri" w:cs="Calibri"/>
          <w:color w:val="000000"/>
        </w:rPr>
        <w:t>SEEAC</w:t>
      </w:r>
      <w:r>
        <w:rPr>
          <w:rFonts w:ascii="Calibri" w:eastAsia="Calibri" w:hAnsi="Calibri" w:cs="Calibri"/>
        </w:rPr>
        <w:t xml:space="preserve">) </w:t>
      </w:r>
      <w:r>
        <w:rPr>
          <w:rFonts w:ascii="Calibri" w:eastAsia="Calibri" w:hAnsi="Calibri" w:cs="Calibri"/>
          <w:color w:val="000000"/>
        </w:rPr>
        <w:t>in advance of the session dialogues of the 7</w:t>
      </w:r>
      <w:r>
        <w:rPr>
          <w:rFonts w:ascii="Calibri" w:eastAsia="Calibri" w:hAnsi="Calibri" w:cs="Calibri"/>
        </w:rPr>
        <w:t>7</w:t>
      </w:r>
      <w:r>
        <w:rPr>
          <w:rFonts w:ascii="Calibri" w:eastAsia="Calibri" w:hAnsi="Calibri" w:cs="Calibri"/>
          <w:color w:val="000000"/>
          <w:vertAlign w:val="superscript"/>
        </w:rPr>
        <w:t>th</w:t>
      </w:r>
      <w:r>
        <w:rPr>
          <w:rFonts w:ascii="Calibri" w:eastAsia="Calibri" w:hAnsi="Calibri" w:cs="Calibri"/>
          <w:color w:val="000000"/>
        </w:rPr>
        <w:t xml:space="preserve"> Session of the Committee on Economic, Social and Cultural Rights (CESCR) concerning the Committee’s 7</w:t>
      </w:r>
      <w:r>
        <w:rPr>
          <w:rFonts w:ascii="Calibri" w:eastAsia="Calibri" w:hAnsi="Calibri" w:cs="Calibri"/>
          <w:color w:val="000000"/>
          <w:vertAlign w:val="superscript"/>
        </w:rPr>
        <w:t>th</w:t>
      </w:r>
      <w:r>
        <w:rPr>
          <w:rFonts w:ascii="Calibri" w:eastAsia="Calibri" w:hAnsi="Calibri" w:cs="Calibri"/>
          <w:color w:val="000000"/>
        </w:rPr>
        <w:t xml:space="preserve"> review of United Kingdom of Great Britain and Northern Ireland’s implementation progress of the International Covenant on Economic, Social and Cultural Rights (ICESCR). Our joint report focuses on state obligations to ensure </w:t>
      </w:r>
      <w:r>
        <w:rPr>
          <w:rFonts w:ascii="Calibri" w:eastAsia="Calibri" w:hAnsi="Calibri" w:cs="Calibri"/>
        </w:rPr>
        <w:t xml:space="preserve">the </w:t>
      </w:r>
      <w:r>
        <w:rPr>
          <w:rFonts w:ascii="Calibri" w:eastAsia="Calibri" w:hAnsi="Calibri" w:cs="Calibri"/>
          <w:color w:val="000000"/>
        </w:rPr>
        <w:t xml:space="preserve">enjoyment of economic, social and cultural (ESC) rights by all in the </w:t>
      </w:r>
      <w:r>
        <w:rPr>
          <w:rFonts w:ascii="Calibri" w:eastAsia="Calibri" w:hAnsi="Calibri" w:cs="Calibri"/>
          <w:b/>
          <w:color w:val="000000"/>
        </w:rPr>
        <w:t>context of business activities</w:t>
      </w:r>
      <w:r>
        <w:rPr>
          <w:rFonts w:ascii="Calibri" w:eastAsia="Calibri" w:hAnsi="Calibri" w:cs="Calibri"/>
          <w:color w:val="000000"/>
        </w:rPr>
        <w:t xml:space="preserve"> and the duty of non-discrimination (</w:t>
      </w:r>
      <w:r>
        <w:rPr>
          <w:rFonts w:ascii="Calibri" w:eastAsia="Calibri" w:hAnsi="Calibri" w:cs="Calibri"/>
        </w:rPr>
        <w:t>a</w:t>
      </w:r>
      <w:r>
        <w:rPr>
          <w:rFonts w:ascii="Calibri" w:eastAsia="Calibri" w:hAnsi="Calibri" w:cs="Calibri"/>
          <w:color w:val="000000"/>
        </w:rPr>
        <w:t>rt. 2 (2)) to ensure that individuals are not discriminated against in the enjoyment of the</w:t>
      </w:r>
      <w:r>
        <w:rPr>
          <w:rFonts w:ascii="Calibri" w:eastAsia="Calibri" w:hAnsi="Calibri" w:cs="Calibri"/>
        </w:rPr>
        <w:t xml:space="preserve"> </w:t>
      </w:r>
      <w:r>
        <w:rPr>
          <w:rFonts w:ascii="Calibri" w:eastAsia="Calibri" w:hAnsi="Calibri" w:cs="Calibri"/>
          <w:b/>
          <w:color w:val="000000"/>
        </w:rPr>
        <w:t>right to just and favourable conditions of work</w:t>
      </w:r>
      <w:r>
        <w:rPr>
          <w:rFonts w:ascii="Calibri" w:eastAsia="Calibri" w:hAnsi="Calibri" w:cs="Calibri"/>
          <w:color w:val="000000"/>
        </w:rPr>
        <w:t xml:space="preserve"> (art</w:t>
      </w:r>
      <w:r>
        <w:rPr>
          <w:rFonts w:ascii="Calibri" w:eastAsia="Calibri" w:hAnsi="Calibri" w:cs="Calibri"/>
        </w:rPr>
        <w:t>.</w:t>
      </w:r>
      <w:r>
        <w:rPr>
          <w:rFonts w:ascii="Calibri" w:eastAsia="Calibri" w:hAnsi="Calibri" w:cs="Calibri"/>
          <w:color w:val="000000"/>
        </w:rPr>
        <w:t xml:space="preserve"> 7), and the </w:t>
      </w:r>
      <w:r>
        <w:rPr>
          <w:rFonts w:ascii="Calibri" w:eastAsia="Calibri" w:hAnsi="Calibri" w:cs="Calibri"/>
          <w:b/>
          <w:color w:val="000000"/>
        </w:rPr>
        <w:t>right to physical and mental health</w:t>
      </w:r>
      <w:r>
        <w:rPr>
          <w:rFonts w:ascii="Calibri" w:eastAsia="Calibri" w:hAnsi="Calibri" w:cs="Calibri"/>
          <w:color w:val="000000"/>
        </w:rPr>
        <w:t xml:space="preserve"> (art. 12).</w:t>
      </w:r>
    </w:p>
    <w:p w14:paraId="0DA49574" w14:textId="77777777" w:rsidR="00501A88" w:rsidRDefault="00000000">
      <w:pPr>
        <w:widowControl w:val="0"/>
        <w:numPr>
          <w:ilvl w:val="0"/>
          <w:numId w:val="4"/>
        </w:numPr>
        <w:pBdr>
          <w:top w:val="nil"/>
          <w:left w:val="nil"/>
          <w:bottom w:val="nil"/>
          <w:right w:val="nil"/>
          <w:between w:val="nil"/>
        </w:pBdr>
        <w:spacing w:after="200"/>
        <w:rPr>
          <w:color w:val="000000"/>
        </w:rPr>
      </w:pPr>
      <w:r>
        <w:rPr>
          <w:rFonts w:ascii="Calibri" w:eastAsia="Calibri" w:hAnsi="Calibri" w:cs="Calibri"/>
          <w:color w:val="000000"/>
        </w:rPr>
        <w:t xml:space="preserve">We include in our reporting information obtained from our community service, research and advisories on international standards and best practices on corporate responsibility to respect, as well as information from open public sources, to present the situation of the treatment of refugees, asylum-seekers and migrant workers and their enjoyment of ESC rights. The Committee raised </w:t>
      </w:r>
      <w:r>
        <w:rPr>
          <w:rFonts w:ascii="Calibri" w:eastAsia="Calibri" w:hAnsi="Calibri" w:cs="Calibri"/>
        </w:rPr>
        <w:t>questions</w:t>
      </w:r>
      <w:r>
        <w:rPr>
          <w:rFonts w:ascii="Calibri" w:eastAsia="Calibri" w:hAnsi="Calibri" w:cs="Calibri"/>
          <w:color w:val="000000"/>
        </w:rPr>
        <w:t xml:space="preserve"> concerning their treatment in paras. 10 and 20 of the List of Issues for the Government on the challenges faced by refugees, asylum-seekers and migrant workers in the UK. </w:t>
      </w:r>
    </w:p>
    <w:p w14:paraId="7E062AD9" w14:textId="77777777" w:rsidR="00501A88" w:rsidRDefault="00000000" w:rsidP="00C0069F">
      <w:pPr>
        <w:widowControl w:val="0"/>
        <w:numPr>
          <w:ilvl w:val="0"/>
          <w:numId w:val="4"/>
        </w:numPr>
        <w:pBdr>
          <w:top w:val="nil"/>
          <w:left w:val="nil"/>
          <w:bottom w:val="nil"/>
          <w:right w:val="nil"/>
          <w:between w:val="nil"/>
        </w:pBdr>
        <w:rPr>
          <w:color w:val="000000"/>
        </w:rPr>
      </w:pPr>
      <w:r>
        <w:rPr>
          <w:rFonts w:ascii="Calibri" w:eastAsia="Calibri" w:hAnsi="Calibri" w:cs="Calibri"/>
          <w:color w:val="000000"/>
        </w:rPr>
        <w:t xml:space="preserve">This civil society submission includes information for the </w:t>
      </w:r>
      <w:r>
        <w:rPr>
          <w:rFonts w:ascii="Calibri" w:eastAsia="Calibri" w:hAnsi="Calibri" w:cs="Calibri"/>
        </w:rPr>
        <w:t>C</w:t>
      </w:r>
      <w:r>
        <w:rPr>
          <w:rFonts w:ascii="Calibri" w:eastAsia="Calibri" w:hAnsi="Calibri" w:cs="Calibri"/>
          <w:color w:val="000000"/>
        </w:rPr>
        <w:t>ommittee’s consideration for the adoption of the Concluding Observations in February 2025. The period covers information gathered since the Government’s 6</w:t>
      </w:r>
      <w:r>
        <w:rPr>
          <w:rFonts w:ascii="Calibri" w:eastAsia="Calibri" w:hAnsi="Calibri" w:cs="Calibri"/>
          <w:color w:val="000000"/>
          <w:vertAlign w:val="superscript"/>
        </w:rPr>
        <w:t>th</w:t>
      </w:r>
      <w:r>
        <w:rPr>
          <w:rFonts w:ascii="Calibri" w:eastAsia="Calibri" w:hAnsi="Calibri" w:cs="Calibri"/>
          <w:color w:val="000000"/>
        </w:rPr>
        <w:t xml:space="preserve"> review in 2016 concerning treaty implementation of the ICESCR, notably during and after the pandemic years of 2020-2023. </w:t>
      </w:r>
      <w:r>
        <w:rPr>
          <w:rFonts w:ascii="Calibri" w:eastAsia="Calibri" w:hAnsi="Calibri" w:cs="Calibri"/>
          <w:b/>
          <w:color w:val="000000"/>
        </w:rPr>
        <w:t>We believe the issues of state obligations under the ICESCR in the context of business, the right to</w:t>
      </w:r>
      <w:r>
        <w:rPr>
          <w:rFonts w:ascii="Calibri" w:eastAsia="Calibri" w:hAnsi="Calibri" w:cs="Calibri"/>
          <w:b/>
        </w:rPr>
        <w:t xml:space="preserve"> </w:t>
      </w:r>
      <w:r>
        <w:rPr>
          <w:rFonts w:ascii="Calibri" w:eastAsia="Calibri" w:hAnsi="Calibri" w:cs="Calibri"/>
          <w:b/>
          <w:color w:val="000000"/>
        </w:rPr>
        <w:t>just and favourable conditions of work (art</w:t>
      </w:r>
      <w:r>
        <w:rPr>
          <w:rFonts w:ascii="Calibri" w:eastAsia="Calibri" w:hAnsi="Calibri" w:cs="Calibri"/>
          <w:b/>
        </w:rPr>
        <w:t>.</w:t>
      </w:r>
      <w:r>
        <w:rPr>
          <w:rFonts w:ascii="Calibri" w:eastAsia="Calibri" w:hAnsi="Calibri" w:cs="Calibri"/>
          <w:b/>
          <w:color w:val="000000"/>
        </w:rPr>
        <w:t xml:space="preserve"> 7)</w:t>
      </w:r>
      <w:r>
        <w:rPr>
          <w:rFonts w:ascii="Calibri" w:eastAsia="Calibri" w:hAnsi="Calibri" w:cs="Calibri"/>
          <w:b/>
        </w:rPr>
        <w:t>,</w:t>
      </w:r>
      <w:r>
        <w:rPr>
          <w:rFonts w:ascii="Calibri" w:eastAsia="Calibri" w:hAnsi="Calibri" w:cs="Calibri"/>
          <w:b/>
          <w:color w:val="000000"/>
        </w:rPr>
        <w:t xml:space="preserve"> and the right to physical and mental health (art. 12) were not sufficiently addressed, </w:t>
      </w:r>
      <w:r>
        <w:rPr>
          <w:rFonts w:ascii="Calibri" w:eastAsia="Calibri" w:hAnsi="Calibri" w:cs="Calibri"/>
          <w:b/>
          <w:i/>
          <w:color w:val="000000"/>
        </w:rPr>
        <w:t>inter alia</w:t>
      </w:r>
      <w:r>
        <w:rPr>
          <w:rFonts w:ascii="Calibri" w:eastAsia="Calibri" w:hAnsi="Calibri" w:cs="Calibri"/>
          <w:b/>
          <w:color w:val="000000"/>
        </w:rPr>
        <w:t>, in the Government’s Reply to List of Issues and must form a key part of the Committee’s Concluding Observation for the Government to implement before the next ICESCR review.</w:t>
      </w:r>
      <w:r>
        <w:rPr>
          <w:rFonts w:ascii="Calibri" w:eastAsia="Calibri" w:hAnsi="Calibri" w:cs="Calibri"/>
          <w:color w:val="000000"/>
        </w:rPr>
        <w:t xml:space="preserve"> </w:t>
      </w:r>
    </w:p>
    <w:p w14:paraId="4DA6D160" w14:textId="77777777" w:rsidR="00501A88" w:rsidRPr="00C0069F" w:rsidRDefault="00501A88" w:rsidP="00C0069F">
      <w:pPr>
        <w:pStyle w:val="Heading1"/>
        <w:widowControl w:val="0"/>
        <w:spacing w:before="0" w:after="0"/>
        <w:rPr>
          <w:rFonts w:ascii="Calibri" w:eastAsia="Calibri" w:hAnsi="Calibri" w:cs="Calibri"/>
          <w:b/>
          <w:bCs/>
          <w:color w:val="FF5C39"/>
          <w:sz w:val="24"/>
          <w:szCs w:val="24"/>
        </w:rPr>
      </w:pPr>
      <w:bookmarkStart w:id="1" w:name="_heading=h.f3rr0kjr3j88" w:colFirst="0" w:colLast="0"/>
      <w:bookmarkEnd w:id="1"/>
    </w:p>
    <w:p w14:paraId="13BB242C" w14:textId="77777777" w:rsidR="00501A88" w:rsidRDefault="00000000" w:rsidP="00C0069F">
      <w:pPr>
        <w:pStyle w:val="Heading1"/>
        <w:widowControl w:val="0"/>
        <w:spacing w:before="0" w:after="0"/>
        <w:rPr>
          <w:rFonts w:ascii="Calibri" w:eastAsia="Calibri" w:hAnsi="Calibri" w:cs="Calibri"/>
          <w:b/>
          <w:bCs/>
          <w:color w:val="FF5C39"/>
          <w:sz w:val="24"/>
          <w:szCs w:val="24"/>
        </w:rPr>
      </w:pPr>
      <w:bookmarkStart w:id="2" w:name="_heading=h.2dhkggu2k9k0" w:colFirst="0" w:colLast="0"/>
      <w:bookmarkEnd w:id="2"/>
      <w:r w:rsidRPr="00C0069F">
        <w:rPr>
          <w:rFonts w:ascii="Calibri" w:eastAsia="Calibri" w:hAnsi="Calibri" w:cs="Calibri"/>
          <w:b/>
          <w:bCs/>
          <w:color w:val="FF5C39"/>
          <w:sz w:val="24"/>
          <w:szCs w:val="24"/>
        </w:rPr>
        <w:t xml:space="preserve">State Obligations to Ensure Enjoyment of ESC Rights in the Context of Business Activities (General Comment No. 24) </w:t>
      </w:r>
    </w:p>
    <w:p w14:paraId="0CBAE89F" w14:textId="77777777" w:rsidR="00C0069F" w:rsidRPr="00C0069F" w:rsidRDefault="00C0069F" w:rsidP="00C0069F">
      <w:pPr>
        <w:rPr>
          <w:rFonts w:eastAsia="Calibri"/>
        </w:rPr>
      </w:pPr>
    </w:p>
    <w:p w14:paraId="0D676CBA" w14:textId="77777777" w:rsidR="00501A88" w:rsidRDefault="00000000">
      <w:pPr>
        <w:widowControl w:val="0"/>
        <w:numPr>
          <w:ilvl w:val="0"/>
          <w:numId w:val="4"/>
        </w:numPr>
        <w:pBdr>
          <w:top w:val="nil"/>
          <w:left w:val="nil"/>
          <w:bottom w:val="nil"/>
          <w:right w:val="nil"/>
          <w:between w:val="nil"/>
        </w:pBdr>
        <w:spacing w:after="200"/>
        <w:rPr>
          <w:rFonts w:ascii="Calibri" w:eastAsia="Calibri" w:hAnsi="Calibri" w:cs="Calibri"/>
          <w:color w:val="000000"/>
        </w:rPr>
      </w:pPr>
      <w:r>
        <w:rPr>
          <w:rFonts w:ascii="Calibri" w:eastAsia="Calibri" w:hAnsi="Calibri" w:cs="Calibri"/>
          <w:color w:val="000000"/>
        </w:rPr>
        <w:t xml:space="preserve">In the List of Issues, the Committee requested that the Government provide information on the following concerning its duties to ensure the enjoyment of ESC rights, without discrimination, by all in a business context: </w:t>
      </w:r>
      <w:r>
        <w:rPr>
          <w:rFonts w:ascii="Calibri" w:eastAsia="Calibri" w:hAnsi="Calibri" w:cs="Calibri"/>
          <w:b/>
          <w:color w:val="000000"/>
        </w:rPr>
        <w:t>(a)</w:t>
      </w:r>
      <w:r>
        <w:rPr>
          <w:rFonts w:ascii="Calibri" w:eastAsia="Calibri" w:hAnsi="Calibri" w:cs="Calibri"/>
          <w:color w:val="000000"/>
        </w:rPr>
        <w:t xml:space="preserve"> implementation results of the 2016 National Action Plan on Business and Human Rights; </w:t>
      </w:r>
      <w:r>
        <w:rPr>
          <w:rFonts w:ascii="Calibri" w:eastAsia="Calibri" w:hAnsi="Calibri" w:cs="Calibri"/>
          <w:b/>
          <w:color w:val="000000"/>
        </w:rPr>
        <w:t xml:space="preserve">(b) </w:t>
      </w:r>
      <w:r>
        <w:rPr>
          <w:rFonts w:ascii="Calibri" w:eastAsia="Calibri" w:hAnsi="Calibri" w:cs="Calibri"/>
          <w:color w:val="000000"/>
        </w:rPr>
        <w:t xml:space="preserve">compliance mechanisms and enforcement means to ensure ESC rights and the exercise of </w:t>
      </w:r>
      <w:r>
        <w:rPr>
          <w:rFonts w:ascii="Calibri" w:eastAsia="Calibri" w:hAnsi="Calibri" w:cs="Calibri"/>
          <w:b/>
          <w:color w:val="000000"/>
        </w:rPr>
        <w:t>human rights due diligence</w:t>
      </w:r>
      <w:r>
        <w:rPr>
          <w:rFonts w:ascii="Calibri" w:eastAsia="Calibri" w:hAnsi="Calibri" w:cs="Calibri"/>
          <w:color w:val="000000"/>
        </w:rPr>
        <w:t xml:space="preserve"> (HRDD) in extraterritorial business operations and supply chains, with a focus on chemical manufacturing and extractives; and </w:t>
      </w:r>
      <w:r>
        <w:rPr>
          <w:rFonts w:ascii="Calibri" w:eastAsia="Calibri" w:hAnsi="Calibri" w:cs="Calibri"/>
          <w:b/>
          <w:color w:val="000000"/>
        </w:rPr>
        <w:t xml:space="preserve">(c) </w:t>
      </w:r>
      <w:r>
        <w:rPr>
          <w:rFonts w:ascii="Calibri" w:eastAsia="Calibri" w:hAnsi="Calibri" w:cs="Calibri"/>
          <w:color w:val="000000"/>
        </w:rPr>
        <w:t>legislative and administrative measures to ensure the legal liability of companies and effective remedies for human rights violations committed abroad by corporations domiciled under UK jurisdiction; to this effect, the Government was asked to provide concrete examples of enforcement mechanisms and remedial actions.</w:t>
      </w:r>
      <w:r>
        <w:rPr>
          <w:rFonts w:ascii="Calibri" w:eastAsia="Calibri" w:hAnsi="Calibri" w:cs="Calibri"/>
          <w:color w:val="000000"/>
          <w:vertAlign w:val="superscript"/>
        </w:rPr>
        <w:footnoteReference w:id="1"/>
      </w:r>
      <w:r>
        <w:rPr>
          <w:rFonts w:ascii="Calibri" w:eastAsia="Calibri" w:hAnsi="Calibri" w:cs="Calibri"/>
          <w:color w:val="000000"/>
        </w:rPr>
        <w:t xml:space="preserve"> </w:t>
      </w:r>
    </w:p>
    <w:p w14:paraId="53C2CCA6" w14:textId="0D99F38C" w:rsidR="00501A88" w:rsidRDefault="00000000">
      <w:pPr>
        <w:widowControl w:val="0"/>
        <w:numPr>
          <w:ilvl w:val="0"/>
          <w:numId w:val="4"/>
        </w:numPr>
        <w:pBdr>
          <w:top w:val="nil"/>
          <w:left w:val="nil"/>
          <w:bottom w:val="nil"/>
          <w:right w:val="nil"/>
          <w:between w:val="nil"/>
        </w:pBdr>
        <w:spacing w:after="200"/>
        <w:rPr>
          <w:rFonts w:ascii="Calibri" w:eastAsia="Calibri" w:hAnsi="Calibri" w:cs="Calibri"/>
          <w:color w:val="000000"/>
        </w:rPr>
      </w:pPr>
      <w:r>
        <w:rPr>
          <w:rFonts w:ascii="Calibri" w:eastAsia="Calibri" w:hAnsi="Calibri" w:cs="Calibri"/>
        </w:rPr>
        <w:lastRenderedPageBreak/>
        <w:t>The Government, in its Reply to the List of Issues, underscored that the UK was the first State to produce a National Action Plan (NAP) on Business and Human Rights following the endorsement of the UN Guiding Principles on Business and Human Rights (UNGPs) by the UN Human Rights Council in 2011</w:t>
      </w:r>
      <w:r w:rsidR="00622EF2">
        <w:rPr>
          <w:rFonts w:ascii="Calibri" w:eastAsia="Calibri" w:hAnsi="Calibri" w:cs="Calibri"/>
        </w:rPr>
        <w:t xml:space="preserve">. </w:t>
      </w:r>
      <w:r>
        <w:rPr>
          <w:rFonts w:ascii="Calibri" w:eastAsia="Calibri" w:hAnsi="Calibri" w:cs="Calibri"/>
        </w:rPr>
        <w:t>The Government further notes that it continues to take part in international mechanisms to promote responsible business practices, such as the Organisation for Economic Co-operation and Development (OECD) Due Diligence Guidance for Responsible Mineral Supply Chains and other initiatives such as the Kimberley Process to eliminate conflict diamonds.</w:t>
      </w:r>
      <w:r>
        <w:rPr>
          <w:rFonts w:ascii="Calibri" w:eastAsia="Calibri" w:hAnsi="Calibri" w:cs="Calibri"/>
          <w:vertAlign w:val="superscript"/>
        </w:rPr>
        <w:footnoteReference w:id="2"/>
      </w:r>
      <w:r>
        <w:rPr>
          <w:rFonts w:ascii="Calibri" w:eastAsia="Calibri" w:hAnsi="Calibri" w:cs="Calibri"/>
        </w:rPr>
        <w:t xml:space="preserve"> </w:t>
      </w:r>
    </w:p>
    <w:p w14:paraId="7331D52B" w14:textId="77777777" w:rsidR="00501A88" w:rsidRDefault="00000000">
      <w:pPr>
        <w:widowControl w:val="0"/>
        <w:numPr>
          <w:ilvl w:val="0"/>
          <w:numId w:val="4"/>
        </w:numPr>
        <w:pBdr>
          <w:top w:val="nil"/>
          <w:left w:val="nil"/>
          <w:bottom w:val="nil"/>
          <w:right w:val="nil"/>
          <w:between w:val="nil"/>
        </w:pBdr>
        <w:spacing w:after="200"/>
      </w:pPr>
      <w:r>
        <w:rPr>
          <w:rFonts w:ascii="Calibri" w:eastAsia="Calibri" w:hAnsi="Calibri" w:cs="Calibri"/>
        </w:rPr>
        <w:t>While the UK took an early lead in expressing its commitment to implement the UNGPs through the development of a NAP on business and human rights in 2013, the last update of its NAP was in 2016. To date, there has been no clear commitment from the Government for the next envisaged NAP release. The most recent indication of progress towards a new NAP is the announcement of a government bid to produce a National Baseline Assessment for the Implementation of the UNGPs, reportedly planned to be delivered by September 2025.</w:t>
      </w:r>
      <w:r>
        <w:rPr>
          <w:rFonts w:ascii="Calibri" w:eastAsia="Calibri" w:hAnsi="Calibri" w:cs="Calibri"/>
          <w:vertAlign w:val="superscript"/>
        </w:rPr>
        <w:footnoteReference w:id="3"/>
      </w:r>
      <w:r>
        <w:rPr>
          <w:rFonts w:ascii="Calibri" w:eastAsia="Calibri" w:hAnsi="Calibri" w:cs="Calibri"/>
        </w:rPr>
        <w:t xml:space="preserve"> </w:t>
      </w:r>
    </w:p>
    <w:p w14:paraId="59CBBCCB" w14:textId="77777777" w:rsidR="00501A88" w:rsidRDefault="00000000">
      <w:pPr>
        <w:widowControl w:val="0"/>
        <w:numPr>
          <w:ilvl w:val="0"/>
          <w:numId w:val="4"/>
        </w:numPr>
        <w:spacing w:after="200"/>
      </w:pPr>
      <w:r>
        <w:rPr>
          <w:rFonts w:ascii="Calibri" w:eastAsia="Calibri" w:hAnsi="Calibri" w:cs="Calibri"/>
        </w:rPr>
        <w:t xml:space="preserve">It is unclear whether the NAP revision is a priority agenda item for the Government and how it would feature in its plans to boost the domestic economy, despite the importance of a NAP as a policy instrument to help the Government protect against human rights abuses by businesses and increase support for corporate responsibility on human rights. </w:t>
      </w:r>
    </w:p>
    <w:p w14:paraId="7816A06B" w14:textId="77777777" w:rsidR="00501A88" w:rsidRDefault="00000000">
      <w:pPr>
        <w:widowControl w:val="0"/>
        <w:numPr>
          <w:ilvl w:val="0"/>
          <w:numId w:val="4"/>
        </w:numPr>
        <w:spacing w:after="200"/>
      </w:pPr>
      <w:r>
        <w:rPr>
          <w:rFonts w:ascii="Calibri" w:eastAsia="Calibri" w:hAnsi="Calibri" w:cs="Calibri"/>
        </w:rPr>
        <w:t>The Government further affirms that it will continue to develop its approach to business and human rights in line with the UK Modern Slavery Act 2015, which, under Section 54 of the Act, requires commercial businesses with a turnover of more than GB£36 million to report annually on the steps they have taken to prevent modern slavery.</w:t>
      </w:r>
      <w:r>
        <w:rPr>
          <w:rFonts w:ascii="Calibri" w:eastAsia="Calibri" w:hAnsi="Calibri" w:cs="Calibri"/>
          <w:vertAlign w:val="superscript"/>
        </w:rPr>
        <w:footnoteReference w:id="4"/>
      </w:r>
      <w:r>
        <w:rPr>
          <w:rFonts w:ascii="Calibri" w:eastAsia="Calibri" w:hAnsi="Calibri" w:cs="Calibri"/>
        </w:rPr>
        <w:t xml:space="preserve"> Modern slavery is understood broadly as provisions related to offences such as slavery, servitude, forced or compulsory labour and human trafficking under Sections 1 to 4 of the Act.</w:t>
      </w:r>
    </w:p>
    <w:p w14:paraId="17151F8F" w14:textId="77777777" w:rsidR="00501A88" w:rsidRDefault="00000000">
      <w:pPr>
        <w:widowControl w:val="0"/>
        <w:numPr>
          <w:ilvl w:val="0"/>
          <w:numId w:val="4"/>
        </w:numPr>
        <w:spacing w:after="200"/>
      </w:pPr>
      <w:r>
        <w:rPr>
          <w:rFonts w:ascii="Calibri" w:eastAsia="Calibri" w:hAnsi="Calibri" w:cs="Calibri"/>
        </w:rPr>
        <w:t xml:space="preserve">While the Modern Slavery Act marked a significant development for the UK and the global movement for corporate responsibility by requiring this corporate disclosure, it lacks enforcement mechanisms. Besides reporting, it does not mandate certain obligations of due diligence for companies, such as actively and continuously identifying and addressing risks, with penalties for non-compliance. In contrast to developments in neighbouring jurisdictions where many have adopted mandatory law of HRDD, such as France’s Duty of Vigilance Law, Germany’s Supply Chain Due Diligence Act, Norway’s Transparency Act and the EU’s Corporate Sustainability Due Diligence Directive, there is no such equivalent mandatory HRDD framework for the UK. </w:t>
      </w:r>
    </w:p>
    <w:p w14:paraId="20688000" w14:textId="77777777" w:rsidR="00501A88" w:rsidRDefault="00000000">
      <w:pPr>
        <w:widowControl w:val="0"/>
        <w:numPr>
          <w:ilvl w:val="0"/>
          <w:numId w:val="4"/>
        </w:numPr>
        <w:spacing w:after="200"/>
      </w:pPr>
      <w:r>
        <w:rPr>
          <w:rFonts w:ascii="Calibri" w:eastAsia="Calibri" w:hAnsi="Calibri" w:cs="Calibri"/>
        </w:rPr>
        <w:t xml:space="preserve">While the Commercial Organisations and Public Authorities Duty (Human Rights and Environment) Bill was introduced in November 2023 in the House of Lords, which proposes a legal obligation for commercial organisations and public authorities to conduct human rights and environmental due diligence on their own operations, subsidiaries and value chains and publish these due diligence assessments, the Bill </w:t>
      </w:r>
      <w:r>
        <w:rPr>
          <w:rFonts w:ascii="Calibri" w:eastAsia="Calibri" w:hAnsi="Calibri" w:cs="Calibri"/>
        </w:rPr>
        <w:lastRenderedPageBreak/>
        <w:t>remains, to date, very early in its legislative journey and far removed from the final stage of adoption.</w:t>
      </w:r>
      <w:r>
        <w:rPr>
          <w:rFonts w:ascii="Calibri" w:eastAsia="Calibri" w:hAnsi="Calibri" w:cs="Calibri"/>
          <w:vertAlign w:val="superscript"/>
        </w:rPr>
        <w:footnoteReference w:id="5"/>
      </w:r>
      <w:r>
        <w:rPr>
          <w:rFonts w:ascii="Calibri" w:eastAsia="Calibri" w:hAnsi="Calibri" w:cs="Calibri"/>
        </w:rPr>
        <w:t xml:space="preserve"> </w:t>
      </w:r>
    </w:p>
    <w:p w14:paraId="64034BAD" w14:textId="4F96CD24" w:rsidR="00501A88" w:rsidRDefault="00000000">
      <w:pPr>
        <w:widowControl w:val="0"/>
        <w:numPr>
          <w:ilvl w:val="0"/>
          <w:numId w:val="4"/>
        </w:numPr>
        <w:spacing w:after="200"/>
      </w:pPr>
      <w:r>
        <w:rPr>
          <w:rFonts w:ascii="Calibri" w:eastAsia="Calibri" w:hAnsi="Calibri" w:cs="Calibri"/>
        </w:rPr>
        <w:t>Consistent with ICESCR’s General Comment No. 24 (2017)</w:t>
      </w:r>
      <w:r w:rsidR="00622EF2">
        <w:rPr>
          <w:rFonts w:ascii="Calibri" w:eastAsia="Calibri" w:hAnsi="Calibri" w:cs="Calibri"/>
        </w:rPr>
        <w:t>,</w:t>
      </w:r>
      <w:r>
        <w:rPr>
          <w:rFonts w:ascii="Calibri" w:eastAsia="Calibri" w:hAnsi="Calibri" w:cs="Calibri"/>
        </w:rPr>
        <w:t xml:space="preserve"> which affirms that the state duty to protect ESC rights entails a positive duty to adopt a legal framework requiring business entities to exercise human rights due diligence, we recommend for the Committee call on the UK to adopt measures, such as imposing due diligence requirements to prevent abuses of ESC rights in a business entity’s value chain and by subcontractors, suppliers, franchisees, or other business partners by the time of the Government’s 8th review under the ICESCR.</w:t>
      </w:r>
      <w:r>
        <w:rPr>
          <w:rFonts w:ascii="Calibri" w:eastAsia="Calibri" w:hAnsi="Calibri" w:cs="Calibri"/>
          <w:vertAlign w:val="superscript"/>
        </w:rPr>
        <w:footnoteReference w:id="6"/>
      </w:r>
    </w:p>
    <w:p w14:paraId="6D7B1738" w14:textId="77777777" w:rsidR="00501A88" w:rsidRDefault="00000000">
      <w:pPr>
        <w:widowControl w:val="0"/>
        <w:numPr>
          <w:ilvl w:val="0"/>
          <w:numId w:val="4"/>
        </w:numPr>
        <w:spacing w:after="200"/>
        <w:rPr>
          <w:b/>
          <w:color w:val="FF5C39"/>
        </w:rPr>
      </w:pPr>
      <w:r>
        <w:rPr>
          <w:rFonts w:ascii="Calibri" w:eastAsia="Calibri" w:hAnsi="Calibri" w:cs="Calibri"/>
          <w:b/>
          <w:color w:val="FF5C39"/>
        </w:rPr>
        <w:t>Recommendations</w:t>
      </w:r>
    </w:p>
    <w:tbl>
      <w:tblPr>
        <w:tblStyle w:val="a1"/>
        <w:tblW w:w="8685" w:type="dxa"/>
        <w:tblInd w:w="37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8685"/>
      </w:tblGrid>
      <w:tr w:rsidR="00501A88" w14:paraId="4B86A10D" w14:textId="77777777">
        <w:tc>
          <w:tcPr>
            <w:tcW w:w="8685" w:type="dxa"/>
            <w:shd w:val="clear" w:color="auto" w:fill="FFEDEA"/>
            <w:tcMar>
              <w:top w:w="100" w:type="dxa"/>
              <w:left w:w="100" w:type="dxa"/>
              <w:bottom w:w="100" w:type="dxa"/>
              <w:right w:w="100" w:type="dxa"/>
            </w:tcMar>
          </w:tcPr>
          <w:sdt>
            <w:sdtPr>
              <w:tag w:val="goog_rdk_2"/>
              <w:id w:val="-788510100"/>
              <w:lock w:val="contentLocked"/>
            </w:sdtPr>
            <w:sdtContent>
              <w:p w14:paraId="2636A459" w14:textId="77777777" w:rsidR="00501A88" w:rsidRDefault="00000000">
                <w:pPr>
                  <w:widowControl w:val="0"/>
                  <w:spacing w:after="200"/>
                  <w:ind w:left="283"/>
                  <w:rPr>
                    <w:rFonts w:ascii="Calibri" w:eastAsia="Calibri" w:hAnsi="Calibri" w:cs="Calibri"/>
                    <w:color w:val="FF5C39"/>
                  </w:rPr>
                </w:pPr>
                <w:r>
                  <w:rPr>
                    <w:rFonts w:ascii="Calibri" w:eastAsia="Calibri" w:hAnsi="Calibri" w:cs="Calibri"/>
                  </w:rPr>
                  <w:t>The Committee should call on the Government of the UK under ICESCR General Comment No. 24 on state obligations in the context of business activities to:</w:t>
                </w:r>
              </w:p>
              <w:p w14:paraId="194BBE7B" w14:textId="77777777" w:rsidR="00501A88" w:rsidRDefault="00000000">
                <w:pPr>
                  <w:widowControl w:val="0"/>
                  <w:numPr>
                    <w:ilvl w:val="0"/>
                    <w:numId w:val="3"/>
                  </w:numPr>
                  <w:spacing w:after="200"/>
                  <w:rPr>
                    <w:rFonts w:ascii="Calibri" w:eastAsia="Calibri" w:hAnsi="Calibri" w:cs="Calibri"/>
                  </w:rPr>
                </w:pPr>
                <w:r>
                  <w:rPr>
                    <w:rFonts w:ascii="Calibri" w:eastAsia="Calibri" w:hAnsi="Calibri" w:cs="Calibri"/>
                    <w:b/>
                  </w:rPr>
                  <w:t>Adopt legislation to require business enterprises to exercise human rights due diligence (HRDD) to identify, prevent, mitigate and account for their adverse human rights impacts in a business context, and that these measures are clearly aimed to prevent abuses of ESC rights in a business entity’s supply chain and by subcontractors, suppliers, franchisees or other business partners.</w:t>
                </w:r>
              </w:p>
              <w:p w14:paraId="09D7277D" w14:textId="77777777" w:rsidR="00501A88" w:rsidRDefault="00000000">
                <w:pPr>
                  <w:widowControl w:val="0"/>
                  <w:numPr>
                    <w:ilvl w:val="0"/>
                    <w:numId w:val="3"/>
                  </w:numPr>
                  <w:spacing w:after="200"/>
                  <w:rPr>
                    <w:rFonts w:ascii="Calibri" w:eastAsia="Calibri" w:hAnsi="Calibri" w:cs="Calibri"/>
                    <w:b/>
                  </w:rPr>
                </w:pPr>
                <w:r>
                  <w:rPr>
                    <w:rFonts w:ascii="Calibri" w:eastAsia="Calibri" w:hAnsi="Calibri" w:cs="Calibri"/>
                    <w:b/>
                  </w:rPr>
                  <w:t>Fully recognise that the UK Modern Slavery Act 2015 needs to be updated and strengthened to be fit-for-purpose to meet the growing global expectation of an ongoing process of HRDD; the Government cannot continue to rely on corporate reporting as the key pillar of its strategy to counter practices of modern slavery and must commit to a robust and well-resourced strategy–including imposing criminal or administrative sanctions and penalties–to prevent modern slavery.</w:t>
                </w:r>
              </w:p>
              <w:p w14:paraId="1E129FBC" w14:textId="77777777" w:rsidR="00501A88" w:rsidRDefault="00000000">
                <w:pPr>
                  <w:widowControl w:val="0"/>
                  <w:numPr>
                    <w:ilvl w:val="0"/>
                    <w:numId w:val="3"/>
                  </w:numPr>
                  <w:rPr>
                    <w:rFonts w:ascii="Calibri" w:eastAsia="Calibri" w:hAnsi="Calibri" w:cs="Calibri"/>
                    <w:b/>
                  </w:rPr>
                </w:pPr>
                <w:r>
                  <w:rPr>
                    <w:rFonts w:ascii="Calibri" w:eastAsia="Calibri" w:hAnsi="Calibri" w:cs="Calibri"/>
                    <w:b/>
                  </w:rPr>
                  <w:t>Fulfil the commitment to deliver a national baseline assessment for the implementation of the UNGPs by September 2025 and update the National Action Plan on Business and Human Rights for the UK with clear targets in accordance with the evaluation.</w:t>
                </w:r>
              </w:p>
            </w:sdtContent>
          </w:sdt>
        </w:tc>
      </w:tr>
    </w:tbl>
    <w:p w14:paraId="06DD3A94" w14:textId="77777777" w:rsidR="00501A88" w:rsidRPr="00696460" w:rsidRDefault="00501A88">
      <w:pPr>
        <w:tabs>
          <w:tab w:val="right" w:pos="851"/>
        </w:tabs>
        <w:rPr>
          <w:rFonts w:ascii="Calibri" w:hAnsi="Calibri" w:cs="Calibri"/>
        </w:rPr>
      </w:pPr>
    </w:p>
    <w:p w14:paraId="701D04D9" w14:textId="77777777" w:rsidR="00501A88" w:rsidRPr="00696460" w:rsidRDefault="00501A88" w:rsidP="00C0069F">
      <w:pPr>
        <w:tabs>
          <w:tab w:val="right" w:pos="851"/>
        </w:tabs>
        <w:rPr>
          <w:rFonts w:ascii="Calibri" w:hAnsi="Calibri" w:cs="Calibri"/>
          <w:b/>
          <w:bCs/>
        </w:rPr>
      </w:pPr>
    </w:p>
    <w:p w14:paraId="244FE4CE" w14:textId="77777777" w:rsidR="00501A88" w:rsidRDefault="00000000" w:rsidP="00C0069F">
      <w:pPr>
        <w:pStyle w:val="Heading1"/>
        <w:widowControl w:val="0"/>
        <w:tabs>
          <w:tab w:val="right" w:pos="851"/>
        </w:tabs>
        <w:spacing w:before="0" w:after="0"/>
        <w:ind w:right="1134"/>
        <w:rPr>
          <w:rFonts w:ascii="Calibri" w:eastAsia="Calibri" w:hAnsi="Calibri" w:cs="Calibri"/>
          <w:b/>
          <w:bCs/>
          <w:color w:val="FF5C39"/>
          <w:sz w:val="24"/>
          <w:szCs w:val="24"/>
        </w:rPr>
      </w:pPr>
      <w:bookmarkStart w:id="3" w:name="_heading=h.afz5mes6tpv2" w:colFirst="0" w:colLast="0"/>
      <w:bookmarkEnd w:id="3"/>
      <w:r w:rsidRPr="00C0069F">
        <w:rPr>
          <w:rFonts w:ascii="Calibri" w:eastAsia="Calibri" w:hAnsi="Calibri" w:cs="Calibri"/>
          <w:b/>
          <w:bCs/>
          <w:color w:val="FF5C39"/>
          <w:sz w:val="24"/>
          <w:szCs w:val="24"/>
        </w:rPr>
        <w:t>Right to Just and Favourable Conditions of Work (art. 7)</w:t>
      </w:r>
    </w:p>
    <w:p w14:paraId="296416E0" w14:textId="77777777" w:rsidR="00C0069F" w:rsidRPr="00696460" w:rsidRDefault="00C0069F" w:rsidP="00C0069F">
      <w:pPr>
        <w:rPr>
          <w:rFonts w:ascii="Calibri" w:eastAsia="Calibri" w:hAnsi="Calibri" w:cs="Calibri"/>
        </w:rPr>
      </w:pPr>
    </w:p>
    <w:p w14:paraId="280982F0" w14:textId="77777777" w:rsidR="00501A88" w:rsidRDefault="00000000">
      <w:pPr>
        <w:widowControl w:val="0"/>
        <w:numPr>
          <w:ilvl w:val="0"/>
          <w:numId w:val="4"/>
        </w:numPr>
        <w:spacing w:after="200"/>
        <w:rPr>
          <w:rFonts w:ascii="Calibri" w:eastAsia="Calibri" w:hAnsi="Calibri" w:cs="Calibri"/>
        </w:rPr>
      </w:pPr>
      <w:r>
        <w:rPr>
          <w:rFonts w:ascii="Calibri" w:eastAsia="Calibri" w:hAnsi="Calibri" w:cs="Calibri"/>
        </w:rPr>
        <w:t xml:space="preserve">In the List of Issues, under the Right to Just and Favourable Conditions of Work (art. 7), the Committee, </w:t>
      </w:r>
      <w:r>
        <w:rPr>
          <w:rFonts w:ascii="Calibri" w:eastAsia="Calibri" w:hAnsi="Calibri" w:cs="Calibri"/>
          <w:i/>
        </w:rPr>
        <w:t>inter alia</w:t>
      </w:r>
      <w:r>
        <w:rPr>
          <w:rFonts w:ascii="Calibri" w:eastAsia="Calibri" w:hAnsi="Calibri" w:cs="Calibri"/>
        </w:rPr>
        <w:t xml:space="preserve">, focuses on forced labour, including: </w:t>
      </w:r>
      <w:r>
        <w:rPr>
          <w:rFonts w:ascii="Calibri" w:eastAsia="Calibri" w:hAnsi="Calibri" w:cs="Calibri"/>
          <w:b/>
        </w:rPr>
        <w:t xml:space="preserve">(a) </w:t>
      </w:r>
      <w:r>
        <w:rPr>
          <w:rFonts w:ascii="Calibri" w:eastAsia="Calibri" w:hAnsi="Calibri" w:cs="Calibri"/>
        </w:rPr>
        <w:t>the</w:t>
      </w:r>
      <w:r>
        <w:rPr>
          <w:rFonts w:ascii="Calibri" w:eastAsia="Calibri" w:hAnsi="Calibri" w:cs="Calibri"/>
          <w:b/>
        </w:rPr>
        <w:t xml:space="preserve"> </w:t>
      </w:r>
      <w:r>
        <w:rPr>
          <w:rFonts w:ascii="Calibri" w:eastAsia="Calibri" w:hAnsi="Calibri" w:cs="Calibri"/>
        </w:rPr>
        <w:t xml:space="preserve">steps taken by the Government to build business capacity to monitor, identify, prevent and be accountable for forced labour in their operations or supply chains under the Modern Slavery Act 2015; </w:t>
      </w:r>
      <w:r>
        <w:rPr>
          <w:rFonts w:ascii="Calibri" w:eastAsia="Calibri" w:hAnsi="Calibri" w:cs="Calibri"/>
          <w:b/>
        </w:rPr>
        <w:t>(b)</w:t>
      </w:r>
      <w:r>
        <w:rPr>
          <w:rFonts w:ascii="Calibri" w:eastAsia="Calibri" w:hAnsi="Calibri" w:cs="Calibri"/>
        </w:rPr>
        <w:t xml:space="preserve"> information on cases referred to the UK’s National Referral Mechanism (NRM), which is the Government’s overarching framework for the identification and support of </w:t>
      </w:r>
      <w:r>
        <w:rPr>
          <w:rFonts w:ascii="Calibri" w:eastAsia="Calibri" w:hAnsi="Calibri" w:cs="Calibri"/>
        </w:rPr>
        <w:lastRenderedPageBreak/>
        <w:t xml:space="preserve">potential victims of modern slavery; and </w:t>
      </w:r>
      <w:r>
        <w:rPr>
          <w:rFonts w:ascii="Calibri" w:eastAsia="Calibri" w:hAnsi="Calibri" w:cs="Calibri"/>
          <w:b/>
        </w:rPr>
        <w:t>(c)</w:t>
      </w:r>
      <w:r>
        <w:rPr>
          <w:rFonts w:ascii="Calibri" w:eastAsia="Calibri" w:hAnsi="Calibri" w:cs="Calibri"/>
        </w:rPr>
        <w:t xml:space="preserve"> types of exploitation identified and the remedies provided over the last five years for forced labour cases.</w:t>
      </w:r>
      <w:r>
        <w:rPr>
          <w:rFonts w:ascii="Calibri" w:eastAsia="Calibri" w:hAnsi="Calibri" w:cs="Calibri"/>
          <w:vertAlign w:val="superscript"/>
        </w:rPr>
        <w:footnoteReference w:id="7"/>
      </w:r>
      <w:r>
        <w:rPr>
          <w:rFonts w:ascii="Calibri" w:eastAsia="Calibri" w:hAnsi="Calibri" w:cs="Calibri"/>
          <w:vertAlign w:val="superscript"/>
        </w:rPr>
        <w:t xml:space="preserve"> </w:t>
      </w:r>
    </w:p>
    <w:p w14:paraId="0FF0EB56" w14:textId="77777777" w:rsidR="00501A88" w:rsidRDefault="00000000">
      <w:pPr>
        <w:widowControl w:val="0"/>
        <w:numPr>
          <w:ilvl w:val="0"/>
          <w:numId w:val="4"/>
        </w:numPr>
        <w:spacing w:after="200"/>
      </w:pPr>
      <w:r>
        <w:rPr>
          <w:rFonts w:ascii="Calibri" w:eastAsia="Calibri" w:hAnsi="Calibri" w:cs="Calibri"/>
        </w:rPr>
        <w:t>Furthermore, the Committee addresses the precarity of migrant workers in the UK as a group at higher risk of exploitative employment situations.</w:t>
      </w:r>
      <w:r>
        <w:rPr>
          <w:rFonts w:ascii="Calibri" w:eastAsia="Calibri" w:hAnsi="Calibri" w:cs="Calibri"/>
          <w:vertAlign w:val="superscript"/>
        </w:rPr>
        <w:footnoteReference w:id="8"/>
      </w:r>
      <w:r>
        <w:rPr>
          <w:rFonts w:ascii="Calibri" w:eastAsia="Calibri" w:hAnsi="Calibri" w:cs="Calibri"/>
        </w:rPr>
        <w:t xml:space="preserve"> Migrant workers often face heightened risks due to their lack of legal protections in both host and home countries, informal work arrangements, exploitative recruitment practices, language and cultural barriers that make them more at risk of abuses like wage theft, forced labour, unsafe working conditions and harassment. These factors could also make it more difficult for them to seek redress for labour violations.</w:t>
      </w:r>
    </w:p>
    <w:p w14:paraId="2880F3EC" w14:textId="77777777" w:rsidR="00501A88" w:rsidRDefault="00000000">
      <w:pPr>
        <w:widowControl w:val="0"/>
        <w:numPr>
          <w:ilvl w:val="0"/>
          <w:numId w:val="4"/>
        </w:numPr>
        <w:spacing w:after="200"/>
      </w:pPr>
      <w:r>
        <w:rPr>
          <w:rFonts w:ascii="Calibri" w:eastAsia="Calibri" w:hAnsi="Calibri" w:cs="Calibri"/>
        </w:rPr>
        <w:t xml:space="preserve">The Committee raises the </w:t>
      </w:r>
      <w:proofErr w:type="gramStart"/>
      <w:r>
        <w:rPr>
          <w:rFonts w:ascii="Calibri" w:eastAsia="Calibri" w:hAnsi="Calibri" w:cs="Calibri"/>
        </w:rPr>
        <w:t>particular vulnerabilities</w:t>
      </w:r>
      <w:proofErr w:type="gramEnd"/>
      <w:r>
        <w:rPr>
          <w:rFonts w:ascii="Calibri" w:eastAsia="Calibri" w:hAnsi="Calibri" w:cs="Calibri"/>
        </w:rPr>
        <w:t xml:space="preserve"> of seasonal agricultural workers in the UK and asks the Government to specifically provide information on workers recruited under the Seasonal Worker Scheme and the legal safeguards enforced to ensure that such workers will not be exploited through practices of debt bondage.</w:t>
      </w:r>
      <w:r>
        <w:rPr>
          <w:rFonts w:ascii="Calibri" w:eastAsia="Calibri" w:hAnsi="Calibri" w:cs="Calibri"/>
          <w:vertAlign w:val="superscript"/>
        </w:rPr>
        <w:footnoteReference w:id="9"/>
      </w:r>
      <w:r>
        <w:rPr>
          <w:rFonts w:ascii="Calibri" w:eastAsia="Calibri" w:hAnsi="Calibri" w:cs="Calibri"/>
        </w:rPr>
        <w:t xml:space="preserve"> </w:t>
      </w:r>
    </w:p>
    <w:p w14:paraId="761A689E" w14:textId="77777777" w:rsidR="00501A88" w:rsidRDefault="00000000">
      <w:pPr>
        <w:widowControl w:val="0"/>
        <w:numPr>
          <w:ilvl w:val="0"/>
          <w:numId w:val="4"/>
        </w:numPr>
        <w:spacing w:after="200"/>
      </w:pPr>
      <w:r>
        <w:rPr>
          <w:rFonts w:ascii="Calibri" w:eastAsia="Calibri" w:hAnsi="Calibri" w:cs="Calibri"/>
        </w:rPr>
        <w:t>The Government, in its Annex to Reply to the List of Issues, however, continues to perpetuate the misconception that debt bondage for migrant workers in the UK is mainly a problem overseas, stating that debt bondage “largely appear to arise via parties overseas – be that loaning money to would-be applicants, or nefarious third parties attempting to charge for access to the route…the majority of these issues take place outside of UK legal jurisdiction.”</w:t>
      </w:r>
      <w:r>
        <w:rPr>
          <w:rFonts w:ascii="Calibri" w:eastAsia="Calibri" w:hAnsi="Calibri" w:cs="Calibri"/>
          <w:vertAlign w:val="superscript"/>
        </w:rPr>
        <w:footnoteReference w:id="10"/>
      </w:r>
      <w:r>
        <w:rPr>
          <w:rFonts w:ascii="Calibri" w:eastAsia="Calibri" w:hAnsi="Calibri" w:cs="Calibri"/>
        </w:rPr>
        <w:t xml:space="preserve"> This argument contradicts the expectation of HRDD in extraterritorial business operations and value chains, including the recruitment of overseas workers contributing to UK businesses. </w:t>
      </w:r>
    </w:p>
    <w:p w14:paraId="6E2C64F7" w14:textId="77777777" w:rsidR="00501A88" w:rsidRDefault="00000000">
      <w:pPr>
        <w:widowControl w:val="0"/>
        <w:numPr>
          <w:ilvl w:val="0"/>
          <w:numId w:val="4"/>
        </w:numPr>
        <w:spacing w:after="200"/>
      </w:pPr>
      <w:r>
        <w:rPr>
          <w:rFonts w:ascii="Calibri" w:eastAsia="Calibri" w:hAnsi="Calibri" w:cs="Calibri"/>
        </w:rPr>
        <w:t>We, Work Better Innovations (WBI) and the Southeast and East Asian Centre (SEEAC), strongly disagree with the Government's characterisation of the debt bondage of migrant workers in the UK as a problem that largely takes place outside of UK jurisdiction. The debt bondage of migrant workers is not a distant problem that has little connection to the UK economy. Sectors, such as agriculture, fishing, construction, hospitality, domestic and care work, have been documented to employ large numbers of migrant workers from abroad under precarious conditions.</w:t>
      </w:r>
      <w:r>
        <w:rPr>
          <w:rFonts w:ascii="Calibri" w:eastAsia="Calibri" w:hAnsi="Calibri" w:cs="Calibri"/>
          <w:vertAlign w:val="superscript"/>
        </w:rPr>
        <w:footnoteReference w:id="11"/>
      </w:r>
      <w:r>
        <w:rPr>
          <w:rFonts w:ascii="Calibri" w:eastAsia="Calibri" w:hAnsi="Calibri" w:cs="Calibri"/>
        </w:rPr>
        <w:t xml:space="preserve"> Labour abuses can include practices such as the charging of recruitment fees and other associated costs to migrant workers, withholding of wages or of personal identity documents and excessive overtime. These practices are considered forced labour indicators by the International Labour Organization.</w:t>
      </w:r>
      <w:r>
        <w:rPr>
          <w:rFonts w:ascii="Calibri" w:eastAsia="Calibri" w:hAnsi="Calibri" w:cs="Calibri"/>
          <w:vertAlign w:val="superscript"/>
        </w:rPr>
        <w:footnoteReference w:id="12"/>
      </w:r>
    </w:p>
    <w:p w14:paraId="382A4367" w14:textId="77777777" w:rsidR="00501A88" w:rsidRDefault="00000000">
      <w:pPr>
        <w:widowControl w:val="0"/>
        <w:numPr>
          <w:ilvl w:val="0"/>
          <w:numId w:val="4"/>
        </w:numPr>
        <w:spacing w:after="200"/>
      </w:pPr>
      <w:proofErr w:type="gramStart"/>
      <w:r>
        <w:rPr>
          <w:rFonts w:ascii="Calibri" w:eastAsia="Calibri" w:hAnsi="Calibri" w:cs="Calibri"/>
        </w:rPr>
        <w:t>A 2024 research</w:t>
      </w:r>
      <w:proofErr w:type="gramEnd"/>
      <w:r>
        <w:rPr>
          <w:rFonts w:ascii="Calibri" w:eastAsia="Calibri" w:hAnsi="Calibri" w:cs="Calibri"/>
        </w:rPr>
        <w:t xml:space="preserve"> by the UK-based organisation Focus on Labour Exploitation (FLEX), based on a sample of 399 surveys and 83 interviews with migrant farm workers under the Government’s Seasonal Worker Scheme, found that many workers reported being </w:t>
      </w:r>
      <w:r>
        <w:rPr>
          <w:rFonts w:ascii="Calibri" w:eastAsia="Calibri" w:hAnsi="Calibri" w:cs="Calibri"/>
        </w:rPr>
        <w:lastRenderedPageBreak/>
        <w:t>charged up to GB£5,500 in total to come to work in the UK.</w:t>
      </w:r>
      <w:r>
        <w:rPr>
          <w:rFonts w:ascii="Calibri" w:eastAsia="Calibri" w:hAnsi="Calibri" w:cs="Calibri"/>
          <w:vertAlign w:val="superscript"/>
        </w:rPr>
        <w:footnoteReference w:id="13"/>
      </w:r>
    </w:p>
    <w:p w14:paraId="4868A102" w14:textId="77777777" w:rsidR="00501A88" w:rsidRDefault="00000000">
      <w:pPr>
        <w:widowControl w:val="0"/>
        <w:numPr>
          <w:ilvl w:val="0"/>
          <w:numId w:val="4"/>
        </w:numPr>
        <w:spacing w:after="200"/>
      </w:pPr>
      <w:r>
        <w:rPr>
          <w:rFonts w:ascii="Calibri" w:eastAsia="Calibri" w:hAnsi="Calibri" w:cs="Calibri"/>
        </w:rPr>
        <w:t>A similar 2024 research conducted by a group of academic researchers and UK-based civil society organisations, including the Southeast and East Asian Centre (SEEAC), found that Indonesian workers under the Seasonal Worker Scheme interviewed reported to have paid between GB£2,000 and £4,000 to come to the UK to work, but they also faced working excessive hours to meet unrealistic productivity targets in the UK.</w:t>
      </w:r>
      <w:r>
        <w:rPr>
          <w:rFonts w:ascii="Calibri" w:eastAsia="Calibri" w:hAnsi="Calibri" w:cs="Calibri"/>
          <w:vertAlign w:val="superscript"/>
        </w:rPr>
        <w:footnoteReference w:id="14"/>
      </w:r>
      <w:r>
        <w:rPr>
          <w:rFonts w:ascii="Calibri" w:eastAsia="Calibri" w:hAnsi="Calibri" w:cs="Calibri"/>
        </w:rPr>
        <w:t xml:space="preserve"> Conducting interviews for the above-mentioned research, many workers reported to SEEAC about their inadequate living conditions in substandard and overcrowded accommodations with poor sanitation and protection from the cold weather, exacerbating their sense of isolation and lack of integration and negatively affecting their physical and mental health.</w:t>
      </w:r>
    </w:p>
    <w:p w14:paraId="70F5945A" w14:textId="77777777" w:rsidR="00501A88" w:rsidRDefault="00000000">
      <w:pPr>
        <w:widowControl w:val="0"/>
        <w:numPr>
          <w:ilvl w:val="0"/>
          <w:numId w:val="4"/>
        </w:numPr>
        <w:spacing w:after="200"/>
      </w:pPr>
      <w:r>
        <w:rPr>
          <w:rFonts w:ascii="Calibri" w:eastAsia="Calibri" w:hAnsi="Calibri" w:cs="Calibri"/>
        </w:rPr>
        <w:t xml:space="preserve">While the seasonal agricultural workers were recruited outside the UK, forced labour risks embedded in the Government’s Seasonal Worker Scheme arise from systemic flaws and exploitative practices in the scheme that benefit their UK employers and scheme operators, who are responsible for recruiting and allocating workers to farm employers. The system, as it is now, is predicated on structural risks of forced labour in the form of debt bondage through migrant-borne recruitment fees where the exact breakdown of charges, covering additionally related costs such as expenses for travel, training, accommodation, and UK visa costs are often not fully transparent to the workers. </w:t>
      </w:r>
    </w:p>
    <w:p w14:paraId="18493D9B" w14:textId="77777777" w:rsidR="00501A88" w:rsidRDefault="00000000">
      <w:pPr>
        <w:widowControl w:val="0"/>
        <w:numPr>
          <w:ilvl w:val="0"/>
          <w:numId w:val="4"/>
        </w:numPr>
        <w:spacing w:after="200"/>
      </w:pPr>
      <w:r>
        <w:rPr>
          <w:rFonts w:ascii="Calibri" w:eastAsia="Calibri" w:hAnsi="Calibri" w:cs="Calibri"/>
        </w:rPr>
        <w:t>Many workers had to take out substantial loans to cover these expenses. It is reported that three-quarters of workers under the scheme had to borrow an average of more than GB£1,200 to come to the UK without knowing exactly how much they would earn upon arrival.</w:t>
      </w:r>
      <w:r>
        <w:rPr>
          <w:rFonts w:ascii="Calibri" w:eastAsia="Calibri" w:hAnsi="Calibri" w:cs="Calibri"/>
          <w:vertAlign w:val="superscript"/>
        </w:rPr>
        <w:footnoteReference w:id="15"/>
      </w:r>
      <w:r>
        <w:rPr>
          <w:rFonts w:ascii="Calibri" w:eastAsia="Calibri" w:hAnsi="Calibri" w:cs="Calibri"/>
        </w:rPr>
        <w:t xml:space="preserve"> Some workers indicated that they had to work more than three and half months full-time to repay the debt, and some were unable to fully repay it even after six months of work.</w:t>
      </w:r>
      <w:r>
        <w:rPr>
          <w:rFonts w:ascii="Calibri" w:eastAsia="Calibri" w:hAnsi="Calibri" w:cs="Calibri"/>
          <w:vertAlign w:val="superscript"/>
        </w:rPr>
        <w:footnoteReference w:id="16"/>
      </w:r>
      <w:r>
        <w:rPr>
          <w:rFonts w:ascii="Calibri" w:eastAsia="Calibri" w:hAnsi="Calibri" w:cs="Calibri"/>
        </w:rPr>
        <w:t xml:space="preserve"> Some workers reported to SEEAC that they were not given enough work and paid at a piece rate rather than an hourly or daily wage. Workers faced overpayments of taxes and multiple expenses deducted from their salaries.</w:t>
      </w:r>
      <w:r>
        <w:rPr>
          <w:rFonts w:ascii="Calibri" w:eastAsia="Calibri" w:hAnsi="Calibri" w:cs="Calibri"/>
          <w:vertAlign w:val="superscript"/>
        </w:rPr>
        <w:footnoteReference w:id="17"/>
      </w:r>
      <w:r>
        <w:rPr>
          <w:rFonts w:ascii="Calibri" w:eastAsia="Calibri" w:hAnsi="Calibri" w:cs="Calibri"/>
        </w:rPr>
        <w:t xml:space="preserve"> This rendered them unable to earn what they had been promised during the recruitment process, suggesting a strong possibility of workers being deceived. This system of debt bondage benefits employers in the UK when workers cannot repay their debts without working excessive hours and accepting poor working and living conditions. </w:t>
      </w:r>
    </w:p>
    <w:p w14:paraId="4CCD0EFE" w14:textId="77777777" w:rsidR="00501A88" w:rsidRDefault="00000000">
      <w:pPr>
        <w:widowControl w:val="0"/>
        <w:numPr>
          <w:ilvl w:val="0"/>
          <w:numId w:val="4"/>
        </w:numPr>
        <w:spacing w:after="200"/>
      </w:pPr>
      <w:r>
        <w:rPr>
          <w:rFonts w:ascii="Calibri" w:eastAsia="Calibri" w:hAnsi="Calibri" w:cs="Calibri"/>
        </w:rPr>
        <w:t xml:space="preserve">Like the Oversea Domestic Worker visa, the Seasonal Worker visa allows visa-holders to stay and work in the UK for up to only six months while their visas are tied to the employers and not renewable. They are also prohibited from any recourse to public funds and are not entitled to social protection. These conditions leave workers highly vulnerable to abuse and exploitation while making it extremely difficult for workers to </w:t>
      </w:r>
      <w:r>
        <w:rPr>
          <w:rFonts w:ascii="Calibri" w:eastAsia="Calibri" w:hAnsi="Calibri" w:cs="Calibri"/>
        </w:rPr>
        <w:lastRenderedPageBreak/>
        <w:t>address issues they face, seek support, change employers or access remedies and justice.</w:t>
      </w:r>
    </w:p>
    <w:p w14:paraId="71C4FC23" w14:textId="77777777" w:rsidR="00501A88" w:rsidRDefault="00000000">
      <w:pPr>
        <w:widowControl w:val="0"/>
        <w:numPr>
          <w:ilvl w:val="0"/>
          <w:numId w:val="4"/>
        </w:numPr>
        <w:spacing w:after="200"/>
      </w:pPr>
      <w:r>
        <w:rPr>
          <w:rFonts w:ascii="Calibri" w:eastAsia="Calibri" w:hAnsi="Calibri" w:cs="Calibri"/>
        </w:rPr>
        <w:t>Despite evidence consistently indicating practices of exploitation and modern slavery under the Seasonal Worker Scheme, including the Government’s own review on Seasonal Worker visa by the Migration Advisory Committee in 2024, the Government set out a quota for 2023 and 2024 that allowed for at least 45,000 places per year in horticulture (with another 2,000 places for poultry workers) and decided the scheme would continue until at least 2029.</w:t>
      </w:r>
      <w:r>
        <w:rPr>
          <w:rFonts w:ascii="Calibri" w:eastAsia="Calibri" w:hAnsi="Calibri" w:cs="Calibri"/>
          <w:vertAlign w:val="superscript"/>
        </w:rPr>
        <w:footnoteReference w:id="18"/>
      </w:r>
      <w:r>
        <w:rPr>
          <w:rFonts w:ascii="Calibri" w:eastAsia="Calibri" w:hAnsi="Calibri" w:cs="Calibri"/>
        </w:rPr>
        <w:t xml:space="preserve"> </w:t>
      </w:r>
    </w:p>
    <w:p w14:paraId="2D09D110" w14:textId="77777777" w:rsidR="00501A88" w:rsidRDefault="00000000">
      <w:pPr>
        <w:widowControl w:val="0"/>
        <w:numPr>
          <w:ilvl w:val="0"/>
          <w:numId w:val="4"/>
        </w:numPr>
        <w:spacing w:after="200"/>
      </w:pPr>
      <w:r>
        <w:rPr>
          <w:rFonts w:ascii="Calibri" w:eastAsia="Calibri" w:hAnsi="Calibri" w:cs="Calibri"/>
        </w:rPr>
        <w:t>Governments should take measures to eliminate the charging of all recruitment fees and related costs to workers and job seekers. Consistent with the international Employer Pays Principle, the cost of recruitment is a business cost that should be borne not by the worker but by the employer.</w:t>
      </w:r>
      <w:r>
        <w:rPr>
          <w:rFonts w:ascii="Calibri" w:eastAsia="Calibri" w:hAnsi="Calibri" w:cs="Calibri"/>
          <w:vertAlign w:val="superscript"/>
        </w:rPr>
        <w:footnoteReference w:id="19"/>
      </w:r>
      <w:r>
        <w:rPr>
          <w:rFonts w:ascii="Calibri" w:eastAsia="Calibri" w:hAnsi="Calibri" w:cs="Calibri"/>
        </w:rPr>
        <w:t xml:space="preserve"> Enforcement of employment rights for all workers in the UK, including migrant workers, must go beyond the Government’s Reply to the List of Issues that “[c]</w:t>
      </w:r>
      <w:proofErr w:type="spellStart"/>
      <w:r>
        <w:rPr>
          <w:rFonts w:ascii="Calibri" w:eastAsia="Calibri" w:hAnsi="Calibri" w:cs="Calibri"/>
        </w:rPr>
        <w:t>harging</w:t>
      </w:r>
      <w:proofErr w:type="spellEnd"/>
      <w:r>
        <w:rPr>
          <w:rFonts w:ascii="Calibri" w:eastAsia="Calibri" w:hAnsi="Calibri" w:cs="Calibri"/>
        </w:rPr>
        <w:t xml:space="preserve"> excessive fees is not permitted – if the sponsor fails to comply with these requirements, licence action, rather than legal, could be taken.”</w:t>
      </w:r>
      <w:r>
        <w:rPr>
          <w:rFonts w:ascii="Calibri" w:eastAsia="Calibri" w:hAnsi="Calibri" w:cs="Calibri"/>
          <w:vertAlign w:val="superscript"/>
        </w:rPr>
        <w:footnoteReference w:id="20"/>
      </w:r>
      <w:r>
        <w:rPr>
          <w:rFonts w:ascii="Calibri" w:eastAsia="Calibri" w:hAnsi="Calibri" w:cs="Calibri"/>
        </w:rPr>
        <w:t xml:space="preserve"> </w:t>
      </w:r>
    </w:p>
    <w:p w14:paraId="3C3A294B" w14:textId="46A36AE9" w:rsidR="00501A88" w:rsidRPr="00C0069F" w:rsidRDefault="00000000" w:rsidP="00C0069F">
      <w:pPr>
        <w:widowControl w:val="0"/>
        <w:numPr>
          <w:ilvl w:val="0"/>
          <w:numId w:val="4"/>
        </w:numPr>
        <w:spacing w:after="200"/>
      </w:pPr>
      <w:r>
        <w:rPr>
          <w:rFonts w:ascii="Calibri" w:eastAsia="Calibri" w:hAnsi="Calibri" w:cs="Calibri"/>
        </w:rPr>
        <w:t>Building business capacity to monitor, identify, prevent and be accountable for forced labour cases in the UK calls for stronger legal and policy protections, effective enforcement and labour inspection, and a deep commitment to responsible recruitment and the Employer Pays Principle within the UK.</w:t>
      </w:r>
    </w:p>
    <w:p w14:paraId="79C1BD60" w14:textId="77777777" w:rsidR="00C0069F" w:rsidRPr="00C0069F" w:rsidRDefault="00C0069F" w:rsidP="00C0069F">
      <w:pPr>
        <w:widowControl w:val="0"/>
        <w:spacing w:after="200"/>
        <w:ind w:left="360"/>
      </w:pPr>
    </w:p>
    <w:p w14:paraId="1E4EE4B6" w14:textId="77777777" w:rsidR="00501A88" w:rsidRDefault="00000000" w:rsidP="00C0069F">
      <w:pPr>
        <w:widowControl w:val="0"/>
        <w:numPr>
          <w:ilvl w:val="0"/>
          <w:numId w:val="4"/>
        </w:numPr>
        <w:ind w:left="357"/>
        <w:rPr>
          <w:b/>
          <w:color w:val="FF5C39"/>
        </w:rPr>
      </w:pPr>
      <w:r>
        <w:rPr>
          <w:rFonts w:ascii="Calibri" w:eastAsia="Calibri" w:hAnsi="Calibri" w:cs="Calibri"/>
          <w:b/>
          <w:color w:val="FF5C39"/>
        </w:rPr>
        <w:t>Recommendations</w:t>
      </w:r>
    </w:p>
    <w:p w14:paraId="53A8D203" w14:textId="77777777" w:rsidR="00501A88" w:rsidRDefault="00501A88" w:rsidP="00C0069F">
      <w:pPr>
        <w:widowControl w:val="0"/>
        <w:ind w:left="357"/>
        <w:rPr>
          <w:rFonts w:ascii="Calibri" w:eastAsia="Calibri" w:hAnsi="Calibri" w:cs="Calibri"/>
          <w:b/>
          <w:color w:val="FF5C39"/>
        </w:rPr>
      </w:pPr>
    </w:p>
    <w:tbl>
      <w:tblPr>
        <w:tblStyle w:val="a2"/>
        <w:tblW w:w="8705" w:type="dxa"/>
        <w:tblInd w:w="36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8705"/>
      </w:tblGrid>
      <w:tr w:rsidR="00501A88" w14:paraId="4C823613" w14:textId="77777777">
        <w:tc>
          <w:tcPr>
            <w:tcW w:w="8705" w:type="dxa"/>
            <w:shd w:val="clear" w:color="auto" w:fill="FFEDEA"/>
            <w:tcMar>
              <w:top w:w="100" w:type="dxa"/>
              <w:left w:w="100" w:type="dxa"/>
              <w:bottom w:w="100" w:type="dxa"/>
              <w:right w:w="100" w:type="dxa"/>
            </w:tcMar>
          </w:tcPr>
          <w:sdt>
            <w:sdtPr>
              <w:tag w:val="goog_rdk_3"/>
              <w:id w:val="1952592674"/>
              <w:lock w:val="contentLocked"/>
            </w:sdtPr>
            <w:sdtContent>
              <w:p w14:paraId="0E8DAA44" w14:textId="77777777" w:rsidR="00501A88" w:rsidRDefault="00000000">
                <w:pPr>
                  <w:widowControl w:val="0"/>
                  <w:spacing w:after="200"/>
                  <w:ind w:left="283"/>
                  <w:rPr>
                    <w:rFonts w:ascii="Calibri" w:eastAsia="Calibri" w:hAnsi="Calibri" w:cs="Calibri"/>
                  </w:rPr>
                </w:pPr>
                <w:r>
                  <w:rPr>
                    <w:rFonts w:ascii="Calibri" w:eastAsia="Calibri" w:hAnsi="Calibri" w:cs="Calibri"/>
                  </w:rPr>
                  <w:t>The Committee should call on the Government of the UK under ICESCR article 7 to:</w:t>
                </w:r>
              </w:p>
              <w:p w14:paraId="6BC998C4" w14:textId="77777777" w:rsidR="00501A88" w:rsidRDefault="00000000">
                <w:pPr>
                  <w:widowControl w:val="0"/>
                  <w:numPr>
                    <w:ilvl w:val="0"/>
                    <w:numId w:val="1"/>
                  </w:numPr>
                  <w:pBdr>
                    <w:top w:val="nil"/>
                    <w:left w:val="nil"/>
                    <w:bottom w:val="nil"/>
                    <w:right w:val="nil"/>
                    <w:between w:val="nil"/>
                  </w:pBdr>
                  <w:spacing w:after="200"/>
                  <w:rPr>
                    <w:rFonts w:ascii="Calibri" w:eastAsia="Calibri" w:hAnsi="Calibri" w:cs="Calibri"/>
                    <w:b/>
                  </w:rPr>
                </w:pPr>
                <w:r>
                  <w:rPr>
                    <w:rFonts w:ascii="Calibri" w:eastAsia="Calibri" w:hAnsi="Calibri" w:cs="Calibri"/>
                    <w:b/>
                  </w:rPr>
                  <w:t>Take active measures to eliminate the charging of all recruitment fees and related costs to migrant workers, with reference to the General Principles and Operational Guidelines for Fair Recruitment of the International Labour Organization.</w:t>
                </w:r>
              </w:p>
              <w:p w14:paraId="2FF67B89" w14:textId="77777777" w:rsidR="00501A88" w:rsidRDefault="00000000">
                <w:pPr>
                  <w:widowControl w:val="0"/>
                  <w:numPr>
                    <w:ilvl w:val="0"/>
                    <w:numId w:val="1"/>
                  </w:numPr>
                  <w:pBdr>
                    <w:top w:val="nil"/>
                    <w:left w:val="nil"/>
                    <w:bottom w:val="nil"/>
                    <w:right w:val="nil"/>
                    <w:between w:val="nil"/>
                  </w:pBdr>
                  <w:spacing w:after="200"/>
                  <w:rPr>
                    <w:rFonts w:ascii="Calibri" w:eastAsia="Calibri" w:hAnsi="Calibri" w:cs="Calibri"/>
                    <w:b/>
                  </w:rPr>
                </w:pPr>
                <w:r>
                  <w:rPr>
                    <w:rFonts w:ascii="Calibri" w:eastAsia="Calibri" w:hAnsi="Calibri" w:cs="Calibri"/>
                    <w:b/>
                  </w:rPr>
                  <w:t>Ensure the effective enforcement of the legal and policy framework under which labour recruiters and employers operate to bring migrant workers to the UK.</w:t>
                </w:r>
              </w:p>
              <w:p w14:paraId="1DEDF2A4" w14:textId="77777777" w:rsidR="00501A88" w:rsidRDefault="00000000">
                <w:pPr>
                  <w:widowControl w:val="0"/>
                  <w:numPr>
                    <w:ilvl w:val="0"/>
                    <w:numId w:val="1"/>
                  </w:numPr>
                  <w:pBdr>
                    <w:top w:val="nil"/>
                    <w:left w:val="nil"/>
                    <w:bottom w:val="nil"/>
                    <w:right w:val="nil"/>
                    <w:between w:val="nil"/>
                  </w:pBdr>
                  <w:rPr>
                    <w:rFonts w:ascii="Calibri" w:eastAsia="Calibri" w:hAnsi="Calibri" w:cs="Calibri"/>
                    <w:b/>
                  </w:rPr>
                </w:pPr>
                <w:r>
                  <w:rPr>
                    <w:rFonts w:ascii="Calibri" w:eastAsia="Calibri" w:hAnsi="Calibri" w:cs="Calibri"/>
                    <w:b/>
                  </w:rPr>
                  <w:t>Make legal, policy and practical changes to allow migrant workers, including those with Seasonal Worker visas and Overseas Domestic Worker visas, to change their employers and report labour rights abuses without risking their immigration status, including pathways to renew or extend their visas in the country to ensure access to remedy and justice.</w:t>
                </w:r>
              </w:p>
            </w:sdtContent>
          </w:sdt>
        </w:tc>
      </w:tr>
    </w:tbl>
    <w:p w14:paraId="41255D1B" w14:textId="77777777" w:rsidR="00C0069F" w:rsidRPr="00696460" w:rsidRDefault="00C0069F" w:rsidP="00C0069F">
      <w:pPr>
        <w:pStyle w:val="Heading1"/>
        <w:widowControl w:val="0"/>
        <w:tabs>
          <w:tab w:val="right" w:pos="851"/>
        </w:tabs>
        <w:spacing w:before="0" w:after="0"/>
        <w:ind w:right="1134"/>
        <w:rPr>
          <w:rFonts w:ascii="Calibri" w:eastAsia="Calibri" w:hAnsi="Calibri" w:cs="Calibri"/>
          <w:color w:val="FF5C39"/>
          <w:sz w:val="6"/>
          <w:szCs w:val="6"/>
        </w:rPr>
      </w:pPr>
      <w:bookmarkStart w:id="4" w:name="_heading=h.ro2t5c1u5ytv" w:colFirst="0" w:colLast="0"/>
      <w:bookmarkStart w:id="5" w:name="_heading=h.dvxr9lvef0q3" w:colFirst="0" w:colLast="0"/>
      <w:bookmarkStart w:id="6" w:name="_heading=h.vpcr2lq340r9" w:colFirst="0" w:colLast="0"/>
      <w:bookmarkEnd w:id="4"/>
      <w:bookmarkEnd w:id="5"/>
      <w:bookmarkEnd w:id="6"/>
    </w:p>
    <w:p w14:paraId="37EF4F26" w14:textId="77777777" w:rsidR="00C0069F" w:rsidRPr="00696460" w:rsidRDefault="00C0069F" w:rsidP="00C0069F">
      <w:pPr>
        <w:pStyle w:val="Heading1"/>
        <w:widowControl w:val="0"/>
        <w:tabs>
          <w:tab w:val="right" w:pos="851"/>
        </w:tabs>
        <w:spacing w:before="0" w:after="0"/>
        <w:ind w:right="1134"/>
        <w:rPr>
          <w:rFonts w:ascii="Calibri" w:eastAsia="Calibri" w:hAnsi="Calibri" w:cs="Calibri"/>
          <w:color w:val="FF5C39"/>
          <w:sz w:val="6"/>
          <w:szCs w:val="6"/>
        </w:rPr>
      </w:pPr>
    </w:p>
    <w:p w14:paraId="2D335ADA" w14:textId="51940E24" w:rsidR="00501A88" w:rsidRPr="00C0069F" w:rsidRDefault="00000000" w:rsidP="00C0069F">
      <w:pPr>
        <w:pStyle w:val="Heading1"/>
        <w:widowControl w:val="0"/>
        <w:tabs>
          <w:tab w:val="right" w:pos="851"/>
        </w:tabs>
        <w:spacing w:before="0" w:after="0"/>
        <w:ind w:right="1134"/>
        <w:rPr>
          <w:rFonts w:ascii="Calibri" w:eastAsia="Calibri" w:hAnsi="Calibri" w:cs="Calibri"/>
          <w:color w:val="FF5C39"/>
        </w:rPr>
      </w:pPr>
      <w:r w:rsidRPr="00C0069F">
        <w:rPr>
          <w:rFonts w:ascii="Calibri" w:eastAsia="Calibri" w:hAnsi="Calibri" w:cs="Calibri"/>
          <w:b/>
          <w:bCs/>
          <w:color w:val="FF5C39"/>
          <w:sz w:val="24"/>
          <w:szCs w:val="24"/>
        </w:rPr>
        <w:t>Right to Physical and Mental Health (art. 12)</w:t>
      </w:r>
    </w:p>
    <w:p w14:paraId="5FC9E127" w14:textId="77777777" w:rsidR="00C0069F" w:rsidRPr="00C0069F" w:rsidRDefault="00C0069F" w:rsidP="00C0069F">
      <w:pPr>
        <w:rPr>
          <w:rFonts w:eastAsia="Calibri"/>
        </w:rPr>
      </w:pPr>
    </w:p>
    <w:p w14:paraId="263129D9" w14:textId="77777777" w:rsidR="00501A88" w:rsidRDefault="00000000">
      <w:pPr>
        <w:widowControl w:val="0"/>
        <w:numPr>
          <w:ilvl w:val="0"/>
          <w:numId w:val="4"/>
        </w:numPr>
        <w:spacing w:after="200"/>
      </w:pPr>
      <w:r>
        <w:rPr>
          <w:rFonts w:ascii="Calibri" w:eastAsia="Calibri" w:hAnsi="Calibri" w:cs="Calibri"/>
        </w:rPr>
        <w:t>In the List of Issues, the Committee requested the Government to provide information on the impact and concrete results achieved through the guidance provided to migrants, asylum-seekers and refugees in reducing inequality in access to healthcare services.</w:t>
      </w:r>
      <w:r>
        <w:rPr>
          <w:rFonts w:ascii="Calibri" w:eastAsia="Calibri" w:hAnsi="Calibri" w:cs="Calibri"/>
          <w:vertAlign w:val="superscript"/>
        </w:rPr>
        <w:footnoteReference w:id="21"/>
      </w:r>
      <w:r>
        <w:rPr>
          <w:rFonts w:ascii="Calibri" w:eastAsia="Calibri" w:hAnsi="Calibri" w:cs="Calibri"/>
        </w:rPr>
        <w:t xml:space="preserve"> With respect to the central human rights principle of non-discrimination (art. 2(2)), the Committee also asked the Government to provide general information and statistics on the steps taken to ensure that refugees and asylum-seekers in the UK are not discriminated against in the enjoyment of their ESC rights under the Nationality and Borders Act (2022), including their right to access healthcare services.</w:t>
      </w:r>
      <w:r>
        <w:rPr>
          <w:rFonts w:ascii="Calibri" w:eastAsia="Calibri" w:hAnsi="Calibri" w:cs="Calibri"/>
          <w:vertAlign w:val="superscript"/>
        </w:rPr>
        <w:footnoteReference w:id="22"/>
      </w:r>
      <w:r>
        <w:rPr>
          <w:rFonts w:ascii="Calibri" w:eastAsia="Calibri" w:hAnsi="Calibri" w:cs="Calibri"/>
        </w:rPr>
        <w:t xml:space="preserve"> </w:t>
      </w:r>
    </w:p>
    <w:p w14:paraId="471F3CB4" w14:textId="77777777" w:rsidR="00501A88" w:rsidRDefault="00000000">
      <w:pPr>
        <w:widowControl w:val="0"/>
        <w:numPr>
          <w:ilvl w:val="0"/>
          <w:numId w:val="4"/>
        </w:numPr>
        <w:spacing w:after="200"/>
      </w:pPr>
      <w:r>
        <w:rPr>
          <w:rFonts w:ascii="Calibri" w:eastAsia="Calibri" w:hAnsi="Calibri" w:cs="Calibri"/>
        </w:rPr>
        <w:t>Displaced populations—including refugees, asylum seekers and migrants—often experience detrimental physical and mental health outcomes due to challenges encountered in their home countries, during their migration journeys and within host countries. In the UK, factors such as the asylum process, living environments, public narratives and limited resources to navigate complex systems or address trauma can contribute to the deterioration of their health over time.</w:t>
      </w:r>
      <w:r>
        <w:rPr>
          <w:rFonts w:ascii="Calibri" w:eastAsia="Calibri" w:hAnsi="Calibri" w:cs="Calibri"/>
          <w:vertAlign w:val="superscript"/>
        </w:rPr>
        <w:footnoteReference w:id="23"/>
      </w:r>
      <w:r>
        <w:rPr>
          <w:rFonts w:ascii="Calibri" w:eastAsia="Calibri" w:hAnsi="Calibri" w:cs="Calibri"/>
        </w:rPr>
        <w:t xml:space="preserve"> In 2023, a joint needs assessment commissioned by London’s Southwark Council locally identified asylum seekers and refugees as a 'PLUS' group experiencing health inequalities.</w:t>
      </w:r>
      <w:r>
        <w:rPr>
          <w:rFonts w:ascii="Calibri" w:eastAsia="Calibri" w:hAnsi="Calibri" w:cs="Calibri"/>
          <w:vertAlign w:val="superscript"/>
        </w:rPr>
        <w:footnoteReference w:id="24"/>
      </w:r>
      <w:r>
        <w:rPr>
          <w:rFonts w:ascii="Calibri" w:eastAsia="Calibri" w:hAnsi="Calibri" w:cs="Calibri"/>
        </w:rPr>
        <w:t xml:space="preserve"> </w:t>
      </w:r>
    </w:p>
    <w:p w14:paraId="14689B30" w14:textId="77777777" w:rsidR="00501A88" w:rsidRDefault="00000000">
      <w:pPr>
        <w:widowControl w:val="0"/>
        <w:numPr>
          <w:ilvl w:val="0"/>
          <w:numId w:val="4"/>
        </w:numPr>
        <w:spacing w:after="200"/>
      </w:pPr>
      <w:r>
        <w:rPr>
          <w:rFonts w:ascii="Calibri" w:eastAsia="Calibri" w:hAnsi="Calibri" w:cs="Calibri"/>
        </w:rPr>
        <w:t xml:space="preserve">Additionally, being asked to provide documents to prove identity, address, immigration status or an NHS number can lead to a denial of healthcare to some individuals in the UK. According to the Primary Care Policy and Governance Manual for GP practices in the UK, there is no regulatory requirement for patients to prove identity, address, immigration status or the provision of an NHS number </w:t>
      </w:r>
      <w:proofErr w:type="gramStart"/>
      <w:r>
        <w:rPr>
          <w:rFonts w:ascii="Calibri" w:eastAsia="Calibri" w:hAnsi="Calibri" w:cs="Calibri"/>
        </w:rPr>
        <w:t>in order to</w:t>
      </w:r>
      <w:proofErr w:type="gramEnd"/>
      <w:r>
        <w:rPr>
          <w:rFonts w:ascii="Calibri" w:eastAsia="Calibri" w:hAnsi="Calibri" w:cs="Calibri"/>
        </w:rPr>
        <w:t xml:space="preserve"> register with a GP practice or receive primary care. The same guidelines affirm that anybody in England may register and consult with a GP without charge and that “all asylum seekers and refugees…whether lawfully in the UK or not, are eligible to register with a GP practice even if those visitors are not eligible for secondary care (hospital care) services.”</w:t>
      </w:r>
      <w:r>
        <w:rPr>
          <w:rFonts w:ascii="Calibri" w:eastAsia="Calibri" w:hAnsi="Calibri" w:cs="Calibri"/>
          <w:vertAlign w:val="superscript"/>
        </w:rPr>
        <w:footnoteReference w:id="25"/>
      </w:r>
    </w:p>
    <w:p w14:paraId="0C163318" w14:textId="77777777" w:rsidR="00501A88" w:rsidRDefault="00000000">
      <w:pPr>
        <w:widowControl w:val="0"/>
        <w:numPr>
          <w:ilvl w:val="0"/>
          <w:numId w:val="4"/>
        </w:numPr>
        <w:spacing w:after="200"/>
      </w:pPr>
      <w:r>
        <w:rPr>
          <w:rFonts w:ascii="Calibri" w:eastAsia="Calibri" w:hAnsi="Calibri" w:cs="Calibri"/>
        </w:rPr>
        <w:t>A 2022 study by Healthwatch Hackney found that some local GPs denied care to vulnerable people by requiring ID documents or proof of address documents, with one local GP “strictly refusing registration for asylum seekers or undocumented and homeless people.”</w:t>
      </w:r>
      <w:r>
        <w:rPr>
          <w:rFonts w:ascii="Calibri" w:eastAsia="Calibri" w:hAnsi="Calibri" w:cs="Calibri"/>
          <w:vertAlign w:val="superscript"/>
        </w:rPr>
        <w:footnoteReference w:id="26"/>
      </w:r>
      <w:r>
        <w:rPr>
          <w:rFonts w:ascii="Calibri" w:eastAsia="Calibri" w:hAnsi="Calibri" w:cs="Calibri"/>
        </w:rPr>
        <w:t xml:space="preserve"> Barriers to access to primary health care could lead to poor health outcomes not only for marginalised groups but also reduce general health outcomes. </w:t>
      </w:r>
    </w:p>
    <w:p w14:paraId="4AB2CB1A" w14:textId="77777777" w:rsidR="00501A88" w:rsidRDefault="00000000">
      <w:pPr>
        <w:widowControl w:val="0"/>
        <w:numPr>
          <w:ilvl w:val="0"/>
          <w:numId w:val="4"/>
        </w:numPr>
        <w:spacing w:after="200"/>
      </w:pPr>
      <w:r>
        <w:rPr>
          <w:rFonts w:ascii="Calibri" w:eastAsia="Calibri" w:hAnsi="Calibri" w:cs="Calibri"/>
        </w:rPr>
        <w:t xml:space="preserve">In a community study carried out by Work Better Innovations (WBI) in November 2023 for Action Hampshire—an organisation that works with the voluntary, community and social enterprise (VCSE) sector in the Hampshire area—and the NHS Hampshire and Isle </w:t>
      </w:r>
      <w:r>
        <w:rPr>
          <w:rFonts w:ascii="Calibri" w:eastAsia="Calibri" w:hAnsi="Calibri" w:cs="Calibri"/>
        </w:rPr>
        <w:lastRenderedPageBreak/>
        <w:t>of Wight Integrated Care Board, we found that our refugee and asylum seeking respondents affirmed the importance of increasing participation by underserved and underrepresented communities in health and care research to reduce health inequalities.</w:t>
      </w:r>
      <w:r>
        <w:rPr>
          <w:rFonts w:ascii="Calibri" w:eastAsia="Calibri" w:hAnsi="Calibri" w:cs="Calibri"/>
          <w:vertAlign w:val="superscript"/>
        </w:rPr>
        <w:footnoteReference w:id="27"/>
      </w:r>
      <w:r>
        <w:rPr>
          <w:rFonts w:ascii="Calibri" w:eastAsia="Calibri" w:hAnsi="Calibri" w:cs="Calibri"/>
        </w:rPr>
        <w:t xml:space="preserve"> Some of the misconceptions reported through WBI community research were that health and social care meant: “taking [medication] or being injected with something”; “only takes place in the hospital”; or “only involves physical diseases; it cannot help with mental health.”</w:t>
      </w:r>
      <w:r>
        <w:rPr>
          <w:rFonts w:ascii="Calibri" w:eastAsia="Calibri" w:hAnsi="Calibri" w:cs="Calibri"/>
          <w:vertAlign w:val="superscript"/>
        </w:rPr>
        <w:footnoteReference w:id="28"/>
      </w:r>
      <w:r>
        <w:rPr>
          <w:rFonts w:ascii="Calibri" w:eastAsia="Calibri" w:hAnsi="Calibri" w:cs="Calibri"/>
        </w:rPr>
        <w:t xml:space="preserve"> </w:t>
      </w:r>
    </w:p>
    <w:p w14:paraId="482684CE" w14:textId="77777777" w:rsidR="00501A88" w:rsidRDefault="00000000">
      <w:pPr>
        <w:widowControl w:val="0"/>
        <w:numPr>
          <w:ilvl w:val="0"/>
          <w:numId w:val="4"/>
        </w:numPr>
        <w:spacing w:after="200"/>
      </w:pPr>
      <w:r>
        <w:rPr>
          <w:rFonts w:ascii="Calibri" w:eastAsia="Calibri" w:hAnsi="Calibri" w:cs="Calibri"/>
        </w:rPr>
        <w:t>Misplaced notions on the nature of health and social care, particularly amongst marginalised communities in the UK, underscore the importance of having consistent government efforts to reduce health inequalities and improve health outcomes for all. Health equality not only better protects individuals from marginalised groups but also improves the overall health of the general population. This was notably seen during COVID-19 when the slower and lower uptake of the vaccination among ethnic minority groups due to misinformation, language barriers and/or mistrust in government institutions hampered public health efforts to control the pandemic and protect the broader community, including individuals with weakened immune systems who cannot be vaccinated.</w:t>
      </w:r>
      <w:r>
        <w:rPr>
          <w:rFonts w:ascii="Calibri" w:eastAsia="Calibri" w:hAnsi="Calibri" w:cs="Calibri"/>
          <w:vertAlign w:val="superscript"/>
        </w:rPr>
        <w:footnoteReference w:id="29"/>
      </w:r>
      <w:r>
        <w:rPr>
          <w:rFonts w:ascii="Calibri" w:eastAsia="Calibri" w:hAnsi="Calibri" w:cs="Calibri"/>
        </w:rPr>
        <w:t xml:space="preserve"> </w:t>
      </w:r>
    </w:p>
    <w:p w14:paraId="08C19CF2" w14:textId="77777777" w:rsidR="00501A88" w:rsidRDefault="00000000">
      <w:pPr>
        <w:widowControl w:val="0"/>
        <w:numPr>
          <w:ilvl w:val="0"/>
          <w:numId w:val="4"/>
        </w:numPr>
        <w:spacing w:after="200"/>
      </w:pPr>
      <w:r>
        <w:rPr>
          <w:rFonts w:ascii="Calibri" w:eastAsia="Calibri" w:hAnsi="Calibri" w:cs="Calibri"/>
        </w:rPr>
        <w:t>To better understand the health needs at the community level and give community members greater input over the commission of local services, research into health and care should be framed on the model of community-based participatory research (CBPR). Having robust CBPR research for health and care will also complement national health equalities monitoring data to provide a more nuanced understanding of how health disparities affect communities differently and design more locally sensitive interventions to improve health outcomes.</w:t>
      </w:r>
    </w:p>
    <w:p w14:paraId="06AE95AF" w14:textId="77777777" w:rsidR="00501A88" w:rsidRDefault="00000000">
      <w:pPr>
        <w:widowControl w:val="0"/>
        <w:numPr>
          <w:ilvl w:val="0"/>
          <w:numId w:val="4"/>
        </w:numPr>
        <w:spacing w:after="200"/>
      </w:pPr>
      <w:r>
        <w:rPr>
          <w:rFonts w:ascii="Calibri" w:eastAsia="Calibri" w:hAnsi="Calibri" w:cs="Calibri"/>
        </w:rPr>
        <w:t>Concrete examples of the positive impacts of the CBPR approach are seen in the NHS-funded programme of Community Participatory Action Research, in collaboration with the Scottish Community Development Centre, the University of Reading and a network of voluntary, community and social enterprise (VCSE) organisations in England, to directly work with community members negatively affected by health inequalities.</w:t>
      </w:r>
      <w:r>
        <w:rPr>
          <w:rFonts w:ascii="Calibri" w:eastAsia="Calibri" w:hAnsi="Calibri" w:cs="Calibri"/>
          <w:vertAlign w:val="superscript"/>
        </w:rPr>
        <w:footnoteReference w:id="30"/>
      </w:r>
      <w:r>
        <w:rPr>
          <w:rFonts w:ascii="Calibri" w:eastAsia="Calibri" w:hAnsi="Calibri" w:cs="Calibri"/>
        </w:rPr>
        <w:t xml:space="preserve"> The programme takes a long-term and inclusive approach to build up the human capacity to address localised dimensions of health inequalities by training and equipping local researchers, including members from areas of high deprivation, minority ethnic communities and/or refugees, asylum-seekers or migrants, to undertake research into community needs and develop possible transformative and sustainable solutions for their own communities.</w:t>
      </w:r>
    </w:p>
    <w:p w14:paraId="72B0FCAA" w14:textId="77777777" w:rsidR="00501A88" w:rsidRDefault="00501A88">
      <w:pPr>
        <w:widowControl w:val="0"/>
        <w:spacing w:after="200"/>
        <w:ind w:left="360"/>
        <w:rPr>
          <w:rFonts w:ascii="Calibri" w:eastAsia="Calibri" w:hAnsi="Calibri" w:cs="Calibri"/>
          <w:b/>
          <w:color w:val="FF5C39"/>
        </w:rPr>
      </w:pPr>
    </w:p>
    <w:p w14:paraId="671B3798" w14:textId="77777777" w:rsidR="00501A88" w:rsidRDefault="00000000">
      <w:pPr>
        <w:widowControl w:val="0"/>
        <w:numPr>
          <w:ilvl w:val="0"/>
          <w:numId w:val="4"/>
        </w:numPr>
        <w:spacing w:after="200"/>
        <w:rPr>
          <w:b/>
          <w:color w:val="FF5C39"/>
        </w:rPr>
      </w:pPr>
      <w:r>
        <w:rPr>
          <w:rFonts w:ascii="Calibri" w:eastAsia="Calibri" w:hAnsi="Calibri" w:cs="Calibri"/>
          <w:b/>
          <w:color w:val="FF5C39"/>
        </w:rPr>
        <w:lastRenderedPageBreak/>
        <w:t>Recommendations</w:t>
      </w:r>
    </w:p>
    <w:tbl>
      <w:tblPr>
        <w:tblStyle w:val="a3"/>
        <w:tblW w:w="8705"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705"/>
      </w:tblGrid>
      <w:tr w:rsidR="00501A88" w14:paraId="0BE42721" w14:textId="77777777">
        <w:tc>
          <w:tcPr>
            <w:tcW w:w="8705" w:type="dxa"/>
            <w:tcBorders>
              <w:top w:val="single" w:sz="8" w:space="0" w:color="FFFFFF"/>
              <w:left w:val="single" w:sz="8" w:space="0" w:color="FFFFFF"/>
              <w:bottom w:val="single" w:sz="8" w:space="0" w:color="FFFFFF"/>
              <w:right w:val="single" w:sz="8" w:space="0" w:color="FFFFFF"/>
            </w:tcBorders>
            <w:shd w:val="clear" w:color="auto" w:fill="FFEDEA"/>
            <w:tcMar>
              <w:top w:w="100" w:type="dxa"/>
              <w:left w:w="100" w:type="dxa"/>
              <w:bottom w:w="100" w:type="dxa"/>
              <w:right w:w="100" w:type="dxa"/>
            </w:tcMar>
          </w:tcPr>
          <w:sdt>
            <w:sdtPr>
              <w:tag w:val="goog_rdk_4"/>
              <w:id w:val="48036919"/>
              <w:lock w:val="contentLocked"/>
            </w:sdtPr>
            <w:sdtContent>
              <w:p w14:paraId="1A30BA8E" w14:textId="77777777" w:rsidR="00501A88" w:rsidRDefault="00000000">
                <w:pPr>
                  <w:widowControl w:val="0"/>
                  <w:spacing w:after="200"/>
                  <w:ind w:left="283"/>
                  <w:rPr>
                    <w:rFonts w:ascii="Calibri" w:eastAsia="Calibri" w:hAnsi="Calibri" w:cs="Calibri"/>
                    <w:color w:val="FF5C39"/>
                  </w:rPr>
                </w:pPr>
                <w:r>
                  <w:rPr>
                    <w:rFonts w:ascii="Calibri" w:eastAsia="Calibri" w:hAnsi="Calibri" w:cs="Calibri"/>
                  </w:rPr>
                  <w:t xml:space="preserve">The Committee should call on the Government of the UK under ICESCR article 12 to: </w:t>
                </w:r>
              </w:p>
              <w:p w14:paraId="5A71A87C" w14:textId="77777777" w:rsidR="00501A88" w:rsidRDefault="00000000">
                <w:pPr>
                  <w:widowControl w:val="0"/>
                  <w:numPr>
                    <w:ilvl w:val="0"/>
                    <w:numId w:val="2"/>
                  </w:numPr>
                  <w:pBdr>
                    <w:top w:val="nil"/>
                    <w:left w:val="nil"/>
                    <w:bottom w:val="nil"/>
                    <w:right w:val="nil"/>
                    <w:between w:val="nil"/>
                  </w:pBdr>
                  <w:spacing w:after="200"/>
                  <w:rPr>
                    <w:rFonts w:ascii="Calibri" w:eastAsia="Calibri" w:hAnsi="Calibri" w:cs="Calibri"/>
                    <w:b/>
                  </w:rPr>
                </w:pPr>
                <w:r>
                  <w:rPr>
                    <w:rFonts w:ascii="Calibri" w:eastAsia="Calibri" w:hAnsi="Calibri" w:cs="Calibri"/>
                    <w:b/>
                  </w:rPr>
                  <w:t>Take active measures to support and engage local communities to co-design and deliver health services through community-based participatory research (CBPR). Better health outcomes are attained when community members who are marginalised see their unique life experiences and viewpoints included in the delivery of public health services.</w:t>
                </w:r>
              </w:p>
              <w:p w14:paraId="55598126" w14:textId="77777777" w:rsidR="00501A88" w:rsidRDefault="00000000">
                <w:pPr>
                  <w:widowControl w:val="0"/>
                  <w:numPr>
                    <w:ilvl w:val="0"/>
                    <w:numId w:val="2"/>
                  </w:numPr>
                  <w:pBdr>
                    <w:top w:val="nil"/>
                    <w:left w:val="nil"/>
                    <w:bottom w:val="nil"/>
                    <w:right w:val="nil"/>
                    <w:between w:val="nil"/>
                  </w:pBdr>
                  <w:spacing w:after="200"/>
                  <w:rPr>
                    <w:rFonts w:ascii="Calibri" w:eastAsia="Calibri" w:hAnsi="Calibri" w:cs="Calibri"/>
                    <w:b/>
                  </w:rPr>
                </w:pPr>
                <w:r>
                  <w:rPr>
                    <w:rFonts w:ascii="Calibri" w:eastAsia="Calibri" w:hAnsi="Calibri" w:cs="Calibri"/>
                    <w:b/>
                  </w:rPr>
                  <w:t>Ensure that primary care, such as those delivered by general practitioners (GPs) practices, must strictly adhere to national guidelines to not deter individuals from accessing healthcare, and that such information is widely available and accessible to marginalised communities and service providers. Consistent messages from communities highlight that primary care providers can become gatekeepers when patients — including refugees, asylum-seekers and migrants—experience real difficulties in trying to access healthcare.</w:t>
                </w:r>
              </w:p>
              <w:p w14:paraId="65BC826B" w14:textId="77777777" w:rsidR="00501A88" w:rsidRDefault="00000000">
                <w:pPr>
                  <w:widowControl w:val="0"/>
                  <w:numPr>
                    <w:ilvl w:val="0"/>
                    <w:numId w:val="2"/>
                  </w:numPr>
                  <w:pBdr>
                    <w:top w:val="nil"/>
                    <w:left w:val="nil"/>
                    <w:bottom w:val="nil"/>
                    <w:right w:val="nil"/>
                    <w:between w:val="nil"/>
                  </w:pBdr>
                  <w:rPr>
                    <w:rFonts w:ascii="Calibri" w:eastAsia="Calibri" w:hAnsi="Calibri" w:cs="Calibri"/>
                    <w:b/>
                  </w:rPr>
                </w:pPr>
                <w:r>
                  <w:rPr>
                    <w:rFonts w:ascii="Calibri" w:eastAsia="Calibri" w:hAnsi="Calibri" w:cs="Calibri"/>
                    <w:b/>
                  </w:rPr>
                  <w:t>Establish and support specialist and statutory health inequalities leads with the aim to mainstream lessons learnt during the pandemic on the importance of reducing disparities in health outcomes for marginalised populations in the UK to the benefit of health for all.</w:t>
                </w:r>
              </w:p>
            </w:sdtContent>
          </w:sdt>
        </w:tc>
      </w:tr>
    </w:tbl>
    <w:p w14:paraId="4ABDD1D0" w14:textId="77777777" w:rsidR="00501A88" w:rsidRDefault="00501A88">
      <w:pPr>
        <w:widowControl w:val="0"/>
        <w:rPr>
          <w:rFonts w:ascii="Calibri" w:eastAsia="Calibri" w:hAnsi="Calibri" w:cs="Calibri"/>
          <w:b/>
          <w:color w:val="FF5C39"/>
        </w:rPr>
      </w:pPr>
    </w:p>
    <w:p w14:paraId="6F26F492" w14:textId="77777777" w:rsidR="00501A88" w:rsidRDefault="00000000">
      <w:pPr>
        <w:widowControl w:val="0"/>
        <w:ind w:left="720"/>
        <w:rPr>
          <w:rFonts w:ascii="Calibri" w:eastAsia="Calibri" w:hAnsi="Calibri" w:cs="Calibri"/>
          <w:b/>
          <w:color w:val="FF5C39"/>
        </w:rPr>
      </w:pPr>
      <w:r>
        <w:rPr>
          <w:rFonts w:ascii="Calibri" w:eastAsia="Calibri" w:hAnsi="Calibri" w:cs="Calibri"/>
          <w:i/>
        </w:rPr>
        <w:t xml:space="preserve">*We thank the </w:t>
      </w:r>
      <w:hyperlink r:id="rId18">
        <w:r w:rsidR="00501A88">
          <w:rPr>
            <w:rFonts w:ascii="Calibri" w:eastAsia="Calibri" w:hAnsi="Calibri" w:cs="Calibri"/>
            <w:i/>
            <w:color w:val="1155CC"/>
            <w:u w:val="single"/>
          </w:rPr>
          <w:t>Equality and Human Rights Commission</w:t>
        </w:r>
      </w:hyperlink>
      <w:r>
        <w:rPr>
          <w:rFonts w:ascii="Calibri" w:eastAsia="Calibri" w:hAnsi="Calibri" w:cs="Calibri"/>
          <w:i/>
        </w:rPr>
        <w:t>, one of the UK’s national human rights institutions, for a grant that will allow us to attend and participate in the meeting between the Committee on Economic, Social and Cultural Rights and members of our organisations during the 7th Periodic Review of the UK by the Committee concerning the Government’s implementation of the International Covenant on Economic, Social and Cultural Rights (ICESCR) in February 2025.</w:t>
      </w:r>
    </w:p>
    <w:p w14:paraId="44818757" w14:textId="77777777" w:rsidR="00501A88" w:rsidRDefault="00501A88">
      <w:pPr>
        <w:widowControl w:val="0"/>
        <w:rPr>
          <w:rFonts w:ascii="Calibri" w:eastAsia="Calibri" w:hAnsi="Calibri" w:cs="Calibri"/>
          <w:b/>
          <w:color w:val="FF5C39"/>
        </w:rPr>
      </w:pPr>
    </w:p>
    <w:p w14:paraId="3831E9A6" w14:textId="77777777" w:rsidR="00501A88" w:rsidRDefault="00501A88">
      <w:pPr>
        <w:widowControl w:val="0"/>
        <w:rPr>
          <w:rFonts w:ascii="Calibri" w:eastAsia="Calibri" w:hAnsi="Calibri" w:cs="Calibri"/>
          <w:b/>
          <w:color w:val="FF5C39"/>
        </w:rPr>
      </w:pPr>
    </w:p>
    <w:p w14:paraId="6DDD655C" w14:textId="77777777" w:rsidR="00501A88" w:rsidRDefault="00000000">
      <w:pPr>
        <w:widowControl w:val="0"/>
        <w:rPr>
          <w:rFonts w:ascii="Calibri" w:eastAsia="Calibri" w:hAnsi="Calibri" w:cs="Calibri"/>
          <w:b/>
        </w:rPr>
      </w:pPr>
      <w:r>
        <w:rPr>
          <w:rFonts w:ascii="Calibri" w:eastAsia="Calibri" w:hAnsi="Calibri" w:cs="Calibri"/>
          <w:b/>
          <w:color w:val="FF5C39"/>
        </w:rPr>
        <w:t>For more information, please contact:</w:t>
      </w:r>
      <w:r>
        <w:rPr>
          <w:rFonts w:ascii="Calibri" w:eastAsia="Calibri" w:hAnsi="Calibri" w:cs="Calibri"/>
          <w:b/>
        </w:rPr>
        <w:t xml:space="preserve"> </w:t>
      </w:r>
    </w:p>
    <w:p w14:paraId="61867561" w14:textId="77777777" w:rsidR="00501A88" w:rsidRDefault="00501A88">
      <w:pPr>
        <w:widowControl w:val="0"/>
        <w:rPr>
          <w:rFonts w:ascii="Calibri" w:eastAsia="Calibri" w:hAnsi="Calibri" w:cs="Calibri"/>
          <w:b/>
          <w:sz w:val="20"/>
          <w:szCs w:val="20"/>
        </w:rPr>
      </w:pPr>
    </w:p>
    <w:sdt>
      <w:sdtPr>
        <w:tag w:val="goog_rdk_5"/>
        <w:id w:val="1190420378"/>
        <w:lock w:val="contentLocked"/>
      </w:sdtPr>
      <w:sdtContent>
        <w:tbl>
          <w:tblPr>
            <w:tblStyle w:val="a4"/>
            <w:tblW w:w="8625" w:type="dxa"/>
            <w:tblInd w:w="405"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Look w:val="0600" w:firstRow="0" w:lastRow="0" w:firstColumn="0" w:lastColumn="0" w:noHBand="1" w:noVBand="1"/>
          </w:tblPr>
          <w:tblGrid>
            <w:gridCol w:w="4110"/>
            <w:gridCol w:w="4515"/>
          </w:tblGrid>
          <w:tr w:rsidR="00501A88" w14:paraId="66E31C6C" w14:textId="77777777">
            <w:trPr>
              <w:trHeight w:val="295"/>
            </w:trPr>
            <w:tc>
              <w:tcPr>
                <w:tcW w:w="4110" w:type="dxa"/>
                <w:shd w:val="clear" w:color="auto" w:fill="F3F3F3"/>
                <w:tcMar>
                  <w:top w:w="100" w:type="dxa"/>
                  <w:left w:w="100" w:type="dxa"/>
                  <w:bottom w:w="100" w:type="dxa"/>
                  <w:right w:w="100" w:type="dxa"/>
                </w:tcMar>
              </w:tcPr>
              <w:p w14:paraId="7E51E6EC" w14:textId="77777777" w:rsidR="00501A88" w:rsidRDefault="00000000">
                <w:pPr>
                  <w:widowControl w:val="0"/>
                  <w:jc w:val="center"/>
                  <w:rPr>
                    <w:rFonts w:ascii="Calibri" w:eastAsia="Calibri" w:hAnsi="Calibri" w:cs="Calibri"/>
                    <w:b/>
                    <w:sz w:val="22"/>
                    <w:szCs w:val="22"/>
                  </w:rPr>
                </w:pPr>
                <w:r>
                  <w:rPr>
                    <w:rFonts w:ascii="Calibri" w:eastAsia="Calibri" w:hAnsi="Calibri" w:cs="Calibri"/>
                    <w:b/>
                    <w:sz w:val="22"/>
                    <w:szCs w:val="22"/>
                  </w:rPr>
                  <w:t>Work Better Innovations</w:t>
                </w:r>
              </w:p>
            </w:tc>
            <w:tc>
              <w:tcPr>
                <w:tcW w:w="4515" w:type="dxa"/>
                <w:shd w:val="clear" w:color="auto" w:fill="F3F3F3"/>
                <w:tcMar>
                  <w:top w:w="100" w:type="dxa"/>
                  <w:left w:w="100" w:type="dxa"/>
                  <w:bottom w:w="100" w:type="dxa"/>
                  <w:right w:w="100" w:type="dxa"/>
                </w:tcMar>
                <w:vAlign w:val="center"/>
              </w:tcPr>
              <w:p w14:paraId="2714E006" w14:textId="77777777" w:rsidR="00501A88" w:rsidRDefault="00000000">
                <w:pPr>
                  <w:widowControl w:val="0"/>
                  <w:jc w:val="center"/>
                  <w:rPr>
                    <w:rFonts w:ascii="Calibri" w:eastAsia="Calibri" w:hAnsi="Calibri" w:cs="Calibri"/>
                    <w:b/>
                    <w:sz w:val="22"/>
                    <w:szCs w:val="22"/>
                  </w:rPr>
                </w:pPr>
                <w:r>
                  <w:rPr>
                    <w:rFonts w:ascii="Calibri" w:eastAsia="Calibri" w:hAnsi="Calibri" w:cs="Calibri"/>
                    <w:b/>
                    <w:sz w:val="22"/>
                    <w:szCs w:val="22"/>
                  </w:rPr>
                  <w:t>Southeast and East Asian Centre</w:t>
                </w:r>
              </w:p>
            </w:tc>
          </w:tr>
          <w:tr w:rsidR="00501A88" w14:paraId="6267AFE0" w14:textId="77777777">
            <w:tc>
              <w:tcPr>
                <w:tcW w:w="4110" w:type="dxa"/>
                <w:shd w:val="clear" w:color="auto" w:fill="F3F3F3"/>
                <w:tcMar>
                  <w:top w:w="100" w:type="dxa"/>
                  <w:left w:w="100" w:type="dxa"/>
                  <w:bottom w:w="100" w:type="dxa"/>
                  <w:right w:w="100" w:type="dxa"/>
                </w:tcMar>
              </w:tcPr>
              <w:p w14:paraId="31C637B2" w14:textId="77777777" w:rsidR="00501A88" w:rsidRDefault="00000000">
                <w:pPr>
                  <w:widowControl w:val="0"/>
                  <w:numPr>
                    <w:ilvl w:val="0"/>
                    <w:numId w:val="5"/>
                  </w:numPr>
                  <w:rPr>
                    <w:rFonts w:ascii="Calibri" w:eastAsia="Calibri" w:hAnsi="Calibri" w:cs="Calibri"/>
                    <w:sz w:val="22"/>
                    <w:szCs w:val="22"/>
                  </w:rPr>
                </w:pPr>
                <w:r>
                  <w:rPr>
                    <w:rFonts w:ascii="Calibri" w:eastAsia="Calibri" w:hAnsi="Calibri" w:cs="Calibri"/>
                    <w:sz w:val="22"/>
                    <w:szCs w:val="22"/>
                  </w:rPr>
                  <w:t xml:space="preserve">Dr Bonny Ling, Executive Director </w:t>
                </w:r>
                <w:hyperlink r:id="rId19">
                  <w:r w:rsidR="00501A88">
                    <w:rPr>
                      <w:rFonts w:ascii="Calibri" w:eastAsia="Calibri" w:hAnsi="Calibri" w:cs="Calibri"/>
                      <w:i/>
                      <w:color w:val="1155CC"/>
                      <w:sz w:val="22"/>
                      <w:szCs w:val="22"/>
                      <w:u w:val="single"/>
                    </w:rPr>
                    <w:t>bonny.ling@wbi.org.uk</w:t>
                  </w:r>
                </w:hyperlink>
                <w:hyperlink r:id="rId20">
                  <w:r w:rsidR="00501A88">
                    <w:rPr>
                      <w:rFonts w:ascii="Calibri" w:eastAsia="Calibri" w:hAnsi="Calibri" w:cs="Calibri"/>
                      <w:color w:val="0000FF"/>
                      <w:sz w:val="22"/>
                      <w:szCs w:val="22"/>
                    </w:rPr>
                    <w:t xml:space="preserve"> </w:t>
                  </w:r>
                </w:hyperlink>
                <w:r>
                  <w:rPr>
                    <w:rFonts w:ascii="Calibri" w:eastAsia="Calibri" w:hAnsi="Calibri" w:cs="Calibri"/>
                    <w:sz w:val="22"/>
                    <w:szCs w:val="22"/>
                  </w:rPr>
                  <w:t xml:space="preserve"> </w:t>
                </w:r>
              </w:p>
              <w:p w14:paraId="1C53870D" w14:textId="77777777" w:rsidR="00501A88" w:rsidRDefault="00501A88">
                <w:pPr>
                  <w:widowControl w:val="0"/>
                  <w:ind w:left="720"/>
                  <w:rPr>
                    <w:rFonts w:ascii="Calibri" w:eastAsia="Calibri" w:hAnsi="Calibri" w:cs="Calibri"/>
                    <w:sz w:val="22"/>
                    <w:szCs w:val="22"/>
                  </w:rPr>
                </w:pPr>
              </w:p>
              <w:p w14:paraId="4B70B9F7" w14:textId="77777777" w:rsidR="00501A88" w:rsidRDefault="00000000">
                <w:pPr>
                  <w:widowControl w:val="0"/>
                  <w:numPr>
                    <w:ilvl w:val="0"/>
                    <w:numId w:val="5"/>
                  </w:numPr>
                  <w:rPr>
                    <w:rFonts w:ascii="Calibri" w:eastAsia="Calibri" w:hAnsi="Calibri" w:cs="Calibri"/>
                    <w:sz w:val="22"/>
                    <w:szCs w:val="22"/>
                  </w:rPr>
                </w:pPr>
                <w:r>
                  <w:rPr>
                    <w:rFonts w:ascii="Calibri" w:eastAsia="Calibri" w:hAnsi="Calibri" w:cs="Calibri"/>
                    <w:sz w:val="22"/>
                    <w:szCs w:val="22"/>
                  </w:rPr>
                  <w:t xml:space="preserve">Ms Anita David, Director of Community Engagement </w:t>
                </w:r>
                <w:r>
                  <w:rPr>
                    <w:rFonts w:ascii="Calibri" w:eastAsia="Calibri" w:hAnsi="Calibri" w:cs="Calibri"/>
                    <w:i/>
                    <w:color w:val="1155CC"/>
                    <w:sz w:val="22"/>
                    <w:szCs w:val="22"/>
                    <w:u w:val="single"/>
                  </w:rPr>
                  <w:t>anita.david@wbi.org.uk</w:t>
                </w:r>
              </w:p>
              <w:p w14:paraId="3E9B1412" w14:textId="77777777" w:rsidR="00501A88" w:rsidRDefault="00501A88">
                <w:pPr>
                  <w:widowControl w:val="0"/>
                  <w:ind w:left="720"/>
                  <w:rPr>
                    <w:rFonts w:ascii="Calibri" w:eastAsia="Calibri" w:hAnsi="Calibri" w:cs="Calibri"/>
                    <w:sz w:val="22"/>
                    <w:szCs w:val="22"/>
                  </w:rPr>
                </w:pPr>
              </w:p>
              <w:p w14:paraId="5E5DBA1F" w14:textId="77777777" w:rsidR="00501A88" w:rsidRDefault="00000000">
                <w:pPr>
                  <w:widowControl w:val="0"/>
                  <w:ind w:left="720"/>
                  <w:rPr>
                    <w:rFonts w:ascii="Calibri" w:eastAsia="Calibri" w:hAnsi="Calibri" w:cs="Calibri"/>
                    <w:sz w:val="22"/>
                    <w:szCs w:val="22"/>
                  </w:rPr>
                </w:pPr>
                <w:r>
                  <w:rPr>
                    <w:rFonts w:ascii="Calibri" w:eastAsia="Calibri" w:hAnsi="Calibri" w:cs="Calibri"/>
                    <w:sz w:val="22"/>
                    <w:szCs w:val="22"/>
                  </w:rPr>
                  <w:t>Innovation Space, Halpern House</w:t>
                </w:r>
                <w:r>
                  <w:rPr>
                    <w:rFonts w:ascii="Calibri" w:eastAsia="Calibri" w:hAnsi="Calibri" w:cs="Calibri"/>
                    <w:sz w:val="22"/>
                    <w:szCs w:val="22"/>
                  </w:rPr>
                  <w:br/>
                  <w:t>1-2 Hampshire Terrace</w:t>
                </w:r>
                <w:r>
                  <w:rPr>
                    <w:rFonts w:ascii="Calibri" w:eastAsia="Calibri" w:hAnsi="Calibri" w:cs="Calibri"/>
                    <w:sz w:val="22"/>
                    <w:szCs w:val="22"/>
                  </w:rPr>
                  <w:br/>
                  <w:t>Portsmouth, PO1 2QF, England</w:t>
                </w:r>
              </w:p>
              <w:p w14:paraId="4CBA3152" w14:textId="77777777" w:rsidR="00501A88" w:rsidRDefault="00501A88">
                <w:pPr>
                  <w:widowControl w:val="0"/>
                  <w:ind w:left="720"/>
                  <w:rPr>
                    <w:rFonts w:ascii="Calibri" w:eastAsia="Calibri" w:hAnsi="Calibri" w:cs="Calibri"/>
                    <w:i/>
                    <w:color w:val="1155CC"/>
                    <w:sz w:val="22"/>
                    <w:szCs w:val="22"/>
                    <w:u w:val="single"/>
                  </w:rPr>
                </w:pPr>
                <w:hyperlink r:id="rId21">
                  <w:r>
                    <w:rPr>
                      <w:rFonts w:ascii="Calibri" w:eastAsia="Calibri" w:hAnsi="Calibri" w:cs="Calibri"/>
                      <w:i/>
                      <w:color w:val="1155CC"/>
                      <w:sz w:val="22"/>
                      <w:szCs w:val="22"/>
                      <w:u w:val="single"/>
                    </w:rPr>
                    <w:t>www.wbi.org.uk</w:t>
                  </w:r>
                </w:hyperlink>
              </w:p>
            </w:tc>
            <w:tc>
              <w:tcPr>
                <w:tcW w:w="4515" w:type="dxa"/>
                <w:shd w:val="clear" w:color="auto" w:fill="F3F3F3"/>
                <w:tcMar>
                  <w:top w:w="100" w:type="dxa"/>
                  <w:left w:w="100" w:type="dxa"/>
                  <w:bottom w:w="100" w:type="dxa"/>
                  <w:right w:w="100" w:type="dxa"/>
                </w:tcMar>
              </w:tcPr>
              <w:p w14:paraId="1E02EC82" w14:textId="77777777" w:rsidR="00501A88" w:rsidRDefault="00000000">
                <w:pPr>
                  <w:widowControl w:val="0"/>
                  <w:numPr>
                    <w:ilvl w:val="0"/>
                    <w:numId w:val="5"/>
                  </w:numPr>
                  <w:rPr>
                    <w:rFonts w:ascii="Arial" w:eastAsia="Arial" w:hAnsi="Arial" w:cs="Arial"/>
                    <w:b/>
                    <w:sz w:val="22"/>
                    <w:szCs w:val="22"/>
                  </w:rPr>
                </w:pPr>
                <w:r>
                  <w:rPr>
                    <w:rFonts w:ascii="Calibri" w:eastAsia="Calibri" w:hAnsi="Calibri" w:cs="Calibri"/>
                    <w:sz w:val="22"/>
                    <w:szCs w:val="22"/>
                  </w:rPr>
                  <w:t xml:space="preserve">Ms Mariko Hayashi, Executive Director </w:t>
                </w:r>
                <w:hyperlink r:id="rId22">
                  <w:r w:rsidR="00501A88">
                    <w:rPr>
                      <w:rFonts w:ascii="Calibri" w:eastAsia="Calibri" w:hAnsi="Calibri" w:cs="Calibri"/>
                      <w:i/>
                      <w:color w:val="1155CC"/>
                      <w:sz w:val="22"/>
                      <w:szCs w:val="22"/>
                      <w:u w:val="single"/>
                    </w:rPr>
                    <w:t>mariko@seeac.org.uk</w:t>
                  </w:r>
                </w:hyperlink>
              </w:p>
              <w:p w14:paraId="71380945" w14:textId="77777777" w:rsidR="00501A88" w:rsidRDefault="00501A88">
                <w:pPr>
                  <w:widowControl w:val="0"/>
                  <w:rPr>
                    <w:rFonts w:ascii="Calibri" w:eastAsia="Calibri" w:hAnsi="Calibri" w:cs="Calibri"/>
                    <w:i/>
                    <w:color w:val="1155CC"/>
                    <w:sz w:val="22"/>
                    <w:szCs w:val="22"/>
                    <w:u w:val="single"/>
                  </w:rPr>
                </w:pPr>
              </w:p>
              <w:p w14:paraId="0DC8984D" w14:textId="77777777" w:rsidR="00501A88" w:rsidRDefault="00000000">
                <w:pPr>
                  <w:widowControl w:val="0"/>
                  <w:numPr>
                    <w:ilvl w:val="0"/>
                    <w:numId w:val="5"/>
                  </w:numPr>
                  <w:rPr>
                    <w:rFonts w:ascii="Arial" w:eastAsia="Arial" w:hAnsi="Arial" w:cs="Arial"/>
                    <w:b/>
                    <w:sz w:val="22"/>
                    <w:szCs w:val="22"/>
                  </w:rPr>
                </w:pPr>
                <w:r>
                  <w:rPr>
                    <w:rFonts w:ascii="Calibri" w:eastAsia="Calibri" w:hAnsi="Calibri" w:cs="Calibri"/>
                    <w:sz w:val="22"/>
                    <w:szCs w:val="22"/>
                  </w:rPr>
                  <w:t xml:space="preserve">Dr Nova Fransisca Silitonga, Deputy Executive Director / Programme Manager </w:t>
                </w:r>
                <w:hyperlink r:id="rId23">
                  <w:r w:rsidR="00501A88">
                    <w:rPr>
                      <w:rFonts w:ascii="Calibri" w:eastAsia="Calibri" w:hAnsi="Calibri" w:cs="Calibri"/>
                      <w:i/>
                      <w:color w:val="1155CC"/>
                      <w:sz w:val="22"/>
                      <w:szCs w:val="22"/>
                      <w:u w:val="single"/>
                    </w:rPr>
                    <w:t>nova@seeac.org.uk</w:t>
                  </w:r>
                </w:hyperlink>
              </w:p>
              <w:p w14:paraId="63877BBE" w14:textId="77777777" w:rsidR="00501A88" w:rsidRDefault="00501A88">
                <w:pPr>
                  <w:widowControl w:val="0"/>
                  <w:rPr>
                    <w:rFonts w:ascii="Calibri" w:eastAsia="Calibri" w:hAnsi="Calibri" w:cs="Calibri"/>
                    <w:sz w:val="22"/>
                    <w:szCs w:val="22"/>
                  </w:rPr>
                </w:pPr>
              </w:p>
              <w:p w14:paraId="5FA30396" w14:textId="77777777" w:rsidR="00501A88" w:rsidRDefault="00000000">
                <w:pPr>
                  <w:widowControl w:val="0"/>
                  <w:ind w:left="720"/>
                  <w:rPr>
                    <w:rFonts w:ascii="Calibri" w:eastAsia="Calibri" w:hAnsi="Calibri" w:cs="Calibri"/>
                    <w:sz w:val="22"/>
                    <w:szCs w:val="22"/>
                  </w:rPr>
                </w:pPr>
                <w:r>
                  <w:rPr>
                    <w:rFonts w:ascii="Calibri" w:eastAsia="Calibri" w:hAnsi="Calibri" w:cs="Calibri"/>
                    <w:sz w:val="22"/>
                    <w:szCs w:val="22"/>
                  </w:rPr>
                  <w:t>Pelican House, Unit 101</w:t>
                </w:r>
                <w:r>
                  <w:rPr>
                    <w:rFonts w:ascii="Calibri" w:eastAsia="Calibri" w:hAnsi="Calibri" w:cs="Calibri"/>
                    <w:sz w:val="22"/>
                    <w:szCs w:val="22"/>
                  </w:rPr>
                  <w:br/>
                  <w:t>138 - 148 Cambridge Heath Road</w:t>
                </w:r>
                <w:r>
                  <w:rPr>
                    <w:rFonts w:ascii="Calibri" w:eastAsia="Calibri" w:hAnsi="Calibri" w:cs="Calibri"/>
                    <w:sz w:val="22"/>
                    <w:szCs w:val="22"/>
                  </w:rPr>
                  <w:br/>
                  <w:t>London, E1 5QJ, England</w:t>
                </w:r>
              </w:p>
              <w:p w14:paraId="0BCD69FC" w14:textId="77777777" w:rsidR="00501A88" w:rsidRDefault="00000000">
                <w:pPr>
                  <w:widowControl w:val="0"/>
                  <w:ind w:left="720"/>
                  <w:rPr>
                    <w:rFonts w:ascii="Calibri" w:eastAsia="Calibri" w:hAnsi="Calibri" w:cs="Calibri"/>
                    <w:i/>
                    <w:color w:val="1155CC"/>
                    <w:sz w:val="22"/>
                    <w:szCs w:val="22"/>
                    <w:u w:val="single"/>
                  </w:rPr>
                </w:pPr>
                <w:r>
                  <w:rPr>
                    <w:rFonts w:ascii="Calibri" w:eastAsia="Calibri" w:hAnsi="Calibri" w:cs="Calibri"/>
                    <w:i/>
                    <w:color w:val="1155CC"/>
                    <w:sz w:val="22"/>
                    <w:szCs w:val="22"/>
                    <w:u w:val="single"/>
                  </w:rPr>
                  <w:t>www.seeac.org.uk</w:t>
                </w:r>
              </w:p>
            </w:tc>
          </w:tr>
        </w:tbl>
      </w:sdtContent>
    </w:sdt>
    <w:p w14:paraId="3ED32195" w14:textId="77777777" w:rsidR="00501A88" w:rsidRPr="00696460" w:rsidRDefault="00501A88">
      <w:pPr>
        <w:pStyle w:val="Heading1"/>
        <w:spacing w:before="200"/>
        <w:rPr>
          <w:rFonts w:ascii="Calibri" w:eastAsia="Calibri" w:hAnsi="Calibri" w:cs="Calibri"/>
          <w:iCs/>
          <w:sz w:val="24"/>
          <w:szCs w:val="24"/>
          <w:highlight w:val="yellow"/>
        </w:rPr>
      </w:pPr>
      <w:bookmarkStart w:id="7" w:name="_heading=h.h54bw0eccyzv" w:colFirst="0" w:colLast="0"/>
      <w:bookmarkEnd w:id="7"/>
    </w:p>
    <w:sectPr w:rsidR="00501A88" w:rsidRPr="00696460">
      <w:footerReference w:type="even" r:id="rId24"/>
      <w:footerReference w:type="default" r:id="rId25"/>
      <w:pgSz w:w="11901" w:h="16817"/>
      <w:pgMar w:top="1418" w:right="1418" w:bottom="1418"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372DB" w14:textId="77777777" w:rsidR="000F2F08" w:rsidRDefault="000F2F08">
      <w:r>
        <w:separator/>
      </w:r>
    </w:p>
  </w:endnote>
  <w:endnote w:type="continuationSeparator" w:id="0">
    <w:p w14:paraId="48829335" w14:textId="77777777" w:rsidR="000F2F08" w:rsidRDefault="000F2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embedRegular r:id="rId1" w:fontKey="{C7CDA664-30F5-5D47-B8A9-30B482C4040B}"/>
    <w:embedBold r:id="rId2" w:fontKey="{607F939E-653E-9F42-91BA-0AA38700C2AC}"/>
    <w:embedItalic r:id="rId3" w:fontKey="{79F9028C-B38F-5541-B75E-BD02711263A8}"/>
    <w:embedBoldItalic r:id="rId4" w:fontKey="{CD6B08A0-8CB6-274B-83E9-BE95F7F67978}"/>
  </w:font>
  <w:font w:name="Times New Roman">
    <w:panose1 w:val="02020603050405020304"/>
    <w:charset w:val="00"/>
    <w:family w:val="roman"/>
    <w:pitch w:val="variable"/>
    <w:sig w:usb0="E0002EFF" w:usb1="C000785B" w:usb2="00000009" w:usb3="00000000" w:csb0="000001FF" w:csb1="00000000"/>
    <w:embedRegular r:id="rId5" w:fontKey="{CF179E92-94FB-C343-98B4-9E03BAF57E4C}"/>
    <w:embedBold r:id="rId6" w:fontKey="{D1003EF3-8372-7F47-9293-C48860F99B2E}"/>
    <w:embedItalic r:id="rId7" w:fontKey="{227B17E3-0F1F-6942-8062-E9257A1D1A4C}"/>
  </w:font>
  <w:font w:name="Aptos Display">
    <w:panose1 w:val="020B0004020202020204"/>
    <w:charset w:val="00"/>
    <w:family w:val="swiss"/>
    <w:pitch w:val="variable"/>
    <w:sig w:usb0="20000287" w:usb1="00000003" w:usb2="00000000" w:usb3="00000000" w:csb0="0000019F" w:csb1="00000000"/>
    <w:embedRegular r:id="rId8" w:fontKey="{67A91EDB-80A5-CD40-984E-6C23848E5AAE}"/>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embedRegular r:id="rId9" w:fontKey="{39B5852D-0455-A144-9CCC-515C3854E9FD}"/>
    <w:embedBold r:id="rId10" w:fontKey="{33725DA3-2F7C-4B47-888D-51CC02ED81A0}"/>
  </w:font>
  <w:font w:name="Aptos">
    <w:panose1 w:val="020B0004020202020204"/>
    <w:charset w:val="00"/>
    <w:family w:val="swiss"/>
    <w:pitch w:val="variable"/>
    <w:sig w:usb0="20000287" w:usb1="00000003" w:usb2="00000000" w:usb3="00000000" w:csb0="0000019F" w:csb1="00000000"/>
    <w:embedRegular r:id="rId11" w:fontKey="{096A2A33-96EF-F74F-97CC-494C2F2BB0F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8870E" w14:textId="77777777" w:rsidR="00501A88" w:rsidRDefault="00000000">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53E1FC33" w14:textId="77777777" w:rsidR="00501A88" w:rsidRDefault="00501A88">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C6179" w14:textId="77777777" w:rsidR="00501A88" w:rsidRDefault="00000000">
    <w:pPr>
      <w:pBdr>
        <w:top w:val="nil"/>
        <w:left w:val="nil"/>
        <w:bottom w:val="nil"/>
        <w:right w:val="nil"/>
        <w:between w:val="nil"/>
      </w:pBdr>
      <w:tabs>
        <w:tab w:val="center" w:pos="4513"/>
        <w:tab w:val="right" w:pos="9026"/>
      </w:tabs>
      <w:jc w:val="center"/>
      <w:rPr>
        <w:rFonts w:ascii="Calibri" w:eastAsia="Calibri" w:hAnsi="Calibri" w:cs="Calibri"/>
        <w:color w:val="000000"/>
        <w:sz w:val="20"/>
        <w:szCs w:val="20"/>
      </w:rPr>
    </w:pPr>
    <w:r>
      <w:rPr>
        <w:rFonts w:ascii="Calibri" w:eastAsia="Calibri" w:hAnsi="Calibri" w:cs="Calibri"/>
        <w:color w:val="000000"/>
        <w:sz w:val="20"/>
        <w:szCs w:val="20"/>
      </w:rPr>
      <w:fldChar w:fldCharType="begin"/>
    </w:r>
    <w:r>
      <w:rPr>
        <w:rFonts w:ascii="Calibri" w:eastAsia="Calibri" w:hAnsi="Calibri" w:cs="Calibri"/>
        <w:color w:val="000000"/>
        <w:sz w:val="20"/>
        <w:szCs w:val="20"/>
      </w:rPr>
      <w:instrText>PAGE</w:instrText>
    </w:r>
    <w:r>
      <w:rPr>
        <w:rFonts w:ascii="Calibri" w:eastAsia="Calibri" w:hAnsi="Calibri" w:cs="Calibri"/>
        <w:color w:val="000000"/>
        <w:sz w:val="20"/>
        <w:szCs w:val="20"/>
      </w:rPr>
      <w:fldChar w:fldCharType="separate"/>
    </w:r>
    <w:r w:rsidR="00C0069F">
      <w:rPr>
        <w:rFonts w:ascii="Calibri" w:eastAsia="Calibri" w:hAnsi="Calibri" w:cs="Calibri"/>
        <w:noProof/>
        <w:color w:val="000000"/>
        <w:sz w:val="20"/>
        <w:szCs w:val="20"/>
      </w:rPr>
      <w:t>1</w:t>
    </w:r>
    <w:r>
      <w:rPr>
        <w:rFonts w:ascii="Calibri" w:eastAsia="Calibri" w:hAnsi="Calibri" w:cs="Calibri"/>
        <w:color w:val="000000"/>
        <w:sz w:val="20"/>
        <w:szCs w:val="20"/>
      </w:rPr>
      <w:fldChar w:fldCharType="end"/>
    </w:r>
  </w:p>
  <w:p w14:paraId="22742491" w14:textId="77777777" w:rsidR="00501A88" w:rsidRDefault="00501A88">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2DB53" w14:textId="77777777" w:rsidR="000F2F08" w:rsidRDefault="000F2F08">
      <w:r>
        <w:separator/>
      </w:r>
    </w:p>
  </w:footnote>
  <w:footnote w:type="continuationSeparator" w:id="0">
    <w:p w14:paraId="752ACD37" w14:textId="77777777" w:rsidR="000F2F08" w:rsidRDefault="000F2F08">
      <w:r>
        <w:continuationSeparator/>
      </w:r>
    </w:p>
  </w:footnote>
  <w:footnote w:id="1">
    <w:p w14:paraId="347920D7" w14:textId="77777777" w:rsidR="00501A88" w:rsidRPr="002E5E15" w:rsidRDefault="00000000">
      <w:pPr>
        <w:pBdr>
          <w:top w:val="nil"/>
          <w:left w:val="nil"/>
          <w:bottom w:val="nil"/>
          <w:right w:val="nil"/>
          <w:between w:val="nil"/>
        </w:pBdr>
        <w:tabs>
          <w:tab w:val="right" w:pos="1021"/>
        </w:tabs>
        <w:spacing w:line="220" w:lineRule="auto"/>
        <w:ind w:left="1134" w:right="1134" w:hanging="1134"/>
        <w:rPr>
          <w:rFonts w:ascii="Calibri" w:eastAsia="Calibri" w:hAnsi="Calibri" w:cs="Calibri"/>
          <w:color w:val="000000"/>
          <w:sz w:val="20"/>
          <w:szCs w:val="20"/>
        </w:rPr>
      </w:pPr>
      <w:r w:rsidRPr="002E5E15">
        <w:rPr>
          <w:rStyle w:val="FootnoteReference"/>
          <w:rFonts w:ascii="Calibri" w:hAnsi="Calibri" w:cs="Calibri"/>
          <w:sz w:val="20"/>
          <w:szCs w:val="20"/>
        </w:rPr>
        <w:footnoteRef/>
      </w:r>
      <w:r w:rsidRPr="002E5E15">
        <w:rPr>
          <w:rFonts w:ascii="Calibri" w:eastAsia="Calibri" w:hAnsi="Calibri" w:cs="Calibri"/>
          <w:color w:val="000000"/>
          <w:sz w:val="20"/>
          <w:szCs w:val="20"/>
        </w:rPr>
        <w:t xml:space="preserve"> </w:t>
      </w:r>
      <w:hyperlink r:id="rId1">
        <w:r w:rsidR="00501A88" w:rsidRPr="002E5E15">
          <w:rPr>
            <w:rFonts w:ascii="Calibri" w:eastAsia="Calibri" w:hAnsi="Calibri" w:cs="Calibri"/>
            <w:i/>
            <w:color w:val="1155CC"/>
            <w:sz w:val="20"/>
            <w:szCs w:val="20"/>
            <w:u w:val="single"/>
          </w:rPr>
          <w:t>E/C.12/GBR/Q/7</w:t>
        </w:r>
      </w:hyperlink>
      <w:r w:rsidRPr="002E5E15">
        <w:rPr>
          <w:rFonts w:ascii="Calibri" w:eastAsia="Calibri" w:hAnsi="Calibri" w:cs="Calibri"/>
          <w:color w:val="000000"/>
          <w:sz w:val="20"/>
          <w:szCs w:val="20"/>
        </w:rPr>
        <w:t>, para. 6.</w:t>
      </w:r>
    </w:p>
  </w:footnote>
  <w:footnote w:id="2">
    <w:p w14:paraId="25ED9B9E"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eastAsia="Calibri" w:hAnsi="Calibri" w:cs="Calibri"/>
          <w:i/>
          <w:sz w:val="20"/>
          <w:szCs w:val="20"/>
        </w:rPr>
        <w:t xml:space="preserve"> </w:t>
      </w:r>
      <w:hyperlink r:id="rId2">
        <w:r w:rsidR="00501A88" w:rsidRPr="002E5E15">
          <w:rPr>
            <w:rFonts w:ascii="Calibri" w:eastAsia="Calibri" w:hAnsi="Calibri" w:cs="Calibri"/>
            <w:i/>
            <w:color w:val="1155CC"/>
            <w:sz w:val="20"/>
            <w:szCs w:val="20"/>
            <w:u w:val="single"/>
          </w:rPr>
          <w:t>E/C.12/GBR/RQ/7</w:t>
        </w:r>
      </w:hyperlink>
      <w:r w:rsidRPr="002E5E15">
        <w:rPr>
          <w:rFonts w:ascii="Calibri" w:eastAsia="Calibri" w:hAnsi="Calibri" w:cs="Calibri"/>
          <w:sz w:val="20"/>
          <w:szCs w:val="20"/>
        </w:rPr>
        <w:t>, para. 21.</w:t>
      </w:r>
    </w:p>
  </w:footnote>
  <w:footnote w:id="3">
    <w:p w14:paraId="2777C920"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eastAsia="Calibri" w:hAnsi="Calibri" w:cs="Calibri"/>
          <w:sz w:val="20"/>
          <w:szCs w:val="20"/>
        </w:rPr>
        <w:t xml:space="preserve"> National Action Plans on Business and Human Rights, </w:t>
      </w:r>
      <w:hyperlink r:id="rId3">
        <w:r w:rsidR="00501A88" w:rsidRPr="002E5E15">
          <w:rPr>
            <w:rFonts w:ascii="Calibri" w:eastAsia="Calibri" w:hAnsi="Calibri" w:cs="Calibri"/>
            <w:i/>
            <w:color w:val="1155CC"/>
            <w:sz w:val="20"/>
            <w:szCs w:val="20"/>
            <w:u w:val="single"/>
          </w:rPr>
          <w:t>United Kingdom</w:t>
        </w:r>
      </w:hyperlink>
      <w:r w:rsidRPr="002E5E15">
        <w:rPr>
          <w:rFonts w:ascii="Calibri" w:eastAsia="Calibri" w:hAnsi="Calibri" w:cs="Calibri"/>
          <w:sz w:val="20"/>
          <w:szCs w:val="20"/>
        </w:rPr>
        <w:t>, 29 January 2024; and United Kingdom Government, “</w:t>
      </w:r>
      <w:hyperlink r:id="rId4">
        <w:r w:rsidR="00501A88" w:rsidRPr="002E5E15">
          <w:rPr>
            <w:rFonts w:ascii="Calibri" w:eastAsia="Calibri" w:hAnsi="Calibri" w:cs="Calibri"/>
            <w:i/>
            <w:color w:val="1155CC"/>
            <w:sz w:val="20"/>
            <w:szCs w:val="20"/>
            <w:u w:val="single"/>
          </w:rPr>
          <w:t>Opportunity: National Baseline Assessment (NBA) of the Implementation of the UN Guiding Principles on Business and Human Rights</w:t>
        </w:r>
      </w:hyperlink>
      <w:r w:rsidRPr="002E5E15">
        <w:rPr>
          <w:rFonts w:ascii="Calibri" w:eastAsia="Calibri" w:hAnsi="Calibri" w:cs="Calibri"/>
          <w:sz w:val="20"/>
          <w:szCs w:val="20"/>
        </w:rPr>
        <w:t>,” 27 September 2024.</w:t>
      </w:r>
    </w:p>
  </w:footnote>
  <w:footnote w:id="4">
    <w:p w14:paraId="396BAA77"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eastAsia="Calibri" w:hAnsi="Calibri" w:cs="Calibri"/>
          <w:sz w:val="20"/>
          <w:szCs w:val="20"/>
        </w:rPr>
        <w:t xml:space="preserve"> </w:t>
      </w:r>
      <w:hyperlink r:id="rId5">
        <w:r w:rsidR="00501A88" w:rsidRPr="002E5E15">
          <w:rPr>
            <w:rFonts w:ascii="Calibri" w:eastAsia="Calibri" w:hAnsi="Calibri" w:cs="Calibri"/>
            <w:i/>
            <w:color w:val="1155CC"/>
            <w:sz w:val="20"/>
            <w:szCs w:val="20"/>
            <w:u w:val="single"/>
          </w:rPr>
          <w:t>E/C.12/GBR/RQ/7</w:t>
        </w:r>
      </w:hyperlink>
      <w:r w:rsidRPr="002E5E15">
        <w:rPr>
          <w:rFonts w:ascii="Calibri" w:eastAsia="Calibri" w:hAnsi="Calibri" w:cs="Calibri"/>
          <w:sz w:val="20"/>
          <w:szCs w:val="20"/>
        </w:rPr>
        <w:t xml:space="preserve">, para. 21. </w:t>
      </w:r>
    </w:p>
  </w:footnote>
  <w:footnote w:id="5">
    <w:p w14:paraId="727768E6"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eastAsia="Calibri" w:hAnsi="Calibri" w:cs="Calibri"/>
          <w:sz w:val="20"/>
          <w:szCs w:val="20"/>
        </w:rPr>
        <w:t xml:space="preserve"> UK Parliament, “</w:t>
      </w:r>
      <w:hyperlink r:id="rId6">
        <w:r w:rsidR="00501A88" w:rsidRPr="002E5E15">
          <w:rPr>
            <w:rFonts w:ascii="Calibri" w:eastAsia="Calibri" w:hAnsi="Calibri" w:cs="Calibri"/>
            <w:i/>
            <w:color w:val="1155CC"/>
            <w:sz w:val="20"/>
            <w:szCs w:val="20"/>
            <w:u w:val="single"/>
          </w:rPr>
          <w:t>Parliamentary Bills: Commercial Organisations and Public Authorities Duty (Human Rights and Environment) Bill [HL]</w:t>
        </w:r>
      </w:hyperlink>
      <w:r w:rsidRPr="002E5E15">
        <w:rPr>
          <w:rFonts w:ascii="Calibri" w:eastAsia="Calibri" w:hAnsi="Calibri" w:cs="Calibri"/>
          <w:sz w:val="20"/>
          <w:szCs w:val="20"/>
        </w:rPr>
        <w:t>,” 29 May 2024.</w:t>
      </w:r>
    </w:p>
  </w:footnote>
  <w:footnote w:id="6">
    <w:p w14:paraId="6A003F4E"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hAnsi="Calibri" w:cs="Calibri"/>
          <w:sz w:val="20"/>
          <w:szCs w:val="20"/>
        </w:rPr>
        <w:t xml:space="preserve"> </w:t>
      </w:r>
      <w:hyperlink r:id="rId7">
        <w:r w:rsidR="00501A88" w:rsidRPr="002E5E15">
          <w:rPr>
            <w:rFonts w:ascii="Calibri" w:eastAsia="Calibri" w:hAnsi="Calibri" w:cs="Calibri"/>
            <w:i/>
            <w:color w:val="1155CC"/>
            <w:sz w:val="20"/>
            <w:szCs w:val="20"/>
            <w:u w:val="single"/>
          </w:rPr>
          <w:t>E/C.12/GC/24</w:t>
        </w:r>
      </w:hyperlink>
      <w:r w:rsidRPr="002E5E15">
        <w:rPr>
          <w:rFonts w:ascii="Calibri" w:eastAsia="Calibri" w:hAnsi="Calibri" w:cs="Calibri"/>
          <w:sz w:val="20"/>
          <w:szCs w:val="20"/>
        </w:rPr>
        <w:t xml:space="preserve">, paras. 16 and 17. </w:t>
      </w:r>
    </w:p>
  </w:footnote>
  <w:footnote w:id="7">
    <w:p w14:paraId="26898800"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eastAsia="Calibri" w:hAnsi="Calibri" w:cs="Calibri"/>
          <w:sz w:val="20"/>
          <w:szCs w:val="20"/>
        </w:rPr>
        <w:t xml:space="preserve"> </w:t>
      </w:r>
      <w:hyperlink r:id="rId8">
        <w:r w:rsidR="00501A88" w:rsidRPr="002E5E15">
          <w:rPr>
            <w:rFonts w:ascii="Calibri" w:eastAsia="Calibri" w:hAnsi="Calibri" w:cs="Calibri"/>
            <w:i/>
            <w:color w:val="1155CC"/>
            <w:sz w:val="20"/>
            <w:szCs w:val="20"/>
            <w:u w:val="single"/>
          </w:rPr>
          <w:t>E/C.12/GBR/Q/7</w:t>
        </w:r>
      </w:hyperlink>
      <w:r w:rsidRPr="002E5E15">
        <w:rPr>
          <w:rFonts w:ascii="Calibri" w:eastAsia="Calibri" w:hAnsi="Calibri" w:cs="Calibri"/>
          <w:sz w:val="20"/>
          <w:szCs w:val="20"/>
        </w:rPr>
        <w:t xml:space="preserve">, para. 19. </w:t>
      </w:r>
    </w:p>
  </w:footnote>
  <w:footnote w:id="8">
    <w:p w14:paraId="05333ABA"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eastAsia="Calibri" w:hAnsi="Calibri" w:cs="Calibri"/>
          <w:sz w:val="20"/>
          <w:szCs w:val="20"/>
        </w:rPr>
        <w:t xml:space="preserve"> </w:t>
      </w:r>
      <w:hyperlink r:id="rId9">
        <w:r w:rsidR="00501A88" w:rsidRPr="002E5E15">
          <w:rPr>
            <w:rFonts w:ascii="Calibri" w:eastAsia="Calibri" w:hAnsi="Calibri" w:cs="Calibri"/>
            <w:i/>
            <w:color w:val="1155CC"/>
            <w:sz w:val="20"/>
            <w:szCs w:val="20"/>
            <w:u w:val="single"/>
          </w:rPr>
          <w:t>E/C.12/GBR/Q/7</w:t>
        </w:r>
      </w:hyperlink>
      <w:r w:rsidRPr="002E5E15">
        <w:rPr>
          <w:rFonts w:ascii="Calibri" w:eastAsia="Calibri" w:hAnsi="Calibri" w:cs="Calibri"/>
          <w:sz w:val="20"/>
          <w:szCs w:val="20"/>
        </w:rPr>
        <w:t xml:space="preserve">, para. 20. </w:t>
      </w:r>
    </w:p>
  </w:footnote>
  <w:footnote w:id="9">
    <w:p w14:paraId="19609311"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eastAsia="Calibri" w:hAnsi="Calibri" w:cs="Calibri"/>
          <w:sz w:val="20"/>
          <w:szCs w:val="20"/>
        </w:rPr>
        <w:t xml:space="preserve"> </w:t>
      </w:r>
      <w:r w:rsidRPr="002E5E15">
        <w:rPr>
          <w:rFonts w:ascii="Calibri" w:eastAsia="Calibri" w:hAnsi="Calibri" w:cs="Calibri"/>
          <w:i/>
          <w:sz w:val="20"/>
          <w:szCs w:val="20"/>
        </w:rPr>
        <w:t>Ibid</w:t>
      </w:r>
      <w:r w:rsidRPr="002E5E15">
        <w:rPr>
          <w:rFonts w:ascii="Calibri" w:eastAsia="Calibri" w:hAnsi="Calibri" w:cs="Calibri"/>
          <w:sz w:val="20"/>
          <w:szCs w:val="20"/>
        </w:rPr>
        <w:t xml:space="preserve">. </w:t>
      </w:r>
    </w:p>
  </w:footnote>
  <w:footnote w:id="10">
    <w:p w14:paraId="28F6AE12"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eastAsia="Calibri" w:hAnsi="Calibri" w:cs="Calibri"/>
          <w:sz w:val="20"/>
          <w:szCs w:val="20"/>
        </w:rPr>
        <w:t xml:space="preserve"> </w:t>
      </w:r>
      <w:hyperlink r:id="rId10">
        <w:r w:rsidR="00501A88" w:rsidRPr="002E5E15">
          <w:rPr>
            <w:rFonts w:ascii="Calibri" w:eastAsia="Calibri" w:hAnsi="Calibri" w:cs="Calibri"/>
            <w:i/>
            <w:color w:val="1155CC"/>
            <w:sz w:val="20"/>
            <w:szCs w:val="20"/>
            <w:u w:val="single"/>
          </w:rPr>
          <w:t>Annex to Reply to List of Issues</w:t>
        </w:r>
      </w:hyperlink>
      <w:r w:rsidRPr="002E5E15">
        <w:rPr>
          <w:rFonts w:ascii="Calibri" w:eastAsia="Calibri" w:hAnsi="Calibri" w:cs="Calibri"/>
          <w:sz w:val="20"/>
          <w:szCs w:val="20"/>
        </w:rPr>
        <w:t>, para. 20; this is the supplementary reply document provided by the Government to</w:t>
      </w:r>
      <w:r w:rsidRPr="002E5E15">
        <w:rPr>
          <w:rFonts w:ascii="Calibri" w:eastAsia="Calibri" w:hAnsi="Calibri" w:cs="Calibri"/>
          <w:i/>
          <w:sz w:val="20"/>
          <w:szCs w:val="20"/>
        </w:rPr>
        <w:t xml:space="preserve"> Replies of the United Kingdom of Great Britain and Northern Ireland to the list of issues in relation to its seventh periodic report</w:t>
      </w:r>
      <w:r w:rsidRPr="002E5E15">
        <w:rPr>
          <w:rFonts w:ascii="Calibri" w:eastAsia="Calibri" w:hAnsi="Calibri" w:cs="Calibri"/>
          <w:sz w:val="20"/>
          <w:szCs w:val="20"/>
        </w:rPr>
        <w:t xml:space="preserve"> (</w:t>
      </w:r>
      <w:hyperlink r:id="rId11">
        <w:r w:rsidR="00501A88" w:rsidRPr="002E5E15">
          <w:rPr>
            <w:rFonts w:ascii="Calibri" w:eastAsia="Calibri" w:hAnsi="Calibri" w:cs="Calibri"/>
            <w:i/>
            <w:color w:val="1155CC"/>
            <w:sz w:val="20"/>
            <w:szCs w:val="20"/>
            <w:u w:val="single"/>
          </w:rPr>
          <w:t>E/C.12/GBR/RQ/7</w:t>
        </w:r>
      </w:hyperlink>
      <w:r w:rsidRPr="002E5E15">
        <w:rPr>
          <w:rFonts w:ascii="Calibri" w:eastAsia="Calibri" w:hAnsi="Calibri" w:cs="Calibri"/>
          <w:sz w:val="20"/>
          <w:szCs w:val="20"/>
        </w:rPr>
        <w:t>), October 2024.</w:t>
      </w:r>
    </w:p>
  </w:footnote>
  <w:footnote w:id="11">
    <w:p w14:paraId="1A80B98A" w14:textId="77777777" w:rsidR="00501A88" w:rsidRPr="002E5E15" w:rsidRDefault="00000000">
      <w:pPr>
        <w:rPr>
          <w:rFonts w:ascii="Calibri" w:hAnsi="Calibri" w:cs="Calibri"/>
          <w:sz w:val="20"/>
          <w:szCs w:val="20"/>
        </w:rPr>
      </w:pPr>
      <w:r w:rsidRPr="002E5E15">
        <w:rPr>
          <w:rStyle w:val="FootnoteReference"/>
          <w:rFonts w:ascii="Calibri" w:hAnsi="Calibri" w:cs="Calibri"/>
          <w:sz w:val="20"/>
          <w:szCs w:val="20"/>
        </w:rPr>
        <w:footnoteRef/>
      </w:r>
      <w:r w:rsidRPr="002E5E15">
        <w:rPr>
          <w:rFonts w:ascii="Calibri" w:eastAsia="Calibri" w:hAnsi="Calibri" w:cs="Calibri"/>
          <w:sz w:val="20"/>
          <w:szCs w:val="20"/>
        </w:rPr>
        <w:t xml:space="preserve"> See, in general, reports from the </w:t>
      </w:r>
      <w:hyperlink r:id="rId12">
        <w:r w:rsidR="00501A88" w:rsidRPr="002E5E15">
          <w:rPr>
            <w:rFonts w:ascii="Calibri" w:eastAsia="Calibri" w:hAnsi="Calibri" w:cs="Calibri"/>
            <w:i/>
            <w:color w:val="1155CC"/>
            <w:sz w:val="20"/>
            <w:szCs w:val="20"/>
            <w:u w:val="single"/>
          </w:rPr>
          <w:t>Modern Slavery and Human Rights Policy and Evidence Centre</w:t>
        </w:r>
      </w:hyperlink>
      <w:r w:rsidRPr="002E5E15">
        <w:rPr>
          <w:rFonts w:ascii="Calibri" w:eastAsia="Calibri" w:hAnsi="Calibri" w:cs="Calibri"/>
          <w:sz w:val="20"/>
          <w:szCs w:val="20"/>
        </w:rPr>
        <w:t>, Focus on Labour Exploitation (</w:t>
      </w:r>
      <w:hyperlink r:id="rId13">
        <w:r w:rsidR="00501A88" w:rsidRPr="002E5E15">
          <w:rPr>
            <w:rFonts w:ascii="Calibri" w:eastAsia="Calibri" w:hAnsi="Calibri" w:cs="Calibri"/>
            <w:i/>
            <w:color w:val="1155CC"/>
            <w:sz w:val="20"/>
            <w:szCs w:val="20"/>
            <w:u w:val="single"/>
          </w:rPr>
          <w:t>FLEX</w:t>
        </w:r>
      </w:hyperlink>
      <w:r w:rsidRPr="002E5E15">
        <w:rPr>
          <w:rFonts w:ascii="Calibri" w:eastAsia="Calibri" w:hAnsi="Calibri" w:cs="Calibri"/>
          <w:sz w:val="20"/>
          <w:szCs w:val="20"/>
        </w:rPr>
        <w:t>) and the Southeast and East Asian Centre (</w:t>
      </w:r>
      <w:hyperlink r:id="rId14">
        <w:r w:rsidR="00501A88" w:rsidRPr="002E5E15">
          <w:rPr>
            <w:rFonts w:ascii="Calibri" w:eastAsia="Calibri" w:hAnsi="Calibri" w:cs="Calibri"/>
            <w:i/>
            <w:color w:val="1155CC"/>
            <w:sz w:val="20"/>
            <w:szCs w:val="20"/>
            <w:u w:val="single"/>
          </w:rPr>
          <w:t>SEEAC</w:t>
        </w:r>
      </w:hyperlink>
      <w:r w:rsidRPr="002E5E15">
        <w:rPr>
          <w:rFonts w:ascii="Calibri" w:eastAsia="Calibri" w:hAnsi="Calibri" w:cs="Calibri"/>
          <w:sz w:val="20"/>
          <w:szCs w:val="20"/>
        </w:rPr>
        <w:t>) in the UK</w:t>
      </w:r>
      <w:r w:rsidRPr="002E5E15">
        <w:rPr>
          <w:rFonts w:ascii="Calibri" w:hAnsi="Calibri" w:cs="Calibri"/>
          <w:sz w:val="20"/>
          <w:szCs w:val="20"/>
        </w:rPr>
        <w:t>.</w:t>
      </w:r>
    </w:p>
  </w:footnote>
  <w:footnote w:id="12">
    <w:p w14:paraId="575AA42B"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eastAsia="Calibri" w:hAnsi="Calibri" w:cs="Calibri"/>
          <w:sz w:val="20"/>
          <w:szCs w:val="20"/>
        </w:rPr>
        <w:t xml:space="preserve"> International Labour Organization, </w:t>
      </w:r>
      <w:hyperlink r:id="rId15">
        <w:r w:rsidR="00501A88" w:rsidRPr="002E5E15">
          <w:rPr>
            <w:rFonts w:ascii="Calibri" w:eastAsia="Calibri" w:hAnsi="Calibri" w:cs="Calibri"/>
            <w:i/>
            <w:color w:val="1155CC"/>
            <w:sz w:val="20"/>
            <w:szCs w:val="20"/>
            <w:u w:val="single"/>
          </w:rPr>
          <w:t>ILO Indicators of Forced Labour</w:t>
        </w:r>
      </w:hyperlink>
      <w:r w:rsidRPr="002E5E15">
        <w:rPr>
          <w:rFonts w:ascii="Calibri" w:eastAsia="Calibri" w:hAnsi="Calibri" w:cs="Calibri"/>
          <w:sz w:val="20"/>
          <w:szCs w:val="20"/>
        </w:rPr>
        <w:t xml:space="preserve">, October 2012. </w:t>
      </w:r>
    </w:p>
  </w:footnote>
  <w:footnote w:id="13">
    <w:p w14:paraId="4B58F8EF" w14:textId="77777777" w:rsidR="00501A88" w:rsidRPr="002E5E15" w:rsidRDefault="00000000">
      <w:pPr>
        <w:rPr>
          <w:rFonts w:ascii="Calibri" w:hAnsi="Calibri" w:cs="Calibri"/>
          <w:sz w:val="20"/>
          <w:szCs w:val="20"/>
        </w:rPr>
      </w:pPr>
      <w:r w:rsidRPr="002E5E15">
        <w:rPr>
          <w:rStyle w:val="FootnoteReference"/>
          <w:rFonts w:ascii="Calibri" w:hAnsi="Calibri" w:cs="Calibri"/>
          <w:sz w:val="20"/>
          <w:szCs w:val="20"/>
        </w:rPr>
        <w:footnoteRef/>
      </w:r>
      <w:r w:rsidRPr="002E5E15">
        <w:rPr>
          <w:rFonts w:ascii="Calibri" w:hAnsi="Calibri" w:cs="Calibri"/>
          <w:sz w:val="20"/>
          <w:szCs w:val="20"/>
        </w:rPr>
        <w:t xml:space="preserve"> </w:t>
      </w:r>
      <w:r w:rsidRPr="002E5E15">
        <w:rPr>
          <w:rFonts w:ascii="Calibri" w:eastAsia="Calibri" w:hAnsi="Calibri" w:cs="Calibri"/>
          <w:sz w:val="20"/>
          <w:szCs w:val="20"/>
        </w:rPr>
        <w:t xml:space="preserve">Focus on Labour Exploitation (FLEX), </w:t>
      </w:r>
      <w:hyperlink r:id="rId16">
        <w:r w:rsidR="00501A88" w:rsidRPr="002E5E15">
          <w:rPr>
            <w:rFonts w:ascii="Calibri" w:eastAsia="Calibri" w:hAnsi="Calibri" w:cs="Calibri"/>
            <w:i/>
            <w:color w:val="1155CC"/>
            <w:sz w:val="20"/>
            <w:szCs w:val="20"/>
            <w:u w:val="single"/>
          </w:rPr>
          <w:t>Bearing Fruit: Making Recruitment Fairer for Migrant Workers</w:t>
        </w:r>
      </w:hyperlink>
      <w:r w:rsidRPr="002E5E15">
        <w:rPr>
          <w:rFonts w:ascii="Calibri" w:eastAsia="Calibri" w:hAnsi="Calibri" w:cs="Calibri"/>
          <w:sz w:val="20"/>
          <w:szCs w:val="20"/>
        </w:rPr>
        <w:t>, April 2024, p. 6.</w:t>
      </w:r>
    </w:p>
  </w:footnote>
  <w:footnote w:id="14">
    <w:p w14:paraId="2F52D792"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eastAsia="Calibri" w:hAnsi="Calibri" w:cs="Calibri"/>
          <w:sz w:val="20"/>
          <w:szCs w:val="20"/>
        </w:rPr>
        <w:t xml:space="preserve"> Thiemann, I. </w:t>
      </w:r>
      <w:r w:rsidRPr="002E5E15">
        <w:rPr>
          <w:rFonts w:ascii="Calibri" w:eastAsia="Calibri" w:hAnsi="Calibri" w:cs="Calibri"/>
          <w:i/>
          <w:sz w:val="20"/>
          <w:szCs w:val="20"/>
        </w:rPr>
        <w:t>et.al</w:t>
      </w:r>
      <w:r w:rsidRPr="002E5E15">
        <w:rPr>
          <w:rFonts w:ascii="Calibri" w:eastAsia="Calibri" w:hAnsi="Calibri" w:cs="Calibri"/>
          <w:sz w:val="20"/>
          <w:szCs w:val="20"/>
        </w:rPr>
        <w:t xml:space="preserve">., </w:t>
      </w:r>
      <w:hyperlink r:id="rId17">
        <w:r w:rsidR="00501A88" w:rsidRPr="002E5E15">
          <w:rPr>
            <w:rFonts w:ascii="Calibri" w:eastAsia="Calibri" w:hAnsi="Calibri" w:cs="Calibri"/>
            <w:i/>
            <w:color w:val="1155CC"/>
            <w:sz w:val="20"/>
            <w:szCs w:val="20"/>
            <w:u w:val="single"/>
          </w:rPr>
          <w:t>UK Agriculture and Care Visas: Worker Exploitation and Obstacles to Redress</w:t>
        </w:r>
      </w:hyperlink>
      <w:r w:rsidRPr="002E5E15">
        <w:rPr>
          <w:rFonts w:ascii="Calibri" w:eastAsia="Calibri" w:hAnsi="Calibri" w:cs="Calibri"/>
          <w:sz w:val="20"/>
          <w:szCs w:val="20"/>
        </w:rPr>
        <w:t>, March 2024, p. 20.</w:t>
      </w:r>
    </w:p>
  </w:footnote>
  <w:footnote w:id="15">
    <w:p w14:paraId="1824C15A"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eastAsia="Calibri" w:hAnsi="Calibri" w:cs="Calibri"/>
          <w:sz w:val="20"/>
          <w:szCs w:val="20"/>
        </w:rPr>
        <w:t xml:space="preserve"> Financial Times, “</w:t>
      </w:r>
      <w:hyperlink r:id="rId18">
        <w:r w:rsidR="00501A88" w:rsidRPr="002E5E15">
          <w:rPr>
            <w:rFonts w:ascii="Calibri" w:eastAsia="Calibri" w:hAnsi="Calibri" w:cs="Calibri"/>
            <w:i/>
            <w:color w:val="1155CC"/>
            <w:sz w:val="20"/>
            <w:szCs w:val="20"/>
            <w:u w:val="single"/>
          </w:rPr>
          <w:t>Britain’s Seasonal Worker Scheme Leaves Many Migrants in Debt, Research Find</w:t>
        </w:r>
      </w:hyperlink>
      <w:hyperlink r:id="rId19">
        <w:r w:rsidR="00501A88" w:rsidRPr="002E5E15">
          <w:rPr>
            <w:rFonts w:ascii="Calibri" w:eastAsia="Calibri" w:hAnsi="Calibri" w:cs="Calibri"/>
            <w:color w:val="1155CC"/>
            <w:sz w:val="20"/>
            <w:szCs w:val="20"/>
            <w:u w:val="single"/>
          </w:rPr>
          <w:t>s</w:t>
        </w:r>
      </w:hyperlink>
      <w:r w:rsidRPr="002E5E15">
        <w:rPr>
          <w:rFonts w:ascii="Calibri" w:eastAsia="Calibri" w:hAnsi="Calibri" w:cs="Calibri"/>
          <w:sz w:val="20"/>
          <w:szCs w:val="20"/>
        </w:rPr>
        <w:t>,” 2 April 2024.</w:t>
      </w:r>
    </w:p>
  </w:footnote>
  <w:footnote w:id="16">
    <w:p w14:paraId="551A4DD8"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hAnsi="Calibri" w:cs="Calibri"/>
          <w:sz w:val="20"/>
          <w:szCs w:val="20"/>
        </w:rPr>
        <w:t xml:space="preserve"> </w:t>
      </w:r>
      <w:r w:rsidRPr="002E5E15">
        <w:rPr>
          <w:rFonts w:ascii="Calibri" w:eastAsia="Calibri" w:hAnsi="Calibri" w:cs="Calibri"/>
          <w:sz w:val="20"/>
          <w:szCs w:val="20"/>
        </w:rPr>
        <w:t>Thiemann, I.</w:t>
      </w:r>
      <w:r w:rsidRPr="002E5E15">
        <w:rPr>
          <w:rFonts w:ascii="Calibri" w:eastAsia="Calibri" w:hAnsi="Calibri" w:cs="Calibri"/>
          <w:i/>
          <w:sz w:val="20"/>
          <w:szCs w:val="20"/>
        </w:rPr>
        <w:t xml:space="preserve"> et.al</w:t>
      </w:r>
      <w:r w:rsidRPr="002E5E15">
        <w:rPr>
          <w:rFonts w:ascii="Calibri" w:eastAsia="Calibri" w:hAnsi="Calibri" w:cs="Calibri"/>
          <w:sz w:val="20"/>
          <w:szCs w:val="20"/>
        </w:rPr>
        <w:t>., p. 20.</w:t>
      </w:r>
    </w:p>
  </w:footnote>
  <w:footnote w:id="17">
    <w:p w14:paraId="6D29417D" w14:textId="373392C2"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eastAsia="Calibri" w:hAnsi="Calibri" w:cs="Calibri"/>
          <w:sz w:val="20"/>
          <w:szCs w:val="20"/>
        </w:rPr>
        <w:t xml:space="preserve"> </w:t>
      </w:r>
      <w:r w:rsidRPr="002E5E15">
        <w:rPr>
          <w:rFonts w:ascii="Calibri" w:eastAsia="Calibri" w:hAnsi="Calibri" w:cs="Calibri"/>
          <w:i/>
          <w:sz w:val="20"/>
          <w:szCs w:val="20"/>
        </w:rPr>
        <w:t>Ibid.</w:t>
      </w:r>
      <w:r w:rsidRPr="002E5E15">
        <w:rPr>
          <w:rFonts w:ascii="Calibri" w:eastAsia="Calibri" w:hAnsi="Calibri" w:cs="Calibri"/>
          <w:sz w:val="20"/>
          <w:szCs w:val="20"/>
        </w:rPr>
        <w:t>, pps.21-23</w:t>
      </w:r>
      <w:r w:rsidR="00696460" w:rsidRPr="002E5E15">
        <w:rPr>
          <w:rFonts w:ascii="Calibri" w:eastAsia="Calibri" w:hAnsi="Calibri" w:cs="Calibri"/>
          <w:sz w:val="20"/>
          <w:szCs w:val="20"/>
        </w:rPr>
        <w:t xml:space="preserve"> and </w:t>
      </w:r>
      <w:r w:rsidRPr="002E5E15">
        <w:rPr>
          <w:rFonts w:ascii="Calibri" w:eastAsia="Calibri" w:hAnsi="Calibri" w:cs="Calibri"/>
          <w:sz w:val="20"/>
          <w:szCs w:val="20"/>
        </w:rPr>
        <w:t xml:space="preserve">34. </w:t>
      </w:r>
    </w:p>
  </w:footnote>
  <w:footnote w:id="18">
    <w:p w14:paraId="62C2596F" w14:textId="77777777" w:rsidR="00501A88" w:rsidRPr="002E5E15" w:rsidRDefault="00000000">
      <w:pPr>
        <w:rPr>
          <w:rFonts w:ascii="Calibri" w:hAnsi="Calibri" w:cs="Calibri"/>
          <w:sz w:val="20"/>
          <w:szCs w:val="20"/>
        </w:rPr>
      </w:pPr>
      <w:r w:rsidRPr="002E5E15">
        <w:rPr>
          <w:rStyle w:val="FootnoteReference"/>
          <w:rFonts w:ascii="Calibri" w:hAnsi="Calibri" w:cs="Calibri"/>
          <w:sz w:val="20"/>
          <w:szCs w:val="20"/>
        </w:rPr>
        <w:footnoteRef/>
      </w:r>
      <w:r w:rsidRPr="002E5E15">
        <w:rPr>
          <w:rFonts w:ascii="Calibri" w:hAnsi="Calibri" w:cs="Calibri"/>
          <w:sz w:val="20"/>
          <w:szCs w:val="20"/>
        </w:rPr>
        <w:t xml:space="preserve"> </w:t>
      </w:r>
      <w:r w:rsidRPr="002E5E15">
        <w:rPr>
          <w:rFonts w:ascii="Calibri" w:eastAsia="Calibri" w:hAnsi="Calibri" w:cs="Calibri"/>
          <w:sz w:val="20"/>
          <w:szCs w:val="20"/>
        </w:rPr>
        <w:t>United Kingdom Government, Migration Advisory Committee, “</w:t>
      </w:r>
      <w:hyperlink r:id="rId20">
        <w:r w:rsidR="00501A88" w:rsidRPr="002E5E15">
          <w:rPr>
            <w:rFonts w:ascii="Calibri" w:eastAsia="Calibri" w:hAnsi="Calibri" w:cs="Calibri"/>
            <w:i/>
            <w:color w:val="1155CC"/>
            <w:sz w:val="20"/>
            <w:szCs w:val="20"/>
            <w:u w:val="single"/>
          </w:rPr>
          <w:t>Review of the Seasonal Worker Visa</w:t>
        </w:r>
      </w:hyperlink>
      <w:r w:rsidRPr="002E5E15">
        <w:rPr>
          <w:rFonts w:ascii="Calibri" w:eastAsia="Calibri" w:hAnsi="Calibri" w:cs="Calibri"/>
          <w:sz w:val="20"/>
          <w:szCs w:val="20"/>
        </w:rPr>
        <w:t>,” 16 July 2024.</w:t>
      </w:r>
    </w:p>
  </w:footnote>
  <w:footnote w:id="19">
    <w:p w14:paraId="54EDEF6F"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hAnsi="Calibri" w:cs="Calibri"/>
          <w:sz w:val="20"/>
          <w:szCs w:val="20"/>
        </w:rPr>
        <w:t xml:space="preserve"> </w:t>
      </w:r>
      <w:r w:rsidRPr="002E5E15">
        <w:rPr>
          <w:rFonts w:ascii="Calibri" w:eastAsia="Calibri" w:hAnsi="Calibri" w:cs="Calibri"/>
          <w:sz w:val="20"/>
          <w:szCs w:val="20"/>
        </w:rPr>
        <w:t>See Institute for Human Rights and Business (IHRB), Responsible Recruitment Gateway, “</w:t>
      </w:r>
      <w:hyperlink r:id="rId21">
        <w:r w:rsidR="00501A88" w:rsidRPr="002E5E15">
          <w:rPr>
            <w:rFonts w:ascii="Calibri" w:eastAsia="Calibri" w:hAnsi="Calibri" w:cs="Calibri"/>
            <w:i/>
            <w:color w:val="1155CC"/>
            <w:sz w:val="20"/>
            <w:szCs w:val="20"/>
            <w:u w:val="single"/>
          </w:rPr>
          <w:t>The Employer Pays Principle</w:t>
        </w:r>
      </w:hyperlink>
      <w:r w:rsidRPr="002E5E15">
        <w:rPr>
          <w:rFonts w:ascii="Calibri" w:eastAsia="Calibri" w:hAnsi="Calibri" w:cs="Calibri"/>
          <w:sz w:val="20"/>
          <w:szCs w:val="20"/>
        </w:rPr>
        <w:t>.”</w:t>
      </w:r>
    </w:p>
  </w:footnote>
  <w:footnote w:id="20">
    <w:p w14:paraId="470755AF"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eastAsia="Calibri" w:hAnsi="Calibri" w:cs="Calibri"/>
          <w:sz w:val="20"/>
          <w:szCs w:val="20"/>
        </w:rPr>
        <w:t xml:space="preserve"> </w:t>
      </w:r>
      <w:hyperlink r:id="rId22">
        <w:r w:rsidR="00501A88" w:rsidRPr="002E5E15">
          <w:rPr>
            <w:rFonts w:ascii="Calibri" w:eastAsia="Calibri" w:hAnsi="Calibri" w:cs="Calibri"/>
            <w:i/>
            <w:color w:val="1155CC"/>
            <w:sz w:val="20"/>
            <w:szCs w:val="20"/>
            <w:u w:val="single"/>
          </w:rPr>
          <w:t>E/C.12/GBR/RQ/7</w:t>
        </w:r>
      </w:hyperlink>
      <w:r w:rsidRPr="002E5E15">
        <w:rPr>
          <w:rFonts w:ascii="Calibri" w:eastAsia="Calibri" w:hAnsi="Calibri" w:cs="Calibri"/>
          <w:sz w:val="20"/>
          <w:szCs w:val="20"/>
        </w:rPr>
        <w:t>, para. 135.</w:t>
      </w:r>
    </w:p>
  </w:footnote>
  <w:footnote w:id="21">
    <w:p w14:paraId="7F6EE4AD"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eastAsia="Calibri" w:hAnsi="Calibri" w:cs="Calibri"/>
          <w:sz w:val="20"/>
          <w:szCs w:val="20"/>
        </w:rPr>
        <w:t xml:space="preserve"> </w:t>
      </w:r>
      <w:hyperlink r:id="rId23">
        <w:r w:rsidR="00501A88" w:rsidRPr="002E5E15">
          <w:rPr>
            <w:rFonts w:ascii="Calibri" w:eastAsia="Calibri" w:hAnsi="Calibri" w:cs="Calibri"/>
            <w:i/>
            <w:color w:val="1155CC"/>
            <w:sz w:val="20"/>
            <w:szCs w:val="20"/>
            <w:u w:val="single"/>
          </w:rPr>
          <w:t>E/C.12/GBR/Q/7</w:t>
        </w:r>
      </w:hyperlink>
      <w:r w:rsidRPr="002E5E15">
        <w:rPr>
          <w:rFonts w:ascii="Calibri" w:eastAsia="Calibri" w:hAnsi="Calibri" w:cs="Calibri"/>
          <w:sz w:val="20"/>
          <w:szCs w:val="20"/>
        </w:rPr>
        <w:t xml:space="preserve">, para. 34. </w:t>
      </w:r>
    </w:p>
  </w:footnote>
  <w:footnote w:id="22">
    <w:p w14:paraId="5C47B356" w14:textId="77777777" w:rsidR="00501A88" w:rsidRPr="002E5E15" w:rsidRDefault="00000000">
      <w:pPr>
        <w:rPr>
          <w:rFonts w:ascii="Calibri" w:hAnsi="Calibri" w:cs="Calibri"/>
          <w:sz w:val="20"/>
          <w:szCs w:val="20"/>
        </w:rPr>
      </w:pPr>
      <w:r w:rsidRPr="002E5E15">
        <w:rPr>
          <w:rStyle w:val="FootnoteReference"/>
          <w:rFonts w:ascii="Calibri" w:hAnsi="Calibri" w:cs="Calibri"/>
          <w:sz w:val="20"/>
          <w:szCs w:val="20"/>
        </w:rPr>
        <w:footnoteRef/>
      </w:r>
      <w:r w:rsidRPr="002E5E15">
        <w:rPr>
          <w:rFonts w:ascii="Calibri" w:hAnsi="Calibri" w:cs="Calibri"/>
          <w:i/>
          <w:sz w:val="20"/>
          <w:szCs w:val="20"/>
        </w:rPr>
        <w:t xml:space="preserve"> </w:t>
      </w:r>
      <w:hyperlink r:id="rId24">
        <w:r w:rsidR="00501A88" w:rsidRPr="002E5E15">
          <w:rPr>
            <w:rFonts w:ascii="Calibri" w:eastAsia="Calibri" w:hAnsi="Calibri" w:cs="Calibri"/>
            <w:i/>
            <w:color w:val="1155CC"/>
            <w:sz w:val="20"/>
            <w:szCs w:val="20"/>
            <w:u w:val="single"/>
          </w:rPr>
          <w:t>E/C.12/GBR/Q/7</w:t>
        </w:r>
      </w:hyperlink>
      <w:r w:rsidRPr="002E5E15">
        <w:rPr>
          <w:rFonts w:ascii="Calibri" w:eastAsia="Calibri" w:hAnsi="Calibri" w:cs="Calibri"/>
          <w:sz w:val="20"/>
          <w:szCs w:val="20"/>
        </w:rPr>
        <w:t xml:space="preserve">, para. 10. </w:t>
      </w:r>
    </w:p>
  </w:footnote>
  <w:footnote w:id="23">
    <w:p w14:paraId="45B7D910" w14:textId="77777777" w:rsidR="00501A88" w:rsidRPr="002E5E15" w:rsidRDefault="00000000">
      <w:pPr>
        <w:rPr>
          <w:rFonts w:ascii="Calibri" w:hAnsi="Calibri" w:cs="Calibri"/>
          <w:sz w:val="20"/>
          <w:szCs w:val="20"/>
        </w:rPr>
      </w:pPr>
      <w:r w:rsidRPr="002E5E15">
        <w:rPr>
          <w:rStyle w:val="FootnoteReference"/>
          <w:rFonts w:ascii="Calibri" w:hAnsi="Calibri" w:cs="Calibri"/>
          <w:sz w:val="20"/>
          <w:szCs w:val="20"/>
        </w:rPr>
        <w:footnoteRef/>
      </w:r>
      <w:r w:rsidRPr="002E5E15">
        <w:rPr>
          <w:rFonts w:ascii="Calibri" w:hAnsi="Calibri" w:cs="Calibri"/>
          <w:sz w:val="20"/>
          <w:szCs w:val="20"/>
        </w:rPr>
        <w:t xml:space="preserve"> </w:t>
      </w:r>
      <w:r w:rsidRPr="002E5E15">
        <w:rPr>
          <w:rFonts w:ascii="Calibri" w:eastAsia="Calibri" w:hAnsi="Calibri" w:cs="Calibri"/>
          <w:sz w:val="20"/>
          <w:szCs w:val="20"/>
        </w:rPr>
        <w:t>Jannesari, Sohail, Emma Molyneaux, and Vanessa Lawrence. 2019. “</w:t>
      </w:r>
      <w:hyperlink r:id="rId25">
        <w:r w:rsidR="00501A88" w:rsidRPr="002E5E15">
          <w:rPr>
            <w:rFonts w:ascii="Calibri" w:eastAsia="Calibri" w:hAnsi="Calibri" w:cs="Calibri"/>
            <w:i/>
            <w:color w:val="1155CC"/>
            <w:sz w:val="20"/>
            <w:szCs w:val="20"/>
            <w:u w:val="single"/>
          </w:rPr>
          <w:t>What Affects the Mental Health of People Seeking Asylum in the UK? A Narrative Analysis of Migration Stories</w:t>
        </w:r>
      </w:hyperlink>
      <w:r w:rsidRPr="002E5E15">
        <w:rPr>
          <w:rFonts w:ascii="Calibri" w:eastAsia="Calibri" w:hAnsi="Calibri" w:cs="Calibri"/>
          <w:sz w:val="20"/>
          <w:szCs w:val="20"/>
        </w:rPr>
        <w:t xml:space="preserve">.” </w:t>
      </w:r>
      <w:r w:rsidRPr="002E5E15">
        <w:rPr>
          <w:rFonts w:ascii="Calibri" w:eastAsia="Calibri" w:hAnsi="Calibri" w:cs="Calibri"/>
          <w:i/>
          <w:sz w:val="20"/>
          <w:szCs w:val="20"/>
        </w:rPr>
        <w:t>Qualitative Research in Psychology</w:t>
      </w:r>
      <w:r w:rsidRPr="002E5E15">
        <w:rPr>
          <w:rFonts w:ascii="Calibri" w:eastAsia="Calibri" w:hAnsi="Calibri" w:cs="Calibri"/>
          <w:sz w:val="20"/>
          <w:szCs w:val="20"/>
        </w:rPr>
        <w:t xml:space="preserve"> 19 (2): 295–315.</w:t>
      </w:r>
    </w:p>
  </w:footnote>
  <w:footnote w:id="24">
    <w:p w14:paraId="390F0717" w14:textId="77777777" w:rsidR="00501A88" w:rsidRPr="002E5E15" w:rsidRDefault="00000000">
      <w:pPr>
        <w:rPr>
          <w:rFonts w:ascii="Calibri" w:hAnsi="Calibri" w:cs="Calibri"/>
          <w:sz w:val="20"/>
          <w:szCs w:val="20"/>
        </w:rPr>
      </w:pPr>
      <w:r w:rsidRPr="002E5E15">
        <w:rPr>
          <w:rStyle w:val="FootnoteReference"/>
          <w:rFonts w:ascii="Calibri" w:hAnsi="Calibri" w:cs="Calibri"/>
          <w:sz w:val="20"/>
          <w:szCs w:val="20"/>
        </w:rPr>
        <w:footnoteRef/>
      </w:r>
      <w:r w:rsidRPr="002E5E15">
        <w:rPr>
          <w:rFonts w:ascii="Calibri" w:eastAsia="Calibri" w:hAnsi="Calibri" w:cs="Calibri"/>
          <w:sz w:val="20"/>
          <w:szCs w:val="20"/>
        </w:rPr>
        <w:t xml:space="preserve"> Southwark Council, </w:t>
      </w:r>
      <w:hyperlink r:id="rId26">
        <w:r w:rsidR="00501A88" w:rsidRPr="002E5E15">
          <w:rPr>
            <w:rFonts w:ascii="Calibri" w:eastAsia="Calibri" w:hAnsi="Calibri" w:cs="Calibri"/>
            <w:i/>
            <w:color w:val="1155CC"/>
            <w:sz w:val="20"/>
            <w:szCs w:val="20"/>
            <w:u w:val="single"/>
          </w:rPr>
          <w:t>The Health and Wellbeing of Asylum Seekers and Refugees in Southwark</w:t>
        </w:r>
      </w:hyperlink>
      <w:r w:rsidRPr="002E5E15">
        <w:rPr>
          <w:rFonts w:ascii="Calibri" w:eastAsia="Calibri" w:hAnsi="Calibri" w:cs="Calibri"/>
          <w:sz w:val="20"/>
          <w:szCs w:val="20"/>
        </w:rPr>
        <w:t>: Southwark’s Joint Strategic Needs Assessment, June 2023, slide 3.</w:t>
      </w:r>
    </w:p>
  </w:footnote>
  <w:footnote w:id="25">
    <w:p w14:paraId="108FD3C0"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hAnsi="Calibri" w:cs="Calibri"/>
          <w:sz w:val="20"/>
          <w:szCs w:val="20"/>
        </w:rPr>
        <w:t xml:space="preserve"> </w:t>
      </w:r>
      <w:r w:rsidRPr="002E5E15">
        <w:rPr>
          <w:rFonts w:ascii="Calibri" w:eastAsia="Calibri" w:hAnsi="Calibri" w:cs="Calibri"/>
          <w:sz w:val="20"/>
          <w:szCs w:val="20"/>
        </w:rPr>
        <w:t xml:space="preserve">NHS England, </w:t>
      </w:r>
      <w:hyperlink r:id="rId27" w:anchor="4-gp-patient-registration-standard-operating-principles-for-primary-medical-services">
        <w:r w:rsidR="00501A88" w:rsidRPr="002E5E15">
          <w:rPr>
            <w:rFonts w:ascii="Calibri" w:eastAsia="Calibri" w:hAnsi="Calibri" w:cs="Calibri"/>
            <w:i/>
            <w:color w:val="1155CC"/>
            <w:sz w:val="20"/>
            <w:szCs w:val="20"/>
            <w:u w:val="single"/>
          </w:rPr>
          <w:t>Primary Medical Services Policy and Guidance Manual (PGM) Version 5</w:t>
        </w:r>
      </w:hyperlink>
      <w:r w:rsidRPr="002E5E15">
        <w:rPr>
          <w:rFonts w:ascii="Calibri" w:eastAsia="Calibri" w:hAnsi="Calibri" w:cs="Calibri"/>
          <w:sz w:val="20"/>
          <w:szCs w:val="20"/>
        </w:rPr>
        <w:t>, July 2024, paras. 4.4.1 and 4.4.8.</w:t>
      </w:r>
    </w:p>
  </w:footnote>
  <w:footnote w:id="26">
    <w:p w14:paraId="78BB30C8"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hAnsi="Calibri" w:cs="Calibri"/>
          <w:sz w:val="20"/>
          <w:szCs w:val="20"/>
        </w:rPr>
        <w:t xml:space="preserve"> </w:t>
      </w:r>
      <w:r w:rsidRPr="002E5E15">
        <w:rPr>
          <w:rFonts w:ascii="Calibri" w:eastAsia="Calibri" w:hAnsi="Calibri" w:cs="Calibri"/>
          <w:sz w:val="20"/>
          <w:szCs w:val="20"/>
        </w:rPr>
        <w:t xml:space="preserve">Healthwatch Hackney, </w:t>
      </w:r>
      <w:hyperlink r:id="rId28">
        <w:r w:rsidR="00501A88" w:rsidRPr="002E5E15">
          <w:rPr>
            <w:rFonts w:ascii="Calibri" w:eastAsia="Calibri" w:hAnsi="Calibri" w:cs="Calibri"/>
            <w:i/>
            <w:color w:val="1155CC"/>
            <w:sz w:val="20"/>
            <w:szCs w:val="20"/>
            <w:u w:val="single"/>
          </w:rPr>
          <w:t>GP Registration in Hackney, the Right to Access Health Care</w:t>
        </w:r>
      </w:hyperlink>
      <w:r w:rsidRPr="002E5E15">
        <w:rPr>
          <w:rFonts w:ascii="Calibri" w:eastAsia="Calibri" w:hAnsi="Calibri" w:cs="Calibri"/>
          <w:sz w:val="20"/>
          <w:szCs w:val="20"/>
        </w:rPr>
        <w:t xml:space="preserve">, January 2022, p. 5. </w:t>
      </w:r>
    </w:p>
  </w:footnote>
  <w:footnote w:id="27">
    <w:p w14:paraId="404B6629"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hAnsi="Calibri" w:cs="Calibri"/>
          <w:sz w:val="20"/>
          <w:szCs w:val="20"/>
        </w:rPr>
        <w:t xml:space="preserve"> </w:t>
      </w:r>
      <w:r w:rsidRPr="002E5E15">
        <w:rPr>
          <w:rFonts w:ascii="Calibri" w:eastAsia="Calibri" w:hAnsi="Calibri" w:cs="Calibri"/>
          <w:sz w:val="20"/>
          <w:szCs w:val="20"/>
        </w:rPr>
        <w:t xml:space="preserve">Work Better Innovations, </w:t>
      </w:r>
      <w:hyperlink r:id="rId29">
        <w:r w:rsidR="00501A88" w:rsidRPr="002E5E15">
          <w:rPr>
            <w:rFonts w:ascii="Calibri" w:eastAsia="Calibri" w:hAnsi="Calibri" w:cs="Calibri"/>
            <w:i/>
            <w:color w:val="1155CC"/>
            <w:sz w:val="20"/>
            <w:szCs w:val="20"/>
            <w:u w:val="single"/>
          </w:rPr>
          <w:t>WBI Conducts Workshops to Include Minority Voices in Health and Care Research</w:t>
        </w:r>
      </w:hyperlink>
      <w:r w:rsidRPr="002E5E15">
        <w:rPr>
          <w:rFonts w:ascii="Calibri" w:eastAsia="Calibri" w:hAnsi="Calibri" w:cs="Calibri"/>
          <w:sz w:val="20"/>
          <w:szCs w:val="20"/>
        </w:rPr>
        <w:t>, 2 February 2024.</w:t>
      </w:r>
    </w:p>
  </w:footnote>
  <w:footnote w:id="28">
    <w:p w14:paraId="279B1654"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hAnsi="Calibri" w:cs="Calibri"/>
          <w:sz w:val="20"/>
          <w:szCs w:val="20"/>
        </w:rPr>
        <w:t xml:space="preserve"> </w:t>
      </w:r>
      <w:r w:rsidRPr="002E5E15">
        <w:rPr>
          <w:rFonts w:ascii="Calibri" w:eastAsia="Calibri" w:hAnsi="Calibri" w:cs="Calibri"/>
          <w:i/>
          <w:sz w:val="20"/>
          <w:szCs w:val="20"/>
        </w:rPr>
        <w:t>Ibid</w:t>
      </w:r>
      <w:r w:rsidRPr="002E5E15">
        <w:rPr>
          <w:rFonts w:ascii="Calibri" w:eastAsia="Calibri" w:hAnsi="Calibri" w:cs="Calibri"/>
          <w:sz w:val="20"/>
          <w:szCs w:val="20"/>
        </w:rPr>
        <w:t>.</w:t>
      </w:r>
    </w:p>
  </w:footnote>
  <w:footnote w:id="29">
    <w:p w14:paraId="03B4496B"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hAnsi="Calibri" w:cs="Calibri"/>
          <w:sz w:val="20"/>
          <w:szCs w:val="20"/>
        </w:rPr>
        <w:t xml:space="preserve"> </w:t>
      </w:r>
      <w:r w:rsidRPr="002E5E15">
        <w:rPr>
          <w:rFonts w:ascii="Calibri" w:eastAsia="Calibri" w:hAnsi="Calibri" w:cs="Calibri"/>
          <w:sz w:val="20"/>
          <w:szCs w:val="20"/>
        </w:rPr>
        <w:t xml:space="preserve">Al Jazeera, </w:t>
      </w:r>
      <w:r w:rsidRPr="002E5E15">
        <w:rPr>
          <w:rFonts w:ascii="Calibri" w:eastAsia="Calibri" w:hAnsi="Calibri" w:cs="Calibri"/>
          <w:i/>
          <w:sz w:val="20"/>
          <w:szCs w:val="20"/>
        </w:rPr>
        <w:t>“</w:t>
      </w:r>
      <w:hyperlink r:id="rId30">
        <w:r w:rsidR="00501A88" w:rsidRPr="002E5E15">
          <w:rPr>
            <w:rFonts w:ascii="Calibri" w:eastAsia="Calibri" w:hAnsi="Calibri" w:cs="Calibri"/>
            <w:i/>
            <w:color w:val="1155CC"/>
            <w:sz w:val="20"/>
            <w:szCs w:val="20"/>
            <w:u w:val="single"/>
          </w:rPr>
          <w:t>UK: Why do some ethnic minorities fear the coronavirus vaccine?</w:t>
        </w:r>
      </w:hyperlink>
      <w:r w:rsidRPr="002E5E15">
        <w:rPr>
          <w:rFonts w:ascii="Calibri" w:eastAsia="Calibri" w:hAnsi="Calibri" w:cs="Calibri"/>
          <w:sz w:val="20"/>
          <w:szCs w:val="20"/>
        </w:rPr>
        <w:t xml:space="preserve">”, 8 December 2020. </w:t>
      </w:r>
    </w:p>
  </w:footnote>
  <w:footnote w:id="30">
    <w:p w14:paraId="36714A7D" w14:textId="77777777" w:rsidR="00501A88" w:rsidRPr="002E5E15" w:rsidRDefault="00000000">
      <w:pPr>
        <w:rPr>
          <w:rFonts w:ascii="Calibri" w:eastAsia="Calibri" w:hAnsi="Calibri" w:cs="Calibri"/>
          <w:sz w:val="20"/>
          <w:szCs w:val="20"/>
        </w:rPr>
      </w:pPr>
      <w:r w:rsidRPr="002E5E15">
        <w:rPr>
          <w:rStyle w:val="FootnoteReference"/>
          <w:rFonts w:ascii="Calibri" w:hAnsi="Calibri" w:cs="Calibri"/>
          <w:sz w:val="20"/>
          <w:szCs w:val="20"/>
        </w:rPr>
        <w:footnoteRef/>
      </w:r>
      <w:r w:rsidRPr="002E5E15">
        <w:rPr>
          <w:rFonts w:ascii="Calibri" w:hAnsi="Calibri" w:cs="Calibri"/>
          <w:sz w:val="20"/>
          <w:szCs w:val="20"/>
        </w:rPr>
        <w:t xml:space="preserve"> </w:t>
      </w:r>
      <w:r w:rsidRPr="002E5E15">
        <w:rPr>
          <w:rFonts w:ascii="Calibri" w:eastAsia="Calibri" w:hAnsi="Calibri" w:cs="Calibri"/>
          <w:sz w:val="20"/>
          <w:szCs w:val="20"/>
        </w:rPr>
        <w:t>Scottish Community Development Centre,</w:t>
      </w:r>
      <w:r w:rsidRPr="002E5E15">
        <w:rPr>
          <w:rFonts w:ascii="Calibri" w:eastAsia="Calibri" w:hAnsi="Calibri" w:cs="Calibri"/>
          <w:i/>
          <w:sz w:val="20"/>
          <w:szCs w:val="20"/>
        </w:rPr>
        <w:t xml:space="preserve"> </w:t>
      </w:r>
      <w:hyperlink r:id="rId31">
        <w:r w:rsidR="00501A88" w:rsidRPr="002E5E15">
          <w:rPr>
            <w:rFonts w:ascii="Calibri" w:eastAsia="Calibri" w:hAnsi="Calibri" w:cs="Calibri"/>
            <w:i/>
            <w:color w:val="1155CC"/>
            <w:sz w:val="20"/>
            <w:szCs w:val="20"/>
            <w:u w:val="single"/>
          </w:rPr>
          <w:t>Community Participatory Action Research (CPAR) Programme – SE England</w:t>
        </w:r>
      </w:hyperlink>
      <w:r w:rsidRPr="002E5E15">
        <w:rPr>
          <w:rFonts w:ascii="Calibri" w:eastAsia="Calibri" w:hAnsi="Calibri" w:cs="Calibri"/>
          <w:sz w:val="20"/>
          <w:szCs w:val="20"/>
        </w:rPr>
        <w:t xml:space="preserve">. WBI community researchers are in CPAR Cohort 3 (2024-2025) of this programme; more information on previous research results can be accessed at NHS England Workforce, Training and Education, </w:t>
      </w:r>
      <w:hyperlink r:id="rId32">
        <w:r w:rsidR="00501A88" w:rsidRPr="002E5E15">
          <w:rPr>
            <w:rFonts w:ascii="Calibri" w:eastAsia="Calibri" w:hAnsi="Calibri" w:cs="Calibri"/>
            <w:i/>
            <w:color w:val="1155CC"/>
            <w:sz w:val="20"/>
            <w:szCs w:val="20"/>
            <w:u w:val="single"/>
          </w:rPr>
          <w:t>Community Participatory Action Research (CPAR)</w:t>
        </w:r>
      </w:hyperlink>
      <w:r w:rsidRPr="002E5E15">
        <w:rPr>
          <w:rFonts w:ascii="Calibri" w:eastAsia="Calibri" w:hAnsi="Calibri" w:cs="Calibri"/>
          <w:sz w:val="20"/>
          <w:szCs w:val="20"/>
        </w:rPr>
        <w:t>, 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6350D3"/>
    <w:multiLevelType w:val="multilevel"/>
    <w:tmpl w:val="E23489B0"/>
    <w:lvl w:ilvl="0">
      <w:start w:val="1"/>
      <w:numFmt w:val="decimal"/>
      <w:lvlText w:val="%1."/>
      <w:lvlJc w:val="left"/>
      <w:pPr>
        <w:ind w:left="360" w:hanging="360"/>
      </w:pPr>
      <w:rPr>
        <w:rFonts w:ascii="Calibri" w:eastAsia="Calibri" w:hAnsi="Calibri" w:cs="Calibri"/>
        <w:sz w:val="24"/>
        <w:szCs w:val="24"/>
      </w:rPr>
    </w:lvl>
    <w:lvl w:ilvl="1">
      <w:start w:val="1"/>
      <w:numFmt w:val="bullet"/>
      <w:lvlText w:val="○"/>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614D1C5F"/>
    <w:multiLevelType w:val="multilevel"/>
    <w:tmpl w:val="63645B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29F3CD2"/>
    <w:multiLevelType w:val="multilevel"/>
    <w:tmpl w:val="118EE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31D15F7"/>
    <w:multiLevelType w:val="multilevel"/>
    <w:tmpl w:val="CDFE0F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38E7F4D"/>
    <w:multiLevelType w:val="multilevel"/>
    <w:tmpl w:val="0E6E12B4"/>
    <w:lvl w:ilvl="0">
      <w:start w:val="1"/>
      <w:numFmt w:val="bullet"/>
      <w:lvlText w:val="●"/>
      <w:lvlJc w:val="left"/>
      <w:pPr>
        <w:ind w:left="720" w:hanging="360"/>
      </w:pPr>
      <w:rPr>
        <w:u w:val="none"/>
        <w:shd w:val="clear" w:color="auto" w:fill="auto"/>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47170300">
    <w:abstractNumId w:val="4"/>
  </w:num>
  <w:num w:numId="2" w16cid:durableId="1799255812">
    <w:abstractNumId w:val="2"/>
  </w:num>
  <w:num w:numId="3" w16cid:durableId="1731805585">
    <w:abstractNumId w:val="1"/>
  </w:num>
  <w:num w:numId="4" w16cid:durableId="506750404">
    <w:abstractNumId w:val="0"/>
  </w:num>
  <w:num w:numId="5" w16cid:durableId="20430196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removePersonalInformation/>
  <w:removeDateAndTim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A88"/>
    <w:rsid w:val="000F2F08"/>
    <w:rsid w:val="00122D7E"/>
    <w:rsid w:val="001574C1"/>
    <w:rsid w:val="002E5E15"/>
    <w:rsid w:val="0035759F"/>
    <w:rsid w:val="00501A88"/>
    <w:rsid w:val="005104C9"/>
    <w:rsid w:val="005F7DD6"/>
    <w:rsid w:val="00622EF2"/>
    <w:rsid w:val="00696460"/>
    <w:rsid w:val="007C627D"/>
    <w:rsid w:val="00C0069F"/>
    <w:rsid w:val="00C76FF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7C2A4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872"/>
    <w:rPr>
      <w:lang w:eastAsia="en-GB"/>
    </w:rPr>
  </w:style>
  <w:style w:type="paragraph" w:styleId="Heading1">
    <w:name w:val="heading 1"/>
    <w:basedOn w:val="Normal"/>
    <w:next w:val="Normal"/>
    <w:link w:val="Heading1Char"/>
    <w:uiPriority w:val="9"/>
    <w:qFormat/>
    <w:rsid w:val="001751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51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51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51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51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51E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1E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1E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1E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751EA"/>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751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51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751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51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51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51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51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51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51EA"/>
    <w:rPr>
      <w:rFonts w:eastAsiaTheme="majorEastAsia" w:cstheme="majorBidi"/>
      <w:color w:val="272727" w:themeColor="text1" w:themeTint="D8"/>
    </w:rPr>
  </w:style>
  <w:style w:type="character" w:customStyle="1" w:styleId="TitleChar">
    <w:name w:val="Title Char"/>
    <w:basedOn w:val="DefaultParagraphFont"/>
    <w:link w:val="Title"/>
    <w:uiPriority w:val="10"/>
    <w:rsid w:val="001751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1751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51EA"/>
    <w:pPr>
      <w:spacing w:before="160"/>
      <w:jc w:val="center"/>
    </w:pPr>
    <w:rPr>
      <w:i/>
      <w:iCs/>
      <w:color w:val="404040" w:themeColor="text1" w:themeTint="BF"/>
    </w:rPr>
  </w:style>
  <w:style w:type="character" w:customStyle="1" w:styleId="QuoteChar">
    <w:name w:val="Quote Char"/>
    <w:basedOn w:val="DefaultParagraphFont"/>
    <w:link w:val="Quote"/>
    <w:uiPriority w:val="29"/>
    <w:rsid w:val="001751EA"/>
    <w:rPr>
      <w:i/>
      <w:iCs/>
      <w:color w:val="404040" w:themeColor="text1" w:themeTint="BF"/>
    </w:rPr>
  </w:style>
  <w:style w:type="paragraph" w:styleId="ListParagraph">
    <w:name w:val="List Paragraph"/>
    <w:basedOn w:val="Normal"/>
    <w:uiPriority w:val="34"/>
    <w:qFormat/>
    <w:rsid w:val="001751EA"/>
    <w:pPr>
      <w:ind w:left="720"/>
      <w:contextualSpacing/>
    </w:pPr>
  </w:style>
  <w:style w:type="character" w:styleId="IntenseEmphasis">
    <w:name w:val="Intense Emphasis"/>
    <w:basedOn w:val="DefaultParagraphFont"/>
    <w:uiPriority w:val="21"/>
    <w:qFormat/>
    <w:rsid w:val="001751EA"/>
    <w:rPr>
      <w:i/>
      <w:iCs/>
      <w:color w:val="0F4761" w:themeColor="accent1" w:themeShade="BF"/>
    </w:rPr>
  </w:style>
  <w:style w:type="paragraph" w:styleId="IntenseQuote">
    <w:name w:val="Intense Quote"/>
    <w:basedOn w:val="Normal"/>
    <w:next w:val="Normal"/>
    <w:link w:val="IntenseQuoteChar"/>
    <w:uiPriority w:val="30"/>
    <w:qFormat/>
    <w:rsid w:val="001751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51EA"/>
    <w:rPr>
      <w:i/>
      <w:iCs/>
      <w:color w:val="0F4761" w:themeColor="accent1" w:themeShade="BF"/>
    </w:rPr>
  </w:style>
  <w:style w:type="character" w:styleId="IntenseReference">
    <w:name w:val="Intense Reference"/>
    <w:basedOn w:val="DefaultParagraphFont"/>
    <w:uiPriority w:val="32"/>
    <w:qFormat/>
    <w:rsid w:val="001751EA"/>
    <w:rPr>
      <w:b/>
      <w:bCs/>
      <w:smallCaps/>
      <w:color w:val="0F4761" w:themeColor="accent1" w:themeShade="BF"/>
      <w:spacing w:val="5"/>
    </w:rPr>
  </w:style>
  <w:style w:type="paragraph" w:styleId="NormalWeb">
    <w:name w:val="Normal (Web)"/>
    <w:basedOn w:val="Normal"/>
    <w:uiPriority w:val="99"/>
    <w:semiHidden/>
    <w:unhideWhenUsed/>
    <w:rsid w:val="001751EA"/>
    <w:pPr>
      <w:spacing w:before="100" w:beforeAutospacing="1" w:after="100" w:afterAutospacing="1"/>
    </w:pPr>
  </w:style>
  <w:style w:type="paragraph" w:customStyle="1" w:styleId="H23G">
    <w:name w:val="_ H_2/3_G"/>
    <w:basedOn w:val="Normal"/>
    <w:next w:val="Normal"/>
    <w:qFormat/>
    <w:rsid w:val="00637CCC"/>
    <w:pPr>
      <w:keepNext/>
      <w:keepLines/>
      <w:tabs>
        <w:tab w:val="right" w:pos="851"/>
      </w:tabs>
      <w:suppressAutoHyphens/>
      <w:spacing w:before="240" w:after="120" w:line="240" w:lineRule="exact"/>
      <w:ind w:left="1134" w:right="1134" w:hanging="1134"/>
      <w:outlineLvl w:val="3"/>
    </w:pPr>
    <w:rPr>
      <w:b/>
      <w:sz w:val="20"/>
      <w:szCs w:val="20"/>
    </w:rPr>
  </w:style>
  <w:style w:type="paragraph" w:customStyle="1" w:styleId="SingleTxtG">
    <w:name w:val="_ Single Txt_G"/>
    <w:basedOn w:val="Normal"/>
    <w:link w:val="SingleTxtGChar"/>
    <w:qFormat/>
    <w:rsid w:val="00637CCC"/>
    <w:pPr>
      <w:tabs>
        <w:tab w:val="left" w:pos="1701"/>
        <w:tab w:val="left" w:pos="2268"/>
      </w:tabs>
      <w:suppressAutoHyphens/>
      <w:spacing w:after="120" w:line="240" w:lineRule="atLeast"/>
      <w:ind w:left="1134" w:right="1134"/>
      <w:jc w:val="both"/>
    </w:pPr>
    <w:rPr>
      <w:rFonts w:eastAsia="SimSun"/>
      <w:sz w:val="20"/>
      <w:szCs w:val="20"/>
      <w:lang w:eastAsia="zh-CN"/>
    </w:rPr>
  </w:style>
  <w:style w:type="paragraph" w:styleId="FootnoteText">
    <w:name w:val="footnote text"/>
    <w:aliases w:val="5_G"/>
    <w:basedOn w:val="Normal"/>
    <w:link w:val="FootnoteTextChar"/>
    <w:rsid w:val="00637CCC"/>
    <w:pPr>
      <w:tabs>
        <w:tab w:val="right" w:pos="1021"/>
      </w:tabs>
      <w:suppressAutoHyphens/>
      <w:spacing w:line="220" w:lineRule="exact"/>
      <w:ind w:left="1134" w:right="1134" w:hanging="1134"/>
    </w:pPr>
    <w:rPr>
      <w:rFonts w:eastAsia="SimSun"/>
      <w:sz w:val="18"/>
      <w:szCs w:val="20"/>
      <w:lang w:eastAsia="zh-CN"/>
    </w:rPr>
  </w:style>
  <w:style w:type="character" w:customStyle="1" w:styleId="FootnoteTextChar">
    <w:name w:val="Footnote Text Char"/>
    <w:aliases w:val="5_G Char"/>
    <w:basedOn w:val="DefaultParagraphFont"/>
    <w:link w:val="FootnoteText"/>
    <w:rsid w:val="00637CCC"/>
    <w:rPr>
      <w:rFonts w:ascii="Times New Roman" w:eastAsia="SimSun" w:hAnsi="Times New Roman" w:cs="Times New Roman"/>
      <w:kern w:val="0"/>
      <w:sz w:val="18"/>
      <w:szCs w:val="20"/>
      <w:lang w:eastAsia="zh-CN"/>
    </w:rPr>
  </w:style>
  <w:style w:type="character" w:styleId="FootnoteReference">
    <w:name w:val="footnote reference"/>
    <w:aliases w:val="4_G"/>
    <w:rsid w:val="00637CCC"/>
    <w:rPr>
      <w:rFonts w:ascii="Times New Roman" w:hAnsi="Times New Roman"/>
      <w:sz w:val="18"/>
      <w:vertAlign w:val="superscript"/>
    </w:rPr>
  </w:style>
  <w:style w:type="character" w:customStyle="1" w:styleId="SingleTxtGChar">
    <w:name w:val="_ Single Txt_G Char"/>
    <w:basedOn w:val="DefaultParagraphFont"/>
    <w:link w:val="SingleTxtG"/>
    <w:rsid w:val="00637CCC"/>
    <w:rPr>
      <w:rFonts w:ascii="Times New Roman" w:eastAsia="SimSun" w:hAnsi="Times New Roman" w:cs="Times New Roman"/>
      <w:kern w:val="0"/>
      <w:sz w:val="20"/>
      <w:szCs w:val="20"/>
      <w:lang w:eastAsia="zh-CN"/>
    </w:rPr>
  </w:style>
  <w:style w:type="character" w:styleId="Hyperlink">
    <w:name w:val="Hyperlink"/>
    <w:basedOn w:val="DefaultParagraphFont"/>
    <w:semiHidden/>
    <w:rsid w:val="00637CCC"/>
    <w:rPr>
      <w:color w:val="0000FF"/>
      <w:u w:val="none"/>
    </w:rPr>
  </w:style>
  <w:style w:type="character" w:styleId="CommentReference">
    <w:name w:val="annotation reference"/>
    <w:basedOn w:val="DefaultParagraphFont"/>
    <w:uiPriority w:val="99"/>
    <w:semiHidden/>
    <w:unhideWhenUsed/>
    <w:rsid w:val="00021CDB"/>
    <w:rPr>
      <w:sz w:val="16"/>
      <w:szCs w:val="16"/>
    </w:rPr>
  </w:style>
  <w:style w:type="character" w:styleId="UnresolvedMention">
    <w:name w:val="Unresolved Mention"/>
    <w:basedOn w:val="DefaultParagraphFont"/>
    <w:uiPriority w:val="99"/>
    <w:semiHidden/>
    <w:unhideWhenUsed/>
    <w:rsid w:val="001E48CE"/>
    <w:rPr>
      <w:color w:val="605E5C"/>
      <w:shd w:val="clear" w:color="auto" w:fill="E1DFDD"/>
    </w:rPr>
  </w:style>
  <w:style w:type="character" w:styleId="FollowedHyperlink">
    <w:name w:val="FollowedHyperlink"/>
    <w:basedOn w:val="DefaultParagraphFont"/>
    <w:uiPriority w:val="99"/>
    <w:semiHidden/>
    <w:unhideWhenUsed/>
    <w:rsid w:val="001E48CE"/>
    <w:rPr>
      <w:color w:val="96607D" w:themeColor="followedHyperlink"/>
      <w:u w:val="single"/>
    </w:rPr>
  </w:style>
  <w:style w:type="paragraph" w:styleId="Footer">
    <w:name w:val="footer"/>
    <w:basedOn w:val="Normal"/>
    <w:link w:val="FooterChar"/>
    <w:uiPriority w:val="99"/>
    <w:unhideWhenUsed/>
    <w:rsid w:val="00F803C1"/>
    <w:pPr>
      <w:tabs>
        <w:tab w:val="center" w:pos="4513"/>
        <w:tab w:val="right" w:pos="9026"/>
      </w:tabs>
    </w:pPr>
  </w:style>
  <w:style w:type="character" w:customStyle="1" w:styleId="FooterChar">
    <w:name w:val="Footer Char"/>
    <w:basedOn w:val="DefaultParagraphFont"/>
    <w:link w:val="Footer"/>
    <w:uiPriority w:val="99"/>
    <w:rsid w:val="00F803C1"/>
  </w:style>
  <w:style w:type="character" w:styleId="PageNumber">
    <w:name w:val="page number"/>
    <w:basedOn w:val="DefaultParagraphFont"/>
    <w:uiPriority w:val="99"/>
    <w:semiHidden/>
    <w:unhideWhenUsed/>
    <w:rsid w:val="00F803C1"/>
  </w:style>
  <w:style w:type="paragraph" w:styleId="CommentText">
    <w:name w:val="annotation text"/>
    <w:basedOn w:val="Normal"/>
    <w:link w:val="CommentTextChar"/>
    <w:uiPriority w:val="99"/>
    <w:semiHidden/>
    <w:unhideWhenUsed/>
    <w:rsid w:val="005B673D"/>
    <w:rPr>
      <w:sz w:val="20"/>
      <w:szCs w:val="20"/>
    </w:rPr>
  </w:style>
  <w:style w:type="character" w:customStyle="1" w:styleId="CommentTextChar">
    <w:name w:val="Comment Text Char"/>
    <w:basedOn w:val="DefaultParagraphFont"/>
    <w:link w:val="CommentText"/>
    <w:uiPriority w:val="99"/>
    <w:semiHidden/>
    <w:rsid w:val="005B673D"/>
    <w:rPr>
      <w:rFonts w:ascii="Times New Roman" w:eastAsia="Times New Roman" w:hAnsi="Times New Roman" w:cs="Times New Roman"/>
      <w:kern w:val="0"/>
      <w:sz w:val="20"/>
      <w:szCs w:val="20"/>
      <w:lang w:eastAsia="en-GB"/>
    </w:rPr>
  </w:style>
  <w:style w:type="paragraph" w:styleId="CommentSubject">
    <w:name w:val="annotation subject"/>
    <w:basedOn w:val="CommentText"/>
    <w:next w:val="CommentText"/>
    <w:link w:val="CommentSubjectChar"/>
    <w:uiPriority w:val="99"/>
    <w:semiHidden/>
    <w:unhideWhenUsed/>
    <w:rsid w:val="005B673D"/>
    <w:rPr>
      <w:b/>
      <w:bCs/>
    </w:rPr>
  </w:style>
  <w:style w:type="character" w:customStyle="1" w:styleId="CommentSubjectChar">
    <w:name w:val="Comment Subject Char"/>
    <w:basedOn w:val="CommentTextChar"/>
    <w:link w:val="CommentSubject"/>
    <w:uiPriority w:val="99"/>
    <w:semiHidden/>
    <w:rsid w:val="005B673D"/>
    <w:rPr>
      <w:rFonts w:ascii="Times New Roman" w:eastAsia="Times New Roman" w:hAnsi="Times New Roman" w:cs="Times New Roman"/>
      <w:b/>
      <w:bCs/>
      <w:kern w:val="0"/>
      <w:sz w:val="20"/>
      <w:szCs w:val="20"/>
      <w:lang w:eastAsia="en-GB"/>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eeac.org.uk" TargetMode="External"/><Relationship Id="rId18" Type="http://schemas.openxmlformats.org/officeDocument/2006/relationships/hyperlink" Target="https://www.equalityhumanrights.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wbi.org.uk" TargetMode="External"/><Relationship Id="rId7" Type="http://schemas.openxmlformats.org/officeDocument/2006/relationships/endnotes" Target="endnotes.xml"/><Relationship Id="rId12" Type="http://schemas.openxmlformats.org/officeDocument/2006/relationships/hyperlink" Target="http://www.wbi.org.uk" TargetMode="External"/><Relationship Id="rId17" Type="http://schemas.openxmlformats.org/officeDocument/2006/relationships/hyperlink" Target="mailto:nova@seeac.org.uk"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mariko@seeac.org.uk" TargetMode="External"/><Relationship Id="rId20" Type="http://schemas.openxmlformats.org/officeDocument/2006/relationships/hyperlink" Target="mailto:bonny.ling@wbi.org.uk%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eac.org.uk/"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bonny.ling@wbi.org.uk%20" TargetMode="External"/><Relationship Id="rId23" Type="http://schemas.openxmlformats.org/officeDocument/2006/relationships/hyperlink" Target="mailto:nova@seeac.org.uk" TargetMode="External"/><Relationship Id="rId10" Type="http://schemas.openxmlformats.org/officeDocument/2006/relationships/hyperlink" Target="http://www.wbi.org.uk/" TargetMode="External"/><Relationship Id="rId19" Type="http://schemas.openxmlformats.org/officeDocument/2006/relationships/hyperlink" Target="mailto:bonny.ling@wbi.org.uk%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bonny.ling@wbi.org.uk%20" TargetMode="External"/><Relationship Id="rId22" Type="http://schemas.openxmlformats.org/officeDocument/2006/relationships/hyperlink" Target="mailto:mariko@seeac.org.uk"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docstore.ohchr.org/SelfServices/FilesHandler.ashx?enc=4slQ6QSmlBEDzFEovLCuW3XRinAE8KCBFoqOHNz%2FvuA8gWnkDtMaQRPpczgpoNYnx4%2BF33QcKEJudfH36CovyC%2BAZrop7A%2FsI%2BnNH9m4QwnZ%2BcIG1FUmFCEDCXgbRQqb" TargetMode="External"/><Relationship Id="rId13" Type="http://schemas.openxmlformats.org/officeDocument/2006/relationships/hyperlink" Target="https://labourexploitation.org/" TargetMode="External"/><Relationship Id="rId18" Type="http://schemas.openxmlformats.org/officeDocument/2006/relationships/hyperlink" Target="https://www.ft.com/content/a2317711-29a7-463c-be18-bdce1e453a29" TargetMode="External"/><Relationship Id="rId26" Type="http://schemas.openxmlformats.org/officeDocument/2006/relationships/hyperlink" Target="https://www.southwark.gov.uk/sites/default/files/2024-10/Asylum%20Seeker%20and%20Refugee%20Needs%20Assessment%20Executive%20Summary.pdf" TargetMode="External"/><Relationship Id="rId3" Type="http://schemas.openxmlformats.org/officeDocument/2006/relationships/hyperlink" Target="https://globalnaps.org/country/united-kingdom/?utm_source=chatgpt.com" TargetMode="External"/><Relationship Id="rId21" Type="http://schemas.openxmlformats.org/officeDocument/2006/relationships/hyperlink" Target="https://www.ihrb.org/projects/employer-pays-principle" TargetMode="External"/><Relationship Id="rId7" Type="http://schemas.openxmlformats.org/officeDocument/2006/relationships/hyperlink" Target="https://documents.un.org/doc/undoc/gen/g17/237/17/pdf/g1723717.pdf" TargetMode="External"/><Relationship Id="rId12" Type="http://schemas.openxmlformats.org/officeDocument/2006/relationships/hyperlink" Target="https://www.modernslaverypec.org/" TargetMode="External"/><Relationship Id="rId17" Type="http://schemas.openxmlformats.org/officeDocument/2006/relationships/hyperlink" Target="https://labourexploitation.org/app/uploads/2024/03/Visas-full-report.pdf" TargetMode="External"/><Relationship Id="rId25" Type="http://schemas.openxmlformats.org/officeDocument/2006/relationships/hyperlink" Target="https://doi.org/10.1080/14780887.2019.1581311" TargetMode="External"/><Relationship Id="rId2" Type="http://schemas.openxmlformats.org/officeDocument/2006/relationships/hyperlink" Target="https://docstore.ohchr.org/SelfServices/FilesHandler.ashx?enc=4slQ6QSmlBEDzFEovLCuW3XRinAE8KCBFoqOHNz%2FvuBqT1A21jS%2FqAXfWlINUtDTv6VjdDloHCALz12%2F8bg2Gkcjju8Rc8%2F8DwvHCta3KL%2BPUJlfBJI0%2BZMMV3SahPHu" TargetMode="External"/><Relationship Id="rId16" Type="http://schemas.openxmlformats.org/officeDocument/2006/relationships/hyperlink" Target="https://labourexploitation.org/app/uploads/2024/04/Flex-Report-Final.pdf" TargetMode="External"/><Relationship Id="rId20" Type="http://schemas.openxmlformats.org/officeDocument/2006/relationships/hyperlink" Target="https://www.gov.uk/government/publications/seasonal-worker-visa-review/review-of-the-seasonal-worker-visa-accessible" TargetMode="External"/><Relationship Id="rId29" Type="http://schemas.openxmlformats.org/officeDocument/2006/relationships/hyperlink" Target="https://www.wbi.org.uk/2024/02/02/wbi-conducts-workshops-to-include-minority-voices-in-health-and-care-research/" TargetMode="External"/><Relationship Id="rId1" Type="http://schemas.openxmlformats.org/officeDocument/2006/relationships/hyperlink" Target="https://docstore.ohchr.org/SelfServices/FilesHandler.ashx?enc=4slQ6QSmlBEDzFEovLCuW3XRinAE8KCBFoqOHNz%2FvuA8gWnkDtMaQRPpczgpoNYnx4%2BF33QcKEJudfH36CovyC%2BAZrop7A%2FsI%2BnNH9m4QwnZ%2BcIG1FUmFCEDCXgbRQqb" TargetMode="External"/><Relationship Id="rId6" Type="http://schemas.openxmlformats.org/officeDocument/2006/relationships/hyperlink" Target="https://bills.parliament.uk/bills/3527" TargetMode="External"/><Relationship Id="rId11" Type="http://schemas.openxmlformats.org/officeDocument/2006/relationships/hyperlink" Target="https://docstore.ohchr.org/SelfServices/FilesHandler.ashx?enc=4slQ6QSmlBEDzFEovLCuW3XRinAE8KCBFoqOHNz%2FvuBqT1A21jS%2FqAXfWlINUtDTv6VjdDloHCALz12%2F8bg2Gkcjju8Rc8%2F8DwvHCta3KL%2BPUJlfBJI0%2BZMMV3SahPHu" TargetMode="External"/><Relationship Id="rId24" Type="http://schemas.openxmlformats.org/officeDocument/2006/relationships/hyperlink" Target="https://docstore.ohchr.org/SelfServices/FilesHandler.ashx?enc=4slQ6QSmlBEDzFEovLCuW3XRinAE8KCBFoqOHNz%2FvuA8gWnkDtMaQRPpczgpoNYnx4%2BF33QcKEJudfH36CovyC%2BAZrop7A%2FsI%2BnNH9m4QwnZ%2BcIG1FUmFCEDCXgbRQqb" TargetMode="External"/><Relationship Id="rId32" Type="http://schemas.openxmlformats.org/officeDocument/2006/relationships/hyperlink" Target="https://thamesvalley.hee.nhs.uk/school-of-public-health/public-health-wider-workforce/cpar/" TargetMode="External"/><Relationship Id="rId5" Type="http://schemas.openxmlformats.org/officeDocument/2006/relationships/hyperlink" Target="https://docstore.ohchr.org/SelfServices/FilesHandler.ashx?enc=4slQ6QSmlBEDzFEovLCuW3XRinAE8KCBFoqOHNz%2FvuBqT1A21jS%2FqAXfWlINUtDTv6VjdDloHCALz12%2F8bg2Gkcjju8Rc8%2F8DwvHCta3KL%2BPUJlfBJI0%2BZMMV3SahPHu" TargetMode="External"/><Relationship Id="rId15" Type="http://schemas.openxmlformats.org/officeDocument/2006/relationships/hyperlink" Target="https://www.ilo.org/publications/ilo-indicators-forced-labour" TargetMode="External"/><Relationship Id="rId23" Type="http://schemas.openxmlformats.org/officeDocument/2006/relationships/hyperlink" Target="https://docstore.ohchr.org/SelfServices/FilesHandler.ashx?enc=4slQ6QSmlBEDzFEovLCuW3XRinAE8KCBFoqOHNz%2FvuA8gWnkDtMaQRPpczgpoNYnx4%2BF33QcKEJudfH36CovyC%2BAZrop7A%2FsI%2BnNH9m4QwnZ%2BcIG1FUmFCEDCXgbRQqb" TargetMode="External"/><Relationship Id="rId28" Type="http://schemas.openxmlformats.org/officeDocument/2006/relationships/hyperlink" Target="https://www.healthwatchhackney.co.uk/wp-content/uploads/2022/01/GP-registration-in-Hackney.pdf" TargetMode="External"/><Relationship Id="rId10" Type="http://schemas.openxmlformats.org/officeDocument/2006/relationships/hyperlink" Target="https://tbinternet.ohchr.org/_layouts/15/treatybodyexternal/Download.aspx?symbolno=INT%2FCESCR%2FARL%2FGBR%2F59450&amp;Lang=en" TargetMode="External"/><Relationship Id="rId19" Type="http://schemas.openxmlformats.org/officeDocument/2006/relationships/hyperlink" Target="https://www.ft.com/content/a2317711-29a7-463c-be18-bdce1e453a29" TargetMode="External"/><Relationship Id="rId31" Type="http://schemas.openxmlformats.org/officeDocument/2006/relationships/hyperlink" Target="https://www.scdc.org.uk/cpar" TargetMode="External"/><Relationship Id="rId4" Type="http://schemas.openxmlformats.org/officeDocument/2006/relationships/hyperlink" Target="https://www.find-tender.service.gov.uk/Notice/030935-2024" TargetMode="External"/><Relationship Id="rId9" Type="http://schemas.openxmlformats.org/officeDocument/2006/relationships/hyperlink" Target="https://docstore.ohchr.org/SelfServices/FilesHandler.ashx?enc=4slQ6QSmlBEDzFEovLCuW3XRinAE8KCBFoqOHNz%2FvuA8gWnkDtMaQRPpczgpoNYnx4%2BF33QcKEJudfH36CovyC%2BAZrop7A%2FsI%2BnNH9m4QwnZ%2BcIG1FUmFCEDCXgbRQqb" TargetMode="External"/><Relationship Id="rId14" Type="http://schemas.openxmlformats.org/officeDocument/2006/relationships/hyperlink" Target="https://www.seeac.org.uk/" TargetMode="External"/><Relationship Id="rId22" Type="http://schemas.openxmlformats.org/officeDocument/2006/relationships/hyperlink" Target="https://docstore.ohchr.org/SelfServices/FilesHandler.ashx?enc=4slQ6QSmlBEDzFEovLCuW3XRinAE8KCBFoqOHNz%2FvuBqT1A21jS%2FqAXfWlINUtDTv6VjdDloHCALz12%2F8bg2Gkcjju8Rc8%2F8DwvHCta3KL%2BPUJlfBJI0%2BZMMV3SahPHu" TargetMode="External"/><Relationship Id="rId27" Type="http://schemas.openxmlformats.org/officeDocument/2006/relationships/hyperlink" Target="https://www.england.nhs.uk/long-read/primary-medical-services-policy-and-guidance-manual-pgm/" TargetMode="External"/><Relationship Id="rId30" Type="http://schemas.openxmlformats.org/officeDocument/2006/relationships/hyperlink" Target="https://www.aljazeera.com/news/2020/12/8/why-some-minorities-in-the-uk-fear-a-covid-19-vacc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HSQni/7U9bb/wwIJ9xwB3KzTsA==">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10</Pages>
  <Words>4166</Words>
  <Characters>23293</Characters>
  <Application>Microsoft Office Word</Application>
  <DocSecurity>0</DocSecurity>
  <Lines>408</Lines>
  <Paragraphs>93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27366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10</cp:revision>
  <dcterms:created xsi:type="dcterms:W3CDTF">2025-01-07T09:57:00Z</dcterms:created>
  <dcterms:modified xsi:type="dcterms:W3CDTF">2025-01-13T18:22:00Z</dcterms:modified>
  <cp:category/>
</cp:coreProperties>
</file>