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CAC30" w14:textId="77777777" w:rsidR="00244C37" w:rsidRDefault="00244C37">
      <w:pPr>
        <w:spacing w:line="360" w:lineRule="auto"/>
        <w:rPr>
          <w:rFonts w:ascii="Times New Roman" w:eastAsia="Times New Roman" w:hAnsi="Times New Roman" w:cs="Times New Roman"/>
          <w:b/>
        </w:rPr>
      </w:pPr>
    </w:p>
    <w:p w14:paraId="1D867260" w14:textId="77777777" w:rsidR="00244C37" w:rsidRDefault="00000000">
      <w:pPr>
        <w:spacing w:line="360" w:lineRule="auto"/>
        <w:jc w:val="right"/>
        <w:rPr>
          <w:rFonts w:ascii="Times New Roman" w:eastAsia="Times New Roman" w:hAnsi="Times New Roman" w:cs="Times New Roman"/>
        </w:rPr>
      </w:pPr>
      <w:r>
        <w:rPr>
          <w:rFonts w:ascii="Times New Roman" w:eastAsia="Times New Roman" w:hAnsi="Times New Roman" w:cs="Times New Roman"/>
          <w:b/>
        </w:rPr>
        <w:t>II-2023-004</w:t>
      </w:r>
    </w:p>
    <w:p w14:paraId="49DE848C" w14:textId="77777777" w:rsidR="00244C37"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Comité para la Eliminación de la Discriminación contra la Mujer</w:t>
      </w:r>
    </w:p>
    <w:p w14:paraId="788FC71F" w14:textId="77777777" w:rsidR="00244C37"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Organización de las Naciones Unidas</w:t>
      </w:r>
    </w:p>
    <w:p w14:paraId="3ED6EF6A" w14:textId="77777777" w:rsidR="00244C37" w:rsidRDefault="00000000">
      <w:pPr>
        <w:spacing w:line="360" w:lineRule="auto"/>
        <w:rPr>
          <w:rFonts w:ascii="Times New Roman" w:eastAsia="Times New Roman" w:hAnsi="Times New Roman" w:cs="Times New Roman"/>
          <w:b/>
        </w:rPr>
      </w:pPr>
      <w:r>
        <w:rPr>
          <w:rFonts w:ascii="Times New Roman" w:eastAsia="Times New Roman" w:hAnsi="Times New Roman" w:cs="Times New Roman"/>
          <w:b/>
        </w:rPr>
        <w:t>Su Despacho.-</w:t>
      </w:r>
    </w:p>
    <w:p w14:paraId="56AB98C9" w14:textId="77777777" w:rsidR="00244C37" w:rsidRDefault="00000000">
      <w:pPr>
        <w:spacing w:line="360" w:lineRule="auto"/>
        <w:jc w:val="right"/>
        <w:rPr>
          <w:rFonts w:ascii="Times New Roman" w:eastAsia="Times New Roman" w:hAnsi="Times New Roman" w:cs="Times New Roman"/>
          <w:u w:val="single"/>
        </w:rPr>
      </w:pPr>
      <w:r>
        <w:rPr>
          <w:rFonts w:ascii="Times New Roman" w:eastAsia="Times New Roman" w:hAnsi="Times New Roman" w:cs="Times New Roman"/>
          <w:b/>
        </w:rPr>
        <w:t>Asunto</w:t>
      </w:r>
      <w:r>
        <w:rPr>
          <w:rFonts w:ascii="Times New Roman" w:eastAsia="Times New Roman" w:hAnsi="Times New Roman" w:cs="Times New Roman"/>
          <w:u w:val="single"/>
        </w:rPr>
        <w:t>:</w:t>
      </w:r>
    </w:p>
    <w:p w14:paraId="10114AB6" w14:textId="77777777" w:rsidR="00244C37" w:rsidRDefault="00000000">
      <w:pPr>
        <w:spacing w:line="360" w:lineRule="auto"/>
        <w:jc w:val="right"/>
        <w:rPr>
          <w:rFonts w:ascii="Times New Roman" w:eastAsia="Times New Roman" w:hAnsi="Times New Roman" w:cs="Times New Roman"/>
          <w:b/>
        </w:rPr>
      </w:pPr>
      <w:r>
        <w:rPr>
          <w:rFonts w:ascii="Times New Roman" w:eastAsia="Times New Roman" w:hAnsi="Times New Roman" w:cs="Times New Roman"/>
          <w:u w:val="single"/>
        </w:rPr>
        <w:t>República Bolivariana de Venezuela</w:t>
      </w:r>
    </w:p>
    <w:p w14:paraId="026BECFB"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Desde FundaRedes, Organización No Gubernamental fundada en 1998</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con el propósito de construir tejido social a través de la creación de redes de activistas que impulsen la cultura preventiva, la participación ciudadana, la promoción y defensa de los Derechos Humanos, así como la organización social a favor de la libertad y la democracia, en especial, en el corredor fronterizo venezolano (estados Amazonas, Apure, Bolívar, Falcón, Táchira y Zulia); deseamos contribuir al trabajo liderado por el Comité para la Eliminación de la Discriminación contra la Mujer.</w:t>
      </w:r>
    </w:p>
    <w:p w14:paraId="016F09E4" w14:textId="77777777" w:rsidR="00244C37"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I. Contexto Venezuela.</w:t>
      </w:r>
    </w:p>
    <w:p w14:paraId="1BDB25DB"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La República Bolivariana de Venezuela afronta una Emergencia Humanitaria Compleja (EHC) que ha dejado en la actualidad a buena parte de su población bajo el umbral de la pobreza, de acuerdo a la Encuesta de Condiciones de Vida de la Universidad Católica Andrés Bello (UCAB) del año 2022 la pobreza por razones económicas en el país es de 58%, sin embargo la pobreza por razones sociales (relacionada a factores sociales y de infraestructura: vivienda, educación y servicios) aumento de un 31% en 2021 a un 42% en 2022.</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14:paraId="41480B9C"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II. Artículo 14 de la CEDCM</w:t>
      </w:r>
      <w:r>
        <w:rPr>
          <w:rFonts w:ascii="Times New Roman" w:eastAsia="Times New Roman" w:hAnsi="Times New Roman" w:cs="Times New Roman"/>
          <w:vertAlign w:val="superscript"/>
        </w:rPr>
        <w:footnoteReference w:id="3"/>
      </w:r>
    </w:p>
    <w:p w14:paraId="03F22A31" w14:textId="77777777" w:rsidR="00244C37" w:rsidRDefault="00000000">
      <w:pPr>
        <w:numPr>
          <w:ilvl w:val="0"/>
          <w:numId w:val="1"/>
        </w:numPr>
        <w:spacing w:line="360" w:lineRule="auto"/>
        <w:jc w:val="both"/>
        <w:rPr>
          <w:rFonts w:ascii="Times New Roman" w:eastAsia="Times New Roman" w:hAnsi="Times New Roman" w:cs="Times New Roman"/>
          <w:b/>
        </w:rPr>
      </w:pPr>
      <w:r>
        <w:rPr>
          <w:rFonts w:ascii="Times New Roman" w:eastAsia="Times New Roman" w:hAnsi="Times New Roman" w:cs="Times New Roman"/>
          <w:b/>
        </w:rPr>
        <w:t>Arco Minero del Orinoco</w:t>
      </w:r>
    </w:p>
    <w:p w14:paraId="7C4952BE" w14:textId="77777777" w:rsidR="00244C37" w:rsidRDefault="00000000">
      <w:pPr>
        <w:spacing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3.</w:t>
      </w:r>
      <w:r>
        <w:rPr>
          <w:rFonts w:ascii="Times New Roman" w:eastAsia="Times New Roman" w:hAnsi="Times New Roman" w:cs="Times New Roman"/>
        </w:rPr>
        <w:t xml:space="preserve"> El Arco minero del Orinoco (AMO) abarca 111. 843,70 kilómetros cuadrados que representan el 12,2% de territorio nacional y ocupa zonas de los estados Bolívar, Amazonas y Delta Amacuro, donde se encuentran un total de 36 áreas protegidas, entre parques nacionales y monumentos naturales. Allí se encuentra el parque nacional Canaima patrimonio de la humanidad declarado por la UNESCO (1994), y el Parque Nacional Yapacana, ubicado en el estado Amazonas, creado para preservar y conservar su vegetación. Históricamente este territorio ha sido codiciado por sus riquezas minerales (cobre, oro, diamantes, hierro, coltán y bauxita). Así como por su biodiversidad, riquezas forestales, su potencial hídrico, y por ser el hábitat de múltiples pueblos indígenas.</w:t>
      </w:r>
      <w:r>
        <w:rPr>
          <w:rFonts w:ascii="Times New Roman" w:eastAsia="Times New Roman" w:hAnsi="Times New Roman" w:cs="Times New Roman"/>
          <w:vertAlign w:val="superscript"/>
        </w:rPr>
        <w:footnoteReference w:id="4"/>
      </w:r>
    </w:p>
    <w:p w14:paraId="23F84507"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4. </w:t>
      </w:r>
      <w:r>
        <w:rPr>
          <w:rFonts w:ascii="Times New Roman" w:eastAsia="Times New Roman" w:hAnsi="Times New Roman" w:cs="Times New Roman"/>
        </w:rPr>
        <w:t>Pese a ser declarado como “Zona de Desarrollo Estratégico Nacional”, el AMO ha representado un atractivo para los Grupos Armados Irregulares, quienes ya se encontraban en la zona, pero cuya presencia ha aumentado tras la creación del AMO, pues, allí se concentra la explotación de oro, diamantes, bauxita, coltán, hierro y cobre. De acuerdo a un documento publicado en abril de 2020 por el Centro de Estudios Estratégicos e Internacionales (CSIS), al menos el 60% del financiamiento del Ejército de Liberación Nacional (ELN) y 50% de las Fuerzas Armadas Revolucionarias de Colombia (FARC) provienen de la extracción minera en Venezuela.</w:t>
      </w:r>
      <w:r>
        <w:rPr>
          <w:rFonts w:ascii="Times New Roman" w:eastAsia="Times New Roman" w:hAnsi="Times New Roman" w:cs="Times New Roman"/>
          <w:vertAlign w:val="superscript"/>
        </w:rPr>
        <w:footnoteReference w:id="5"/>
      </w:r>
    </w:p>
    <w:p w14:paraId="067CD6B8"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5.</w:t>
      </w:r>
      <w:r>
        <w:rPr>
          <w:rFonts w:ascii="Times New Roman" w:eastAsia="Times New Roman" w:hAnsi="Times New Roman" w:cs="Times New Roman"/>
        </w:rPr>
        <w:t xml:space="preserve"> Los Grupos Armados Irregulares (GAI) son actores clave en la extracción minera, pues, con anuencia del Estado venezolano han expandido su presencia por el territorio nacional, enquistándose en zonas mineras. Además de los GAI y el Estado venezolano, existen estructuras criminales denominadas “sindicatos” que fungen como bandas delincuenciales con alto poder de fuego, quiénes se suman como actores en disputa del control territorial.</w:t>
      </w:r>
    </w:p>
    <w:p w14:paraId="7E45F4A8"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6.</w:t>
      </w:r>
      <w:r>
        <w:rPr>
          <w:rFonts w:ascii="Times New Roman" w:eastAsia="Times New Roman" w:hAnsi="Times New Roman" w:cs="Times New Roman"/>
        </w:rPr>
        <w:t xml:space="preserve"> Los GAI y las bandas delincuenciales con alto poder de fuego con presencia en el AMO, ejercen control sobre territorios y someten a sus poblaciones, imponen reglas, aplican castigos físicos crueles a quienes infringen las reglas, y desempeñan actividades económicas ilícitas.</w:t>
      </w:r>
    </w:p>
    <w:p w14:paraId="5CC7CA7D"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7.</w:t>
      </w:r>
      <w:r>
        <w:rPr>
          <w:rFonts w:ascii="Times New Roman" w:eastAsia="Times New Roman" w:hAnsi="Times New Roman" w:cs="Times New Roman"/>
        </w:rPr>
        <w:t xml:space="preserve"> La mujer rural venezolana resulta particularmente afectada por la extracción minera en el AMO. la violencia hacia las mujeres por motivos asociados a la actividad minera se centra en la construcción de poblados donde se instalan bares, casas de prostitución y ventas de comida controladas y administradas por </w:t>
      </w:r>
      <w:r>
        <w:rPr>
          <w:rFonts w:ascii="Times New Roman" w:eastAsia="Times New Roman" w:hAnsi="Times New Roman" w:cs="Times New Roman"/>
        </w:rPr>
        <w:lastRenderedPageBreak/>
        <w:t>los mismos trabajadores de la minería, explotación sexual que deriva a su vez en altos índices de feminicidios, trata de personas, esclavitud moderna y violencia territorial.</w:t>
      </w:r>
      <w:r>
        <w:rPr>
          <w:rFonts w:ascii="Times New Roman" w:eastAsia="Times New Roman" w:hAnsi="Times New Roman" w:cs="Times New Roman"/>
          <w:vertAlign w:val="superscript"/>
        </w:rPr>
        <w:footnoteReference w:id="6"/>
      </w:r>
    </w:p>
    <w:p w14:paraId="77B0082E"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8.</w:t>
      </w:r>
      <w:r>
        <w:rPr>
          <w:rFonts w:ascii="Times New Roman" w:eastAsia="Times New Roman" w:hAnsi="Times New Roman" w:cs="Times New Roman"/>
        </w:rPr>
        <w:t xml:space="preserve"> Es por ello que FundaRedes concluye que el Estado venezolano no está garantizando condiciones de vida adecuadas, ni se le está prestando la especial atención que requiere la mujer rural venezolana. En consecuencia, FundaRedes concluye que el artículo 14 de la CEDCM no está siendo aplicado en la República Bolivariana de Venezuela.</w:t>
      </w:r>
    </w:p>
    <w:p w14:paraId="3736C6B2" w14:textId="77777777" w:rsidR="00244C37" w:rsidRDefault="00000000">
      <w:pPr>
        <w:spacing w:line="360" w:lineRule="auto"/>
        <w:ind w:firstLine="720"/>
        <w:jc w:val="both"/>
        <w:rPr>
          <w:rFonts w:ascii="Times New Roman" w:eastAsia="Times New Roman" w:hAnsi="Times New Roman" w:cs="Times New Roman"/>
          <w:b/>
        </w:rPr>
      </w:pPr>
      <w:r>
        <w:rPr>
          <w:rFonts w:ascii="Times New Roman" w:eastAsia="Times New Roman" w:hAnsi="Times New Roman" w:cs="Times New Roman"/>
          <w:b/>
        </w:rPr>
        <w:t>b. Eje fronterizo</w:t>
      </w:r>
    </w:p>
    <w:p w14:paraId="4B71696A"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9.</w:t>
      </w:r>
      <w:r>
        <w:rPr>
          <w:rFonts w:ascii="Times New Roman" w:eastAsia="Times New Roman" w:hAnsi="Times New Roman" w:cs="Times New Roman"/>
        </w:rPr>
        <w:t xml:space="preserve"> FundaRedes, a través de la </w:t>
      </w:r>
      <w:r>
        <w:rPr>
          <w:rFonts w:ascii="Times New Roman" w:eastAsia="Times New Roman" w:hAnsi="Times New Roman" w:cs="Times New Roman"/>
          <w:i/>
        </w:rPr>
        <w:t>Curva de la Violencia</w:t>
      </w:r>
      <w:r>
        <w:rPr>
          <w:rFonts w:ascii="Times New Roman" w:eastAsia="Times New Roman" w:hAnsi="Times New Roman" w:cs="Times New Roman"/>
        </w:rPr>
        <w:t>, observa, documenta y sistematiza eventos generadores de violencia en los estados fronterizos del suroriente y suroccidente venezolano: Amazonas, Apure, Bolívar, Falcón, Táchira y Zulia. Dichos eventos son clasificados en tres unidades de análisis: homicidios, enfrentamientos y desapariciones y/o secuestros.</w:t>
      </w:r>
    </w:p>
    <w:p w14:paraId="58E5DDAD"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10. </w:t>
      </w:r>
      <w:r>
        <w:rPr>
          <w:rFonts w:ascii="Times New Roman" w:eastAsia="Times New Roman" w:hAnsi="Times New Roman" w:cs="Times New Roman"/>
        </w:rPr>
        <w:t xml:space="preserve">La labor de monitoreo y documentación de la </w:t>
      </w:r>
      <w:r>
        <w:rPr>
          <w:rFonts w:ascii="Times New Roman" w:eastAsia="Times New Roman" w:hAnsi="Times New Roman" w:cs="Times New Roman"/>
          <w:i/>
        </w:rPr>
        <w:t>Curva de la Violencia 2022</w:t>
      </w:r>
      <w:r>
        <w:rPr>
          <w:rFonts w:ascii="Times New Roman" w:eastAsia="Times New Roman" w:hAnsi="Times New Roman" w:cs="Times New Roman"/>
          <w:i/>
          <w:vertAlign w:val="superscript"/>
        </w:rPr>
        <w:footnoteReference w:id="7"/>
      </w:r>
      <w:r>
        <w:rPr>
          <w:rFonts w:ascii="Times New Roman" w:eastAsia="Times New Roman" w:hAnsi="Times New Roman" w:cs="Times New Roman"/>
        </w:rPr>
        <w:t xml:space="preserve"> reveló que las mujeres, especialmente aquellas que habitan o transitan áreas rurales, sufren condiciones de alta vulnerabilidad y son víctimas de violencia a manos de actores criminales que se establecieron en las zonas cercanas a la frontera.</w:t>
      </w:r>
    </w:p>
    <w:p w14:paraId="05760B58"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11.</w:t>
      </w:r>
      <w:r>
        <w:rPr>
          <w:rFonts w:ascii="Times New Roman" w:eastAsia="Times New Roman" w:hAnsi="Times New Roman" w:cs="Times New Roman"/>
        </w:rPr>
        <w:t xml:space="preserve"> Aunque los datos obtenidos en la unidad de análisis desapariciones y/o secuestros arrojaron que de los 334 casos registrados en el año 245 de las víctimas son hombres y de 9 no hay identificación de género, llama la atención que 80 víctimas son mujeres que en su gran mayoría se trasladaron a la frontera bien sea en busca de oportunidades laborales o para emigrar hacia otros países de la región. Los pasos fronterizos suponen riesgos para los migrantes, pero en especial para las mujeres que se convierten en presa fácil de las organizaciones criminales dedicadas a la trata de personas, así como de Grupos Armados Irregualres y bandas delincuenciales que mediante ofertas engañosas las captan y someten a trabajos forzosos y prostitución y, en otros casos, permanecen como prisioneras de mafias.</w:t>
      </w:r>
    </w:p>
    <w:p w14:paraId="1C9DEC1D"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lastRenderedPageBreak/>
        <w:t>12.</w:t>
      </w:r>
      <w:r>
        <w:rPr>
          <w:rFonts w:ascii="Times New Roman" w:eastAsia="Times New Roman" w:hAnsi="Times New Roman" w:cs="Times New Roman"/>
        </w:rPr>
        <w:t xml:space="preserve"> La mujer rural de los estados fronterizos de Venezuela se encuentra sometida al yugo de los Grupos Armados Irregulares y bandas delincuenciales con alto poder de fuego, poniendo en riesgo su integridad, sus derechos y su vida.</w:t>
      </w:r>
    </w:p>
    <w:p w14:paraId="7177D066" w14:textId="77777777" w:rsidR="00244C37"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b/>
        </w:rPr>
        <w:t>13.</w:t>
      </w:r>
      <w:r>
        <w:rPr>
          <w:rFonts w:ascii="Times New Roman" w:eastAsia="Times New Roman" w:hAnsi="Times New Roman" w:cs="Times New Roman"/>
        </w:rPr>
        <w:t xml:space="preserve"> Es por ello que FundaRedes concluye que el Estado venezolano no está garantizando condiciones de vida adecuadas, ni se le está prestando la especial atención que requiere la mujer rural venezolana. En consecuencia, FundaRedes concluye que el artículo 14 de la CEDCM no está siendo aplicado en la República Bolivariana de Venezuela.</w:t>
      </w:r>
    </w:p>
    <w:p w14:paraId="1C82DE48" w14:textId="77777777" w:rsidR="00244C37" w:rsidRDefault="00244C37">
      <w:pPr>
        <w:spacing w:line="360" w:lineRule="auto"/>
        <w:jc w:val="both"/>
        <w:rPr>
          <w:rFonts w:ascii="Times New Roman" w:eastAsia="Times New Roman" w:hAnsi="Times New Roman" w:cs="Times New Roman"/>
        </w:rPr>
      </w:pPr>
    </w:p>
    <w:p w14:paraId="63962222" w14:textId="77777777" w:rsidR="00244C37" w:rsidRDefault="00244C37">
      <w:pPr>
        <w:spacing w:line="360" w:lineRule="auto"/>
        <w:jc w:val="both"/>
        <w:rPr>
          <w:rFonts w:ascii="Times New Roman" w:eastAsia="Times New Roman" w:hAnsi="Times New Roman" w:cs="Times New Roman"/>
        </w:rPr>
      </w:pPr>
    </w:p>
    <w:sectPr w:rsidR="00244C37">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6C4EB" w14:textId="77777777" w:rsidR="00744D13" w:rsidRDefault="00744D13">
      <w:pPr>
        <w:spacing w:after="0" w:line="240" w:lineRule="auto"/>
      </w:pPr>
      <w:r>
        <w:separator/>
      </w:r>
    </w:p>
  </w:endnote>
  <w:endnote w:type="continuationSeparator" w:id="0">
    <w:p w14:paraId="13DD1D86" w14:textId="77777777" w:rsidR="00744D13" w:rsidRDefault="00744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45D33" w14:textId="77777777" w:rsidR="00244C37" w:rsidRDefault="00000000">
    <w:pPr>
      <w:pBdr>
        <w:top w:val="nil"/>
        <w:left w:val="nil"/>
        <w:bottom w:val="nil"/>
        <w:right w:val="nil"/>
        <w:between w:val="nil"/>
      </w:pBdr>
      <w:tabs>
        <w:tab w:val="center" w:pos="4680"/>
        <w:tab w:val="right" w:pos="9360"/>
      </w:tabs>
      <w:spacing w:after="0" w:line="240" w:lineRule="auto"/>
      <w:jc w:val="right"/>
      <w:rPr>
        <w:b/>
        <w:color w:val="000000"/>
      </w:rPr>
    </w:pPr>
    <w:r>
      <w:rPr>
        <w:b/>
        <w:color w:val="000000"/>
      </w:rPr>
      <w:t xml:space="preserve">Página </w:t>
    </w:r>
    <w:r>
      <w:rPr>
        <w:b/>
        <w:color w:val="000000"/>
      </w:rPr>
      <w:fldChar w:fldCharType="begin"/>
    </w:r>
    <w:r>
      <w:rPr>
        <w:b/>
        <w:color w:val="000000"/>
      </w:rPr>
      <w:instrText>PAGE</w:instrText>
    </w:r>
    <w:r>
      <w:rPr>
        <w:b/>
        <w:color w:val="000000"/>
      </w:rPr>
      <w:fldChar w:fldCharType="separate"/>
    </w:r>
    <w:r w:rsidR="00550E2E">
      <w:rPr>
        <w:b/>
        <w:noProof/>
        <w:color w:val="000000"/>
      </w:rPr>
      <w:t>1</w:t>
    </w:r>
    <w:r>
      <w:rPr>
        <w:b/>
        <w:color w:val="000000"/>
      </w:rPr>
      <w:fldChar w:fldCharType="end"/>
    </w:r>
    <w:r>
      <w:rPr>
        <w:b/>
        <w:color w:val="000000"/>
      </w:rPr>
      <w:t xml:space="preserve"> de </w:t>
    </w:r>
    <w:r>
      <w:rPr>
        <w:b/>
      </w:rPr>
      <w:fldChar w:fldCharType="begin"/>
    </w:r>
    <w:r>
      <w:rPr>
        <w:b/>
      </w:rPr>
      <w:instrText>NUMPAGES</w:instrText>
    </w:r>
    <w:r>
      <w:rPr>
        <w:b/>
      </w:rPr>
      <w:fldChar w:fldCharType="separate"/>
    </w:r>
    <w:r w:rsidR="00550E2E">
      <w:rPr>
        <w:b/>
        <w:noProof/>
      </w:rPr>
      <w:t>2</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96218" w14:textId="77777777" w:rsidR="00744D13" w:rsidRDefault="00744D13">
      <w:pPr>
        <w:spacing w:after="0" w:line="240" w:lineRule="auto"/>
      </w:pPr>
      <w:r>
        <w:separator/>
      </w:r>
    </w:p>
  </w:footnote>
  <w:footnote w:type="continuationSeparator" w:id="0">
    <w:p w14:paraId="4722773D" w14:textId="77777777" w:rsidR="00744D13" w:rsidRDefault="00744D13">
      <w:pPr>
        <w:spacing w:after="0" w:line="240" w:lineRule="auto"/>
      </w:pPr>
      <w:r>
        <w:continuationSeparator/>
      </w:r>
    </w:p>
  </w:footnote>
  <w:footnote w:id="1">
    <w:p w14:paraId="1343EB89" w14:textId="77777777" w:rsidR="00244C37"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Constituida legalmente en 20</w:t>
      </w:r>
      <w:r>
        <w:rPr>
          <w:sz w:val="20"/>
          <w:szCs w:val="20"/>
        </w:rPr>
        <w:t>0</w:t>
      </w:r>
      <w:r>
        <w:rPr>
          <w:color w:val="000000"/>
          <w:sz w:val="20"/>
          <w:szCs w:val="20"/>
        </w:rPr>
        <w:t>2.</w:t>
      </w:r>
    </w:p>
  </w:footnote>
  <w:footnote w:id="2">
    <w:p w14:paraId="2FAFB42C" w14:textId="77777777" w:rsidR="00244C37" w:rsidRDefault="00000000">
      <w:pPr>
        <w:spacing w:after="0" w:line="240" w:lineRule="auto"/>
        <w:jc w:val="both"/>
        <w:rPr>
          <w:sz w:val="20"/>
          <w:szCs w:val="20"/>
        </w:rPr>
      </w:pPr>
      <w:r>
        <w:rPr>
          <w:vertAlign w:val="superscript"/>
        </w:rPr>
        <w:footnoteRef/>
      </w:r>
      <w:r>
        <w:rPr>
          <w:sz w:val="20"/>
          <w:szCs w:val="20"/>
        </w:rPr>
        <w:t xml:space="preserve"> </w:t>
      </w:r>
      <w:r>
        <w:rPr>
          <w:sz w:val="20"/>
          <w:szCs w:val="20"/>
        </w:rPr>
        <w:t xml:space="preserve">Universidad Católica Andrés Bello (UCAB). (2022). </w:t>
      </w:r>
      <w:r>
        <w:rPr>
          <w:i/>
          <w:sz w:val="20"/>
          <w:szCs w:val="20"/>
        </w:rPr>
        <w:t>Encuesta de Condiciones de Vida (ENCOVI).</w:t>
      </w:r>
      <w:r>
        <w:rPr>
          <w:sz w:val="20"/>
          <w:szCs w:val="20"/>
        </w:rPr>
        <w:t xml:space="preserve"> Disponible en: </w:t>
      </w:r>
      <w:hyperlink r:id="rId1">
        <w:r>
          <w:rPr>
            <w:color w:val="0563C1"/>
            <w:sz w:val="20"/>
            <w:szCs w:val="20"/>
            <w:u w:val="single"/>
          </w:rPr>
          <w:t>https://assets.website-files.com/5d14c6a5c4ad42a4e794d0f7/636d0009b0c59ebfd2f24acd_Presentacion%20ENCOVI%202022%20completa.pdf</w:t>
        </w:r>
      </w:hyperlink>
      <w:r>
        <w:rPr>
          <w:rFonts w:ascii="Arial" w:eastAsia="Arial" w:hAnsi="Arial" w:cs="Arial"/>
          <w:sz w:val="20"/>
          <w:szCs w:val="20"/>
        </w:rPr>
        <w:t xml:space="preserve"> </w:t>
      </w:r>
    </w:p>
  </w:footnote>
  <w:footnote w:id="3">
    <w:p w14:paraId="029FC7D1" w14:textId="77777777" w:rsidR="00244C37" w:rsidRDefault="00000000">
      <w:pPr>
        <w:spacing w:after="0" w:line="240" w:lineRule="auto"/>
        <w:rPr>
          <w:sz w:val="20"/>
          <w:szCs w:val="20"/>
        </w:rPr>
      </w:pPr>
      <w:r>
        <w:rPr>
          <w:vertAlign w:val="superscript"/>
        </w:rPr>
        <w:footnoteRef/>
      </w:r>
      <w:r>
        <w:rPr>
          <w:sz w:val="20"/>
          <w:szCs w:val="20"/>
        </w:rPr>
        <w:t xml:space="preserve"> </w:t>
      </w:r>
      <w:r>
        <w:rPr>
          <w:sz w:val="20"/>
          <w:szCs w:val="20"/>
        </w:rPr>
        <w:t xml:space="preserve">ASAMBLEA GENERAL DE LAS NACIONES UNIDAS. </w:t>
      </w:r>
      <w:r>
        <w:rPr>
          <w:i/>
          <w:sz w:val="20"/>
          <w:szCs w:val="20"/>
        </w:rPr>
        <w:t>Convención sobre la eliminación de todas las formas de discriminación contra la mujer.</w:t>
      </w:r>
      <w:r>
        <w:rPr>
          <w:sz w:val="20"/>
          <w:szCs w:val="20"/>
        </w:rPr>
        <w:t xml:space="preserve"> Resolución 34/180, de 18 de diciembre de 1979.</w:t>
      </w:r>
    </w:p>
  </w:footnote>
  <w:footnote w:id="4">
    <w:p w14:paraId="46C14982" w14:textId="77777777" w:rsidR="00244C37" w:rsidRDefault="00000000">
      <w:pPr>
        <w:spacing w:after="0" w:line="240" w:lineRule="auto"/>
        <w:jc w:val="both"/>
        <w:rPr>
          <w:sz w:val="20"/>
          <w:szCs w:val="20"/>
        </w:rPr>
      </w:pPr>
      <w:r>
        <w:rPr>
          <w:vertAlign w:val="superscript"/>
        </w:rPr>
        <w:footnoteRef/>
      </w:r>
      <w:r>
        <w:rPr>
          <w:sz w:val="20"/>
          <w:szCs w:val="20"/>
        </w:rPr>
        <w:t xml:space="preserve"> </w:t>
      </w:r>
      <w:r>
        <w:rPr>
          <w:sz w:val="20"/>
          <w:szCs w:val="20"/>
        </w:rPr>
        <w:t>FundaRedes.</w:t>
      </w:r>
      <w:r>
        <w:rPr>
          <w:i/>
          <w:sz w:val="20"/>
          <w:szCs w:val="20"/>
        </w:rPr>
        <w:t xml:space="preserve"> Informe de Ambiente #1, Extractivismo, violencia y desigualdad. La catástrofe inducida en la Amazonia.</w:t>
      </w:r>
      <w:r>
        <w:rPr>
          <w:sz w:val="20"/>
          <w:szCs w:val="20"/>
        </w:rPr>
        <w:t xml:space="preserve"> Disponible en: </w:t>
      </w:r>
      <w:hyperlink r:id="rId2">
        <w:r>
          <w:rPr>
            <w:color w:val="1155CC"/>
            <w:sz w:val="20"/>
            <w:szCs w:val="20"/>
            <w:u w:val="single"/>
          </w:rPr>
          <w:t>https://fundaredes.org/informes/EPA-Arco-Minero-2021.pdf</w:t>
        </w:r>
      </w:hyperlink>
      <w:r>
        <w:rPr>
          <w:sz w:val="20"/>
          <w:szCs w:val="20"/>
        </w:rPr>
        <w:t xml:space="preserve"> </w:t>
      </w:r>
    </w:p>
  </w:footnote>
  <w:footnote w:id="5">
    <w:p w14:paraId="002DDCFF" w14:textId="77777777" w:rsidR="00244C37" w:rsidRDefault="00000000">
      <w:pPr>
        <w:spacing w:after="0" w:line="240" w:lineRule="auto"/>
        <w:jc w:val="both"/>
        <w:rPr>
          <w:sz w:val="20"/>
          <w:szCs w:val="20"/>
        </w:rPr>
      </w:pPr>
      <w:r>
        <w:rPr>
          <w:vertAlign w:val="superscript"/>
        </w:rPr>
        <w:footnoteRef/>
      </w:r>
      <w:r w:rsidRPr="00550E2E">
        <w:rPr>
          <w:sz w:val="20"/>
          <w:szCs w:val="20"/>
          <w:lang w:val="en-US"/>
        </w:rPr>
        <w:t xml:space="preserve"> </w:t>
      </w:r>
      <w:r w:rsidRPr="00550E2E">
        <w:rPr>
          <w:sz w:val="20"/>
          <w:szCs w:val="20"/>
          <w:lang w:val="en-US"/>
        </w:rPr>
        <w:t xml:space="preserve">CSIS. </w:t>
      </w:r>
      <w:r w:rsidRPr="00550E2E">
        <w:rPr>
          <w:i/>
          <w:sz w:val="20"/>
          <w:szCs w:val="20"/>
          <w:lang w:val="en-US"/>
        </w:rPr>
        <w:t>Illegal Mining in Venezuela: Death and Devastation in the Amazonas and Orinoco Regions.</w:t>
      </w:r>
      <w:r w:rsidRPr="00550E2E">
        <w:rPr>
          <w:sz w:val="20"/>
          <w:szCs w:val="20"/>
          <w:lang w:val="en-US"/>
        </w:rPr>
        <w:t xml:space="preserve"> </w:t>
      </w:r>
      <w:r>
        <w:rPr>
          <w:sz w:val="20"/>
          <w:szCs w:val="20"/>
        </w:rPr>
        <w:t xml:space="preserve">Disponible en: </w:t>
      </w:r>
      <w:hyperlink r:id="rId3">
        <w:r>
          <w:rPr>
            <w:color w:val="1155CC"/>
            <w:sz w:val="20"/>
            <w:szCs w:val="20"/>
            <w:u w:val="single"/>
          </w:rPr>
          <w:t>https://www.csis.org/analysis/illegal-mining-venezuela-death-and-devastation-amazonas-and-orinoco-regions</w:t>
        </w:r>
      </w:hyperlink>
      <w:r>
        <w:rPr>
          <w:sz w:val="20"/>
          <w:szCs w:val="20"/>
        </w:rPr>
        <w:t xml:space="preserve"> </w:t>
      </w:r>
    </w:p>
  </w:footnote>
  <w:footnote w:id="6">
    <w:p w14:paraId="7A83C1CE" w14:textId="77777777" w:rsidR="00244C37" w:rsidRDefault="00000000">
      <w:pPr>
        <w:spacing w:after="0" w:line="240" w:lineRule="auto"/>
        <w:jc w:val="both"/>
        <w:rPr>
          <w:sz w:val="20"/>
          <w:szCs w:val="20"/>
        </w:rPr>
      </w:pPr>
      <w:r>
        <w:rPr>
          <w:vertAlign w:val="superscript"/>
        </w:rPr>
        <w:footnoteRef/>
      </w:r>
      <w:r>
        <w:rPr>
          <w:sz w:val="20"/>
          <w:szCs w:val="20"/>
        </w:rPr>
        <w:t xml:space="preserve"> </w:t>
      </w:r>
      <w:r>
        <w:rPr>
          <w:sz w:val="20"/>
          <w:szCs w:val="20"/>
        </w:rPr>
        <w:t>FundaRedes.</w:t>
      </w:r>
      <w:r>
        <w:rPr>
          <w:i/>
          <w:sz w:val="20"/>
          <w:szCs w:val="20"/>
        </w:rPr>
        <w:t xml:space="preserve"> Informe de Ambiente #4, Afectación de la comunidad indígena por la explotación del Arco Minero del Orinoco.</w:t>
      </w:r>
      <w:r>
        <w:rPr>
          <w:sz w:val="20"/>
          <w:szCs w:val="20"/>
        </w:rPr>
        <w:t xml:space="preserve"> Disponible en: </w:t>
      </w:r>
      <w:hyperlink r:id="rId4">
        <w:r>
          <w:rPr>
            <w:color w:val="1155CC"/>
            <w:sz w:val="20"/>
            <w:szCs w:val="20"/>
            <w:u w:val="single"/>
          </w:rPr>
          <w:t>https://fundaredes.org/informes/2022-EPA-Afectacion-en-la-comunidad-indigena-por-la-explotacion-del-Arco-Minero-del-Orinoco.pdf</w:t>
        </w:r>
      </w:hyperlink>
      <w:r>
        <w:rPr>
          <w:sz w:val="20"/>
          <w:szCs w:val="20"/>
        </w:rPr>
        <w:t xml:space="preserve"> </w:t>
      </w:r>
    </w:p>
  </w:footnote>
  <w:footnote w:id="7">
    <w:p w14:paraId="2BAEEB42" w14:textId="77777777" w:rsidR="00244C37" w:rsidRDefault="00000000">
      <w:pPr>
        <w:spacing w:after="0" w:line="240" w:lineRule="auto"/>
        <w:jc w:val="both"/>
        <w:rPr>
          <w:sz w:val="20"/>
          <w:szCs w:val="20"/>
        </w:rPr>
      </w:pPr>
      <w:r>
        <w:rPr>
          <w:vertAlign w:val="superscript"/>
        </w:rPr>
        <w:footnoteRef/>
      </w:r>
      <w:r>
        <w:rPr>
          <w:sz w:val="20"/>
          <w:szCs w:val="20"/>
        </w:rPr>
        <w:t xml:space="preserve"> </w:t>
      </w:r>
      <w:r>
        <w:rPr>
          <w:sz w:val="20"/>
          <w:szCs w:val="20"/>
        </w:rPr>
        <w:t xml:space="preserve">FundaRedes. </w:t>
      </w:r>
      <w:r>
        <w:rPr>
          <w:i/>
          <w:sz w:val="20"/>
          <w:szCs w:val="20"/>
        </w:rPr>
        <w:t>Curva de la Violencia, 2022.</w:t>
      </w:r>
      <w:r>
        <w:rPr>
          <w:sz w:val="20"/>
          <w:szCs w:val="20"/>
        </w:rPr>
        <w:t xml:space="preserve"> Disponible en: </w:t>
      </w:r>
      <w:hyperlink r:id="rId5">
        <w:r>
          <w:rPr>
            <w:color w:val="1155CC"/>
            <w:sz w:val="20"/>
            <w:szCs w:val="20"/>
            <w:u w:val="single"/>
          </w:rPr>
          <w:t>https://www.fundaredes.org/curva/2022-curva-de-la-violencia-anual-larga.pdf</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A8B9" w14:textId="77777777" w:rsidR="00244C37" w:rsidRDefault="00000000">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24CA75CD" wp14:editId="0615F425">
          <wp:extent cx="1714500" cy="84772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4500" cy="8477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4F32CC"/>
    <w:multiLevelType w:val="multilevel"/>
    <w:tmpl w:val="CFD0045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922640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C37"/>
    <w:rsid w:val="00244C37"/>
    <w:rsid w:val="00550E2E"/>
    <w:rsid w:val="00744D1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5A0D9F6C"/>
  <w15:docId w15:val="{FA138DF7-6FCC-F94D-9D59-CA8B64F7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9D6612"/>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D6612"/>
  </w:style>
  <w:style w:type="paragraph" w:styleId="Piedepgina">
    <w:name w:val="footer"/>
    <w:basedOn w:val="Normal"/>
    <w:link w:val="PiedepginaCar"/>
    <w:uiPriority w:val="99"/>
    <w:unhideWhenUsed/>
    <w:rsid w:val="009D6612"/>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D6612"/>
  </w:style>
  <w:style w:type="paragraph" w:styleId="Textonotapie">
    <w:name w:val="footnote text"/>
    <w:basedOn w:val="Normal"/>
    <w:link w:val="TextonotapieCar"/>
    <w:uiPriority w:val="99"/>
    <w:semiHidden/>
    <w:unhideWhenUsed/>
    <w:rsid w:val="00FC609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C609E"/>
    <w:rPr>
      <w:sz w:val="20"/>
      <w:szCs w:val="20"/>
    </w:rPr>
  </w:style>
  <w:style w:type="character" w:styleId="Refdenotaalpie">
    <w:name w:val="footnote reference"/>
    <w:basedOn w:val="Fuentedeprrafopredeter"/>
    <w:uiPriority w:val="99"/>
    <w:semiHidden/>
    <w:unhideWhenUsed/>
    <w:rsid w:val="00FC609E"/>
    <w:rPr>
      <w:vertAlign w:val="superscript"/>
    </w:rPr>
  </w:style>
  <w:style w:type="paragraph" w:styleId="Prrafodelista">
    <w:name w:val="List Paragraph"/>
    <w:basedOn w:val="Normal"/>
    <w:uiPriority w:val="34"/>
    <w:qFormat/>
    <w:rsid w:val="00FC609E"/>
    <w:pPr>
      <w:ind w:left="720"/>
      <w:contextualSpacing/>
    </w:pPr>
  </w:style>
  <w:style w:type="character" w:styleId="Hipervnculo">
    <w:name w:val="Hyperlink"/>
    <w:basedOn w:val="Fuentedeprrafopredeter"/>
    <w:uiPriority w:val="99"/>
    <w:unhideWhenUsed/>
    <w:rsid w:val="00FC609E"/>
    <w:rPr>
      <w:color w:val="0563C1" w:themeColor="hyperlink"/>
      <w:u w:val="single"/>
    </w:rPr>
  </w:style>
  <w:style w:type="character" w:styleId="Mencinsinresolver">
    <w:name w:val="Unresolved Mention"/>
    <w:basedOn w:val="Fuentedeprrafopredeter"/>
    <w:uiPriority w:val="99"/>
    <w:semiHidden/>
    <w:unhideWhenUsed/>
    <w:rsid w:val="00FC609E"/>
    <w:rPr>
      <w:color w:val="605E5C"/>
      <w:shd w:val="clear" w:color="auto" w:fill="E1DFDD"/>
    </w:rPr>
  </w:style>
  <w:style w:type="paragraph" w:styleId="NormalWeb">
    <w:name w:val="Normal (Web)"/>
    <w:basedOn w:val="Normal"/>
    <w:uiPriority w:val="99"/>
    <w:semiHidden/>
    <w:unhideWhenUsed/>
    <w:rsid w:val="00C9273A"/>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sis.org/analysis/illegal-mining-venezuela-death-and-devastation-amazonas-and-orinoco-regions" TargetMode="External"/><Relationship Id="rId2" Type="http://schemas.openxmlformats.org/officeDocument/2006/relationships/hyperlink" Target="https://fundaredes.org/informes/EPA-Arco-Minero-2021.pdf" TargetMode="External"/><Relationship Id="rId1" Type="http://schemas.openxmlformats.org/officeDocument/2006/relationships/hyperlink" Target="https://assets.website-files.com/5d14c6a5c4ad42a4e794d0f7/636d0009b0c59ebfd2f24acd_Presentacion%20ENCOVI%202022%20completa.pdf" TargetMode="External"/><Relationship Id="rId5" Type="http://schemas.openxmlformats.org/officeDocument/2006/relationships/hyperlink" Target="https://www.fundaredes.org/curva/2022-curva-de-la-violencia-anual-larga.pdf" TargetMode="External"/><Relationship Id="rId4" Type="http://schemas.openxmlformats.org/officeDocument/2006/relationships/hyperlink" Target="https://fundaredes.org/informes/2022-EPA-Afectacion-en-la-comunidad-indigena-por-la-explotacion-del-Arco-Minero-del-Orinoc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977</Words>
  <Characters>5375</Characters>
  <Application>Microsoft Office Word</Application>
  <DocSecurity>0</DocSecurity>
  <Lines>44</Lines>
  <Paragraphs>12</Paragraphs>
  <ScaleCrop>false</ScaleCrop>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Clara Yesenia Ramirez Arenas</cp:lastModifiedBy>
  <cp:revision>2</cp:revision>
  <dcterms:created xsi:type="dcterms:W3CDTF">2023-04-10T21:21:00Z</dcterms:created>
  <dcterms:modified xsi:type="dcterms:W3CDTF">2023-04-10T21:21:00Z</dcterms:modified>
</cp:coreProperties>
</file>