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74C52" w14:textId="77777777" w:rsidR="00E87476" w:rsidRDefault="00E87476" w:rsidP="00E87476">
      <w:pPr>
        <w:rPr>
          <w:b/>
          <w:sz w:val="32"/>
          <w:szCs w:val="32"/>
        </w:rPr>
      </w:pPr>
    </w:p>
    <w:p w14:paraId="35779F7C" w14:textId="2407F491" w:rsidR="00E87476" w:rsidRDefault="00A1637D" w:rsidP="00E87476">
      <w:pPr>
        <w:jc w:val="center"/>
        <w:rPr>
          <w:b/>
          <w:sz w:val="32"/>
          <w:szCs w:val="32"/>
        </w:rPr>
      </w:pPr>
      <w:r w:rsidRPr="00742EE1">
        <w:rPr>
          <w:rFonts w:eastAsia="Arial"/>
          <w:noProof/>
        </w:rPr>
        <w:drawing>
          <wp:inline distT="0" distB="0" distL="0" distR="0" wp14:anchorId="603E2555" wp14:editId="4B2B12BB">
            <wp:extent cx="3658964" cy="1600945"/>
            <wp:effectExtent l="0" t="0" r="0" b="0"/>
            <wp:docPr id="1" name="image9.jpg" descr="A picture containing 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9.jpg" descr="A picture containing graphical user interface&#10;&#10;Description automatically generated"/>
                    <pic:cNvPicPr preferRelativeResize="0"/>
                  </pic:nvPicPr>
                  <pic:blipFill>
                    <a:blip r:embed="rId8"/>
                    <a:srcRect/>
                    <a:stretch>
                      <a:fillRect/>
                    </a:stretch>
                  </pic:blipFill>
                  <pic:spPr>
                    <a:xfrm>
                      <a:off x="0" y="0"/>
                      <a:ext cx="3658964" cy="1600945"/>
                    </a:xfrm>
                    <a:prstGeom prst="rect">
                      <a:avLst/>
                    </a:prstGeom>
                    <a:ln/>
                  </pic:spPr>
                </pic:pic>
              </a:graphicData>
            </a:graphic>
          </wp:inline>
        </w:drawing>
      </w:r>
    </w:p>
    <w:p w14:paraId="57A40495" w14:textId="77777777" w:rsidR="00A1637D" w:rsidRDefault="00A1637D" w:rsidP="00A1637D">
      <w:pPr>
        <w:pStyle w:val="Normal1"/>
        <w:spacing w:before="0" w:after="280" w:line="240" w:lineRule="auto"/>
        <w:jc w:val="center"/>
        <w:rPr>
          <w:rFonts w:ascii="Trebuchet MS" w:eastAsia="Arial" w:hAnsi="Trebuchet MS" w:cstheme="minorBidi"/>
          <w:b/>
          <w:sz w:val="32"/>
          <w:szCs w:val="32"/>
        </w:rPr>
      </w:pPr>
    </w:p>
    <w:p w14:paraId="47E6D4E5" w14:textId="3DFABFFC" w:rsidR="00A1637D" w:rsidRPr="00892321" w:rsidRDefault="00A1637D" w:rsidP="00A1637D">
      <w:pPr>
        <w:pStyle w:val="Normal1"/>
        <w:spacing w:before="0" w:after="280" w:line="240" w:lineRule="auto"/>
        <w:jc w:val="center"/>
        <w:rPr>
          <w:rFonts w:ascii="Trebuchet MS" w:eastAsia="Arial" w:hAnsi="Trebuchet MS" w:cstheme="minorBidi"/>
          <w:b/>
          <w:sz w:val="32"/>
          <w:szCs w:val="32"/>
        </w:rPr>
      </w:pPr>
      <w:r w:rsidRPr="00892321">
        <w:rPr>
          <w:rFonts w:ascii="Trebuchet MS" w:eastAsia="Arial" w:hAnsi="Trebuchet MS" w:cstheme="minorBidi"/>
          <w:b/>
          <w:sz w:val="32"/>
          <w:szCs w:val="32"/>
        </w:rPr>
        <w:t>THEMATIC REPORT ON MUSLIM FAMILY LAW AND</w:t>
      </w:r>
    </w:p>
    <w:p w14:paraId="7D8224D6" w14:textId="77777777" w:rsidR="00A1637D" w:rsidRPr="00892321" w:rsidRDefault="00A1637D" w:rsidP="00A1637D">
      <w:pPr>
        <w:pStyle w:val="Normal1"/>
        <w:spacing w:before="0" w:after="280" w:line="240" w:lineRule="auto"/>
        <w:jc w:val="center"/>
        <w:rPr>
          <w:rFonts w:ascii="Trebuchet MS" w:eastAsia="Arial" w:hAnsi="Trebuchet MS" w:cstheme="minorBidi"/>
          <w:b/>
          <w:sz w:val="32"/>
          <w:szCs w:val="32"/>
        </w:rPr>
      </w:pPr>
      <w:r w:rsidRPr="00892321">
        <w:rPr>
          <w:rFonts w:ascii="Trebuchet MS" w:eastAsia="Arial" w:hAnsi="Trebuchet MS" w:cstheme="minorBidi"/>
          <w:b/>
          <w:sz w:val="32"/>
          <w:szCs w:val="32"/>
        </w:rPr>
        <w:t>MUSLIM WOMEN’S RIGHTS IN</w:t>
      </w:r>
    </w:p>
    <w:p w14:paraId="04CC292C" w14:textId="603FCF5D" w:rsidR="00A1637D" w:rsidRPr="00892321" w:rsidRDefault="00A1637D" w:rsidP="00A1637D">
      <w:pPr>
        <w:pStyle w:val="Normal1"/>
        <w:spacing w:before="0" w:after="280" w:line="240" w:lineRule="auto"/>
        <w:jc w:val="center"/>
        <w:rPr>
          <w:rFonts w:ascii="Trebuchet MS" w:eastAsia="Arial" w:hAnsi="Trebuchet MS" w:cstheme="minorBidi"/>
          <w:b/>
          <w:sz w:val="40"/>
          <w:szCs w:val="40"/>
        </w:rPr>
      </w:pPr>
      <w:r>
        <w:rPr>
          <w:rFonts w:ascii="Trebuchet MS" w:eastAsia="Arial" w:hAnsi="Trebuchet MS" w:cstheme="minorBidi"/>
          <w:b/>
          <w:sz w:val="40"/>
          <w:szCs w:val="40"/>
        </w:rPr>
        <w:t>TUNISIA</w:t>
      </w:r>
    </w:p>
    <w:p w14:paraId="1B027A32" w14:textId="77777777" w:rsidR="00E87476" w:rsidRPr="005F2651" w:rsidRDefault="00E87476" w:rsidP="00A1637D">
      <w:pPr>
        <w:rPr>
          <w:rFonts w:ascii="Trebuchet MS" w:hAnsi="Trebuchet MS"/>
          <w:b/>
          <w:sz w:val="32"/>
          <w:szCs w:val="32"/>
        </w:rPr>
      </w:pPr>
    </w:p>
    <w:p w14:paraId="49168CB5" w14:textId="77777777" w:rsidR="00E87476" w:rsidRPr="005F2651" w:rsidRDefault="00E87476" w:rsidP="00E87476">
      <w:pPr>
        <w:jc w:val="center"/>
        <w:rPr>
          <w:rFonts w:ascii="Trebuchet MS" w:hAnsi="Trebuchet MS"/>
          <w:b/>
          <w:sz w:val="32"/>
          <w:szCs w:val="32"/>
        </w:rPr>
      </w:pPr>
    </w:p>
    <w:p w14:paraId="1DCD9F61" w14:textId="3CF5F8E1" w:rsidR="00E87476" w:rsidRPr="005F2651" w:rsidRDefault="00E87476" w:rsidP="00A1637D">
      <w:pPr>
        <w:spacing w:line="276" w:lineRule="auto"/>
        <w:jc w:val="center"/>
        <w:rPr>
          <w:rFonts w:ascii="Trebuchet MS" w:hAnsi="Trebuchet MS"/>
          <w:b/>
          <w:sz w:val="32"/>
          <w:szCs w:val="32"/>
        </w:rPr>
      </w:pPr>
      <w:r w:rsidRPr="005F2651">
        <w:rPr>
          <w:rFonts w:ascii="Trebuchet MS" w:hAnsi="Trebuchet MS"/>
          <w:b/>
          <w:sz w:val="32"/>
          <w:szCs w:val="32"/>
        </w:rPr>
        <w:t>8</w:t>
      </w:r>
      <w:r w:rsidR="00513047">
        <w:rPr>
          <w:rFonts w:ascii="Trebuchet MS" w:hAnsi="Trebuchet MS"/>
          <w:b/>
          <w:sz w:val="32"/>
          <w:szCs w:val="32"/>
        </w:rPr>
        <w:t>4</w:t>
      </w:r>
      <w:r w:rsidR="00513047">
        <w:rPr>
          <w:rFonts w:ascii="Trebuchet MS" w:hAnsi="Trebuchet MS"/>
          <w:b/>
          <w:sz w:val="32"/>
          <w:szCs w:val="32"/>
          <w:vertAlign w:val="superscript"/>
        </w:rPr>
        <w:t>th</w:t>
      </w:r>
      <w:r w:rsidRPr="005F2651">
        <w:rPr>
          <w:rFonts w:ascii="Trebuchet MS" w:hAnsi="Trebuchet MS"/>
          <w:b/>
          <w:sz w:val="32"/>
          <w:szCs w:val="32"/>
          <w:vertAlign w:val="superscript"/>
        </w:rPr>
        <w:t xml:space="preserve"> </w:t>
      </w:r>
      <w:r w:rsidRPr="005F2651">
        <w:rPr>
          <w:rFonts w:ascii="Trebuchet MS" w:hAnsi="Trebuchet MS"/>
          <w:b/>
          <w:sz w:val="32"/>
          <w:szCs w:val="32"/>
        </w:rPr>
        <w:t>CEDAW Session</w:t>
      </w:r>
    </w:p>
    <w:p w14:paraId="3086C6AA" w14:textId="059EECFA" w:rsidR="00A1637D" w:rsidRDefault="00A1637D" w:rsidP="00A1637D">
      <w:pPr>
        <w:pStyle w:val="Normal1"/>
        <w:spacing w:line="276" w:lineRule="auto"/>
        <w:jc w:val="center"/>
        <w:rPr>
          <w:rFonts w:ascii="Trebuchet MS" w:eastAsia="Arial" w:hAnsi="Trebuchet MS" w:cstheme="minorBidi"/>
          <w:b/>
          <w:sz w:val="28"/>
          <w:szCs w:val="28"/>
        </w:rPr>
      </w:pPr>
      <w:r w:rsidRPr="00892321">
        <w:rPr>
          <w:rFonts w:ascii="Trebuchet MS" w:eastAsia="Arial" w:hAnsi="Trebuchet MS" w:cstheme="minorBidi"/>
          <w:b/>
          <w:sz w:val="28"/>
          <w:szCs w:val="28"/>
        </w:rPr>
        <w:t>Geneva, Switzerland</w:t>
      </w:r>
    </w:p>
    <w:p w14:paraId="7F4B3887" w14:textId="1A53734C" w:rsidR="00A1637D" w:rsidRPr="00892321" w:rsidRDefault="00A1637D" w:rsidP="00A1637D">
      <w:pPr>
        <w:pStyle w:val="Normal1"/>
        <w:spacing w:line="276" w:lineRule="auto"/>
        <w:jc w:val="center"/>
        <w:rPr>
          <w:rFonts w:ascii="Trebuchet MS" w:eastAsia="Arial" w:hAnsi="Trebuchet MS" w:cstheme="minorBidi"/>
          <w:b/>
          <w:sz w:val="28"/>
          <w:szCs w:val="28"/>
        </w:rPr>
      </w:pPr>
      <w:r>
        <w:rPr>
          <w:rFonts w:ascii="Trebuchet MS" w:eastAsia="Arial" w:hAnsi="Trebuchet MS" w:cstheme="minorBidi"/>
          <w:b/>
          <w:sz w:val="28"/>
          <w:szCs w:val="28"/>
        </w:rPr>
        <w:t>FEBRUARY</w:t>
      </w:r>
      <w:r w:rsidRPr="00892321">
        <w:rPr>
          <w:rFonts w:ascii="Trebuchet MS" w:eastAsia="Arial" w:hAnsi="Trebuchet MS" w:cstheme="minorBidi"/>
          <w:b/>
          <w:sz w:val="28"/>
          <w:szCs w:val="28"/>
        </w:rPr>
        <w:t xml:space="preserve"> 202</w:t>
      </w:r>
      <w:r>
        <w:rPr>
          <w:rFonts w:ascii="Trebuchet MS" w:eastAsia="Arial" w:hAnsi="Trebuchet MS" w:cstheme="minorBidi"/>
          <w:b/>
          <w:sz w:val="28"/>
          <w:szCs w:val="28"/>
        </w:rPr>
        <w:t>3</w:t>
      </w:r>
    </w:p>
    <w:p w14:paraId="19B3D658" w14:textId="77777777" w:rsidR="00E87476" w:rsidRPr="005F2651" w:rsidRDefault="00E87476" w:rsidP="00A1637D">
      <w:pPr>
        <w:spacing w:line="276" w:lineRule="auto"/>
        <w:rPr>
          <w:rFonts w:ascii="Trebuchet MS" w:hAnsi="Trebuchet MS"/>
          <w:sz w:val="32"/>
          <w:szCs w:val="32"/>
        </w:rPr>
      </w:pPr>
    </w:p>
    <w:p w14:paraId="23329AB4" w14:textId="77777777" w:rsidR="00E87476" w:rsidRPr="005F2651" w:rsidRDefault="00E87476" w:rsidP="00A1637D">
      <w:pPr>
        <w:spacing w:line="276" w:lineRule="auto"/>
        <w:rPr>
          <w:rFonts w:ascii="Trebuchet MS" w:hAnsi="Trebuchet MS"/>
          <w:sz w:val="32"/>
          <w:szCs w:val="32"/>
        </w:rPr>
      </w:pPr>
    </w:p>
    <w:p w14:paraId="6765AFB9" w14:textId="4A7C440A" w:rsidR="00E87476" w:rsidRDefault="00E87476" w:rsidP="00E87476">
      <w:pPr>
        <w:rPr>
          <w:rFonts w:ascii="Trebuchet MS" w:hAnsi="Trebuchet MS"/>
          <w:sz w:val="32"/>
          <w:szCs w:val="32"/>
        </w:rPr>
      </w:pPr>
    </w:p>
    <w:p w14:paraId="1C4B1B7C" w14:textId="2AE1D295" w:rsidR="00513047" w:rsidRDefault="00513047" w:rsidP="00E87476">
      <w:pPr>
        <w:rPr>
          <w:rFonts w:ascii="Trebuchet MS" w:hAnsi="Trebuchet MS"/>
          <w:sz w:val="32"/>
          <w:szCs w:val="32"/>
        </w:rPr>
      </w:pPr>
    </w:p>
    <w:p w14:paraId="34587353" w14:textId="404CFEC9" w:rsidR="00A1637D" w:rsidRDefault="00A1637D" w:rsidP="00E87476">
      <w:pPr>
        <w:rPr>
          <w:rFonts w:ascii="Trebuchet MS" w:hAnsi="Trebuchet MS"/>
          <w:sz w:val="32"/>
          <w:szCs w:val="32"/>
        </w:rPr>
      </w:pPr>
    </w:p>
    <w:p w14:paraId="2E8DE6E0" w14:textId="77777777" w:rsidR="00A1637D" w:rsidRPr="00742EE1" w:rsidRDefault="00A1637D" w:rsidP="00A1637D">
      <w:pPr>
        <w:pStyle w:val="Normal1"/>
        <w:spacing w:line="240" w:lineRule="auto"/>
        <w:jc w:val="center"/>
        <w:rPr>
          <w:rFonts w:asciiTheme="minorBidi" w:eastAsia="Arial" w:hAnsiTheme="minorBidi" w:cstheme="minorBidi"/>
          <w:b/>
          <w:sz w:val="24"/>
          <w:szCs w:val="24"/>
        </w:rPr>
      </w:pPr>
      <w:r w:rsidRPr="00742EE1">
        <w:rPr>
          <w:rFonts w:asciiTheme="minorBidi" w:eastAsia="Arial" w:hAnsiTheme="minorBidi" w:cstheme="minorBidi"/>
          <w:b/>
          <w:sz w:val="24"/>
          <w:szCs w:val="24"/>
        </w:rPr>
        <w:t>Musawah</w:t>
      </w:r>
    </w:p>
    <w:p w14:paraId="14DEDF4B" w14:textId="77777777" w:rsidR="00A1637D" w:rsidRPr="00B42C0D" w:rsidRDefault="00A1637D" w:rsidP="00A1637D">
      <w:pPr>
        <w:pStyle w:val="Normal1"/>
        <w:spacing w:before="0" w:after="0" w:line="240" w:lineRule="auto"/>
        <w:jc w:val="center"/>
      </w:pPr>
      <w:r w:rsidRPr="00742EE1">
        <w:rPr>
          <w:rFonts w:asciiTheme="minorBidi" w:eastAsia="Arial" w:hAnsiTheme="minorBidi" w:cstheme="minorBidi"/>
        </w:rPr>
        <w:t xml:space="preserve">15 Jalan </w:t>
      </w:r>
      <w:proofErr w:type="spellStart"/>
      <w:r w:rsidRPr="00742EE1">
        <w:rPr>
          <w:rFonts w:asciiTheme="minorBidi" w:eastAsia="Arial" w:hAnsiTheme="minorBidi" w:cstheme="minorBidi"/>
        </w:rPr>
        <w:t>Limau</w:t>
      </w:r>
      <w:proofErr w:type="spellEnd"/>
      <w:r w:rsidRPr="00742EE1">
        <w:rPr>
          <w:rFonts w:asciiTheme="minorBidi" w:eastAsia="Arial" w:hAnsiTheme="minorBidi" w:cstheme="minorBidi"/>
        </w:rPr>
        <w:t xml:space="preserve"> </w:t>
      </w:r>
      <w:proofErr w:type="spellStart"/>
      <w:r w:rsidRPr="00742EE1">
        <w:rPr>
          <w:rFonts w:asciiTheme="minorBidi" w:eastAsia="Arial" w:hAnsiTheme="minorBidi" w:cstheme="minorBidi"/>
        </w:rPr>
        <w:t>Purut</w:t>
      </w:r>
      <w:proofErr w:type="spellEnd"/>
      <w:r w:rsidRPr="00742EE1">
        <w:rPr>
          <w:rFonts w:asciiTheme="minorBidi" w:eastAsia="Arial" w:hAnsiTheme="minorBidi" w:cstheme="minorBidi"/>
        </w:rPr>
        <w:t>, Bangsar Park, 59000 Kuala Lumpur, Malaysia</w:t>
      </w:r>
      <w:r w:rsidRPr="00742EE1">
        <w:rPr>
          <w:rFonts w:asciiTheme="minorBidi" w:eastAsia="Arial" w:hAnsiTheme="minorBidi" w:cstheme="minorBidi"/>
        </w:rPr>
        <w:br/>
        <w:t>Tel: </w:t>
      </w:r>
      <w:hyperlink r:id="rId9">
        <w:r w:rsidRPr="00742EE1">
          <w:rPr>
            <w:rFonts w:asciiTheme="minorBidi" w:eastAsia="Arial" w:hAnsiTheme="minorBidi" w:cstheme="minorBidi"/>
          </w:rPr>
          <w:t>+603 2083 0202</w:t>
        </w:r>
      </w:hyperlink>
      <w:r w:rsidRPr="00742EE1">
        <w:rPr>
          <w:rFonts w:asciiTheme="minorBidi" w:eastAsia="Arial" w:hAnsiTheme="minorBidi" w:cstheme="minorBidi"/>
        </w:rPr>
        <w:t xml:space="preserve"> Fax: </w:t>
      </w:r>
      <w:hyperlink r:id="rId10">
        <w:r w:rsidRPr="00742EE1">
          <w:rPr>
            <w:rFonts w:asciiTheme="minorBidi" w:eastAsia="Arial" w:hAnsiTheme="minorBidi" w:cstheme="minorBidi"/>
          </w:rPr>
          <w:t>+603 2202 0303</w:t>
        </w:r>
      </w:hyperlink>
      <w:r w:rsidRPr="00742EE1">
        <w:rPr>
          <w:rFonts w:asciiTheme="minorBidi" w:eastAsia="Arial" w:hAnsiTheme="minorBidi" w:cstheme="minorBidi"/>
        </w:rPr>
        <w:br/>
        <w:t xml:space="preserve">Email: </w:t>
      </w:r>
      <w:hyperlink r:id="rId11">
        <w:r w:rsidRPr="00B42C0D">
          <w:rPr>
            <w:rFonts w:asciiTheme="minorBidi" w:eastAsia="Arial" w:hAnsiTheme="minorBidi" w:cstheme="minorBidi"/>
            <w:color w:val="0000FF"/>
            <w:u w:val="single"/>
          </w:rPr>
          <w:t>musawah@musawah.org</w:t>
        </w:r>
      </w:hyperlink>
    </w:p>
    <w:p w14:paraId="4528F166" w14:textId="77777777" w:rsidR="00A1637D" w:rsidRPr="007D41ED" w:rsidRDefault="00A1637D" w:rsidP="00A1637D">
      <w:pPr>
        <w:pStyle w:val="Normal1"/>
        <w:spacing w:before="0" w:after="0" w:line="240" w:lineRule="auto"/>
        <w:jc w:val="center"/>
        <w:rPr>
          <w:rFonts w:asciiTheme="minorBidi" w:eastAsia="Arial" w:hAnsiTheme="minorBidi" w:cstheme="minorBidi"/>
          <w:bCs/>
        </w:rPr>
        <w:sectPr w:rsidR="00A1637D" w:rsidRPr="007D41ED" w:rsidSect="00A1637D">
          <w:footerReference w:type="even" r:id="rId12"/>
          <w:footerReference w:type="default" r:id="rId13"/>
          <w:type w:val="continuous"/>
          <w:pgSz w:w="11900" w:h="16820"/>
          <w:pgMar w:top="1267" w:right="1454" w:bottom="990" w:left="1526" w:header="360" w:footer="360" w:gutter="0"/>
          <w:pgNumType w:start="1"/>
          <w:cols w:space="720"/>
          <w:titlePg/>
        </w:sectPr>
      </w:pPr>
      <w:r w:rsidRPr="00B42C0D">
        <w:rPr>
          <w:rFonts w:asciiTheme="minorBidi" w:eastAsia="Arial" w:hAnsiTheme="minorBidi" w:cstheme="minorBidi"/>
          <w:bCs/>
        </w:rPr>
        <w:t xml:space="preserve">Website: </w:t>
      </w:r>
      <w:hyperlink r:id="rId14">
        <w:r w:rsidRPr="00B42C0D">
          <w:rPr>
            <w:rFonts w:asciiTheme="minorBidi" w:eastAsia="Arial" w:hAnsiTheme="minorBidi" w:cstheme="minorBidi"/>
            <w:bCs/>
            <w:color w:val="0000FF"/>
            <w:u w:val="single"/>
          </w:rPr>
          <w:t>www.musawah.org</w:t>
        </w:r>
      </w:hyperlink>
    </w:p>
    <w:p w14:paraId="4EC1B5E3" w14:textId="77777777" w:rsidR="00A1637D" w:rsidRPr="007D41ED" w:rsidRDefault="00A1637D" w:rsidP="00A1637D">
      <w:pPr>
        <w:pStyle w:val="Normal1"/>
        <w:tabs>
          <w:tab w:val="left" w:pos="2160"/>
          <w:tab w:val="right" w:pos="8920"/>
        </w:tabs>
        <w:spacing w:line="240" w:lineRule="auto"/>
        <w:rPr>
          <w:rFonts w:asciiTheme="minorBidi" w:eastAsia="Arial" w:hAnsiTheme="minorBidi" w:cstheme="minorBidi"/>
        </w:rPr>
        <w:sectPr w:rsidR="00A1637D" w:rsidRPr="007D41ED">
          <w:type w:val="continuous"/>
          <w:pgSz w:w="11900" w:h="16820"/>
          <w:pgMar w:top="1267" w:right="1454" w:bottom="990" w:left="1526" w:header="360" w:footer="360" w:gutter="0"/>
          <w:cols w:space="720"/>
        </w:sectPr>
      </w:pPr>
      <w:bookmarkStart w:id="0" w:name="_gjdgxs" w:colFirst="0" w:colLast="0"/>
      <w:bookmarkEnd w:id="0"/>
    </w:p>
    <w:p w14:paraId="434F61A8" w14:textId="7CEA21D4" w:rsidR="00E26F24" w:rsidRPr="007D41ED" w:rsidRDefault="00E87476" w:rsidP="00125749">
      <w:pPr>
        <w:rPr>
          <w:rFonts w:eastAsia="Arial"/>
        </w:rPr>
        <w:sectPr w:rsidR="00E26F24" w:rsidRPr="007D41ED">
          <w:footerReference w:type="even" r:id="rId15"/>
          <w:footerReference w:type="default" r:id="rId16"/>
          <w:type w:val="continuous"/>
          <w:pgSz w:w="11900" w:h="16820"/>
          <w:pgMar w:top="1267" w:right="1454" w:bottom="990" w:left="1526" w:header="360" w:footer="360" w:gutter="0"/>
          <w:cols w:space="720"/>
        </w:sectPr>
      </w:pPr>
      <w:r>
        <w:rPr>
          <w:rFonts w:eastAsia="Arial"/>
          <w:b/>
        </w:rPr>
        <w:br w:type="page"/>
      </w:r>
    </w:p>
    <w:p w14:paraId="102FEA83" w14:textId="77777777" w:rsidR="00892FA5" w:rsidRPr="00F0236D" w:rsidRDefault="00892FA5" w:rsidP="00892FA5">
      <w:pPr>
        <w:pStyle w:val="Normal1"/>
        <w:shd w:val="clear" w:color="auto" w:fill="BD0014"/>
        <w:tabs>
          <w:tab w:val="left" w:pos="270"/>
          <w:tab w:val="left" w:pos="630"/>
        </w:tabs>
        <w:spacing w:before="40" w:after="40" w:line="240" w:lineRule="auto"/>
        <w:ind w:left="547" w:hanging="547"/>
        <w:rPr>
          <w:rFonts w:ascii="Arial" w:eastAsia="Arial" w:hAnsi="Arial" w:cs="Arial"/>
          <w:b/>
          <w:smallCaps/>
          <w:noProof/>
          <w:color w:val="FFFFFF"/>
          <w:sz w:val="30"/>
          <w:szCs w:val="30"/>
          <w:lang w:val="en-GB"/>
        </w:rPr>
      </w:pPr>
      <w:bookmarkStart w:id="1" w:name="_30j0zll" w:colFirst="0" w:colLast="0"/>
      <w:bookmarkStart w:id="2" w:name="_Toc526513931"/>
      <w:bookmarkStart w:id="3" w:name="_Toc103472502"/>
      <w:bookmarkEnd w:id="1"/>
      <w:r w:rsidRPr="00F0236D">
        <w:rPr>
          <w:rFonts w:ascii="Arial" w:eastAsia="Arial" w:hAnsi="Arial" w:cs="Arial"/>
          <w:b/>
          <w:smallCaps/>
          <w:noProof/>
          <w:color w:val="FFFFFF"/>
          <w:sz w:val="30"/>
          <w:szCs w:val="30"/>
          <w:lang w:val="en-GB"/>
        </w:rPr>
        <w:lastRenderedPageBreak/>
        <w:t>Table of Contents</w:t>
      </w:r>
    </w:p>
    <w:p w14:paraId="3AD66821" w14:textId="194460BC" w:rsidR="00892FA5" w:rsidRDefault="00892FA5">
      <w:pPr>
        <w:rPr>
          <w:rFonts w:eastAsia="Arial"/>
          <w:color w:val="FFFFFF"/>
          <w:sz w:val="28"/>
          <w:szCs w:val="28"/>
        </w:rPr>
      </w:pPr>
    </w:p>
    <w:sdt>
      <w:sdtPr>
        <w:rPr>
          <w:rFonts w:ascii="Times New Roman" w:hAnsi="Times New Roman" w:cs="Times New Roman"/>
          <w:b w:val="0"/>
          <w:bCs w:val="0"/>
          <w:i w:val="0"/>
          <w:iCs w:val="0"/>
          <w:szCs w:val="24"/>
        </w:rPr>
        <w:id w:val="713158483"/>
        <w:docPartObj>
          <w:docPartGallery w:val="Table of Contents"/>
          <w:docPartUnique/>
        </w:docPartObj>
      </w:sdtPr>
      <w:sdtEndPr>
        <w:rPr>
          <w:rFonts w:asciiTheme="minorBidi" w:hAnsiTheme="minorBidi" w:cstheme="minorBidi"/>
          <w:noProof/>
          <w:szCs w:val="18"/>
        </w:rPr>
      </w:sdtEndPr>
      <w:sdtContent>
        <w:p w14:paraId="22F7720C" w14:textId="6BD23DFE" w:rsidR="000104A3" w:rsidRPr="00CA64F7" w:rsidRDefault="00892FA5">
          <w:pPr>
            <w:pStyle w:val="TOC1"/>
            <w:tabs>
              <w:tab w:val="right" w:leader="dot" w:pos="8910"/>
            </w:tabs>
            <w:rPr>
              <w:rFonts w:eastAsiaTheme="minorEastAsia" w:cstheme="minorBidi"/>
              <w:b w:val="0"/>
              <w:bCs w:val="0"/>
              <w:i w:val="0"/>
              <w:iCs w:val="0"/>
              <w:noProof/>
              <w:sz w:val="24"/>
              <w:szCs w:val="24"/>
              <w:lang w:val="en-PK" w:eastAsia="en-GB"/>
            </w:rPr>
          </w:pPr>
          <w:r>
            <w:fldChar w:fldCharType="begin"/>
          </w:r>
          <w:r>
            <w:instrText xml:space="preserve"> TOC \o "1-3" \h \z \u </w:instrText>
          </w:r>
          <w:r>
            <w:fldChar w:fldCharType="separate"/>
          </w:r>
          <w:hyperlink w:anchor="_Toc124196197" w:history="1">
            <w:r w:rsidR="000104A3" w:rsidRPr="00CA64F7">
              <w:rPr>
                <w:rStyle w:val="Hyperlink"/>
                <w:noProof/>
                <w:sz w:val="24"/>
                <w:szCs w:val="24"/>
              </w:rPr>
              <w:t>A. INTRODUCTION</w:t>
            </w:r>
            <w:r w:rsidR="000104A3" w:rsidRPr="00CA64F7">
              <w:rPr>
                <w:noProof/>
                <w:webHidden/>
                <w:sz w:val="24"/>
                <w:szCs w:val="24"/>
              </w:rPr>
              <w:tab/>
            </w:r>
            <w:r w:rsidR="000104A3" w:rsidRPr="00CA64F7">
              <w:rPr>
                <w:noProof/>
                <w:webHidden/>
                <w:sz w:val="24"/>
                <w:szCs w:val="24"/>
              </w:rPr>
              <w:fldChar w:fldCharType="begin"/>
            </w:r>
            <w:r w:rsidR="000104A3" w:rsidRPr="00CA64F7">
              <w:rPr>
                <w:noProof/>
                <w:webHidden/>
                <w:sz w:val="24"/>
                <w:szCs w:val="24"/>
              </w:rPr>
              <w:instrText xml:space="preserve"> PAGEREF _Toc124196197 \h </w:instrText>
            </w:r>
            <w:r w:rsidR="000104A3" w:rsidRPr="00CA64F7">
              <w:rPr>
                <w:noProof/>
                <w:webHidden/>
                <w:sz w:val="24"/>
                <w:szCs w:val="24"/>
              </w:rPr>
            </w:r>
            <w:r w:rsidR="000104A3" w:rsidRPr="00CA64F7">
              <w:rPr>
                <w:noProof/>
                <w:webHidden/>
                <w:sz w:val="24"/>
                <w:szCs w:val="24"/>
              </w:rPr>
              <w:fldChar w:fldCharType="separate"/>
            </w:r>
            <w:r w:rsidR="000104A3" w:rsidRPr="00CA64F7">
              <w:rPr>
                <w:noProof/>
                <w:webHidden/>
                <w:sz w:val="24"/>
                <w:szCs w:val="24"/>
              </w:rPr>
              <w:t>3</w:t>
            </w:r>
            <w:r w:rsidR="000104A3" w:rsidRPr="00CA64F7">
              <w:rPr>
                <w:noProof/>
                <w:webHidden/>
                <w:sz w:val="24"/>
                <w:szCs w:val="24"/>
              </w:rPr>
              <w:fldChar w:fldCharType="end"/>
            </w:r>
          </w:hyperlink>
        </w:p>
        <w:p w14:paraId="09DF0783" w14:textId="2DAA67D9" w:rsidR="000104A3" w:rsidRPr="00CA64F7" w:rsidRDefault="00000000">
          <w:pPr>
            <w:pStyle w:val="TOC1"/>
            <w:tabs>
              <w:tab w:val="right" w:leader="dot" w:pos="8910"/>
            </w:tabs>
            <w:rPr>
              <w:rFonts w:eastAsiaTheme="minorEastAsia" w:cstheme="minorBidi"/>
              <w:b w:val="0"/>
              <w:bCs w:val="0"/>
              <w:i w:val="0"/>
              <w:iCs w:val="0"/>
              <w:noProof/>
              <w:sz w:val="24"/>
              <w:szCs w:val="24"/>
              <w:lang w:val="en-PK" w:eastAsia="en-GB"/>
            </w:rPr>
          </w:pPr>
          <w:hyperlink w:anchor="_Toc124196198" w:history="1">
            <w:r w:rsidR="000104A3" w:rsidRPr="00CA64F7">
              <w:rPr>
                <w:rStyle w:val="Hyperlink"/>
                <w:noProof/>
                <w:sz w:val="24"/>
                <w:szCs w:val="24"/>
              </w:rPr>
              <w:t>B. BACKGROUND, LEGAL FRAMEWORK AND CONTEXT</w:t>
            </w:r>
            <w:r w:rsidR="000104A3" w:rsidRPr="00CA64F7">
              <w:rPr>
                <w:noProof/>
                <w:webHidden/>
                <w:sz w:val="24"/>
                <w:szCs w:val="24"/>
              </w:rPr>
              <w:tab/>
            </w:r>
            <w:r w:rsidR="000104A3" w:rsidRPr="00CA64F7">
              <w:rPr>
                <w:noProof/>
                <w:webHidden/>
                <w:sz w:val="24"/>
                <w:szCs w:val="24"/>
              </w:rPr>
              <w:fldChar w:fldCharType="begin"/>
            </w:r>
            <w:r w:rsidR="000104A3" w:rsidRPr="00CA64F7">
              <w:rPr>
                <w:noProof/>
                <w:webHidden/>
                <w:sz w:val="24"/>
                <w:szCs w:val="24"/>
              </w:rPr>
              <w:instrText xml:space="preserve"> PAGEREF _Toc124196198 \h </w:instrText>
            </w:r>
            <w:r w:rsidR="000104A3" w:rsidRPr="00CA64F7">
              <w:rPr>
                <w:noProof/>
                <w:webHidden/>
                <w:sz w:val="24"/>
                <w:szCs w:val="24"/>
              </w:rPr>
            </w:r>
            <w:r w:rsidR="000104A3" w:rsidRPr="00CA64F7">
              <w:rPr>
                <w:noProof/>
                <w:webHidden/>
                <w:sz w:val="24"/>
                <w:szCs w:val="24"/>
              </w:rPr>
              <w:fldChar w:fldCharType="separate"/>
            </w:r>
            <w:r w:rsidR="000104A3" w:rsidRPr="00CA64F7">
              <w:rPr>
                <w:noProof/>
                <w:webHidden/>
                <w:sz w:val="24"/>
                <w:szCs w:val="24"/>
              </w:rPr>
              <w:t>3</w:t>
            </w:r>
            <w:r w:rsidR="000104A3" w:rsidRPr="00CA64F7">
              <w:rPr>
                <w:noProof/>
                <w:webHidden/>
                <w:sz w:val="24"/>
                <w:szCs w:val="24"/>
              </w:rPr>
              <w:fldChar w:fldCharType="end"/>
            </w:r>
          </w:hyperlink>
        </w:p>
        <w:p w14:paraId="4C2FD533" w14:textId="27F326FE" w:rsidR="000104A3" w:rsidRPr="00CA64F7" w:rsidRDefault="00000000">
          <w:pPr>
            <w:pStyle w:val="TOC1"/>
            <w:tabs>
              <w:tab w:val="right" w:leader="dot" w:pos="8910"/>
            </w:tabs>
            <w:rPr>
              <w:rFonts w:eastAsiaTheme="minorEastAsia" w:cstheme="minorBidi"/>
              <w:b w:val="0"/>
              <w:bCs w:val="0"/>
              <w:i w:val="0"/>
              <w:iCs w:val="0"/>
              <w:noProof/>
              <w:sz w:val="24"/>
              <w:szCs w:val="24"/>
              <w:lang w:val="en-PK" w:eastAsia="en-GB"/>
            </w:rPr>
          </w:pPr>
          <w:hyperlink w:anchor="_Toc124196199" w:history="1">
            <w:r w:rsidR="000104A3" w:rsidRPr="00CA64F7">
              <w:rPr>
                <w:rStyle w:val="Hyperlink"/>
                <w:noProof/>
                <w:sz w:val="24"/>
                <w:szCs w:val="24"/>
              </w:rPr>
              <w:t>C. KEY ISSUES AND RECOMMENDATIONS</w:t>
            </w:r>
            <w:r w:rsidR="000104A3" w:rsidRPr="00CA64F7">
              <w:rPr>
                <w:noProof/>
                <w:webHidden/>
                <w:sz w:val="24"/>
                <w:szCs w:val="24"/>
              </w:rPr>
              <w:tab/>
            </w:r>
            <w:r w:rsidR="000104A3" w:rsidRPr="00CA64F7">
              <w:rPr>
                <w:noProof/>
                <w:webHidden/>
                <w:sz w:val="24"/>
                <w:szCs w:val="24"/>
              </w:rPr>
              <w:fldChar w:fldCharType="begin"/>
            </w:r>
            <w:r w:rsidR="000104A3" w:rsidRPr="00CA64F7">
              <w:rPr>
                <w:noProof/>
                <w:webHidden/>
                <w:sz w:val="24"/>
                <w:szCs w:val="24"/>
              </w:rPr>
              <w:instrText xml:space="preserve"> PAGEREF _Toc124196199 \h </w:instrText>
            </w:r>
            <w:r w:rsidR="000104A3" w:rsidRPr="00CA64F7">
              <w:rPr>
                <w:noProof/>
                <w:webHidden/>
                <w:sz w:val="24"/>
                <w:szCs w:val="24"/>
              </w:rPr>
            </w:r>
            <w:r w:rsidR="000104A3" w:rsidRPr="00CA64F7">
              <w:rPr>
                <w:noProof/>
                <w:webHidden/>
                <w:sz w:val="24"/>
                <w:szCs w:val="24"/>
              </w:rPr>
              <w:fldChar w:fldCharType="separate"/>
            </w:r>
            <w:r w:rsidR="000104A3" w:rsidRPr="00CA64F7">
              <w:rPr>
                <w:noProof/>
                <w:webHidden/>
                <w:sz w:val="24"/>
                <w:szCs w:val="24"/>
              </w:rPr>
              <w:t>4</w:t>
            </w:r>
            <w:r w:rsidR="000104A3" w:rsidRPr="00CA64F7">
              <w:rPr>
                <w:noProof/>
                <w:webHidden/>
                <w:sz w:val="24"/>
                <w:szCs w:val="24"/>
              </w:rPr>
              <w:fldChar w:fldCharType="end"/>
            </w:r>
          </w:hyperlink>
        </w:p>
        <w:p w14:paraId="6212F099" w14:textId="5520EBE3" w:rsidR="000104A3"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196200" w:history="1">
            <w:r w:rsidR="000104A3" w:rsidRPr="00E5726B">
              <w:rPr>
                <w:rStyle w:val="Hyperlink"/>
                <w:noProof/>
              </w:rPr>
              <w:t>1.</w:t>
            </w:r>
            <w:r w:rsidR="000104A3">
              <w:rPr>
                <w:rFonts w:eastAsiaTheme="minorEastAsia" w:cstheme="minorBidi"/>
                <w:b w:val="0"/>
                <w:bCs w:val="0"/>
                <w:noProof/>
                <w:sz w:val="24"/>
                <w:szCs w:val="24"/>
                <w:lang w:val="en-PK" w:eastAsia="en-GB"/>
              </w:rPr>
              <w:tab/>
            </w:r>
            <w:r w:rsidR="000104A3" w:rsidRPr="00E5726B">
              <w:rPr>
                <w:rStyle w:val="Hyperlink"/>
                <w:noProof/>
              </w:rPr>
              <w:t>Spousal Inequality</w:t>
            </w:r>
            <w:r w:rsidR="000104A3">
              <w:rPr>
                <w:noProof/>
                <w:webHidden/>
              </w:rPr>
              <w:tab/>
            </w:r>
            <w:r w:rsidR="000104A3">
              <w:rPr>
                <w:noProof/>
                <w:webHidden/>
              </w:rPr>
              <w:fldChar w:fldCharType="begin"/>
            </w:r>
            <w:r w:rsidR="000104A3">
              <w:rPr>
                <w:noProof/>
                <w:webHidden/>
              </w:rPr>
              <w:instrText xml:space="preserve"> PAGEREF _Toc124196200 \h </w:instrText>
            </w:r>
            <w:r w:rsidR="000104A3">
              <w:rPr>
                <w:noProof/>
                <w:webHidden/>
              </w:rPr>
            </w:r>
            <w:r w:rsidR="000104A3">
              <w:rPr>
                <w:noProof/>
                <w:webHidden/>
              </w:rPr>
              <w:fldChar w:fldCharType="separate"/>
            </w:r>
            <w:r w:rsidR="000104A3">
              <w:rPr>
                <w:noProof/>
                <w:webHidden/>
              </w:rPr>
              <w:t>4</w:t>
            </w:r>
            <w:r w:rsidR="000104A3">
              <w:rPr>
                <w:noProof/>
                <w:webHidden/>
              </w:rPr>
              <w:fldChar w:fldCharType="end"/>
            </w:r>
          </w:hyperlink>
        </w:p>
        <w:p w14:paraId="0BA50D14" w14:textId="6B0641B9" w:rsidR="000104A3"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196201" w:history="1">
            <w:r w:rsidR="000104A3" w:rsidRPr="00E5726B">
              <w:rPr>
                <w:rStyle w:val="Hyperlink"/>
                <w:noProof/>
              </w:rPr>
              <w:t>2.</w:t>
            </w:r>
            <w:r w:rsidR="000104A3">
              <w:rPr>
                <w:rFonts w:eastAsiaTheme="minorEastAsia" w:cstheme="minorBidi"/>
                <w:b w:val="0"/>
                <w:bCs w:val="0"/>
                <w:noProof/>
                <w:sz w:val="24"/>
                <w:szCs w:val="24"/>
                <w:lang w:val="en-PK" w:eastAsia="en-GB"/>
              </w:rPr>
              <w:tab/>
            </w:r>
            <w:r w:rsidR="000104A3" w:rsidRPr="00E5726B">
              <w:rPr>
                <w:rStyle w:val="Hyperlink"/>
                <w:noProof/>
              </w:rPr>
              <w:t>Child Marriage</w:t>
            </w:r>
            <w:r w:rsidR="000104A3">
              <w:rPr>
                <w:noProof/>
                <w:webHidden/>
              </w:rPr>
              <w:tab/>
            </w:r>
            <w:r w:rsidR="000104A3">
              <w:rPr>
                <w:noProof/>
                <w:webHidden/>
              </w:rPr>
              <w:fldChar w:fldCharType="begin"/>
            </w:r>
            <w:r w:rsidR="000104A3">
              <w:rPr>
                <w:noProof/>
                <w:webHidden/>
              </w:rPr>
              <w:instrText xml:space="preserve"> PAGEREF _Toc124196201 \h </w:instrText>
            </w:r>
            <w:r w:rsidR="000104A3">
              <w:rPr>
                <w:noProof/>
                <w:webHidden/>
              </w:rPr>
            </w:r>
            <w:r w:rsidR="000104A3">
              <w:rPr>
                <w:noProof/>
                <w:webHidden/>
              </w:rPr>
              <w:fldChar w:fldCharType="separate"/>
            </w:r>
            <w:r w:rsidR="000104A3">
              <w:rPr>
                <w:noProof/>
                <w:webHidden/>
              </w:rPr>
              <w:t>6</w:t>
            </w:r>
            <w:r w:rsidR="000104A3">
              <w:rPr>
                <w:noProof/>
                <w:webHidden/>
              </w:rPr>
              <w:fldChar w:fldCharType="end"/>
            </w:r>
          </w:hyperlink>
        </w:p>
        <w:p w14:paraId="55F37688" w14:textId="6A144360" w:rsidR="000104A3"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196202" w:history="1">
            <w:r w:rsidR="000104A3" w:rsidRPr="00E5726B">
              <w:rPr>
                <w:rStyle w:val="Hyperlink"/>
                <w:noProof/>
              </w:rPr>
              <w:t>3.</w:t>
            </w:r>
            <w:r w:rsidR="000104A3">
              <w:rPr>
                <w:rFonts w:eastAsiaTheme="minorEastAsia" w:cstheme="minorBidi"/>
                <w:b w:val="0"/>
                <w:bCs w:val="0"/>
                <w:noProof/>
                <w:sz w:val="24"/>
                <w:szCs w:val="24"/>
                <w:lang w:val="en-PK" w:eastAsia="en-GB"/>
              </w:rPr>
              <w:tab/>
            </w:r>
            <w:r w:rsidR="000104A3" w:rsidRPr="00E5726B">
              <w:rPr>
                <w:rStyle w:val="Hyperlink"/>
                <w:noProof/>
              </w:rPr>
              <w:t>Marital Rape</w:t>
            </w:r>
            <w:r w:rsidR="000104A3">
              <w:rPr>
                <w:noProof/>
                <w:webHidden/>
              </w:rPr>
              <w:tab/>
            </w:r>
            <w:r w:rsidR="000104A3">
              <w:rPr>
                <w:noProof/>
                <w:webHidden/>
              </w:rPr>
              <w:fldChar w:fldCharType="begin"/>
            </w:r>
            <w:r w:rsidR="000104A3">
              <w:rPr>
                <w:noProof/>
                <w:webHidden/>
              </w:rPr>
              <w:instrText xml:space="preserve"> PAGEREF _Toc124196202 \h </w:instrText>
            </w:r>
            <w:r w:rsidR="000104A3">
              <w:rPr>
                <w:noProof/>
                <w:webHidden/>
              </w:rPr>
            </w:r>
            <w:r w:rsidR="000104A3">
              <w:rPr>
                <w:noProof/>
                <w:webHidden/>
              </w:rPr>
              <w:fldChar w:fldCharType="separate"/>
            </w:r>
            <w:r w:rsidR="000104A3">
              <w:rPr>
                <w:noProof/>
                <w:webHidden/>
              </w:rPr>
              <w:t>8</w:t>
            </w:r>
            <w:r w:rsidR="000104A3">
              <w:rPr>
                <w:noProof/>
                <w:webHidden/>
              </w:rPr>
              <w:fldChar w:fldCharType="end"/>
            </w:r>
          </w:hyperlink>
        </w:p>
        <w:p w14:paraId="78171712" w14:textId="172D8559" w:rsidR="000104A3"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196203" w:history="1">
            <w:r w:rsidR="000104A3" w:rsidRPr="00E5726B">
              <w:rPr>
                <w:rStyle w:val="Hyperlink"/>
                <w:noProof/>
              </w:rPr>
              <w:t>4.</w:t>
            </w:r>
            <w:r w:rsidR="000104A3">
              <w:rPr>
                <w:rFonts w:eastAsiaTheme="minorEastAsia" w:cstheme="minorBidi"/>
                <w:b w:val="0"/>
                <w:bCs w:val="0"/>
                <w:noProof/>
                <w:sz w:val="24"/>
                <w:szCs w:val="24"/>
                <w:lang w:val="en-PK" w:eastAsia="en-GB"/>
              </w:rPr>
              <w:tab/>
            </w:r>
            <w:r w:rsidR="000104A3" w:rsidRPr="00E5726B">
              <w:rPr>
                <w:rStyle w:val="Hyperlink"/>
                <w:noProof/>
              </w:rPr>
              <w:t>Nationality</w:t>
            </w:r>
            <w:r w:rsidR="000104A3">
              <w:rPr>
                <w:noProof/>
                <w:webHidden/>
              </w:rPr>
              <w:tab/>
            </w:r>
            <w:r w:rsidR="000104A3">
              <w:rPr>
                <w:noProof/>
                <w:webHidden/>
              </w:rPr>
              <w:fldChar w:fldCharType="begin"/>
            </w:r>
            <w:r w:rsidR="000104A3">
              <w:rPr>
                <w:noProof/>
                <w:webHidden/>
              </w:rPr>
              <w:instrText xml:space="preserve"> PAGEREF _Toc124196203 \h </w:instrText>
            </w:r>
            <w:r w:rsidR="000104A3">
              <w:rPr>
                <w:noProof/>
                <w:webHidden/>
              </w:rPr>
            </w:r>
            <w:r w:rsidR="000104A3">
              <w:rPr>
                <w:noProof/>
                <w:webHidden/>
              </w:rPr>
              <w:fldChar w:fldCharType="separate"/>
            </w:r>
            <w:r w:rsidR="000104A3">
              <w:rPr>
                <w:noProof/>
                <w:webHidden/>
              </w:rPr>
              <w:t>8</w:t>
            </w:r>
            <w:r w:rsidR="000104A3">
              <w:rPr>
                <w:noProof/>
                <w:webHidden/>
              </w:rPr>
              <w:fldChar w:fldCharType="end"/>
            </w:r>
          </w:hyperlink>
        </w:p>
        <w:p w14:paraId="28DCFB50" w14:textId="4861642C" w:rsidR="000104A3" w:rsidRDefault="00000000">
          <w:pPr>
            <w:pStyle w:val="TOC2"/>
            <w:tabs>
              <w:tab w:val="left" w:pos="720"/>
              <w:tab w:val="right" w:leader="dot" w:pos="8910"/>
            </w:tabs>
            <w:rPr>
              <w:rFonts w:eastAsiaTheme="minorEastAsia" w:cstheme="minorBidi"/>
              <w:b w:val="0"/>
              <w:bCs w:val="0"/>
              <w:noProof/>
              <w:sz w:val="24"/>
              <w:szCs w:val="24"/>
              <w:lang w:val="en-PK" w:eastAsia="en-GB"/>
            </w:rPr>
          </w:pPr>
          <w:hyperlink w:anchor="_Toc124196204" w:history="1">
            <w:r w:rsidR="000104A3" w:rsidRPr="00E5726B">
              <w:rPr>
                <w:rStyle w:val="Hyperlink"/>
                <w:noProof/>
              </w:rPr>
              <w:t>5.</w:t>
            </w:r>
            <w:r w:rsidR="000104A3">
              <w:rPr>
                <w:rFonts w:eastAsiaTheme="minorEastAsia" w:cstheme="minorBidi"/>
                <w:b w:val="0"/>
                <w:bCs w:val="0"/>
                <w:noProof/>
                <w:sz w:val="24"/>
                <w:szCs w:val="24"/>
                <w:lang w:val="en-PK" w:eastAsia="en-GB"/>
              </w:rPr>
              <w:tab/>
            </w:r>
            <w:r w:rsidR="000104A3" w:rsidRPr="00E5726B">
              <w:rPr>
                <w:rStyle w:val="Hyperlink"/>
                <w:noProof/>
              </w:rPr>
              <w:t>Inheritance</w:t>
            </w:r>
            <w:r w:rsidR="000104A3">
              <w:rPr>
                <w:noProof/>
                <w:webHidden/>
              </w:rPr>
              <w:tab/>
            </w:r>
            <w:r w:rsidR="000104A3">
              <w:rPr>
                <w:noProof/>
                <w:webHidden/>
              </w:rPr>
              <w:fldChar w:fldCharType="begin"/>
            </w:r>
            <w:r w:rsidR="000104A3">
              <w:rPr>
                <w:noProof/>
                <w:webHidden/>
              </w:rPr>
              <w:instrText xml:space="preserve"> PAGEREF _Toc124196204 \h </w:instrText>
            </w:r>
            <w:r w:rsidR="000104A3">
              <w:rPr>
                <w:noProof/>
                <w:webHidden/>
              </w:rPr>
            </w:r>
            <w:r w:rsidR="000104A3">
              <w:rPr>
                <w:noProof/>
                <w:webHidden/>
              </w:rPr>
              <w:fldChar w:fldCharType="separate"/>
            </w:r>
            <w:r w:rsidR="000104A3">
              <w:rPr>
                <w:noProof/>
                <w:webHidden/>
              </w:rPr>
              <w:t>10</w:t>
            </w:r>
            <w:r w:rsidR="000104A3">
              <w:rPr>
                <w:noProof/>
                <w:webHidden/>
              </w:rPr>
              <w:fldChar w:fldCharType="end"/>
            </w:r>
          </w:hyperlink>
        </w:p>
        <w:p w14:paraId="478F1365" w14:textId="40A1E396" w:rsidR="00892FA5" w:rsidRDefault="00892FA5">
          <w:r>
            <w:rPr>
              <w:b/>
              <w:bCs/>
              <w:noProof/>
            </w:rPr>
            <w:fldChar w:fldCharType="end"/>
          </w:r>
        </w:p>
      </w:sdtContent>
    </w:sdt>
    <w:p w14:paraId="6F3FC829" w14:textId="19D980FF" w:rsidR="00892FA5" w:rsidRDefault="00892FA5">
      <w:pPr>
        <w:rPr>
          <w:rFonts w:eastAsia="Arial"/>
          <w:color w:val="FFFFFF"/>
          <w:sz w:val="28"/>
          <w:szCs w:val="28"/>
        </w:rPr>
      </w:pPr>
    </w:p>
    <w:p w14:paraId="48367667" w14:textId="6C6916FF" w:rsidR="00892FA5" w:rsidRDefault="00892FA5">
      <w:pPr>
        <w:rPr>
          <w:rFonts w:eastAsia="Arial"/>
          <w:color w:val="FFFFFF"/>
          <w:sz w:val="28"/>
          <w:szCs w:val="28"/>
        </w:rPr>
      </w:pPr>
    </w:p>
    <w:p w14:paraId="16A41CB7" w14:textId="30EE577F" w:rsidR="00892FA5" w:rsidRDefault="00892FA5">
      <w:pPr>
        <w:rPr>
          <w:rFonts w:eastAsia="Arial"/>
          <w:color w:val="FFFFFF"/>
          <w:sz w:val="28"/>
          <w:szCs w:val="28"/>
        </w:rPr>
      </w:pPr>
    </w:p>
    <w:p w14:paraId="429F73C2" w14:textId="7A28C465" w:rsidR="00892FA5" w:rsidRDefault="00892FA5">
      <w:pPr>
        <w:rPr>
          <w:rFonts w:eastAsia="Arial"/>
          <w:color w:val="FFFFFF"/>
          <w:sz w:val="28"/>
          <w:szCs w:val="28"/>
        </w:rPr>
      </w:pPr>
    </w:p>
    <w:p w14:paraId="09035E9D" w14:textId="615173B1" w:rsidR="00892FA5" w:rsidRDefault="00892FA5">
      <w:pPr>
        <w:rPr>
          <w:rFonts w:eastAsia="Arial"/>
          <w:color w:val="FFFFFF"/>
          <w:sz w:val="28"/>
          <w:szCs w:val="28"/>
        </w:rPr>
      </w:pPr>
    </w:p>
    <w:p w14:paraId="0CD03228" w14:textId="2A20EEBE" w:rsidR="00892FA5" w:rsidRDefault="00892FA5">
      <w:pPr>
        <w:rPr>
          <w:rFonts w:eastAsia="Arial"/>
          <w:color w:val="FFFFFF"/>
          <w:sz w:val="28"/>
          <w:szCs w:val="28"/>
        </w:rPr>
      </w:pPr>
    </w:p>
    <w:p w14:paraId="4C73AA11" w14:textId="0C502D1D" w:rsidR="00892FA5" w:rsidRDefault="00892FA5">
      <w:pPr>
        <w:rPr>
          <w:rFonts w:eastAsia="Arial"/>
          <w:color w:val="FFFFFF"/>
          <w:sz w:val="28"/>
          <w:szCs w:val="28"/>
        </w:rPr>
      </w:pPr>
    </w:p>
    <w:p w14:paraId="7ADF6A54" w14:textId="77777777" w:rsidR="00892FA5" w:rsidRDefault="00892FA5">
      <w:pPr>
        <w:rPr>
          <w:rFonts w:eastAsia="Arial"/>
          <w:color w:val="FFFFFF"/>
          <w:sz w:val="28"/>
          <w:szCs w:val="28"/>
        </w:rPr>
      </w:pPr>
    </w:p>
    <w:p w14:paraId="283B90D4" w14:textId="77777777" w:rsidR="00892FA5" w:rsidRDefault="00892FA5">
      <w:pPr>
        <w:rPr>
          <w:rFonts w:eastAsia="Arial"/>
          <w:color w:val="FFFFFF"/>
          <w:sz w:val="28"/>
          <w:szCs w:val="28"/>
        </w:rPr>
      </w:pPr>
    </w:p>
    <w:p w14:paraId="278EA620" w14:textId="4E6588BD" w:rsidR="00892FA5" w:rsidRDefault="00892FA5">
      <w:pPr>
        <w:rPr>
          <w:rFonts w:eastAsia="Arial"/>
          <w:b/>
          <w:smallCaps/>
          <w:color w:val="FFFFFF"/>
          <w:sz w:val="28"/>
          <w:szCs w:val="28"/>
        </w:rPr>
      </w:pPr>
      <w:r>
        <w:rPr>
          <w:rFonts w:eastAsia="Arial"/>
          <w:color w:val="FFFFFF"/>
          <w:sz w:val="28"/>
          <w:szCs w:val="28"/>
        </w:rPr>
        <w:br w:type="page"/>
      </w:r>
    </w:p>
    <w:p w14:paraId="57624285" w14:textId="4C8D5689" w:rsidR="00E26F24" w:rsidRPr="00892FA5" w:rsidRDefault="00E26F24" w:rsidP="00892FA5">
      <w:pPr>
        <w:pStyle w:val="Heading1"/>
      </w:pPr>
      <w:bookmarkStart w:id="4" w:name="_Toc124196197"/>
      <w:r w:rsidRPr="00892FA5">
        <w:lastRenderedPageBreak/>
        <w:t>A. INTRODUCTION</w:t>
      </w:r>
      <w:bookmarkEnd w:id="2"/>
      <w:bookmarkEnd w:id="3"/>
      <w:bookmarkEnd w:id="4"/>
      <w:r w:rsidRPr="00892FA5">
        <w:tab/>
      </w:r>
    </w:p>
    <w:p w14:paraId="3B8507EF" w14:textId="02A85C2F" w:rsidR="00E26F24" w:rsidRPr="00AE2D53" w:rsidRDefault="00E26F24" w:rsidP="000C6DA6">
      <w:pPr>
        <w:pStyle w:val="Normal1"/>
        <w:spacing w:line="240" w:lineRule="auto"/>
        <w:jc w:val="both"/>
        <w:rPr>
          <w:rFonts w:ascii="Arial" w:eastAsia="Arial" w:hAnsi="Arial" w:cs="Arial"/>
          <w:sz w:val="20"/>
          <w:szCs w:val="20"/>
        </w:rPr>
      </w:pPr>
      <w:r w:rsidRPr="00AE2D53">
        <w:rPr>
          <w:rFonts w:ascii="Arial" w:eastAsia="Arial" w:hAnsi="Arial" w:cs="Arial"/>
          <w:b/>
          <w:bCs/>
          <w:sz w:val="20"/>
          <w:szCs w:val="20"/>
        </w:rPr>
        <w:t>Musawah</w:t>
      </w:r>
      <w:r w:rsidR="00C77BFC" w:rsidRPr="00C77BFC">
        <w:rPr>
          <w:rFonts w:ascii="Arial" w:eastAsia="Arial" w:hAnsi="Arial" w:cs="Arial"/>
          <w:b/>
          <w:bCs/>
          <w:sz w:val="20"/>
          <w:szCs w:val="20"/>
        </w:rPr>
        <w:t xml:space="preserve">, </w:t>
      </w:r>
      <w:r w:rsidR="00C77BFC">
        <w:rPr>
          <w:rFonts w:ascii="Arial" w:eastAsia="Arial" w:hAnsi="Arial" w:cs="Arial"/>
          <w:sz w:val="20"/>
          <w:szCs w:val="20"/>
        </w:rPr>
        <w:t>the global movement for equality and justice in the Muslim family</w:t>
      </w:r>
      <w:r w:rsidR="00893354">
        <w:rPr>
          <w:rFonts w:ascii="Arial" w:eastAsia="Arial" w:hAnsi="Arial" w:cs="Arial"/>
          <w:sz w:val="20"/>
          <w:szCs w:val="20"/>
        </w:rPr>
        <w:t>, submits t</w:t>
      </w:r>
      <w:r w:rsidRPr="00AE2D53">
        <w:rPr>
          <w:rFonts w:ascii="Arial" w:eastAsia="Arial" w:hAnsi="Arial" w:cs="Arial"/>
          <w:sz w:val="20"/>
          <w:szCs w:val="20"/>
        </w:rPr>
        <w:t>his Thematic Report</w:t>
      </w:r>
      <w:r w:rsidR="00097A36">
        <w:rPr>
          <w:rStyle w:val="FootnoteReference"/>
          <w:rFonts w:ascii="Arial" w:eastAsia="Arial" w:hAnsi="Arial" w:cs="Arial"/>
          <w:sz w:val="20"/>
          <w:szCs w:val="20"/>
        </w:rPr>
        <w:footnoteReference w:id="1"/>
      </w:r>
      <w:r w:rsidRPr="00AE2D53">
        <w:rPr>
          <w:rFonts w:ascii="Arial" w:eastAsia="Arial" w:hAnsi="Arial" w:cs="Arial"/>
          <w:sz w:val="20"/>
          <w:szCs w:val="20"/>
        </w:rPr>
        <w:t xml:space="preserve"> on concerns related to Muslim women’s legal equality in </w:t>
      </w:r>
      <w:r w:rsidRPr="00A45B48">
        <w:rPr>
          <w:rFonts w:ascii="Arial" w:eastAsia="Arial" w:hAnsi="Arial" w:cs="Arial"/>
          <w:sz w:val="20"/>
          <w:szCs w:val="20"/>
        </w:rPr>
        <w:t xml:space="preserve">personal status matters, </w:t>
      </w:r>
      <w:r w:rsidR="00513047" w:rsidRPr="00A45B48">
        <w:rPr>
          <w:rFonts w:ascii="Arial" w:eastAsia="Arial" w:hAnsi="Arial" w:cs="Arial"/>
          <w:sz w:val="20"/>
          <w:szCs w:val="20"/>
        </w:rPr>
        <w:t>child marriage and nationality rights</w:t>
      </w:r>
      <w:r w:rsidRPr="00AE2D53">
        <w:rPr>
          <w:rFonts w:ascii="Arial" w:eastAsia="Arial" w:hAnsi="Arial" w:cs="Arial"/>
          <w:sz w:val="20"/>
          <w:szCs w:val="20"/>
        </w:rPr>
        <w:t xml:space="preserve"> for consideration by the CEDAW Committee in its review of the Government of </w:t>
      </w:r>
      <w:r w:rsidR="00893354">
        <w:rPr>
          <w:rFonts w:ascii="Arial" w:eastAsia="Arial" w:hAnsi="Arial" w:cs="Arial"/>
          <w:sz w:val="20"/>
          <w:szCs w:val="20"/>
        </w:rPr>
        <w:t>Tunisia</w:t>
      </w:r>
      <w:r w:rsidR="004B10C3" w:rsidRPr="00AE2D53">
        <w:rPr>
          <w:rFonts w:ascii="Arial" w:eastAsia="Arial" w:hAnsi="Arial" w:cs="Arial"/>
          <w:sz w:val="20"/>
          <w:szCs w:val="20"/>
        </w:rPr>
        <w:t xml:space="preserve">, </w:t>
      </w:r>
      <w:r w:rsidRPr="00AE2D53">
        <w:rPr>
          <w:rFonts w:ascii="Arial" w:eastAsia="Arial" w:hAnsi="Arial" w:cs="Arial"/>
          <w:sz w:val="20"/>
          <w:szCs w:val="20"/>
        </w:rPr>
        <w:t>reporting before the 8</w:t>
      </w:r>
      <w:r w:rsidR="00513047">
        <w:rPr>
          <w:rFonts w:ascii="Arial" w:eastAsia="Arial" w:hAnsi="Arial" w:cs="Arial"/>
          <w:sz w:val="20"/>
          <w:szCs w:val="20"/>
        </w:rPr>
        <w:t>4</w:t>
      </w:r>
      <w:r w:rsidR="00513047" w:rsidRPr="00513047">
        <w:rPr>
          <w:rFonts w:ascii="Arial" w:eastAsia="Arial" w:hAnsi="Arial" w:cs="Arial"/>
          <w:sz w:val="20"/>
          <w:szCs w:val="20"/>
          <w:vertAlign w:val="superscript"/>
        </w:rPr>
        <w:t>th</w:t>
      </w:r>
      <w:r w:rsidR="00513047">
        <w:rPr>
          <w:rFonts w:ascii="Arial" w:eastAsia="Arial" w:hAnsi="Arial" w:cs="Arial"/>
          <w:sz w:val="20"/>
          <w:szCs w:val="20"/>
        </w:rPr>
        <w:t xml:space="preserve"> </w:t>
      </w:r>
      <w:r w:rsidRPr="00AE2D53">
        <w:rPr>
          <w:rFonts w:ascii="Arial" w:eastAsia="Arial" w:hAnsi="Arial" w:cs="Arial"/>
          <w:sz w:val="20"/>
          <w:szCs w:val="20"/>
        </w:rPr>
        <w:t xml:space="preserve">Session of the CEDAW Committee in </w:t>
      </w:r>
      <w:r w:rsidR="00513047">
        <w:rPr>
          <w:rFonts w:ascii="Arial" w:eastAsia="Arial" w:hAnsi="Arial" w:cs="Arial"/>
          <w:sz w:val="20"/>
          <w:szCs w:val="20"/>
        </w:rPr>
        <w:t>February 2023</w:t>
      </w:r>
      <w:r w:rsidRPr="00AE2D53">
        <w:rPr>
          <w:rFonts w:ascii="Arial" w:eastAsia="Arial" w:hAnsi="Arial" w:cs="Arial"/>
          <w:sz w:val="20"/>
          <w:szCs w:val="20"/>
        </w:rPr>
        <w:t xml:space="preserve">. </w:t>
      </w:r>
      <w:r w:rsidRPr="00AE2D53">
        <w:rPr>
          <w:rFonts w:ascii="Arial" w:hAnsi="Arial" w:cs="Arial"/>
          <w:sz w:val="20"/>
          <w:szCs w:val="20"/>
        </w:rPr>
        <w:t xml:space="preserve">This is the CEDAW Committee’s </w:t>
      </w:r>
      <w:r w:rsidR="00893354">
        <w:rPr>
          <w:rFonts w:ascii="Arial" w:hAnsi="Arial" w:cs="Arial"/>
          <w:sz w:val="20"/>
          <w:szCs w:val="20"/>
        </w:rPr>
        <w:t>seventh</w:t>
      </w:r>
      <w:r w:rsidRPr="00AE2D53">
        <w:rPr>
          <w:rFonts w:ascii="Arial" w:hAnsi="Arial" w:cs="Arial"/>
          <w:sz w:val="20"/>
          <w:szCs w:val="20"/>
        </w:rPr>
        <w:t xml:space="preserve"> periodic engagement with </w:t>
      </w:r>
      <w:r w:rsidR="00893354">
        <w:rPr>
          <w:rFonts w:ascii="Arial" w:hAnsi="Arial" w:cs="Arial"/>
          <w:sz w:val="20"/>
          <w:szCs w:val="20"/>
        </w:rPr>
        <w:t>Tunisia</w:t>
      </w:r>
      <w:r w:rsidR="00E00C6F" w:rsidRPr="00AE2D53">
        <w:rPr>
          <w:rFonts w:ascii="Arial" w:hAnsi="Arial" w:cs="Arial"/>
          <w:sz w:val="20"/>
          <w:szCs w:val="20"/>
        </w:rPr>
        <w:t>. Its last full review was in 201</w:t>
      </w:r>
      <w:r w:rsidR="00893354">
        <w:rPr>
          <w:rFonts w:ascii="Arial" w:hAnsi="Arial" w:cs="Arial"/>
          <w:sz w:val="20"/>
          <w:szCs w:val="20"/>
        </w:rPr>
        <w:t>0</w:t>
      </w:r>
      <w:r w:rsidR="00E00C6F" w:rsidRPr="00AE2D53">
        <w:rPr>
          <w:rFonts w:ascii="Arial" w:hAnsi="Arial" w:cs="Arial"/>
          <w:sz w:val="20"/>
          <w:szCs w:val="20"/>
        </w:rPr>
        <w:t xml:space="preserve">. </w:t>
      </w:r>
      <w:r w:rsidR="00893354">
        <w:rPr>
          <w:rFonts w:ascii="Arial" w:hAnsi="Arial" w:cs="Arial"/>
          <w:sz w:val="20"/>
          <w:szCs w:val="20"/>
        </w:rPr>
        <w:t>Tunisia</w:t>
      </w:r>
      <w:r w:rsidR="00E00C6F" w:rsidRPr="00AE2D53">
        <w:rPr>
          <w:rFonts w:ascii="Arial" w:hAnsi="Arial" w:cs="Arial"/>
          <w:sz w:val="20"/>
          <w:szCs w:val="20"/>
        </w:rPr>
        <w:t xml:space="preserve"> </w:t>
      </w:r>
      <w:r w:rsidR="00893354">
        <w:rPr>
          <w:rFonts w:ascii="Arial" w:hAnsi="Arial" w:cs="Arial"/>
          <w:sz w:val="20"/>
          <w:szCs w:val="20"/>
        </w:rPr>
        <w:t>ratified</w:t>
      </w:r>
      <w:r w:rsidRPr="00AE2D53">
        <w:rPr>
          <w:rFonts w:ascii="Arial" w:hAnsi="Arial" w:cs="Arial"/>
          <w:sz w:val="20"/>
          <w:szCs w:val="20"/>
        </w:rPr>
        <w:t xml:space="preserve"> CEDAW</w:t>
      </w:r>
      <w:r w:rsidR="00AE2D53" w:rsidRPr="00AE2D53">
        <w:rPr>
          <w:rFonts w:ascii="Arial" w:hAnsi="Arial" w:cs="Arial"/>
          <w:sz w:val="20"/>
          <w:szCs w:val="20"/>
        </w:rPr>
        <w:t xml:space="preserve"> in </w:t>
      </w:r>
      <w:r w:rsidR="00893354">
        <w:rPr>
          <w:rFonts w:ascii="Arial" w:hAnsi="Arial" w:cs="Arial"/>
          <w:sz w:val="20"/>
          <w:szCs w:val="20"/>
        </w:rPr>
        <w:t>September 1985</w:t>
      </w:r>
      <w:r w:rsidR="00A14DC4">
        <w:rPr>
          <w:rFonts w:ascii="Arial" w:hAnsi="Arial" w:cs="Arial"/>
          <w:sz w:val="20"/>
          <w:szCs w:val="20"/>
        </w:rPr>
        <w:t xml:space="preserve"> </w:t>
      </w:r>
      <w:r w:rsidR="00097A36">
        <w:rPr>
          <w:rFonts w:ascii="Arial" w:hAnsi="Arial" w:cs="Arial"/>
          <w:sz w:val="20"/>
          <w:szCs w:val="20"/>
        </w:rPr>
        <w:t xml:space="preserve">with a </w:t>
      </w:r>
      <w:r w:rsidR="00AE2D53" w:rsidRPr="00AE2D53">
        <w:rPr>
          <w:rFonts w:ascii="Arial" w:hAnsi="Arial" w:cs="Arial"/>
          <w:sz w:val="20"/>
          <w:szCs w:val="20"/>
        </w:rPr>
        <w:t>reservation</w:t>
      </w:r>
      <w:r w:rsidR="00893354">
        <w:rPr>
          <w:rFonts w:ascii="Arial" w:hAnsi="Arial" w:cs="Arial"/>
          <w:sz w:val="20"/>
          <w:szCs w:val="20"/>
        </w:rPr>
        <w:t xml:space="preserve"> that </w:t>
      </w:r>
      <w:r w:rsidR="00893354" w:rsidRPr="00893354">
        <w:rPr>
          <w:rFonts w:ascii="Arial" w:hAnsi="Arial" w:cs="Arial"/>
          <w:sz w:val="20"/>
          <w:szCs w:val="20"/>
        </w:rPr>
        <w:t xml:space="preserve">it shall not take any organizational or legislative decision in conformity with </w:t>
      </w:r>
      <w:r w:rsidR="00893354">
        <w:rPr>
          <w:rFonts w:ascii="Arial" w:hAnsi="Arial" w:cs="Arial"/>
          <w:sz w:val="20"/>
          <w:szCs w:val="20"/>
        </w:rPr>
        <w:t xml:space="preserve">CEDAW </w:t>
      </w:r>
      <w:r w:rsidR="00893354" w:rsidRPr="00893354">
        <w:rPr>
          <w:rFonts w:ascii="Arial" w:hAnsi="Arial" w:cs="Arial"/>
          <w:sz w:val="20"/>
          <w:szCs w:val="20"/>
        </w:rPr>
        <w:t xml:space="preserve">where such a decision would conflict with the provisions of </w:t>
      </w:r>
      <w:r w:rsidR="00893354">
        <w:rPr>
          <w:rFonts w:ascii="Arial" w:hAnsi="Arial" w:cs="Arial"/>
          <w:sz w:val="20"/>
          <w:szCs w:val="20"/>
        </w:rPr>
        <w:t>C</w:t>
      </w:r>
      <w:r w:rsidR="00893354" w:rsidRPr="00893354">
        <w:rPr>
          <w:rFonts w:ascii="Arial" w:hAnsi="Arial" w:cs="Arial"/>
          <w:sz w:val="20"/>
          <w:szCs w:val="20"/>
        </w:rPr>
        <w:t>hapter I of the Tunisian Constitution</w:t>
      </w:r>
      <w:r w:rsidR="00224E11">
        <w:rPr>
          <w:rFonts w:ascii="Arial" w:hAnsi="Arial" w:cs="Arial"/>
          <w:sz w:val="20"/>
          <w:szCs w:val="20"/>
        </w:rPr>
        <w:t>.</w:t>
      </w:r>
      <w:r w:rsidR="00097A36">
        <w:rPr>
          <w:rFonts w:ascii="Arial" w:hAnsi="Arial" w:cs="Arial"/>
          <w:sz w:val="20"/>
          <w:szCs w:val="20"/>
        </w:rPr>
        <w:t xml:space="preserve"> Tunisia withdrew the rest of its reservations on Article 16, among others, in 2014.</w:t>
      </w:r>
    </w:p>
    <w:p w14:paraId="257ABD4D" w14:textId="067A2644" w:rsidR="00A14DC4" w:rsidRPr="00603348" w:rsidRDefault="00E26F24" w:rsidP="00B727D8">
      <w:pPr>
        <w:pStyle w:val="paragraph"/>
        <w:jc w:val="both"/>
        <w:textAlignment w:val="baseline"/>
        <w:rPr>
          <w:b/>
          <w:bCs/>
          <w:sz w:val="20"/>
          <w:szCs w:val="20"/>
        </w:rPr>
      </w:pPr>
      <w:r w:rsidRPr="00AE2D53">
        <w:rPr>
          <w:sz w:val="20"/>
          <w:szCs w:val="20"/>
        </w:rPr>
        <w:t xml:space="preserve">This report highlights key legal inequalities that Muslim women face in </w:t>
      </w:r>
      <w:r w:rsidR="00224E11">
        <w:rPr>
          <w:sz w:val="20"/>
          <w:szCs w:val="20"/>
        </w:rPr>
        <w:t>Tunisia</w:t>
      </w:r>
      <w:r w:rsidRPr="00AE2D53">
        <w:rPr>
          <w:sz w:val="20"/>
          <w:szCs w:val="20"/>
        </w:rPr>
        <w:t xml:space="preserve"> in the personal status sphere and their resulting negative impact on women and girls</w:t>
      </w:r>
      <w:r w:rsidR="009C36BC" w:rsidRPr="00AE2D53">
        <w:rPr>
          <w:sz w:val="20"/>
          <w:szCs w:val="20"/>
        </w:rPr>
        <w:t>, along with recommendations to address gaps</w:t>
      </w:r>
      <w:r w:rsidRPr="00AE2D53">
        <w:rPr>
          <w:sz w:val="20"/>
          <w:szCs w:val="20"/>
        </w:rPr>
        <w:t xml:space="preserve">. We encourage the </w:t>
      </w:r>
      <w:r w:rsidR="00224E11">
        <w:rPr>
          <w:sz w:val="20"/>
          <w:szCs w:val="20"/>
        </w:rPr>
        <w:t>Tunisian</w:t>
      </w:r>
      <w:r w:rsidRPr="00AE2D53">
        <w:rPr>
          <w:sz w:val="20"/>
          <w:szCs w:val="20"/>
        </w:rPr>
        <w:t xml:space="preserve"> government to </w:t>
      </w:r>
      <w:r w:rsidR="00AE2D53">
        <w:rPr>
          <w:sz w:val="20"/>
          <w:szCs w:val="20"/>
        </w:rPr>
        <w:t xml:space="preserve">continue its </w:t>
      </w:r>
      <w:r w:rsidR="00097A36">
        <w:rPr>
          <w:sz w:val="20"/>
          <w:szCs w:val="20"/>
        </w:rPr>
        <w:t xml:space="preserve">robust </w:t>
      </w:r>
      <w:r w:rsidR="00AE2D53">
        <w:rPr>
          <w:sz w:val="20"/>
          <w:szCs w:val="20"/>
        </w:rPr>
        <w:t xml:space="preserve">efforts in eliminating discrimination against women, particularly in the </w:t>
      </w:r>
      <w:r w:rsidR="00B727D8">
        <w:rPr>
          <w:sz w:val="20"/>
          <w:szCs w:val="20"/>
        </w:rPr>
        <w:t>areas discussed subsequently.</w:t>
      </w:r>
    </w:p>
    <w:p w14:paraId="04D4442F" w14:textId="401FF619" w:rsidR="00E26F24" w:rsidRPr="007C60B8" w:rsidRDefault="00E26F24" w:rsidP="007C60B8">
      <w:pPr>
        <w:pStyle w:val="paragraph"/>
        <w:jc w:val="both"/>
        <w:textAlignment w:val="baseline"/>
        <w:rPr>
          <w:sz w:val="20"/>
          <w:szCs w:val="20"/>
        </w:rPr>
      </w:pPr>
      <w:r w:rsidRPr="000C6DA6">
        <w:rPr>
          <w:rFonts w:ascii="Arial" w:eastAsia="Arial" w:hAnsi="Arial" w:cs="Arial"/>
          <w:sz w:val="20"/>
          <w:szCs w:val="20"/>
        </w:rPr>
        <w:t>We hope that the CEDAW Committee will utilize this report as a key resource during its constructive engagement with the State Party</w:t>
      </w:r>
      <w:r w:rsidR="00C57A20" w:rsidRPr="000C6DA6">
        <w:rPr>
          <w:rFonts w:ascii="Arial" w:eastAsia="Arial" w:hAnsi="Arial" w:cs="Arial"/>
          <w:sz w:val="20"/>
          <w:szCs w:val="20"/>
        </w:rPr>
        <w:t xml:space="preserve"> and</w:t>
      </w:r>
      <w:r w:rsidRPr="000C6DA6">
        <w:rPr>
          <w:rFonts w:ascii="Arial" w:eastAsia="Arial" w:hAnsi="Arial" w:cs="Arial"/>
          <w:sz w:val="20"/>
          <w:szCs w:val="20"/>
        </w:rPr>
        <w:t xml:space="preserve"> use the recommendations to identify follow-up issues in its Concluding Observations. </w:t>
      </w:r>
    </w:p>
    <w:p w14:paraId="5E48662F" w14:textId="6018D08D" w:rsidR="00E26F24" w:rsidRPr="00742EE1" w:rsidRDefault="00E26F24" w:rsidP="00892FA5">
      <w:pPr>
        <w:pStyle w:val="Heading1"/>
        <w:rPr>
          <w:rStyle w:val="normaltextrun"/>
          <w:sz w:val="26"/>
          <w:szCs w:val="26"/>
        </w:rPr>
      </w:pPr>
      <w:bookmarkStart w:id="5" w:name="_Toc526513932"/>
      <w:bookmarkStart w:id="6" w:name="_Toc103472503"/>
      <w:bookmarkStart w:id="7" w:name="_Toc124196198"/>
      <w:r w:rsidRPr="00742EE1">
        <w:t>B. BACKGROUND</w:t>
      </w:r>
      <w:bookmarkEnd w:id="5"/>
      <w:r w:rsidR="007237F8">
        <w:t xml:space="preserve">, </w:t>
      </w:r>
      <w:r>
        <w:t>LEGAL FRAMEWOR</w:t>
      </w:r>
      <w:bookmarkEnd w:id="6"/>
      <w:r w:rsidR="007237F8">
        <w:t>K AND CONTEXT</w:t>
      </w:r>
      <w:bookmarkEnd w:id="7"/>
    </w:p>
    <w:p w14:paraId="31E30B1E" w14:textId="1EDBA391" w:rsidR="00E26F24" w:rsidRDefault="00E26F24" w:rsidP="00E26F24">
      <w:pPr>
        <w:rPr>
          <w:rFonts w:ascii="Arial" w:eastAsia="Arial" w:hAnsi="Arial" w:cs="Arial"/>
          <w:sz w:val="20"/>
          <w:szCs w:val="20"/>
        </w:rPr>
      </w:pPr>
    </w:p>
    <w:p w14:paraId="10290B9B" w14:textId="58E303A2" w:rsidR="00BA6281" w:rsidRDefault="00BA6281" w:rsidP="00954AA7">
      <w:pPr>
        <w:jc w:val="both"/>
        <w:rPr>
          <w:rFonts w:ascii="Arial" w:eastAsia="Arial" w:hAnsi="Arial" w:cs="Arial"/>
          <w:sz w:val="20"/>
          <w:szCs w:val="20"/>
        </w:rPr>
      </w:pPr>
      <w:r w:rsidRPr="00BA6281">
        <w:rPr>
          <w:rFonts w:ascii="Arial" w:eastAsia="Arial" w:hAnsi="Arial" w:cs="Arial"/>
          <w:sz w:val="20"/>
          <w:szCs w:val="20"/>
        </w:rPr>
        <w:t xml:space="preserve">The Republic of </w:t>
      </w:r>
      <w:r w:rsidR="00954AA7">
        <w:rPr>
          <w:rFonts w:ascii="Arial" w:eastAsia="Arial" w:hAnsi="Arial" w:cs="Arial"/>
          <w:sz w:val="20"/>
          <w:szCs w:val="20"/>
        </w:rPr>
        <w:t>Tunisia</w:t>
      </w:r>
      <w:r w:rsidRPr="00BA6281">
        <w:rPr>
          <w:rFonts w:ascii="Arial" w:eastAsia="Arial" w:hAnsi="Arial" w:cs="Arial"/>
          <w:sz w:val="20"/>
          <w:szCs w:val="20"/>
        </w:rPr>
        <w:t xml:space="preserve"> is</w:t>
      </w:r>
      <w:r w:rsidR="00954AA7" w:rsidRPr="00954AA7">
        <w:rPr>
          <w:rFonts w:ascii="Arial" w:eastAsia="Arial" w:hAnsi="Arial" w:cs="Arial"/>
          <w:sz w:val="20"/>
          <w:szCs w:val="20"/>
        </w:rPr>
        <w:t xml:space="preserve"> the northernmost country in Africa</w:t>
      </w:r>
      <w:r w:rsidRPr="00BA6281">
        <w:rPr>
          <w:rFonts w:ascii="Arial" w:eastAsia="Arial" w:hAnsi="Arial" w:cs="Arial"/>
          <w:sz w:val="20"/>
          <w:szCs w:val="20"/>
        </w:rPr>
        <w:t xml:space="preserve">. Its population is </w:t>
      </w:r>
      <w:r w:rsidR="00954AA7">
        <w:rPr>
          <w:rFonts w:ascii="Arial" w:eastAsia="Arial" w:hAnsi="Arial" w:cs="Arial"/>
          <w:sz w:val="20"/>
          <w:szCs w:val="20"/>
        </w:rPr>
        <w:t>11.1 million</w:t>
      </w:r>
      <w:r w:rsidRPr="00BA6281">
        <w:rPr>
          <w:rFonts w:ascii="Arial" w:eastAsia="Arial" w:hAnsi="Arial" w:cs="Arial"/>
          <w:sz w:val="20"/>
          <w:szCs w:val="20"/>
        </w:rPr>
        <w:t>. The official religion is Islam, as stated in the Constitution</w:t>
      </w:r>
      <w:r w:rsidR="00954AA7">
        <w:rPr>
          <w:rFonts w:ascii="Arial" w:eastAsia="Arial" w:hAnsi="Arial" w:cs="Arial"/>
          <w:sz w:val="20"/>
          <w:szCs w:val="20"/>
        </w:rPr>
        <w:t xml:space="preserve">, and its language Arabic. Nearly </w:t>
      </w:r>
      <w:r w:rsidR="00954AA7" w:rsidRPr="00954AA7">
        <w:rPr>
          <w:rFonts w:ascii="Arial" w:eastAsia="Arial" w:hAnsi="Arial" w:cs="Arial"/>
          <w:sz w:val="20"/>
          <w:szCs w:val="20"/>
        </w:rPr>
        <w:t>98.5% of Tunisia’s inhabitants are Muslims; 1% Christians and 0.5% are Jews</w:t>
      </w:r>
      <w:r w:rsidR="00954AA7">
        <w:rPr>
          <w:rFonts w:ascii="Arial" w:eastAsia="Arial" w:hAnsi="Arial" w:cs="Arial"/>
          <w:sz w:val="20"/>
          <w:szCs w:val="20"/>
        </w:rPr>
        <w:t xml:space="preserve">. Among the Muslims, </w:t>
      </w:r>
      <w:r w:rsidR="00954AA7" w:rsidRPr="00954AA7">
        <w:rPr>
          <w:rFonts w:ascii="Arial" w:eastAsia="Arial" w:hAnsi="Arial" w:cs="Arial"/>
          <w:sz w:val="20"/>
          <w:szCs w:val="20"/>
        </w:rPr>
        <w:t xml:space="preserve">98.7% are </w:t>
      </w:r>
      <w:r w:rsidR="00954AA7" w:rsidRPr="00954AA7">
        <w:rPr>
          <w:rFonts w:ascii="Arial" w:eastAsia="Arial" w:hAnsi="Arial" w:cs="Arial"/>
          <w:i/>
          <w:iCs/>
          <w:sz w:val="20"/>
          <w:szCs w:val="20"/>
        </w:rPr>
        <w:t>Sunni</w:t>
      </w:r>
      <w:r w:rsidR="00954AA7" w:rsidRPr="00954AA7">
        <w:rPr>
          <w:rFonts w:ascii="Arial" w:eastAsia="Arial" w:hAnsi="Arial" w:cs="Arial"/>
          <w:sz w:val="20"/>
          <w:szCs w:val="20"/>
        </w:rPr>
        <w:t xml:space="preserve"> </w:t>
      </w:r>
      <w:r w:rsidR="00954AA7" w:rsidRPr="00954AA7">
        <w:rPr>
          <w:rFonts w:ascii="Arial" w:eastAsia="Arial" w:hAnsi="Arial" w:cs="Arial"/>
          <w:i/>
          <w:iCs/>
          <w:sz w:val="20"/>
          <w:szCs w:val="20"/>
        </w:rPr>
        <w:t>Maliki</w:t>
      </w:r>
      <w:r w:rsidR="00954AA7" w:rsidRPr="00954AA7">
        <w:rPr>
          <w:rFonts w:ascii="Arial" w:eastAsia="Arial" w:hAnsi="Arial" w:cs="Arial"/>
          <w:sz w:val="20"/>
          <w:szCs w:val="20"/>
        </w:rPr>
        <w:t xml:space="preserve">, 1% are </w:t>
      </w:r>
      <w:proofErr w:type="spellStart"/>
      <w:r w:rsidR="00954AA7" w:rsidRPr="00954AA7">
        <w:rPr>
          <w:rFonts w:ascii="Arial" w:eastAsia="Arial" w:hAnsi="Arial" w:cs="Arial"/>
          <w:i/>
          <w:iCs/>
          <w:sz w:val="20"/>
          <w:szCs w:val="20"/>
        </w:rPr>
        <w:t>Ibadhites</w:t>
      </w:r>
      <w:proofErr w:type="spellEnd"/>
      <w:r w:rsidR="00954AA7" w:rsidRPr="00954AA7">
        <w:rPr>
          <w:rFonts w:ascii="Arial" w:eastAsia="Arial" w:hAnsi="Arial" w:cs="Arial"/>
          <w:sz w:val="20"/>
          <w:szCs w:val="20"/>
        </w:rPr>
        <w:t>,</w:t>
      </w:r>
      <w:r w:rsidR="00954AA7">
        <w:rPr>
          <w:rFonts w:ascii="Arial" w:eastAsia="Arial" w:hAnsi="Arial" w:cs="Arial"/>
          <w:sz w:val="20"/>
          <w:szCs w:val="20"/>
        </w:rPr>
        <w:t xml:space="preserve"> and</w:t>
      </w:r>
      <w:r w:rsidR="00954AA7" w:rsidRPr="00954AA7">
        <w:rPr>
          <w:rFonts w:ascii="Arial" w:eastAsia="Arial" w:hAnsi="Arial" w:cs="Arial"/>
          <w:sz w:val="20"/>
          <w:szCs w:val="20"/>
        </w:rPr>
        <w:t xml:space="preserve"> 0.3% are </w:t>
      </w:r>
      <w:r w:rsidR="00954AA7" w:rsidRPr="00954AA7">
        <w:rPr>
          <w:rFonts w:ascii="Arial" w:eastAsia="Arial" w:hAnsi="Arial" w:cs="Arial"/>
          <w:i/>
          <w:iCs/>
          <w:sz w:val="20"/>
          <w:szCs w:val="20"/>
        </w:rPr>
        <w:t>Shi’i</w:t>
      </w:r>
      <w:r w:rsidR="00954AA7">
        <w:rPr>
          <w:rFonts w:ascii="Arial" w:eastAsia="Arial" w:hAnsi="Arial" w:cs="Arial"/>
          <w:sz w:val="20"/>
          <w:szCs w:val="20"/>
        </w:rPr>
        <w:t>.</w:t>
      </w:r>
    </w:p>
    <w:p w14:paraId="180F3E49" w14:textId="1BD54798" w:rsidR="00E47EA6" w:rsidRDefault="00E47EA6" w:rsidP="00954AA7">
      <w:pPr>
        <w:jc w:val="both"/>
        <w:rPr>
          <w:rFonts w:ascii="Arial" w:eastAsia="Arial" w:hAnsi="Arial" w:cs="Arial"/>
          <w:sz w:val="20"/>
          <w:szCs w:val="20"/>
        </w:rPr>
      </w:pPr>
    </w:p>
    <w:p w14:paraId="60285A39" w14:textId="549F1BC4" w:rsidR="00E47EA6" w:rsidRPr="00E47EA6" w:rsidRDefault="00E47EA6" w:rsidP="00E47EA6">
      <w:pPr>
        <w:autoSpaceDE w:val="0"/>
        <w:autoSpaceDN w:val="0"/>
        <w:adjustRightInd w:val="0"/>
        <w:rPr>
          <w:rFonts w:ascii="Arial" w:eastAsia="Arial" w:hAnsi="Arial" w:cs="Arial"/>
          <w:sz w:val="20"/>
          <w:szCs w:val="20"/>
        </w:rPr>
      </w:pPr>
      <w:r w:rsidRPr="00E47EA6">
        <w:rPr>
          <w:rFonts w:ascii="Arial" w:eastAsia="Arial" w:hAnsi="Arial" w:cs="Arial"/>
          <w:sz w:val="20"/>
          <w:szCs w:val="20"/>
        </w:rPr>
        <w:t xml:space="preserve">The judicial system is unified and religious courts were abolished in 1956. There are only civil </w:t>
      </w:r>
      <w:proofErr w:type="gramStart"/>
      <w:r w:rsidRPr="00E47EA6">
        <w:rPr>
          <w:rFonts w:ascii="Arial" w:eastAsia="Arial" w:hAnsi="Arial" w:cs="Arial"/>
          <w:sz w:val="20"/>
          <w:szCs w:val="20"/>
        </w:rPr>
        <w:t>court .</w:t>
      </w:r>
      <w:proofErr w:type="gramEnd"/>
      <w:r w:rsidRPr="00E47EA6">
        <w:rPr>
          <w:rFonts w:ascii="Arial" w:eastAsia="Arial" w:hAnsi="Arial" w:cs="Arial"/>
          <w:sz w:val="20"/>
          <w:szCs w:val="20"/>
        </w:rPr>
        <w:t xml:space="preserve"> All the civil courts are able to administer Muslim family law cases</w:t>
      </w:r>
      <w:r>
        <w:rPr>
          <w:rFonts w:ascii="Arial" w:eastAsia="Arial" w:hAnsi="Arial" w:cs="Arial"/>
          <w:sz w:val="20"/>
          <w:szCs w:val="20"/>
        </w:rPr>
        <w:t>.</w:t>
      </w:r>
      <w:r>
        <w:rPr>
          <w:rStyle w:val="FootnoteReference"/>
          <w:rFonts w:ascii="Arial" w:eastAsia="Arial" w:hAnsi="Arial" w:cs="Arial"/>
          <w:sz w:val="20"/>
          <w:szCs w:val="20"/>
        </w:rPr>
        <w:footnoteReference w:id="2"/>
      </w:r>
    </w:p>
    <w:p w14:paraId="11AF0297" w14:textId="77777777" w:rsidR="00BA6281" w:rsidRPr="00BA6281" w:rsidRDefault="00BA6281" w:rsidP="00BA6281">
      <w:pPr>
        <w:jc w:val="both"/>
        <w:rPr>
          <w:rFonts w:ascii="Arial" w:eastAsia="Arial" w:hAnsi="Arial" w:cs="Arial"/>
          <w:sz w:val="20"/>
          <w:szCs w:val="20"/>
        </w:rPr>
      </w:pPr>
    </w:p>
    <w:p w14:paraId="4CD531D2" w14:textId="316E43E8" w:rsidR="002B4F37" w:rsidRPr="002B4F37" w:rsidRDefault="002B4F37" w:rsidP="002F7FF2">
      <w:pPr>
        <w:jc w:val="both"/>
        <w:rPr>
          <w:rFonts w:ascii="Arial" w:eastAsia="Arial" w:hAnsi="Arial" w:cs="Arial"/>
          <w:sz w:val="20"/>
          <w:szCs w:val="20"/>
        </w:rPr>
      </w:pPr>
      <w:r w:rsidRPr="00BA6281">
        <w:rPr>
          <w:rFonts w:ascii="Arial" w:eastAsia="Arial" w:hAnsi="Arial" w:cs="Arial"/>
          <w:sz w:val="20"/>
          <w:szCs w:val="20"/>
        </w:rPr>
        <w:t xml:space="preserve">The Personal Status Code (PSC) </w:t>
      </w:r>
      <w:r>
        <w:rPr>
          <w:rFonts w:ascii="Arial" w:eastAsia="Arial" w:hAnsi="Arial" w:cs="Arial"/>
          <w:sz w:val="20"/>
          <w:szCs w:val="20"/>
        </w:rPr>
        <w:t xml:space="preserve">in Tunisia </w:t>
      </w:r>
      <w:r w:rsidRPr="00BA6281">
        <w:rPr>
          <w:rFonts w:ascii="Arial" w:eastAsia="Arial" w:hAnsi="Arial" w:cs="Arial"/>
          <w:sz w:val="20"/>
          <w:szCs w:val="20"/>
        </w:rPr>
        <w:t xml:space="preserve">is the main codified law that governs matters relating to marriage and family relations of the predominantly Muslim population in </w:t>
      </w:r>
      <w:r>
        <w:rPr>
          <w:rFonts w:ascii="Arial" w:eastAsia="Arial" w:hAnsi="Arial" w:cs="Arial"/>
          <w:sz w:val="20"/>
          <w:szCs w:val="20"/>
        </w:rPr>
        <w:t xml:space="preserve">Tunisia. </w:t>
      </w:r>
      <w:r w:rsidR="00FE4975">
        <w:rPr>
          <w:rFonts w:ascii="Arial" w:eastAsia="Arial" w:hAnsi="Arial" w:cs="Arial"/>
          <w:sz w:val="20"/>
          <w:szCs w:val="20"/>
        </w:rPr>
        <w:t>The development of the PSC is influenced</w:t>
      </w:r>
      <w:r w:rsidR="00097A36">
        <w:rPr>
          <w:rFonts w:ascii="Arial" w:eastAsia="Arial" w:hAnsi="Arial" w:cs="Arial"/>
          <w:sz w:val="20"/>
          <w:szCs w:val="20"/>
        </w:rPr>
        <w:t xml:space="preserve"> </w:t>
      </w:r>
      <w:r w:rsidR="00FE4975">
        <w:rPr>
          <w:rFonts w:ascii="Arial" w:eastAsia="Arial" w:hAnsi="Arial" w:cs="Arial"/>
          <w:sz w:val="20"/>
          <w:szCs w:val="20"/>
        </w:rPr>
        <w:t xml:space="preserve">by the </w:t>
      </w:r>
      <w:r w:rsidR="00FE4975" w:rsidRPr="00FE4975">
        <w:rPr>
          <w:rFonts w:ascii="Arial" w:eastAsia="Arial" w:hAnsi="Arial" w:cs="Arial"/>
          <w:i/>
          <w:iCs/>
          <w:sz w:val="20"/>
          <w:szCs w:val="20"/>
        </w:rPr>
        <w:t>Maliki</w:t>
      </w:r>
      <w:r w:rsidR="00FE4975">
        <w:rPr>
          <w:rFonts w:ascii="Arial" w:eastAsia="Arial" w:hAnsi="Arial" w:cs="Arial"/>
          <w:sz w:val="20"/>
          <w:szCs w:val="20"/>
        </w:rPr>
        <w:t xml:space="preserve"> jurisprudence (</w:t>
      </w:r>
      <w:proofErr w:type="spellStart"/>
      <w:r w:rsidR="00FE4975">
        <w:rPr>
          <w:rFonts w:ascii="Arial" w:eastAsia="Arial" w:hAnsi="Arial" w:cs="Arial"/>
          <w:i/>
          <w:iCs/>
          <w:sz w:val="20"/>
          <w:szCs w:val="20"/>
        </w:rPr>
        <w:t>fiqh</w:t>
      </w:r>
      <w:proofErr w:type="spellEnd"/>
      <w:r w:rsidR="00FE4975">
        <w:rPr>
          <w:rFonts w:ascii="Arial" w:eastAsia="Arial" w:hAnsi="Arial" w:cs="Arial"/>
          <w:i/>
          <w:iCs/>
          <w:sz w:val="20"/>
          <w:szCs w:val="20"/>
        </w:rPr>
        <w:t>)</w:t>
      </w:r>
      <w:r w:rsidR="00FE4975">
        <w:rPr>
          <w:rFonts w:ascii="Arial" w:eastAsia="Arial" w:hAnsi="Arial" w:cs="Arial"/>
          <w:sz w:val="20"/>
          <w:szCs w:val="20"/>
        </w:rPr>
        <w:t>.</w:t>
      </w:r>
      <w:r w:rsidR="00FE4975">
        <w:rPr>
          <w:rStyle w:val="FootnoteReference"/>
          <w:rFonts w:ascii="Arial" w:eastAsia="Arial" w:hAnsi="Arial" w:cs="Arial"/>
          <w:sz w:val="20"/>
          <w:szCs w:val="20"/>
        </w:rPr>
        <w:footnoteReference w:id="3"/>
      </w:r>
      <w:r w:rsidR="00FE4975">
        <w:rPr>
          <w:rFonts w:ascii="Arial" w:eastAsia="Arial" w:hAnsi="Arial" w:cs="Arial"/>
          <w:sz w:val="20"/>
          <w:szCs w:val="20"/>
        </w:rPr>
        <w:t xml:space="preserve"> </w:t>
      </w:r>
      <w:r>
        <w:rPr>
          <w:rFonts w:ascii="Arial" w:eastAsia="Arial" w:hAnsi="Arial" w:cs="Arial"/>
          <w:sz w:val="20"/>
          <w:szCs w:val="20"/>
        </w:rPr>
        <w:t xml:space="preserve">This Code, promulgated on 13 August 1956, was a breakthrough for the rights of women in family law, with </w:t>
      </w:r>
      <w:r w:rsidRPr="002B4F37">
        <w:rPr>
          <w:rFonts w:ascii="Arial" w:eastAsia="Arial" w:hAnsi="Arial" w:cs="Arial"/>
          <w:sz w:val="20"/>
          <w:szCs w:val="20"/>
          <w:lang w:val="en"/>
        </w:rPr>
        <w:t xml:space="preserve">positive </w:t>
      </w:r>
      <w:r w:rsidR="00097A36">
        <w:rPr>
          <w:rFonts w:ascii="Arial" w:eastAsia="Arial" w:hAnsi="Arial" w:cs="Arial"/>
          <w:sz w:val="20"/>
          <w:szCs w:val="20"/>
          <w:lang w:val="en"/>
        </w:rPr>
        <w:t>implications</w:t>
      </w:r>
      <w:r w:rsidRPr="002B4F37">
        <w:rPr>
          <w:rFonts w:ascii="Arial" w:eastAsia="Arial" w:hAnsi="Arial" w:cs="Arial"/>
          <w:sz w:val="20"/>
          <w:szCs w:val="20"/>
          <w:lang w:val="en"/>
        </w:rPr>
        <w:t xml:space="preserve"> for women in the social, economic, political and cultural domains.</w:t>
      </w:r>
      <w:r w:rsidR="00097A36">
        <w:rPr>
          <w:rStyle w:val="FootnoteReference"/>
          <w:rFonts w:ascii="Arial" w:eastAsia="Arial" w:hAnsi="Arial" w:cs="Arial"/>
          <w:sz w:val="20"/>
          <w:szCs w:val="20"/>
          <w:lang w:val="en"/>
        </w:rPr>
        <w:footnoteReference w:id="4"/>
      </w:r>
    </w:p>
    <w:p w14:paraId="53DFBE11" w14:textId="77777777" w:rsidR="002B4F37" w:rsidRDefault="002B4F37" w:rsidP="002B4F37">
      <w:pPr>
        <w:jc w:val="both"/>
        <w:rPr>
          <w:rFonts w:ascii="Arial" w:eastAsia="Arial" w:hAnsi="Arial" w:cs="Arial"/>
          <w:sz w:val="20"/>
          <w:szCs w:val="20"/>
          <w:lang w:val="en"/>
        </w:rPr>
      </w:pPr>
    </w:p>
    <w:p w14:paraId="340635FC" w14:textId="65BF9AF3" w:rsidR="002B4F37" w:rsidRDefault="002F7FF2" w:rsidP="002B4F37">
      <w:pPr>
        <w:jc w:val="both"/>
        <w:rPr>
          <w:rFonts w:ascii="Arial" w:eastAsia="Arial" w:hAnsi="Arial" w:cs="Arial"/>
          <w:sz w:val="20"/>
          <w:szCs w:val="20"/>
          <w:lang w:val="en"/>
        </w:rPr>
      </w:pPr>
      <w:r>
        <w:rPr>
          <w:rFonts w:ascii="Arial" w:eastAsia="Arial" w:hAnsi="Arial" w:cs="Arial"/>
          <w:sz w:val="20"/>
          <w:szCs w:val="20"/>
          <w:lang w:val="en"/>
        </w:rPr>
        <w:t xml:space="preserve">The Code </w:t>
      </w:r>
      <w:r w:rsidR="002B4F37" w:rsidRPr="002B4F37">
        <w:rPr>
          <w:rFonts w:ascii="Arial" w:eastAsia="Arial" w:hAnsi="Arial" w:cs="Arial"/>
          <w:sz w:val="20"/>
          <w:szCs w:val="20"/>
          <w:lang w:val="en"/>
        </w:rPr>
        <w:t>abolished polygamy and instituted civil marriage with the explicit consent of both spouses, and gave men and women equal access to divorce before a court. Over the past decades, a number of legislative reforms have further strengthened the protection of women’s rights in the family. Among them, in 1993, the wife’s duty to obey her husband was replaced with the principle of reciprocal rights and duties of the two spouses. In 2007, the Personal Status Code was amended to harmonize the minimum legal age for marriage, now 18 years for both men and women. In 2010, the Tunisian nationality law was reformed, allowing women to transmit citizenship to their children in the same way as men. From 2011 until now</w:t>
      </w:r>
      <w:r w:rsidR="009E1C67">
        <w:rPr>
          <w:rFonts w:ascii="Arial" w:eastAsia="Arial" w:hAnsi="Arial" w:cs="Arial"/>
          <w:sz w:val="20"/>
          <w:szCs w:val="20"/>
          <w:lang w:val="en"/>
        </w:rPr>
        <w:t>,</w:t>
      </w:r>
      <w:r w:rsidR="002B4F37" w:rsidRPr="002B4F37">
        <w:rPr>
          <w:rFonts w:ascii="Arial" w:eastAsia="Arial" w:hAnsi="Arial" w:cs="Arial"/>
          <w:sz w:val="20"/>
          <w:szCs w:val="20"/>
          <w:lang w:val="en"/>
        </w:rPr>
        <w:t xml:space="preserve"> many amendments and reforms have promoted equality between the spouses; in 2017</w:t>
      </w:r>
      <w:r w:rsidR="00097A36">
        <w:rPr>
          <w:rFonts w:ascii="Arial" w:eastAsia="Arial" w:hAnsi="Arial" w:cs="Arial"/>
          <w:sz w:val="20"/>
          <w:szCs w:val="20"/>
          <w:lang w:val="en"/>
        </w:rPr>
        <w:t>,</w:t>
      </w:r>
      <w:r w:rsidR="002B4F37" w:rsidRPr="002B4F37">
        <w:rPr>
          <w:rFonts w:ascii="Arial" w:eastAsia="Arial" w:hAnsi="Arial" w:cs="Arial"/>
          <w:sz w:val="20"/>
          <w:szCs w:val="20"/>
          <w:lang w:val="en"/>
        </w:rPr>
        <w:t xml:space="preserve"> mixed marriage for Tunisian women marrying a non-Muslim foreign national was made legal in Tunisia by the Circular n° 164 of the Ministry of Justice dated September 8th, 2017 abolishing the Circular n° 216 dated on November 5th, 1973. The Personal Status Code does not classify religious differences as a legal prohibition</w:t>
      </w:r>
      <w:r w:rsidR="00097A36">
        <w:rPr>
          <w:rFonts w:ascii="Arial" w:eastAsia="Arial" w:hAnsi="Arial" w:cs="Arial"/>
          <w:sz w:val="20"/>
          <w:szCs w:val="20"/>
          <w:lang w:val="en"/>
        </w:rPr>
        <w:t xml:space="preserve"> on marriage</w:t>
      </w:r>
      <w:r w:rsidR="002B4F37" w:rsidRPr="002B4F37">
        <w:rPr>
          <w:rFonts w:ascii="Arial" w:eastAsia="Arial" w:hAnsi="Arial" w:cs="Arial"/>
          <w:sz w:val="20"/>
          <w:szCs w:val="20"/>
          <w:lang w:val="en"/>
        </w:rPr>
        <w:t>.</w:t>
      </w:r>
    </w:p>
    <w:p w14:paraId="751F8087" w14:textId="740BBE76" w:rsidR="002B4F37" w:rsidRDefault="002B4F37" w:rsidP="002B4F37">
      <w:pPr>
        <w:jc w:val="both"/>
        <w:rPr>
          <w:rFonts w:ascii="Arial" w:eastAsia="Arial" w:hAnsi="Arial" w:cs="Arial"/>
          <w:sz w:val="20"/>
          <w:szCs w:val="20"/>
          <w:lang w:val="en"/>
        </w:rPr>
      </w:pPr>
    </w:p>
    <w:p w14:paraId="4E08E5D8" w14:textId="5872DC2D" w:rsidR="0058651B" w:rsidRDefault="0058651B" w:rsidP="0058651B">
      <w:pPr>
        <w:jc w:val="both"/>
        <w:rPr>
          <w:rFonts w:ascii="Arial" w:eastAsia="Arial" w:hAnsi="Arial" w:cs="Arial"/>
          <w:sz w:val="20"/>
          <w:szCs w:val="20"/>
          <w:lang w:val="en"/>
        </w:rPr>
      </w:pPr>
      <w:r w:rsidRPr="002B4F37">
        <w:rPr>
          <w:rFonts w:ascii="Arial" w:eastAsia="Arial" w:hAnsi="Arial" w:cs="Arial"/>
          <w:sz w:val="20"/>
          <w:szCs w:val="20"/>
          <w:lang w:val="en"/>
        </w:rPr>
        <w:t xml:space="preserve">As a policy framework, the Peer Council for Equal Opportunities for Men and Women, which is an advisory body, was established by Government Decree No. 626–2016. Its main mission is to </w:t>
      </w:r>
      <w:r w:rsidRPr="002B4F37">
        <w:rPr>
          <w:rFonts w:ascii="Arial" w:eastAsia="Arial" w:hAnsi="Arial" w:cs="Arial"/>
          <w:sz w:val="20"/>
          <w:szCs w:val="20"/>
          <w:lang w:val="en"/>
        </w:rPr>
        <w:lastRenderedPageBreak/>
        <w:t>mainstream the gender approach in development policies and plans in Tunisia.</w:t>
      </w:r>
      <w:r w:rsidR="00E47EA6">
        <w:rPr>
          <w:rStyle w:val="FootnoteReference"/>
          <w:rFonts w:ascii="Arial" w:eastAsia="Arial" w:hAnsi="Arial" w:cs="Arial"/>
          <w:sz w:val="20"/>
          <w:szCs w:val="20"/>
          <w:lang w:val="en"/>
        </w:rPr>
        <w:footnoteReference w:id="5"/>
      </w:r>
      <w:r w:rsidRPr="002B4F37">
        <w:rPr>
          <w:rFonts w:ascii="Arial" w:eastAsia="Arial" w:hAnsi="Arial" w:cs="Arial"/>
          <w:sz w:val="20"/>
          <w:szCs w:val="20"/>
          <w:lang w:val="en"/>
        </w:rPr>
        <w:t xml:space="preserve"> Since the Law on Eliminating Violence against Women (No. 58, 2017) entered into force in 2018, a common framework agreement between government institutions and NGOs has been developed to support women victims of violence.</w:t>
      </w:r>
    </w:p>
    <w:p w14:paraId="41C56D8F" w14:textId="77777777" w:rsidR="0058651B" w:rsidRPr="002B4F37" w:rsidRDefault="0058651B" w:rsidP="002B4F37">
      <w:pPr>
        <w:jc w:val="both"/>
        <w:rPr>
          <w:rFonts w:ascii="Arial" w:eastAsia="Arial" w:hAnsi="Arial" w:cs="Arial"/>
          <w:sz w:val="20"/>
          <w:szCs w:val="20"/>
          <w:lang w:val="en"/>
        </w:rPr>
      </w:pPr>
    </w:p>
    <w:p w14:paraId="3E5E2CF9" w14:textId="77777777" w:rsidR="009E1C67" w:rsidRDefault="002B4F37" w:rsidP="002B4F37">
      <w:pPr>
        <w:jc w:val="both"/>
        <w:rPr>
          <w:rFonts w:ascii="Arial" w:eastAsia="Arial" w:hAnsi="Arial" w:cs="Arial"/>
          <w:sz w:val="20"/>
          <w:szCs w:val="20"/>
          <w:lang w:val="en"/>
        </w:rPr>
      </w:pPr>
      <w:r w:rsidRPr="002B4F37">
        <w:rPr>
          <w:rFonts w:ascii="Arial" w:eastAsia="Arial" w:hAnsi="Arial" w:cs="Arial"/>
          <w:sz w:val="20"/>
          <w:szCs w:val="20"/>
          <w:lang w:val="en"/>
        </w:rPr>
        <w:t xml:space="preserve">Despite these successive reforms, a significant number of discriminatory provisions remain in force that deny women equal rights with men. During marriage, women continue to suffer discrimination in their personal relations with their husband, who, according to </w:t>
      </w:r>
      <w:r w:rsidR="009E1C67">
        <w:rPr>
          <w:rFonts w:ascii="Arial" w:eastAsia="Arial" w:hAnsi="Arial" w:cs="Arial"/>
          <w:sz w:val="20"/>
          <w:szCs w:val="20"/>
          <w:lang w:val="en"/>
        </w:rPr>
        <w:t>A</w:t>
      </w:r>
      <w:r w:rsidRPr="002B4F37">
        <w:rPr>
          <w:rFonts w:ascii="Arial" w:eastAsia="Arial" w:hAnsi="Arial" w:cs="Arial"/>
          <w:sz w:val="20"/>
          <w:szCs w:val="20"/>
          <w:lang w:val="en"/>
        </w:rPr>
        <w:t xml:space="preserve">rticle 23, remain the heads of the household. This unequal status is reinforced by the reference in the same </w:t>
      </w:r>
      <w:r w:rsidR="009E1C67">
        <w:rPr>
          <w:rFonts w:ascii="Arial" w:eastAsia="Arial" w:hAnsi="Arial" w:cs="Arial"/>
          <w:sz w:val="20"/>
          <w:szCs w:val="20"/>
          <w:lang w:val="en"/>
        </w:rPr>
        <w:t>A</w:t>
      </w:r>
      <w:r w:rsidRPr="002B4F37">
        <w:rPr>
          <w:rFonts w:ascii="Arial" w:eastAsia="Arial" w:hAnsi="Arial" w:cs="Arial"/>
          <w:sz w:val="20"/>
          <w:szCs w:val="20"/>
          <w:lang w:val="en"/>
        </w:rPr>
        <w:t>rticle to customs and traditional practices with respect to the couple’s conjugal duties. Discriminatory provisions still persist in relation to divorce and custody</w:t>
      </w:r>
      <w:r w:rsidR="009E1C67">
        <w:rPr>
          <w:rFonts w:ascii="Arial" w:eastAsia="Arial" w:hAnsi="Arial" w:cs="Arial"/>
          <w:sz w:val="20"/>
          <w:szCs w:val="20"/>
          <w:lang w:val="en"/>
        </w:rPr>
        <w:t>;</w:t>
      </w:r>
      <w:r w:rsidRPr="002B4F37">
        <w:rPr>
          <w:rFonts w:ascii="Arial" w:eastAsia="Arial" w:hAnsi="Arial" w:cs="Arial"/>
          <w:sz w:val="20"/>
          <w:szCs w:val="20"/>
          <w:lang w:val="en"/>
        </w:rPr>
        <w:t xml:space="preserve"> women lose custody of their children if they remarry after divorce, while men can retain custody. </w:t>
      </w:r>
    </w:p>
    <w:p w14:paraId="404D8B0B" w14:textId="77777777" w:rsidR="009E1C67" w:rsidRDefault="009E1C67" w:rsidP="002B4F37">
      <w:pPr>
        <w:jc w:val="both"/>
        <w:rPr>
          <w:rFonts w:ascii="Arial" w:eastAsia="Arial" w:hAnsi="Arial" w:cs="Arial"/>
          <w:sz w:val="20"/>
          <w:szCs w:val="20"/>
          <w:lang w:val="en"/>
        </w:rPr>
      </w:pPr>
    </w:p>
    <w:p w14:paraId="7E6487AE" w14:textId="77777777" w:rsidR="009E1C67" w:rsidRDefault="009E1C67" w:rsidP="002B4F37">
      <w:pPr>
        <w:jc w:val="both"/>
        <w:rPr>
          <w:rFonts w:ascii="Arial" w:eastAsia="Arial" w:hAnsi="Arial" w:cs="Arial"/>
          <w:sz w:val="20"/>
          <w:szCs w:val="20"/>
          <w:lang w:val="en"/>
        </w:rPr>
      </w:pPr>
      <w:r>
        <w:rPr>
          <w:rFonts w:ascii="Arial" w:eastAsia="Arial" w:hAnsi="Arial" w:cs="Arial"/>
          <w:sz w:val="20"/>
          <w:szCs w:val="20"/>
          <w:lang w:val="en"/>
        </w:rPr>
        <w:t>Moreover, i</w:t>
      </w:r>
      <w:r w:rsidR="002B4F37" w:rsidRPr="002B4F37">
        <w:rPr>
          <w:rFonts w:ascii="Arial" w:eastAsia="Arial" w:hAnsi="Arial" w:cs="Arial"/>
          <w:sz w:val="20"/>
          <w:szCs w:val="20"/>
          <w:lang w:val="en"/>
        </w:rPr>
        <w:t xml:space="preserve">nheritance law, which is based on patriarchal and patrilineal family, remains discriminatory against women. </w:t>
      </w:r>
      <w:r>
        <w:rPr>
          <w:rFonts w:ascii="Arial" w:eastAsia="Arial" w:hAnsi="Arial" w:cs="Arial"/>
          <w:sz w:val="20"/>
          <w:szCs w:val="20"/>
          <w:lang w:val="en"/>
        </w:rPr>
        <w:t>Despite</w:t>
      </w:r>
      <w:r w:rsidR="002B4F37" w:rsidRPr="002B4F37">
        <w:rPr>
          <w:rFonts w:ascii="Arial" w:eastAsia="Arial" w:hAnsi="Arial" w:cs="Arial"/>
          <w:sz w:val="20"/>
          <w:szCs w:val="20"/>
          <w:lang w:val="en"/>
        </w:rPr>
        <w:t xml:space="preserve"> the absence of any restrictions bound to religion to prevent marriage or inheritance, which clearly demonstrates the will of the legislature to remove these barriers as also demonstrated by some case law in that regard</w:t>
      </w:r>
      <w:r>
        <w:rPr>
          <w:rFonts w:ascii="Arial" w:eastAsia="Arial" w:hAnsi="Arial" w:cs="Arial"/>
          <w:sz w:val="20"/>
          <w:szCs w:val="20"/>
          <w:lang w:val="en"/>
        </w:rPr>
        <w:t>,</w:t>
      </w:r>
      <w:r>
        <w:rPr>
          <w:rStyle w:val="FootnoteReference"/>
          <w:rFonts w:ascii="Arial" w:eastAsia="Arial" w:hAnsi="Arial" w:cs="Arial"/>
          <w:sz w:val="20"/>
          <w:szCs w:val="20"/>
          <w:lang w:val="en"/>
        </w:rPr>
        <w:footnoteReference w:id="6"/>
      </w:r>
      <w:r w:rsidR="002B4F37" w:rsidRPr="002B4F37">
        <w:rPr>
          <w:rFonts w:ascii="Arial" w:eastAsia="Arial" w:hAnsi="Arial" w:cs="Arial"/>
          <w:sz w:val="20"/>
          <w:szCs w:val="20"/>
          <w:lang w:val="en"/>
        </w:rPr>
        <w:t xml:space="preserve"> it is difficult to measure the real impact </w:t>
      </w:r>
      <w:r>
        <w:rPr>
          <w:rFonts w:ascii="Arial" w:eastAsia="Arial" w:hAnsi="Arial" w:cs="Arial"/>
          <w:sz w:val="20"/>
          <w:szCs w:val="20"/>
          <w:lang w:val="en"/>
        </w:rPr>
        <w:t xml:space="preserve">on </w:t>
      </w:r>
      <w:r w:rsidR="002B4F37" w:rsidRPr="002B4F37">
        <w:rPr>
          <w:rFonts w:ascii="Arial" w:eastAsia="Arial" w:hAnsi="Arial" w:cs="Arial"/>
          <w:sz w:val="20"/>
          <w:szCs w:val="20"/>
          <w:lang w:val="en"/>
        </w:rPr>
        <w:t xml:space="preserve">women’s lives and to </w:t>
      </w:r>
      <w:proofErr w:type="spellStart"/>
      <w:r w:rsidR="002B4F37" w:rsidRPr="002B4F37">
        <w:rPr>
          <w:rFonts w:ascii="Arial" w:eastAsia="Arial" w:hAnsi="Arial" w:cs="Arial"/>
          <w:sz w:val="20"/>
          <w:szCs w:val="20"/>
          <w:lang w:val="en"/>
        </w:rPr>
        <w:t>analyse</w:t>
      </w:r>
      <w:proofErr w:type="spellEnd"/>
      <w:r w:rsidR="002B4F37" w:rsidRPr="002B4F37">
        <w:rPr>
          <w:rFonts w:ascii="Arial" w:eastAsia="Arial" w:hAnsi="Arial" w:cs="Arial"/>
          <w:sz w:val="20"/>
          <w:szCs w:val="20"/>
          <w:lang w:val="en"/>
        </w:rPr>
        <w:t xml:space="preserve"> the way judges have applied its provisions over the past 60 years</w:t>
      </w:r>
      <w:r>
        <w:rPr>
          <w:rFonts w:ascii="Arial" w:eastAsia="Arial" w:hAnsi="Arial" w:cs="Arial"/>
          <w:sz w:val="20"/>
          <w:szCs w:val="20"/>
          <w:lang w:val="en"/>
        </w:rPr>
        <w:t>.</w:t>
      </w:r>
      <w:r w:rsidR="002B4F37" w:rsidRPr="002B4F37">
        <w:rPr>
          <w:rFonts w:ascii="Arial" w:eastAsia="Arial" w:hAnsi="Arial" w:cs="Arial"/>
          <w:sz w:val="20"/>
          <w:szCs w:val="20"/>
          <w:lang w:val="en"/>
        </w:rPr>
        <w:t xml:space="preserve"> Information</w:t>
      </w:r>
      <w:r>
        <w:rPr>
          <w:rFonts w:ascii="Arial" w:eastAsia="Arial" w:hAnsi="Arial" w:cs="Arial"/>
          <w:sz w:val="20"/>
          <w:szCs w:val="20"/>
          <w:lang w:val="en"/>
        </w:rPr>
        <w:t xml:space="preserve"> is often</w:t>
      </w:r>
      <w:r w:rsidR="002B4F37" w:rsidRPr="002B4F37">
        <w:rPr>
          <w:rFonts w:ascii="Arial" w:eastAsia="Arial" w:hAnsi="Arial" w:cs="Arial"/>
          <w:sz w:val="20"/>
          <w:szCs w:val="20"/>
          <w:lang w:val="en"/>
        </w:rPr>
        <w:t xml:space="preserve"> received about some progressive, but also many regressive judgments</w:t>
      </w:r>
      <w:r>
        <w:rPr>
          <w:rFonts w:ascii="Arial" w:eastAsia="Arial" w:hAnsi="Arial" w:cs="Arial"/>
          <w:sz w:val="20"/>
          <w:szCs w:val="20"/>
          <w:lang w:val="en"/>
        </w:rPr>
        <w:t>,</w:t>
      </w:r>
      <w:r w:rsidR="002B4F37" w:rsidRPr="002B4F37">
        <w:rPr>
          <w:rFonts w:ascii="Arial" w:eastAsia="Arial" w:hAnsi="Arial" w:cs="Arial"/>
          <w:sz w:val="20"/>
          <w:szCs w:val="20"/>
          <w:lang w:val="en"/>
        </w:rPr>
        <w:t xml:space="preserve"> whereby judges use the </w:t>
      </w:r>
      <w:r w:rsidR="002B4F37" w:rsidRPr="009E1C67">
        <w:rPr>
          <w:rFonts w:ascii="Arial" w:eastAsia="Arial" w:hAnsi="Arial" w:cs="Arial"/>
          <w:i/>
          <w:iCs/>
          <w:sz w:val="20"/>
          <w:szCs w:val="20"/>
          <w:lang w:val="en"/>
        </w:rPr>
        <w:t>Sharia</w:t>
      </w:r>
      <w:r w:rsidR="002B4F37" w:rsidRPr="002B4F37">
        <w:rPr>
          <w:rFonts w:ascii="Arial" w:eastAsia="Arial" w:hAnsi="Arial" w:cs="Arial"/>
          <w:sz w:val="20"/>
          <w:szCs w:val="20"/>
          <w:lang w:val="en"/>
        </w:rPr>
        <w:t xml:space="preserve"> as a source of customary law in matters concerning family law and inheritance.  </w:t>
      </w:r>
    </w:p>
    <w:p w14:paraId="7257DEA6" w14:textId="77777777" w:rsidR="009E1C67" w:rsidRDefault="009E1C67" w:rsidP="002B4F37">
      <w:pPr>
        <w:jc w:val="both"/>
        <w:rPr>
          <w:rFonts w:ascii="Arial" w:eastAsia="Arial" w:hAnsi="Arial" w:cs="Arial"/>
          <w:sz w:val="20"/>
          <w:szCs w:val="20"/>
          <w:lang w:val="en"/>
        </w:rPr>
      </w:pPr>
    </w:p>
    <w:p w14:paraId="414731D7" w14:textId="2099D00D" w:rsidR="009E1C67" w:rsidRDefault="002B4F37" w:rsidP="002B4F37">
      <w:pPr>
        <w:jc w:val="both"/>
        <w:rPr>
          <w:rFonts w:ascii="Arial" w:eastAsia="Arial" w:hAnsi="Arial" w:cs="Arial"/>
          <w:sz w:val="20"/>
          <w:szCs w:val="20"/>
          <w:lang w:val="en"/>
        </w:rPr>
      </w:pPr>
      <w:r w:rsidRPr="002B4F37">
        <w:rPr>
          <w:rFonts w:ascii="Arial" w:eastAsia="Arial" w:hAnsi="Arial" w:cs="Arial"/>
          <w:sz w:val="20"/>
          <w:szCs w:val="20"/>
          <w:lang w:val="en"/>
        </w:rPr>
        <w:t xml:space="preserve">The laws </w:t>
      </w:r>
      <w:r w:rsidR="00A45B48">
        <w:rPr>
          <w:rFonts w:ascii="Arial" w:eastAsia="Arial" w:hAnsi="Arial" w:cs="Arial"/>
          <w:sz w:val="20"/>
          <w:szCs w:val="20"/>
          <w:lang w:val="en"/>
        </w:rPr>
        <w:t>that</w:t>
      </w:r>
      <w:r w:rsidRPr="002B4F37">
        <w:rPr>
          <w:rFonts w:ascii="Arial" w:eastAsia="Arial" w:hAnsi="Arial" w:cs="Arial"/>
          <w:sz w:val="20"/>
          <w:szCs w:val="20"/>
          <w:lang w:val="en"/>
        </w:rPr>
        <w:t xml:space="preserve"> impact women’s rights are not limited to</w:t>
      </w:r>
      <w:r w:rsidR="0058651B">
        <w:rPr>
          <w:rFonts w:ascii="Arial" w:eastAsia="Arial" w:hAnsi="Arial" w:cs="Arial"/>
          <w:sz w:val="20"/>
          <w:szCs w:val="20"/>
          <w:lang w:val="en"/>
        </w:rPr>
        <w:t xml:space="preserve"> the</w:t>
      </w:r>
      <w:r w:rsidRPr="002B4F37">
        <w:rPr>
          <w:rFonts w:ascii="Arial" w:eastAsia="Arial" w:hAnsi="Arial" w:cs="Arial"/>
          <w:sz w:val="20"/>
          <w:szCs w:val="20"/>
          <w:lang w:val="en"/>
        </w:rPr>
        <w:t xml:space="preserve"> family code. The Criminal Code went through successive reforms, which notably criminalized sexual harassment in 2004. With a view to guaranteeing women’s right to physical integrity, </w:t>
      </w:r>
      <w:r w:rsidR="009E1C67">
        <w:rPr>
          <w:rFonts w:ascii="Arial" w:eastAsia="Arial" w:hAnsi="Arial" w:cs="Arial"/>
          <w:sz w:val="20"/>
          <w:szCs w:val="20"/>
          <w:lang w:val="en"/>
        </w:rPr>
        <w:t>S</w:t>
      </w:r>
      <w:r w:rsidRPr="002B4F37">
        <w:rPr>
          <w:rFonts w:ascii="Arial" w:eastAsia="Arial" w:hAnsi="Arial" w:cs="Arial"/>
          <w:sz w:val="20"/>
          <w:szCs w:val="20"/>
          <w:lang w:val="en"/>
        </w:rPr>
        <w:t>ection 207 of the Criminal Code was deleted because it recognized marriage ties as a mitigating circumstance when a husband murdered his wife or her partner upon catching them in an act of infidelity</w:t>
      </w:r>
      <w:r w:rsidR="00054EF2">
        <w:rPr>
          <w:rFonts w:ascii="Arial" w:eastAsia="Arial" w:hAnsi="Arial" w:cs="Arial"/>
          <w:sz w:val="20"/>
          <w:szCs w:val="20"/>
          <w:lang w:val="en"/>
        </w:rPr>
        <w:t xml:space="preserve">. </w:t>
      </w:r>
      <w:r w:rsidRPr="002B4F37">
        <w:rPr>
          <w:rFonts w:ascii="Arial" w:eastAsia="Arial" w:hAnsi="Arial" w:cs="Arial"/>
          <w:sz w:val="20"/>
          <w:szCs w:val="20"/>
          <w:lang w:val="en"/>
        </w:rPr>
        <w:t xml:space="preserve">The Tunisian new codes, which are the </w:t>
      </w:r>
      <w:r w:rsidR="009E1C67">
        <w:rPr>
          <w:rFonts w:ascii="Arial" w:eastAsia="Arial" w:hAnsi="Arial" w:cs="Arial"/>
          <w:sz w:val="20"/>
          <w:szCs w:val="20"/>
          <w:lang w:val="en"/>
        </w:rPr>
        <w:t>“</w:t>
      </w:r>
      <w:r w:rsidRPr="002B4F37">
        <w:rPr>
          <w:rFonts w:ascii="Arial" w:eastAsia="Arial" w:hAnsi="Arial" w:cs="Arial"/>
          <w:sz w:val="20"/>
          <w:szCs w:val="20"/>
          <w:lang w:val="en"/>
        </w:rPr>
        <w:t>Law on Eliminating Violence against Women</w:t>
      </w:r>
      <w:r w:rsidR="009E1C67">
        <w:rPr>
          <w:rFonts w:ascii="Arial" w:eastAsia="Arial" w:hAnsi="Arial" w:cs="Arial"/>
          <w:sz w:val="20"/>
          <w:szCs w:val="20"/>
          <w:lang w:val="en"/>
        </w:rPr>
        <w:t>”</w:t>
      </w:r>
      <w:r w:rsidRPr="002B4F37">
        <w:rPr>
          <w:rFonts w:ascii="Arial" w:eastAsia="Arial" w:hAnsi="Arial" w:cs="Arial"/>
          <w:sz w:val="20"/>
          <w:szCs w:val="20"/>
          <w:lang w:val="en"/>
        </w:rPr>
        <w:t xml:space="preserve">, 2017 (No. 58) and </w:t>
      </w:r>
      <w:r w:rsidR="009E1C67">
        <w:rPr>
          <w:rFonts w:ascii="Arial" w:eastAsia="Arial" w:hAnsi="Arial" w:cs="Arial"/>
          <w:sz w:val="20"/>
          <w:szCs w:val="20"/>
          <w:lang w:val="en"/>
        </w:rPr>
        <w:t>“</w:t>
      </w:r>
      <w:r w:rsidRPr="002B4F37">
        <w:rPr>
          <w:rFonts w:ascii="Arial" w:eastAsia="Arial" w:hAnsi="Arial" w:cs="Arial"/>
          <w:sz w:val="20"/>
          <w:szCs w:val="20"/>
          <w:lang w:val="en"/>
        </w:rPr>
        <w:t xml:space="preserve">Law on the </w:t>
      </w:r>
      <w:r w:rsidR="009E1C67">
        <w:rPr>
          <w:rFonts w:ascii="Arial" w:eastAsia="Arial" w:hAnsi="Arial" w:cs="Arial"/>
          <w:sz w:val="20"/>
          <w:szCs w:val="20"/>
          <w:lang w:val="en"/>
        </w:rPr>
        <w:t>P</w:t>
      </w:r>
      <w:r w:rsidRPr="002B4F37">
        <w:rPr>
          <w:rFonts w:ascii="Arial" w:eastAsia="Arial" w:hAnsi="Arial" w:cs="Arial"/>
          <w:sz w:val="20"/>
          <w:szCs w:val="20"/>
          <w:lang w:val="en"/>
        </w:rPr>
        <w:t xml:space="preserve">revention and </w:t>
      </w:r>
      <w:r w:rsidR="009E1C67">
        <w:rPr>
          <w:rFonts w:ascii="Arial" w:eastAsia="Arial" w:hAnsi="Arial" w:cs="Arial"/>
          <w:sz w:val="20"/>
          <w:szCs w:val="20"/>
          <w:lang w:val="en"/>
        </w:rPr>
        <w:t>C</w:t>
      </w:r>
      <w:r w:rsidRPr="002B4F37">
        <w:rPr>
          <w:rFonts w:ascii="Arial" w:eastAsia="Arial" w:hAnsi="Arial" w:cs="Arial"/>
          <w:sz w:val="20"/>
          <w:szCs w:val="20"/>
          <w:lang w:val="en"/>
        </w:rPr>
        <w:t xml:space="preserve">ontrol of </w:t>
      </w:r>
      <w:r w:rsidR="009E1C67">
        <w:rPr>
          <w:rFonts w:ascii="Arial" w:eastAsia="Arial" w:hAnsi="Arial" w:cs="Arial"/>
          <w:sz w:val="20"/>
          <w:szCs w:val="20"/>
          <w:lang w:val="en"/>
        </w:rPr>
        <w:t>T</w:t>
      </w:r>
      <w:r w:rsidRPr="002B4F37">
        <w:rPr>
          <w:rFonts w:ascii="Arial" w:eastAsia="Arial" w:hAnsi="Arial" w:cs="Arial"/>
          <w:sz w:val="20"/>
          <w:szCs w:val="20"/>
          <w:lang w:val="en"/>
        </w:rPr>
        <w:t xml:space="preserve">rafficking in </w:t>
      </w:r>
      <w:r w:rsidR="009E1C67">
        <w:rPr>
          <w:rFonts w:ascii="Arial" w:eastAsia="Arial" w:hAnsi="Arial" w:cs="Arial"/>
          <w:sz w:val="20"/>
          <w:szCs w:val="20"/>
          <w:lang w:val="en"/>
        </w:rPr>
        <w:t>P</w:t>
      </w:r>
      <w:r w:rsidRPr="002B4F37">
        <w:rPr>
          <w:rFonts w:ascii="Arial" w:eastAsia="Arial" w:hAnsi="Arial" w:cs="Arial"/>
          <w:sz w:val="20"/>
          <w:szCs w:val="20"/>
          <w:lang w:val="en"/>
        </w:rPr>
        <w:t>ersons</w:t>
      </w:r>
      <w:r w:rsidR="009E1C67">
        <w:rPr>
          <w:rFonts w:ascii="Arial" w:eastAsia="Arial" w:hAnsi="Arial" w:cs="Arial"/>
          <w:sz w:val="20"/>
          <w:szCs w:val="20"/>
          <w:lang w:val="en"/>
        </w:rPr>
        <w:t>”</w:t>
      </w:r>
      <w:r w:rsidRPr="002B4F37">
        <w:rPr>
          <w:rFonts w:ascii="Arial" w:eastAsia="Arial" w:hAnsi="Arial" w:cs="Arial"/>
          <w:sz w:val="20"/>
          <w:szCs w:val="20"/>
          <w:lang w:val="en"/>
        </w:rPr>
        <w:t xml:space="preserve">, 2016 </w:t>
      </w:r>
      <w:r w:rsidR="009E1C67">
        <w:rPr>
          <w:rFonts w:ascii="Arial" w:eastAsia="Arial" w:hAnsi="Arial" w:cs="Arial"/>
          <w:sz w:val="20"/>
          <w:szCs w:val="20"/>
          <w:lang w:val="en"/>
        </w:rPr>
        <w:t>(</w:t>
      </w:r>
      <w:r w:rsidRPr="002B4F37">
        <w:rPr>
          <w:rFonts w:ascii="Arial" w:eastAsia="Arial" w:hAnsi="Arial" w:cs="Arial"/>
          <w:sz w:val="20"/>
          <w:szCs w:val="20"/>
          <w:lang w:val="en"/>
        </w:rPr>
        <w:t>No 61</w:t>
      </w:r>
      <w:r w:rsidR="009E1C67">
        <w:rPr>
          <w:rFonts w:ascii="Arial" w:eastAsia="Arial" w:hAnsi="Arial" w:cs="Arial"/>
          <w:sz w:val="20"/>
          <w:szCs w:val="20"/>
          <w:lang w:val="en"/>
        </w:rPr>
        <w:t>)</w:t>
      </w:r>
      <w:r w:rsidRPr="002B4F37">
        <w:rPr>
          <w:rFonts w:ascii="Arial" w:eastAsia="Arial" w:hAnsi="Arial" w:cs="Arial"/>
          <w:sz w:val="20"/>
          <w:szCs w:val="20"/>
          <w:lang w:val="en"/>
        </w:rPr>
        <w:t xml:space="preserve">, guarantee more rights for women. </w:t>
      </w:r>
    </w:p>
    <w:p w14:paraId="0B53AE24" w14:textId="77777777" w:rsidR="009E1C67" w:rsidRDefault="009E1C67" w:rsidP="002B4F37">
      <w:pPr>
        <w:jc w:val="both"/>
        <w:rPr>
          <w:rFonts w:ascii="Arial" w:eastAsia="Arial" w:hAnsi="Arial" w:cs="Arial"/>
          <w:sz w:val="20"/>
          <w:szCs w:val="20"/>
          <w:lang w:val="en"/>
        </w:rPr>
      </w:pPr>
    </w:p>
    <w:p w14:paraId="65465532" w14:textId="1AC9BBA5" w:rsidR="00A76CD2" w:rsidRPr="0058651B" w:rsidRDefault="009E1C67" w:rsidP="0058651B">
      <w:pPr>
        <w:jc w:val="both"/>
        <w:rPr>
          <w:rFonts w:ascii="Arial" w:eastAsia="Arial" w:hAnsi="Arial" w:cs="Arial"/>
          <w:sz w:val="20"/>
          <w:szCs w:val="20"/>
          <w:lang w:val="en"/>
        </w:rPr>
      </w:pPr>
      <w:r>
        <w:rPr>
          <w:rFonts w:ascii="Arial" w:eastAsia="Arial" w:hAnsi="Arial" w:cs="Arial"/>
          <w:sz w:val="20"/>
          <w:szCs w:val="20"/>
          <w:lang w:val="en"/>
        </w:rPr>
        <w:t>However,</w:t>
      </w:r>
      <w:r w:rsidR="002B4F37" w:rsidRPr="002B4F37">
        <w:rPr>
          <w:rFonts w:ascii="Arial" w:eastAsia="Arial" w:hAnsi="Arial" w:cs="Arial"/>
          <w:sz w:val="20"/>
          <w:szCs w:val="20"/>
          <w:lang w:val="en"/>
        </w:rPr>
        <w:t xml:space="preserve"> from 2011 until now</w:t>
      </w:r>
      <w:r>
        <w:rPr>
          <w:rFonts w:ascii="Arial" w:eastAsia="Arial" w:hAnsi="Arial" w:cs="Arial"/>
          <w:sz w:val="20"/>
          <w:szCs w:val="20"/>
          <w:lang w:val="en"/>
        </w:rPr>
        <w:t>,</w:t>
      </w:r>
      <w:r w:rsidR="002B4F37" w:rsidRPr="002B4F37">
        <w:rPr>
          <w:rFonts w:ascii="Arial" w:eastAsia="Arial" w:hAnsi="Arial" w:cs="Arial"/>
          <w:sz w:val="20"/>
          <w:szCs w:val="20"/>
          <w:lang w:val="en"/>
        </w:rPr>
        <w:t xml:space="preserve"> Tunisia is living at a time of political transition and at a very challenging point in its history. Women’s rights </w:t>
      </w:r>
      <w:r>
        <w:rPr>
          <w:rFonts w:ascii="Arial" w:eastAsia="Arial" w:hAnsi="Arial" w:cs="Arial"/>
          <w:sz w:val="20"/>
          <w:szCs w:val="20"/>
          <w:lang w:val="en"/>
        </w:rPr>
        <w:t>are seemingly</w:t>
      </w:r>
      <w:r w:rsidR="002B4F37" w:rsidRPr="002B4F37">
        <w:rPr>
          <w:rFonts w:ascii="Arial" w:eastAsia="Arial" w:hAnsi="Arial" w:cs="Arial"/>
          <w:sz w:val="20"/>
          <w:szCs w:val="20"/>
          <w:lang w:val="en"/>
        </w:rPr>
        <w:t xml:space="preserve"> at the core of a collision of views.</w:t>
      </w:r>
      <w:r w:rsidR="0058651B">
        <w:rPr>
          <w:rFonts w:ascii="Arial" w:eastAsia="Arial" w:hAnsi="Arial" w:cs="Arial"/>
          <w:sz w:val="20"/>
          <w:szCs w:val="20"/>
          <w:lang w:val="en"/>
        </w:rPr>
        <w:t xml:space="preserve"> </w:t>
      </w:r>
      <w:r w:rsidR="00A76CD2" w:rsidRPr="00A76CD2">
        <w:rPr>
          <w:rFonts w:ascii="Arial" w:eastAsia="Arial" w:hAnsi="Arial" w:cs="Arial"/>
          <w:sz w:val="20"/>
          <w:szCs w:val="20"/>
        </w:rPr>
        <w:t>According to academic</w:t>
      </w:r>
      <w:r w:rsidR="00A76CD2">
        <w:rPr>
          <w:rFonts w:ascii="Arial" w:eastAsia="Arial" w:hAnsi="Arial" w:cs="Arial"/>
          <w:sz w:val="20"/>
          <w:szCs w:val="20"/>
        </w:rPr>
        <w:t xml:space="preserve"> </w:t>
      </w:r>
      <w:r w:rsidR="00A76CD2" w:rsidRPr="00A76CD2">
        <w:rPr>
          <w:rFonts w:ascii="Arial" w:eastAsia="Arial" w:hAnsi="Arial" w:cs="Arial"/>
          <w:sz w:val="20"/>
          <w:szCs w:val="20"/>
        </w:rPr>
        <w:t>research</w:t>
      </w:r>
      <w:r w:rsidR="00054EF2">
        <w:rPr>
          <w:rFonts w:ascii="Arial" w:eastAsia="Arial" w:hAnsi="Arial" w:cs="Arial"/>
          <w:sz w:val="20"/>
          <w:szCs w:val="20"/>
        </w:rPr>
        <w:t>,</w:t>
      </w:r>
      <w:r w:rsidR="00A76CD2" w:rsidRPr="00A76CD2">
        <w:rPr>
          <w:rFonts w:ascii="Arial" w:eastAsia="Arial" w:hAnsi="Arial" w:cs="Arial"/>
          <w:sz w:val="20"/>
          <w:szCs w:val="20"/>
        </w:rPr>
        <w:t xml:space="preserve"> while women</w:t>
      </w:r>
      <w:r w:rsidR="00A76CD2">
        <w:rPr>
          <w:rFonts w:ascii="Arial" w:eastAsia="Arial" w:hAnsi="Arial" w:cs="Arial"/>
          <w:sz w:val="20"/>
          <w:szCs w:val="20"/>
        </w:rPr>
        <w:t xml:space="preserve"> </w:t>
      </w:r>
      <w:r w:rsidR="00A76CD2" w:rsidRPr="00A76CD2">
        <w:rPr>
          <w:rFonts w:ascii="Arial" w:eastAsia="Arial" w:hAnsi="Arial" w:cs="Arial"/>
          <w:sz w:val="20"/>
          <w:szCs w:val="20"/>
        </w:rPr>
        <w:t>generally enjoy personal</w:t>
      </w:r>
      <w:r w:rsidR="00A76CD2">
        <w:rPr>
          <w:rFonts w:ascii="Arial" w:eastAsia="Arial" w:hAnsi="Arial" w:cs="Arial"/>
          <w:sz w:val="20"/>
          <w:szCs w:val="20"/>
        </w:rPr>
        <w:t xml:space="preserve"> </w:t>
      </w:r>
      <w:r w:rsidR="00A76CD2" w:rsidRPr="00A76CD2">
        <w:rPr>
          <w:rFonts w:ascii="Arial" w:eastAsia="Arial" w:hAnsi="Arial" w:cs="Arial"/>
          <w:sz w:val="20"/>
          <w:szCs w:val="20"/>
        </w:rPr>
        <w:t>freedoms under the law,</w:t>
      </w:r>
      <w:r w:rsidR="00A76CD2">
        <w:rPr>
          <w:rFonts w:ascii="Arial" w:eastAsia="Arial" w:hAnsi="Arial" w:cs="Arial"/>
          <w:sz w:val="20"/>
          <w:szCs w:val="20"/>
        </w:rPr>
        <w:t xml:space="preserve"> </w:t>
      </w:r>
      <w:r w:rsidR="00A76CD2" w:rsidRPr="00A76CD2">
        <w:rPr>
          <w:rFonts w:ascii="Arial" w:eastAsia="Arial" w:hAnsi="Arial" w:cs="Arial"/>
          <w:sz w:val="20"/>
          <w:szCs w:val="20"/>
        </w:rPr>
        <w:t>societal pressure</w:t>
      </w:r>
      <w:r w:rsidR="00054EF2">
        <w:rPr>
          <w:rFonts w:ascii="Arial" w:eastAsia="Arial" w:hAnsi="Arial" w:cs="Arial"/>
          <w:sz w:val="20"/>
          <w:szCs w:val="20"/>
        </w:rPr>
        <w:t xml:space="preserve"> and the</w:t>
      </w:r>
      <w:r w:rsidR="00A76CD2">
        <w:rPr>
          <w:rFonts w:ascii="Arial" w:eastAsia="Arial" w:hAnsi="Arial" w:cs="Arial"/>
          <w:sz w:val="20"/>
          <w:szCs w:val="20"/>
        </w:rPr>
        <w:t xml:space="preserve"> </w:t>
      </w:r>
      <w:r w:rsidR="00A76CD2" w:rsidRPr="00A76CD2">
        <w:rPr>
          <w:rFonts w:ascii="Arial" w:eastAsia="Arial" w:hAnsi="Arial" w:cs="Arial"/>
          <w:sz w:val="20"/>
          <w:szCs w:val="20"/>
        </w:rPr>
        <w:t>rise of conservative Muslim</w:t>
      </w:r>
      <w:r w:rsidR="00A76CD2">
        <w:rPr>
          <w:rFonts w:ascii="Arial" w:eastAsia="Arial" w:hAnsi="Arial" w:cs="Arial"/>
          <w:sz w:val="20"/>
          <w:szCs w:val="20"/>
        </w:rPr>
        <w:t xml:space="preserve"> </w:t>
      </w:r>
      <w:r w:rsidR="00A76CD2" w:rsidRPr="00A76CD2">
        <w:rPr>
          <w:rFonts w:ascii="Arial" w:eastAsia="Arial" w:hAnsi="Arial" w:cs="Arial"/>
          <w:sz w:val="20"/>
          <w:szCs w:val="20"/>
        </w:rPr>
        <w:t>groups that are reportedly</w:t>
      </w:r>
      <w:r w:rsidR="00A76CD2">
        <w:rPr>
          <w:rFonts w:ascii="Arial" w:eastAsia="Arial" w:hAnsi="Arial" w:cs="Arial"/>
          <w:sz w:val="20"/>
          <w:szCs w:val="20"/>
        </w:rPr>
        <w:t xml:space="preserve"> </w:t>
      </w:r>
      <w:r w:rsidR="00A76CD2" w:rsidRPr="00A76CD2">
        <w:rPr>
          <w:rFonts w:ascii="Arial" w:eastAsia="Arial" w:hAnsi="Arial" w:cs="Arial"/>
          <w:sz w:val="20"/>
          <w:szCs w:val="20"/>
        </w:rPr>
        <w:t>conducting campaigns</w:t>
      </w:r>
      <w:r w:rsidR="00A76CD2">
        <w:rPr>
          <w:rFonts w:ascii="Arial" w:eastAsia="Arial" w:hAnsi="Arial" w:cs="Arial"/>
          <w:sz w:val="20"/>
          <w:szCs w:val="20"/>
        </w:rPr>
        <w:t xml:space="preserve"> </w:t>
      </w:r>
      <w:r w:rsidR="00A76CD2" w:rsidRPr="00A76CD2">
        <w:rPr>
          <w:rFonts w:ascii="Arial" w:eastAsia="Arial" w:hAnsi="Arial" w:cs="Arial"/>
          <w:sz w:val="20"/>
          <w:szCs w:val="20"/>
        </w:rPr>
        <w:t>“intending to ‘safeguard</w:t>
      </w:r>
      <w:r w:rsidR="00A76CD2">
        <w:rPr>
          <w:rFonts w:ascii="Arial" w:eastAsia="Arial" w:hAnsi="Arial" w:cs="Arial"/>
          <w:sz w:val="20"/>
          <w:szCs w:val="20"/>
        </w:rPr>
        <w:t xml:space="preserve"> </w:t>
      </w:r>
      <w:r w:rsidR="00A76CD2" w:rsidRPr="00A76CD2">
        <w:rPr>
          <w:rFonts w:ascii="Arial" w:eastAsia="Arial" w:hAnsi="Arial" w:cs="Arial"/>
          <w:sz w:val="20"/>
          <w:szCs w:val="20"/>
        </w:rPr>
        <w:t>tradition’ by promoting</w:t>
      </w:r>
      <w:r w:rsidR="00A76CD2">
        <w:rPr>
          <w:rFonts w:ascii="Arial" w:eastAsia="Arial" w:hAnsi="Arial" w:cs="Arial"/>
          <w:sz w:val="20"/>
          <w:szCs w:val="20"/>
        </w:rPr>
        <w:t xml:space="preserve"> </w:t>
      </w:r>
      <w:r w:rsidR="00A76CD2" w:rsidRPr="00A76CD2">
        <w:rPr>
          <w:rFonts w:ascii="Arial" w:eastAsia="Arial" w:hAnsi="Arial" w:cs="Arial"/>
          <w:sz w:val="20"/>
          <w:szCs w:val="20"/>
        </w:rPr>
        <w:t>regressive measures</w:t>
      </w:r>
      <w:r w:rsidR="00A76CD2">
        <w:rPr>
          <w:rFonts w:ascii="Arial" w:eastAsia="Arial" w:hAnsi="Arial" w:cs="Arial"/>
          <w:sz w:val="20"/>
          <w:szCs w:val="20"/>
        </w:rPr>
        <w:t xml:space="preserve"> </w:t>
      </w:r>
      <w:r w:rsidR="00A76CD2" w:rsidRPr="00A76CD2">
        <w:rPr>
          <w:rFonts w:ascii="Arial" w:eastAsia="Arial" w:hAnsi="Arial" w:cs="Arial"/>
          <w:sz w:val="20"/>
          <w:szCs w:val="20"/>
        </w:rPr>
        <w:t>regarding women’s rights”,</w:t>
      </w:r>
      <w:r w:rsidR="00A76CD2">
        <w:rPr>
          <w:rFonts w:ascii="Arial" w:eastAsia="Arial" w:hAnsi="Arial" w:cs="Arial"/>
          <w:sz w:val="20"/>
          <w:szCs w:val="20"/>
        </w:rPr>
        <w:t xml:space="preserve"> </w:t>
      </w:r>
      <w:r w:rsidR="00A76CD2" w:rsidRPr="00A76CD2">
        <w:rPr>
          <w:rFonts w:ascii="Arial" w:eastAsia="Arial" w:hAnsi="Arial" w:cs="Arial"/>
          <w:sz w:val="20"/>
          <w:szCs w:val="20"/>
        </w:rPr>
        <w:t>may serve as a restrictive</w:t>
      </w:r>
      <w:r w:rsidR="00A76CD2">
        <w:rPr>
          <w:rFonts w:ascii="Arial" w:eastAsia="Arial" w:hAnsi="Arial" w:cs="Arial"/>
          <w:sz w:val="20"/>
          <w:szCs w:val="20"/>
        </w:rPr>
        <w:t xml:space="preserve"> </w:t>
      </w:r>
      <w:r w:rsidR="00A76CD2" w:rsidRPr="00A76CD2">
        <w:rPr>
          <w:rFonts w:ascii="Arial" w:eastAsia="Arial" w:hAnsi="Arial" w:cs="Arial"/>
          <w:sz w:val="20"/>
          <w:szCs w:val="20"/>
        </w:rPr>
        <w:t>force in this regard.</w:t>
      </w:r>
      <w:r w:rsidR="00A76CD2">
        <w:rPr>
          <w:rStyle w:val="FootnoteReference"/>
          <w:rFonts w:ascii="Arial" w:eastAsia="Arial" w:hAnsi="Arial" w:cs="Arial"/>
          <w:sz w:val="20"/>
          <w:szCs w:val="20"/>
        </w:rPr>
        <w:footnoteReference w:id="7"/>
      </w:r>
    </w:p>
    <w:p w14:paraId="5440D89A" w14:textId="77777777" w:rsidR="00A76CD2" w:rsidRPr="009E1C67" w:rsidRDefault="00A76CD2" w:rsidP="00A76CD2">
      <w:pPr>
        <w:jc w:val="both"/>
        <w:rPr>
          <w:rFonts w:ascii="Arial" w:eastAsia="Arial" w:hAnsi="Arial" w:cs="Arial"/>
          <w:sz w:val="20"/>
          <w:szCs w:val="20"/>
        </w:rPr>
      </w:pPr>
    </w:p>
    <w:p w14:paraId="05391416" w14:textId="02E54C05" w:rsidR="007237F8" w:rsidRDefault="0058651B" w:rsidP="009E1C67">
      <w:pPr>
        <w:jc w:val="both"/>
        <w:rPr>
          <w:rFonts w:ascii="Arial" w:eastAsia="Arial" w:hAnsi="Arial" w:cs="Arial"/>
          <w:sz w:val="20"/>
          <w:szCs w:val="20"/>
          <w:lang w:val="en"/>
        </w:rPr>
      </w:pPr>
      <w:r>
        <w:rPr>
          <w:rFonts w:ascii="Arial" w:eastAsia="Arial" w:hAnsi="Arial" w:cs="Arial"/>
          <w:sz w:val="20"/>
          <w:szCs w:val="20"/>
          <w:lang w:val="en"/>
        </w:rPr>
        <w:t>T</w:t>
      </w:r>
      <w:r w:rsidR="002B4F37" w:rsidRPr="002B4F37">
        <w:rPr>
          <w:rFonts w:ascii="Arial" w:eastAsia="Arial" w:hAnsi="Arial" w:cs="Arial"/>
          <w:sz w:val="20"/>
          <w:szCs w:val="20"/>
          <w:lang w:val="en"/>
        </w:rPr>
        <w:t>o achieve gender equality, Tunisian women still continue their struggle for equality in inheritance laws, for more recognition of unpaid female homeworkers, for more structural equality in economic and social life.</w:t>
      </w:r>
    </w:p>
    <w:p w14:paraId="33403382" w14:textId="77777777" w:rsidR="00233AE3" w:rsidRPr="002F7D20" w:rsidRDefault="00233AE3" w:rsidP="00E26F24">
      <w:pPr>
        <w:rPr>
          <w:rFonts w:ascii="Arial" w:eastAsia="Arial" w:hAnsi="Arial" w:cs="Arial"/>
          <w:sz w:val="20"/>
          <w:szCs w:val="20"/>
        </w:rPr>
      </w:pPr>
    </w:p>
    <w:p w14:paraId="6E2E447A" w14:textId="77777777" w:rsidR="00E26F24" w:rsidRPr="00742EE1" w:rsidRDefault="00E26F24" w:rsidP="00892FA5">
      <w:pPr>
        <w:pStyle w:val="Heading1"/>
      </w:pPr>
      <w:bookmarkStart w:id="8" w:name="_Toc526513933"/>
      <w:bookmarkStart w:id="9" w:name="_Toc103472504"/>
      <w:bookmarkStart w:id="10" w:name="_Toc124196199"/>
      <w:r w:rsidRPr="00742EE1">
        <w:t xml:space="preserve">C. </w:t>
      </w:r>
      <w:bookmarkEnd w:id="8"/>
      <w:r>
        <w:t>KEY ISSUES AND RECOMMENDATIONS</w:t>
      </w:r>
      <w:bookmarkEnd w:id="9"/>
      <w:bookmarkEnd w:id="10"/>
      <w:r w:rsidRPr="00742EE1">
        <w:t xml:space="preserve"> </w:t>
      </w:r>
    </w:p>
    <w:p w14:paraId="00060093" w14:textId="77777777" w:rsidR="00E26F24" w:rsidRPr="00C70995" w:rsidRDefault="00E26F24" w:rsidP="00E26F24">
      <w:bookmarkStart w:id="11" w:name="_2et92p0" w:colFirst="0" w:colLast="0"/>
      <w:bookmarkStart w:id="12" w:name="_Toc526513939"/>
      <w:bookmarkEnd w:id="11"/>
    </w:p>
    <w:p w14:paraId="0ECDF60E" w14:textId="448BBD73" w:rsidR="00E26F24" w:rsidRPr="00191FBF" w:rsidRDefault="007C55CD" w:rsidP="00B44210">
      <w:pPr>
        <w:pStyle w:val="Heading2"/>
        <w:rPr>
          <w:i/>
          <w:iCs/>
        </w:rPr>
      </w:pPr>
      <w:bookmarkStart w:id="13" w:name="_Toc103472505"/>
      <w:bookmarkStart w:id="14" w:name="_Toc124196200"/>
      <w:r>
        <w:t>Spousal Inequality</w:t>
      </w:r>
      <w:r w:rsidR="00C7074D">
        <w:tab/>
      </w:r>
      <w:r w:rsidR="00C7074D">
        <w:tab/>
      </w:r>
      <w:r w:rsidR="00C7074D">
        <w:tab/>
      </w:r>
      <w:r w:rsidR="00C7074D">
        <w:tab/>
      </w:r>
      <w:r>
        <w:tab/>
      </w:r>
      <w:r w:rsidR="00F266AC" w:rsidRPr="00191FBF">
        <w:tab/>
      </w:r>
      <w:r w:rsidR="00F266AC" w:rsidRPr="00191FBF">
        <w:tab/>
        <w:t xml:space="preserve">   Article</w:t>
      </w:r>
      <w:r w:rsidR="00191FBF">
        <w:t>s 2,</w:t>
      </w:r>
      <w:r w:rsidR="00F266AC" w:rsidRPr="00191FBF">
        <w:t xml:space="preserve"> 16</w:t>
      </w:r>
      <w:bookmarkEnd w:id="13"/>
      <w:bookmarkEnd w:id="14"/>
    </w:p>
    <w:p w14:paraId="15DCE2BD" w14:textId="77777777" w:rsidR="00191FBF" w:rsidRDefault="00191FBF" w:rsidP="00C7074D">
      <w:pPr>
        <w:autoSpaceDE w:val="0"/>
        <w:autoSpaceDN w:val="0"/>
        <w:adjustRightInd w:val="0"/>
        <w:jc w:val="both"/>
        <w:rPr>
          <w:sz w:val="20"/>
          <w:szCs w:val="20"/>
        </w:rPr>
      </w:pPr>
    </w:p>
    <w:p w14:paraId="1A77FBAB" w14:textId="218D50BE" w:rsidR="002F7FF2" w:rsidRDefault="002F7FF2" w:rsidP="00C7074D">
      <w:pPr>
        <w:autoSpaceDE w:val="0"/>
        <w:autoSpaceDN w:val="0"/>
        <w:adjustRightInd w:val="0"/>
        <w:jc w:val="both"/>
        <w:rPr>
          <w:sz w:val="20"/>
          <w:szCs w:val="20"/>
        </w:rPr>
      </w:pPr>
      <w:r w:rsidRPr="002F7FF2">
        <w:rPr>
          <w:sz w:val="20"/>
          <w:szCs w:val="20"/>
        </w:rPr>
        <w:t>Despite the equality guarantee of</w:t>
      </w:r>
      <w:r>
        <w:rPr>
          <w:sz w:val="20"/>
          <w:szCs w:val="20"/>
        </w:rPr>
        <w:t xml:space="preserve"> </w:t>
      </w:r>
      <w:r w:rsidRPr="002F7FF2">
        <w:rPr>
          <w:sz w:val="20"/>
          <w:szCs w:val="20"/>
        </w:rPr>
        <w:t>Article 21 of the Constitution, the</w:t>
      </w:r>
      <w:r>
        <w:rPr>
          <w:sz w:val="20"/>
          <w:szCs w:val="20"/>
        </w:rPr>
        <w:t xml:space="preserve"> </w:t>
      </w:r>
      <w:r w:rsidR="00C7074D">
        <w:rPr>
          <w:sz w:val="20"/>
          <w:szCs w:val="20"/>
        </w:rPr>
        <w:t>Personal Status Code</w:t>
      </w:r>
      <w:r w:rsidRPr="002F7FF2">
        <w:rPr>
          <w:sz w:val="20"/>
          <w:szCs w:val="20"/>
        </w:rPr>
        <w:t xml:space="preserve"> provides for a marital</w:t>
      </w:r>
      <w:r>
        <w:rPr>
          <w:sz w:val="20"/>
          <w:szCs w:val="20"/>
        </w:rPr>
        <w:t xml:space="preserve"> </w:t>
      </w:r>
      <w:r w:rsidRPr="002F7FF2">
        <w:rPr>
          <w:sz w:val="20"/>
          <w:szCs w:val="20"/>
        </w:rPr>
        <w:t>framework based on ‘reciprocal’</w:t>
      </w:r>
      <w:r>
        <w:rPr>
          <w:sz w:val="20"/>
          <w:szCs w:val="20"/>
        </w:rPr>
        <w:t xml:space="preserve"> </w:t>
      </w:r>
      <w:r w:rsidRPr="002F7FF2">
        <w:rPr>
          <w:sz w:val="20"/>
          <w:szCs w:val="20"/>
        </w:rPr>
        <w:t>or ‘complementary’ rights (as</w:t>
      </w:r>
      <w:r>
        <w:rPr>
          <w:sz w:val="20"/>
          <w:szCs w:val="20"/>
        </w:rPr>
        <w:t xml:space="preserve"> </w:t>
      </w:r>
      <w:r w:rsidRPr="002F7FF2">
        <w:rPr>
          <w:sz w:val="20"/>
          <w:szCs w:val="20"/>
        </w:rPr>
        <w:t>opposed to ‘equal’ rights)</w:t>
      </w:r>
      <w:r>
        <w:rPr>
          <w:sz w:val="20"/>
          <w:szCs w:val="20"/>
        </w:rPr>
        <w:t xml:space="preserve"> </w:t>
      </w:r>
      <w:r w:rsidRPr="002F7FF2">
        <w:rPr>
          <w:sz w:val="20"/>
          <w:szCs w:val="20"/>
        </w:rPr>
        <w:t>between the two spouses that in</w:t>
      </w:r>
      <w:r>
        <w:rPr>
          <w:sz w:val="20"/>
          <w:szCs w:val="20"/>
        </w:rPr>
        <w:t xml:space="preserve"> </w:t>
      </w:r>
      <w:r w:rsidRPr="002F7FF2">
        <w:rPr>
          <w:sz w:val="20"/>
          <w:szCs w:val="20"/>
        </w:rPr>
        <w:t>turn is based on the concept of</w:t>
      </w:r>
      <w:r>
        <w:rPr>
          <w:sz w:val="20"/>
          <w:szCs w:val="20"/>
        </w:rPr>
        <w:t xml:space="preserve"> </w:t>
      </w:r>
      <w:r w:rsidRPr="002F7FF2">
        <w:rPr>
          <w:sz w:val="20"/>
          <w:szCs w:val="20"/>
        </w:rPr>
        <w:t>male guardianship over women</w:t>
      </w:r>
      <w:r>
        <w:rPr>
          <w:sz w:val="20"/>
          <w:szCs w:val="20"/>
        </w:rPr>
        <w:t xml:space="preserve"> </w:t>
      </w:r>
      <w:r w:rsidRPr="002F7FF2">
        <w:rPr>
          <w:sz w:val="20"/>
          <w:szCs w:val="20"/>
        </w:rPr>
        <w:t>and children.</w:t>
      </w:r>
      <w:r>
        <w:rPr>
          <w:rStyle w:val="FootnoteReference"/>
          <w:sz w:val="20"/>
          <w:szCs w:val="20"/>
        </w:rPr>
        <w:footnoteReference w:id="8"/>
      </w:r>
      <w:r>
        <w:rPr>
          <w:sz w:val="20"/>
          <w:szCs w:val="20"/>
        </w:rPr>
        <w:t xml:space="preserve"> </w:t>
      </w:r>
      <w:r w:rsidRPr="002F7FF2">
        <w:rPr>
          <w:sz w:val="20"/>
          <w:szCs w:val="20"/>
        </w:rPr>
        <w:t>Article 23 of the</w:t>
      </w:r>
      <w:r>
        <w:rPr>
          <w:sz w:val="20"/>
          <w:szCs w:val="20"/>
        </w:rPr>
        <w:t xml:space="preserve"> </w:t>
      </w:r>
      <w:r w:rsidRPr="002F7FF2">
        <w:rPr>
          <w:sz w:val="20"/>
          <w:szCs w:val="20"/>
        </w:rPr>
        <w:t>PSC states that</w:t>
      </w:r>
      <w:r>
        <w:rPr>
          <w:rStyle w:val="FootnoteReference"/>
          <w:sz w:val="20"/>
          <w:szCs w:val="20"/>
        </w:rPr>
        <w:footnoteReference w:id="9"/>
      </w:r>
      <w:r>
        <w:rPr>
          <w:sz w:val="20"/>
          <w:szCs w:val="20"/>
        </w:rPr>
        <w:t xml:space="preserve"> t</w:t>
      </w:r>
      <w:r w:rsidRPr="002F7FF2">
        <w:rPr>
          <w:sz w:val="20"/>
          <w:szCs w:val="20"/>
        </w:rPr>
        <w:t>he husband, as head of</w:t>
      </w:r>
      <w:r>
        <w:rPr>
          <w:sz w:val="20"/>
          <w:szCs w:val="20"/>
        </w:rPr>
        <w:t xml:space="preserve"> </w:t>
      </w:r>
      <w:r w:rsidRPr="002F7FF2">
        <w:rPr>
          <w:sz w:val="20"/>
          <w:szCs w:val="20"/>
        </w:rPr>
        <w:t>the family, must provide</w:t>
      </w:r>
      <w:r>
        <w:rPr>
          <w:sz w:val="20"/>
          <w:szCs w:val="20"/>
        </w:rPr>
        <w:t xml:space="preserve"> </w:t>
      </w:r>
      <w:r w:rsidRPr="002F7FF2">
        <w:rPr>
          <w:sz w:val="20"/>
          <w:szCs w:val="20"/>
        </w:rPr>
        <w:t xml:space="preserve">for the </w:t>
      </w:r>
      <w:r w:rsidRPr="002F7FF2">
        <w:rPr>
          <w:sz w:val="20"/>
          <w:szCs w:val="20"/>
        </w:rPr>
        <w:lastRenderedPageBreak/>
        <w:t>needs of his wife</w:t>
      </w:r>
      <w:r>
        <w:rPr>
          <w:sz w:val="20"/>
          <w:szCs w:val="20"/>
        </w:rPr>
        <w:t xml:space="preserve"> </w:t>
      </w:r>
      <w:r w:rsidRPr="002F7FF2">
        <w:rPr>
          <w:sz w:val="20"/>
          <w:szCs w:val="20"/>
        </w:rPr>
        <w:t>and children based on his</w:t>
      </w:r>
      <w:r>
        <w:rPr>
          <w:sz w:val="20"/>
          <w:szCs w:val="20"/>
        </w:rPr>
        <w:t xml:space="preserve"> </w:t>
      </w:r>
      <w:r w:rsidRPr="002F7FF2">
        <w:rPr>
          <w:sz w:val="20"/>
          <w:szCs w:val="20"/>
        </w:rPr>
        <w:t>financial means. The wife</w:t>
      </w:r>
      <w:r>
        <w:rPr>
          <w:sz w:val="20"/>
          <w:szCs w:val="20"/>
        </w:rPr>
        <w:t xml:space="preserve"> </w:t>
      </w:r>
      <w:r w:rsidRPr="002F7FF2">
        <w:rPr>
          <w:sz w:val="20"/>
          <w:szCs w:val="20"/>
        </w:rPr>
        <w:t>must also contribute if</w:t>
      </w:r>
      <w:r>
        <w:rPr>
          <w:sz w:val="20"/>
          <w:szCs w:val="20"/>
        </w:rPr>
        <w:t xml:space="preserve"> </w:t>
      </w:r>
      <w:r w:rsidRPr="002F7FF2">
        <w:rPr>
          <w:sz w:val="20"/>
          <w:szCs w:val="20"/>
        </w:rPr>
        <w:t>she has the financial</w:t>
      </w:r>
      <w:r>
        <w:rPr>
          <w:sz w:val="20"/>
          <w:szCs w:val="20"/>
        </w:rPr>
        <w:t xml:space="preserve"> </w:t>
      </w:r>
      <w:r w:rsidRPr="002F7FF2">
        <w:rPr>
          <w:sz w:val="20"/>
          <w:szCs w:val="20"/>
        </w:rPr>
        <w:t>means to do so</w:t>
      </w:r>
      <w:r>
        <w:rPr>
          <w:sz w:val="20"/>
          <w:szCs w:val="20"/>
        </w:rPr>
        <w:t>.</w:t>
      </w:r>
    </w:p>
    <w:p w14:paraId="4C5A7CEE" w14:textId="77777777" w:rsidR="002F7FF2" w:rsidRDefault="002F7FF2" w:rsidP="00C7074D">
      <w:pPr>
        <w:autoSpaceDE w:val="0"/>
        <w:autoSpaceDN w:val="0"/>
        <w:adjustRightInd w:val="0"/>
        <w:jc w:val="both"/>
        <w:rPr>
          <w:sz w:val="20"/>
          <w:szCs w:val="20"/>
        </w:rPr>
      </w:pPr>
    </w:p>
    <w:p w14:paraId="7690ECFE" w14:textId="78AC818D" w:rsidR="002F7FF2" w:rsidRDefault="00C7074D" w:rsidP="00C7074D">
      <w:pPr>
        <w:autoSpaceDE w:val="0"/>
        <w:autoSpaceDN w:val="0"/>
        <w:adjustRightInd w:val="0"/>
        <w:jc w:val="both"/>
        <w:rPr>
          <w:sz w:val="20"/>
          <w:szCs w:val="20"/>
        </w:rPr>
      </w:pPr>
      <w:r w:rsidRPr="00C7074D">
        <w:rPr>
          <w:sz w:val="20"/>
          <w:szCs w:val="20"/>
        </w:rPr>
        <w:t>The PSC was amended in</w:t>
      </w:r>
      <w:r>
        <w:rPr>
          <w:sz w:val="20"/>
          <w:szCs w:val="20"/>
        </w:rPr>
        <w:t xml:space="preserve"> </w:t>
      </w:r>
      <w:r w:rsidRPr="00C7074D">
        <w:rPr>
          <w:sz w:val="20"/>
          <w:szCs w:val="20"/>
        </w:rPr>
        <w:t>1993 to remove the wife’s</w:t>
      </w:r>
      <w:r>
        <w:rPr>
          <w:sz w:val="20"/>
          <w:szCs w:val="20"/>
        </w:rPr>
        <w:t xml:space="preserve"> </w:t>
      </w:r>
      <w:r w:rsidRPr="00C7074D">
        <w:rPr>
          <w:sz w:val="20"/>
          <w:szCs w:val="20"/>
        </w:rPr>
        <w:t>duty to obey her husband in</w:t>
      </w:r>
      <w:r>
        <w:rPr>
          <w:sz w:val="20"/>
          <w:szCs w:val="20"/>
        </w:rPr>
        <w:t xml:space="preserve"> </w:t>
      </w:r>
      <w:r w:rsidRPr="00C7074D">
        <w:rPr>
          <w:sz w:val="20"/>
          <w:szCs w:val="20"/>
        </w:rPr>
        <w:t>1993.</w:t>
      </w:r>
      <w:r>
        <w:rPr>
          <w:sz w:val="20"/>
          <w:szCs w:val="20"/>
        </w:rPr>
        <w:t xml:space="preserve"> </w:t>
      </w:r>
      <w:r w:rsidRPr="00C7074D">
        <w:rPr>
          <w:sz w:val="20"/>
          <w:szCs w:val="20"/>
        </w:rPr>
        <w:t>Nevertheless,</w:t>
      </w:r>
      <w:r>
        <w:rPr>
          <w:sz w:val="20"/>
          <w:szCs w:val="20"/>
        </w:rPr>
        <w:t xml:space="preserve"> </w:t>
      </w:r>
      <w:r w:rsidRPr="00C7074D">
        <w:rPr>
          <w:sz w:val="20"/>
          <w:szCs w:val="20"/>
        </w:rPr>
        <w:t>according to the UN</w:t>
      </w:r>
      <w:r>
        <w:rPr>
          <w:sz w:val="20"/>
          <w:szCs w:val="20"/>
        </w:rPr>
        <w:t xml:space="preserve"> </w:t>
      </w:r>
      <w:r w:rsidRPr="00C7074D">
        <w:rPr>
          <w:sz w:val="20"/>
          <w:szCs w:val="20"/>
        </w:rPr>
        <w:t>Working Group on the</w:t>
      </w:r>
      <w:r>
        <w:rPr>
          <w:sz w:val="20"/>
          <w:szCs w:val="20"/>
        </w:rPr>
        <w:t xml:space="preserve"> </w:t>
      </w:r>
      <w:r w:rsidRPr="00C7074D">
        <w:rPr>
          <w:sz w:val="20"/>
          <w:szCs w:val="20"/>
        </w:rPr>
        <w:t>Issue of Discrimination</w:t>
      </w:r>
      <w:r>
        <w:rPr>
          <w:sz w:val="20"/>
          <w:szCs w:val="20"/>
        </w:rPr>
        <w:t xml:space="preserve"> </w:t>
      </w:r>
      <w:r w:rsidRPr="00C7074D">
        <w:rPr>
          <w:sz w:val="20"/>
          <w:szCs w:val="20"/>
        </w:rPr>
        <w:t>Against Women in Law and</w:t>
      </w:r>
      <w:r>
        <w:rPr>
          <w:sz w:val="20"/>
          <w:szCs w:val="20"/>
        </w:rPr>
        <w:t xml:space="preserve"> </w:t>
      </w:r>
      <w:r w:rsidRPr="00C7074D">
        <w:rPr>
          <w:sz w:val="20"/>
          <w:szCs w:val="20"/>
        </w:rPr>
        <w:t>in Practice (UN Working</w:t>
      </w:r>
      <w:r>
        <w:rPr>
          <w:sz w:val="20"/>
          <w:szCs w:val="20"/>
        </w:rPr>
        <w:t xml:space="preserve"> </w:t>
      </w:r>
      <w:r w:rsidRPr="00C7074D">
        <w:rPr>
          <w:sz w:val="20"/>
          <w:szCs w:val="20"/>
        </w:rPr>
        <w:t>Group), the law still</w:t>
      </w:r>
      <w:r>
        <w:rPr>
          <w:sz w:val="20"/>
          <w:szCs w:val="20"/>
        </w:rPr>
        <w:t xml:space="preserve"> </w:t>
      </w:r>
      <w:r w:rsidRPr="00C7074D">
        <w:rPr>
          <w:sz w:val="20"/>
          <w:szCs w:val="20"/>
        </w:rPr>
        <w:t>“constitutes discrimination</w:t>
      </w:r>
      <w:r>
        <w:rPr>
          <w:sz w:val="20"/>
          <w:szCs w:val="20"/>
        </w:rPr>
        <w:t xml:space="preserve"> </w:t>
      </w:r>
      <w:r w:rsidRPr="00C7074D">
        <w:rPr>
          <w:sz w:val="20"/>
          <w:szCs w:val="20"/>
        </w:rPr>
        <w:t>which violates the principle</w:t>
      </w:r>
      <w:r>
        <w:rPr>
          <w:sz w:val="20"/>
          <w:szCs w:val="20"/>
        </w:rPr>
        <w:t xml:space="preserve"> </w:t>
      </w:r>
      <w:r w:rsidRPr="00C7074D">
        <w:rPr>
          <w:sz w:val="20"/>
          <w:szCs w:val="20"/>
        </w:rPr>
        <w:t>of equality” as husbands</w:t>
      </w:r>
      <w:r>
        <w:rPr>
          <w:sz w:val="20"/>
          <w:szCs w:val="20"/>
        </w:rPr>
        <w:t xml:space="preserve"> </w:t>
      </w:r>
      <w:r w:rsidRPr="00C7074D">
        <w:rPr>
          <w:sz w:val="20"/>
          <w:szCs w:val="20"/>
        </w:rPr>
        <w:t>remain the legal heads of</w:t>
      </w:r>
      <w:r>
        <w:rPr>
          <w:sz w:val="20"/>
          <w:szCs w:val="20"/>
        </w:rPr>
        <w:t xml:space="preserve"> </w:t>
      </w:r>
      <w:r w:rsidRPr="00C7074D">
        <w:rPr>
          <w:sz w:val="20"/>
          <w:szCs w:val="20"/>
        </w:rPr>
        <w:t>households. This is despite</w:t>
      </w:r>
      <w:r>
        <w:rPr>
          <w:sz w:val="20"/>
          <w:szCs w:val="20"/>
        </w:rPr>
        <w:t xml:space="preserve"> </w:t>
      </w:r>
      <w:r w:rsidRPr="00C7074D">
        <w:rPr>
          <w:sz w:val="20"/>
          <w:szCs w:val="20"/>
        </w:rPr>
        <w:t>the role of the husband</w:t>
      </w:r>
      <w:r>
        <w:rPr>
          <w:sz w:val="20"/>
          <w:szCs w:val="20"/>
        </w:rPr>
        <w:t xml:space="preserve"> </w:t>
      </w:r>
      <w:r w:rsidRPr="00C7074D">
        <w:rPr>
          <w:sz w:val="20"/>
          <w:szCs w:val="20"/>
        </w:rPr>
        <w:t>being confined to the</w:t>
      </w:r>
      <w:r>
        <w:rPr>
          <w:sz w:val="20"/>
          <w:szCs w:val="20"/>
        </w:rPr>
        <w:t xml:space="preserve"> </w:t>
      </w:r>
      <w:r w:rsidRPr="00C7074D">
        <w:rPr>
          <w:sz w:val="20"/>
          <w:szCs w:val="20"/>
        </w:rPr>
        <w:t>maintenance obligation of</w:t>
      </w:r>
      <w:r>
        <w:rPr>
          <w:sz w:val="20"/>
          <w:szCs w:val="20"/>
        </w:rPr>
        <w:t xml:space="preserve"> </w:t>
      </w:r>
      <w:r w:rsidRPr="00C7074D">
        <w:rPr>
          <w:sz w:val="20"/>
          <w:szCs w:val="20"/>
        </w:rPr>
        <w:t>his spouse and children</w:t>
      </w:r>
      <w:r>
        <w:rPr>
          <w:sz w:val="20"/>
          <w:szCs w:val="20"/>
        </w:rPr>
        <w:t xml:space="preserve"> </w:t>
      </w:r>
      <w:r w:rsidRPr="00C7074D">
        <w:rPr>
          <w:sz w:val="20"/>
          <w:szCs w:val="20"/>
        </w:rPr>
        <w:t>because the status that is</w:t>
      </w:r>
      <w:r>
        <w:rPr>
          <w:sz w:val="20"/>
          <w:szCs w:val="20"/>
        </w:rPr>
        <w:t xml:space="preserve"> </w:t>
      </w:r>
      <w:r w:rsidRPr="00C7074D">
        <w:rPr>
          <w:sz w:val="20"/>
          <w:szCs w:val="20"/>
        </w:rPr>
        <w:t>granted to the husband and</w:t>
      </w:r>
      <w:r>
        <w:rPr>
          <w:sz w:val="20"/>
          <w:szCs w:val="20"/>
        </w:rPr>
        <w:t xml:space="preserve"> </w:t>
      </w:r>
      <w:r w:rsidRPr="00C7074D">
        <w:rPr>
          <w:sz w:val="20"/>
          <w:szCs w:val="20"/>
        </w:rPr>
        <w:t>father and the notion of</w:t>
      </w:r>
      <w:r>
        <w:rPr>
          <w:sz w:val="20"/>
          <w:szCs w:val="20"/>
        </w:rPr>
        <w:t xml:space="preserve"> </w:t>
      </w:r>
      <w:r w:rsidRPr="00C7074D">
        <w:rPr>
          <w:sz w:val="20"/>
          <w:szCs w:val="20"/>
        </w:rPr>
        <w:t>customs and traditional</w:t>
      </w:r>
      <w:r>
        <w:rPr>
          <w:sz w:val="20"/>
          <w:szCs w:val="20"/>
        </w:rPr>
        <w:t xml:space="preserve"> </w:t>
      </w:r>
      <w:r w:rsidRPr="00C7074D">
        <w:rPr>
          <w:sz w:val="20"/>
          <w:szCs w:val="20"/>
        </w:rPr>
        <w:t>practices give rise to</w:t>
      </w:r>
      <w:r>
        <w:rPr>
          <w:sz w:val="20"/>
          <w:szCs w:val="20"/>
        </w:rPr>
        <w:t xml:space="preserve"> </w:t>
      </w:r>
      <w:r w:rsidRPr="00C7074D">
        <w:rPr>
          <w:sz w:val="20"/>
          <w:szCs w:val="20"/>
        </w:rPr>
        <w:t>certain abuses, in particular</w:t>
      </w:r>
      <w:r>
        <w:rPr>
          <w:sz w:val="20"/>
          <w:szCs w:val="20"/>
        </w:rPr>
        <w:t xml:space="preserve"> </w:t>
      </w:r>
      <w:r w:rsidRPr="00C7074D">
        <w:rPr>
          <w:sz w:val="20"/>
          <w:szCs w:val="20"/>
        </w:rPr>
        <w:t>as regards the choice of</w:t>
      </w:r>
      <w:r>
        <w:rPr>
          <w:sz w:val="20"/>
          <w:szCs w:val="20"/>
        </w:rPr>
        <w:t xml:space="preserve"> </w:t>
      </w:r>
      <w:r w:rsidRPr="00C7074D">
        <w:rPr>
          <w:sz w:val="20"/>
          <w:szCs w:val="20"/>
        </w:rPr>
        <w:t>domicile.</w:t>
      </w:r>
      <w:r>
        <w:rPr>
          <w:rStyle w:val="FootnoteReference"/>
          <w:sz w:val="20"/>
          <w:szCs w:val="20"/>
        </w:rPr>
        <w:footnoteReference w:id="10"/>
      </w:r>
    </w:p>
    <w:p w14:paraId="0FA3EADD" w14:textId="1E75D7F6" w:rsidR="00C7074D" w:rsidRDefault="00C7074D" w:rsidP="00C7074D">
      <w:pPr>
        <w:autoSpaceDE w:val="0"/>
        <w:autoSpaceDN w:val="0"/>
        <w:adjustRightInd w:val="0"/>
        <w:jc w:val="both"/>
        <w:rPr>
          <w:sz w:val="20"/>
          <w:szCs w:val="20"/>
        </w:rPr>
      </w:pPr>
    </w:p>
    <w:p w14:paraId="585F8AD1" w14:textId="67190B8B" w:rsidR="00256EFE" w:rsidRDefault="00C7074D" w:rsidP="00654938">
      <w:pPr>
        <w:autoSpaceDE w:val="0"/>
        <w:autoSpaceDN w:val="0"/>
        <w:adjustRightInd w:val="0"/>
        <w:jc w:val="both"/>
        <w:rPr>
          <w:sz w:val="20"/>
          <w:szCs w:val="20"/>
        </w:rPr>
      </w:pPr>
      <w:r>
        <w:rPr>
          <w:sz w:val="20"/>
          <w:szCs w:val="20"/>
        </w:rPr>
        <w:t xml:space="preserve">Additionally, while </w:t>
      </w:r>
      <w:r w:rsidRPr="002B4F37">
        <w:rPr>
          <w:rFonts w:ascii="Arial" w:eastAsia="Arial" w:hAnsi="Arial" w:cs="Arial"/>
          <w:sz w:val="20"/>
          <w:szCs w:val="20"/>
          <w:lang w:val="en"/>
        </w:rPr>
        <w:t>mixed marriage for Tunisian women marrying a non-Muslim foreign national</w:t>
      </w:r>
      <w:r>
        <w:rPr>
          <w:rFonts w:ascii="Arial" w:eastAsia="Arial" w:hAnsi="Arial" w:cs="Arial"/>
          <w:sz w:val="20"/>
          <w:szCs w:val="20"/>
          <w:lang w:val="en"/>
        </w:rPr>
        <w:t xml:space="preserve"> was made legal, there </w:t>
      </w:r>
      <w:r>
        <w:rPr>
          <w:sz w:val="20"/>
          <w:szCs w:val="20"/>
        </w:rPr>
        <w:t xml:space="preserve">is a likelihood that </w:t>
      </w:r>
      <w:r w:rsidRPr="00C7074D">
        <w:rPr>
          <w:sz w:val="20"/>
          <w:szCs w:val="20"/>
        </w:rPr>
        <w:t>future spouses might</w:t>
      </w:r>
      <w:r>
        <w:rPr>
          <w:sz w:val="20"/>
          <w:szCs w:val="20"/>
        </w:rPr>
        <w:t xml:space="preserve"> </w:t>
      </w:r>
      <w:r w:rsidRPr="00C7074D">
        <w:rPr>
          <w:sz w:val="20"/>
          <w:szCs w:val="20"/>
        </w:rPr>
        <w:t>face some challenges in</w:t>
      </w:r>
      <w:r>
        <w:rPr>
          <w:sz w:val="20"/>
          <w:szCs w:val="20"/>
        </w:rPr>
        <w:t xml:space="preserve"> </w:t>
      </w:r>
      <w:r w:rsidRPr="00C7074D">
        <w:rPr>
          <w:sz w:val="20"/>
          <w:szCs w:val="20"/>
        </w:rPr>
        <w:t>practice as few public</w:t>
      </w:r>
      <w:r>
        <w:rPr>
          <w:sz w:val="20"/>
          <w:szCs w:val="20"/>
        </w:rPr>
        <w:t xml:space="preserve"> </w:t>
      </w:r>
      <w:r w:rsidRPr="00C7074D">
        <w:rPr>
          <w:sz w:val="20"/>
          <w:szCs w:val="20"/>
        </w:rPr>
        <w:t>officials and notaries still</w:t>
      </w:r>
      <w:r>
        <w:rPr>
          <w:sz w:val="20"/>
          <w:szCs w:val="20"/>
        </w:rPr>
        <w:t xml:space="preserve"> </w:t>
      </w:r>
      <w:r w:rsidRPr="00C7074D">
        <w:rPr>
          <w:sz w:val="20"/>
          <w:szCs w:val="20"/>
        </w:rPr>
        <w:t>refuse to conclude</w:t>
      </w:r>
      <w:r>
        <w:rPr>
          <w:sz w:val="20"/>
          <w:szCs w:val="20"/>
        </w:rPr>
        <w:t xml:space="preserve"> </w:t>
      </w:r>
      <w:r w:rsidRPr="00C7074D">
        <w:rPr>
          <w:sz w:val="20"/>
          <w:szCs w:val="20"/>
        </w:rPr>
        <w:t>marriage contracts between</w:t>
      </w:r>
      <w:r>
        <w:rPr>
          <w:sz w:val="20"/>
          <w:szCs w:val="20"/>
        </w:rPr>
        <w:t xml:space="preserve"> </w:t>
      </w:r>
      <w:r w:rsidRPr="00C7074D">
        <w:rPr>
          <w:sz w:val="20"/>
          <w:szCs w:val="20"/>
        </w:rPr>
        <w:t>a Tunisian woman and a</w:t>
      </w:r>
      <w:r>
        <w:rPr>
          <w:sz w:val="20"/>
          <w:szCs w:val="20"/>
        </w:rPr>
        <w:t xml:space="preserve"> </w:t>
      </w:r>
      <w:r w:rsidRPr="00C7074D">
        <w:rPr>
          <w:sz w:val="20"/>
          <w:szCs w:val="20"/>
        </w:rPr>
        <w:t>foreigner who is</w:t>
      </w:r>
      <w:r>
        <w:rPr>
          <w:sz w:val="20"/>
          <w:szCs w:val="20"/>
        </w:rPr>
        <w:t xml:space="preserve"> </w:t>
      </w:r>
      <w:r w:rsidRPr="00C7074D">
        <w:rPr>
          <w:sz w:val="20"/>
          <w:szCs w:val="20"/>
        </w:rPr>
        <w:t>non-Muslim. One mayor</w:t>
      </w:r>
      <w:r>
        <w:rPr>
          <w:sz w:val="20"/>
          <w:szCs w:val="20"/>
        </w:rPr>
        <w:t xml:space="preserve"> </w:t>
      </w:r>
      <w:r w:rsidRPr="00C7074D">
        <w:rPr>
          <w:sz w:val="20"/>
          <w:szCs w:val="20"/>
        </w:rPr>
        <w:t>refuse</w:t>
      </w:r>
      <w:r>
        <w:rPr>
          <w:sz w:val="20"/>
          <w:szCs w:val="20"/>
        </w:rPr>
        <w:t>d</w:t>
      </w:r>
      <w:r w:rsidRPr="00C7074D">
        <w:rPr>
          <w:sz w:val="20"/>
          <w:szCs w:val="20"/>
        </w:rPr>
        <w:t xml:space="preserve"> to conclude such a</w:t>
      </w:r>
      <w:r>
        <w:rPr>
          <w:sz w:val="20"/>
          <w:szCs w:val="20"/>
        </w:rPr>
        <w:t xml:space="preserve"> </w:t>
      </w:r>
      <w:r w:rsidRPr="00C7074D">
        <w:rPr>
          <w:sz w:val="20"/>
          <w:szCs w:val="20"/>
        </w:rPr>
        <w:t>marriage in his municipality</w:t>
      </w:r>
      <w:r>
        <w:rPr>
          <w:sz w:val="20"/>
          <w:szCs w:val="20"/>
        </w:rPr>
        <w:t xml:space="preserve"> </w:t>
      </w:r>
      <w:r w:rsidRPr="00C7074D">
        <w:rPr>
          <w:sz w:val="20"/>
          <w:szCs w:val="20"/>
        </w:rPr>
        <w:t xml:space="preserve">(El </w:t>
      </w:r>
      <w:proofErr w:type="spellStart"/>
      <w:r w:rsidRPr="00C7074D">
        <w:rPr>
          <w:sz w:val="20"/>
          <w:szCs w:val="20"/>
        </w:rPr>
        <w:t>Kram</w:t>
      </w:r>
      <w:proofErr w:type="spellEnd"/>
      <w:r w:rsidRPr="00C7074D">
        <w:rPr>
          <w:sz w:val="20"/>
          <w:szCs w:val="20"/>
        </w:rPr>
        <w:t>, suburb of Tunis)</w:t>
      </w:r>
      <w:r>
        <w:rPr>
          <w:sz w:val="20"/>
          <w:szCs w:val="20"/>
        </w:rPr>
        <w:t xml:space="preserve">. </w:t>
      </w:r>
      <w:r w:rsidRPr="00C7074D">
        <w:rPr>
          <w:sz w:val="20"/>
          <w:szCs w:val="20"/>
        </w:rPr>
        <w:t>The Minister of Local Affairs</w:t>
      </w:r>
      <w:r>
        <w:rPr>
          <w:sz w:val="20"/>
          <w:szCs w:val="20"/>
        </w:rPr>
        <w:t xml:space="preserve"> </w:t>
      </w:r>
      <w:r w:rsidRPr="00C7074D">
        <w:rPr>
          <w:sz w:val="20"/>
          <w:szCs w:val="20"/>
        </w:rPr>
        <w:t>and the Minister of Foreign</w:t>
      </w:r>
      <w:r>
        <w:rPr>
          <w:sz w:val="20"/>
          <w:szCs w:val="20"/>
        </w:rPr>
        <w:t xml:space="preserve"> </w:t>
      </w:r>
      <w:r w:rsidRPr="00C7074D">
        <w:rPr>
          <w:sz w:val="20"/>
          <w:szCs w:val="20"/>
        </w:rPr>
        <w:t>Affairs also terminated</w:t>
      </w:r>
      <w:r>
        <w:rPr>
          <w:sz w:val="20"/>
          <w:szCs w:val="20"/>
        </w:rPr>
        <w:t xml:space="preserve"> </w:t>
      </w:r>
      <w:r w:rsidRPr="00C7074D">
        <w:rPr>
          <w:sz w:val="20"/>
          <w:szCs w:val="20"/>
        </w:rPr>
        <w:t>publications that restricted</w:t>
      </w:r>
      <w:r>
        <w:rPr>
          <w:sz w:val="20"/>
          <w:szCs w:val="20"/>
        </w:rPr>
        <w:t xml:space="preserve"> </w:t>
      </w:r>
      <w:r w:rsidRPr="00C7074D">
        <w:rPr>
          <w:sz w:val="20"/>
          <w:szCs w:val="20"/>
        </w:rPr>
        <w:t>women’s freedom to</w:t>
      </w:r>
      <w:r>
        <w:rPr>
          <w:sz w:val="20"/>
          <w:szCs w:val="20"/>
        </w:rPr>
        <w:t xml:space="preserve"> </w:t>
      </w:r>
      <w:r w:rsidRPr="00C7074D">
        <w:rPr>
          <w:sz w:val="20"/>
          <w:szCs w:val="20"/>
        </w:rPr>
        <w:t>choose her spouse, and</w:t>
      </w:r>
      <w:r>
        <w:rPr>
          <w:sz w:val="20"/>
          <w:szCs w:val="20"/>
        </w:rPr>
        <w:t xml:space="preserve"> </w:t>
      </w:r>
      <w:r w:rsidRPr="00C7074D">
        <w:rPr>
          <w:sz w:val="20"/>
          <w:szCs w:val="20"/>
        </w:rPr>
        <w:t>required the civil states</w:t>
      </w:r>
      <w:r>
        <w:rPr>
          <w:sz w:val="20"/>
          <w:szCs w:val="20"/>
        </w:rPr>
        <w:t xml:space="preserve"> </w:t>
      </w:r>
      <w:r w:rsidRPr="00C7074D">
        <w:rPr>
          <w:sz w:val="20"/>
          <w:szCs w:val="20"/>
        </w:rPr>
        <w:t>offices to release marriage</w:t>
      </w:r>
      <w:r>
        <w:rPr>
          <w:sz w:val="20"/>
          <w:szCs w:val="20"/>
        </w:rPr>
        <w:t xml:space="preserve"> </w:t>
      </w:r>
      <w:r w:rsidRPr="00C7074D">
        <w:rPr>
          <w:sz w:val="20"/>
          <w:szCs w:val="20"/>
        </w:rPr>
        <w:t>contracts between Muslim</w:t>
      </w:r>
      <w:r>
        <w:rPr>
          <w:sz w:val="20"/>
          <w:szCs w:val="20"/>
        </w:rPr>
        <w:t xml:space="preserve"> </w:t>
      </w:r>
      <w:r w:rsidRPr="00C7074D">
        <w:rPr>
          <w:sz w:val="20"/>
          <w:szCs w:val="20"/>
        </w:rPr>
        <w:t>women</w:t>
      </w:r>
      <w:r>
        <w:rPr>
          <w:sz w:val="20"/>
          <w:szCs w:val="20"/>
        </w:rPr>
        <w:t xml:space="preserve"> and non-Muslim men.</w:t>
      </w:r>
    </w:p>
    <w:p w14:paraId="6C4BF50D" w14:textId="3904E829" w:rsidR="00256EFE" w:rsidRDefault="00256EFE" w:rsidP="0033252E">
      <w:pPr>
        <w:autoSpaceDE w:val="0"/>
        <w:autoSpaceDN w:val="0"/>
        <w:adjustRightInd w:val="0"/>
        <w:jc w:val="both"/>
        <w:rPr>
          <w:sz w:val="20"/>
          <w:szCs w:val="20"/>
        </w:rPr>
      </w:pPr>
    </w:p>
    <w:p w14:paraId="259D2B63" w14:textId="199635C8" w:rsidR="0033252E" w:rsidRDefault="0033252E" w:rsidP="0033252E">
      <w:pPr>
        <w:jc w:val="both"/>
        <w:rPr>
          <w:sz w:val="20"/>
          <w:szCs w:val="20"/>
        </w:rPr>
      </w:pPr>
    </w:p>
    <w:p w14:paraId="3299F1B4" w14:textId="563C6645" w:rsidR="0033252E" w:rsidRDefault="0033252E" w:rsidP="0033252E">
      <w:pPr>
        <w:jc w:val="center"/>
        <w:rPr>
          <w:sz w:val="20"/>
          <w:szCs w:val="20"/>
        </w:rPr>
      </w:pPr>
      <w:r>
        <w:rPr>
          <w:rFonts w:ascii="Arial" w:hAnsi="Arial" w:cs="Arial"/>
          <w:noProof/>
          <w:color w:val="000000" w:themeColor="text1"/>
          <w:sz w:val="20"/>
          <w:szCs w:val="20"/>
        </w:rPr>
        <w:drawing>
          <wp:inline distT="0" distB="0" distL="0" distR="0" wp14:anchorId="11E711E7" wp14:editId="27C98034">
            <wp:extent cx="4348130" cy="3797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92568" cy="3923441"/>
                    </a:xfrm>
                    <a:prstGeom prst="rect">
                      <a:avLst/>
                    </a:prstGeom>
                  </pic:spPr>
                </pic:pic>
              </a:graphicData>
            </a:graphic>
          </wp:inline>
        </w:drawing>
      </w:r>
    </w:p>
    <w:p w14:paraId="662C5070" w14:textId="4D16BDB1" w:rsidR="007C55CD" w:rsidRDefault="007C55CD" w:rsidP="0033252E">
      <w:pPr>
        <w:jc w:val="center"/>
        <w:rPr>
          <w:sz w:val="20"/>
          <w:szCs w:val="20"/>
        </w:rPr>
      </w:pPr>
    </w:p>
    <w:p w14:paraId="7C780371" w14:textId="4077D9DD" w:rsidR="007C55CD" w:rsidRPr="000B3F10" w:rsidRDefault="007C55CD" w:rsidP="00D164DD">
      <w:pPr>
        <w:jc w:val="center"/>
        <w:rPr>
          <w:sz w:val="20"/>
          <w:szCs w:val="20"/>
        </w:rPr>
      </w:pPr>
    </w:p>
    <w:p w14:paraId="1A1A9826" w14:textId="112FF1C5" w:rsidR="0033252E" w:rsidRDefault="0033252E" w:rsidP="0012209F">
      <w:pPr>
        <w:autoSpaceDE w:val="0"/>
        <w:autoSpaceDN w:val="0"/>
        <w:adjustRightInd w:val="0"/>
        <w:jc w:val="both"/>
        <w:rPr>
          <w:sz w:val="20"/>
          <w:szCs w:val="20"/>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03"/>
      </w:tblGrid>
      <w:tr w:rsidR="0033252E" w:rsidRPr="000B3F10" w14:paraId="4A211A2E" w14:textId="77777777" w:rsidTr="00EC6E8F">
        <w:trPr>
          <w:trHeight w:val="803"/>
        </w:trPr>
        <w:tc>
          <w:tcPr>
            <w:tcW w:w="8903" w:type="dxa"/>
            <w:shd w:val="clear" w:color="auto" w:fill="D9D9D9" w:themeFill="background1" w:themeFillShade="D9"/>
            <w:tcMar>
              <w:top w:w="100" w:type="dxa"/>
              <w:left w:w="100" w:type="dxa"/>
              <w:bottom w:w="100" w:type="dxa"/>
              <w:right w:w="100" w:type="dxa"/>
            </w:tcMar>
          </w:tcPr>
          <w:p w14:paraId="0DDC414F" w14:textId="77777777" w:rsidR="0033252E" w:rsidRPr="000B3F10" w:rsidRDefault="0033252E" w:rsidP="00EC6E8F">
            <w:pPr>
              <w:widowControl w:val="0"/>
              <w:spacing w:before="240" w:after="240"/>
              <w:jc w:val="both"/>
              <w:rPr>
                <w:b/>
                <w:sz w:val="20"/>
                <w:szCs w:val="20"/>
                <w:u w:val="single"/>
              </w:rPr>
            </w:pPr>
            <w:r w:rsidRPr="000B3F10">
              <w:rPr>
                <w:b/>
                <w:sz w:val="20"/>
                <w:szCs w:val="20"/>
                <w:u w:val="single"/>
              </w:rPr>
              <w:t>RECOMMENDATIONS</w:t>
            </w:r>
          </w:p>
          <w:p w14:paraId="55C236AF" w14:textId="77777777" w:rsidR="0033252E" w:rsidRPr="000B3F10" w:rsidRDefault="0033252E" w:rsidP="00EC6E8F">
            <w:pPr>
              <w:jc w:val="both"/>
              <w:rPr>
                <w:sz w:val="20"/>
                <w:szCs w:val="20"/>
              </w:rPr>
            </w:pPr>
            <w:r w:rsidRPr="000B3F10">
              <w:rPr>
                <w:b/>
                <w:bCs/>
                <w:sz w:val="20"/>
                <w:szCs w:val="20"/>
              </w:rPr>
              <w:t>We recommend the CEDAW Committee urge the State party to:</w:t>
            </w:r>
          </w:p>
          <w:p w14:paraId="16B8C040" w14:textId="77777777" w:rsidR="0033252E" w:rsidRPr="000B3F10" w:rsidRDefault="0033252E" w:rsidP="00EC6E8F">
            <w:pPr>
              <w:pStyle w:val="ListParagraph"/>
              <w:spacing w:after="160" w:line="259" w:lineRule="auto"/>
              <w:jc w:val="both"/>
              <w:rPr>
                <w:rFonts w:eastAsiaTheme="minorEastAsia"/>
                <w:sz w:val="20"/>
                <w:szCs w:val="20"/>
              </w:rPr>
            </w:pPr>
          </w:p>
          <w:p w14:paraId="07C5CB9E" w14:textId="4E4AEEE1" w:rsidR="00D164DD" w:rsidRPr="00654938" w:rsidRDefault="0033252E" w:rsidP="00654938">
            <w:pPr>
              <w:pStyle w:val="ListParagraph"/>
              <w:numPr>
                <w:ilvl w:val="0"/>
                <w:numId w:val="15"/>
              </w:numPr>
              <w:spacing w:after="160" w:line="259" w:lineRule="auto"/>
              <w:jc w:val="both"/>
              <w:rPr>
                <w:rFonts w:eastAsiaTheme="minorEastAsia"/>
                <w:sz w:val="20"/>
                <w:szCs w:val="20"/>
              </w:rPr>
            </w:pPr>
            <w:r w:rsidRPr="00654938">
              <w:rPr>
                <w:rFonts w:eastAsiaTheme="minorEastAsia"/>
                <w:sz w:val="20"/>
                <w:szCs w:val="20"/>
              </w:rPr>
              <w:t xml:space="preserve">Amend </w:t>
            </w:r>
            <w:r w:rsidR="00D164DD" w:rsidRPr="00654938">
              <w:rPr>
                <w:rFonts w:eastAsiaTheme="minorEastAsia"/>
                <w:sz w:val="20"/>
                <w:szCs w:val="20"/>
              </w:rPr>
              <w:t xml:space="preserve">the </w:t>
            </w:r>
            <w:r w:rsidRPr="00654938">
              <w:rPr>
                <w:rFonts w:eastAsiaTheme="minorEastAsia"/>
                <w:sz w:val="20"/>
                <w:szCs w:val="20"/>
              </w:rPr>
              <w:t>Personal Status Code</w:t>
            </w:r>
            <w:r w:rsidR="00D164DD" w:rsidRPr="00654938">
              <w:rPr>
                <w:rFonts w:eastAsiaTheme="minorEastAsia"/>
                <w:sz w:val="20"/>
                <w:szCs w:val="20"/>
              </w:rPr>
              <w:t xml:space="preserve"> and other relevant legislations, </w:t>
            </w:r>
            <w:r w:rsidR="00054EF2">
              <w:rPr>
                <w:rFonts w:eastAsiaTheme="minorEastAsia"/>
                <w:sz w:val="20"/>
                <w:szCs w:val="20"/>
              </w:rPr>
              <w:t xml:space="preserve">and enact </w:t>
            </w:r>
            <w:r w:rsidR="00D164DD" w:rsidRPr="00654938">
              <w:rPr>
                <w:rFonts w:eastAsiaTheme="minorEastAsia"/>
                <w:sz w:val="20"/>
                <w:szCs w:val="20"/>
              </w:rPr>
              <w:t xml:space="preserve">policies and development programs </w:t>
            </w:r>
            <w:r w:rsidRPr="00654938">
              <w:rPr>
                <w:rFonts w:eastAsiaTheme="minorEastAsia"/>
                <w:sz w:val="20"/>
                <w:szCs w:val="20"/>
              </w:rPr>
              <w:t>to grant</w:t>
            </w:r>
            <w:r w:rsidR="00D164DD" w:rsidRPr="00654938">
              <w:rPr>
                <w:rFonts w:eastAsiaTheme="minorEastAsia"/>
                <w:sz w:val="20"/>
                <w:szCs w:val="20"/>
              </w:rPr>
              <w:t xml:space="preserve"> and ensure</w:t>
            </w:r>
            <w:r w:rsidRPr="00654938">
              <w:rPr>
                <w:rFonts w:eastAsiaTheme="minorEastAsia"/>
                <w:sz w:val="20"/>
                <w:szCs w:val="20"/>
              </w:rPr>
              <w:t xml:space="preserve"> spousal equality between men and women</w:t>
            </w:r>
            <w:r w:rsidR="00D164DD" w:rsidRPr="00654938">
              <w:rPr>
                <w:rFonts w:eastAsiaTheme="minorEastAsia"/>
                <w:sz w:val="20"/>
                <w:szCs w:val="20"/>
              </w:rPr>
              <w:t xml:space="preserve"> in all their spousal and personal rights</w:t>
            </w:r>
            <w:r w:rsidRPr="00654938">
              <w:rPr>
                <w:rFonts w:eastAsiaTheme="minorEastAsia"/>
                <w:sz w:val="20"/>
                <w:szCs w:val="20"/>
              </w:rPr>
              <w:t xml:space="preserve"> in accordance with </w:t>
            </w:r>
            <w:r w:rsidR="00654938">
              <w:rPr>
                <w:rFonts w:eastAsiaTheme="minorEastAsia"/>
                <w:sz w:val="20"/>
                <w:szCs w:val="20"/>
              </w:rPr>
              <w:t>Tunisia’s</w:t>
            </w:r>
            <w:r w:rsidRPr="00654938">
              <w:rPr>
                <w:rFonts w:eastAsiaTheme="minorEastAsia"/>
                <w:sz w:val="20"/>
                <w:szCs w:val="20"/>
              </w:rPr>
              <w:t xml:space="preserve"> international human rights obligations.</w:t>
            </w:r>
          </w:p>
        </w:tc>
      </w:tr>
    </w:tbl>
    <w:p w14:paraId="775AC152" w14:textId="77777777" w:rsidR="0033252E" w:rsidRDefault="0033252E" w:rsidP="0012209F">
      <w:pPr>
        <w:autoSpaceDE w:val="0"/>
        <w:autoSpaceDN w:val="0"/>
        <w:adjustRightInd w:val="0"/>
        <w:jc w:val="both"/>
        <w:rPr>
          <w:sz w:val="20"/>
          <w:szCs w:val="20"/>
        </w:rPr>
      </w:pPr>
    </w:p>
    <w:p w14:paraId="4AEC02FD" w14:textId="77777777" w:rsidR="008415EB" w:rsidRDefault="008415EB" w:rsidP="00E26F24"/>
    <w:p w14:paraId="36C9DD20" w14:textId="2BB742B6" w:rsidR="00E26F24" w:rsidRPr="00892FA5" w:rsidRDefault="00B3395C" w:rsidP="00892FA5">
      <w:pPr>
        <w:pStyle w:val="Heading2"/>
      </w:pPr>
      <w:bookmarkStart w:id="15" w:name="_Toc103472506"/>
      <w:bookmarkStart w:id="16" w:name="_Toc124196201"/>
      <w:r w:rsidRPr="00892FA5">
        <w:t>Child Marriage</w:t>
      </w:r>
      <w:r w:rsidRPr="00892FA5">
        <w:tab/>
      </w:r>
      <w:r w:rsidRPr="00892FA5">
        <w:tab/>
      </w:r>
      <w:r w:rsidR="00E26F24" w:rsidRPr="00892FA5">
        <w:tab/>
      </w:r>
      <w:r w:rsidR="00F266AC" w:rsidRPr="00892FA5">
        <w:tab/>
      </w:r>
      <w:r w:rsidR="00F266AC" w:rsidRPr="00892FA5">
        <w:tab/>
      </w:r>
      <w:r w:rsidR="00F266AC" w:rsidRPr="00892FA5">
        <w:tab/>
      </w:r>
      <w:r w:rsidR="00F266AC" w:rsidRPr="00892FA5">
        <w:tab/>
      </w:r>
      <w:r w:rsidR="00F266AC" w:rsidRPr="00892FA5">
        <w:tab/>
        <w:t xml:space="preserve">          Article 16</w:t>
      </w:r>
      <w:bookmarkEnd w:id="15"/>
      <w:bookmarkEnd w:id="16"/>
    </w:p>
    <w:p w14:paraId="1886521A" w14:textId="3264FB21" w:rsidR="00B3395C" w:rsidRDefault="00B3395C" w:rsidP="00B3395C">
      <w:pPr>
        <w:rPr>
          <w:b/>
        </w:rPr>
      </w:pPr>
    </w:p>
    <w:p w14:paraId="1D839024" w14:textId="7FA14340" w:rsidR="00256EFE" w:rsidRDefault="00256EFE" w:rsidP="00654938">
      <w:pPr>
        <w:jc w:val="both"/>
        <w:rPr>
          <w:sz w:val="20"/>
          <w:szCs w:val="20"/>
        </w:rPr>
      </w:pPr>
      <w:r w:rsidRPr="00256EFE">
        <w:rPr>
          <w:sz w:val="20"/>
          <w:szCs w:val="20"/>
        </w:rPr>
        <w:t>The minimum legal age for</w:t>
      </w:r>
      <w:r>
        <w:rPr>
          <w:sz w:val="20"/>
          <w:szCs w:val="20"/>
        </w:rPr>
        <w:t xml:space="preserve"> </w:t>
      </w:r>
      <w:r w:rsidRPr="00256EFE">
        <w:rPr>
          <w:sz w:val="20"/>
          <w:szCs w:val="20"/>
        </w:rPr>
        <w:t>marriage is 18 for females and</w:t>
      </w:r>
      <w:r>
        <w:rPr>
          <w:sz w:val="20"/>
          <w:szCs w:val="20"/>
        </w:rPr>
        <w:t xml:space="preserve"> </w:t>
      </w:r>
      <w:r w:rsidRPr="00256EFE">
        <w:rPr>
          <w:sz w:val="20"/>
          <w:szCs w:val="20"/>
        </w:rPr>
        <w:t>males as per Article 5 of the PSC.</w:t>
      </w:r>
      <w:r>
        <w:rPr>
          <w:sz w:val="20"/>
          <w:szCs w:val="20"/>
        </w:rPr>
        <w:t xml:space="preserve"> </w:t>
      </w:r>
      <w:r w:rsidRPr="00256EFE">
        <w:rPr>
          <w:sz w:val="20"/>
          <w:szCs w:val="20"/>
        </w:rPr>
        <w:t>However, Article 5 also provides</w:t>
      </w:r>
      <w:r>
        <w:rPr>
          <w:sz w:val="20"/>
          <w:szCs w:val="20"/>
        </w:rPr>
        <w:t xml:space="preserve"> </w:t>
      </w:r>
      <w:r w:rsidRPr="00256EFE">
        <w:rPr>
          <w:sz w:val="20"/>
          <w:szCs w:val="20"/>
        </w:rPr>
        <w:t>that a judge may permit girls and</w:t>
      </w:r>
      <w:r>
        <w:rPr>
          <w:sz w:val="20"/>
          <w:szCs w:val="20"/>
        </w:rPr>
        <w:t xml:space="preserve"> </w:t>
      </w:r>
      <w:r w:rsidRPr="00256EFE">
        <w:rPr>
          <w:sz w:val="20"/>
          <w:szCs w:val="20"/>
        </w:rPr>
        <w:t>boys below 18 to marry for</w:t>
      </w:r>
      <w:r>
        <w:rPr>
          <w:sz w:val="20"/>
          <w:szCs w:val="20"/>
        </w:rPr>
        <w:t xml:space="preserve"> </w:t>
      </w:r>
      <w:r w:rsidRPr="00256EFE">
        <w:rPr>
          <w:sz w:val="20"/>
          <w:szCs w:val="20"/>
        </w:rPr>
        <w:t>serious reasons and if it is in the</w:t>
      </w:r>
      <w:r>
        <w:rPr>
          <w:sz w:val="20"/>
          <w:szCs w:val="20"/>
        </w:rPr>
        <w:t xml:space="preserve"> </w:t>
      </w:r>
      <w:r w:rsidRPr="00256EFE">
        <w:rPr>
          <w:sz w:val="20"/>
          <w:szCs w:val="20"/>
        </w:rPr>
        <w:t>best interest of both prospective</w:t>
      </w:r>
      <w:r>
        <w:rPr>
          <w:sz w:val="20"/>
          <w:szCs w:val="20"/>
        </w:rPr>
        <w:t xml:space="preserve"> </w:t>
      </w:r>
      <w:r w:rsidRPr="00256EFE">
        <w:rPr>
          <w:sz w:val="20"/>
          <w:szCs w:val="20"/>
        </w:rPr>
        <w:t>spouses</w:t>
      </w:r>
      <w:r>
        <w:rPr>
          <w:sz w:val="20"/>
          <w:szCs w:val="20"/>
        </w:rPr>
        <w:t>.</w:t>
      </w:r>
      <w:r>
        <w:rPr>
          <w:rStyle w:val="FootnoteReference"/>
          <w:sz w:val="20"/>
          <w:szCs w:val="20"/>
        </w:rPr>
        <w:footnoteReference w:id="11"/>
      </w:r>
    </w:p>
    <w:p w14:paraId="5E6DBAEB" w14:textId="689DDF04" w:rsidR="00256EFE" w:rsidRDefault="00256EFE" w:rsidP="00654938">
      <w:pPr>
        <w:jc w:val="both"/>
        <w:rPr>
          <w:sz w:val="20"/>
          <w:szCs w:val="20"/>
        </w:rPr>
      </w:pPr>
    </w:p>
    <w:p w14:paraId="153C4930" w14:textId="6E1AF3CB" w:rsidR="00256EFE" w:rsidRPr="00256EFE" w:rsidRDefault="00256EFE" w:rsidP="00654938">
      <w:pPr>
        <w:jc w:val="both"/>
        <w:rPr>
          <w:sz w:val="20"/>
          <w:szCs w:val="20"/>
        </w:rPr>
      </w:pPr>
      <w:r w:rsidRPr="00256EFE">
        <w:rPr>
          <w:sz w:val="20"/>
          <w:szCs w:val="20"/>
        </w:rPr>
        <w:t>The law does not stipulate an</w:t>
      </w:r>
      <w:r>
        <w:rPr>
          <w:sz w:val="20"/>
          <w:szCs w:val="20"/>
        </w:rPr>
        <w:t xml:space="preserve"> </w:t>
      </w:r>
      <w:r w:rsidRPr="00256EFE">
        <w:rPr>
          <w:sz w:val="20"/>
          <w:szCs w:val="20"/>
        </w:rPr>
        <w:t>absolute minimum age below</w:t>
      </w:r>
      <w:r>
        <w:rPr>
          <w:sz w:val="20"/>
          <w:szCs w:val="20"/>
        </w:rPr>
        <w:t xml:space="preserve"> </w:t>
      </w:r>
      <w:r w:rsidRPr="00256EFE">
        <w:rPr>
          <w:sz w:val="20"/>
          <w:szCs w:val="20"/>
        </w:rPr>
        <w:t>which a marriage may not be</w:t>
      </w:r>
      <w:r>
        <w:rPr>
          <w:sz w:val="20"/>
          <w:szCs w:val="20"/>
        </w:rPr>
        <w:t xml:space="preserve"> </w:t>
      </w:r>
      <w:proofErr w:type="spellStart"/>
      <w:r w:rsidRPr="00256EFE">
        <w:rPr>
          <w:sz w:val="20"/>
          <w:szCs w:val="20"/>
        </w:rPr>
        <w:t>authorised</w:t>
      </w:r>
      <w:proofErr w:type="spellEnd"/>
      <w:r w:rsidRPr="00256EFE">
        <w:rPr>
          <w:sz w:val="20"/>
          <w:szCs w:val="20"/>
        </w:rPr>
        <w:t>.</w:t>
      </w:r>
    </w:p>
    <w:p w14:paraId="117D0532" w14:textId="77777777" w:rsidR="00256EFE" w:rsidRDefault="00256EFE" w:rsidP="00654938">
      <w:pPr>
        <w:jc w:val="both"/>
        <w:rPr>
          <w:sz w:val="20"/>
          <w:szCs w:val="20"/>
        </w:rPr>
      </w:pPr>
    </w:p>
    <w:p w14:paraId="0B818488" w14:textId="402E59DD" w:rsidR="00256EFE" w:rsidRDefault="00256EFE" w:rsidP="00654938">
      <w:pPr>
        <w:jc w:val="both"/>
        <w:rPr>
          <w:sz w:val="20"/>
          <w:szCs w:val="20"/>
        </w:rPr>
      </w:pPr>
      <w:r w:rsidRPr="00256EFE">
        <w:rPr>
          <w:sz w:val="20"/>
          <w:szCs w:val="20"/>
        </w:rPr>
        <w:t>The minimum legal age for</w:t>
      </w:r>
      <w:r>
        <w:rPr>
          <w:sz w:val="20"/>
          <w:szCs w:val="20"/>
        </w:rPr>
        <w:t xml:space="preserve"> </w:t>
      </w:r>
      <w:r w:rsidRPr="00256EFE">
        <w:rPr>
          <w:sz w:val="20"/>
          <w:szCs w:val="20"/>
        </w:rPr>
        <w:t>marriage is below the legal age of</w:t>
      </w:r>
      <w:r>
        <w:rPr>
          <w:sz w:val="20"/>
          <w:szCs w:val="20"/>
        </w:rPr>
        <w:t xml:space="preserve"> </w:t>
      </w:r>
      <w:r w:rsidRPr="00256EFE">
        <w:rPr>
          <w:sz w:val="20"/>
          <w:szCs w:val="20"/>
        </w:rPr>
        <w:t>civil majority. Under Article 153 of</w:t>
      </w:r>
      <w:r>
        <w:rPr>
          <w:sz w:val="20"/>
          <w:szCs w:val="20"/>
        </w:rPr>
        <w:t xml:space="preserve"> </w:t>
      </w:r>
      <w:r w:rsidRPr="00256EFE">
        <w:rPr>
          <w:sz w:val="20"/>
          <w:szCs w:val="20"/>
        </w:rPr>
        <w:t>the PSC, the legal age of civil</w:t>
      </w:r>
      <w:r>
        <w:rPr>
          <w:sz w:val="20"/>
          <w:szCs w:val="20"/>
        </w:rPr>
        <w:t xml:space="preserve"> </w:t>
      </w:r>
      <w:r w:rsidRPr="00256EFE">
        <w:rPr>
          <w:sz w:val="20"/>
          <w:szCs w:val="20"/>
        </w:rPr>
        <w:t>majority is 20 for both females</w:t>
      </w:r>
      <w:r>
        <w:rPr>
          <w:sz w:val="20"/>
          <w:szCs w:val="20"/>
        </w:rPr>
        <w:t xml:space="preserve"> </w:t>
      </w:r>
      <w:r w:rsidRPr="00256EFE">
        <w:rPr>
          <w:sz w:val="20"/>
          <w:szCs w:val="20"/>
        </w:rPr>
        <w:t>and males. A minor over the age</w:t>
      </w:r>
      <w:r>
        <w:rPr>
          <w:sz w:val="20"/>
          <w:szCs w:val="20"/>
        </w:rPr>
        <w:t xml:space="preserve"> </w:t>
      </w:r>
      <w:r w:rsidRPr="00256EFE">
        <w:rPr>
          <w:sz w:val="20"/>
          <w:szCs w:val="20"/>
        </w:rPr>
        <w:t>of 17 attains adulthood by</w:t>
      </w:r>
      <w:r>
        <w:rPr>
          <w:sz w:val="20"/>
          <w:szCs w:val="20"/>
        </w:rPr>
        <w:t xml:space="preserve"> </w:t>
      </w:r>
      <w:r w:rsidRPr="00256EFE">
        <w:rPr>
          <w:sz w:val="20"/>
          <w:szCs w:val="20"/>
        </w:rPr>
        <w:t>marriage with regard to his or her</w:t>
      </w:r>
      <w:r>
        <w:rPr>
          <w:sz w:val="20"/>
          <w:szCs w:val="20"/>
        </w:rPr>
        <w:t xml:space="preserve"> </w:t>
      </w:r>
      <w:r w:rsidRPr="00256EFE">
        <w:rPr>
          <w:sz w:val="20"/>
          <w:szCs w:val="20"/>
        </w:rPr>
        <w:t>personal status and management</w:t>
      </w:r>
      <w:r>
        <w:rPr>
          <w:sz w:val="20"/>
          <w:szCs w:val="20"/>
        </w:rPr>
        <w:t xml:space="preserve"> </w:t>
      </w:r>
      <w:r w:rsidRPr="00256EFE">
        <w:rPr>
          <w:sz w:val="20"/>
          <w:szCs w:val="20"/>
        </w:rPr>
        <w:t>of civil and commercial affairs.</w:t>
      </w:r>
      <w:r>
        <w:rPr>
          <w:rStyle w:val="FootnoteReference"/>
          <w:sz w:val="20"/>
          <w:szCs w:val="20"/>
        </w:rPr>
        <w:footnoteReference w:id="12"/>
      </w:r>
    </w:p>
    <w:p w14:paraId="7DDDFE07" w14:textId="486750FC" w:rsidR="00256EFE" w:rsidRDefault="00256EFE" w:rsidP="00654938">
      <w:pPr>
        <w:jc w:val="both"/>
        <w:rPr>
          <w:sz w:val="20"/>
          <w:szCs w:val="20"/>
        </w:rPr>
      </w:pPr>
    </w:p>
    <w:p w14:paraId="3E9AAE23" w14:textId="52312D15" w:rsidR="00256EFE" w:rsidRDefault="00256EFE" w:rsidP="00654938">
      <w:pPr>
        <w:jc w:val="both"/>
        <w:rPr>
          <w:sz w:val="20"/>
          <w:szCs w:val="20"/>
        </w:rPr>
      </w:pPr>
      <w:r w:rsidRPr="00256EFE">
        <w:rPr>
          <w:sz w:val="20"/>
          <w:szCs w:val="20"/>
        </w:rPr>
        <w:t>Exoneration by marriage</w:t>
      </w:r>
      <w:r>
        <w:rPr>
          <w:sz w:val="20"/>
          <w:szCs w:val="20"/>
        </w:rPr>
        <w:t xml:space="preserve">: </w:t>
      </w:r>
      <w:r w:rsidRPr="00256EFE">
        <w:rPr>
          <w:sz w:val="20"/>
          <w:szCs w:val="20"/>
        </w:rPr>
        <w:t>Articles 227 and 239 of the</w:t>
      </w:r>
      <w:r>
        <w:rPr>
          <w:sz w:val="20"/>
          <w:szCs w:val="20"/>
        </w:rPr>
        <w:t xml:space="preserve"> </w:t>
      </w:r>
      <w:r w:rsidRPr="00256EFE">
        <w:rPr>
          <w:sz w:val="20"/>
          <w:szCs w:val="20"/>
        </w:rPr>
        <w:t>Penal Code which exonerate a</w:t>
      </w:r>
      <w:r>
        <w:rPr>
          <w:sz w:val="20"/>
          <w:szCs w:val="20"/>
        </w:rPr>
        <w:t xml:space="preserve"> </w:t>
      </w:r>
      <w:r w:rsidRPr="00256EFE">
        <w:rPr>
          <w:sz w:val="20"/>
          <w:szCs w:val="20"/>
        </w:rPr>
        <w:t>rapist if he married his victim, and</w:t>
      </w:r>
      <w:r>
        <w:rPr>
          <w:sz w:val="20"/>
          <w:szCs w:val="20"/>
        </w:rPr>
        <w:t xml:space="preserve"> </w:t>
      </w:r>
      <w:r w:rsidRPr="00256EFE">
        <w:rPr>
          <w:sz w:val="20"/>
          <w:szCs w:val="20"/>
        </w:rPr>
        <w:t>exonerate a man from</w:t>
      </w:r>
      <w:r>
        <w:rPr>
          <w:sz w:val="20"/>
          <w:szCs w:val="20"/>
        </w:rPr>
        <w:t xml:space="preserve"> </w:t>
      </w:r>
      <w:r w:rsidRPr="00256EFE">
        <w:rPr>
          <w:sz w:val="20"/>
          <w:szCs w:val="20"/>
        </w:rPr>
        <w:t>punishment for kidnapping a</w:t>
      </w:r>
      <w:r>
        <w:rPr>
          <w:sz w:val="20"/>
          <w:szCs w:val="20"/>
        </w:rPr>
        <w:t xml:space="preserve"> </w:t>
      </w:r>
      <w:r w:rsidRPr="00256EFE">
        <w:rPr>
          <w:sz w:val="20"/>
          <w:szCs w:val="20"/>
        </w:rPr>
        <w:t>woman if he married her, were</w:t>
      </w:r>
      <w:r>
        <w:rPr>
          <w:sz w:val="20"/>
          <w:szCs w:val="20"/>
        </w:rPr>
        <w:t xml:space="preserve"> </w:t>
      </w:r>
      <w:r w:rsidRPr="00256EFE">
        <w:rPr>
          <w:sz w:val="20"/>
          <w:szCs w:val="20"/>
        </w:rPr>
        <w:t>removed from the Penal Code in</w:t>
      </w:r>
      <w:r>
        <w:rPr>
          <w:sz w:val="20"/>
          <w:szCs w:val="20"/>
        </w:rPr>
        <w:t xml:space="preserve"> </w:t>
      </w:r>
      <w:r w:rsidRPr="00256EFE">
        <w:rPr>
          <w:sz w:val="20"/>
          <w:szCs w:val="20"/>
        </w:rPr>
        <w:t>2017.</w:t>
      </w:r>
      <w:r>
        <w:rPr>
          <w:rStyle w:val="FootnoteReference"/>
          <w:sz w:val="20"/>
          <w:szCs w:val="20"/>
        </w:rPr>
        <w:footnoteReference w:id="13"/>
      </w:r>
    </w:p>
    <w:p w14:paraId="49E5E983" w14:textId="143C1890" w:rsidR="00256EFE" w:rsidRDefault="00256EFE" w:rsidP="00654938">
      <w:pPr>
        <w:jc w:val="both"/>
        <w:rPr>
          <w:sz w:val="20"/>
          <w:szCs w:val="20"/>
        </w:rPr>
      </w:pPr>
    </w:p>
    <w:p w14:paraId="60871B36" w14:textId="20550F8A" w:rsidR="00256EFE" w:rsidRDefault="00256EFE" w:rsidP="00654938">
      <w:pPr>
        <w:jc w:val="both"/>
        <w:rPr>
          <w:sz w:val="20"/>
          <w:szCs w:val="20"/>
        </w:rPr>
      </w:pPr>
      <w:r>
        <w:rPr>
          <w:sz w:val="20"/>
          <w:szCs w:val="20"/>
        </w:rPr>
        <w:t>In practice, j</w:t>
      </w:r>
      <w:r w:rsidRPr="00256EFE">
        <w:rPr>
          <w:sz w:val="20"/>
          <w:szCs w:val="20"/>
        </w:rPr>
        <w:t>udges generally</w:t>
      </w:r>
      <w:r>
        <w:rPr>
          <w:sz w:val="20"/>
          <w:szCs w:val="20"/>
        </w:rPr>
        <w:t xml:space="preserve"> </w:t>
      </w:r>
      <w:r w:rsidRPr="00256EFE">
        <w:rPr>
          <w:sz w:val="20"/>
          <w:szCs w:val="20"/>
        </w:rPr>
        <w:t>allow marriage</w:t>
      </w:r>
      <w:r>
        <w:rPr>
          <w:sz w:val="20"/>
          <w:szCs w:val="20"/>
        </w:rPr>
        <w:t xml:space="preserve"> </w:t>
      </w:r>
      <w:r w:rsidRPr="00256EFE">
        <w:rPr>
          <w:sz w:val="20"/>
          <w:szCs w:val="20"/>
        </w:rPr>
        <w:t>below the minimum</w:t>
      </w:r>
      <w:r>
        <w:rPr>
          <w:sz w:val="20"/>
          <w:szCs w:val="20"/>
        </w:rPr>
        <w:t xml:space="preserve"> </w:t>
      </w:r>
      <w:r w:rsidRPr="00256EFE">
        <w:rPr>
          <w:sz w:val="20"/>
          <w:szCs w:val="20"/>
        </w:rPr>
        <w:t>legal age for</w:t>
      </w:r>
      <w:r>
        <w:rPr>
          <w:sz w:val="20"/>
          <w:szCs w:val="20"/>
        </w:rPr>
        <w:t xml:space="preserve"> </w:t>
      </w:r>
      <w:r w:rsidRPr="00256EFE">
        <w:rPr>
          <w:sz w:val="20"/>
          <w:szCs w:val="20"/>
        </w:rPr>
        <w:t>marriage in cases of</w:t>
      </w:r>
      <w:r>
        <w:rPr>
          <w:sz w:val="20"/>
          <w:szCs w:val="20"/>
        </w:rPr>
        <w:t xml:space="preserve"> </w:t>
      </w:r>
      <w:r w:rsidRPr="00256EFE">
        <w:rPr>
          <w:sz w:val="20"/>
          <w:szCs w:val="20"/>
        </w:rPr>
        <w:t>pregnant minors</w:t>
      </w:r>
      <w:r>
        <w:rPr>
          <w:sz w:val="20"/>
          <w:szCs w:val="20"/>
        </w:rPr>
        <w:t>.</w:t>
      </w:r>
      <w:r>
        <w:rPr>
          <w:rStyle w:val="FootnoteReference"/>
          <w:sz w:val="20"/>
          <w:szCs w:val="20"/>
        </w:rPr>
        <w:footnoteReference w:id="14"/>
      </w:r>
      <w:r>
        <w:rPr>
          <w:sz w:val="20"/>
          <w:szCs w:val="20"/>
        </w:rPr>
        <w:t xml:space="preserve"> </w:t>
      </w:r>
      <w:r w:rsidRPr="00256EFE">
        <w:rPr>
          <w:sz w:val="20"/>
          <w:szCs w:val="20"/>
        </w:rPr>
        <w:t>Judges also</w:t>
      </w:r>
      <w:r>
        <w:rPr>
          <w:sz w:val="20"/>
          <w:szCs w:val="20"/>
        </w:rPr>
        <w:t xml:space="preserve"> </w:t>
      </w:r>
      <w:r w:rsidRPr="00256EFE">
        <w:rPr>
          <w:sz w:val="20"/>
          <w:szCs w:val="20"/>
        </w:rPr>
        <w:t>generally allow</w:t>
      </w:r>
      <w:r>
        <w:rPr>
          <w:sz w:val="20"/>
          <w:szCs w:val="20"/>
        </w:rPr>
        <w:t xml:space="preserve"> </w:t>
      </w:r>
      <w:r w:rsidRPr="00256EFE">
        <w:rPr>
          <w:sz w:val="20"/>
          <w:szCs w:val="20"/>
        </w:rPr>
        <w:t>marriage below the</w:t>
      </w:r>
      <w:r>
        <w:rPr>
          <w:sz w:val="20"/>
          <w:szCs w:val="20"/>
        </w:rPr>
        <w:t xml:space="preserve"> </w:t>
      </w:r>
      <w:r w:rsidRPr="00256EFE">
        <w:rPr>
          <w:sz w:val="20"/>
          <w:szCs w:val="20"/>
        </w:rPr>
        <w:t>minimum legal age</w:t>
      </w:r>
      <w:r>
        <w:rPr>
          <w:sz w:val="20"/>
          <w:szCs w:val="20"/>
        </w:rPr>
        <w:t xml:space="preserve"> </w:t>
      </w:r>
      <w:r w:rsidRPr="00256EFE">
        <w:rPr>
          <w:sz w:val="20"/>
          <w:szCs w:val="20"/>
        </w:rPr>
        <w:t>for marriage in</w:t>
      </w:r>
      <w:r>
        <w:rPr>
          <w:sz w:val="20"/>
          <w:szCs w:val="20"/>
        </w:rPr>
        <w:t xml:space="preserve"> </w:t>
      </w:r>
      <w:r w:rsidRPr="00256EFE">
        <w:rPr>
          <w:sz w:val="20"/>
          <w:szCs w:val="20"/>
        </w:rPr>
        <w:t>applications relating</w:t>
      </w:r>
      <w:r>
        <w:rPr>
          <w:sz w:val="20"/>
          <w:szCs w:val="20"/>
        </w:rPr>
        <w:t xml:space="preserve"> </w:t>
      </w:r>
      <w:r w:rsidRPr="00256EFE">
        <w:rPr>
          <w:sz w:val="20"/>
          <w:szCs w:val="20"/>
        </w:rPr>
        <w:t>to Article 227bis of</w:t>
      </w:r>
      <w:r>
        <w:rPr>
          <w:sz w:val="20"/>
          <w:szCs w:val="20"/>
        </w:rPr>
        <w:t xml:space="preserve"> </w:t>
      </w:r>
      <w:r w:rsidRPr="00256EFE">
        <w:rPr>
          <w:sz w:val="20"/>
          <w:szCs w:val="20"/>
        </w:rPr>
        <w:t>the Criminal Code</w:t>
      </w:r>
      <w:r>
        <w:rPr>
          <w:sz w:val="20"/>
          <w:szCs w:val="20"/>
        </w:rPr>
        <w:t xml:space="preserve"> </w:t>
      </w:r>
      <w:r w:rsidRPr="00256EFE">
        <w:rPr>
          <w:sz w:val="20"/>
          <w:szCs w:val="20"/>
        </w:rPr>
        <w:t>which allows a man</w:t>
      </w:r>
      <w:r>
        <w:rPr>
          <w:sz w:val="20"/>
          <w:szCs w:val="20"/>
        </w:rPr>
        <w:t xml:space="preserve"> </w:t>
      </w:r>
      <w:r w:rsidRPr="00256EFE">
        <w:rPr>
          <w:sz w:val="20"/>
          <w:szCs w:val="20"/>
        </w:rPr>
        <w:t>who had sex with a</w:t>
      </w:r>
      <w:r>
        <w:rPr>
          <w:sz w:val="20"/>
          <w:szCs w:val="20"/>
        </w:rPr>
        <w:t xml:space="preserve"> </w:t>
      </w:r>
      <w:r w:rsidRPr="00256EFE">
        <w:rPr>
          <w:sz w:val="20"/>
          <w:szCs w:val="20"/>
        </w:rPr>
        <w:t>minor girl over the</w:t>
      </w:r>
      <w:r>
        <w:rPr>
          <w:sz w:val="20"/>
          <w:szCs w:val="20"/>
        </w:rPr>
        <w:t xml:space="preserve"> </w:t>
      </w:r>
      <w:r w:rsidRPr="00256EFE">
        <w:rPr>
          <w:sz w:val="20"/>
          <w:szCs w:val="20"/>
        </w:rPr>
        <w:t>age of 13 without</w:t>
      </w:r>
      <w:r>
        <w:rPr>
          <w:sz w:val="20"/>
          <w:szCs w:val="20"/>
        </w:rPr>
        <w:t xml:space="preserve"> </w:t>
      </w:r>
      <w:r w:rsidRPr="00256EFE">
        <w:rPr>
          <w:sz w:val="20"/>
          <w:szCs w:val="20"/>
        </w:rPr>
        <w:t>physical coercion to</w:t>
      </w:r>
      <w:r>
        <w:rPr>
          <w:sz w:val="20"/>
          <w:szCs w:val="20"/>
        </w:rPr>
        <w:t xml:space="preserve"> </w:t>
      </w:r>
      <w:r w:rsidRPr="00256EFE">
        <w:rPr>
          <w:sz w:val="20"/>
          <w:szCs w:val="20"/>
        </w:rPr>
        <w:t>marry her and at the</w:t>
      </w:r>
      <w:r>
        <w:rPr>
          <w:sz w:val="20"/>
          <w:szCs w:val="20"/>
        </w:rPr>
        <w:t xml:space="preserve"> </w:t>
      </w:r>
      <w:r w:rsidRPr="00256EFE">
        <w:rPr>
          <w:sz w:val="20"/>
          <w:szCs w:val="20"/>
        </w:rPr>
        <w:t>same time terminate</w:t>
      </w:r>
      <w:r>
        <w:rPr>
          <w:sz w:val="20"/>
          <w:szCs w:val="20"/>
        </w:rPr>
        <w:t xml:space="preserve"> </w:t>
      </w:r>
      <w:r w:rsidRPr="00256EFE">
        <w:rPr>
          <w:sz w:val="20"/>
          <w:szCs w:val="20"/>
        </w:rPr>
        <w:t>any criminal</w:t>
      </w:r>
      <w:r>
        <w:rPr>
          <w:sz w:val="20"/>
          <w:szCs w:val="20"/>
        </w:rPr>
        <w:t xml:space="preserve"> </w:t>
      </w:r>
      <w:r w:rsidRPr="00256EFE">
        <w:rPr>
          <w:sz w:val="20"/>
          <w:szCs w:val="20"/>
        </w:rPr>
        <w:t>proceedings.</w:t>
      </w:r>
      <w:r>
        <w:rPr>
          <w:rStyle w:val="FootnoteReference"/>
          <w:sz w:val="20"/>
          <w:szCs w:val="20"/>
        </w:rPr>
        <w:footnoteReference w:id="15"/>
      </w:r>
      <w:r w:rsidRPr="00256EFE">
        <w:rPr>
          <w:sz w:val="20"/>
          <w:szCs w:val="20"/>
        </w:rPr>
        <w:t xml:space="preserve"> In</w:t>
      </w:r>
      <w:r>
        <w:rPr>
          <w:sz w:val="20"/>
          <w:szCs w:val="20"/>
        </w:rPr>
        <w:t xml:space="preserve"> </w:t>
      </w:r>
      <w:r w:rsidRPr="00256EFE">
        <w:rPr>
          <w:sz w:val="20"/>
          <w:szCs w:val="20"/>
        </w:rPr>
        <w:t>this regard,</w:t>
      </w:r>
      <w:r>
        <w:rPr>
          <w:sz w:val="20"/>
          <w:szCs w:val="20"/>
        </w:rPr>
        <w:t xml:space="preserve"> </w:t>
      </w:r>
      <w:r w:rsidRPr="00256EFE">
        <w:rPr>
          <w:sz w:val="20"/>
          <w:szCs w:val="20"/>
        </w:rPr>
        <w:t>according to media</w:t>
      </w:r>
      <w:r>
        <w:rPr>
          <w:sz w:val="20"/>
          <w:szCs w:val="20"/>
        </w:rPr>
        <w:t xml:space="preserve"> </w:t>
      </w:r>
      <w:r w:rsidRPr="00256EFE">
        <w:rPr>
          <w:sz w:val="20"/>
          <w:szCs w:val="20"/>
        </w:rPr>
        <w:t>reports, a Tunisian</w:t>
      </w:r>
      <w:r>
        <w:rPr>
          <w:sz w:val="20"/>
          <w:szCs w:val="20"/>
        </w:rPr>
        <w:t xml:space="preserve"> </w:t>
      </w:r>
      <w:r w:rsidRPr="00256EFE">
        <w:rPr>
          <w:sz w:val="20"/>
          <w:szCs w:val="20"/>
        </w:rPr>
        <w:t>court, relying on</w:t>
      </w:r>
      <w:r>
        <w:rPr>
          <w:sz w:val="20"/>
          <w:szCs w:val="20"/>
        </w:rPr>
        <w:t xml:space="preserve"> </w:t>
      </w:r>
      <w:r w:rsidRPr="00256EFE">
        <w:rPr>
          <w:sz w:val="20"/>
          <w:szCs w:val="20"/>
        </w:rPr>
        <w:t>Article 227bis of the</w:t>
      </w:r>
      <w:r>
        <w:rPr>
          <w:sz w:val="20"/>
          <w:szCs w:val="20"/>
        </w:rPr>
        <w:t xml:space="preserve"> </w:t>
      </w:r>
      <w:r w:rsidRPr="00256EFE">
        <w:rPr>
          <w:sz w:val="20"/>
          <w:szCs w:val="20"/>
        </w:rPr>
        <w:t>Criminal Code,</w:t>
      </w:r>
      <w:r>
        <w:rPr>
          <w:sz w:val="20"/>
          <w:szCs w:val="20"/>
        </w:rPr>
        <w:t xml:space="preserve"> </w:t>
      </w:r>
      <w:r w:rsidRPr="00256EFE">
        <w:rPr>
          <w:sz w:val="20"/>
          <w:szCs w:val="20"/>
        </w:rPr>
        <w:t>approved the</w:t>
      </w:r>
      <w:r>
        <w:rPr>
          <w:sz w:val="20"/>
          <w:szCs w:val="20"/>
        </w:rPr>
        <w:t xml:space="preserve"> </w:t>
      </w:r>
      <w:r w:rsidRPr="00256EFE">
        <w:rPr>
          <w:sz w:val="20"/>
          <w:szCs w:val="20"/>
        </w:rPr>
        <w:t>marriage of a</w:t>
      </w:r>
      <w:r>
        <w:rPr>
          <w:sz w:val="20"/>
          <w:szCs w:val="20"/>
        </w:rPr>
        <w:t xml:space="preserve"> </w:t>
      </w:r>
      <w:r w:rsidRPr="00256EFE">
        <w:rPr>
          <w:sz w:val="20"/>
          <w:szCs w:val="20"/>
        </w:rPr>
        <w:t>13-year old girl to</w:t>
      </w:r>
      <w:r>
        <w:rPr>
          <w:sz w:val="20"/>
          <w:szCs w:val="20"/>
        </w:rPr>
        <w:t xml:space="preserve"> </w:t>
      </w:r>
      <w:r w:rsidRPr="00256EFE">
        <w:rPr>
          <w:sz w:val="20"/>
          <w:szCs w:val="20"/>
        </w:rPr>
        <w:t>her 20-year old</w:t>
      </w:r>
      <w:r>
        <w:rPr>
          <w:sz w:val="20"/>
          <w:szCs w:val="20"/>
        </w:rPr>
        <w:t xml:space="preserve"> </w:t>
      </w:r>
      <w:r w:rsidRPr="00256EFE">
        <w:rPr>
          <w:sz w:val="20"/>
          <w:szCs w:val="20"/>
        </w:rPr>
        <w:t>brother-in-law who</w:t>
      </w:r>
      <w:r>
        <w:rPr>
          <w:sz w:val="20"/>
          <w:szCs w:val="20"/>
        </w:rPr>
        <w:t xml:space="preserve"> </w:t>
      </w:r>
      <w:r w:rsidRPr="00256EFE">
        <w:rPr>
          <w:sz w:val="20"/>
          <w:szCs w:val="20"/>
        </w:rPr>
        <w:t>made her pregnant</w:t>
      </w:r>
      <w:r>
        <w:rPr>
          <w:sz w:val="20"/>
          <w:szCs w:val="20"/>
        </w:rPr>
        <w:t xml:space="preserve"> </w:t>
      </w:r>
      <w:r w:rsidRPr="00256EFE">
        <w:rPr>
          <w:sz w:val="20"/>
          <w:szCs w:val="20"/>
        </w:rPr>
        <w:t>despite the</w:t>
      </w:r>
      <w:r>
        <w:rPr>
          <w:sz w:val="20"/>
          <w:szCs w:val="20"/>
        </w:rPr>
        <w:t xml:space="preserve"> </w:t>
      </w:r>
      <w:r w:rsidRPr="00256EFE">
        <w:rPr>
          <w:sz w:val="20"/>
          <w:szCs w:val="20"/>
        </w:rPr>
        <w:t>objections of their</w:t>
      </w:r>
      <w:r>
        <w:rPr>
          <w:sz w:val="20"/>
          <w:szCs w:val="20"/>
        </w:rPr>
        <w:t xml:space="preserve"> </w:t>
      </w:r>
      <w:r w:rsidRPr="00256EFE">
        <w:rPr>
          <w:sz w:val="20"/>
          <w:szCs w:val="20"/>
        </w:rPr>
        <w:t>parents.</w:t>
      </w:r>
      <w:r>
        <w:rPr>
          <w:rStyle w:val="FootnoteReference"/>
          <w:sz w:val="20"/>
          <w:szCs w:val="20"/>
        </w:rPr>
        <w:footnoteReference w:id="16"/>
      </w:r>
    </w:p>
    <w:p w14:paraId="3D0CE875" w14:textId="333EB4C2" w:rsidR="00256EFE" w:rsidRDefault="00256EFE" w:rsidP="00654938">
      <w:pPr>
        <w:jc w:val="both"/>
        <w:rPr>
          <w:sz w:val="20"/>
          <w:szCs w:val="20"/>
        </w:rPr>
      </w:pPr>
    </w:p>
    <w:p w14:paraId="07A951AB" w14:textId="68C0B655" w:rsidR="00256EFE" w:rsidRDefault="00256EFE" w:rsidP="00654938">
      <w:pPr>
        <w:jc w:val="both"/>
        <w:rPr>
          <w:sz w:val="20"/>
          <w:szCs w:val="20"/>
        </w:rPr>
      </w:pPr>
      <w:r w:rsidRPr="00256EFE">
        <w:rPr>
          <w:sz w:val="20"/>
          <w:szCs w:val="20"/>
        </w:rPr>
        <w:t>According to UNICEF’s</w:t>
      </w:r>
      <w:r>
        <w:rPr>
          <w:sz w:val="20"/>
          <w:szCs w:val="20"/>
        </w:rPr>
        <w:t xml:space="preserve"> </w:t>
      </w:r>
      <w:r w:rsidRPr="00256EFE">
        <w:rPr>
          <w:sz w:val="20"/>
          <w:szCs w:val="20"/>
        </w:rPr>
        <w:t>2016 State of the World’s</w:t>
      </w:r>
      <w:r>
        <w:rPr>
          <w:sz w:val="20"/>
          <w:szCs w:val="20"/>
        </w:rPr>
        <w:t xml:space="preserve"> </w:t>
      </w:r>
      <w:r w:rsidRPr="00256EFE">
        <w:rPr>
          <w:sz w:val="20"/>
          <w:szCs w:val="20"/>
        </w:rPr>
        <w:t>Children Report, 2% of</w:t>
      </w:r>
      <w:r>
        <w:rPr>
          <w:sz w:val="20"/>
          <w:szCs w:val="20"/>
        </w:rPr>
        <w:t xml:space="preserve"> </w:t>
      </w:r>
      <w:r w:rsidRPr="00256EFE">
        <w:rPr>
          <w:sz w:val="20"/>
          <w:szCs w:val="20"/>
        </w:rPr>
        <w:t>women aged 20-24 in</w:t>
      </w:r>
      <w:r>
        <w:rPr>
          <w:sz w:val="20"/>
          <w:szCs w:val="20"/>
        </w:rPr>
        <w:t xml:space="preserve"> </w:t>
      </w:r>
      <w:r w:rsidRPr="00256EFE">
        <w:rPr>
          <w:sz w:val="20"/>
          <w:szCs w:val="20"/>
        </w:rPr>
        <w:t>Tunisia were first married</w:t>
      </w:r>
      <w:r>
        <w:rPr>
          <w:sz w:val="20"/>
          <w:szCs w:val="20"/>
        </w:rPr>
        <w:t xml:space="preserve"> </w:t>
      </w:r>
      <w:r w:rsidRPr="00256EFE">
        <w:rPr>
          <w:sz w:val="20"/>
          <w:szCs w:val="20"/>
        </w:rPr>
        <w:t>by 18</w:t>
      </w:r>
      <w:r>
        <w:rPr>
          <w:sz w:val="20"/>
          <w:szCs w:val="20"/>
        </w:rPr>
        <w:t>.</w:t>
      </w:r>
      <w:r>
        <w:rPr>
          <w:rStyle w:val="FootnoteReference"/>
          <w:sz w:val="20"/>
          <w:szCs w:val="20"/>
        </w:rPr>
        <w:footnoteReference w:id="17"/>
      </w:r>
    </w:p>
    <w:p w14:paraId="4E7C05E9" w14:textId="05F5BF4E" w:rsidR="007C55CD" w:rsidRDefault="007C55CD" w:rsidP="00654938">
      <w:pPr>
        <w:jc w:val="both"/>
        <w:rPr>
          <w:sz w:val="20"/>
          <w:szCs w:val="20"/>
        </w:rPr>
      </w:pPr>
    </w:p>
    <w:p w14:paraId="33E1A6A0" w14:textId="72C205B7" w:rsidR="007C55CD" w:rsidRDefault="007C55CD" w:rsidP="00654938">
      <w:pPr>
        <w:jc w:val="both"/>
        <w:rPr>
          <w:sz w:val="20"/>
          <w:szCs w:val="20"/>
        </w:rPr>
      </w:pPr>
    </w:p>
    <w:p w14:paraId="1C24D25B" w14:textId="07693E9D" w:rsidR="007C55CD" w:rsidRDefault="007C55CD" w:rsidP="0028588C">
      <w:pPr>
        <w:rPr>
          <w:sz w:val="20"/>
          <w:szCs w:val="20"/>
        </w:rPr>
      </w:pPr>
      <w:r>
        <w:rPr>
          <w:rFonts w:ascii="Arial" w:hAnsi="Arial" w:cs="Arial"/>
          <w:noProof/>
          <w:color w:val="000000"/>
          <w:sz w:val="20"/>
          <w:szCs w:val="20"/>
        </w:rPr>
        <w:lastRenderedPageBreak/>
        <w:drawing>
          <wp:inline distT="0" distB="0" distL="0" distR="0" wp14:anchorId="75B6A0D9" wp14:editId="6A79E8F1">
            <wp:extent cx="5645160" cy="320040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8">
                      <a:extLst>
                        <a:ext uri="{28A0092B-C50C-407E-A947-70E740481C1C}">
                          <a14:useLocalDpi xmlns:a14="http://schemas.microsoft.com/office/drawing/2010/main" val="0"/>
                        </a:ext>
                      </a:extLst>
                    </a:blip>
                    <a:stretch>
                      <a:fillRect/>
                    </a:stretch>
                  </pic:blipFill>
                  <pic:spPr>
                    <a:xfrm>
                      <a:off x="0" y="0"/>
                      <a:ext cx="5689583" cy="3225585"/>
                    </a:xfrm>
                    <a:prstGeom prst="rect">
                      <a:avLst/>
                    </a:prstGeom>
                  </pic:spPr>
                </pic:pic>
              </a:graphicData>
            </a:graphic>
          </wp:inline>
        </w:drawing>
      </w:r>
    </w:p>
    <w:p w14:paraId="6B93D411" w14:textId="77777777" w:rsidR="0028588C" w:rsidRDefault="0028588C" w:rsidP="0028588C">
      <w:pPr>
        <w:rPr>
          <w:sz w:val="20"/>
          <w:szCs w:val="20"/>
        </w:rPr>
      </w:pPr>
    </w:p>
    <w:p w14:paraId="12FC5B43" w14:textId="1723A456" w:rsidR="007C55CD" w:rsidRPr="007C55CD" w:rsidRDefault="0028588C" w:rsidP="0028588C">
      <w:pPr>
        <w:jc w:val="center"/>
        <w:rPr>
          <w:sz w:val="20"/>
          <w:szCs w:val="20"/>
        </w:rPr>
      </w:pPr>
      <w:r w:rsidRPr="003E6EAD">
        <w:rPr>
          <w:rFonts w:ascii="Arial" w:hAnsi="Arial" w:cs="Arial"/>
          <w:color w:val="000000"/>
          <w:sz w:val="22"/>
          <w:szCs w:val="22"/>
          <w:bdr w:val="none" w:sz="0" w:space="0" w:color="auto" w:frame="1"/>
          <w:lang w:eastAsia="en-GB"/>
        </w:rPr>
        <w:fldChar w:fldCharType="begin"/>
      </w:r>
      <w:r w:rsidRPr="003E6EAD">
        <w:rPr>
          <w:rFonts w:ascii="Arial" w:hAnsi="Arial" w:cs="Arial"/>
          <w:color w:val="000000"/>
          <w:sz w:val="22"/>
          <w:szCs w:val="22"/>
          <w:bdr w:val="none" w:sz="0" w:space="0" w:color="auto" w:frame="1"/>
          <w:lang w:eastAsia="en-GB"/>
        </w:rPr>
        <w:instrText xml:space="preserve"> INCLUDEPICTURE "https://lh5.googleusercontent.com/OU61bUHKjC49YCTmdOdh2FrzSmR9MU7mPV4kpbKghKd-XVsPwkkT9F7bNPDCVxO8w8eMBUbiWsytLxul8I-Ou4nlZmAMe2tQFcOIChIMNityXuT4c8z7mgqNQI2S3E1Nh8AcHhx8Iobjmbg-OA" \* MERGEFORMATINET </w:instrText>
      </w:r>
      <w:r w:rsidRPr="003E6EAD">
        <w:rPr>
          <w:rFonts w:ascii="Arial" w:hAnsi="Arial" w:cs="Arial"/>
          <w:color w:val="000000"/>
          <w:sz w:val="22"/>
          <w:szCs w:val="22"/>
          <w:bdr w:val="none" w:sz="0" w:space="0" w:color="auto" w:frame="1"/>
          <w:lang w:eastAsia="en-GB"/>
        </w:rPr>
        <w:fldChar w:fldCharType="separate"/>
      </w:r>
      <w:r w:rsidRPr="003E6EAD">
        <w:rPr>
          <w:rFonts w:ascii="Arial" w:hAnsi="Arial" w:cs="Arial"/>
          <w:noProof/>
          <w:color w:val="000000"/>
          <w:sz w:val="22"/>
          <w:szCs w:val="22"/>
          <w:bdr w:val="none" w:sz="0" w:space="0" w:color="auto" w:frame="1"/>
          <w:lang w:eastAsia="en-GB"/>
        </w:rPr>
        <w:drawing>
          <wp:inline distT="0" distB="0" distL="0" distR="0" wp14:anchorId="4D643655" wp14:editId="3A2DBAEF">
            <wp:extent cx="5666945" cy="32131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1314" t="50189" r="2008" b="1319"/>
                    <a:stretch/>
                  </pic:blipFill>
                  <pic:spPr bwMode="auto">
                    <a:xfrm>
                      <a:off x="0" y="0"/>
                      <a:ext cx="5693504" cy="3228159"/>
                    </a:xfrm>
                    <a:prstGeom prst="rect">
                      <a:avLst/>
                    </a:prstGeom>
                    <a:noFill/>
                    <a:ln>
                      <a:noFill/>
                    </a:ln>
                    <a:extLst>
                      <a:ext uri="{53640926-AAD7-44D8-BBD7-CCE9431645EC}">
                        <a14:shadowObscured xmlns:a14="http://schemas.microsoft.com/office/drawing/2010/main"/>
                      </a:ext>
                    </a:extLst>
                  </pic:spPr>
                </pic:pic>
              </a:graphicData>
            </a:graphic>
          </wp:inline>
        </w:drawing>
      </w:r>
      <w:r w:rsidRPr="003E6EAD">
        <w:rPr>
          <w:rFonts w:ascii="Arial" w:hAnsi="Arial" w:cs="Arial"/>
          <w:color w:val="000000"/>
          <w:sz w:val="22"/>
          <w:szCs w:val="22"/>
          <w:bdr w:val="none" w:sz="0" w:space="0" w:color="auto" w:frame="1"/>
          <w:lang w:eastAsia="en-GB"/>
        </w:rPr>
        <w:fldChar w:fldCharType="end"/>
      </w:r>
    </w:p>
    <w:p w14:paraId="3AB1747D" w14:textId="77777777" w:rsidR="007C55CD" w:rsidRDefault="007C55CD" w:rsidP="00B3395C">
      <w:pPr>
        <w:rPr>
          <w:b/>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03"/>
      </w:tblGrid>
      <w:tr w:rsidR="007C55CD" w:rsidRPr="000B3F10" w14:paraId="7169C88A" w14:textId="77777777" w:rsidTr="00A657CA">
        <w:trPr>
          <w:trHeight w:val="721"/>
        </w:trPr>
        <w:tc>
          <w:tcPr>
            <w:tcW w:w="8903" w:type="dxa"/>
            <w:shd w:val="clear" w:color="auto" w:fill="D9D9D9" w:themeFill="background1" w:themeFillShade="D9"/>
            <w:tcMar>
              <w:top w:w="100" w:type="dxa"/>
              <w:left w:w="100" w:type="dxa"/>
              <w:bottom w:w="100" w:type="dxa"/>
              <w:right w:w="100" w:type="dxa"/>
            </w:tcMar>
          </w:tcPr>
          <w:p w14:paraId="6BC4A6E1" w14:textId="77777777" w:rsidR="007C55CD" w:rsidRPr="000B3F10" w:rsidRDefault="007C55CD" w:rsidP="00EC6E8F">
            <w:pPr>
              <w:widowControl w:val="0"/>
              <w:spacing w:before="240" w:after="240"/>
              <w:jc w:val="both"/>
              <w:rPr>
                <w:b/>
                <w:sz w:val="20"/>
                <w:szCs w:val="20"/>
                <w:u w:val="single"/>
              </w:rPr>
            </w:pPr>
            <w:r w:rsidRPr="000B3F10">
              <w:rPr>
                <w:b/>
                <w:sz w:val="20"/>
                <w:szCs w:val="20"/>
                <w:u w:val="single"/>
              </w:rPr>
              <w:t>RECOMMENDATIONS</w:t>
            </w:r>
          </w:p>
          <w:p w14:paraId="78E2D235" w14:textId="6C461C54" w:rsidR="007C55CD" w:rsidRDefault="007C55CD" w:rsidP="00054EF2">
            <w:pPr>
              <w:jc w:val="both"/>
              <w:rPr>
                <w:sz w:val="20"/>
                <w:szCs w:val="20"/>
              </w:rPr>
            </w:pPr>
            <w:r w:rsidRPr="000B3F10">
              <w:rPr>
                <w:b/>
                <w:bCs/>
                <w:sz w:val="20"/>
                <w:szCs w:val="20"/>
              </w:rPr>
              <w:t>We recommend the CEDAW Committee urge the State party to:</w:t>
            </w:r>
          </w:p>
          <w:p w14:paraId="58B9BD2C" w14:textId="77777777" w:rsidR="00054EF2" w:rsidRPr="00054EF2" w:rsidRDefault="00054EF2" w:rsidP="00054EF2">
            <w:pPr>
              <w:jc w:val="both"/>
              <w:rPr>
                <w:sz w:val="20"/>
                <w:szCs w:val="20"/>
              </w:rPr>
            </w:pPr>
          </w:p>
          <w:p w14:paraId="3F689B53" w14:textId="148901DC" w:rsidR="007C55CD" w:rsidRPr="00654938" w:rsidRDefault="00654938" w:rsidP="007C55CD">
            <w:pPr>
              <w:pStyle w:val="ListParagraph"/>
              <w:numPr>
                <w:ilvl w:val="0"/>
                <w:numId w:val="15"/>
              </w:numPr>
              <w:spacing w:after="160" w:line="259" w:lineRule="auto"/>
              <w:jc w:val="both"/>
              <w:rPr>
                <w:rFonts w:eastAsiaTheme="minorEastAsia"/>
                <w:sz w:val="20"/>
                <w:szCs w:val="20"/>
              </w:rPr>
            </w:pPr>
            <w:r w:rsidRPr="00654938">
              <w:rPr>
                <w:rFonts w:eastAsiaTheme="minorEastAsia"/>
                <w:sz w:val="20"/>
                <w:szCs w:val="20"/>
              </w:rPr>
              <w:t>Amend the Personal Status Code</w:t>
            </w:r>
            <w:r w:rsidR="007C55CD" w:rsidRPr="00654938">
              <w:rPr>
                <w:rFonts w:eastAsiaTheme="minorEastAsia"/>
                <w:sz w:val="20"/>
                <w:szCs w:val="20"/>
              </w:rPr>
              <w:t xml:space="preserve"> to prohibit child marriage of any person under the age of 18 without exception.</w:t>
            </w:r>
          </w:p>
          <w:p w14:paraId="2B1B84FD" w14:textId="77777777" w:rsidR="007C55CD" w:rsidRPr="00654938" w:rsidRDefault="007C55CD" w:rsidP="00EC6E8F">
            <w:pPr>
              <w:pStyle w:val="ListParagraph"/>
              <w:spacing w:after="160" w:line="259" w:lineRule="auto"/>
              <w:jc w:val="both"/>
              <w:rPr>
                <w:rFonts w:eastAsiaTheme="minorEastAsia"/>
                <w:sz w:val="20"/>
                <w:szCs w:val="20"/>
              </w:rPr>
            </w:pPr>
          </w:p>
          <w:p w14:paraId="59C99C79" w14:textId="77777777" w:rsidR="007C55CD" w:rsidRPr="00654938" w:rsidRDefault="007C55CD" w:rsidP="007C55CD">
            <w:pPr>
              <w:pStyle w:val="ListParagraph"/>
              <w:numPr>
                <w:ilvl w:val="0"/>
                <w:numId w:val="15"/>
              </w:numPr>
              <w:spacing w:after="160" w:line="259" w:lineRule="auto"/>
              <w:jc w:val="both"/>
              <w:rPr>
                <w:rFonts w:eastAsiaTheme="minorEastAsia"/>
                <w:sz w:val="20"/>
                <w:szCs w:val="20"/>
              </w:rPr>
            </w:pPr>
            <w:r w:rsidRPr="00654938">
              <w:rPr>
                <w:rFonts w:eastAsiaTheme="minorEastAsia"/>
                <w:sz w:val="20"/>
                <w:szCs w:val="20"/>
              </w:rPr>
              <w:t xml:space="preserve">Criminalize child marriage through specific legal provisions and deterrent penalties, and </w:t>
            </w:r>
            <w:r w:rsidRPr="00654938">
              <w:rPr>
                <w:bCs/>
                <w:sz w:val="20"/>
                <w:szCs w:val="20"/>
              </w:rPr>
              <w:t>introduce penalties for guardians and marriage officiators who contract the marriage of a child.</w:t>
            </w:r>
          </w:p>
          <w:p w14:paraId="2684C180" w14:textId="77777777" w:rsidR="007C55CD" w:rsidRPr="00AA003F" w:rsidRDefault="007C55CD" w:rsidP="00EC6E8F">
            <w:pPr>
              <w:pStyle w:val="ListParagraph"/>
              <w:widowControl w:val="0"/>
              <w:spacing w:before="240" w:after="240"/>
              <w:jc w:val="both"/>
              <w:rPr>
                <w:b/>
                <w:sz w:val="20"/>
                <w:szCs w:val="20"/>
                <w:highlight w:val="yellow"/>
              </w:rPr>
            </w:pPr>
          </w:p>
          <w:p w14:paraId="4E00026C" w14:textId="77777777" w:rsidR="007C55CD" w:rsidRPr="000B3F10" w:rsidRDefault="007C55CD" w:rsidP="007C55CD">
            <w:pPr>
              <w:pStyle w:val="ListParagraph"/>
              <w:numPr>
                <w:ilvl w:val="0"/>
                <w:numId w:val="15"/>
              </w:numPr>
              <w:spacing w:after="160" w:line="259" w:lineRule="auto"/>
              <w:jc w:val="both"/>
              <w:rPr>
                <w:rFonts w:eastAsiaTheme="minorEastAsia"/>
                <w:sz w:val="20"/>
                <w:szCs w:val="20"/>
              </w:rPr>
            </w:pPr>
            <w:r w:rsidRPr="00654938">
              <w:rPr>
                <w:sz w:val="20"/>
                <w:szCs w:val="20"/>
              </w:rPr>
              <w:t>Provide targeted training programs to law enforcement officials, the judiciary, healthcare workers, and social workers to respond to reports of child marriage, and provide adequate support to victims.</w:t>
            </w:r>
          </w:p>
        </w:tc>
      </w:tr>
    </w:tbl>
    <w:p w14:paraId="2F749A9E" w14:textId="6C5D113F" w:rsidR="00A1102C" w:rsidRPr="00A657CA" w:rsidRDefault="00A1102C" w:rsidP="00A657CA">
      <w:pPr>
        <w:widowControl w:val="0"/>
        <w:rPr>
          <w:rFonts w:ascii="Arial" w:hAnsi="Arial" w:cs="Arial"/>
          <w:sz w:val="20"/>
          <w:szCs w:val="20"/>
        </w:rPr>
      </w:pPr>
    </w:p>
    <w:p w14:paraId="3016898C" w14:textId="53C1BFD1" w:rsidR="00473D28" w:rsidRPr="00DD0113" w:rsidRDefault="00ED384D" w:rsidP="00892FA5">
      <w:pPr>
        <w:pStyle w:val="Heading2"/>
      </w:pPr>
      <w:bookmarkStart w:id="17" w:name="_Toc124196202"/>
      <w:r>
        <w:t>Marital Rape</w:t>
      </w:r>
      <w:r>
        <w:tab/>
      </w:r>
      <w:r>
        <w:tab/>
      </w:r>
      <w:r>
        <w:tab/>
      </w:r>
      <w:r>
        <w:tab/>
      </w:r>
      <w:r w:rsidR="00473D28">
        <w:tab/>
      </w:r>
      <w:r w:rsidR="00473D28">
        <w:tab/>
      </w:r>
      <w:r w:rsidR="00F266AC">
        <w:t xml:space="preserve">        </w:t>
      </w:r>
      <w:r w:rsidR="007C55CD">
        <w:tab/>
      </w:r>
      <w:r w:rsidR="007C55CD">
        <w:tab/>
        <w:t xml:space="preserve">          </w:t>
      </w:r>
      <w:r w:rsidR="00F266AC" w:rsidRPr="00892321">
        <w:t xml:space="preserve">Article </w:t>
      </w:r>
      <w:r w:rsidR="007C55CD">
        <w:t>16</w:t>
      </w:r>
      <w:bookmarkEnd w:id="17"/>
    </w:p>
    <w:p w14:paraId="6BA78923" w14:textId="14C7C279" w:rsidR="00473D28" w:rsidRDefault="00473D28" w:rsidP="00473D28">
      <w:pPr>
        <w:widowControl w:val="0"/>
        <w:rPr>
          <w:rFonts w:ascii="Arial" w:hAnsi="Arial" w:cs="Arial"/>
        </w:rPr>
      </w:pPr>
    </w:p>
    <w:p w14:paraId="62B7DA53" w14:textId="116FDA03" w:rsidR="002A4504" w:rsidRDefault="00ED384D" w:rsidP="004E5DB4">
      <w:pPr>
        <w:jc w:val="both"/>
        <w:rPr>
          <w:sz w:val="20"/>
          <w:szCs w:val="20"/>
        </w:rPr>
      </w:pPr>
      <w:r w:rsidRPr="00ED384D">
        <w:rPr>
          <w:sz w:val="20"/>
          <w:szCs w:val="20"/>
        </w:rPr>
        <w:t>Marital rape is not specifically criminalized</w:t>
      </w:r>
      <w:r>
        <w:rPr>
          <w:sz w:val="20"/>
          <w:szCs w:val="20"/>
        </w:rPr>
        <w:t xml:space="preserve"> in Tunisia</w:t>
      </w:r>
      <w:r w:rsidRPr="00ED384D">
        <w:rPr>
          <w:sz w:val="20"/>
          <w:szCs w:val="20"/>
        </w:rPr>
        <w:t>.</w:t>
      </w:r>
      <w:r>
        <w:rPr>
          <w:rStyle w:val="FootnoteReference"/>
          <w:sz w:val="20"/>
          <w:szCs w:val="20"/>
        </w:rPr>
        <w:footnoteReference w:id="18"/>
      </w:r>
      <w:r w:rsidRPr="00ED384D">
        <w:rPr>
          <w:sz w:val="20"/>
          <w:szCs w:val="20"/>
        </w:rPr>
        <w:t xml:space="preserve"> The Personal Status Code requires both spouses to “fulfil their marital obligations according to custom.” </w:t>
      </w:r>
      <w:r w:rsidR="002E20EC" w:rsidRPr="002E20EC">
        <w:rPr>
          <w:sz w:val="20"/>
          <w:szCs w:val="20"/>
        </w:rPr>
        <w:t>Article 13 of the PSC provides</w:t>
      </w:r>
      <w:r w:rsidR="002E20EC">
        <w:rPr>
          <w:sz w:val="20"/>
          <w:szCs w:val="20"/>
        </w:rPr>
        <w:t xml:space="preserve"> </w:t>
      </w:r>
      <w:r w:rsidR="002E20EC" w:rsidRPr="002E20EC">
        <w:rPr>
          <w:sz w:val="20"/>
          <w:szCs w:val="20"/>
        </w:rPr>
        <w:t>that “a husband cannot, if he has</w:t>
      </w:r>
      <w:r w:rsidR="002E20EC">
        <w:rPr>
          <w:sz w:val="20"/>
          <w:szCs w:val="20"/>
        </w:rPr>
        <w:t xml:space="preserve"> </w:t>
      </w:r>
      <w:r w:rsidR="002E20EC" w:rsidRPr="002E20EC">
        <w:rPr>
          <w:sz w:val="20"/>
          <w:szCs w:val="20"/>
        </w:rPr>
        <w:t>not paid the dowry, compel the</w:t>
      </w:r>
      <w:r w:rsidR="002E20EC">
        <w:rPr>
          <w:sz w:val="20"/>
          <w:szCs w:val="20"/>
        </w:rPr>
        <w:t xml:space="preserve"> </w:t>
      </w:r>
      <w:r w:rsidR="002E20EC" w:rsidRPr="002E20EC">
        <w:rPr>
          <w:sz w:val="20"/>
          <w:szCs w:val="20"/>
        </w:rPr>
        <w:t>woman to the consummation of</w:t>
      </w:r>
      <w:r w:rsidR="002E20EC">
        <w:rPr>
          <w:sz w:val="20"/>
          <w:szCs w:val="20"/>
        </w:rPr>
        <w:t xml:space="preserve"> </w:t>
      </w:r>
      <w:r w:rsidR="002E20EC" w:rsidRPr="002E20EC">
        <w:rPr>
          <w:sz w:val="20"/>
          <w:szCs w:val="20"/>
        </w:rPr>
        <w:t>marriage.”</w:t>
      </w:r>
      <w:r w:rsidR="002E20EC">
        <w:rPr>
          <w:sz w:val="20"/>
          <w:szCs w:val="20"/>
        </w:rPr>
        <w:t xml:space="preserve"> </w:t>
      </w:r>
      <w:r w:rsidR="002A4504" w:rsidRPr="002A4504">
        <w:rPr>
          <w:sz w:val="20"/>
          <w:szCs w:val="20"/>
        </w:rPr>
        <w:t>Concerns have been</w:t>
      </w:r>
      <w:r w:rsidR="002A4504">
        <w:rPr>
          <w:sz w:val="20"/>
          <w:szCs w:val="20"/>
        </w:rPr>
        <w:t xml:space="preserve"> </w:t>
      </w:r>
      <w:r w:rsidR="002A4504" w:rsidRPr="002A4504">
        <w:rPr>
          <w:sz w:val="20"/>
          <w:szCs w:val="20"/>
        </w:rPr>
        <w:t>expressed that Articles 13</w:t>
      </w:r>
      <w:r w:rsidR="002A4504">
        <w:rPr>
          <w:sz w:val="20"/>
          <w:szCs w:val="20"/>
        </w:rPr>
        <w:t xml:space="preserve"> </w:t>
      </w:r>
      <w:r w:rsidR="002A4504" w:rsidRPr="002A4504">
        <w:rPr>
          <w:sz w:val="20"/>
          <w:szCs w:val="20"/>
        </w:rPr>
        <w:t>and 23 of the PSC may be</w:t>
      </w:r>
      <w:r w:rsidR="002A4504">
        <w:rPr>
          <w:sz w:val="20"/>
          <w:szCs w:val="20"/>
        </w:rPr>
        <w:t xml:space="preserve"> </w:t>
      </w:r>
      <w:r w:rsidR="002A4504" w:rsidRPr="002A4504">
        <w:rPr>
          <w:sz w:val="20"/>
          <w:szCs w:val="20"/>
        </w:rPr>
        <w:t>interpreted to mean that</w:t>
      </w:r>
      <w:r w:rsidR="002A4504">
        <w:rPr>
          <w:sz w:val="20"/>
          <w:szCs w:val="20"/>
        </w:rPr>
        <w:t xml:space="preserve"> </w:t>
      </w:r>
      <w:r w:rsidR="002A4504" w:rsidRPr="002A4504">
        <w:rPr>
          <w:sz w:val="20"/>
          <w:szCs w:val="20"/>
        </w:rPr>
        <w:t>once the dowry is paid, the</w:t>
      </w:r>
      <w:r w:rsidR="002A4504">
        <w:rPr>
          <w:sz w:val="20"/>
          <w:szCs w:val="20"/>
        </w:rPr>
        <w:t xml:space="preserve"> </w:t>
      </w:r>
      <w:r w:rsidR="002A4504" w:rsidRPr="002A4504">
        <w:rPr>
          <w:sz w:val="20"/>
          <w:szCs w:val="20"/>
        </w:rPr>
        <w:t>husband may force his wife</w:t>
      </w:r>
      <w:r w:rsidR="002A4504">
        <w:rPr>
          <w:sz w:val="20"/>
          <w:szCs w:val="20"/>
        </w:rPr>
        <w:t xml:space="preserve"> </w:t>
      </w:r>
      <w:r w:rsidR="002A4504" w:rsidRPr="002A4504">
        <w:rPr>
          <w:sz w:val="20"/>
          <w:szCs w:val="20"/>
        </w:rPr>
        <w:t>to sexual intercourse.</w:t>
      </w:r>
      <w:r w:rsidR="002A4504">
        <w:rPr>
          <w:rStyle w:val="FootnoteReference"/>
          <w:sz w:val="20"/>
          <w:szCs w:val="20"/>
        </w:rPr>
        <w:footnoteReference w:id="19"/>
      </w:r>
    </w:p>
    <w:p w14:paraId="1AE035CA" w14:textId="4C59A06A" w:rsidR="002A4504" w:rsidRDefault="002A4504" w:rsidP="004E5DB4">
      <w:pPr>
        <w:jc w:val="both"/>
        <w:rPr>
          <w:sz w:val="20"/>
          <w:szCs w:val="20"/>
        </w:rPr>
      </w:pPr>
    </w:p>
    <w:p w14:paraId="26249A3E" w14:textId="5E4388D4" w:rsidR="00F423CA" w:rsidRDefault="0058651B" w:rsidP="0058651B">
      <w:pPr>
        <w:jc w:val="both"/>
        <w:rPr>
          <w:sz w:val="20"/>
          <w:szCs w:val="20"/>
        </w:rPr>
      </w:pPr>
      <w:r w:rsidRPr="0058651B">
        <w:rPr>
          <w:sz w:val="20"/>
          <w:szCs w:val="20"/>
        </w:rPr>
        <w:t>Tunisia has not adopted specific</w:t>
      </w:r>
      <w:r>
        <w:rPr>
          <w:sz w:val="20"/>
          <w:szCs w:val="20"/>
        </w:rPr>
        <w:t xml:space="preserve"> </w:t>
      </w:r>
      <w:r w:rsidRPr="0058651B">
        <w:rPr>
          <w:sz w:val="20"/>
          <w:szCs w:val="20"/>
        </w:rPr>
        <w:t xml:space="preserve">legislation to </w:t>
      </w:r>
      <w:proofErr w:type="spellStart"/>
      <w:r w:rsidRPr="0058651B">
        <w:rPr>
          <w:sz w:val="20"/>
          <w:szCs w:val="20"/>
        </w:rPr>
        <w:t>criminalise</w:t>
      </w:r>
      <w:proofErr w:type="spellEnd"/>
      <w:r w:rsidRPr="0058651B">
        <w:rPr>
          <w:sz w:val="20"/>
          <w:szCs w:val="20"/>
        </w:rPr>
        <w:t xml:space="preserve"> acts of</w:t>
      </w:r>
      <w:r>
        <w:rPr>
          <w:sz w:val="20"/>
          <w:szCs w:val="20"/>
        </w:rPr>
        <w:t xml:space="preserve"> </w:t>
      </w:r>
      <w:r w:rsidRPr="0058651B">
        <w:rPr>
          <w:sz w:val="20"/>
          <w:szCs w:val="20"/>
        </w:rPr>
        <w:t>domestic violence.</w:t>
      </w:r>
      <w:r>
        <w:rPr>
          <w:sz w:val="20"/>
          <w:szCs w:val="20"/>
        </w:rPr>
        <w:t xml:space="preserve"> </w:t>
      </w:r>
      <w:r w:rsidR="002A4504">
        <w:rPr>
          <w:sz w:val="20"/>
          <w:szCs w:val="20"/>
        </w:rPr>
        <w:t>T</w:t>
      </w:r>
      <w:r w:rsidR="00ED384D" w:rsidRPr="00ED384D">
        <w:rPr>
          <w:sz w:val="20"/>
          <w:szCs w:val="20"/>
        </w:rPr>
        <w:t>unisia has indicated to the CEDAW Committee that marital rape can be prosecuted subject to the interpretations of the judge in each case.</w:t>
      </w:r>
      <w:r w:rsidR="002E20EC">
        <w:rPr>
          <w:sz w:val="20"/>
          <w:szCs w:val="20"/>
        </w:rPr>
        <w:t xml:space="preserve"> However, the police generally perceive sexual violence in a marriage as a private matter</w:t>
      </w:r>
      <w:r w:rsidR="00BA4C2B">
        <w:rPr>
          <w:sz w:val="20"/>
          <w:szCs w:val="20"/>
        </w:rPr>
        <w:t>.</w:t>
      </w:r>
    </w:p>
    <w:p w14:paraId="615AAF7C" w14:textId="3DDA60EB" w:rsidR="009D3E28" w:rsidRDefault="009D3E28" w:rsidP="0058651B">
      <w:pPr>
        <w:jc w:val="both"/>
        <w:rPr>
          <w:sz w:val="20"/>
          <w:szCs w:val="20"/>
        </w:rPr>
      </w:pPr>
    </w:p>
    <w:p w14:paraId="7DC4E25F" w14:textId="71F41981" w:rsidR="0058651B" w:rsidRDefault="0058651B" w:rsidP="0058651B">
      <w:pPr>
        <w:jc w:val="center"/>
        <w:rPr>
          <w:sz w:val="20"/>
          <w:szCs w:val="20"/>
        </w:rPr>
      </w:pPr>
      <w:r>
        <w:rPr>
          <w:rFonts w:ascii="Arial" w:hAnsi="Arial" w:cs="Arial"/>
          <w:noProof/>
          <w:sz w:val="20"/>
          <w:szCs w:val="20"/>
        </w:rPr>
        <w:drawing>
          <wp:inline distT="0" distB="0" distL="0" distR="0" wp14:anchorId="3C8362B9" wp14:editId="176F2C99">
            <wp:extent cx="4899991" cy="1751802"/>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29399" cy="1762316"/>
                    </a:xfrm>
                    <a:prstGeom prst="rect">
                      <a:avLst/>
                    </a:prstGeom>
                  </pic:spPr>
                </pic:pic>
              </a:graphicData>
            </a:graphic>
          </wp:inline>
        </w:drawing>
      </w:r>
    </w:p>
    <w:p w14:paraId="365EE7EC" w14:textId="77777777" w:rsidR="0058651B" w:rsidRPr="000B3F10" w:rsidRDefault="0058651B" w:rsidP="007C55CD">
      <w:pPr>
        <w:jc w:val="both"/>
        <w:rPr>
          <w:sz w:val="20"/>
          <w:szCs w:val="20"/>
        </w:rPr>
      </w:pPr>
    </w:p>
    <w:p w14:paraId="0E6F0601" w14:textId="77777777" w:rsidR="007C55CD" w:rsidRPr="000B3F10" w:rsidRDefault="007C55CD" w:rsidP="007C55CD">
      <w:pPr>
        <w:jc w:val="both"/>
        <w:rPr>
          <w:sz w:val="20"/>
          <w:szCs w:val="20"/>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03"/>
      </w:tblGrid>
      <w:tr w:rsidR="007C55CD" w:rsidRPr="000B3F10" w14:paraId="6D94976E" w14:textId="77777777" w:rsidTr="007C55CD">
        <w:trPr>
          <w:trHeight w:val="26"/>
        </w:trPr>
        <w:tc>
          <w:tcPr>
            <w:tcW w:w="8903" w:type="dxa"/>
            <w:shd w:val="clear" w:color="auto" w:fill="D9D9D9" w:themeFill="background1" w:themeFillShade="D9"/>
            <w:tcMar>
              <w:top w:w="100" w:type="dxa"/>
              <w:left w:w="100" w:type="dxa"/>
              <w:bottom w:w="100" w:type="dxa"/>
              <w:right w:w="100" w:type="dxa"/>
            </w:tcMar>
          </w:tcPr>
          <w:p w14:paraId="54460F08" w14:textId="77777777" w:rsidR="007C55CD" w:rsidRPr="000B3F10" w:rsidRDefault="007C55CD" w:rsidP="00EC6E8F">
            <w:pPr>
              <w:widowControl w:val="0"/>
              <w:spacing w:before="240" w:after="240"/>
              <w:jc w:val="both"/>
              <w:rPr>
                <w:b/>
                <w:sz w:val="20"/>
                <w:szCs w:val="20"/>
                <w:u w:val="single"/>
              </w:rPr>
            </w:pPr>
            <w:r w:rsidRPr="000B3F10">
              <w:rPr>
                <w:b/>
                <w:sz w:val="20"/>
                <w:szCs w:val="20"/>
                <w:u w:val="single"/>
              </w:rPr>
              <w:t>RECOMMENDATIONS</w:t>
            </w:r>
          </w:p>
          <w:p w14:paraId="1EBB885D" w14:textId="77777777" w:rsidR="007C55CD" w:rsidRPr="000B3F10" w:rsidRDefault="007C55CD" w:rsidP="00EC6E8F">
            <w:pPr>
              <w:jc w:val="both"/>
              <w:rPr>
                <w:sz w:val="20"/>
                <w:szCs w:val="20"/>
              </w:rPr>
            </w:pPr>
            <w:r w:rsidRPr="000B3F10">
              <w:rPr>
                <w:b/>
                <w:bCs/>
                <w:sz w:val="20"/>
                <w:szCs w:val="20"/>
              </w:rPr>
              <w:t>We recommend the CEDAW Committee urge the State party to:</w:t>
            </w:r>
          </w:p>
          <w:p w14:paraId="1B6B2530" w14:textId="77777777" w:rsidR="007C55CD" w:rsidRPr="000B3F10" w:rsidRDefault="007C55CD" w:rsidP="00EC6E8F">
            <w:pPr>
              <w:pStyle w:val="ListParagraph"/>
              <w:spacing w:after="160" w:line="259" w:lineRule="auto"/>
              <w:jc w:val="both"/>
              <w:rPr>
                <w:rFonts w:eastAsiaTheme="minorEastAsia"/>
                <w:sz w:val="20"/>
                <w:szCs w:val="20"/>
              </w:rPr>
            </w:pPr>
          </w:p>
          <w:p w14:paraId="4EC16D8D" w14:textId="6AB10EE5" w:rsidR="007C55CD" w:rsidRPr="000B3F10" w:rsidRDefault="0058651B" w:rsidP="007C55CD">
            <w:pPr>
              <w:pStyle w:val="ListParagraph"/>
              <w:numPr>
                <w:ilvl w:val="0"/>
                <w:numId w:val="15"/>
              </w:numPr>
              <w:spacing w:after="160" w:line="259" w:lineRule="auto"/>
              <w:jc w:val="both"/>
              <w:rPr>
                <w:rFonts w:eastAsiaTheme="minorEastAsia"/>
                <w:sz w:val="20"/>
                <w:szCs w:val="20"/>
              </w:rPr>
            </w:pPr>
            <w:r>
              <w:rPr>
                <w:rFonts w:eastAsiaTheme="minorEastAsia"/>
                <w:sz w:val="20"/>
                <w:szCs w:val="20"/>
              </w:rPr>
              <w:t xml:space="preserve">Explicitly </w:t>
            </w:r>
            <w:proofErr w:type="spellStart"/>
            <w:r>
              <w:rPr>
                <w:rFonts w:eastAsiaTheme="minorEastAsia"/>
                <w:sz w:val="20"/>
                <w:szCs w:val="20"/>
              </w:rPr>
              <w:t>criminalise</w:t>
            </w:r>
            <w:proofErr w:type="spellEnd"/>
            <w:r>
              <w:rPr>
                <w:rFonts w:eastAsiaTheme="minorEastAsia"/>
                <w:sz w:val="20"/>
                <w:szCs w:val="20"/>
              </w:rPr>
              <w:t xml:space="preserve"> marital rape through its inclusion in the Criminal Code.</w:t>
            </w:r>
          </w:p>
        </w:tc>
      </w:tr>
    </w:tbl>
    <w:p w14:paraId="0B5B4DCE" w14:textId="77777777" w:rsidR="003A1200" w:rsidRPr="005A4B73" w:rsidRDefault="003A1200" w:rsidP="003A1200">
      <w:pPr>
        <w:widowControl w:val="0"/>
        <w:rPr>
          <w:i/>
          <w:iCs/>
          <w:color w:val="FF0000"/>
          <w:sz w:val="20"/>
          <w:szCs w:val="20"/>
        </w:rPr>
      </w:pPr>
    </w:p>
    <w:p w14:paraId="7BFEFC99" w14:textId="77777777" w:rsidR="003A1200" w:rsidRDefault="003A1200" w:rsidP="003A1200">
      <w:pPr>
        <w:rPr>
          <w:rFonts w:eastAsia="Trebuchet MS"/>
          <w:b/>
          <w:smallCaps/>
          <w:color w:val="FFFFFF" w:themeColor="background1"/>
          <w:sz w:val="20"/>
          <w:szCs w:val="20"/>
        </w:rPr>
      </w:pPr>
    </w:p>
    <w:p w14:paraId="5E37AB6C" w14:textId="4F964465" w:rsidR="00337383" w:rsidRPr="00005B50" w:rsidRDefault="007C55CD" w:rsidP="00892FA5">
      <w:pPr>
        <w:pStyle w:val="Heading2"/>
        <w:rPr>
          <w:bCs/>
          <w:iCs/>
        </w:rPr>
      </w:pPr>
      <w:bookmarkStart w:id="18" w:name="_Toc124196203"/>
      <w:r>
        <w:t>Nationality</w:t>
      </w:r>
      <w:r w:rsidR="00005B50" w:rsidRPr="00005B50">
        <w:tab/>
      </w:r>
      <w:r w:rsidR="00005B50" w:rsidRPr="00005B50">
        <w:tab/>
      </w:r>
      <w:r w:rsidR="00005B50" w:rsidRPr="00005B50">
        <w:tab/>
      </w:r>
      <w:r w:rsidR="00005B50">
        <w:t xml:space="preserve">          </w:t>
      </w:r>
      <w:r w:rsidR="003E7E07">
        <w:tab/>
      </w:r>
      <w:r w:rsidR="003E7E07">
        <w:tab/>
      </w:r>
      <w:r w:rsidR="003E7E07">
        <w:tab/>
      </w:r>
      <w:r w:rsidR="003E7E07">
        <w:tab/>
      </w:r>
      <w:r w:rsidR="003E7E07">
        <w:tab/>
        <w:t xml:space="preserve">            </w:t>
      </w:r>
      <w:r w:rsidR="00005B50" w:rsidRPr="00005B50">
        <w:t>Article</w:t>
      </w:r>
      <w:r w:rsidR="009D3E28">
        <w:t xml:space="preserve"> 9</w:t>
      </w:r>
      <w:bookmarkEnd w:id="18"/>
    </w:p>
    <w:p w14:paraId="4D8B4020" w14:textId="52CAAAE9" w:rsidR="00005B50" w:rsidRDefault="00005B50" w:rsidP="00C83691">
      <w:pPr>
        <w:autoSpaceDE w:val="0"/>
        <w:autoSpaceDN w:val="0"/>
        <w:adjustRightInd w:val="0"/>
        <w:jc w:val="both"/>
        <w:rPr>
          <w:color w:val="000000" w:themeColor="text1"/>
          <w:sz w:val="20"/>
          <w:szCs w:val="20"/>
          <w:lang w:val="en-GB"/>
        </w:rPr>
      </w:pPr>
    </w:p>
    <w:p w14:paraId="440B8CC7" w14:textId="4C8B86E7" w:rsidR="003E7E07" w:rsidRDefault="003E7E07" w:rsidP="004E5DB4">
      <w:pPr>
        <w:autoSpaceDE w:val="0"/>
        <w:autoSpaceDN w:val="0"/>
        <w:adjustRightInd w:val="0"/>
        <w:jc w:val="both"/>
        <w:rPr>
          <w:color w:val="000000" w:themeColor="text1"/>
          <w:sz w:val="20"/>
          <w:szCs w:val="20"/>
          <w:lang w:val="en-GB"/>
        </w:rPr>
      </w:pPr>
      <w:r w:rsidRPr="003E7E07">
        <w:rPr>
          <w:color w:val="000000" w:themeColor="text1"/>
          <w:sz w:val="20"/>
          <w:szCs w:val="20"/>
          <w:lang w:val="en-GB"/>
        </w:rPr>
        <w:t>A Tunisian man automatically</w:t>
      </w:r>
      <w:r>
        <w:rPr>
          <w:color w:val="000000" w:themeColor="text1"/>
          <w:sz w:val="20"/>
          <w:szCs w:val="20"/>
          <w:lang w:val="en-GB"/>
        </w:rPr>
        <w:t xml:space="preserve"> </w:t>
      </w:r>
      <w:r w:rsidRPr="003E7E07">
        <w:rPr>
          <w:color w:val="000000" w:themeColor="text1"/>
          <w:sz w:val="20"/>
          <w:szCs w:val="20"/>
          <w:lang w:val="en-GB"/>
        </w:rPr>
        <w:t>passes his nationality to his</w:t>
      </w:r>
      <w:r>
        <w:rPr>
          <w:color w:val="000000" w:themeColor="text1"/>
          <w:sz w:val="20"/>
          <w:szCs w:val="20"/>
          <w:lang w:val="en-GB"/>
        </w:rPr>
        <w:t xml:space="preserve"> </w:t>
      </w:r>
      <w:r w:rsidRPr="003E7E07">
        <w:rPr>
          <w:color w:val="000000" w:themeColor="text1"/>
          <w:sz w:val="20"/>
          <w:szCs w:val="20"/>
          <w:lang w:val="en-GB"/>
        </w:rPr>
        <w:t>non-Tunisian wife if his wife loses</w:t>
      </w:r>
      <w:r>
        <w:rPr>
          <w:color w:val="000000" w:themeColor="text1"/>
          <w:sz w:val="20"/>
          <w:szCs w:val="20"/>
          <w:lang w:val="en-GB"/>
        </w:rPr>
        <w:t xml:space="preserve"> </w:t>
      </w:r>
      <w:r w:rsidRPr="003E7E07">
        <w:rPr>
          <w:color w:val="000000" w:themeColor="text1"/>
          <w:sz w:val="20"/>
          <w:szCs w:val="20"/>
          <w:lang w:val="en-GB"/>
        </w:rPr>
        <w:t>her original nationality upon</w:t>
      </w:r>
      <w:r>
        <w:rPr>
          <w:color w:val="000000" w:themeColor="text1"/>
          <w:sz w:val="20"/>
          <w:szCs w:val="20"/>
          <w:lang w:val="en-GB"/>
        </w:rPr>
        <w:t xml:space="preserve"> </w:t>
      </w:r>
      <w:r w:rsidRPr="003E7E07">
        <w:rPr>
          <w:color w:val="000000" w:themeColor="text1"/>
          <w:sz w:val="20"/>
          <w:szCs w:val="20"/>
          <w:lang w:val="en-GB"/>
        </w:rPr>
        <w:t>marriage to a foreigner. If his wife</w:t>
      </w:r>
      <w:r>
        <w:rPr>
          <w:color w:val="000000" w:themeColor="text1"/>
          <w:sz w:val="20"/>
          <w:szCs w:val="20"/>
          <w:lang w:val="en-GB"/>
        </w:rPr>
        <w:t xml:space="preserve"> </w:t>
      </w:r>
      <w:r w:rsidRPr="003E7E07">
        <w:rPr>
          <w:color w:val="000000" w:themeColor="text1"/>
          <w:sz w:val="20"/>
          <w:szCs w:val="20"/>
          <w:lang w:val="en-GB"/>
        </w:rPr>
        <w:t>is able to retain her nationality</w:t>
      </w:r>
      <w:r>
        <w:rPr>
          <w:color w:val="000000" w:themeColor="text1"/>
          <w:sz w:val="20"/>
          <w:szCs w:val="20"/>
          <w:lang w:val="en-GB"/>
        </w:rPr>
        <w:t xml:space="preserve"> </w:t>
      </w:r>
      <w:r w:rsidRPr="003E7E07">
        <w:rPr>
          <w:color w:val="000000" w:themeColor="text1"/>
          <w:sz w:val="20"/>
          <w:szCs w:val="20"/>
          <w:lang w:val="en-GB"/>
        </w:rPr>
        <w:t>upon marriage to a foreigner, she</w:t>
      </w:r>
      <w:r>
        <w:rPr>
          <w:color w:val="000000" w:themeColor="text1"/>
          <w:sz w:val="20"/>
          <w:szCs w:val="20"/>
          <w:lang w:val="en-GB"/>
        </w:rPr>
        <w:t xml:space="preserve"> </w:t>
      </w:r>
      <w:r w:rsidRPr="003E7E07">
        <w:rPr>
          <w:color w:val="000000" w:themeColor="text1"/>
          <w:sz w:val="20"/>
          <w:szCs w:val="20"/>
          <w:lang w:val="en-GB"/>
        </w:rPr>
        <w:t>may claim Tunisian nationality by</w:t>
      </w:r>
      <w:r>
        <w:rPr>
          <w:color w:val="000000" w:themeColor="text1"/>
          <w:sz w:val="20"/>
          <w:szCs w:val="20"/>
          <w:lang w:val="en-GB"/>
        </w:rPr>
        <w:t xml:space="preserve"> </w:t>
      </w:r>
      <w:r w:rsidRPr="003E7E07">
        <w:rPr>
          <w:color w:val="000000" w:themeColor="text1"/>
          <w:sz w:val="20"/>
          <w:szCs w:val="20"/>
          <w:lang w:val="en-GB"/>
        </w:rPr>
        <w:t>means of a declaration.</w:t>
      </w:r>
      <w:r>
        <w:rPr>
          <w:rStyle w:val="FootnoteReference"/>
          <w:color w:val="000000" w:themeColor="text1"/>
          <w:sz w:val="20"/>
          <w:szCs w:val="20"/>
          <w:lang w:val="en-GB"/>
        </w:rPr>
        <w:footnoteReference w:id="20"/>
      </w:r>
    </w:p>
    <w:p w14:paraId="1FC3235D" w14:textId="1C30594A" w:rsidR="003E7E07" w:rsidRDefault="003E7E07" w:rsidP="004E5DB4">
      <w:pPr>
        <w:autoSpaceDE w:val="0"/>
        <w:autoSpaceDN w:val="0"/>
        <w:adjustRightInd w:val="0"/>
        <w:jc w:val="both"/>
        <w:rPr>
          <w:color w:val="000000" w:themeColor="text1"/>
          <w:sz w:val="20"/>
          <w:szCs w:val="20"/>
          <w:lang w:val="en-GB"/>
        </w:rPr>
      </w:pPr>
    </w:p>
    <w:p w14:paraId="05DE2FB2" w14:textId="1C558D4E" w:rsidR="003E7E07" w:rsidRDefault="003E7E07" w:rsidP="004E5DB4">
      <w:pPr>
        <w:autoSpaceDE w:val="0"/>
        <w:autoSpaceDN w:val="0"/>
        <w:adjustRightInd w:val="0"/>
        <w:jc w:val="both"/>
        <w:rPr>
          <w:color w:val="000000" w:themeColor="text1"/>
          <w:sz w:val="20"/>
          <w:szCs w:val="20"/>
          <w:lang w:val="en-GB"/>
        </w:rPr>
      </w:pPr>
      <w:r w:rsidRPr="003E7E07">
        <w:rPr>
          <w:color w:val="000000" w:themeColor="text1"/>
          <w:sz w:val="20"/>
          <w:szCs w:val="20"/>
          <w:lang w:val="en-GB"/>
        </w:rPr>
        <w:t>The law does not specifically</w:t>
      </w:r>
      <w:r>
        <w:rPr>
          <w:color w:val="000000" w:themeColor="text1"/>
          <w:sz w:val="20"/>
          <w:szCs w:val="20"/>
          <w:lang w:val="en-GB"/>
        </w:rPr>
        <w:t xml:space="preserve"> </w:t>
      </w:r>
      <w:r w:rsidRPr="003E7E07">
        <w:rPr>
          <w:color w:val="000000" w:themeColor="text1"/>
          <w:sz w:val="20"/>
          <w:szCs w:val="20"/>
          <w:lang w:val="en-GB"/>
        </w:rPr>
        <w:t>provide for a Tunisian woman to</w:t>
      </w:r>
      <w:r>
        <w:rPr>
          <w:color w:val="000000" w:themeColor="text1"/>
          <w:sz w:val="20"/>
          <w:szCs w:val="20"/>
          <w:lang w:val="en-GB"/>
        </w:rPr>
        <w:t xml:space="preserve"> </w:t>
      </w:r>
      <w:r w:rsidRPr="003E7E07">
        <w:rPr>
          <w:color w:val="000000" w:themeColor="text1"/>
          <w:sz w:val="20"/>
          <w:szCs w:val="20"/>
          <w:lang w:val="en-GB"/>
        </w:rPr>
        <w:t>confer her nationality to her</w:t>
      </w:r>
      <w:r>
        <w:rPr>
          <w:color w:val="000000" w:themeColor="text1"/>
          <w:sz w:val="20"/>
          <w:szCs w:val="20"/>
          <w:lang w:val="en-GB"/>
        </w:rPr>
        <w:t xml:space="preserve"> </w:t>
      </w:r>
      <w:r w:rsidRPr="003E7E07">
        <w:rPr>
          <w:color w:val="000000" w:themeColor="text1"/>
          <w:sz w:val="20"/>
          <w:szCs w:val="20"/>
          <w:lang w:val="en-GB"/>
        </w:rPr>
        <w:t>foreign husband. The foreign</w:t>
      </w:r>
      <w:r>
        <w:rPr>
          <w:color w:val="000000" w:themeColor="text1"/>
          <w:sz w:val="20"/>
          <w:szCs w:val="20"/>
          <w:lang w:val="en-GB"/>
        </w:rPr>
        <w:t xml:space="preserve"> </w:t>
      </w:r>
      <w:r w:rsidRPr="003E7E07">
        <w:rPr>
          <w:color w:val="000000" w:themeColor="text1"/>
          <w:sz w:val="20"/>
          <w:szCs w:val="20"/>
          <w:lang w:val="en-GB"/>
        </w:rPr>
        <w:t>husband of a Tunisian woman</w:t>
      </w:r>
      <w:r>
        <w:rPr>
          <w:color w:val="000000" w:themeColor="text1"/>
          <w:sz w:val="20"/>
          <w:szCs w:val="20"/>
          <w:lang w:val="en-GB"/>
        </w:rPr>
        <w:t xml:space="preserve"> </w:t>
      </w:r>
      <w:r w:rsidRPr="003E7E07">
        <w:rPr>
          <w:color w:val="000000" w:themeColor="text1"/>
          <w:sz w:val="20"/>
          <w:szCs w:val="20"/>
          <w:lang w:val="en-GB"/>
        </w:rPr>
        <w:t>may acquire Tunisian nationality</w:t>
      </w:r>
      <w:r>
        <w:rPr>
          <w:color w:val="000000" w:themeColor="text1"/>
          <w:sz w:val="20"/>
          <w:szCs w:val="20"/>
          <w:lang w:val="en-GB"/>
        </w:rPr>
        <w:t xml:space="preserve"> </w:t>
      </w:r>
      <w:r w:rsidRPr="003E7E07">
        <w:rPr>
          <w:color w:val="000000" w:themeColor="text1"/>
          <w:sz w:val="20"/>
          <w:szCs w:val="20"/>
          <w:lang w:val="en-GB"/>
        </w:rPr>
        <w:t>through naturalisation i.e., only by</w:t>
      </w:r>
      <w:r>
        <w:rPr>
          <w:color w:val="000000" w:themeColor="text1"/>
          <w:sz w:val="20"/>
          <w:szCs w:val="20"/>
          <w:lang w:val="en-GB"/>
        </w:rPr>
        <w:t xml:space="preserve"> </w:t>
      </w:r>
      <w:r w:rsidRPr="003E7E07">
        <w:rPr>
          <w:color w:val="000000" w:themeColor="text1"/>
          <w:sz w:val="20"/>
          <w:szCs w:val="20"/>
          <w:lang w:val="en-GB"/>
        </w:rPr>
        <w:t>decree and only if he resides in</w:t>
      </w:r>
      <w:r>
        <w:rPr>
          <w:color w:val="000000" w:themeColor="text1"/>
          <w:sz w:val="20"/>
          <w:szCs w:val="20"/>
          <w:lang w:val="en-GB"/>
        </w:rPr>
        <w:t xml:space="preserve"> </w:t>
      </w:r>
      <w:r w:rsidRPr="003E7E07">
        <w:rPr>
          <w:color w:val="000000" w:themeColor="text1"/>
          <w:sz w:val="20"/>
          <w:szCs w:val="20"/>
          <w:lang w:val="en-GB"/>
        </w:rPr>
        <w:t>Tunisia, has sufficient knowledge</w:t>
      </w:r>
      <w:r>
        <w:rPr>
          <w:color w:val="000000" w:themeColor="text1"/>
          <w:sz w:val="20"/>
          <w:szCs w:val="20"/>
          <w:lang w:val="en-GB"/>
        </w:rPr>
        <w:t xml:space="preserve"> </w:t>
      </w:r>
      <w:r w:rsidRPr="003E7E07">
        <w:rPr>
          <w:color w:val="000000" w:themeColor="text1"/>
          <w:sz w:val="20"/>
          <w:szCs w:val="20"/>
          <w:lang w:val="en-GB"/>
        </w:rPr>
        <w:t>of the</w:t>
      </w:r>
      <w:r>
        <w:rPr>
          <w:color w:val="000000" w:themeColor="text1"/>
          <w:sz w:val="20"/>
          <w:szCs w:val="20"/>
          <w:lang w:val="en-GB"/>
        </w:rPr>
        <w:t xml:space="preserve"> </w:t>
      </w:r>
      <w:r w:rsidRPr="003E7E07">
        <w:rPr>
          <w:color w:val="000000" w:themeColor="text1"/>
          <w:sz w:val="20"/>
          <w:szCs w:val="20"/>
          <w:lang w:val="en-GB"/>
        </w:rPr>
        <w:lastRenderedPageBreak/>
        <w:t>Arabic language and is</w:t>
      </w:r>
      <w:r>
        <w:rPr>
          <w:color w:val="000000" w:themeColor="text1"/>
          <w:sz w:val="20"/>
          <w:szCs w:val="20"/>
          <w:lang w:val="en-GB"/>
        </w:rPr>
        <w:t xml:space="preserve"> </w:t>
      </w:r>
      <w:r w:rsidRPr="003E7E07">
        <w:rPr>
          <w:color w:val="000000" w:themeColor="text1"/>
          <w:sz w:val="20"/>
          <w:szCs w:val="20"/>
          <w:lang w:val="en-GB"/>
        </w:rPr>
        <w:t>morally upright.</w:t>
      </w:r>
      <w:r>
        <w:rPr>
          <w:rStyle w:val="FootnoteReference"/>
          <w:color w:val="000000" w:themeColor="text1"/>
          <w:sz w:val="20"/>
          <w:szCs w:val="20"/>
          <w:lang w:val="en-GB"/>
        </w:rPr>
        <w:footnoteReference w:id="21"/>
      </w:r>
      <w:r>
        <w:rPr>
          <w:color w:val="000000" w:themeColor="text1"/>
          <w:sz w:val="20"/>
          <w:szCs w:val="20"/>
          <w:lang w:val="en-GB"/>
        </w:rPr>
        <w:t xml:space="preserve"> </w:t>
      </w:r>
      <w:r w:rsidRPr="003E7E07">
        <w:rPr>
          <w:color w:val="000000" w:themeColor="text1"/>
          <w:sz w:val="20"/>
          <w:szCs w:val="20"/>
          <w:lang w:val="en-GB"/>
        </w:rPr>
        <w:t>According to academic</w:t>
      </w:r>
      <w:r>
        <w:rPr>
          <w:color w:val="000000" w:themeColor="text1"/>
          <w:sz w:val="20"/>
          <w:szCs w:val="20"/>
          <w:lang w:val="en-GB"/>
        </w:rPr>
        <w:t xml:space="preserve"> </w:t>
      </w:r>
      <w:r w:rsidRPr="003E7E07">
        <w:rPr>
          <w:color w:val="000000" w:themeColor="text1"/>
          <w:sz w:val="20"/>
          <w:szCs w:val="20"/>
          <w:lang w:val="en-GB"/>
        </w:rPr>
        <w:t>research, even if a</w:t>
      </w:r>
      <w:r>
        <w:rPr>
          <w:color w:val="000000" w:themeColor="text1"/>
          <w:sz w:val="20"/>
          <w:szCs w:val="20"/>
          <w:lang w:val="en-GB"/>
        </w:rPr>
        <w:t xml:space="preserve"> </w:t>
      </w:r>
      <w:r w:rsidRPr="003E7E07">
        <w:rPr>
          <w:color w:val="000000" w:themeColor="text1"/>
          <w:sz w:val="20"/>
          <w:szCs w:val="20"/>
          <w:lang w:val="en-GB"/>
        </w:rPr>
        <w:t>non-Tunisian husband</w:t>
      </w:r>
      <w:r>
        <w:rPr>
          <w:color w:val="000000" w:themeColor="text1"/>
          <w:sz w:val="20"/>
          <w:szCs w:val="20"/>
          <w:lang w:val="en-GB"/>
        </w:rPr>
        <w:t xml:space="preserve"> </w:t>
      </w:r>
      <w:r w:rsidRPr="003E7E07">
        <w:rPr>
          <w:color w:val="000000" w:themeColor="text1"/>
          <w:sz w:val="20"/>
          <w:szCs w:val="20"/>
          <w:lang w:val="en-GB"/>
        </w:rPr>
        <w:t>fulfils all the criteria for</w:t>
      </w:r>
      <w:r>
        <w:rPr>
          <w:color w:val="000000" w:themeColor="text1"/>
          <w:sz w:val="20"/>
          <w:szCs w:val="20"/>
          <w:lang w:val="en-GB"/>
        </w:rPr>
        <w:t xml:space="preserve"> </w:t>
      </w:r>
      <w:r w:rsidRPr="003E7E07">
        <w:rPr>
          <w:color w:val="000000" w:themeColor="text1"/>
          <w:sz w:val="20"/>
          <w:szCs w:val="20"/>
          <w:lang w:val="en-GB"/>
        </w:rPr>
        <w:t>Tunisian citizenship, he</w:t>
      </w:r>
      <w:r>
        <w:rPr>
          <w:color w:val="000000" w:themeColor="text1"/>
          <w:sz w:val="20"/>
          <w:szCs w:val="20"/>
          <w:lang w:val="en-GB"/>
        </w:rPr>
        <w:t xml:space="preserve"> </w:t>
      </w:r>
      <w:r w:rsidRPr="003E7E07">
        <w:rPr>
          <w:color w:val="000000" w:themeColor="text1"/>
          <w:sz w:val="20"/>
          <w:szCs w:val="20"/>
          <w:lang w:val="en-GB"/>
        </w:rPr>
        <w:t>often has difficulties</w:t>
      </w:r>
      <w:r>
        <w:rPr>
          <w:color w:val="000000" w:themeColor="text1"/>
          <w:sz w:val="20"/>
          <w:szCs w:val="20"/>
          <w:lang w:val="en-GB"/>
        </w:rPr>
        <w:t xml:space="preserve"> </w:t>
      </w:r>
      <w:r w:rsidRPr="003E7E07">
        <w:rPr>
          <w:color w:val="000000" w:themeColor="text1"/>
          <w:sz w:val="20"/>
          <w:szCs w:val="20"/>
          <w:lang w:val="en-GB"/>
        </w:rPr>
        <w:t>obtaining it</w:t>
      </w:r>
      <w:r>
        <w:rPr>
          <w:color w:val="000000" w:themeColor="text1"/>
          <w:sz w:val="20"/>
          <w:szCs w:val="20"/>
          <w:lang w:val="en-GB"/>
        </w:rPr>
        <w:t>.</w:t>
      </w:r>
      <w:r>
        <w:rPr>
          <w:rStyle w:val="FootnoteReference"/>
          <w:color w:val="000000" w:themeColor="text1"/>
          <w:sz w:val="20"/>
          <w:szCs w:val="20"/>
          <w:lang w:val="en-GB"/>
        </w:rPr>
        <w:footnoteReference w:id="22"/>
      </w:r>
    </w:p>
    <w:p w14:paraId="36C96F0D" w14:textId="68B60D0D" w:rsidR="003E7E07" w:rsidRDefault="003E7E07" w:rsidP="004E5DB4">
      <w:pPr>
        <w:autoSpaceDE w:val="0"/>
        <w:autoSpaceDN w:val="0"/>
        <w:adjustRightInd w:val="0"/>
        <w:jc w:val="both"/>
        <w:rPr>
          <w:color w:val="000000" w:themeColor="text1"/>
          <w:sz w:val="20"/>
          <w:szCs w:val="20"/>
          <w:lang w:val="en-GB"/>
        </w:rPr>
      </w:pPr>
    </w:p>
    <w:p w14:paraId="2B1FA8EE" w14:textId="64325323" w:rsidR="003E7E07" w:rsidRPr="003E7E07" w:rsidRDefault="003E7E07" w:rsidP="004E5DB4">
      <w:pPr>
        <w:autoSpaceDE w:val="0"/>
        <w:autoSpaceDN w:val="0"/>
        <w:adjustRightInd w:val="0"/>
        <w:jc w:val="both"/>
        <w:rPr>
          <w:color w:val="000000" w:themeColor="text1"/>
          <w:sz w:val="20"/>
          <w:szCs w:val="20"/>
          <w:lang w:val="en-GB"/>
        </w:rPr>
      </w:pPr>
      <w:r w:rsidRPr="003E7E07">
        <w:rPr>
          <w:color w:val="000000" w:themeColor="text1"/>
          <w:sz w:val="20"/>
          <w:szCs w:val="20"/>
          <w:lang w:val="en-GB"/>
        </w:rPr>
        <w:t>A Tunisian father passes his</w:t>
      </w:r>
      <w:r>
        <w:rPr>
          <w:color w:val="000000" w:themeColor="text1"/>
          <w:sz w:val="20"/>
          <w:szCs w:val="20"/>
          <w:lang w:val="en-GB"/>
        </w:rPr>
        <w:t xml:space="preserve"> </w:t>
      </w:r>
      <w:r w:rsidRPr="003E7E07">
        <w:rPr>
          <w:color w:val="000000" w:themeColor="text1"/>
          <w:sz w:val="20"/>
          <w:szCs w:val="20"/>
          <w:lang w:val="en-GB"/>
        </w:rPr>
        <w:t>citizenship to his children</w:t>
      </w:r>
      <w:r>
        <w:rPr>
          <w:color w:val="000000" w:themeColor="text1"/>
          <w:sz w:val="20"/>
          <w:szCs w:val="20"/>
          <w:lang w:val="en-GB"/>
        </w:rPr>
        <w:t xml:space="preserve"> </w:t>
      </w:r>
      <w:r w:rsidRPr="003E7E07">
        <w:rPr>
          <w:color w:val="000000" w:themeColor="text1"/>
          <w:sz w:val="20"/>
          <w:szCs w:val="20"/>
          <w:lang w:val="en-GB"/>
        </w:rPr>
        <w:t>wherever they are born</w:t>
      </w:r>
      <w:r>
        <w:rPr>
          <w:color w:val="000000" w:themeColor="text1"/>
          <w:sz w:val="20"/>
          <w:szCs w:val="20"/>
          <w:lang w:val="en-GB"/>
        </w:rPr>
        <w:t>.</w:t>
      </w:r>
      <w:r>
        <w:rPr>
          <w:rStyle w:val="FootnoteReference"/>
          <w:color w:val="000000" w:themeColor="text1"/>
          <w:sz w:val="20"/>
          <w:szCs w:val="20"/>
          <w:lang w:val="en-GB"/>
        </w:rPr>
        <w:footnoteReference w:id="23"/>
      </w:r>
      <w:r>
        <w:rPr>
          <w:color w:val="000000" w:themeColor="text1"/>
          <w:sz w:val="20"/>
          <w:szCs w:val="20"/>
          <w:lang w:val="en-GB"/>
        </w:rPr>
        <w:t xml:space="preserve"> </w:t>
      </w:r>
      <w:r w:rsidRPr="003E7E07">
        <w:rPr>
          <w:color w:val="000000" w:themeColor="text1"/>
          <w:sz w:val="20"/>
          <w:szCs w:val="20"/>
          <w:lang w:val="en-GB"/>
        </w:rPr>
        <w:t>However, the law is ambiguous</w:t>
      </w:r>
      <w:r>
        <w:rPr>
          <w:color w:val="000000" w:themeColor="text1"/>
          <w:sz w:val="20"/>
          <w:szCs w:val="20"/>
          <w:lang w:val="en-GB"/>
        </w:rPr>
        <w:t xml:space="preserve"> </w:t>
      </w:r>
      <w:r w:rsidRPr="003E7E07">
        <w:rPr>
          <w:color w:val="000000" w:themeColor="text1"/>
          <w:sz w:val="20"/>
          <w:szCs w:val="20"/>
          <w:lang w:val="en-GB"/>
        </w:rPr>
        <w:t>with regard to a Tunisian mother’s</w:t>
      </w:r>
      <w:r>
        <w:rPr>
          <w:color w:val="000000" w:themeColor="text1"/>
          <w:sz w:val="20"/>
          <w:szCs w:val="20"/>
          <w:lang w:val="en-GB"/>
        </w:rPr>
        <w:t xml:space="preserve"> </w:t>
      </w:r>
      <w:r w:rsidRPr="003E7E07">
        <w:rPr>
          <w:color w:val="000000" w:themeColor="text1"/>
          <w:sz w:val="20"/>
          <w:szCs w:val="20"/>
          <w:lang w:val="en-GB"/>
        </w:rPr>
        <w:t>ability to confer her nationality to</w:t>
      </w:r>
      <w:r>
        <w:rPr>
          <w:color w:val="000000" w:themeColor="text1"/>
          <w:sz w:val="20"/>
          <w:szCs w:val="20"/>
          <w:lang w:val="en-GB"/>
        </w:rPr>
        <w:t xml:space="preserve"> </w:t>
      </w:r>
      <w:r w:rsidRPr="003E7E07">
        <w:rPr>
          <w:color w:val="000000" w:themeColor="text1"/>
          <w:sz w:val="20"/>
          <w:szCs w:val="20"/>
          <w:lang w:val="en-GB"/>
        </w:rPr>
        <w:t>her children</w:t>
      </w:r>
      <w:r>
        <w:rPr>
          <w:color w:val="000000" w:themeColor="text1"/>
          <w:sz w:val="20"/>
          <w:szCs w:val="20"/>
          <w:lang w:val="en-GB"/>
        </w:rPr>
        <w:t xml:space="preserve">. </w:t>
      </w:r>
      <w:r w:rsidRPr="003E7E07">
        <w:rPr>
          <w:color w:val="000000" w:themeColor="text1"/>
          <w:sz w:val="20"/>
          <w:szCs w:val="20"/>
          <w:lang w:val="en-GB"/>
        </w:rPr>
        <w:t>A</w:t>
      </w:r>
      <w:r>
        <w:rPr>
          <w:color w:val="000000" w:themeColor="text1"/>
          <w:sz w:val="20"/>
          <w:szCs w:val="20"/>
          <w:lang w:val="en-GB"/>
        </w:rPr>
        <w:t xml:space="preserve"> </w:t>
      </w:r>
      <w:r w:rsidRPr="003E7E07">
        <w:rPr>
          <w:color w:val="000000" w:themeColor="text1"/>
          <w:sz w:val="20"/>
          <w:szCs w:val="20"/>
          <w:lang w:val="en-GB"/>
        </w:rPr>
        <w:t>Tunisian woman</w:t>
      </w:r>
      <w:r>
        <w:rPr>
          <w:color w:val="000000" w:themeColor="text1"/>
          <w:sz w:val="20"/>
          <w:szCs w:val="20"/>
          <w:lang w:val="en-GB"/>
        </w:rPr>
        <w:t xml:space="preserve"> </w:t>
      </w:r>
      <w:r w:rsidRPr="003E7E07">
        <w:rPr>
          <w:color w:val="000000" w:themeColor="text1"/>
          <w:sz w:val="20"/>
          <w:szCs w:val="20"/>
          <w:lang w:val="en-GB"/>
        </w:rPr>
        <w:t>married to a non-Tunisian</w:t>
      </w:r>
      <w:r>
        <w:rPr>
          <w:color w:val="000000" w:themeColor="text1"/>
          <w:sz w:val="20"/>
          <w:szCs w:val="20"/>
          <w:lang w:val="en-GB"/>
        </w:rPr>
        <w:t xml:space="preserve"> </w:t>
      </w:r>
      <w:r w:rsidRPr="003E7E07">
        <w:rPr>
          <w:color w:val="000000" w:themeColor="text1"/>
          <w:sz w:val="20"/>
          <w:szCs w:val="20"/>
          <w:lang w:val="en-GB"/>
        </w:rPr>
        <w:t>husband may confer her</w:t>
      </w:r>
      <w:r>
        <w:rPr>
          <w:color w:val="000000" w:themeColor="text1"/>
          <w:sz w:val="20"/>
          <w:szCs w:val="20"/>
          <w:lang w:val="en-GB"/>
        </w:rPr>
        <w:t xml:space="preserve"> </w:t>
      </w:r>
      <w:r w:rsidRPr="003E7E07">
        <w:rPr>
          <w:color w:val="000000" w:themeColor="text1"/>
          <w:sz w:val="20"/>
          <w:szCs w:val="20"/>
          <w:lang w:val="en-GB"/>
        </w:rPr>
        <w:t>nationality to their child if</w:t>
      </w:r>
      <w:r>
        <w:rPr>
          <w:color w:val="000000" w:themeColor="text1"/>
          <w:sz w:val="20"/>
          <w:szCs w:val="20"/>
          <w:lang w:val="en-GB"/>
        </w:rPr>
        <w:t xml:space="preserve"> </w:t>
      </w:r>
      <w:r w:rsidRPr="003E7E07">
        <w:rPr>
          <w:color w:val="000000" w:themeColor="text1"/>
          <w:sz w:val="20"/>
          <w:szCs w:val="20"/>
          <w:lang w:val="en-GB"/>
        </w:rPr>
        <w:t>the child was born</w:t>
      </w:r>
      <w:r>
        <w:rPr>
          <w:color w:val="000000" w:themeColor="text1"/>
          <w:sz w:val="20"/>
          <w:szCs w:val="20"/>
          <w:lang w:val="en-GB"/>
        </w:rPr>
        <w:t xml:space="preserve"> </w:t>
      </w:r>
      <w:r w:rsidRPr="003E7E07">
        <w:rPr>
          <w:color w:val="000000" w:themeColor="text1"/>
          <w:sz w:val="20"/>
          <w:szCs w:val="20"/>
          <w:lang w:val="en-GB"/>
        </w:rPr>
        <w:t>abroad</w:t>
      </w:r>
      <w:r>
        <w:rPr>
          <w:color w:val="000000" w:themeColor="text1"/>
          <w:sz w:val="20"/>
          <w:szCs w:val="20"/>
          <w:lang w:val="en-GB"/>
        </w:rPr>
        <w:t>.</w:t>
      </w:r>
      <w:r>
        <w:rPr>
          <w:rStyle w:val="FootnoteReference"/>
          <w:color w:val="000000" w:themeColor="text1"/>
          <w:sz w:val="20"/>
          <w:szCs w:val="20"/>
          <w:lang w:val="en-GB"/>
        </w:rPr>
        <w:footnoteReference w:id="24"/>
      </w:r>
    </w:p>
    <w:p w14:paraId="722F6B8D" w14:textId="203DE4DB" w:rsidR="003E7E07" w:rsidRDefault="003E7E07" w:rsidP="004E5DB4">
      <w:pPr>
        <w:autoSpaceDE w:val="0"/>
        <w:autoSpaceDN w:val="0"/>
        <w:adjustRightInd w:val="0"/>
        <w:jc w:val="both"/>
        <w:rPr>
          <w:color w:val="000000" w:themeColor="text1"/>
          <w:sz w:val="20"/>
          <w:szCs w:val="20"/>
          <w:lang w:val="en-GB"/>
        </w:rPr>
      </w:pPr>
    </w:p>
    <w:p w14:paraId="018156F1" w14:textId="15B2EECD" w:rsidR="003E7E07" w:rsidRDefault="003E7E07" w:rsidP="004E5DB4">
      <w:pPr>
        <w:autoSpaceDE w:val="0"/>
        <w:autoSpaceDN w:val="0"/>
        <w:adjustRightInd w:val="0"/>
        <w:jc w:val="both"/>
        <w:rPr>
          <w:color w:val="000000" w:themeColor="text1"/>
          <w:sz w:val="20"/>
          <w:szCs w:val="20"/>
          <w:lang w:val="en-GB"/>
        </w:rPr>
      </w:pPr>
      <w:r>
        <w:rPr>
          <w:color w:val="000000" w:themeColor="text1"/>
          <w:sz w:val="20"/>
          <w:szCs w:val="20"/>
          <w:lang w:val="en-GB"/>
        </w:rPr>
        <w:t>However, t</w:t>
      </w:r>
      <w:r w:rsidRPr="003E7E07">
        <w:rPr>
          <w:color w:val="000000" w:themeColor="text1"/>
          <w:sz w:val="20"/>
          <w:szCs w:val="20"/>
          <w:lang w:val="en-GB"/>
        </w:rPr>
        <w:t>here appears to be</w:t>
      </w:r>
      <w:r>
        <w:rPr>
          <w:color w:val="000000" w:themeColor="text1"/>
          <w:sz w:val="20"/>
          <w:szCs w:val="20"/>
          <w:lang w:val="en-GB"/>
        </w:rPr>
        <w:t xml:space="preserve"> </w:t>
      </w:r>
      <w:r w:rsidRPr="003E7E07">
        <w:rPr>
          <w:color w:val="000000" w:themeColor="text1"/>
          <w:sz w:val="20"/>
          <w:szCs w:val="20"/>
          <w:lang w:val="en-GB"/>
        </w:rPr>
        <w:t>ambiguity in the law as to</w:t>
      </w:r>
      <w:r>
        <w:rPr>
          <w:color w:val="000000" w:themeColor="text1"/>
          <w:sz w:val="20"/>
          <w:szCs w:val="20"/>
          <w:lang w:val="en-GB"/>
        </w:rPr>
        <w:t xml:space="preserve"> </w:t>
      </w:r>
      <w:r w:rsidRPr="003E7E07">
        <w:rPr>
          <w:color w:val="000000" w:themeColor="text1"/>
          <w:sz w:val="20"/>
          <w:szCs w:val="20"/>
          <w:lang w:val="en-GB"/>
        </w:rPr>
        <w:t>whether a Tunisian</w:t>
      </w:r>
      <w:r>
        <w:rPr>
          <w:color w:val="000000" w:themeColor="text1"/>
          <w:sz w:val="20"/>
          <w:szCs w:val="20"/>
          <w:lang w:val="en-GB"/>
        </w:rPr>
        <w:t xml:space="preserve"> </w:t>
      </w:r>
      <w:r w:rsidRPr="003E7E07">
        <w:rPr>
          <w:color w:val="000000" w:themeColor="text1"/>
          <w:sz w:val="20"/>
          <w:szCs w:val="20"/>
          <w:lang w:val="en-GB"/>
        </w:rPr>
        <w:t>mother may transmit her</w:t>
      </w:r>
      <w:r>
        <w:rPr>
          <w:color w:val="000000" w:themeColor="text1"/>
          <w:sz w:val="20"/>
          <w:szCs w:val="20"/>
          <w:lang w:val="en-GB"/>
        </w:rPr>
        <w:t xml:space="preserve"> </w:t>
      </w:r>
      <w:r w:rsidRPr="003E7E07">
        <w:rPr>
          <w:color w:val="000000" w:themeColor="text1"/>
          <w:sz w:val="20"/>
          <w:szCs w:val="20"/>
          <w:lang w:val="en-GB"/>
        </w:rPr>
        <w:t>nationality to her children</w:t>
      </w:r>
      <w:r>
        <w:rPr>
          <w:color w:val="000000" w:themeColor="text1"/>
          <w:sz w:val="20"/>
          <w:szCs w:val="20"/>
          <w:lang w:val="en-GB"/>
        </w:rPr>
        <w:t xml:space="preserve"> </w:t>
      </w:r>
      <w:r w:rsidRPr="003E7E07">
        <w:rPr>
          <w:color w:val="000000" w:themeColor="text1"/>
          <w:sz w:val="20"/>
          <w:szCs w:val="20"/>
          <w:lang w:val="en-GB"/>
        </w:rPr>
        <w:t>if they were born in</w:t>
      </w:r>
      <w:r>
        <w:rPr>
          <w:color w:val="000000" w:themeColor="text1"/>
          <w:sz w:val="20"/>
          <w:szCs w:val="20"/>
          <w:lang w:val="en-GB"/>
        </w:rPr>
        <w:t xml:space="preserve"> </w:t>
      </w:r>
      <w:r w:rsidRPr="003E7E07">
        <w:rPr>
          <w:color w:val="000000" w:themeColor="text1"/>
          <w:sz w:val="20"/>
          <w:szCs w:val="20"/>
          <w:lang w:val="en-GB"/>
        </w:rPr>
        <w:t>Tunisia. Article 6 of the</w:t>
      </w:r>
      <w:r>
        <w:rPr>
          <w:color w:val="000000" w:themeColor="text1"/>
          <w:sz w:val="20"/>
          <w:szCs w:val="20"/>
          <w:lang w:val="en-GB"/>
        </w:rPr>
        <w:t xml:space="preserve"> </w:t>
      </w:r>
      <w:r w:rsidRPr="003E7E07">
        <w:rPr>
          <w:color w:val="000000" w:themeColor="text1"/>
          <w:sz w:val="20"/>
          <w:szCs w:val="20"/>
          <w:lang w:val="en-GB"/>
        </w:rPr>
        <w:t>Tunisian Nationality Code</w:t>
      </w:r>
      <w:r>
        <w:rPr>
          <w:color w:val="000000" w:themeColor="text1"/>
          <w:sz w:val="20"/>
          <w:szCs w:val="20"/>
          <w:lang w:val="en-GB"/>
        </w:rPr>
        <w:t xml:space="preserve"> </w:t>
      </w:r>
      <w:r w:rsidRPr="003E7E07">
        <w:rPr>
          <w:color w:val="000000" w:themeColor="text1"/>
          <w:sz w:val="20"/>
          <w:szCs w:val="20"/>
          <w:lang w:val="en-GB"/>
        </w:rPr>
        <w:t>provides that a child born</w:t>
      </w:r>
      <w:r>
        <w:rPr>
          <w:color w:val="000000" w:themeColor="text1"/>
          <w:sz w:val="20"/>
          <w:szCs w:val="20"/>
          <w:lang w:val="en-GB"/>
        </w:rPr>
        <w:t xml:space="preserve"> </w:t>
      </w:r>
      <w:r w:rsidRPr="003E7E07">
        <w:rPr>
          <w:color w:val="000000" w:themeColor="text1"/>
          <w:sz w:val="20"/>
          <w:szCs w:val="20"/>
          <w:lang w:val="en-GB"/>
        </w:rPr>
        <w:t>to a Tunisian father or</w:t>
      </w:r>
      <w:r>
        <w:rPr>
          <w:color w:val="000000" w:themeColor="text1"/>
          <w:sz w:val="20"/>
          <w:szCs w:val="20"/>
          <w:lang w:val="en-GB"/>
        </w:rPr>
        <w:t xml:space="preserve"> </w:t>
      </w:r>
      <w:r w:rsidRPr="003E7E07">
        <w:rPr>
          <w:color w:val="000000" w:themeColor="text1"/>
          <w:sz w:val="20"/>
          <w:szCs w:val="20"/>
          <w:lang w:val="en-GB"/>
        </w:rPr>
        <w:t>mother is Tunisian. Article</w:t>
      </w:r>
      <w:r>
        <w:rPr>
          <w:color w:val="000000" w:themeColor="text1"/>
          <w:sz w:val="20"/>
          <w:szCs w:val="20"/>
          <w:lang w:val="en-GB"/>
        </w:rPr>
        <w:t xml:space="preserve"> </w:t>
      </w:r>
      <w:r w:rsidRPr="003E7E07">
        <w:rPr>
          <w:color w:val="000000" w:themeColor="text1"/>
          <w:sz w:val="20"/>
          <w:szCs w:val="20"/>
          <w:lang w:val="en-GB"/>
        </w:rPr>
        <w:t>7 provides further that a</w:t>
      </w:r>
      <w:r>
        <w:rPr>
          <w:color w:val="000000" w:themeColor="text1"/>
          <w:sz w:val="20"/>
          <w:szCs w:val="20"/>
          <w:lang w:val="en-GB"/>
        </w:rPr>
        <w:t xml:space="preserve"> </w:t>
      </w:r>
      <w:r w:rsidRPr="003E7E07">
        <w:rPr>
          <w:color w:val="000000" w:themeColor="text1"/>
          <w:sz w:val="20"/>
          <w:szCs w:val="20"/>
          <w:lang w:val="en-GB"/>
        </w:rPr>
        <w:t>child born in Tunisia is</w:t>
      </w:r>
      <w:r>
        <w:rPr>
          <w:color w:val="000000" w:themeColor="text1"/>
          <w:sz w:val="20"/>
          <w:szCs w:val="20"/>
          <w:lang w:val="en-GB"/>
        </w:rPr>
        <w:t xml:space="preserve"> </w:t>
      </w:r>
      <w:r w:rsidRPr="003E7E07">
        <w:rPr>
          <w:color w:val="000000" w:themeColor="text1"/>
          <w:sz w:val="20"/>
          <w:szCs w:val="20"/>
          <w:lang w:val="en-GB"/>
        </w:rPr>
        <w:t>Tunisian if his or her</w:t>
      </w:r>
      <w:r>
        <w:rPr>
          <w:color w:val="000000" w:themeColor="text1"/>
          <w:sz w:val="20"/>
          <w:szCs w:val="20"/>
          <w:lang w:val="en-GB"/>
        </w:rPr>
        <w:t xml:space="preserve"> </w:t>
      </w:r>
      <w:r w:rsidRPr="003E7E07">
        <w:rPr>
          <w:color w:val="000000" w:themeColor="text1"/>
          <w:sz w:val="20"/>
          <w:szCs w:val="20"/>
          <w:lang w:val="en-GB"/>
        </w:rPr>
        <w:t>father or grandfather</w:t>
      </w:r>
      <w:r>
        <w:rPr>
          <w:color w:val="000000" w:themeColor="text1"/>
          <w:sz w:val="20"/>
          <w:szCs w:val="20"/>
          <w:lang w:val="en-GB"/>
        </w:rPr>
        <w:t xml:space="preserve"> </w:t>
      </w:r>
      <w:r w:rsidRPr="003E7E07">
        <w:rPr>
          <w:color w:val="000000" w:themeColor="text1"/>
          <w:sz w:val="20"/>
          <w:szCs w:val="20"/>
          <w:lang w:val="en-GB"/>
        </w:rPr>
        <w:t>were also born in Tunisia.</w:t>
      </w:r>
      <w:r>
        <w:rPr>
          <w:color w:val="000000" w:themeColor="text1"/>
          <w:sz w:val="20"/>
          <w:szCs w:val="20"/>
          <w:lang w:val="en-GB"/>
        </w:rPr>
        <w:t xml:space="preserve"> </w:t>
      </w:r>
      <w:r w:rsidRPr="003E7E07">
        <w:rPr>
          <w:color w:val="000000" w:themeColor="text1"/>
          <w:sz w:val="20"/>
          <w:szCs w:val="20"/>
          <w:lang w:val="en-GB"/>
        </w:rPr>
        <w:t>No mention is made of</w:t>
      </w:r>
      <w:r>
        <w:rPr>
          <w:color w:val="000000" w:themeColor="text1"/>
          <w:sz w:val="20"/>
          <w:szCs w:val="20"/>
          <w:lang w:val="en-GB"/>
        </w:rPr>
        <w:t xml:space="preserve"> </w:t>
      </w:r>
      <w:r w:rsidRPr="003E7E07">
        <w:rPr>
          <w:color w:val="000000" w:themeColor="text1"/>
          <w:sz w:val="20"/>
          <w:szCs w:val="20"/>
          <w:lang w:val="en-GB"/>
        </w:rPr>
        <w:t>the maternal lineage. In</w:t>
      </w:r>
      <w:r>
        <w:rPr>
          <w:color w:val="000000" w:themeColor="text1"/>
          <w:sz w:val="20"/>
          <w:szCs w:val="20"/>
          <w:lang w:val="en-GB"/>
        </w:rPr>
        <w:t xml:space="preserve"> </w:t>
      </w:r>
      <w:r w:rsidRPr="003E7E07">
        <w:rPr>
          <w:color w:val="000000" w:themeColor="text1"/>
          <w:sz w:val="20"/>
          <w:szCs w:val="20"/>
          <w:lang w:val="en-GB"/>
        </w:rPr>
        <w:t>contrast, Article 12</w:t>
      </w:r>
      <w:r>
        <w:rPr>
          <w:color w:val="000000" w:themeColor="text1"/>
          <w:sz w:val="20"/>
          <w:szCs w:val="20"/>
          <w:lang w:val="en-GB"/>
        </w:rPr>
        <w:t xml:space="preserve"> </w:t>
      </w:r>
      <w:r w:rsidRPr="003E7E07">
        <w:rPr>
          <w:color w:val="000000" w:themeColor="text1"/>
          <w:sz w:val="20"/>
          <w:szCs w:val="20"/>
          <w:lang w:val="en-GB"/>
        </w:rPr>
        <w:t>specifically states that a</w:t>
      </w:r>
      <w:r>
        <w:rPr>
          <w:color w:val="000000" w:themeColor="text1"/>
          <w:sz w:val="20"/>
          <w:szCs w:val="20"/>
          <w:lang w:val="en-GB"/>
        </w:rPr>
        <w:t xml:space="preserve"> </w:t>
      </w:r>
      <w:r w:rsidRPr="003E7E07">
        <w:rPr>
          <w:color w:val="000000" w:themeColor="text1"/>
          <w:sz w:val="20"/>
          <w:szCs w:val="20"/>
          <w:lang w:val="en-GB"/>
        </w:rPr>
        <w:t>child born abroad to a</w:t>
      </w:r>
      <w:r>
        <w:rPr>
          <w:color w:val="000000" w:themeColor="text1"/>
          <w:sz w:val="20"/>
          <w:szCs w:val="20"/>
          <w:lang w:val="en-GB"/>
        </w:rPr>
        <w:t xml:space="preserve"> </w:t>
      </w:r>
      <w:r w:rsidRPr="003E7E07">
        <w:rPr>
          <w:color w:val="000000" w:themeColor="text1"/>
          <w:sz w:val="20"/>
          <w:szCs w:val="20"/>
          <w:lang w:val="en-GB"/>
        </w:rPr>
        <w:t>Tunisian mother and a</w:t>
      </w:r>
      <w:r>
        <w:rPr>
          <w:color w:val="000000" w:themeColor="text1"/>
          <w:sz w:val="20"/>
          <w:szCs w:val="20"/>
          <w:lang w:val="en-GB"/>
        </w:rPr>
        <w:t xml:space="preserve"> </w:t>
      </w:r>
      <w:r w:rsidRPr="003E7E07">
        <w:rPr>
          <w:color w:val="000000" w:themeColor="text1"/>
          <w:sz w:val="20"/>
          <w:szCs w:val="20"/>
          <w:lang w:val="en-GB"/>
        </w:rPr>
        <w:t>non-Tunisian father may</w:t>
      </w:r>
      <w:r>
        <w:rPr>
          <w:color w:val="000000" w:themeColor="text1"/>
          <w:sz w:val="20"/>
          <w:szCs w:val="20"/>
          <w:lang w:val="en-GB"/>
        </w:rPr>
        <w:t xml:space="preserve"> </w:t>
      </w:r>
      <w:r w:rsidRPr="003E7E07">
        <w:rPr>
          <w:color w:val="000000" w:themeColor="text1"/>
          <w:sz w:val="20"/>
          <w:szCs w:val="20"/>
          <w:lang w:val="en-GB"/>
        </w:rPr>
        <w:t>claim Tunisian</w:t>
      </w:r>
      <w:r>
        <w:rPr>
          <w:color w:val="000000" w:themeColor="text1"/>
          <w:sz w:val="20"/>
          <w:szCs w:val="20"/>
          <w:lang w:val="en-GB"/>
        </w:rPr>
        <w:t xml:space="preserve"> </w:t>
      </w:r>
      <w:r w:rsidRPr="003E7E07">
        <w:rPr>
          <w:color w:val="000000" w:themeColor="text1"/>
          <w:sz w:val="20"/>
          <w:szCs w:val="20"/>
          <w:lang w:val="en-GB"/>
        </w:rPr>
        <w:t>citizenship</w:t>
      </w:r>
      <w:r>
        <w:rPr>
          <w:color w:val="000000" w:themeColor="text1"/>
          <w:sz w:val="20"/>
          <w:szCs w:val="20"/>
          <w:lang w:val="en-GB"/>
        </w:rPr>
        <w:t>.</w:t>
      </w:r>
    </w:p>
    <w:p w14:paraId="0E228502" w14:textId="5D554690" w:rsidR="003E7E07" w:rsidRDefault="003E7E07" w:rsidP="004E5DB4">
      <w:pPr>
        <w:autoSpaceDE w:val="0"/>
        <w:autoSpaceDN w:val="0"/>
        <w:adjustRightInd w:val="0"/>
        <w:jc w:val="both"/>
        <w:rPr>
          <w:color w:val="000000" w:themeColor="text1"/>
          <w:sz w:val="20"/>
          <w:szCs w:val="20"/>
          <w:lang w:val="en-GB"/>
        </w:rPr>
      </w:pPr>
    </w:p>
    <w:p w14:paraId="2B80DBEE" w14:textId="0981F63B" w:rsidR="003E7E07" w:rsidRDefault="003E7E07" w:rsidP="00C83691">
      <w:pPr>
        <w:autoSpaceDE w:val="0"/>
        <w:autoSpaceDN w:val="0"/>
        <w:adjustRightInd w:val="0"/>
        <w:jc w:val="both"/>
        <w:rPr>
          <w:color w:val="000000" w:themeColor="text1"/>
          <w:sz w:val="20"/>
          <w:szCs w:val="20"/>
          <w:lang w:val="en-GB"/>
        </w:rPr>
      </w:pPr>
    </w:p>
    <w:p w14:paraId="2999356F" w14:textId="31A80A96" w:rsidR="003E7E07" w:rsidRDefault="00677221" w:rsidP="00466146">
      <w:pPr>
        <w:autoSpaceDE w:val="0"/>
        <w:autoSpaceDN w:val="0"/>
        <w:adjustRightInd w:val="0"/>
        <w:jc w:val="center"/>
        <w:rPr>
          <w:color w:val="000000" w:themeColor="text1"/>
          <w:sz w:val="20"/>
          <w:szCs w:val="20"/>
          <w:lang w:val="en-GB"/>
        </w:rPr>
      </w:pPr>
      <w:r>
        <w:rPr>
          <w:rFonts w:ascii="Arial" w:hAnsi="Arial" w:cs="Arial"/>
          <w:noProof/>
          <w:sz w:val="20"/>
          <w:szCs w:val="20"/>
        </w:rPr>
        <w:drawing>
          <wp:inline distT="0" distB="0" distL="0" distR="0" wp14:anchorId="3E65DC5B" wp14:editId="64C361C7">
            <wp:extent cx="5124893" cy="288304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76292" cy="2911955"/>
                    </a:xfrm>
                    <a:prstGeom prst="rect">
                      <a:avLst/>
                    </a:prstGeom>
                  </pic:spPr>
                </pic:pic>
              </a:graphicData>
            </a:graphic>
          </wp:inline>
        </w:drawing>
      </w:r>
    </w:p>
    <w:p w14:paraId="16AAF330" w14:textId="77777777" w:rsidR="00466146" w:rsidRDefault="00466146" w:rsidP="00466146">
      <w:pPr>
        <w:autoSpaceDE w:val="0"/>
        <w:autoSpaceDN w:val="0"/>
        <w:adjustRightInd w:val="0"/>
        <w:rPr>
          <w:color w:val="000000" w:themeColor="text1"/>
          <w:sz w:val="20"/>
          <w:szCs w:val="20"/>
          <w:lang w:val="en-GB"/>
        </w:rPr>
      </w:pPr>
    </w:p>
    <w:p w14:paraId="512DD1F6" w14:textId="43B5980A" w:rsidR="009D3E28" w:rsidRDefault="009D3E28" w:rsidP="009D3E28">
      <w:pPr>
        <w:jc w:val="center"/>
        <w:rPr>
          <w:sz w:val="20"/>
          <w:szCs w:val="20"/>
        </w:rPr>
      </w:pPr>
    </w:p>
    <w:p w14:paraId="1A32D624" w14:textId="3DF9AA4B" w:rsidR="009D3E28" w:rsidRPr="000B3F10" w:rsidRDefault="009D3E28" w:rsidP="0028588C">
      <w:pPr>
        <w:rPr>
          <w:sz w:val="20"/>
          <w:szCs w:val="20"/>
        </w:rPr>
      </w:pPr>
    </w:p>
    <w:p w14:paraId="27707A3D" w14:textId="75E92E82" w:rsidR="009D3E28" w:rsidRDefault="009D3E28" w:rsidP="0028588C">
      <w:pPr>
        <w:jc w:val="center"/>
        <w:rPr>
          <w:sz w:val="20"/>
          <w:szCs w:val="20"/>
          <w:highlight w:val="white"/>
        </w:rPr>
      </w:pPr>
    </w:p>
    <w:p w14:paraId="5868827B" w14:textId="77777777" w:rsidR="0028588C" w:rsidRPr="000B3F10" w:rsidRDefault="0028588C" w:rsidP="0028588C">
      <w:pPr>
        <w:jc w:val="center"/>
        <w:rPr>
          <w:sz w:val="20"/>
          <w:szCs w:val="20"/>
          <w:highlight w:val="white"/>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03"/>
      </w:tblGrid>
      <w:tr w:rsidR="009D3E28" w:rsidRPr="000B3F10" w14:paraId="3B7EF722" w14:textId="77777777" w:rsidTr="008B687E">
        <w:trPr>
          <w:trHeight w:val="589"/>
        </w:trPr>
        <w:tc>
          <w:tcPr>
            <w:tcW w:w="8903" w:type="dxa"/>
            <w:shd w:val="clear" w:color="auto" w:fill="D9D9D9" w:themeFill="background1" w:themeFillShade="D9"/>
            <w:tcMar>
              <w:top w:w="100" w:type="dxa"/>
              <w:left w:w="100" w:type="dxa"/>
              <w:bottom w:w="100" w:type="dxa"/>
              <w:right w:w="100" w:type="dxa"/>
            </w:tcMar>
          </w:tcPr>
          <w:p w14:paraId="210E309B" w14:textId="77777777" w:rsidR="009D3E28" w:rsidRPr="000B3F10" w:rsidRDefault="009D3E28" w:rsidP="00EC6E8F">
            <w:pPr>
              <w:widowControl w:val="0"/>
              <w:spacing w:before="240" w:after="240"/>
              <w:jc w:val="both"/>
              <w:rPr>
                <w:b/>
                <w:sz w:val="20"/>
                <w:szCs w:val="20"/>
                <w:u w:val="single"/>
              </w:rPr>
            </w:pPr>
            <w:r w:rsidRPr="000B3F10">
              <w:rPr>
                <w:b/>
                <w:sz w:val="20"/>
                <w:szCs w:val="20"/>
                <w:u w:val="single"/>
              </w:rPr>
              <w:t>RECOMMENDATIONS</w:t>
            </w:r>
          </w:p>
          <w:p w14:paraId="386B77DC" w14:textId="77777777" w:rsidR="009D3E28" w:rsidRPr="000B3F10" w:rsidRDefault="009D3E28" w:rsidP="00EC6E8F">
            <w:pPr>
              <w:jc w:val="both"/>
              <w:rPr>
                <w:sz w:val="20"/>
                <w:szCs w:val="20"/>
              </w:rPr>
            </w:pPr>
            <w:r w:rsidRPr="000B3F10">
              <w:rPr>
                <w:b/>
                <w:bCs/>
                <w:sz w:val="20"/>
                <w:szCs w:val="20"/>
              </w:rPr>
              <w:t>We recommend the CEDAW Committee urge the State party to:</w:t>
            </w:r>
          </w:p>
          <w:p w14:paraId="0DE20CB0" w14:textId="77777777" w:rsidR="009D3E28" w:rsidRPr="000B3F10" w:rsidRDefault="009D3E28" w:rsidP="00EC6E8F">
            <w:pPr>
              <w:pStyle w:val="ListParagraph"/>
              <w:spacing w:after="160" w:line="259" w:lineRule="auto"/>
              <w:jc w:val="both"/>
              <w:rPr>
                <w:rFonts w:eastAsiaTheme="minorEastAsia"/>
                <w:sz w:val="20"/>
                <w:szCs w:val="20"/>
              </w:rPr>
            </w:pPr>
          </w:p>
          <w:p w14:paraId="340D86A4" w14:textId="157B44D4" w:rsidR="009D3E28" w:rsidRPr="0058651B" w:rsidRDefault="0058651B" w:rsidP="009D3E28">
            <w:pPr>
              <w:pStyle w:val="ListParagraph"/>
              <w:numPr>
                <w:ilvl w:val="0"/>
                <w:numId w:val="15"/>
              </w:numPr>
              <w:spacing w:after="160" w:line="259" w:lineRule="auto"/>
              <w:jc w:val="both"/>
              <w:rPr>
                <w:rFonts w:eastAsiaTheme="minorEastAsia"/>
                <w:sz w:val="20"/>
                <w:szCs w:val="20"/>
              </w:rPr>
            </w:pPr>
            <w:r w:rsidRPr="0058651B">
              <w:rPr>
                <w:rFonts w:eastAsiaTheme="minorEastAsia"/>
                <w:sz w:val="20"/>
                <w:szCs w:val="20"/>
              </w:rPr>
              <w:t xml:space="preserve">Amend the Tunisian Nationality Code 1963 to </w:t>
            </w:r>
            <w:r w:rsidRPr="0058651B">
              <w:rPr>
                <w:color w:val="000000" w:themeColor="text1"/>
                <w:sz w:val="20"/>
                <w:szCs w:val="20"/>
                <w:lang w:val="en-GB"/>
              </w:rPr>
              <w:t>provide for a Tunisian woman to confer her nationality to her foreign husband.</w:t>
            </w:r>
          </w:p>
          <w:p w14:paraId="05F31F18" w14:textId="77777777" w:rsidR="009D3E28" w:rsidRPr="0058651B" w:rsidRDefault="009D3E28" w:rsidP="00EC6E8F">
            <w:pPr>
              <w:pStyle w:val="ListParagraph"/>
              <w:spacing w:after="160" w:line="259" w:lineRule="auto"/>
              <w:jc w:val="both"/>
              <w:rPr>
                <w:rFonts w:eastAsiaTheme="minorEastAsia"/>
                <w:sz w:val="20"/>
                <w:szCs w:val="20"/>
              </w:rPr>
            </w:pPr>
          </w:p>
          <w:p w14:paraId="2024B6A1" w14:textId="38AF6479" w:rsidR="009D3E28" w:rsidRPr="008B687E" w:rsidRDefault="0058651B" w:rsidP="008B687E">
            <w:pPr>
              <w:pStyle w:val="ListParagraph"/>
              <w:numPr>
                <w:ilvl w:val="0"/>
                <w:numId w:val="15"/>
              </w:numPr>
              <w:spacing w:after="160" w:line="259" w:lineRule="auto"/>
              <w:jc w:val="both"/>
              <w:rPr>
                <w:rFonts w:eastAsiaTheme="minorEastAsia"/>
                <w:sz w:val="20"/>
                <w:szCs w:val="20"/>
              </w:rPr>
            </w:pPr>
            <w:r w:rsidRPr="0058651B">
              <w:rPr>
                <w:color w:val="000000" w:themeColor="text1"/>
                <w:sz w:val="20"/>
                <w:szCs w:val="20"/>
                <w:lang w:val="en-GB"/>
              </w:rPr>
              <w:t>Amend the Tunisian Nationality Code 1963 to explicitly allow for a Tunisian mother to transmit her nationality to her children if they were born in Tunisia.</w:t>
            </w:r>
            <w:r w:rsidR="009D3E28" w:rsidRPr="0058651B">
              <w:rPr>
                <w:sz w:val="20"/>
                <w:szCs w:val="20"/>
              </w:rPr>
              <w:t xml:space="preserve"> </w:t>
            </w:r>
          </w:p>
        </w:tc>
      </w:tr>
      <w:bookmarkEnd w:id="12"/>
    </w:tbl>
    <w:p w14:paraId="5F66677C" w14:textId="24A39D11" w:rsidR="00E26F24" w:rsidRDefault="00E26F24" w:rsidP="00E26F24"/>
    <w:p w14:paraId="65CD9BD0" w14:textId="25E3C0EB" w:rsidR="001526E7" w:rsidRPr="00005B50" w:rsidRDefault="001526E7" w:rsidP="001526E7">
      <w:pPr>
        <w:pStyle w:val="Heading2"/>
        <w:rPr>
          <w:bCs/>
          <w:iCs/>
        </w:rPr>
      </w:pPr>
      <w:bookmarkStart w:id="19" w:name="_Toc124196204"/>
      <w:r>
        <w:lastRenderedPageBreak/>
        <w:t>Inheritance</w:t>
      </w:r>
      <w:r w:rsidRPr="00005B50">
        <w:tab/>
      </w:r>
      <w:r w:rsidRPr="00005B50">
        <w:tab/>
      </w:r>
      <w:r w:rsidRPr="00005B50">
        <w:tab/>
      </w:r>
      <w:r>
        <w:t xml:space="preserve">          </w:t>
      </w:r>
      <w:r>
        <w:tab/>
      </w:r>
      <w:r>
        <w:tab/>
      </w:r>
      <w:r>
        <w:tab/>
      </w:r>
      <w:r>
        <w:tab/>
      </w:r>
      <w:r>
        <w:tab/>
        <w:t xml:space="preserve">          </w:t>
      </w:r>
      <w:r w:rsidRPr="00005B50">
        <w:t>Article</w:t>
      </w:r>
      <w:r>
        <w:t xml:space="preserve"> 16</w:t>
      </w:r>
      <w:bookmarkEnd w:id="19"/>
    </w:p>
    <w:p w14:paraId="33CD4B46" w14:textId="2D6CB4BD" w:rsidR="001526E7" w:rsidRDefault="001526E7" w:rsidP="006F4ED2">
      <w:pPr>
        <w:jc w:val="both"/>
      </w:pPr>
    </w:p>
    <w:p w14:paraId="4E5FB26E" w14:textId="6AD28BEB" w:rsidR="006F4ED2" w:rsidRDefault="006F4ED2" w:rsidP="00A76CD2">
      <w:pPr>
        <w:jc w:val="both"/>
      </w:pPr>
      <w:r>
        <w:t>Generally, inheritance rights between women and men are unequal, although there are exceptions to the general rule.</w:t>
      </w:r>
    </w:p>
    <w:p w14:paraId="2A4E965B" w14:textId="77777777" w:rsidR="006F4ED2" w:rsidRDefault="006F4ED2" w:rsidP="00A76CD2">
      <w:pPr>
        <w:jc w:val="both"/>
      </w:pPr>
    </w:p>
    <w:p w14:paraId="2DF6D151" w14:textId="5E7EB108" w:rsidR="006F4ED2" w:rsidRDefault="001061A5" w:rsidP="00A76CD2">
      <w:pPr>
        <w:jc w:val="both"/>
      </w:pPr>
      <w:r w:rsidRPr="001061A5">
        <w:t xml:space="preserve">The Personal Status Code defines the rules of inheritance, which follow </w:t>
      </w:r>
      <w:r>
        <w:t>traditiona</w:t>
      </w:r>
      <w:r w:rsidR="006F4ED2">
        <w:t xml:space="preserve">l </w:t>
      </w:r>
      <w:r>
        <w:t xml:space="preserve">interpretations of </w:t>
      </w:r>
      <w:r w:rsidRPr="001061A5">
        <w:t>Shari</w:t>
      </w:r>
      <w:r>
        <w:t>ah</w:t>
      </w:r>
      <w:r w:rsidRPr="001061A5">
        <w:t>.</w:t>
      </w:r>
      <w:r w:rsidR="006F4ED2">
        <w:rPr>
          <w:rStyle w:val="FootnoteReference"/>
        </w:rPr>
        <w:footnoteReference w:id="25"/>
      </w:r>
      <w:r w:rsidRPr="001061A5">
        <w:t xml:space="preserve"> Women have a right to inheritance, but in many cases receive less than men. </w:t>
      </w:r>
      <w:r w:rsidR="006F4ED2">
        <w:t xml:space="preserve">Articles 85-152 detail the inheritance shares. </w:t>
      </w:r>
      <w:r w:rsidRPr="001061A5">
        <w:t>Daughters receive half the share that sons receive.</w:t>
      </w:r>
      <w:r w:rsidR="006F4ED2" w:rsidRPr="006F4ED2">
        <w:t xml:space="preserve"> </w:t>
      </w:r>
      <w:r w:rsidR="006F4ED2">
        <w:t>In many instances, such as in the cases of widows and widowers and siblings, a woman is entitled to half the share of a man.</w:t>
      </w:r>
      <w:r w:rsidR="006F4ED2">
        <w:rPr>
          <w:rStyle w:val="FootnoteReference"/>
        </w:rPr>
        <w:footnoteReference w:id="26"/>
      </w:r>
      <w:r w:rsidR="006F4ED2">
        <w:t xml:space="preserve"> An exception to the general rule includes Article 143bis of the PSC which permits an only daughter to inherit her parents’ estate in its entirety. In addition, following a court ruling in 2009, it is now possible for non-Muslim women to inherit from their Muslim husbands.</w:t>
      </w:r>
    </w:p>
    <w:p w14:paraId="786FCD06" w14:textId="79C15B53" w:rsidR="001061A5" w:rsidRDefault="001061A5" w:rsidP="00A76CD2">
      <w:pPr>
        <w:jc w:val="both"/>
      </w:pPr>
    </w:p>
    <w:p w14:paraId="0C5EF969" w14:textId="49DD405F" w:rsidR="006F4ED2" w:rsidRDefault="006F4ED2" w:rsidP="00A76CD2">
      <w:pPr>
        <w:jc w:val="both"/>
      </w:pPr>
      <w:r>
        <w:t xml:space="preserve">In rural areas in particular, however, women often renounce their inheritance in </w:t>
      </w:r>
      <w:proofErr w:type="spellStart"/>
      <w:r>
        <w:t>favour</w:t>
      </w:r>
      <w:proofErr w:type="spellEnd"/>
      <w:r>
        <w:t xml:space="preserve"> of male relatives, in order to keep property and land within the family. Some parents get around inheritance laws by gifting property or assets to daughters before they die; this practice is facilitated by tax exemptions granted on gifts made between parents and their children.</w:t>
      </w:r>
      <w:r>
        <w:rPr>
          <w:rStyle w:val="FootnoteReference"/>
        </w:rPr>
        <w:footnoteReference w:id="27"/>
      </w:r>
    </w:p>
    <w:p w14:paraId="0244102E" w14:textId="7D6A3D6F" w:rsidR="006F4ED2" w:rsidRDefault="006F4ED2" w:rsidP="00AA30D0"/>
    <w:p w14:paraId="166CFF18" w14:textId="5854D83C" w:rsidR="00654938" w:rsidRDefault="00654938" w:rsidP="00654938">
      <w:pPr>
        <w:jc w:val="center"/>
      </w:pPr>
      <w:r>
        <w:rPr>
          <w:rFonts w:ascii="Arial" w:hAnsi="Arial" w:cs="Arial"/>
          <w:noProof/>
          <w:sz w:val="20"/>
          <w:szCs w:val="20"/>
        </w:rPr>
        <w:drawing>
          <wp:inline distT="0" distB="0" distL="0" distR="0" wp14:anchorId="49F869A3" wp14:editId="749CFB32">
            <wp:extent cx="4848225" cy="2140085"/>
            <wp:effectExtent l="0" t="0" r="317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22" cstate="print">
                      <a:extLst>
                        <a:ext uri="{28A0092B-C50C-407E-A947-70E740481C1C}">
                          <a14:useLocalDpi xmlns:a14="http://schemas.microsoft.com/office/drawing/2010/main" val="0"/>
                        </a:ext>
                      </a:extLst>
                    </a:blip>
                    <a:srcRect b="23228"/>
                    <a:stretch/>
                  </pic:blipFill>
                  <pic:spPr bwMode="auto">
                    <a:xfrm>
                      <a:off x="0" y="0"/>
                      <a:ext cx="4920094" cy="217180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sz w:val="20"/>
          <w:szCs w:val="20"/>
        </w:rPr>
        <w:drawing>
          <wp:inline distT="0" distB="0" distL="0" distR="0" wp14:anchorId="31D12F4F" wp14:editId="6D84B2EC">
            <wp:extent cx="5077838" cy="277857"/>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23" cstate="print">
                      <a:extLst>
                        <a:ext uri="{28A0092B-C50C-407E-A947-70E740481C1C}">
                          <a14:useLocalDpi xmlns:a14="http://schemas.microsoft.com/office/drawing/2010/main" val="0"/>
                        </a:ext>
                      </a:extLst>
                    </a:blip>
                    <a:srcRect t="90032" r="-4736"/>
                    <a:stretch/>
                  </pic:blipFill>
                  <pic:spPr bwMode="auto">
                    <a:xfrm>
                      <a:off x="0" y="0"/>
                      <a:ext cx="5153111" cy="281976"/>
                    </a:xfrm>
                    <a:prstGeom prst="rect">
                      <a:avLst/>
                    </a:prstGeom>
                    <a:ln>
                      <a:noFill/>
                    </a:ln>
                    <a:extLst>
                      <a:ext uri="{53640926-AAD7-44D8-BBD7-CCE9431645EC}">
                        <a14:shadowObscured xmlns:a14="http://schemas.microsoft.com/office/drawing/2010/main"/>
                      </a:ext>
                    </a:extLst>
                  </pic:spPr>
                </pic:pic>
              </a:graphicData>
            </a:graphic>
          </wp:inline>
        </w:drawing>
      </w:r>
    </w:p>
    <w:p w14:paraId="4E006DC5" w14:textId="77777777" w:rsidR="006F4ED2" w:rsidRDefault="006F4ED2" w:rsidP="00AA30D0"/>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9D9D9" w:themeFill="background1" w:themeFillShade="D9"/>
        <w:tblLayout w:type="fixed"/>
        <w:tblLook w:val="0600" w:firstRow="0" w:lastRow="0" w:firstColumn="0" w:lastColumn="0" w:noHBand="1" w:noVBand="1"/>
      </w:tblPr>
      <w:tblGrid>
        <w:gridCol w:w="8903"/>
      </w:tblGrid>
      <w:tr w:rsidR="006F4ED2" w:rsidRPr="000B3F10" w14:paraId="0DDF6745" w14:textId="77777777" w:rsidTr="00E755DB">
        <w:trPr>
          <w:trHeight w:val="1723"/>
        </w:trPr>
        <w:tc>
          <w:tcPr>
            <w:tcW w:w="8903" w:type="dxa"/>
            <w:shd w:val="clear" w:color="auto" w:fill="D9D9D9" w:themeFill="background1" w:themeFillShade="D9"/>
            <w:tcMar>
              <w:top w:w="100" w:type="dxa"/>
              <w:left w:w="100" w:type="dxa"/>
              <w:bottom w:w="100" w:type="dxa"/>
              <w:right w:w="100" w:type="dxa"/>
            </w:tcMar>
          </w:tcPr>
          <w:p w14:paraId="0A800E48" w14:textId="77777777" w:rsidR="006F4ED2" w:rsidRPr="000B3F10" w:rsidRDefault="006F4ED2" w:rsidP="00E755DB">
            <w:pPr>
              <w:widowControl w:val="0"/>
              <w:spacing w:before="240" w:after="240"/>
              <w:jc w:val="both"/>
              <w:rPr>
                <w:b/>
                <w:sz w:val="20"/>
                <w:szCs w:val="20"/>
                <w:u w:val="single"/>
              </w:rPr>
            </w:pPr>
            <w:r w:rsidRPr="000B3F10">
              <w:rPr>
                <w:b/>
                <w:sz w:val="20"/>
                <w:szCs w:val="20"/>
                <w:u w:val="single"/>
              </w:rPr>
              <w:t>RECOMMENDATIONS</w:t>
            </w:r>
          </w:p>
          <w:p w14:paraId="6DB091C2" w14:textId="77777777" w:rsidR="006F4ED2" w:rsidRPr="000B3F10" w:rsidRDefault="006F4ED2" w:rsidP="00E755DB">
            <w:pPr>
              <w:jc w:val="both"/>
              <w:rPr>
                <w:sz w:val="20"/>
                <w:szCs w:val="20"/>
              </w:rPr>
            </w:pPr>
            <w:r w:rsidRPr="000B3F10">
              <w:rPr>
                <w:b/>
                <w:bCs/>
                <w:sz w:val="20"/>
                <w:szCs w:val="20"/>
              </w:rPr>
              <w:t>We recommend the CEDAW Committee urge the State party to:</w:t>
            </w:r>
          </w:p>
          <w:p w14:paraId="29D4A2C2" w14:textId="77777777" w:rsidR="006F4ED2" w:rsidRPr="000B3F10" w:rsidRDefault="006F4ED2" w:rsidP="00E755DB">
            <w:pPr>
              <w:pStyle w:val="ListParagraph"/>
              <w:spacing w:after="160" w:line="259" w:lineRule="auto"/>
              <w:jc w:val="both"/>
              <w:rPr>
                <w:rFonts w:eastAsiaTheme="minorEastAsia"/>
                <w:sz w:val="20"/>
                <w:szCs w:val="20"/>
              </w:rPr>
            </w:pPr>
          </w:p>
          <w:p w14:paraId="371BFC10" w14:textId="77777777" w:rsidR="006F4ED2" w:rsidRDefault="00A76CD2" w:rsidP="00E755DB">
            <w:pPr>
              <w:pStyle w:val="ListParagraph"/>
              <w:numPr>
                <w:ilvl w:val="0"/>
                <w:numId w:val="15"/>
              </w:numPr>
              <w:spacing w:after="160" w:line="259" w:lineRule="auto"/>
              <w:jc w:val="both"/>
              <w:rPr>
                <w:rFonts w:eastAsiaTheme="minorEastAsia"/>
                <w:sz w:val="20"/>
                <w:szCs w:val="20"/>
              </w:rPr>
            </w:pPr>
            <w:r>
              <w:rPr>
                <w:rFonts w:eastAsiaTheme="minorEastAsia"/>
                <w:sz w:val="20"/>
                <w:szCs w:val="20"/>
              </w:rPr>
              <w:t>Amend the inheritance law to grant men and women equal rights to inheritance.</w:t>
            </w:r>
          </w:p>
          <w:p w14:paraId="1ABADD88" w14:textId="09FF651B" w:rsidR="00A76CD2" w:rsidRDefault="00A76CD2" w:rsidP="00A76CD2">
            <w:pPr>
              <w:pStyle w:val="ListParagraph"/>
              <w:spacing w:after="160" w:line="259" w:lineRule="auto"/>
              <w:jc w:val="both"/>
              <w:rPr>
                <w:rFonts w:eastAsiaTheme="minorEastAsia"/>
                <w:sz w:val="20"/>
                <w:szCs w:val="20"/>
              </w:rPr>
            </w:pPr>
          </w:p>
          <w:p w14:paraId="26C926BA" w14:textId="4A481E25" w:rsidR="00A76CD2" w:rsidRPr="000B3F10" w:rsidRDefault="00A76CD2" w:rsidP="00E755DB">
            <w:pPr>
              <w:pStyle w:val="ListParagraph"/>
              <w:numPr>
                <w:ilvl w:val="0"/>
                <w:numId w:val="15"/>
              </w:numPr>
              <w:spacing w:after="160" w:line="259" w:lineRule="auto"/>
              <w:jc w:val="both"/>
              <w:rPr>
                <w:rFonts w:eastAsiaTheme="minorEastAsia"/>
                <w:sz w:val="20"/>
                <w:szCs w:val="20"/>
              </w:rPr>
            </w:pPr>
            <w:r>
              <w:rPr>
                <w:rFonts w:eastAsiaTheme="minorEastAsia"/>
                <w:sz w:val="20"/>
                <w:szCs w:val="20"/>
              </w:rPr>
              <w:t xml:space="preserve">Ensure through effective policies, awareness campaigns and development programs that women are not pressurized to renounce their inheritance in </w:t>
            </w:r>
            <w:proofErr w:type="spellStart"/>
            <w:r>
              <w:rPr>
                <w:rFonts w:eastAsiaTheme="minorEastAsia"/>
                <w:sz w:val="20"/>
                <w:szCs w:val="20"/>
              </w:rPr>
              <w:t>favour</w:t>
            </w:r>
            <w:proofErr w:type="spellEnd"/>
            <w:r>
              <w:rPr>
                <w:rFonts w:eastAsiaTheme="minorEastAsia"/>
                <w:sz w:val="20"/>
                <w:szCs w:val="20"/>
              </w:rPr>
              <w:t xml:space="preserve"> of male relatives. </w:t>
            </w:r>
          </w:p>
        </w:tc>
      </w:tr>
    </w:tbl>
    <w:p w14:paraId="7595A5A1" w14:textId="77777777" w:rsidR="00AA30D0" w:rsidRDefault="00AA30D0" w:rsidP="00AA30D0"/>
    <w:sectPr w:rsidR="00AA30D0" w:rsidSect="008077FA">
      <w:pgSz w:w="11900" w:h="16820"/>
      <w:pgMar w:top="1170" w:right="1454" w:bottom="540" w:left="1526" w:header="360" w:footer="3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BCD56" w14:textId="77777777" w:rsidR="009B5483" w:rsidRDefault="009B5483" w:rsidP="00E26F24">
      <w:r>
        <w:separator/>
      </w:r>
    </w:p>
  </w:endnote>
  <w:endnote w:type="continuationSeparator" w:id="0">
    <w:p w14:paraId="7CE2BEBD" w14:textId="77777777" w:rsidR="009B5483" w:rsidRDefault="009B5483" w:rsidP="00E26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BAB84" w14:textId="77777777" w:rsidR="00A1637D" w:rsidRDefault="00A1637D">
    <w:pPr>
      <w:pStyle w:val="Normal1"/>
      <w:spacing w:before="0" w:after="0" w:line="240" w:lineRule="auto"/>
      <w:jc w:val="right"/>
    </w:pPr>
    <w:r>
      <w:fldChar w:fldCharType="begin"/>
    </w:r>
    <w:r>
      <w:instrText>PAGE</w:instrText>
    </w:r>
    <w:r>
      <w:fldChar w:fldCharType="separate"/>
    </w:r>
    <w:r>
      <w:rPr>
        <w:noProof/>
      </w:rPr>
      <w:t>3</w:t>
    </w:r>
    <w:r>
      <w:fldChar w:fldCharType="end"/>
    </w:r>
  </w:p>
  <w:p w14:paraId="559FCFED" w14:textId="77777777" w:rsidR="00A1637D" w:rsidRDefault="00A1637D">
    <w:pPr>
      <w:pStyle w:val="Normal1"/>
      <w:spacing w:before="0" w:after="720" w:line="240" w:lineRule="auto"/>
      <w:ind w:right="360"/>
    </w:pPr>
  </w:p>
  <w:p w14:paraId="6EF8A35E" w14:textId="77777777" w:rsidR="00A1637D" w:rsidRDefault="00A1637D">
    <w:pPr>
      <w:pStyle w:val="Normal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94A6A" w14:textId="77777777" w:rsidR="00A1637D" w:rsidRDefault="00A1637D" w:rsidP="00C70E87">
    <w:pPr>
      <w:pStyle w:val="Normal1"/>
      <w:spacing w:before="0" w:after="0" w:line="240" w:lineRule="auto"/>
    </w:pPr>
  </w:p>
  <w:p w14:paraId="1368A22C" w14:textId="77777777" w:rsidR="00A1637D" w:rsidRPr="00034A52" w:rsidRDefault="00A1637D" w:rsidP="0008058B">
    <w:pPr>
      <w:pStyle w:val="Normal1"/>
      <w:spacing w:before="0" w:after="0" w:line="240" w:lineRule="auto"/>
      <w:jc w:val="right"/>
      <w:rPr>
        <w:rFonts w:ascii="Arial" w:eastAsia="Arial" w:hAnsi="Arial" w:cs="Arial"/>
        <w:sz w:val="18"/>
        <w:szCs w:val="18"/>
      </w:rPr>
    </w:pPr>
    <w:r w:rsidRPr="00034A52">
      <w:rPr>
        <w:rFonts w:ascii="Arial" w:eastAsia="Arial" w:hAnsi="Arial" w:cs="Arial"/>
        <w:sz w:val="18"/>
        <w:szCs w:val="18"/>
      </w:rPr>
      <w:fldChar w:fldCharType="begin"/>
    </w:r>
    <w:r w:rsidRPr="00034A52">
      <w:rPr>
        <w:rFonts w:ascii="Arial" w:eastAsia="Arial" w:hAnsi="Arial" w:cs="Arial"/>
        <w:sz w:val="18"/>
        <w:szCs w:val="18"/>
      </w:rPr>
      <w:instrText>PAGE</w:instrText>
    </w:r>
    <w:r w:rsidRPr="00034A52">
      <w:rPr>
        <w:rFonts w:ascii="Arial" w:eastAsia="Arial" w:hAnsi="Arial" w:cs="Arial"/>
        <w:sz w:val="18"/>
        <w:szCs w:val="18"/>
      </w:rPr>
      <w:fldChar w:fldCharType="separate"/>
    </w:r>
    <w:r>
      <w:rPr>
        <w:rFonts w:ascii="Arial" w:eastAsia="Arial" w:hAnsi="Arial" w:cs="Arial"/>
        <w:noProof/>
        <w:sz w:val="18"/>
        <w:szCs w:val="18"/>
      </w:rPr>
      <w:t>12</w:t>
    </w:r>
    <w:r w:rsidRPr="00034A52">
      <w:rPr>
        <w:rFonts w:ascii="Arial" w:eastAsia="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4ACD2" w14:textId="77777777" w:rsidR="00E26F24" w:rsidRDefault="00E26F24">
    <w:pPr>
      <w:pStyle w:val="Normal1"/>
      <w:spacing w:before="0" w:after="0" w:line="240" w:lineRule="auto"/>
      <w:jc w:val="right"/>
    </w:pPr>
    <w:r>
      <w:fldChar w:fldCharType="begin"/>
    </w:r>
    <w:r>
      <w:instrText>PAGE</w:instrText>
    </w:r>
    <w:r>
      <w:fldChar w:fldCharType="separate"/>
    </w:r>
    <w:r>
      <w:rPr>
        <w:noProof/>
      </w:rPr>
      <w:t>3</w:t>
    </w:r>
    <w:r>
      <w:fldChar w:fldCharType="end"/>
    </w:r>
  </w:p>
  <w:p w14:paraId="1586B15C" w14:textId="77777777" w:rsidR="00E26F24" w:rsidRDefault="00E26F24">
    <w:pPr>
      <w:pStyle w:val="Normal1"/>
      <w:spacing w:before="0" w:after="720" w:line="240" w:lineRule="auto"/>
      <w:ind w:right="360"/>
    </w:pPr>
  </w:p>
  <w:p w14:paraId="6B4ECB52" w14:textId="77777777" w:rsidR="00E26F24" w:rsidRDefault="00E26F24">
    <w:pPr>
      <w:pStyle w:val="Normal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3BC76" w14:textId="77777777" w:rsidR="00E26F24" w:rsidRDefault="00E26F24" w:rsidP="00C70E87">
    <w:pPr>
      <w:pStyle w:val="Normal1"/>
      <w:spacing w:before="0" w:after="0" w:line="240" w:lineRule="auto"/>
    </w:pPr>
  </w:p>
  <w:p w14:paraId="6BB1B0D0" w14:textId="77777777" w:rsidR="00E26F24" w:rsidRPr="00034A52" w:rsidRDefault="00E26F24" w:rsidP="0008058B">
    <w:pPr>
      <w:pStyle w:val="Normal1"/>
      <w:spacing w:before="0" w:after="0" w:line="240" w:lineRule="auto"/>
      <w:jc w:val="right"/>
      <w:rPr>
        <w:rFonts w:ascii="Arial" w:eastAsia="Arial" w:hAnsi="Arial" w:cs="Arial"/>
        <w:sz w:val="18"/>
        <w:szCs w:val="18"/>
      </w:rPr>
    </w:pPr>
    <w:r w:rsidRPr="00034A52">
      <w:rPr>
        <w:rFonts w:ascii="Arial" w:eastAsia="Arial" w:hAnsi="Arial" w:cs="Arial"/>
        <w:sz w:val="18"/>
        <w:szCs w:val="18"/>
      </w:rPr>
      <w:fldChar w:fldCharType="begin"/>
    </w:r>
    <w:r w:rsidRPr="00034A52">
      <w:rPr>
        <w:rFonts w:ascii="Arial" w:eastAsia="Arial" w:hAnsi="Arial" w:cs="Arial"/>
        <w:sz w:val="18"/>
        <w:szCs w:val="18"/>
      </w:rPr>
      <w:instrText>PAGE</w:instrText>
    </w:r>
    <w:r w:rsidRPr="00034A52">
      <w:rPr>
        <w:rFonts w:ascii="Arial" w:eastAsia="Arial" w:hAnsi="Arial" w:cs="Arial"/>
        <w:sz w:val="18"/>
        <w:szCs w:val="18"/>
      </w:rPr>
      <w:fldChar w:fldCharType="separate"/>
    </w:r>
    <w:r w:rsidR="00A72ABB">
      <w:rPr>
        <w:rFonts w:ascii="Arial" w:eastAsia="Arial" w:hAnsi="Arial" w:cs="Arial"/>
        <w:noProof/>
        <w:sz w:val="18"/>
        <w:szCs w:val="18"/>
      </w:rPr>
      <w:t>10</w:t>
    </w:r>
    <w:r w:rsidRPr="00034A52">
      <w:rPr>
        <w:rFonts w:ascii="Arial" w:eastAsia="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289F5" w14:textId="77777777" w:rsidR="009B5483" w:rsidRDefault="009B5483" w:rsidP="00E26F24">
      <w:r>
        <w:separator/>
      </w:r>
    </w:p>
  </w:footnote>
  <w:footnote w:type="continuationSeparator" w:id="0">
    <w:p w14:paraId="2D098FA6" w14:textId="77777777" w:rsidR="009B5483" w:rsidRDefault="009B5483" w:rsidP="00E26F24">
      <w:r>
        <w:continuationSeparator/>
      </w:r>
    </w:p>
  </w:footnote>
  <w:footnote w:id="1">
    <w:p w14:paraId="0FE52CE0" w14:textId="0FC7CF63" w:rsidR="00097A36" w:rsidRPr="00097A36" w:rsidRDefault="00097A36" w:rsidP="00BD0B5D">
      <w:pPr>
        <w:pStyle w:val="FootnoteText"/>
      </w:pPr>
      <w:r w:rsidRPr="00097A36">
        <w:rPr>
          <w:rStyle w:val="FootnoteReference"/>
        </w:rPr>
        <w:footnoteRef/>
      </w:r>
      <w:r w:rsidRPr="00097A36">
        <w:t xml:space="preserve"> This report has been prepared through significant inputs and information from Pr. </w:t>
      </w:r>
      <w:proofErr w:type="spellStart"/>
      <w:r w:rsidRPr="00097A36">
        <w:t>Zahia</w:t>
      </w:r>
      <w:proofErr w:type="spellEnd"/>
      <w:r w:rsidRPr="00097A36">
        <w:t xml:space="preserve"> </w:t>
      </w:r>
      <w:proofErr w:type="spellStart"/>
      <w:r w:rsidRPr="00097A36">
        <w:t>Jouirou</w:t>
      </w:r>
      <w:proofErr w:type="spellEnd"/>
      <w:r w:rsidRPr="00097A36">
        <w:t xml:space="preserve">, Full Professor of Islamic and Gender Studies at the Tunisian University, Faculty of Letters, Arts and Humanities </w:t>
      </w:r>
      <w:proofErr w:type="spellStart"/>
      <w:r w:rsidRPr="00097A36">
        <w:t>Mannouba</w:t>
      </w:r>
      <w:proofErr w:type="spellEnd"/>
      <w:r w:rsidRPr="00097A36">
        <w:t>, Tunisia.</w:t>
      </w:r>
    </w:p>
  </w:footnote>
  <w:footnote w:id="2">
    <w:p w14:paraId="76F91779" w14:textId="23DFFBEB" w:rsidR="00E47EA6" w:rsidRDefault="00E47EA6" w:rsidP="00BD0B5D">
      <w:pPr>
        <w:pStyle w:val="FootnoteText"/>
      </w:pPr>
      <w:r>
        <w:rPr>
          <w:rStyle w:val="FootnoteReference"/>
        </w:rPr>
        <w:footnoteRef/>
      </w:r>
      <w:r>
        <w:t xml:space="preserve"> </w:t>
      </w:r>
      <w:r w:rsidRPr="00E47EA6">
        <w:t xml:space="preserve">UNDP, </w:t>
      </w:r>
      <w:proofErr w:type="spellStart"/>
      <w:r w:rsidRPr="00E47EA6">
        <w:t>L’etat</w:t>
      </w:r>
      <w:proofErr w:type="spellEnd"/>
      <w:r w:rsidRPr="00E47EA6">
        <w:t xml:space="preserve"> </w:t>
      </w:r>
      <w:r>
        <w:t>d</w:t>
      </w:r>
      <w:r w:rsidRPr="00E47EA6">
        <w:t xml:space="preserve">e </w:t>
      </w:r>
      <w:proofErr w:type="spellStart"/>
      <w:r w:rsidRPr="00E47EA6">
        <w:t>L’aide</w:t>
      </w:r>
      <w:proofErr w:type="spellEnd"/>
      <w:r w:rsidRPr="00E47EA6">
        <w:t xml:space="preserve"> </w:t>
      </w:r>
      <w:proofErr w:type="spellStart"/>
      <w:r w:rsidRPr="00E47EA6">
        <w:t>Legale</w:t>
      </w:r>
      <w:proofErr w:type="spellEnd"/>
      <w:r w:rsidRPr="00E47EA6">
        <w:t xml:space="preserve"> </w:t>
      </w:r>
      <w:proofErr w:type="spellStart"/>
      <w:r>
        <w:t>e</w:t>
      </w:r>
      <w:r w:rsidRPr="00E47EA6">
        <w:t>n</w:t>
      </w:r>
      <w:proofErr w:type="spellEnd"/>
      <w:r w:rsidRPr="00E47EA6">
        <w:t xml:space="preserve"> </w:t>
      </w:r>
      <w:proofErr w:type="spellStart"/>
      <w:r w:rsidRPr="00E47EA6">
        <w:t>Tunisie</w:t>
      </w:r>
      <w:proofErr w:type="spellEnd"/>
      <w:r w:rsidRPr="00E47EA6">
        <w:t xml:space="preserve"> 2014 </w:t>
      </w:r>
      <w:hyperlink r:id="rId1" w:history="1">
        <w:r w:rsidRPr="00D756AA">
          <w:rPr>
            <w:rStyle w:val="Hyperlink"/>
          </w:rPr>
          <w:t>https://www.asf.be/wp-content/uploads/2014/06/ASF_Tunisie_EtudeAideLe%CC%81gale_2014_6.pdf</w:t>
        </w:r>
      </w:hyperlink>
      <w:r w:rsidRPr="00E47EA6">
        <w:t xml:space="preserve"> pp 23-29</w:t>
      </w:r>
    </w:p>
  </w:footnote>
  <w:footnote w:id="3">
    <w:p w14:paraId="2EBC7A5F" w14:textId="2C117106" w:rsidR="00097A36" w:rsidRPr="00097A36" w:rsidRDefault="00FE4975" w:rsidP="00BD0B5D">
      <w:pPr>
        <w:pStyle w:val="FootnoteText"/>
      </w:pPr>
      <w:r w:rsidRPr="00097A36">
        <w:rPr>
          <w:rStyle w:val="FootnoteReference"/>
        </w:rPr>
        <w:footnoteRef/>
      </w:r>
      <w:r w:rsidRPr="00097A36">
        <w:t xml:space="preserve"> Mari </w:t>
      </w:r>
      <w:proofErr w:type="spellStart"/>
      <w:r w:rsidRPr="00097A36">
        <w:t>Norbakk</w:t>
      </w:r>
      <w:proofErr w:type="spellEnd"/>
      <w:r w:rsidRPr="00097A36">
        <w:t>, “The Women’s Rights Champion: Tunisia’s potential for furthering women’s rights”, (CMI</w:t>
      </w:r>
      <w:r w:rsidR="00097A36" w:rsidRPr="00097A36">
        <w:t xml:space="preserve"> </w:t>
      </w:r>
      <w:r w:rsidRPr="00097A36">
        <w:t>Report, 5, 2016), p. 9,</w:t>
      </w:r>
      <w:r w:rsidR="00097A36" w:rsidRPr="00097A36">
        <w:t xml:space="preserve"> </w:t>
      </w:r>
      <w:hyperlink r:id="rId2" w:history="1">
        <w:r w:rsidR="00097A36" w:rsidRPr="00097A36">
          <w:rPr>
            <w:rStyle w:val="Hyperlink"/>
          </w:rPr>
          <w:t>https://www.cmi.no/publications/file/5973-the-womens-rights-champion.pdf</w:t>
        </w:r>
      </w:hyperlink>
    </w:p>
  </w:footnote>
  <w:footnote w:id="4">
    <w:p w14:paraId="42380FA9" w14:textId="7ED7178D" w:rsidR="00097A36" w:rsidRDefault="00097A36" w:rsidP="00BD0B5D">
      <w:pPr>
        <w:pStyle w:val="FootnoteText"/>
      </w:pPr>
      <w:r>
        <w:rPr>
          <w:rStyle w:val="FootnoteReference"/>
        </w:rPr>
        <w:footnoteRef/>
      </w:r>
      <w:r>
        <w:t xml:space="preserve"> </w:t>
      </w:r>
      <w:r w:rsidRPr="00097A36">
        <w:t xml:space="preserve">“Report of the Working Group on the issue of discrimination against women in law and in practice” 2013 </w:t>
      </w:r>
      <w:hyperlink r:id="rId3">
        <w:r w:rsidRPr="00BD0B5D">
          <w:rPr>
            <w:rStyle w:val="Hyperlink"/>
          </w:rPr>
          <w:t>https://www.ohchr.org/sites/default/files/Documents/HRBodies/HRCouncil/RegularSession/Session23/A.HRC.23.50.Add.2_ENG.pdf</w:t>
        </w:r>
      </w:hyperlink>
    </w:p>
  </w:footnote>
  <w:footnote w:id="5">
    <w:p w14:paraId="47733F45" w14:textId="77777777" w:rsidR="00E47EA6" w:rsidRDefault="00E47EA6" w:rsidP="00BD0B5D">
      <w:pPr>
        <w:pStyle w:val="FootnoteText"/>
      </w:pPr>
      <w:r>
        <w:rPr>
          <w:rStyle w:val="FootnoteReference"/>
        </w:rPr>
        <w:footnoteRef/>
      </w:r>
      <w:r>
        <w:t xml:space="preserve"> UN Women, Ministry of Women, Family, Childhood and Seniors Republic of Tunisia, “Report of the Republic of Tunisia on Beijing Declaration and Platform for Action</w:t>
      </w:r>
    </w:p>
    <w:p w14:paraId="28B5BC6F" w14:textId="5F0ABE0C" w:rsidR="00E47EA6" w:rsidRDefault="00E47EA6" w:rsidP="00BD0B5D">
      <w:pPr>
        <w:pStyle w:val="FootnoteText"/>
      </w:pPr>
      <w:r>
        <w:t>(</w:t>
      </w:r>
      <w:proofErr w:type="spellStart"/>
      <w:r>
        <w:t>BPfA</w:t>
      </w:r>
      <w:proofErr w:type="spellEnd"/>
      <w:r>
        <w:t xml:space="preserve">) + 25” </w:t>
      </w:r>
      <w:hyperlink r:id="rId4" w:history="1">
        <w:r w:rsidRPr="00D756AA">
          <w:rPr>
            <w:rStyle w:val="Hyperlink"/>
          </w:rPr>
          <w:t>https://www.unwomen.org/sites/default/files/Headquarters/Attachments/Sections/CSW/64/National-reviews/Tunisia_En.pdf</w:t>
        </w:r>
      </w:hyperlink>
    </w:p>
  </w:footnote>
  <w:footnote w:id="6">
    <w:p w14:paraId="5CC01E3B" w14:textId="4A1814B8" w:rsidR="009E1C67" w:rsidRPr="00097A36" w:rsidRDefault="009E1C67" w:rsidP="00BD0B5D">
      <w:pPr>
        <w:pStyle w:val="FootnoteText"/>
      </w:pPr>
      <w:r w:rsidRPr="00097A36">
        <w:rPr>
          <w:rStyle w:val="FootnoteReference"/>
        </w:rPr>
        <w:footnoteRef/>
      </w:r>
      <w:r w:rsidRPr="00097A36">
        <w:t xml:space="preserve"> See for example Civil Cassation Judgement n 31115m, 5 February, 2009; Tunis Appeal Court Judgement No 120, 6 January, 2004 and n 3351, 4 May 2004</w:t>
      </w:r>
    </w:p>
  </w:footnote>
  <w:footnote w:id="7">
    <w:p w14:paraId="507F4C99" w14:textId="77777777" w:rsidR="0058651B" w:rsidRPr="00097A36" w:rsidRDefault="00A76CD2" w:rsidP="00BD0B5D">
      <w:pPr>
        <w:pStyle w:val="FootnoteText"/>
      </w:pPr>
      <w:r w:rsidRPr="00097A36">
        <w:rPr>
          <w:rStyle w:val="FootnoteReference"/>
        </w:rPr>
        <w:footnoteRef/>
      </w:r>
      <w:r w:rsidRPr="00097A36">
        <w:t xml:space="preserve"> </w:t>
      </w:r>
      <w:r w:rsidR="0058651B" w:rsidRPr="00097A36">
        <w:t xml:space="preserve">Lilia Ben Salem, “Tunisia”, in </w:t>
      </w:r>
      <w:r w:rsidR="0058651B" w:rsidRPr="00097A36">
        <w:rPr>
          <w:i/>
          <w:iCs/>
        </w:rPr>
        <w:t>Women’s Rights in the Middle East and North Africa: Progress Amid Resistance</w:t>
      </w:r>
      <w:r w:rsidR="0058651B" w:rsidRPr="00097A36">
        <w:t>, eds. Sanja Kelly and Julia Breslin (New York, NY:</w:t>
      </w:r>
    </w:p>
    <w:p w14:paraId="08C4E161" w14:textId="0406EFFA" w:rsidR="0058651B" w:rsidRPr="00097A36" w:rsidRDefault="0058651B" w:rsidP="00BD0B5D">
      <w:pPr>
        <w:pStyle w:val="FootnoteText"/>
      </w:pPr>
      <w:r w:rsidRPr="00097A36">
        <w:t xml:space="preserve">Freedom House; Lanham, MD: Rowman &amp; Littlefield, 2010), p.7, </w:t>
      </w:r>
      <w:hyperlink r:id="rId5" w:history="1">
        <w:r w:rsidRPr="00097A36">
          <w:rPr>
            <w:rStyle w:val="Hyperlink"/>
          </w:rPr>
          <w:t>https://freedomhouse.org/sites/default/files/inline_images/Tunisia.pdf</w:t>
        </w:r>
      </w:hyperlink>
    </w:p>
  </w:footnote>
  <w:footnote w:id="8">
    <w:p w14:paraId="5EE55D25" w14:textId="77777777" w:rsidR="002F7FF2" w:rsidRPr="00097A36" w:rsidRDefault="002F7FF2" w:rsidP="00BD0B5D">
      <w:pPr>
        <w:pStyle w:val="FootnoteText"/>
      </w:pPr>
      <w:r w:rsidRPr="00097A36">
        <w:rPr>
          <w:rStyle w:val="FootnoteReference"/>
        </w:rPr>
        <w:footnoteRef/>
      </w:r>
      <w:r w:rsidRPr="00097A36">
        <w:t xml:space="preserve"> UN Working Group Mission to Tunisia, U.N. Doc. A/HRC/23/50/Add.2 (2013), paras. 9, 35,</w:t>
      </w:r>
    </w:p>
    <w:p w14:paraId="0C874F15" w14:textId="3DF199F8" w:rsidR="00054EF2" w:rsidRPr="00097A36" w:rsidRDefault="00000000" w:rsidP="00BD0B5D">
      <w:pPr>
        <w:pStyle w:val="FootnoteText"/>
      </w:pPr>
      <w:hyperlink r:id="rId6" w:history="1">
        <w:r w:rsidR="00054EF2" w:rsidRPr="00D756AA">
          <w:rPr>
            <w:rStyle w:val="Hyperlink"/>
          </w:rPr>
          <w:t>http://www.ohchr.org/Documents/HRBodies/HRCouncil/RegularSession/Session23/A.HRC.23.50.Add.2_ENG.pdf</w:t>
        </w:r>
      </w:hyperlink>
    </w:p>
  </w:footnote>
  <w:footnote w:id="9">
    <w:p w14:paraId="146C9A03" w14:textId="0CFE9FF0" w:rsidR="002F7FF2" w:rsidRPr="00097A36" w:rsidRDefault="002F7FF2" w:rsidP="00BD0B5D">
      <w:pPr>
        <w:pStyle w:val="FootnoteText"/>
      </w:pPr>
      <w:r w:rsidRPr="00097A36">
        <w:rPr>
          <w:rStyle w:val="FootnoteReference"/>
        </w:rPr>
        <w:footnoteRef/>
      </w:r>
      <w:r w:rsidRPr="00097A36">
        <w:t xml:space="preserve"> Article 23 of the Personal Status Code (1956), http://www.legislation.tn/sites/default/files/codes/Statutpersonnel.pdf</w:t>
      </w:r>
    </w:p>
  </w:footnote>
  <w:footnote w:id="10">
    <w:p w14:paraId="45385BFE" w14:textId="77777777" w:rsidR="00C7074D" w:rsidRPr="00097A36" w:rsidRDefault="00C7074D" w:rsidP="00BD0B5D">
      <w:pPr>
        <w:pStyle w:val="FootnoteText"/>
      </w:pPr>
      <w:r w:rsidRPr="00097A36">
        <w:rPr>
          <w:rStyle w:val="FootnoteReference"/>
        </w:rPr>
        <w:footnoteRef/>
      </w:r>
      <w:r w:rsidRPr="00097A36">
        <w:t xml:space="preserve"> UN Working Group Mission to Tunisia, U.N. Doc. A/HRC/23/50/Add.2 (2013), paras. 31, 32,</w:t>
      </w:r>
    </w:p>
    <w:p w14:paraId="0AB42510" w14:textId="3BFE83C5" w:rsidR="00054EF2" w:rsidRPr="00097A36" w:rsidRDefault="00000000" w:rsidP="00BD0B5D">
      <w:pPr>
        <w:pStyle w:val="FootnoteText"/>
      </w:pPr>
      <w:hyperlink r:id="rId7" w:history="1">
        <w:r w:rsidR="00054EF2" w:rsidRPr="00D756AA">
          <w:rPr>
            <w:rStyle w:val="Hyperlink"/>
          </w:rPr>
          <w:t>http://www.ohchr.org/Documents/HRBodies/HRCouncil/RegularSession/Session23/A.HRC.23.50.Add.2_ENG.pdf</w:t>
        </w:r>
      </w:hyperlink>
    </w:p>
  </w:footnote>
  <w:footnote w:id="11">
    <w:p w14:paraId="5AD5D6A3" w14:textId="58981384" w:rsidR="00054EF2" w:rsidRPr="00097A36" w:rsidRDefault="00256EFE" w:rsidP="00BD0B5D">
      <w:pPr>
        <w:pStyle w:val="FootnoteText"/>
      </w:pPr>
      <w:r w:rsidRPr="00097A36">
        <w:rPr>
          <w:rStyle w:val="FootnoteReference"/>
        </w:rPr>
        <w:footnoteRef/>
      </w:r>
      <w:r w:rsidRPr="00097A36">
        <w:t xml:space="preserve"> Article 5 of the Personal Status Code (1956), </w:t>
      </w:r>
      <w:hyperlink r:id="rId8" w:history="1">
        <w:r w:rsidR="00054EF2" w:rsidRPr="00D756AA">
          <w:rPr>
            <w:rStyle w:val="Hyperlink"/>
          </w:rPr>
          <w:t>http://www.legislation.tn/sites/default/files/codes/Statutpersonnel.pdf</w:t>
        </w:r>
      </w:hyperlink>
    </w:p>
  </w:footnote>
  <w:footnote w:id="12">
    <w:p w14:paraId="65E9BF80" w14:textId="53647B39" w:rsidR="00054EF2" w:rsidRPr="00097A36" w:rsidRDefault="00256EFE" w:rsidP="00BD0B5D">
      <w:pPr>
        <w:pStyle w:val="FootnoteText"/>
      </w:pPr>
      <w:r w:rsidRPr="00097A36">
        <w:rPr>
          <w:rStyle w:val="FootnoteReference"/>
        </w:rPr>
        <w:footnoteRef/>
      </w:r>
      <w:r w:rsidRPr="00097A36">
        <w:t xml:space="preserve"> Article 153 of the Personal Status Code (1956), </w:t>
      </w:r>
      <w:hyperlink r:id="rId9" w:history="1">
        <w:r w:rsidR="00054EF2" w:rsidRPr="00D756AA">
          <w:rPr>
            <w:rStyle w:val="Hyperlink"/>
          </w:rPr>
          <w:t>http://www.legislation.tn/sites/default/files/codes/Statutpersonnel.pdf</w:t>
        </w:r>
      </w:hyperlink>
    </w:p>
  </w:footnote>
  <w:footnote w:id="13">
    <w:p w14:paraId="4DE11550" w14:textId="7E2C8F99" w:rsidR="00256EFE" w:rsidRPr="00097A36" w:rsidRDefault="00256EFE" w:rsidP="00BD0B5D">
      <w:pPr>
        <w:pStyle w:val="FootnoteText"/>
      </w:pPr>
      <w:r w:rsidRPr="00097A36">
        <w:rPr>
          <w:rStyle w:val="FootnoteReference"/>
        </w:rPr>
        <w:footnoteRef/>
      </w:r>
      <w:r w:rsidRPr="00097A36">
        <w:t xml:space="preserve"> Tunisia, The Penal Code, 2011 </w:t>
      </w:r>
      <w:hyperlink r:id="rId10" w:history="1">
        <w:r w:rsidR="00054EF2" w:rsidRPr="00D756AA">
          <w:rPr>
            <w:rStyle w:val="Hyperlink"/>
          </w:rPr>
          <w:t>https://www.ilo.org/dyn/natlex/docs/ELECTRONIC/61250/60936/F1198127290/TUN-61250.pdf</w:t>
        </w:r>
      </w:hyperlink>
      <w:r w:rsidRPr="00097A36">
        <w:t xml:space="preserve"> (in French)</w:t>
      </w:r>
    </w:p>
    <w:p w14:paraId="0B825F7E" w14:textId="23962B0F" w:rsidR="00054EF2" w:rsidRPr="00097A36" w:rsidRDefault="00256EFE" w:rsidP="00BD0B5D">
      <w:pPr>
        <w:pStyle w:val="FootnoteText"/>
      </w:pPr>
      <w:r w:rsidRPr="00097A36">
        <w:t xml:space="preserve">Noon Post, “New Legislation in Tunisia to Combat Violence Against Women”, 25 July 2017 </w:t>
      </w:r>
      <w:hyperlink r:id="rId11" w:history="1">
        <w:r w:rsidR="00054EF2" w:rsidRPr="00D756AA">
          <w:rPr>
            <w:rStyle w:val="Hyperlink"/>
          </w:rPr>
          <w:t>https://www.noonpost.com/content/19032</w:t>
        </w:r>
      </w:hyperlink>
    </w:p>
  </w:footnote>
  <w:footnote w:id="14">
    <w:p w14:paraId="2FA48025" w14:textId="77777777" w:rsidR="00256EFE" w:rsidRPr="00097A36" w:rsidRDefault="00256EFE" w:rsidP="00BD0B5D">
      <w:pPr>
        <w:pStyle w:val="FootnoteText"/>
      </w:pPr>
      <w:r w:rsidRPr="00097A36">
        <w:rPr>
          <w:rStyle w:val="FootnoteReference"/>
        </w:rPr>
        <w:footnoteRef/>
      </w:r>
      <w:r w:rsidRPr="00097A36">
        <w:t xml:space="preserve"> Omar </w:t>
      </w:r>
      <w:proofErr w:type="spellStart"/>
      <w:r w:rsidRPr="00097A36">
        <w:t>Fassatoui</w:t>
      </w:r>
      <w:proofErr w:type="spellEnd"/>
      <w:r w:rsidRPr="00097A36">
        <w:t>, “Women’s rights in Tunisia: The remaining legal inequalities”, (C.A. Perspectives on Tunisia, 1, 2016), p. 3,</w:t>
      </w:r>
    </w:p>
    <w:p w14:paraId="1C6E9FF5" w14:textId="5AFB44B5" w:rsidR="00054EF2" w:rsidRPr="00097A36" w:rsidRDefault="00000000" w:rsidP="00BD0B5D">
      <w:pPr>
        <w:pStyle w:val="FootnoteText"/>
      </w:pPr>
      <w:hyperlink r:id="rId12" w:history="1">
        <w:r w:rsidR="00054EF2" w:rsidRPr="00D756AA">
          <w:rPr>
            <w:rStyle w:val="Hyperlink"/>
          </w:rPr>
          <w:t>http://www.cap-lmu.de/download/2016/CAPerspectives-Tunisia-01.pdf</w:t>
        </w:r>
      </w:hyperlink>
    </w:p>
  </w:footnote>
  <w:footnote w:id="15">
    <w:p w14:paraId="6E53E872" w14:textId="77777777" w:rsidR="00256EFE" w:rsidRPr="00097A36" w:rsidRDefault="00256EFE" w:rsidP="00BD0B5D">
      <w:pPr>
        <w:pStyle w:val="FootnoteText"/>
      </w:pPr>
      <w:r w:rsidRPr="00097A36">
        <w:rPr>
          <w:rStyle w:val="FootnoteReference"/>
        </w:rPr>
        <w:footnoteRef/>
      </w:r>
      <w:r w:rsidRPr="00097A36">
        <w:t xml:space="preserve"> Omar </w:t>
      </w:r>
      <w:proofErr w:type="spellStart"/>
      <w:r w:rsidRPr="00097A36">
        <w:t>Fassatoui</w:t>
      </w:r>
      <w:proofErr w:type="spellEnd"/>
      <w:r w:rsidRPr="00097A36">
        <w:t>, “Women’s rights in Tunisia: The remaining legal inequalities”, (C.A. Perspectives on Tunisia, 1, 2016), p. 3,</w:t>
      </w:r>
    </w:p>
    <w:p w14:paraId="523500B7" w14:textId="56693CBA" w:rsidR="00054EF2" w:rsidRPr="00097A36" w:rsidRDefault="00000000" w:rsidP="00BD0B5D">
      <w:pPr>
        <w:pStyle w:val="FootnoteText"/>
      </w:pPr>
      <w:hyperlink r:id="rId13" w:history="1">
        <w:r w:rsidR="00054EF2" w:rsidRPr="00D756AA">
          <w:rPr>
            <w:rStyle w:val="Hyperlink"/>
          </w:rPr>
          <w:t>http://www.cap-lmu.de/download/2016/CAPerspectives-Tunisia-01.pdf</w:t>
        </w:r>
      </w:hyperlink>
    </w:p>
  </w:footnote>
  <w:footnote w:id="16">
    <w:p w14:paraId="54D4461C" w14:textId="77777777" w:rsidR="00256EFE" w:rsidRPr="00097A36" w:rsidRDefault="00256EFE" w:rsidP="00BD0B5D">
      <w:pPr>
        <w:pStyle w:val="FootnoteText"/>
      </w:pPr>
      <w:r w:rsidRPr="00097A36">
        <w:rPr>
          <w:rStyle w:val="FootnoteReference"/>
        </w:rPr>
        <w:footnoteRef/>
      </w:r>
      <w:r w:rsidRPr="00097A36">
        <w:t xml:space="preserve"> Basma </w:t>
      </w:r>
      <w:proofErr w:type="spellStart"/>
      <w:r w:rsidRPr="00097A36">
        <w:t>Atassi</w:t>
      </w:r>
      <w:proofErr w:type="spellEnd"/>
      <w:r w:rsidRPr="00097A36">
        <w:t xml:space="preserve">, “Tunisian court approves marriage of pregnant </w:t>
      </w:r>
      <w:proofErr w:type="gramStart"/>
      <w:r w:rsidRPr="00097A36">
        <w:t>13-year old</w:t>
      </w:r>
      <w:proofErr w:type="gramEnd"/>
      <w:r w:rsidRPr="00097A36">
        <w:t>”, CNN, 15 December 2016,</w:t>
      </w:r>
    </w:p>
    <w:p w14:paraId="6E928BEB" w14:textId="49342D66" w:rsidR="00256EFE" w:rsidRPr="00097A36" w:rsidRDefault="00000000" w:rsidP="00BD0B5D">
      <w:pPr>
        <w:pStyle w:val="FootnoteText"/>
      </w:pPr>
      <w:hyperlink r:id="rId14" w:history="1">
        <w:r w:rsidR="00054EF2" w:rsidRPr="00D756AA">
          <w:rPr>
            <w:rStyle w:val="Hyperlink"/>
          </w:rPr>
          <w:t>http://edition.cnn.com/2016/12/14/middleeast/tunisia-court-child-marriage/</w:t>
        </w:r>
      </w:hyperlink>
      <w:r w:rsidR="00256EFE" w:rsidRPr="00097A36">
        <w:t xml:space="preserve">; Harriet </w:t>
      </w:r>
      <w:proofErr w:type="spellStart"/>
      <w:r w:rsidR="00256EFE" w:rsidRPr="00097A36">
        <w:t>Agerholm</w:t>
      </w:r>
      <w:proofErr w:type="spellEnd"/>
      <w:r w:rsidR="00256EFE" w:rsidRPr="00097A36">
        <w:t>, “</w:t>
      </w:r>
      <w:proofErr w:type="gramStart"/>
      <w:r w:rsidR="00256EFE" w:rsidRPr="00097A36">
        <w:t>13-year old</w:t>
      </w:r>
      <w:proofErr w:type="gramEnd"/>
      <w:r w:rsidR="00256EFE" w:rsidRPr="00097A36">
        <w:t xml:space="preserve"> girl forced to marry her “rapist” step-brother”, 19 December</w:t>
      </w:r>
    </w:p>
    <w:p w14:paraId="05998428" w14:textId="6D6FAD7F" w:rsidR="00054EF2" w:rsidRPr="00097A36" w:rsidRDefault="00256EFE" w:rsidP="00BD0B5D">
      <w:pPr>
        <w:pStyle w:val="FootnoteText"/>
      </w:pPr>
      <w:r w:rsidRPr="00097A36">
        <w:t xml:space="preserve">2016, </w:t>
      </w:r>
      <w:hyperlink r:id="rId15" w:history="1">
        <w:r w:rsidR="00054EF2" w:rsidRPr="00D756AA">
          <w:rPr>
            <w:rStyle w:val="Hyperlink"/>
          </w:rPr>
          <w:t>http://www.independent.co.uk/news/world/africa/rape-tunisia-13-year-old-girl-pregnant-article-227-child-marriage-womens-right-consent-a7483941.html</w:t>
        </w:r>
      </w:hyperlink>
    </w:p>
  </w:footnote>
  <w:footnote w:id="17">
    <w:p w14:paraId="7256D5A1" w14:textId="084E6CB7" w:rsidR="00054EF2" w:rsidRPr="00097A36" w:rsidRDefault="00256EFE" w:rsidP="00BD0B5D">
      <w:pPr>
        <w:pStyle w:val="FootnoteText"/>
      </w:pPr>
      <w:r w:rsidRPr="00097A36">
        <w:rPr>
          <w:rStyle w:val="FootnoteReference"/>
        </w:rPr>
        <w:footnoteRef/>
      </w:r>
      <w:r w:rsidRPr="00097A36">
        <w:t xml:space="preserve"> UNICEF, “The State of the World’s Children 2016”, Table 9, pp. 150-153, </w:t>
      </w:r>
      <w:hyperlink r:id="rId16" w:history="1">
        <w:r w:rsidR="00054EF2" w:rsidRPr="00D756AA">
          <w:rPr>
            <w:rStyle w:val="Hyperlink"/>
          </w:rPr>
          <w:t>https://www.unicef.org/publications/files/UNICEF_SOWC_2016.pdf</w:t>
        </w:r>
      </w:hyperlink>
    </w:p>
  </w:footnote>
  <w:footnote w:id="18">
    <w:p w14:paraId="458EC235" w14:textId="77777777" w:rsidR="00ED384D" w:rsidRPr="002A10D0" w:rsidRDefault="00ED384D" w:rsidP="00BD0B5D">
      <w:pPr>
        <w:pStyle w:val="FootnoteText"/>
        <w:rPr>
          <w:i/>
          <w:iCs/>
        </w:rPr>
      </w:pPr>
      <w:r w:rsidRPr="00097A36">
        <w:rPr>
          <w:rStyle w:val="FootnoteReference"/>
        </w:rPr>
        <w:footnoteRef/>
      </w:r>
      <w:r w:rsidRPr="00097A36">
        <w:t xml:space="preserve"> The Advocates for Human Rights and MRA </w:t>
      </w:r>
      <w:proofErr w:type="spellStart"/>
      <w:r w:rsidRPr="00097A36">
        <w:t>Mobilising</w:t>
      </w:r>
      <w:proofErr w:type="spellEnd"/>
      <w:r w:rsidRPr="00097A36">
        <w:t xml:space="preserve"> for Rights Associations, “Tunisia: Women’s </w:t>
      </w:r>
      <w:proofErr w:type="gramStart"/>
      <w:r w:rsidRPr="00097A36">
        <w:t>Rights“</w:t>
      </w:r>
      <w:proofErr w:type="gramEnd"/>
      <w:r w:rsidRPr="00097A36">
        <w:t xml:space="preserve">, </w:t>
      </w:r>
      <w:r w:rsidRPr="002A10D0">
        <w:rPr>
          <w:i/>
          <w:iCs/>
        </w:rPr>
        <w:t>Joint Stakeholder Report for the United Nations Universal</w:t>
      </w:r>
    </w:p>
    <w:p w14:paraId="574837CE" w14:textId="0891B481" w:rsidR="002A10D0" w:rsidRPr="00097A36" w:rsidRDefault="00ED384D" w:rsidP="00BD0B5D">
      <w:pPr>
        <w:pStyle w:val="FootnoteText"/>
      </w:pPr>
      <w:r w:rsidRPr="002A10D0">
        <w:rPr>
          <w:i/>
          <w:iCs/>
        </w:rPr>
        <w:t>Periodic Review,</w:t>
      </w:r>
      <w:r w:rsidRPr="00097A36">
        <w:t xml:space="preserve"> 2016, para. 14, </w:t>
      </w:r>
      <w:hyperlink r:id="rId17" w:history="1">
        <w:r w:rsidR="002A10D0" w:rsidRPr="00D756AA">
          <w:rPr>
            <w:rStyle w:val="Hyperlink"/>
          </w:rPr>
          <w:t>http://mrawomen.ma/wp-content/uploads/doc/Tunisia%20UPR%20Submission%20FINAL.pdf</w:t>
        </w:r>
      </w:hyperlink>
    </w:p>
  </w:footnote>
  <w:footnote w:id="19">
    <w:p w14:paraId="5CA0EACE" w14:textId="77777777" w:rsidR="002A4504" w:rsidRPr="00097A36" w:rsidRDefault="002A4504" w:rsidP="00BD0B5D">
      <w:pPr>
        <w:pStyle w:val="FootnoteText"/>
      </w:pPr>
      <w:r w:rsidRPr="00097A36">
        <w:rPr>
          <w:rStyle w:val="FootnoteReference"/>
        </w:rPr>
        <w:footnoteRef/>
      </w:r>
      <w:r w:rsidRPr="00097A36">
        <w:t xml:space="preserve"> Omar </w:t>
      </w:r>
      <w:proofErr w:type="spellStart"/>
      <w:r w:rsidRPr="00097A36">
        <w:t>Fassatoui</w:t>
      </w:r>
      <w:proofErr w:type="spellEnd"/>
      <w:r w:rsidRPr="00097A36">
        <w:t>, “Women’s rights in Tunisia: The remaining legal inequalities”, (C.A. Perspectives on Tunisia, 1, 2016), p. 3,</w:t>
      </w:r>
    </w:p>
    <w:p w14:paraId="245CD6ED" w14:textId="4CDD179C" w:rsidR="002A4504" w:rsidRPr="00097A36" w:rsidRDefault="00000000" w:rsidP="00BD0B5D">
      <w:pPr>
        <w:pStyle w:val="FootnoteText"/>
      </w:pPr>
      <w:hyperlink r:id="rId18" w:history="1">
        <w:r w:rsidR="002A10D0" w:rsidRPr="00D756AA">
          <w:rPr>
            <w:rStyle w:val="Hyperlink"/>
          </w:rPr>
          <w:t>http://www.cap-lmu.de/download/2016/CAPerspectives-Tunisia-01.pdf</w:t>
        </w:r>
      </w:hyperlink>
      <w:r w:rsidR="002A4504" w:rsidRPr="00097A36">
        <w:t xml:space="preserve">; The Advocates for Human Rights and MRA </w:t>
      </w:r>
      <w:proofErr w:type="spellStart"/>
      <w:r w:rsidR="002A4504" w:rsidRPr="00097A36">
        <w:t>Mobilising</w:t>
      </w:r>
      <w:proofErr w:type="spellEnd"/>
      <w:r w:rsidR="002A4504" w:rsidRPr="00097A36">
        <w:t xml:space="preserve"> for Rights Associations, “Tunisia:</w:t>
      </w:r>
    </w:p>
    <w:p w14:paraId="18ADFFC4" w14:textId="77777777" w:rsidR="002A4504" w:rsidRPr="00097A36" w:rsidRDefault="002A4504" w:rsidP="00BD0B5D">
      <w:pPr>
        <w:pStyle w:val="FootnoteText"/>
      </w:pPr>
      <w:r w:rsidRPr="00097A36">
        <w:t xml:space="preserve">Women’s </w:t>
      </w:r>
      <w:proofErr w:type="gramStart"/>
      <w:r w:rsidRPr="00097A36">
        <w:t>Rights“</w:t>
      </w:r>
      <w:proofErr w:type="gramEnd"/>
      <w:r w:rsidRPr="00097A36">
        <w:t xml:space="preserve">, </w:t>
      </w:r>
      <w:r w:rsidRPr="00097A36">
        <w:rPr>
          <w:i/>
          <w:iCs/>
        </w:rPr>
        <w:t>Joint Stakeholder Report for the United Nations Universal Periodic Review</w:t>
      </w:r>
      <w:r w:rsidRPr="00097A36">
        <w:t>, 2016, para. 14,</w:t>
      </w:r>
    </w:p>
    <w:p w14:paraId="5C5C9563" w14:textId="66DBD6B9" w:rsidR="002A10D0" w:rsidRPr="00097A36" w:rsidRDefault="00000000" w:rsidP="00BD0B5D">
      <w:pPr>
        <w:pStyle w:val="FootnoteText"/>
      </w:pPr>
      <w:hyperlink r:id="rId19" w:history="1">
        <w:r w:rsidR="002A10D0" w:rsidRPr="00D756AA">
          <w:rPr>
            <w:rStyle w:val="Hyperlink"/>
          </w:rPr>
          <w:t>http://mrawomen.ma/wp-content/uploads/doc/Tunisia%20UPR%20Submission%20FINAL.pdf</w:t>
        </w:r>
      </w:hyperlink>
    </w:p>
  </w:footnote>
  <w:footnote w:id="20">
    <w:p w14:paraId="40220BA8" w14:textId="7525F742" w:rsidR="003E7E07" w:rsidRPr="00097A36" w:rsidRDefault="003E7E07" w:rsidP="00BD0B5D">
      <w:pPr>
        <w:pStyle w:val="FootnoteText"/>
      </w:pPr>
      <w:r w:rsidRPr="00097A36">
        <w:rPr>
          <w:rStyle w:val="FootnoteReference"/>
        </w:rPr>
        <w:footnoteRef/>
      </w:r>
      <w:r w:rsidRPr="00097A36">
        <w:t xml:space="preserve"> Articles 13-14 of the Tunisian Nationality Code (1963), </w:t>
      </w:r>
      <w:hyperlink r:id="rId20" w:history="1">
        <w:r w:rsidRPr="00097A36">
          <w:rPr>
            <w:rStyle w:val="Hyperlink"/>
          </w:rPr>
          <w:t>http://www.legislation.tn/sites/default/files/codes/Nationalite.pdf</w:t>
        </w:r>
      </w:hyperlink>
    </w:p>
  </w:footnote>
  <w:footnote w:id="21">
    <w:p w14:paraId="676AA7B2" w14:textId="01B05014" w:rsidR="003E7E07" w:rsidRPr="00097A36" w:rsidRDefault="003E7E07" w:rsidP="00BD0B5D">
      <w:pPr>
        <w:pStyle w:val="FootnoteText"/>
      </w:pPr>
      <w:r w:rsidRPr="00097A36">
        <w:rPr>
          <w:rStyle w:val="FootnoteReference"/>
        </w:rPr>
        <w:footnoteRef/>
      </w:r>
      <w:r w:rsidRPr="00097A36">
        <w:t xml:space="preserve"> Articles 19-23 of the Tunisian Nationality Code (1963), </w:t>
      </w:r>
      <w:hyperlink r:id="rId21" w:history="1">
        <w:r w:rsidRPr="00097A36">
          <w:rPr>
            <w:rStyle w:val="Hyperlink"/>
          </w:rPr>
          <w:t>http://www.legislation.tn/sites/default/files/codes/Nationalite.pdf</w:t>
        </w:r>
      </w:hyperlink>
    </w:p>
  </w:footnote>
  <w:footnote w:id="22">
    <w:p w14:paraId="18DE103B" w14:textId="77777777" w:rsidR="003E7E07" w:rsidRPr="00097A36" w:rsidRDefault="003E7E07" w:rsidP="00BD0B5D">
      <w:pPr>
        <w:pStyle w:val="FootnoteText"/>
      </w:pPr>
      <w:r w:rsidRPr="00097A36">
        <w:rPr>
          <w:rStyle w:val="FootnoteReference"/>
        </w:rPr>
        <w:footnoteRef/>
      </w:r>
      <w:r w:rsidRPr="00097A36">
        <w:t xml:space="preserve"> Lilia Ben Salem, “Tunisia”, in </w:t>
      </w:r>
      <w:r w:rsidRPr="00097A36">
        <w:rPr>
          <w:i/>
          <w:iCs/>
        </w:rPr>
        <w:t>Women’s Rights in the Middle East and North Africa: Progress Amid Resistance</w:t>
      </w:r>
      <w:r w:rsidRPr="00097A36">
        <w:t>, eds. Sanja Kelly and Julia Breslin (New York, NY:</w:t>
      </w:r>
    </w:p>
    <w:p w14:paraId="63B23164" w14:textId="461DA75D" w:rsidR="003E7E07" w:rsidRPr="00097A36" w:rsidRDefault="003E7E07" w:rsidP="00BD0B5D">
      <w:pPr>
        <w:pStyle w:val="FootnoteText"/>
      </w:pPr>
      <w:r w:rsidRPr="00097A36">
        <w:t xml:space="preserve">Freedom House; Lanham, MD: Rowman &amp; Littlefield, 2010), p.4, </w:t>
      </w:r>
      <w:hyperlink r:id="rId22" w:history="1">
        <w:r w:rsidRPr="00097A36">
          <w:rPr>
            <w:rStyle w:val="Hyperlink"/>
          </w:rPr>
          <w:t>https://freedomhouse.org/sites/default/files/inline_images/Tunisia.pdf</w:t>
        </w:r>
      </w:hyperlink>
    </w:p>
  </w:footnote>
  <w:footnote w:id="23">
    <w:p w14:paraId="2503A63B" w14:textId="180CE7AC" w:rsidR="003E7E07" w:rsidRPr="00097A36" w:rsidRDefault="003E7E07" w:rsidP="00BD0B5D">
      <w:pPr>
        <w:pStyle w:val="FootnoteText"/>
      </w:pPr>
      <w:r w:rsidRPr="00097A36">
        <w:rPr>
          <w:rStyle w:val="FootnoteReference"/>
        </w:rPr>
        <w:footnoteRef/>
      </w:r>
      <w:r w:rsidRPr="00097A36">
        <w:t xml:space="preserve"> Articles 6, 7 of the Tunisian Nationality Code (1963), </w:t>
      </w:r>
      <w:hyperlink r:id="rId23" w:history="1">
        <w:r w:rsidRPr="00097A36">
          <w:rPr>
            <w:rStyle w:val="Hyperlink"/>
          </w:rPr>
          <w:t>http://www.legislation.tn/sites/default/files/codes/Nationalite.pdf</w:t>
        </w:r>
      </w:hyperlink>
    </w:p>
  </w:footnote>
  <w:footnote w:id="24">
    <w:p w14:paraId="0CABD16A" w14:textId="368D7FD6" w:rsidR="003E7E07" w:rsidRPr="00097A36" w:rsidRDefault="003E7E07" w:rsidP="00BD0B5D">
      <w:pPr>
        <w:pStyle w:val="FootnoteText"/>
      </w:pPr>
      <w:r w:rsidRPr="00097A36">
        <w:rPr>
          <w:rStyle w:val="FootnoteReference"/>
        </w:rPr>
        <w:footnoteRef/>
      </w:r>
      <w:r w:rsidRPr="00097A36">
        <w:t xml:space="preserve"> Article 12 of the Tunisian Nationality Code (1963), </w:t>
      </w:r>
      <w:hyperlink r:id="rId24" w:history="1">
        <w:r w:rsidRPr="00097A36">
          <w:rPr>
            <w:rStyle w:val="Hyperlink"/>
          </w:rPr>
          <w:t>http://www.legislation.tn/sites/default/files/codes/Nationalite.pdf</w:t>
        </w:r>
      </w:hyperlink>
    </w:p>
  </w:footnote>
  <w:footnote w:id="25">
    <w:p w14:paraId="137716E1" w14:textId="77777777" w:rsidR="006F4ED2" w:rsidRPr="00097A36" w:rsidRDefault="006F4ED2" w:rsidP="00BD0B5D">
      <w:pPr>
        <w:pStyle w:val="FootnoteText"/>
      </w:pPr>
      <w:r w:rsidRPr="00097A36">
        <w:rPr>
          <w:rStyle w:val="FootnoteReference"/>
        </w:rPr>
        <w:footnoteRef/>
      </w:r>
      <w:r w:rsidRPr="00097A36">
        <w:t xml:space="preserve"> Omar </w:t>
      </w:r>
      <w:proofErr w:type="spellStart"/>
      <w:r w:rsidRPr="00097A36">
        <w:t>Fassatoui</w:t>
      </w:r>
      <w:proofErr w:type="spellEnd"/>
      <w:r w:rsidRPr="00097A36">
        <w:t>, “Women’s rights in Tunisia: The remaining legal inequalities”, (C.A. Perspectives on Tunisia, 1, 2016), p. 3,</w:t>
      </w:r>
    </w:p>
    <w:p w14:paraId="5AB578DF" w14:textId="097B36ED" w:rsidR="006F4ED2" w:rsidRPr="007B7DB4" w:rsidRDefault="007B7DB4" w:rsidP="007B7DB4">
      <w:pPr>
        <w:pStyle w:val="FootnoteText"/>
      </w:pPr>
      <w:hyperlink r:id="rId25" w:history="1">
        <w:r w:rsidRPr="00D756AA">
          <w:rPr>
            <w:rStyle w:val="Hyperlink"/>
          </w:rPr>
          <w:t>http://www.cap-lmu.de/download/2016/CAPerspectives-Tunisia-01.pdf</w:t>
        </w:r>
      </w:hyperlink>
      <w:r w:rsidR="006F4ED2" w:rsidRPr="00097A36">
        <w:t xml:space="preserve">; Lilia Ben Salem, “Tunisia”, in </w:t>
      </w:r>
      <w:r w:rsidR="006F4ED2" w:rsidRPr="00097A36">
        <w:rPr>
          <w:i/>
          <w:iCs/>
        </w:rPr>
        <w:t>Women’s Rights in the Middle East and North Africa: Progress</w:t>
      </w:r>
    </w:p>
    <w:p w14:paraId="7EEAF99F" w14:textId="77777777" w:rsidR="006F4ED2" w:rsidRPr="00097A36" w:rsidRDefault="006F4ED2" w:rsidP="00BD0B5D">
      <w:pPr>
        <w:pStyle w:val="FootnoteText"/>
      </w:pPr>
      <w:r w:rsidRPr="00097A36">
        <w:rPr>
          <w:i/>
          <w:iCs/>
        </w:rPr>
        <w:t>Amid Resistance</w:t>
      </w:r>
      <w:r w:rsidRPr="00097A36">
        <w:t>, eds. Sanja Kelly and Julia Breslin (New York, NY: Freedom House; Lanham, MD: Rowman &amp; Littlefield, 2010), p.13,</w:t>
      </w:r>
    </w:p>
    <w:p w14:paraId="3C5CB73B" w14:textId="4BEE1D23" w:rsidR="000104A3" w:rsidRPr="00097A36" w:rsidRDefault="00000000" w:rsidP="00BD0B5D">
      <w:pPr>
        <w:pStyle w:val="FootnoteText"/>
      </w:pPr>
      <w:hyperlink r:id="rId26" w:history="1">
        <w:r w:rsidR="000104A3" w:rsidRPr="00D756AA">
          <w:rPr>
            <w:rStyle w:val="Hyperlink"/>
          </w:rPr>
          <w:t>https://freedomhouse.org/sites/default/files/inline_images/Tunisia.pdf</w:t>
        </w:r>
      </w:hyperlink>
      <w:r w:rsidR="006F4ED2" w:rsidRPr="00097A36">
        <w:t xml:space="preserve">; UN Women, “Tunisia”, </w:t>
      </w:r>
      <w:r w:rsidR="006F4ED2" w:rsidRPr="00097A36">
        <w:rPr>
          <w:i/>
          <w:iCs/>
        </w:rPr>
        <w:t>Spring Forward for Women Programme</w:t>
      </w:r>
      <w:r w:rsidR="006F4ED2" w:rsidRPr="00097A36">
        <w:t xml:space="preserve"> </w:t>
      </w:r>
      <w:hyperlink r:id="rId27" w:history="1">
        <w:r w:rsidR="000104A3" w:rsidRPr="00D756AA">
          <w:rPr>
            <w:rStyle w:val="Hyperlink"/>
          </w:rPr>
          <w:t>http://spring-forward.unwomen.org/en/countries/tunisia</w:t>
        </w:r>
      </w:hyperlink>
    </w:p>
  </w:footnote>
  <w:footnote w:id="26">
    <w:p w14:paraId="623AF19E" w14:textId="0A543669" w:rsidR="006F4ED2" w:rsidRPr="00097A36" w:rsidRDefault="006F4ED2" w:rsidP="00BD0B5D">
      <w:pPr>
        <w:pStyle w:val="FootnoteText"/>
      </w:pPr>
      <w:r w:rsidRPr="00097A36">
        <w:rPr>
          <w:rStyle w:val="FootnoteReference"/>
        </w:rPr>
        <w:footnoteRef/>
      </w:r>
      <w:r w:rsidRPr="00097A36">
        <w:t xml:space="preserve"> Articles 85-152 of the Personal Status Code (1956), </w:t>
      </w:r>
      <w:hyperlink r:id="rId28" w:history="1">
        <w:r w:rsidRPr="00097A36">
          <w:rPr>
            <w:rStyle w:val="Hyperlink"/>
          </w:rPr>
          <w:t>http://www.legislation.tn/sites/default/files/codes/Statutpersonnel.pdf</w:t>
        </w:r>
      </w:hyperlink>
    </w:p>
  </w:footnote>
  <w:footnote w:id="27">
    <w:p w14:paraId="026A9C20" w14:textId="185C9AAB" w:rsidR="00A76CD2" w:rsidRPr="00097A36" w:rsidRDefault="006F4ED2" w:rsidP="00BD0B5D">
      <w:pPr>
        <w:pStyle w:val="FootnoteText"/>
      </w:pPr>
      <w:r w:rsidRPr="00097A36">
        <w:rPr>
          <w:rStyle w:val="FootnoteReference"/>
        </w:rPr>
        <w:footnoteRef/>
      </w:r>
      <w:r w:rsidRPr="00097A36">
        <w:t xml:space="preserve"> </w:t>
      </w:r>
      <w:r w:rsidR="00A76CD2" w:rsidRPr="00097A36">
        <w:t xml:space="preserve">UNDP, </w:t>
      </w:r>
      <w:proofErr w:type="spellStart"/>
      <w:r w:rsidR="00A76CD2" w:rsidRPr="00097A36">
        <w:t>UNwomen</w:t>
      </w:r>
      <w:proofErr w:type="spellEnd"/>
      <w:r w:rsidR="00A76CD2" w:rsidRPr="00097A36">
        <w:t xml:space="preserve">, UNFPA, ESCWA: Tunisia: gender justice and the law, UNFPA, 2019 </w:t>
      </w:r>
      <w:hyperlink r:id="rId29" w:history="1">
        <w:r w:rsidR="00A76CD2" w:rsidRPr="00097A36">
          <w:rPr>
            <w:rStyle w:val="Hyperlink"/>
          </w:rPr>
          <w:t>https://arabstates.unfpa.org/en/publications/gender-justice-law-tunisia</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0157A"/>
    <w:multiLevelType w:val="multilevel"/>
    <w:tmpl w:val="38B294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58E5903"/>
    <w:multiLevelType w:val="multilevel"/>
    <w:tmpl w:val="1842F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B94F5A"/>
    <w:multiLevelType w:val="hybridMultilevel"/>
    <w:tmpl w:val="FA60BA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90073"/>
    <w:multiLevelType w:val="multilevel"/>
    <w:tmpl w:val="F7922DC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16C5284E"/>
    <w:multiLevelType w:val="hybridMultilevel"/>
    <w:tmpl w:val="CD9EA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2242D3"/>
    <w:multiLevelType w:val="hybridMultilevel"/>
    <w:tmpl w:val="BEDCB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DD6D89"/>
    <w:multiLevelType w:val="hybridMultilevel"/>
    <w:tmpl w:val="C88E7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13390A"/>
    <w:multiLevelType w:val="multilevel"/>
    <w:tmpl w:val="E87225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DA8512A"/>
    <w:multiLevelType w:val="multilevel"/>
    <w:tmpl w:val="0F603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1D26FC8"/>
    <w:multiLevelType w:val="hybridMultilevel"/>
    <w:tmpl w:val="5094ADD4"/>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C01596"/>
    <w:multiLevelType w:val="hybridMultilevel"/>
    <w:tmpl w:val="4F12E08C"/>
    <w:lvl w:ilvl="0" w:tplc="498CF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A72DCC"/>
    <w:multiLevelType w:val="multilevel"/>
    <w:tmpl w:val="3BC4576E"/>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193F8A"/>
    <w:multiLevelType w:val="hybridMultilevel"/>
    <w:tmpl w:val="26666A78"/>
    <w:lvl w:ilvl="0" w:tplc="57BC5B04">
      <w:start w:val="1"/>
      <w:numFmt w:val="bullet"/>
      <w:lvlText w:val=""/>
      <w:lvlJc w:val="left"/>
      <w:pPr>
        <w:ind w:left="720" w:hanging="360"/>
      </w:pPr>
      <w:rPr>
        <w:rFonts w:ascii="Symbol" w:hAnsi="Symbol" w:hint="default"/>
      </w:rPr>
    </w:lvl>
    <w:lvl w:ilvl="1" w:tplc="29923B50">
      <w:start w:val="1"/>
      <w:numFmt w:val="bullet"/>
      <w:lvlText w:val="o"/>
      <w:lvlJc w:val="left"/>
      <w:pPr>
        <w:ind w:left="1440" w:hanging="360"/>
      </w:pPr>
      <w:rPr>
        <w:rFonts w:ascii="Courier New" w:hAnsi="Courier New" w:hint="default"/>
      </w:rPr>
    </w:lvl>
    <w:lvl w:ilvl="2" w:tplc="B9EC1034">
      <w:start w:val="1"/>
      <w:numFmt w:val="bullet"/>
      <w:lvlText w:val=""/>
      <w:lvlJc w:val="left"/>
      <w:pPr>
        <w:ind w:left="2160" w:hanging="360"/>
      </w:pPr>
      <w:rPr>
        <w:rFonts w:ascii="Wingdings" w:hAnsi="Wingdings" w:hint="default"/>
      </w:rPr>
    </w:lvl>
    <w:lvl w:ilvl="3" w:tplc="DB027EC8">
      <w:start w:val="1"/>
      <w:numFmt w:val="bullet"/>
      <w:lvlText w:val=""/>
      <w:lvlJc w:val="left"/>
      <w:pPr>
        <w:ind w:left="2880" w:hanging="360"/>
      </w:pPr>
      <w:rPr>
        <w:rFonts w:ascii="Symbol" w:hAnsi="Symbol" w:hint="default"/>
      </w:rPr>
    </w:lvl>
    <w:lvl w:ilvl="4" w:tplc="462446AE">
      <w:start w:val="1"/>
      <w:numFmt w:val="bullet"/>
      <w:lvlText w:val="o"/>
      <w:lvlJc w:val="left"/>
      <w:pPr>
        <w:ind w:left="3600" w:hanging="360"/>
      </w:pPr>
      <w:rPr>
        <w:rFonts w:ascii="Courier New" w:hAnsi="Courier New" w:hint="default"/>
      </w:rPr>
    </w:lvl>
    <w:lvl w:ilvl="5" w:tplc="F39E7E96">
      <w:start w:val="1"/>
      <w:numFmt w:val="bullet"/>
      <w:lvlText w:val=""/>
      <w:lvlJc w:val="left"/>
      <w:pPr>
        <w:ind w:left="4320" w:hanging="360"/>
      </w:pPr>
      <w:rPr>
        <w:rFonts w:ascii="Wingdings" w:hAnsi="Wingdings" w:hint="default"/>
      </w:rPr>
    </w:lvl>
    <w:lvl w:ilvl="6" w:tplc="B128D0E8">
      <w:start w:val="1"/>
      <w:numFmt w:val="bullet"/>
      <w:lvlText w:val=""/>
      <w:lvlJc w:val="left"/>
      <w:pPr>
        <w:ind w:left="5040" w:hanging="360"/>
      </w:pPr>
      <w:rPr>
        <w:rFonts w:ascii="Symbol" w:hAnsi="Symbol" w:hint="default"/>
      </w:rPr>
    </w:lvl>
    <w:lvl w:ilvl="7" w:tplc="EBB2D18A">
      <w:start w:val="1"/>
      <w:numFmt w:val="bullet"/>
      <w:lvlText w:val="o"/>
      <w:lvlJc w:val="left"/>
      <w:pPr>
        <w:ind w:left="5760" w:hanging="360"/>
      </w:pPr>
      <w:rPr>
        <w:rFonts w:ascii="Courier New" w:hAnsi="Courier New" w:hint="default"/>
      </w:rPr>
    </w:lvl>
    <w:lvl w:ilvl="8" w:tplc="4E5816B8">
      <w:start w:val="1"/>
      <w:numFmt w:val="bullet"/>
      <w:lvlText w:val=""/>
      <w:lvlJc w:val="left"/>
      <w:pPr>
        <w:ind w:left="6480" w:hanging="360"/>
      </w:pPr>
      <w:rPr>
        <w:rFonts w:ascii="Wingdings" w:hAnsi="Wingdings" w:hint="default"/>
      </w:rPr>
    </w:lvl>
  </w:abstractNum>
  <w:abstractNum w:abstractNumId="13" w15:restartNumberingAfterBreak="0">
    <w:nsid w:val="483610A0"/>
    <w:multiLevelType w:val="hybridMultilevel"/>
    <w:tmpl w:val="5EBE2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FF62F1"/>
    <w:multiLevelType w:val="hybridMultilevel"/>
    <w:tmpl w:val="3C9C7E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B03D2D"/>
    <w:multiLevelType w:val="hybridMultilevel"/>
    <w:tmpl w:val="66320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F73068"/>
    <w:multiLevelType w:val="hybridMultilevel"/>
    <w:tmpl w:val="5DAE59B2"/>
    <w:lvl w:ilvl="0" w:tplc="DB943F86">
      <w:start w:val="1"/>
      <w:numFmt w:val="bullet"/>
      <w:pStyle w:val="NoSpaci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A1249E"/>
    <w:multiLevelType w:val="hybridMultilevel"/>
    <w:tmpl w:val="D49270D0"/>
    <w:lvl w:ilvl="0" w:tplc="51BC01CA">
      <w:start w:val="1"/>
      <w:numFmt w:val="bullet"/>
      <w:lvlText w:val=""/>
      <w:lvlJc w:val="left"/>
      <w:pPr>
        <w:ind w:left="720" w:hanging="360"/>
      </w:pPr>
      <w:rPr>
        <w:rFonts w:ascii="Symbol" w:hAnsi="Symbol" w:hint="default"/>
      </w:rPr>
    </w:lvl>
    <w:lvl w:ilvl="1" w:tplc="22A45F1E">
      <w:start w:val="1"/>
      <w:numFmt w:val="bullet"/>
      <w:lvlText w:val="o"/>
      <w:lvlJc w:val="left"/>
      <w:pPr>
        <w:ind w:left="1440" w:hanging="360"/>
      </w:pPr>
      <w:rPr>
        <w:rFonts w:ascii="Courier New" w:hAnsi="Courier New" w:hint="default"/>
      </w:rPr>
    </w:lvl>
    <w:lvl w:ilvl="2" w:tplc="9822EFC4">
      <w:start w:val="1"/>
      <w:numFmt w:val="bullet"/>
      <w:lvlText w:val=""/>
      <w:lvlJc w:val="left"/>
      <w:pPr>
        <w:ind w:left="2160" w:hanging="360"/>
      </w:pPr>
      <w:rPr>
        <w:rFonts w:ascii="Wingdings" w:hAnsi="Wingdings" w:hint="default"/>
      </w:rPr>
    </w:lvl>
    <w:lvl w:ilvl="3" w:tplc="B9883A50">
      <w:start w:val="1"/>
      <w:numFmt w:val="bullet"/>
      <w:lvlText w:val=""/>
      <w:lvlJc w:val="left"/>
      <w:pPr>
        <w:ind w:left="2880" w:hanging="360"/>
      </w:pPr>
      <w:rPr>
        <w:rFonts w:ascii="Symbol" w:hAnsi="Symbol" w:hint="default"/>
      </w:rPr>
    </w:lvl>
    <w:lvl w:ilvl="4" w:tplc="85F0E15C">
      <w:start w:val="1"/>
      <w:numFmt w:val="bullet"/>
      <w:lvlText w:val="o"/>
      <w:lvlJc w:val="left"/>
      <w:pPr>
        <w:ind w:left="3600" w:hanging="360"/>
      </w:pPr>
      <w:rPr>
        <w:rFonts w:ascii="Courier New" w:hAnsi="Courier New" w:hint="default"/>
      </w:rPr>
    </w:lvl>
    <w:lvl w:ilvl="5" w:tplc="453A405C">
      <w:start w:val="1"/>
      <w:numFmt w:val="bullet"/>
      <w:lvlText w:val=""/>
      <w:lvlJc w:val="left"/>
      <w:pPr>
        <w:ind w:left="4320" w:hanging="360"/>
      </w:pPr>
      <w:rPr>
        <w:rFonts w:ascii="Wingdings" w:hAnsi="Wingdings" w:hint="default"/>
      </w:rPr>
    </w:lvl>
    <w:lvl w:ilvl="6" w:tplc="8466DC00">
      <w:start w:val="1"/>
      <w:numFmt w:val="bullet"/>
      <w:lvlText w:val=""/>
      <w:lvlJc w:val="left"/>
      <w:pPr>
        <w:ind w:left="5040" w:hanging="360"/>
      </w:pPr>
      <w:rPr>
        <w:rFonts w:ascii="Symbol" w:hAnsi="Symbol" w:hint="default"/>
      </w:rPr>
    </w:lvl>
    <w:lvl w:ilvl="7" w:tplc="6F2A35F2">
      <w:start w:val="1"/>
      <w:numFmt w:val="bullet"/>
      <w:lvlText w:val="o"/>
      <w:lvlJc w:val="left"/>
      <w:pPr>
        <w:ind w:left="5760" w:hanging="360"/>
      </w:pPr>
      <w:rPr>
        <w:rFonts w:ascii="Courier New" w:hAnsi="Courier New" w:hint="default"/>
      </w:rPr>
    </w:lvl>
    <w:lvl w:ilvl="8" w:tplc="0D780596">
      <w:start w:val="1"/>
      <w:numFmt w:val="bullet"/>
      <w:lvlText w:val=""/>
      <w:lvlJc w:val="left"/>
      <w:pPr>
        <w:ind w:left="6480" w:hanging="360"/>
      </w:pPr>
      <w:rPr>
        <w:rFonts w:ascii="Wingdings" w:hAnsi="Wingdings" w:hint="default"/>
      </w:rPr>
    </w:lvl>
  </w:abstractNum>
  <w:abstractNum w:abstractNumId="18" w15:restartNumberingAfterBreak="0">
    <w:nsid w:val="5E3B4A90"/>
    <w:multiLevelType w:val="hybridMultilevel"/>
    <w:tmpl w:val="765AEE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25516CD"/>
    <w:multiLevelType w:val="hybridMultilevel"/>
    <w:tmpl w:val="9438C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48341A0"/>
    <w:multiLevelType w:val="multilevel"/>
    <w:tmpl w:val="11542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98A1DA5"/>
    <w:multiLevelType w:val="multilevel"/>
    <w:tmpl w:val="0CD0E9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9954662"/>
    <w:multiLevelType w:val="multilevel"/>
    <w:tmpl w:val="ACCEFC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A871A37"/>
    <w:multiLevelType w:val="multilevel"/>
    <w:tmpl w:val="A6C694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6D80291D"/>
    <w:multiLevelType w:val="multilevel"/>
    <w:tmpl w:val="11542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E2E36E0"/>
    <w:multiLevelType w:val="hybridMultilevel"/>
    <w:tmpl w:val="567AFA60"/>
    <w:lvl w:ilvl="0" w:tplc="DC5AEEEC">
      <w:start w:val="1"/>
      <w:numFmt w:val="decimal"/>
      <w:pStyle w:val="Heading2"/>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9D66D6"/>
    <w:multiLevelType w:val="multilevel"/>
    <w:tmpl w:val="F18627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56873098">
    <w:abstractNumId w:val="3"/>
  </w:num>
  <w:num w:numId="2" w16cid:durableId="1531912007">
    <w:abstractNumId w:val="22"/>
  </w:num>
  <w:num w:numId="3" w16cid:durableId="1036589105">
    <w:abstractNumId w:val="16"/>
  </w:num>
  <w:num w:numId="4" w16cid:durableId="1578516257">
    <w:abstractNumId w:val="15"/>
  </w:num>
  <w:num w:numId="5" w16cid:durableId="1990163538">
    <w:abstractNumId w:val="10"/>
  </w:num>
  <w:num w:numId="6" w16cid:durableId="2096782699">
    <w:abstractNumId w:val="11"/>
  </w:num>
  <w:num w:numId="7" w16cid:durableId="1009988494">
    <w:abstractNumId w:val="5"/>
  </w:num>
  <w:num w:numId="8" w16cid:durableId="1971402682">
    <w:abstractNumId w:val="13"/>
  </w:num>
  <w:num w:numId="9" w16cid:durableId="2023587601">
    <w:abstractNumId w:val="18"/>
  </w:num>
  <w:num w:numId="10" w16cid:durableId="1348285267">
    <w:abstractNumId w:val="17"/>
  </w:num>
  <w:num w:numId="11" w16cid:durableId="607084748">
    <w:abstractNumId w:val="1"/>
  </w:num>
  <w:num w:numId="12" w16cid:durableId="949094840">
    <w:abstractNumId w:val="8"/>
  </w:num>
  <w:num w:numId="13" w16cid:durableId="1133668238">
    <w:abstractNumId w:val="24"/>
  </w:num>
  <w:num w:numId="14" w16cid:durableId="2112579204">
    <w:abstractNumId w:val="20"/>
  </w:num>
  <w:num w:numId="15" w16cid:durableId="1909606980">
    <w:abstractNumId w:val="19"/>
  </w:num>
  <w:num w:numId="16" w16cid:durableId="1193768299">
    <w:abstractNumId w:val="26"/>
  </w:num>
  <w:num w:numId="17" w16cid:durableId="1533419184">
    <w:abstractNumId w:val="0"/>
  </w:num>
  <w:num w:numId="18" w16cid:durableId="112674867">
    <w:abstractNumId w:val="23"/>
  </w:num>
  <w:num w:numId="19" w16cid:durableId="235551738">
    <w:abstractNumId w:val="21"/>
  </w:num>
  <w:num w:numId="20" w16cid:durableId="170922590">
    <w:abstractNumId w:val="7"/>
  </w:num>
  <w:num w:numId="21" w16cid:durableId="1398432017">
    <w:abstractNumId w:val="25"/>
  </w:num>
  <w:num w:numId="22" w16cid:durableId="1720745236">
    <w:abstractNumId w:val="12"/>
  </w:num>
  <w:num w:numId="23" w16cid:durableId="1897814778">
    <w:abstractNumId w:val="2"/>
  </w:num>
  <w:num w:numId="24" w16cid:durableId="1418331210">
    <w:abstractNumId w:val="9"/>
  </w:num>
  <w:num w:numId="25" w16cid:durableId="1781219398">
    <w:abstractNumId w:val="14"/>
  </w:num>
  <w:num w:numId="26" w16cid:durableId="1713455765">
    <w:abstractNumId w:val="4"/>
  </w:num>
  <w:num w:numId="27" w16cid:durableId="4846665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F24"/>
    <w:rsid w:val="00005B50"/>
    <w:rsid w:val="00005E9E"/>
    <w:rsid w:val="00006434"/>
    <w:rsid w:val="000104A3"/>
    <w:rsid w:val="000243BB"/>
    <w:rsid w:val="00043451"/>
    <w:rsid w:val="000437A2"/>
    <w:rsid w:val="00045DC0"/>
    <w:rsid w:val="00053017"/>
    <w:rsid w:val="00054EF2"/>
    <w:rsid w:val="00067E21"/>
    <w:rsid w:val="00081A06"/>
    <w:rsid w:val="00097A36"/>
    <w:rsid w:val="000B22C1"/>
    <w:rsid w:val="000C295A"/>
    <w:rsid w:val="000C6DA6"/>
    <w:rsid w:val="000D5C07"/>
    <w:rsid w:val="000D723C"/>
    <w:rsid w:val="000E0833"/>
    <w:rsid w:val="000E3F20"/>
    <w:rsid w:val="000E7C84"/>
    <w:rsid w:val="001061A5"/>
    <w:rsid w:val="001136EB"/>
    <w:rsid w:val="00121CB2"/>
    <w:rsid w:val="0012209F"/>
    <w:rsid w:val="00125749"/>
    <w:rsid w:val="001350D8"/>
    <w:rsid w:val="001367A5"/>
    <w:rsid w:val="00144BA4"/>
    <w:rsid w:val="001526E7"/>
    <w:rsid w:val="001540D2"/>
    <w:rsid w:val="001543C3"/>
    <w:rsid w:val="00177C52"/>
    <w:rsid w:val="00177C89"/>
    <w:rsid w:val="001828C4"/>
    <w:rsid w:val="00186119"/>
    <w:rsid w:val="00191FBF"/>
    <w:rsid w:val="001A6111"/>
    <w:rsid w:val="001B454B"/>
    <w:rsid w:val="001B6FD2"/>
    <w:rsid w:val="001C34B1"/>
    <w:rsid w:val="001C7290"/>
    <w:rsid w:val="001C7C97"/>
    <w:rsid w:val="001D3B78"/>
    <w:rsid w:val="001E4B69"/>
    <w:rsid w:val="002022FF"/>
    <w:rsid w:val="002134CD"/>
    <w:rsid w:val="00224E11"/>
    <w:rsid w:val="00226610"/>
    <w:rsid w:val="0023316A"/>
    <w:rsid w:val="00233AE3"/>
    <w:rsid w:val="0024631A"/>
    <w:rsid w:val="00253B8F"/>
    <w:rsid w:val="00255633"/>
    <w:rsid w:val="00256E2F"/>
    <w:rsid w:val="00256EFE"/>
    <w:rsid w:val="00260B49"/>
    <w:rsid w:val="00265C04"/>
    <w:rsid w:val="0026611E"/>
    <w:rsid w:val="00271D57"/>
    <w:rsid w:val="00283DEA"/>
    <w:rsid w:val="0028588C"/>
    <w:rsid w:val="00292461"/>
    <w:rsid w:val="0029689C"/>
    <w:rsid w:val="002A08FB"/>
    <w:rsid w:val="002A10D0"/>
    <w:rsid w:val="002A4504"/>
    <w:rsid w:val="002B4F37"/>
    <w:rsid w:val="002C5AF5"/>
    <w:rsid w:val="002E20EC"/>
    <w:rsid w:val="002F0A52"/>
    <w:rsid w:val="002F2FB3"/>
    <w:rsid w:val="002F7FF2"/>
    <w:rsid w:val="00321059"/>
    <w:rsid w:val="0033252E"/>
    <w:rsid w:val="00337383"/>
    <w:rsid w:val="00337A25"/>
    <w:rsid w:val="003452C1"/>
    <w:rsid w:val="003620D4"/>
    <w:rsid w:val="00363DFE"/>
    <w:rsid w:val="0037506C"/>
    <w:rsid w:val="00381267"/>
    <w:rsid w:val="00397C34"/>
    <w:rsid w:val="003A0AC6"/>
    <w:rsid w:val="003A1200"/>
    <w:rsid w:val="003C59ED"/>
    <w:rsid w:val="003E6D76"/>
    <w:rsid w:val="003E6EAD"/>
    <w:rsid w:val="003E7E07"/>
    <w:rsid w:val="003E7F80"/>
    <w:rsid w:val="003E7FC6"/>
    <w:rsid w:val="003F019A"/>
    <w:rsid w:val="003F0D56"/>
    <w:rsid w:val="00423589"/>
    <w:rsid w:val="004368B9"/>
    <w:rsid w:val="00447676"/>
    <w:rsid w:val="0046167A"/>
    <w:rsid w:val="00466146"/>
    <w:rsid w:val="00471C44"/>
    <w:rsid w:val="00473D28"/>
    <w:rsid w:val="00484C23"/>
    <w:rsid w:val="004940AF"/>
    <w:rsid w:val="004A56E1"/>
    <w:rsid w:val="004B0CF1"/>
    <w:rsid w:val="004B10C3"/>
    <w:rsid w:val="004D74F2"/>
    <w:rsid w:val="004E2D1C"/>
    <w:rsid w:val="004E5DB4"/>
    <w:rsid w:val="004F604B"/>
    <w:rsid w:val="00507C6E"/>
    <w:rsid w:val="00513047"/>
    <w:rsid w:val="005161B2"/>
    <w:rsid w:val="00537F93"/>
    <w:rsid w:val="00540BB6"/>
    <w:rsid w:val="0054418F"/>
    <w:rsid w:val="00546880"/>
    <w:rsid w:val="00552C87"/>
    <w:rsid w:val="00583953"/>
    <w:rsid w:val="00583C2F"/>
    <w:rsid w:val="0058651B"/>
    <w:rsid w:val="00593C5C"/>
    <w:rsid w:val="005A4B73"/>
    <w:rsid w:val="005D7B9F"/>
    <w:rsid w:val="005F2651"/>
    <w:rsid w:val="00603348"/>
    <w:rsid w:val="00612FDF"/>
    <w:rsid w:val="0062020E"/>
    <w:rsid w:val="0062139E"/>
    <w:rsid w:val="00630600"/>
    <w:rsid w:val="00636E60"/>
    <w:rsid w:val="00654938"/>
    <w:rsid w:val="00664FCA"/>
    <w:rsid w:val="00677221"/>
    <w:rsid w:val="006A5535"/>
    <w:rsid w:val="006B5CCF"/>
    <w:rsid w:val="006D2BCB"/>
    <w:rsid w:val="006F0A32"/>
    <w:rsid w:val="006F3136"/>
    <w:rsid w:val="006F4ED2"/>
    <w:rsid w:val="0070527F"/>
    <w:rsid w:val="00715E11"/>
    <w:rsid w:val="007237F8"/>
    <w:rsid w:val="0073020D"/>
    <w:rsid w:val="00741D99"/>
    <w:rsid w:val="0074711C"/>
    <w:rsid w:val="00764F65"/>
    <w:rsid w:val="00780BCE"/>
    <w:rsid w:val="00782803"/>
    <w:rsid w:val="00787593"/>
    <w:rsid w:val="007B7DB4"/>
    <w:rsid w:val="007C55CD"/>
    <w:rsid w:val="007C5807"/>
    <w:rsid w:val="007C60B8"/>
    <w:rsid w:val="007D41ED"/>
    <w:rsid w:val="007D7D36"/>
    <w:rsid w:val="0082090E"/>
    <w:rsid w:val="0082124A"/>
    <w:rsid w:val="00827ECA"/>
    <w:rsid w:val="008415EB"/>
    <w:rsid w:val="00843BD1"/>
    <w:rsid w:val="00852829"/>
    <w:rsid w:val="008559EF"/>
    <w:rsid w:val="008813B4"/>
    <w:rsid w:val="00882D6D"/>
    <w:rsid w:val="00890480"/>
    <w:rsid w:val="00892321"/>
    <w:rsid w:val="00892FA5"/>
    <w:rsid w:val="00893354"/>
    <w:rsid w:val="008A4A52"/>
    <w:rsid w:val="008B687E"/>
    <w:rsid w:val="008C7591"/>
    <w:rsid w:val="008D1C3B"/>
    <w:rsid w:val="008F638E"/>
    <w:rsid w:val="00905973"/>
    <w:rsid w:val="00911F2C"/>
    <w:rsid w:val="0091437E"/>
    <w:rsid w:val="00927038"/>
    <w:rsid w:val="0093160E"/>
    <w:rsid w:val="00943641"/>
    <w:rsid w:val="00954AA7"/>
    <w:rsid w:val="00965FC9"/>
    <w:rsid w:val="00994D36"/>
    <w:rsid w:val="009B03E0"/>
    <w:rsid w:val="009B5483"/>
    <w:rsid w:val="009C36BC"/>
    <w:rsid w:val="009C514A"/>
    <w:rsid w:val="009D3E28"/>
    <w:rsid w:val="009E090E"/>
    <w:rsid w:val="009E1C67"/>
    <w:rsid w:val="009E23DA"/>
    <w:rsid w:val="009E240A"/>
    <w:rsid w:val="00A06C3A"/>
    <w:rsid w:val="00A1102C"/>
    <w:rsid w:val="00A14DC4"/>
    <w:rsid w:val="00A1637D"/>
    <w:rsid w:val="00A16DCD"/>
    <w:rsid w:val="00A2135B"/>
    <w:rsid w:val="00A265C8"/>
    <w:rsid w:val="00A26F80"/>
    <w:rsid w:val="00A368F7"/>
    <w:rsid w:val="00A436FC"/>
    <w:rsid w:val="00A45B48"/>
    <w:rsid w:val="00A5436C"/>
    <w:rsid w:val="00A657CA"/>
    <w:rsid w:val="00A72ABB"/>
    <w:rsid w:val="00A76CD2"/>
    <w:rsid w:val="00A91045"/>
    <w:rsid w:val="00AA003F"/>
    <w:rsid w:val="00AA2DD4"/>
    <w:rsid w:val="00AA30D0"/>
    <w:rsid w:val="00AD1CFC"/>
    <w:rsid w:val="00AD75BA"/>
    <w:rsid w:val="00AE2D53"/>
    <w:rsid w:val="00AE5B3E"/>
    <w:rsid w:val="00AF08D2"/>
    <w:rsid w:val="00B03BB8"/>
    <w:rsid w:val="00B3395C"/>
    <w:rsid w:val="00B42C0D"/>
    <w:rsid w:val="00B65891"/>
    <w:rsid w:val="00B727D8"/>
    <w:rsid w:val="00B75A23"/>
    <w:rsid w:val="00B76BEA"/>
    <w:rsid w:val="00B80DEE"/>
    <w:rsid w:val="00B84EEB"/>
    <w:rsid w:val="00B90FF8"/>
    <w:rsid w:val="00B92469"/>
    <w:rsid w:val="00BA4C2B"/>
    <w:rsid w:val="00BA6281"/>
    <w:rsid w:val="00BC09A3"/>
    <w:rsid w:val="00BD0B5D"/>
    <w:rsid w:val="00BF587E"/>
    <w:rsid w:val="00C02A70"/>
    <w:rsid w:val="00C05CE1"/>
    <w:rsid w:val="00C07E9A"/>
    <w:rsid w:val="00C1230E"/>
    <w:rsid w:val="00C26009"/>
    <w:rsid w:val="00C267F7"/>
    <w:rsid w:val="00C57A20"/>
    <w:rsid w:val="00C62C67"/>
    <w:rsid w:val="00C66F37"/>
    <w:rsid w:val="00C705B5"/>
    <w:rsid w:val="00C7074D"/>
    <w:rsid w:val="00C71BD7"/>
    <w:rsid w:val="00C748A7"/>
    <w:rsid w:val="00C77BFC"/>
    <w:rsid w:val="00C83691"/>
    <w:rsid w:val="00CA62C7"/>
    <w:rsid w:val="00CA64F7"/>
    <w:rsid w:val="00CF1FC1"/>
    <w:rsid w:val="00CF61FC"/>
    <w:rsid w:val="00D018E4"/>
    <w:rsid w:val="00D02072"/>
    <w:rsid w:val="00D04A07"/>
    <w:rsid w:val="00D1046C"/>
    <w:rsid w:val="00D1213B"/>
    <w:rsid w:val="00D128A6"/>
    <w:rsid w:val="00D15DDA"/>
    <w:rsid w:val="00D164DD"/>
    <w:rsid w:val="00D27CFF"/>
    <w:rsid w:val="00D326D7"/>
    <w:rsid w:val="00D428F3"/>
    <w:rsid w:val="00D43C94"/>
    <w:rsid w:val="00D46770"/>
    <w:rsid w:val="00D62A4D"/>
    <w:rsid w:val="00D63C74"/>
    <w:rsid w:val="00D751A2"/>
    <w:rsid w:val="00D813B1"/>
    <w:rsid w:val="00D96007"/>
    <w:rsid w:val="00DB0729"/>
    <w:rsid w:val="00DB44A4"/>
    <w:rsid w:val="00DB78B1"/>
    <w:rsid w:val="00DC58C2"/>
    <w:rsid w:val="00DE14FE"/>
    <w:rsid w:val="00E00A41"/>
    <w:rsid w:val="00E00C6F"/>
    <w:rsid w:val="00E12411"/>
    <w:rsid w:val="00E26F24"/>
    <w:rsid w:val="00E30CB3"/>
    <w:rsid w:val="00E45B1D"/>
    <w:rsid w:val="00E47EA6"/>
    <w:rsid w:val="00E533AA"/>
    <w:rsid w:val="00E538E6"/>
    <w:rsid w:val="00E87476"/>
    <w:rsid w:val="00E91344"/>
    <w:rsid w:val="00EA4E45"/>
    <w:rsid w:val="00EA51DC"/>
    <w:rsid w:val="00EB53C2"/>
    <w:rsid w:val="00ED384D"/>
    <w:rsid w:val="00EE0D95"/>
    <w:rsid w:val="00EE39D6"/>
    <w:rsid w:val="00F24D9C"/>
    <w:rsid w:val="00F266AC"/>
    <w:rsid w:val="00F27650"/>
    <w:rsid w:val="00F27F1A"/>
    <w:rsid w:val="00F31A60"/>
    <w:rsid w:val="00F32434"/>
    <w:rsid w:val="00F423CA"/>
    <w:rsid w:val="00F47F80"/>
    <w:rsid w:val="00F564A5"/>
    <w:rsid w:val="00F574C1"/>
    <w:rsid w:val="00F823DD"/>
    <w:rsid w:val="00F96336"/>
    <w:rsid w:val="00FA12D7"/>
    <w:rsid w:val="00FC475C"/>
    <w:rsid w:val="00FE2A45"/>
    <w:rsid w:val="00FE49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05FB4"/>
  <w15:chartTrackingRefBased/>
  <w15:docId w15:val="{FA783450-CCE9-7942-B9C1-A2E26E58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Bidi" w:eastAsiaTheme="minorHAnsi" w:hAnsiTheme="minorBidi" w:cstheme="minorBidi"/>
        <w:sz w:val="18"/>
        <w:szCs w:val="18"/>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290"/>
  </w:style>
  <w:style w:type="paragraph" w:styleId="Heading1">
    <w:name w:val="heading 1"/>
    <w:basedOn w:val="Normal1"/>
    <w:next w:val="Normal1"/>
    <w:link w:val="Heading1Char"/>
    <w:rsid w:val="00892FA5"/>
    <w:pPr>
      <w:shd w:val="clear" w:color="auto" w:fill="BD0014"/>
      <w:tabs>
        <w:tab w:val="left" w:pos="270"/>
        <w:tab w:val="left" w:pos="630"/>
      </w:tabs>
      <w:spacing w:after="0" w:line="240" w:lineRule="auto"/>
      <w:ind w:left="540" w:hanging="540"/>
      <w:outlineLvl w:val="0"/>
    </w:pPr>
    <w:rPr>
      <w:rFonts w:asciiTheme="minorBidi" w:eastAsia="Arial" w:hAnsiTheme="minorBidi" w:cstheme="minorBidi"/>
      <w:b/>
      <w:smallCaps/>
      <w:color w:val="FFFFFF"/>
      <w:sz w:val="28"/>
      <w:szCs w:val="28"/>
    </w:rPr>
  </w:style>
  <w:style w:type="paragraph" w:styleId="Heading2">
    <w:name w:val="heading 2"/>
    <w:basedOn w:val="Normal1"/>
    <w:next w:val="Normal1"/>
    <w:link w:val="Heading2Char"/>
    <w:rsid w:val="00892FA5"/>
    <w:pPr>
      <w:numPr>
        <w:numId w:val="21"/>
      </w:numPr>
      <w:shd w:val="clear" w:color="auto" w:fill="FCB040"/>
      <w:spacing w:before="40" w:after="40" w:line="240" w:lineRule="auto"/>
      <w:ind w:left="270" w:hanging="270"/>
      <w:outlineLvl w:val="1"/>
    </w:pPr>
    <w:rPr>
      <w:rFonts w:asciiTheme="minorBidi" w:eastAsia="Arial" w:hAnsiTheme="minorBidi" w:cstheme="minorBidi"/>
      <w:b/>
      <w:smallCaps/>
      <w:sz w:val="24"/>
      <w:szCs w:val="24"/>
    </w:rPr>
  </w:style>
  <w:style w:type="paragraph" w:styleId="Heading3">
    <w:name w:val="heading 3"/>
    <w:basedOn w:val="Normal1"/>
    <w:next w:val="Normal1"/>
    <w:link w:val="Heading3Char"/>
    <w:rsid w:val="00E26F24"/>
    <w:pPr>
      <w:spacing w:line="240" w:lineRule="auto"/>
      <w:outlineLvl w:val="2"/>
    </w:pPr>
    <w:rPr>
      <w:rFonts w:ascii="Arial" w:eastAsia="Arial" w:hAnsi="Arial" w:cs="Arial"/>
      <w:b/>
    </w:rPr>
  </w:style>
  <w:style w:type="paragraph" w:styleId="Heading4">
    <w:name w:val="heading 4"/>
    <w:basedOn w:val="Normal1"/>
    <w:next w:val="Normal1"/>
    <w:link w:val="Heading4Char"/>
    <w:rsid w:val="00E26F24"/>
    <w:pPr>
      <w:pBdr>
        <w:top w:val="dotted" w:sz="6" w:space="2" w:color="099BDD"/>
      </w:pBdr>
      <w:spacing w:before="200" w:after="0"/>
      <w:outlineLvl w:val="3"/>
    </w:pPr>
    <w:rPr>
      <w:smallCaps/>
      <w:color w:val="0673A5"/>
    </w:rPr>
  </w:style>
  <w:style w:type="paragraph" w:styleId="Heading5">
    <w:name w:val="heading 5"/>
    <w:basedOn w:val="Normal1"/>
    <w:next w:val="Normal1"/>
    <w:link w:val="Heading5Char"/>
    <w:rsid w:val="00E26F24"/>
    <w:pPr>
      <w:pBdr>
        <w:bottom w:val="single" w:sz="6" w:space="1" w:color="099BDD"/>
      </w:pBdr>
      <w:spacing w:before="200" w:after="0"/>
      <w:outlineLvl w:val="4"/>
    </w:pPr>
    <w:rPr>
      <w:smallCaps/>
      <w:color w:val="0673A5"/>
    </w:rPr>
  </w:style>
  <w:style w:type="paragraph" w:styleId="Heading6">
    <w:name w:val="heading 6"/>
    <w:basedOn w:val="Normal1"/>
    <w:next w:val="Normal1"/>
    <w:link w:val="Heading6Char"/>
    <w:rsid w:val="00E26F24"/>
    <w:pPr>
      <w:pBdr>
        <w:bottom w:val="dotted" w:sz="6" w:space="1" w:color="099BDD"/>
      </w:pBdr>
      <w:spacing w:before="200" w:after="0"/>
      <w:outlineLvl w:val="5"/>
    </w:pPr>
    <w:rPr>
      <w:smallCaps/>
      <w:color w:val="0673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92FA5"/>
    <w:rPr>
      <w:rFonts w:asciiTheme="minorBidi" w:eastAsia="Arial" w:hAnsiTheme="minorBidi"/>
      <w:b/>
      <w:smallCaps/>
      <w:color w:val="FFFFFF"/>
      <w:sz w:val="28"/>
      <w:szCs w:val="28"/>
      <w:shd w:val="clear" w:color="auto" w:fill="BD0014"/>
    </w:rPr>
  </w:style>
  <w:style w:type="character" w:customStyle="1" w:styleId="Heading2Char">
    <w:name w:val="Heading 2 Char"/>
    <w:basedOn w:val="DefaultParagraphFont"/>
    <w:link w:val="Heading2"/>
    <w:rsid w:val="00892FA5"/>
    <w:rPr>
      <w:rFonts w:asciiTheme="minorBidi" w:eastAsia="Arial" w:hAnsiTheme="minorBidi"/>
      <w:b/>
      <w:smallCaps/>
      <w:color w:val="000000"/>
      <w:shd w:val="clear" w:color="auto" w:fill="FCB040"/>
    </w:rPr>
  </w:style>
  <w:style w:type="character" w:customStyle="1" w:styleId="Heading3Char">
    <w:name w:val="Heading 3 Char"/>
    <w:basedOn w:val="DefaultParagraphFont"/>
    <w:link w:val="Heading3"/>
    <w:rsid w:val="00E26F24"/>
    <w:rPr>
      <w:rFonts w:ascii="Arial" w:eastAsia="Arial" w:hAnsi="Arial" w:cs="Arial"/>
      <w:b/>
      <w:color w:val="000000"/>
      <w:sz w:val="22"/>
      <w:szCs w:val="22"/>
    </w:rPr>
  </w:style>
  <w:style w:type="character" w:customStyle="1" w:styleId="Heading4Char">
    <w:name w:val="Heading 4 Char"/>
    <w:basedOn w:val="DefaultParagraphFont"/>
    <w:link w:val="Heading4"/>
    <w:rsid w:val="00E26F24"/>
    <w:rPr>
      <w:rFonts w:ascii="Corbel" w:eastAsia="Corbel" w:hAnsi="Corbel" w:cs="Corbel"/>
      <w:smallCaps/>
      <w:color w:val="0673A5"/>
      <w:sz w:val="22"/>
      <w:szCs w:val="22"/>
    </w:rPr>
  </w:style>
  <w:style w:type="character" w:customStyle="1" w:styleId="Heading5Char">
    <w:name w:val="Heading 5 Char"/>
    <w:basedOn w:val="DefaultParagraphFont"/>
    <w:link w:val="Heading5"/>
    <w:rsid w:val="00E26F24"/>
    <w:rPr>
      <w:rFonts w:ascii="Corbel" w:eastAsia="Corbel" w:hAnsi="Corbel" w:cs="Corbel"/>
      <w:smallCaps/>
      <w:color w:val="0673A5"/>
      <w:sz w:val="22"/>
      <w:szCs w:val="22"/>
    </w:rPr>
  </w:style>
  <w:style w:type="character" w:customStyle="1" w:styleId="Heading6Char">
    <w:name w:val="Heading 6 Char"/>
    <w:basedOn w:val="DefaultParagraphFont"/>
    <w:link w:val="Heading6"/>
    <w:rsid w:val="00E26F24"/>
    <w:rPr>
      <w:rFonts w:ascii="Corbel" w:eastAsia="Corbel" w:hAnsi="Corbel" w:cs="Corbel"/>
      <w:smallCaps/>
      <w:color w:val="0673A5"/>
      <w:sz w:val="22"/>
      <w:szCs w:val="22"/>
    </w:rPr>
  </w:style>
  <w:style w:type="paragraph" w:customStyle="1" w:styleId="Normal1">
    <w:name w:val="Normal1"/>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paragraph" w:styleId="Title">
    <w:name w:val="Title"/>
    <w:basedOn w:val="Normal1"/>
    <w:next w:val="Normal1"/>
    <w:link w:val="TitleChar"/>
    <w:rsid w:val="00E26F24"/>
    <w:pPr>
      <w:spacing w:before="0" w:after="0"/>
    </w:pPr>
    <w:rPr>
      <w:smallCaps/>
      <w:color w:val="0673A5"/>
      <w:sz w:val="52"/>
      <w:szCs w:val="52"/>
    </w:rPr>
  </w:style>
  <w:style w:type="character" w:customStyle="1" w:styleId="TitleChar">
    <w:name w:val="Title Char"/>
    <w:basedOn w:val="DefaultParagraphFont"/>
    <w:link w:val="Title"/>
    <w:rsid w:val="00E26F24"/>
    <w:rPr>
      <w:rFonts w:ascii="Corbel" w:eastAsia="Corbel" w:hAnsi="Corbel" w:cs="Corbel"/>
      <w:smallCaps/>
      <w:color w:val="0673A5"/>
      <w:sz w:val="52"/>
      <w:szCs w:val="52"/>
    </w:rPr>
  </w:style>
  <w:style w:type="paragraph" w:styleId="Subtitle">
    <w:name w:val="Subtitle"/>
    <w:basedOn w:val="Normal1"/>
    <w:next w:val="Normal1"/>
    <w:link w:val="SubtitleChar"/>
    <w:rsid w:val="00E26F24"/>
    <w:pPr>
      <w:spacing w:after="160"/>
    </w:pPr>
    <w:rPr>
      <w:color w:val="404040"/>
    </w:rPr>
  </w:style>
  <w:style w:type="character" w:customStyle="1" w:styleId="SubtitleChar">
    <w:name w:val="Subtitle Char"/>
    <w:basedOn w:val="DefaultParagraphFont"/>
    <w:link w:val="Subtitle"/>
    <w:rsid w:val="00E26F24"/>
    <w:rPr>
      <w:rFonts w:ascii="Corbel" w:eastAsia="Corbel" w:hAnsi="Corbel" w:cs="Corbel"/>
      <w:color w:val="404040"/>
      <w:sz w:val="22"/>
      <w:szCs w:val="22"/>
    </w:rPr>
  </w:style>
  <w:style w:type="paragraph" w:styleId="CommentText">
    <w:name w:val="annotation text"/>
    <w:basedOn w:val="Normal"/>
    <w:link w:val="CommentTextChar"/>
    <w:uiPriority w:val="99"/>
    <w:unhideWhenUsed/>
    <w:rsid w:val="00E26F24"/>
  </w:style>
  <w:style w:type="character" w:customStyle="1" w:styleId="CommentTextChar">
    <w:name w:val="Comment Text Char"/>
    <w:basedOn w:val="DefaultParagraphFont"/>
    <w:link w:val="CommentText"/>
    <w:uiPriority w:val="99"/>
    <w:rsid w:val="00E26F24"/>
    <w:rPr>
      <w:rFonts w:ascii="Times New Roman" w:eastAsia="Times New Roman" w:hAnsi="Times New Roman" w:cs="Times New Roman"/>
      <w:lang w:eastAsia="zh-CN"/>
    </w:rPr>
  </w:style>
  <w:style w:type="character" w:styleId="CommentReference">
    <w:name w:val="annotation reference"/>
    <w:basedOn w:val="DefaultParagraphFont"/>
    <w:uiPriority w:val="99"/>
    <w:semiHidden/>
    <w:unhideWhenUsed/>
    <w:rsid w:val="00E26F24"/>
    <w:rPr>
      <w:sz w:val="18"/>
      <w:szCs w:val="18"/>
    </w:rPr>
  </w:style>
  <w:style w:type="paragraph" w:styleId="BalloonText">
    <w:name w:val="Balloon Text"/>
    <w:basedOn w:val="Normal"/>
    <w:link w:val="BalloonTextChar"/>
    <w:uiPriority w:val="99"/>
    <w:semiHidden/>
    <w:unhideWhenUsed/>
    <w:rsid w:val="00E26F24"/>
    <w:rPr>
      <w:rFonts w:ascii="Lucida Grande" w:hAnsi="Lucida Grande" w:cs="Lucida Grande"/>
    </w:rPr>
  </w:style>
  <w:style w:type="character" w:customStyle="1" w:styleId="BalloonTextChar">
    <w:name w:val="Balloon Text Char"/>
    <w:basedOn w:val="DefaultParagraphFont"/>
    <w:link w:val="BalloonText"/>
    <w:uiPriority w:val="99"/>
    <w:semiHidden/>
    <w:rsid w:val="00E26F24"/>
    <w:rPr>
      <w:rFonts w:ascii="Lucida Grande" w:eastAsia="Times New Roman" w:hAnsi="Lucida Grande" w:cs="Lucida Grande"/>
      <w:sz w:val="18"/>
      <w:szCs w:val="18"/>
      <w:lang w:eastAsia="zh-CN"/>
    </w:rPr>
  </w:style>
  <w:style w:type="paragraph" w:styleId="DocumentMap">
    <w:name w:val="Document Map"/>
    <w:basedOn w:val="Normal"/>
    <w:link w:val="DocumentMapChar"/>
    <w:uiPriority w:val="99"/>
    <w:semiHidden/>
    <w:unhideWhenUsed/>
    <w:rsid w:val="00E26F24"/>
    <w:rPr>
      <w:rFonts w:ascii="Lucida Grande" w:hAnsi="Lucida Grande" w:cs="Lucida Grande"/>
    </w:rPr>
  </w:style>
  <w:style w:type="character" w:customStyle="1" w:styleId="DocumentMapChar">
    <w:name w:val="Document Map Char"/>
    <w:basedOn w:val="DefaultParagraphFont"/>
    <w:link w:val="DocumentMap"/>
    <w:uiPriority w:val="99"/>
    <w:semiHidden/>
    <w:rsid w:val="00E26F24"/>
    <w:rPr>
      <w:rFonts w:ascii="Lucida Grande" w:eastAsia="Times New Roman" w:hAnsi="Lucida Grande" w:cs="Lucida Grande"/>
      <w:lang w:eastAsia="zh-CN"/>
    </w:rPr>
  </w:style>
  <w:style w:type="paragraph" w:styleId="Header">
    <w:name w:val="header"/>
    <w:basedOn w:val="Normal"/>
    <w:link w:val="HeaderChar"/>
    <w:uiPriority w:val="99"/>
    <w:unhideWhenUsed/>
    <w:rsid w:val="00E26F24"/>
    <w:pPr>
      <w:tabs>
        <w:tab w:val="center" w:pos="4320"/>
        <w:tab w:val="right" w:pos="8640"/>
      </w:tabs>
    </w:pPr>
  </w:style>
  <w:style w:type="character" w:customStyle="1" w:styleId="HeaderChar">
    <w:name w:val="Header Char"/>
    <w:basedOn w:val="DefaultParagraphFont"/>
    <w:link w:val="Header"/>
    <w:uiPriority w:val="99"/>
    <w:rsid w:val="00E26F24"/>
    <w:rPr>
      <w:rFonts w:ascii="Times New Roman" w:eastAsia="Times New Roman" w:hAnsi="Times New Roman" w:cs="Times New Roman"/>
      <w:lang w:eastAsia="zh-CN"/>
    </w:rPr>
  </w:style>
  <w:style w:type="paragraph" w:styleId="Footer">
    <w:name w:val="footer"/>
    <w:basedOn w:val="Normal"/>
    <w:link w:val="FooterChar"/>
    <w:uiPriority w:val="99"/>
    <w:unhideWhenUsed/>
    <w:rsid w:val="00E26F24"/>
    <w:pPr>
      <w:tabs>
        <w:tab w:val="center" w:pos="4320"/>
        <w:tab w:val="right" w:pos="8640"/>
      </w:tabs>
    </w:pPr>
  </w:style>
  <w:style w:type="character" w:customStyle="1" w:styleId="FooterChar">
    <w:name w:val="Footer Char"/>
    <w:basedOn w:val="DefaultParagraphFont"/>
    <w:link w:val="Footer"/>
    <w:uiPriority w:val="99"/>
    <w:rsid w:val="00E26F24"/>
    <w:rPr>
      <w:rFonts w:ascii="Times New Roman" w:eastAsia="Times New Roman" w:hAnsi="Times New Roman" w:cs="Times New Roman"/>
      <w:lang w:eastAsia="zh-CN"/>
    </w:rPr>
  </w:style>
  <w:style w:type="paragraph" w:styleId="NoSpacing">
    <w:name w:val="No Spacing"/>
    <w:uiPriority w:val="1"/>
    <w:qFormat/>
    <w:rsid w:val="00E26F24"/>
    <w:pPr>
      <w:numPr>
        <w:numId w:val="3"/>
      </w:numPr>
      <w:pBdr>
        <w:top w:val="nil"/>
        <w:left w:val="nil"/>
        <w:bottom w:val="nil"/>
        <w:right w:val="nil"/>
        <w:between w:val="nil"/>
      </w:pBdr>
    </w:pPr>
    <w:rPr>
      <w:rFonts w:ascii="Arial" w:eastAsia="Corbel" w:hAnsi="Arial" w:cs="Corbel"/>
      <w:color w:val="000000"/>
      <w:sz w:val="20"/>
      <w:szCs w:val="20"/>
    </w:rPr>
  </w:style>
  <w:style w:type="paragraph" w:styleId="TOCHeading">
    <w:name w:val="TOC Heading"/>
    <w:basedOn w:val="Heading1"/>
    <w:next w:val="Normal"/>
    <w:uiPriority w:val="39"/>
    <w:unhideWhenUsed/>
    <w:qFormat/>
    <w:rsid w:val="00E26F24"/>
    <w:pPr>
      <w:keepNext/>
      <w:keepLines/>
      <w:pBdr>
        <w:top w:val="none" w:sz="0" w:space="0" w:color="auto"/>
        <w:left w:val="none" w:sz="0" w:space="0" w:color="auto"/>
        <w:bottom w:val="none" w:sz="0" w:space="0" w:color="auto"/>
        <w:right w:val="none" w:sz="0" w:space="0" w:color="auto"/>
        <w:between w:val="none" w:sz="0" w:space="0" w:color="auto"/>
      </w:pBdr>
      <w:shd w:val="clear" w:color="auto" w:fill="auto"/>
      <w:tabs>
        <w:tab w:val="clear" w:pos="270"/>
        <w:tab w:val="clear" w:pos="630"/>
      </w:tabs>
      <w:spacing w:before="480" w:line="276" w:lineRule="auto"/>
      <w:ind w:left="0" w:firstLine="0"/>
      <w:outlineLvl w:val="9"/>
    </w:pPr>
    <w:rPr>
      <w:rFonts w:asciiTheme="majorHAnsi" w:eastAsiaTheme="majorEastAsia" w:hAnsiTheme="majorHAnsi" w:cstheme="majorBidi"/>
      <w:bCs/>
      <w:smallCaps w:val="0"/>
      <w:color w:val="2F5496" w:themeColor="accent1" w:themeShade="BF"/>
    </w:rPr>
  </w:style>
  <w:style w:type="paragraph" w:styleId="TOC1">
    <w:name w:val="toc 1"/>
    <w:basedOn w:val="Normal"/>
    <w:next w:val="Normal"/>
    <w:autoRedefine/>
    <w:uiPriority w:val="39"/>
    <w:unhideWhenUsed/>
    <w:rsid w:val="00E26F24"/>
    <w:pPr>
      <w:spacing w:before="120"/>
    </w:pPr>
    <w:rPr>
      <w:rFonts w:asciiTheme="minorHAnsi" w:hAnsiTheme="minorHAnsi" w:cstheme="minorHAnsi"/>
      <w:b/>
      <w:bCs/>
      <w:i/>
      <w:iCs/>
      <w:szCs w:val="28"/>
    </w:rPr>
  </w:style>
  <w:style w:type="paragraph" w:styleId="TOC2">
    <w:name w:val="toc 2"/>
    <w:basedOn w:val="Normal"/>
    <w:next w:val="Normal"/>
    <w:autoRedefine/>
    <w:uiPriority w:val="39"/>
    <w:unhideWhenUsed/>
    <w:rsid w:val="00E26F24"/>
    <w:pPr>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E26F24"/>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E26F24"/>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E26F24"/>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E26F24"/>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E26F24"/>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E26F24"/>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E26F24"/>
    <w:pPr>
      <w:ind w:left="1920"/>
    </w:pPr>
    <w:rPr>
      <w:rFonts w:asciiTheme="minorHAnsi" w:hAnsiTheme="minorHAnsi" w:cstheme="minorHAnsi"/>
      <w:sz w:val="20"/>
    </w:rPr>
  </w:style>
  <w:style w:type="paragraph" w:styleId="FootnoteText">
    <w:name w:val="footnote text"/>
    <w:basedOn w:val="Normal"/>
    <w:link w:val="FootnoteTextChar"/>
    <w:uiPriority w:val="99"/>
    <w:unhideWhenUsed/>
    <w:rsid w:val="00E26F24"/>
  </w:style>
  <w:style w:type="character" w:customStyle="1" w:styleId="FootnoteTextChar">
    <w:name w:val="Footnote Text Char"/>
    <w:basedOn w:val="DefaultParagraphFont"/>
    <w:link w:val="FootnoteText"/>
    <w:uiPriority w:val="99"/>
    <w:rsid w:val="00E26F24"/>
    <w:rPr>
      <w:rFonts w:ascii="Times New Roman" w:eastAsia="Times New Roman" w:hAnsi="Times New Roman" w:cs="Times New Roman"/>
      <w:lang w:eastAsia="zh-CN"/>
    </w:rPr>
  </w:style>
  <w:style w:type="character" w:styleId="FootnoteReference">
    <w:name w:val="footnote reference"/>
    <w:basedOn w:val="DefaultParagraphFont"/>
    <w:uiPriority w:val="99"/>
    <w:unhideWhenUsed/>
    <w:rsid w:val="00E26F24"/>
    <w:rPr>
      <w:vertAlign w:val="superscript"/>
    </w:rPr>
  </w:style>
  <w:style w:type="paragraph" w:customStyle="1" w:styleId="Normal2">
    <w:name w:val="Normal2"/>
    <w:rsid w:val="00E26F24"/>
    <w:pPr>
      <w:pBdr>
        <w:top w:val="nil"/>
        <w:left w:val="nil"/>
        <w:bottom w:val="nil"/>
        <w:right w:val="nil"/>
        <w:between w:val="nil"/>
      </w:pBdr>
      <w:spacing w:before="120" w:after="200" w:line="264" w:lineRule="auto"/>
    </w:pPr>
    <w:rPr>
      <w:rFonts w:ascii="Corbel" w:eastAsia="Corbel" w:hAnsi="Corbel" w:cs="Corbel"/>
      <w:color w:val="000000"/>
      <w:sz w:val="22"/>
      <w:szCs w:val="22"/>
    </w:rPr>
  </w:style>
  <w:style w:type="paragraph" w:styleId="CommentSubject">
    <w:name w:val="annotation subject"/>
    <w:basedOn w:val="CommentText"/>
    <w:next w:val="CommentText"/>
    <w:link w:val="CommentSubjectChar"/>
    <w:uiPriority w:val="99"/>
    <w:semiHidden/>
    <w:unhideWhenUsed/>
    <w:rsid w:val="00E26F24"/>
    <w:rPr>
      <w:b/>
      <w:bCs/>
      <w:sz w:val="20"/>
      <w:szCs w:val="20"/>
    </w:rPr>
  </w:style>
  <w:style w:type="character" w:customStyle="1" w:styleId="CommentSubjectChar">
    <w:name w:val="Comment Subject Char"/>
    <w:basedOn w:val="CommentTextChar"/>
    <w:link w:val="CommentSubject"/>
    <w:uiPriority w:val="99"/>
    <w:semiHidden/>
    <w:rsid w:val="00E26F24"/>
    <w:rPr>
      <w:rFonts w:ascii="Times New Roman" w:eastAsia="Times New Roman" w:hAnsi="Times New Roman" w:cs="Times New Roman"/>
      <w:b/>
      <w:bCs/>
      <w:sz w:val="20"/>
      <w:szCs w:val="20"/>
      <w:lang w:eastAsia="zh-CN"/>
    </w:rPr>
  </w:style>
  <w:style w:type="character" w:styleId="Hyperlink">
    <w:name w:val="Hyperlink"/>
    <w:basedOn w:val="DefaultParagraphFont"/>
    <w:uiPriority w:val="99"/>
    <w:unhideWhenUsed/>
    <w:rsid w:val="00E26F24"/>
    <w:rPr>
      <w:color w:val="0563C1" w:themeColor="hyperlink"/>
      <w:u w:val="single"/>
    </w:rPr>
  </w:style>
  <w:style w:type="paragraph" w:customStyle="1" w:styleId="paragraph">
    <w:name w:val="paragraph"/>
    <w:basedOn w:val="Normal"/>
    <w:rsid w:val="00E26F24"/>
    <w:pPr>
      <w:spacing w:before="100" w:beforeAutospacing="1" w:after="100" w:afterAutospacing="1"/>
    </w:pPr>
  </w:style>
  <w:style w:type="character" w:customStyle="1" w:styleId="normaltextrun">
    <w:name w:val="normaltextrun"/>
    <w:basedOn w:val="DefaultParagraphFont"/>
    <w:rsid w:val="00E26F24"/>
  </w:style>
  <w:style w:type="character" w:customStyle="1" w:styleId="apple-converted-space">
    <w:name w:val="apple-converted-space"/>
    <w:basedOn w:val="DefaultParagraphFont"/>
    <w:rsid w:val="00E26F24"/>
  </w:style>
  <w:style w:type="character" w:customStyle="1" w:styleId="eop">
    <w:name w:val="eop"/>
    <w:basedOn w:val="DefaultParagraphFont"/>
    <w:rsid w:val="00E26F24"/>
  </w:style>
  <w:style w:type="character" w:customStyle="1" w:styleId="scxw150688746">
    <w:name w:val="scxw150688746"/>
    <w:basedOn w:val="DefaultParagraphFont"/>
    <w:rsid w:val="00E26F24"/>
  </w:style>
  <w:style w:type="character" w:customStyle="1" w:styleId="spellingerror">
    <w:name w:val="spellingerror"/>
    <w:basedOn w:val="DefaultParagraphFont"/>
    <w:rsid w:val="00E26F24"/>
  </w:style>
  <w:style w:type="character" w:customStyle="1" w:styleId="scxw52846940">
    <w:name w:val="scxw52846940"/>
    <w:basedOn w:val="DefaultParagraphFont"/>
    <w:rsid w:val="00E26F24"/>
  </w:style>
  <w:style w:type="character" w:customStyle="1" w:styleId="scxw49425527">
    <w:name w:val="scxw49425527"/>
    <w:basedOn w:val="DefaultParagraphFont"/>
    <w:rsid w:val="00E26F24"/>
  </w:style>
  <w:style w:type="character" w:customStyle="1" w:styleId="scxw244817963">
    <w:name w:val="scxw244817963"/>
    <w:basedOn w:val="DefaultParagraphFont"/>
    <w:rsid w:val="00E26F24"/>
  </w:style>
  <w:style w:type="character" w:customStyle="1" w:styleId="scxw73071516">
    <w:name w:val="scxw73071516"/>
    <w:basedOn w:val="DefaultParagraphFont"/>
    <w:rsid w:val="00E26F24"/>
  </w:style>
  <w:style w:type="character" w:customStyle="1" w:styleId="scxw53269209">
    <w:name w:val="scxw53269209"/>
    <w:basedOn w:val="DefaultParagraphFont"/>
    <w:rsid w:val="00E26F24"/>
  </w:style>
  <w:style w:type="character" w:customStyle="1" w:styleId="scxw204070412">
    <w:name w:val="scxw204070412"/>
    <w:basedOn w:val="DefaultParagraphFont"/>
    <w:rsid w:val="00E26F24"/>
  </w:style>
  <w:style w:type="character" w:customStyle="1" w:styleId="scxw132778717">
    <w:name w:val="scxw132778717"/>
    <w:basedOn w:val="DefaultParagraphFont"/>
    <w:rsid w:val="00E26F24"/>
  </w:style>
  <w:style w:type="character" w:customStyle="1" w:styleId="scxw125445437">
    <w:name w:val="scxw125445437"/>
    <w:basedOn w:val="DefaultParagraphFont"/>
    <w:rsid w:val="00E26F24"/>
  </w:style>
  <w:style w:type="paragraph" w:styleId="NormalWeb">
    <w:name w:val="Normal (Web)"/>
    <w:basedOn w:val="Normal"/>
    <w:uiPriority w:val="99"/>
    <w:unhideWhenUsed/>
    <w:rsid w:val="00E26F24"/>
  </w:style>
  <w:style w:type="character" w:customStyle="1" w:styleId="UnresolvedMention1">
    <w:name w:val="Unresolved Mention1"/>
    <w:basedOn w:val="DefaultParagraphFont"/>
    <w:uiPriority w:val="99"/>
    <w:semiHidden/>
    <w:unhideWhenUsed/>
    <w:rsid w:val="00E26F24"/>
    <w:rPr>
      <w:color w:val="605E5C"/>
      <w:shd w:val="clear" w:color="auto" w:fill="E1DFDD"/>
    </w:rPr>
  </w:style>
  <w:style w:type="paragraph" w:styleId="EndnoteText">
    <w:name w:val="endnote text"/>
    <w:basedOn w:val="Normal"/>
    <w:link w:val="EndnoteTextChar"/>
    <w:uiPriority w:val="99"/>
    <w:semiHidden/>
    <w:unhideWhenUsed/>
    <w:rsid w:val="00E26F24"/>
    <w:rPr>
      <w:sz w:val="20"/>
      <w:szCs w:val="20"/>
    </w:rPr>
  </w:style>
  <w:style w:type="character" w:customStyle="1" w:styleId="EndnoteTextChar">
    <w:name w:val="Endnote Text Char"/>
    <w:basedOn w:val="DefaultParagraphFont"/>
    <w:link w:val="EndnoteText"/>
    <w:uiPriority w:val="99"/>
    <w:semiHidden/>
    <w:rsid w:val="00E26F24"/>
    <w:rPr>
      <w:rFonts w:ascii="Times New Roman" w:eastAsia="Times New Roman" w:hAnsi="Times New Roman" w:cs="Times New Roman"/>
      <w:sz w:val="20"/>
      <w:szCs w:val="20"/>
      <w:lang w:eastAsia="zh-CN"/>
    </w:rPr>
  </w:style>
  <w:style w:type="character" w:styleId="EndnoteReference">
    <w:name w:val="endnote reference"/>
    <w:basedOn w:val="DefaultParagraphFont"/>
    <w:uiPriority w:val="99"/>
    <w:semiHidden/>
    <w:unhideWhenUsed/>
    <w:rsid w:val="00E26F24"/>
    <w:rPr>
      <w:vertAlign w:val="superscript"/>
    </w:rPr>
  </w:style>
  <w:style w:type="character" w:customStyle="1" w:styleId="scxw10823761">
    <w:name w:val="scxw10823761"/>
    <w:basedOn w:val="DefaultParagraphFont"/>
    <w:rsid w:val="00E26F24"/>
  </w:style>
  <w:style w:type="paragraph" w:styleId="ListParagraph">
    <w:name w:val="List Paragraph"/>
    <w:basedOn w:val="Normal"/>
    <w:link w:val="ListParagraphChar"/>
    <w:uiPriority w:val="34"/>
    <w:qFormat/>
    <w:rsid w:val="00E26F24"/>
    <w:pPr>
      <w:ind w:left="720"/>
      <w:contextualSpacing/>
    </w:pPr>
  </w:style>
  <w:style w:type="character" w:customStyle="1" w:styleId="UnresolvedMention2">
    <w:name w:val="Unresolved Mention2"/>
    <w:basedOn w:val="DefaultParagraphFont"/>
    <w:uiPriority w:val="99"/>
    <w:semiHidden/>
    <w:unhideWhenUsed/>
    <w:rsid w:val="00E26F24"/>
    <w:rPr>
      <w:color w:val="605E5C"/>
      <w:shd w:val="clear" w:color="auto" w:fill="E1DFDD"/>
    </w:rPr>
  </w:style>
  <w:style w:type="character" w:styleId="FollowedHyperlink">
    <w:name w:val="FollowedHyperlink"/>
    <w:basedOn w:val="DefaultParagraphFont"/>
    <w:uiPriority w:val="99"/>
    <w:semiHidden/>
    <w:unhideWhenUsed/>
    <w:rsid w:val="00E26F24"/>
    <w:rPr>
      <w:color w:val="954F72" w:themeColor="followedHyperlink"/>
      <w:u w:val="single"/>
    </w:rPr>
  </w:style>
  <w:style w:type="character" w:customStyle="1" w:styleId="UnresolvedMention3">
    <w:name w:val="Unresolved Mention3"/>
    <w:basedOn w:val="DefaultParagraphFont"/>
    <w:uiPriority w:val="99"/>
    <w:semiHidden/>
    <w:unhideWhenUsed/>
    <w:rsid w:val="00E26F24"/>
    <w:rPr>
      <w:color w:val="605E5C"/>
      <w:shd w:val="clear" w:color="auto" w:fill="E1DFDD"/>
    </w:rPr>
  </w:style>
  <w:style w:type="paragraph" w:styleId="Revision">
    <w:name w:val="Revision"/>
    <w:hidden/>
    <w:uiPriority w:val="99"/>
    <w:semiHidden/>
    <w:rsid w:val="00E26F24"/>
    <w:rPr>
      <w:rFonts w:ascii="Corbel" w:eastAsia="Corbel" w:hAnsi="Corbel" w:cs="Corbel"/>
      <w:color w:val="000000"/>
      <w:sz w:val="22"/>
      <w:szCs w:val="22"/>
    </w:rPr>
  </w:style>
  <w:style w:type="character" w:customStyle="1" w:styleId="UnresolvedMention4">
    <w:name w:val="Unresolved Mention4"/>
    <w:basedOn w:val="DefaultParagraphFont"/>
    <w:uiPriority w:val="99"/>
    <w:semiHidden/>
    <w:unhideWhenUsed/>
    <w:rsid w:val="00E26F24"/>
    <w:rPr>
      <w:color w:val="605E5C"/>
      <w:shd w:val="clear" w:color="auto" w:fill="E1DFDD"/>
    </w:rPr>
  </w:style>
  <w:style w:type="character" w:customStyle="1" w:styleId="ListParagraphChar">
    <w:name w:val="List Paragraph Char"/>
    <w:basedOn w:val="DefaultParagraphFont"/>
    <w:link w:val="ListParagraph"/>
    <w:uiPriority w:val="34"/>
    <w:locked/>
    <w:rsid w:val="00E26F24"/>
    <w:rPr>
      <w:rFonts w:ascii="Times New Roman" w:eastAsia="Times New Roman" w:hAnsi="Times New Roman" w:cs="Times New Roman"/>
      <w:lang w:eastAsia="zh-CN"/>
    </w:rPr>
  </w:style>
  <w:style w:type="character" w:customStyle="1" w:styleId="UnresolvedMention5">
    <w:name w:val="Unresolved Mention5"/>
    <w:basedOn w:val="DefaultParagraphFont"/>
    <w:uiPriority w:val="99"/>
    <w:semiHidden/>
    <w:unhideWhenUsed/>
    <w:rsid w:val="00E26F24"/>
    <w:rPr>
      <w:color w:val="605E5C"/>
      <w:shd w:val="clear" w:color="auto" w:fill="E1DFDD"/>
    </w:rPr>
  </w:style>
  <w:style w:type="character" w:styleId="Strong">
    <w:name w:val="Strong"/>
    <w:basedOn w:val="DefaultParagraphFont"/>
    <w:uiPriority w:val="22"/>
    <w:qFormat/>
    <w:rsid w:val="00E26F24"/>
    <w:rPr>
      <w:b/>
      <w:bCs/>
    </w:rPr>
  </w:style>
  <w:style w:type="character" w:customStyle="1" w:styleId="quran1">
    <w:name w:val="quran1"/>
    <w:basedOn w:val="DefaultParagraphFont"/>
    <w:rsid w:val="00473D28"/>
    <w:rPr>
      <w:b/>
      <w:bCs/>
      <w:color w:val="000033"/>
    </w:rPr>
  </w:style>
  <w:style w:type="character" w:styleId="Emphasis">
    <w:name w:val="Emphasis"/>
    <w:basedOn w:val="DefaultParagraphFont"/>
    <w:uiPriority w:val="20"/>
    <w:qFormat/>
    <w:rsid w:val="00D018E4"/>
    <w:rPr>
      <w:i/>
      <w:iCs/>
    </w:rPr>
  </w:style>
  <w:style w:type="character" w:customStyle="1" w:styleId="UnresolvedMention6">
    <w:name w:val="Unresolved Mention6"/>
    <w:basedOn w:val="DefaultParagraphFont"/>
    <w:uiPriority w:val="99"/>
    <w:semiHidden/>
    <w:unhideWhenUsed/>
    <w:rsid w:val="00D46770"/>
    <w:rPr>
      <w:color w:val="605E5C"/>
      <w:shd w:val="clear" w:color="auto" w:fill="E1DFDD"/>
    </w:rPr>
  </w:style>
  <w:style w:type="character" w:styleId="UnresolvedMention">
    <w:name w:val="Unresolved Mention"/>
    <w:basedOn w:val="DefaultParagraphFont"/>
    <w:uiPriority w:val="99"/>
    <w:semiHidden/>
    <w:unhideWhenUsed/>
    <w:rsid w:val="00006434"/>
    <w:rPr>
      <w:color w:val="605E5C"/>
      <w:shd w:val="clear" w:color="auto" w:fill="E1DFDD"/>
    </w:rPr>
  </w:style>
  <w:style w:type="paragraph" w:customStyle="1" w:styleId="Default">
    <w:name w:val="Default"/>
    <w:rsid w:val="007C55CD"/>
    <w:pPr>
      <w:autoSpaceDE w:val="0"/>
      <w:autoSpaceDN w:val="0"/>
      <w:adjustRightInd w:val="0"/>
    </w:pPr>
    <w:rPr>
      <w:rFonts w:ascii="Arial" w:eastAsia="Arial" w:hAnsi="Arial" w:cs="Arial"/>
      <w:color w:val="00000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69716">
      <w:bodyDiv w:val="1"/>
      <w:marLeft w:val="0"/>
      <w:marRight w:val="0"/>
      <w:marTop w:val="0"/>
      <w:marBottom w:val="0"/>
      <w:divBdr>
        <w:top w:val="none" w:sz="0" w:space="0" w:color="auto"/>
        <w:left w:val="none" w:sz="0" w:space="0" w:color="auto"/>
        <w:bottom w:val="none" w:sz="0" w:space="0" w:color="auto"/>
        <w:right w:val="none" w:sz="0" w:space="0" w:color="auto"/>
      </w:divBdr>
    </w:div>
    <w:div w:id="428353717">
      <w:bodyDiv w:val="1"/>
      <w:marLeft w:val="0"/>
      <w:marRight w:val="0"/>
      <w:marTop w:val="0"/>
      <w:marBottom w:val="0"/>
      <w:divBdr>
        <w:top w:val="none" w:sz="0" w:space="0" w:color="auto"/>
        <w:left w:val="none" w:sz="0" w:space="0" w:color="auto"/>
        <w:bottom w:val="none" w:sz="0" w:space="0" w:color="auto"/>
        <w:right w:val="none" w:sz="0" w:space="0" w:color="auto"/>
      </w:divBdr>
    </w:div>
    <w:div w:id="440337879">
      <w:bodyDiv w:val="1"/>
      <w:marLeft w:val="0"/>
      <w:marRight w:val="0"/>
      <w:marTop w:val="0"/>
      <w:marBottom w:val="0"/>
      <w:divBdr>
        <w:top w:val="none" w:sz="0" w:space="0" w:color="auto"/>
        <w:left w:val="none" w:sz="0" w:space="0" w:color="auto"/>
        <w:bottom w:val="none" w:sz="0" w:space="0" w:color="auto"/>
        <w:right w:val="none" w:sz="0" w:space="0" w:color="auto"/>
      </w:divBdr>
    </w:div>
    <w:div w:id="474104380">
      <w:bodyDiv w:val="1"/>
      <w:marLeft w:val="0"/>
      <w:marRight w:val="0"/>
      <w:marTop w:val="0"/>
      <w:marBottom w:val="0"/>
      <w:divBdr>
        <w:top w:val="none" w:sz="0" w:space="0" w:color="auto"/>
        <w:left w:val="none" w:sz="0" w:space="0" w:color="auto"/>
        <w:bottom w:val="none" w:sz="0" w:space="0" w:color="auto"/>
        <w:right w:val="none" w:sz="0" w:space="0" w:color="auto"/>
      </w:divBdr>
    </w:div>
    <w:div w:id="524490607">
      <w:bodyDiv w:val="1"/>
      <w:marLeft w:val="0"/>
      <w:marRight w:val="0"/>
      <w:marTop w:val="0"/>
      <w:marBottom w:val="0"/>
      <w:divBdr>
        <w:top w:val="none" w:sz="0" w:space="0" w:color="auto"/>
        <w:left w:val="none" w:sz="0" w:space="0" w:color="auto"/>
        <w:bottom w:val="none" w:sz="0" w:space="0" w:color="auto"/>
        <w:right w:val="none" w:sz="0" w:space="0" w:color="auto"/>
      </w:divBdr>
    </w:div>
    <w:div w:id="534854659">
      <w:bodyDiv w:val="1"/>
      <w:marLeft w:val="0"/>
      <w:marRight w:val="0"/>
      <w:marTop w:val="0"/>
      <w:marBottom w:val="0"/>
      <w:divBdr>
        <w:top w:val="none" w:sz="0" w:space="0" w:color="auto"/>
        <w:left w:val="none" w:sz="0" w:space="0" w:color="auto"/>
        <w:bottom w:val="none" w:sz="0" w:space="0" w:color="auto"/>
        <w:right w:val="none" w:sz="0" w:space="0" w:color="auto"/>
      </w:divBdr>
    </w:div>
    <w:div w:id="1126656971">
      <w:bodyDiv w:val="1"/>
      <w:marLeft w:val="0"/>
      <w:marRight w:val="0"/>
      <w:marTop w:val="0"/>
      <w:marBottom w:val="0"/>
      <w:divBdr>
        <w:top w:val="none" w:sz="0" w:space="0" w:color="auto"/>
        <w:left w:val="none" w:sz="0" w:space="0" w:color="auto"/>
        <w:bottom w:val="none" w:sz="0" w:space="0" w:color="auto"/>
        <w:right w:val="none" w:sz="0" w:space="0" w:color="auto"/>
      </w:divBdr>
    </w:div>
    <w:div w:id="1177966497">
      <w:bodyDiv w:val="1"/>
      <w:marLeft w:val="0"/>
      <w:marRight w:val="0"/>
      <w:marTop w:val="0"/>
      <w:marBottom w:val="0"/>
      <w:divBdr>
        <w:top w:val="none" w:sz="0" w:space="0" w:color="auto"/>
        <w:left w:val="none" w:sz="0" w:space="0" w:color="auto"/>
        <w:bottom w:val="none" w:sz="0" w:space="0" w:color="auto"/>
        <w:right w:val="none" w:sz="0" w:space="0" w:color="auto"/>
      </w:divBdr>
    </w:div>
    <w:div w:id="1180505597">
      <w:bodyDiv w:val="1"/>
      <w:marLeft w:val="0"/>
      <w:marRight w:val="0"/>
      <w:marTop w:val="0"/>
      <w:marBottom w:val="0"/>
      <w:divBdr>
        <w:top w:val="none" w:sz="0" w:space="0" w:color="auto"/>
        <w:left w:val="none" w:sz="0" w:space="0" w:color="auto"/>
        <w:bottom w:val="none" w:sz="0" w:space="0" w:color="auto"/>
        <w:right w:val="none" w:sz="0" w:space="0" w:color="auto"/>
      </w:divBdr>
    </w:div>
    <w:div w:id="1338657868">
      <w:bodyDiv w:val="1"/>
      <w:marLeft w:val="0"/>
      <w:marRight w:val="0"/>
      <w:marTop w:val="0"/>
      <w:marBottom w:val="0"/>
      <w:divBdr>
        <w:top w:val="none" w:sz="0" w:space="0" w:color="auto"/>
        <w:left w:val="none" w:sz="0" w:space="0" w:color="auto"/>
        <w:bottom w:val="none" w:sz="0" w:space="0" w:color="auto"/>
        <w:right w:val="none" w:sz="0" w:space="0" w:color="auto"/>
      </w:divBdr>
    </w:div>
    <w:div w:id="1516535032">
      <w:bodyDiv w:val="1"/>
      <w:marLeft w:val="0"/>
      <w:marRight w:val="0"/>
      <w:marTop w:val="0"/>
      <w:marBottom w:val="0"/>
      <w:divBdr>
        <w:top w:val="none" w:sz="0" w:space="0" w:color="auto"/>
        <w:left w:val="none" w:sz="0" w:space="0" w:color="auto"/>
        <w:bottom w:val="none" w:sz="0" w:space="0" w:color="auto"/>
        <w:right w:val="none" w:sz="0" w:space="0" w:color="auto"/>
      </w:divBdr>
    </w:div>
    <w:div w:id="1523981637">
      <w:bodyDiv w:val="1"/>
      <w:marLeft w:val="0"/>
      <w:marRight w:val="0"/>
      <w:marTop w:val="0"/>
      <w:marBottom w:val="0"/>
      <w:divBdr>
        <w:top w:val="none" w:sz="0" w:space="0" w:color="auto"/>
        <w:left w:val="none" w:sz="0" w:space="0" w:color="auto"/>
        <w:bottom w:val="none" w:sz="0" w:space="0" w:color="auto"/>
        <w:right w:val="none" w:sz="0" w:space="0" w:color="auto"/>
      </w:divBdr>
    </w:div>
    <w:div w:id="1558584641">
      <w:bodyDiv w:val="1"/>
      <w:marLeft w:val="0"/>
      <w:marRight w:val="0"/>
      <w:marTop w:val="0"/>
      <w:marBottom w:val="0"/>
      <w:divBdr>
        <w:top w:val="none" w:sz="0" w:space="0" w:color="auto"/>
        <w:left w:val="none" w:sz="0" w:space="0" w:color="auto"/>
        <w:bottom w:val="none" w:sz="0" w:space="0" w:color="auto"/>
        <w:right w:val="none" w:sz="0" w:space="0" w:color="auto"/>
      </w:divBdr>
    </w:div>
    <w:div w:id="1582830773">
      <w:bodyDiv w:val="1"/>
      <w:marLeft w:val="0"/>
      <w:marRight w:val="0"/>
      <w:marTop w:val="0"/>
      <w:marBottom w:val="0"/>
      <w:divBdr>
        <w:top w:val="none" w:sz="0" w:space="0" w:color="auto"/>
        <w:left w:val="none" w:sz="0" w:space="0" w:color="auto"/>
        <w:bottom w:val="none" w:sz="0" w:space="0" w:color="auto"/>
        <w:right w:val="none" w:sz="0" w:space="0" w:color="auto"/>
      </w:divBdr>
    </w:div>
    <w:div w:id="1612972737">
      <w:bodyDiv w:val="1"/>
      <w:marLeft w:val="0"/>
      <w:marRight w:val="0"/>
      <w:marTop w:val="0"/>
      <w:marBottom w:val="0"/>
      <w:divBdr>
        <w:top w:val="none" w:sz="0" w:space="0" w:color="auto"/>
        <w:left w:val="none" w:sz="0" w:space="0" w:color="auto"/>
        <w:bottom w:val="none" w:sz="0" w:space="0" w:color="auto"/>
        <w:right w:val="none" w:sz="0" w:space="0" w:color="auto"/>
      </w:divBdr>
    </w:div>
    <w:div w:id="1668941081">
      <w:bodyDiv w:val="1"/>
      <w:marLeft w:val="0"/>
      <w:marRight w:val="0"/>
      <w:marTop w:val="0"/>
      <w:marBottom w:val="0"/>
      <w:divBdr>
        <w:top w:val="none" w:sz="0" w:space="0" w:color="auto"/>
        <w:left w:val="none" w:sz="0" w:space="0" w:color="auto"/>
        <w:bottom w:val="none" w:sz="0" w:space="0" w:color="auto"/>
        <w:right w:val="none" w:sz="0" w:space="0" w:color="auto"/>
      </w:divBdr>
      <w:divsChild>
        <w:div w:id="1707409561">
          <w:marLeft w:val="0"/>
          <w:marRight w:val="0"/>
          <w:marTop w:val="0"/>
          <w:marBottom w:val="0"/>
          <w:divBdr>
            <w:top w:val="none" w:sz="0" w:space="0" w:color="auto"/>
            <w:left w:val="none" w:sz="0" w:space="0" w:color="auto"/>
            <w:bottom w:val="none" w:sz="0" w:space="0" w:color="auto"/>
            <w:right w:val="none" w:sz="0" w:space="0" w:color="auto"/>
          </w:divBdr>
        </w:div>
      </w:divsChild>
    </w:div>
    <w:div w:id="1670479340">
      <w:bodyDiv w:val="1"/>
      <w:marLeft w:val="0"/>
      <w:marRight w:val="0"/>
      <w:marTop w:val="0"/>
      <w:marBottom w:val="0"/>
      <w:divBdr>
        <w:top w:val="none" w:sz="0" w:space="0" w:color="auto"/>
        <w:left w:val="none" w:sz="0" w:space="0" w:color="auto"/>
        <w:bottom w:val="none" w:sz="0" w:space="0" w:color="auto"/>
        <w:right w:val="none" w:sz="0" w:space="0" w:color="auto"/>
      </w:divBdr>
    </w:div>
    <w:div w:id="1728529241">
      <w:bodyDiv w:val="1"/>
      <w:marLeft w:val="0"/>
      <w:marRight w:val="0"/>
      <w:marTop w:val="0"/>
      <w:marBottom w:val="0"/>
      <w:divBdr>
        <w:top w:val="none" w:sz="0" w:space="0" w:color="auto"/>
        <w:left w:val="none" w:sz="0" w:space="0" w:color="auto"/>
        <w:bottom w:val="none" w:sz="0" w:space="0" w:color="auto"/>
        <w:right w:val="none" w:sz="0" w:space="0" w:color="auto"/>
      </w:divBdr>
    </w:div>
    <w:div w:id="1932078615">
      <w:bodyDiv w:val="1"/>
      <w:marLeft w:val="0"/>
      <w:marRight w:val="0"/>
      <w:marTop w:val="0"/>
      <w:marBottom w:val="0"/>
      <w:divBdr>
        <w:top w:val="none" w:sz="0" w:space="0" w:color="auto"/>
        <w:left w:val="none" w:sz="0" w:space="0" w:color="auto"/>
        <w:bottom w:val="none" w:sz="0" w:space="0" w:color="auto"/>
        <w:right w:val="none" w:sz="0" w:space="0" w:color="auto"/>
      </w:divBdr>
      <w:divsChild>
        <w:div w:id="7874048">
          <w:marLeft w:val="0"/>
          <w:marRight w:val="0"/>
          <w:marTop w:val="0"/>
          <w:marBottom w:val="0"/>
          <w:divBdr>
            <w:top w:val="none" w:sz="0" w:space="0" w:color="auto"/>
            <w:left w:val="none" w:sz="0" w:space="0" w:color="auto"/>
            <w:bottom w:val="none" w:sz="0" w:space="0" w:color="auto"/>
            <w:right w:val="none" w:sz="0" w:space="0" w:color="auto"/>
          </w:divBdr>
        </w:div>
      </w:divsChild>
    </w:div>
    <w:div w:id="1942224999">
      <w:bodyDiv w:val="1"/>
      <w:marLeft w:val="0"/>
      <w:marRight w:val="0"/>
      <w:marTop w:val="0"/>
      <w:marBottom w:val="0"/>
      <w:divBdr>
        <w:top w:val="none" w:sz="0" w:space="0" w:color="auto"/>
        <w:left w:val="none" w:sz="0" w:space="0" w:color="auto"/>
        <w:bottom w:val="none" w:sz="0" w:space="0" w:color="auto"/>
        <w:right w:val="none" w:sz="0" w:space="0" w:color="auto"/>
      </w:divBdr>
    </w:div>
    <w:div w:id="1957251764">
      <w:bodyDiv w:val="1"/>
      <w:marLeft w:val="0"/>
      <w:marRight w:val="0"/>
      <w:marTop w:val="0"/>
      <w:marBottom w:val="0"/>
      <w:divBdr>
        <w:top w:val="none" w:sz="0" w:space="0" w:color="auto"/>
        <w:left w:val="none" w:sz="0" w:space="0" w:color="auto"/>
        <w:bottom w:val="none" w:sz="0" w:space="0" w:color="auto"/>
        <w:right w:val="none" w:sz="0" w:space="0" w:color="auto"/>
      </w:divBdr>
    </w:div>
    <w:div w:id="201241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2.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sawah@musawah.or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8.jpeg"/><Relationship Id="rId10" Type="http://schemas.openxmlformats.org/officeDocument/2006/relationships/hyperlink" Target="about:blank"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http://www.musawah.org" TargetMode="External"/><Relationship Id="rId22" Type="http://schemas.openxmlformats.org/officeDocument/2006/relationships/image" Target="media/image7.jpeg"/></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tn/sites/default/files/codes/Statutpersonnel.pdf" TargetMode="External"/><Relationship Id="rId13" Type="http://schemas.openxmlformats.org/officeDocument/2006/relationships/hyperlink" Target="http://www.cap-lmu.de/download/2016/CAPerspectives-Tunisia-01.pdf" TargetMode="External"/><Relationship Id="rId18" Type="http://schemas.openxmlformats.org/officeDocument/2006/relationships/hyperlink" Target="http://www.cap-lmu.de/download/2016/CAPerspectives-Tunisia-01.pdf" TargetMode="External"/><Relationship Id="rId26" Type="http://schemas.openxmlformats.org/officeDocument/2006/relationships/hyperlink" Target="https://freedomhouse.org/sites/default/files/inline_images/Tunisia.pdf" TargetMode="External"/><Relationship Id="rId3" Type="http://schemas.openxmlformats.org/officeDocument/2006/relationships/hyperlink" Target="https://www.ohchr.org/sites/default/files/Documents/HRBodies/HRCouncil/RegularSession/Session23/A.HRC.23.50.Add.2_ENG.pdf" TargetMode="External"/><Relationship Id="rId21" Type="http://schemas.openxmlformats.org/officeDocument/2006/relationships/hyperlink" Target="http://www.legislation.tn/sites/default/files/codes/Nationalite.pdf" TargetMode="External"/><Relationship Id="rId7" Type="http://schemas.openxmlformats.org/officeDocument/2006/relationships/hyperlink" Target="http://www.ohchr.org/Documents/HRBodies/HRCouncil/RegularSession/Session23/A.HRC.23.50.Add.2_ENG.pdf" TargetMode="External"/><Relationship Id="rId12" Type="http://schemas.openxmlformats.org/officeDocument/2006/relationships/hyperlink" Target="http://www.cap-lmu.de/download/2016/CAPerspectives-Tunisia-01.pdf" TargetMode="External"/><Relationship Id="rId17" Type="http://schemas.openxmlformats.org/officeDocument/2006/relationships/hyperlink" Target="http://mrawomen.ma/wp-content/uploads/doc/Tunisia%20UPR%20Submission%20FINAL.pdf" TargetMode="External"/><Relationship Id="rId25" Type="http://schemas.openxmlformats.org/officeDocument/2006/relationships/hyperlink" Target="http://www.cap-lmu.de/download/2016/CAPerspectives-Tunisia-01.pdf" TargetMode="External"/><Relationship Id="rId2" Type="http://schemas.openxmlformats.org/officeDocument/2006/relationships/hyperlink" Target="https://www.cmi.no/publications/file/5973-the-womens-rights-champion.pdf" TargetMode="External"/><Relationship Id="rId16" Type="http://schemas.openxmlformats.org/officeDocument/2006/relationships/hyperlink" Target="https://www.unicef.org/publications/files/UNICEF_SOWC_2016.pdf" TargetMode="External"/><Relationship Id="rId20" Type="http://schemas.openxmlformats.org/officeDocument/2006/relationships/hyperlink" Target="http://www.legislation.tn/sites/default/files/codes/Nationalite.pdf" TargetMode="External"/><Relationship Id="rId29" Type="http://schemas.openxmlformats.org/officeDocument/2006/relationships/hyperlink" Target="https://arabstates.unfpa.org/en/publications/gender-justice-law-tunisia" TargetMode="External"/><Relationship Id="rId1" Type="http://schemas.openxmlformats.org/officeDocument/2006/relationships/hyperlink" Target="https://www.asf.be/wp-content/uploads/2014/06/ASF_Tunisie_EtudeAideLe%CC%81gale_2014_6.pdf" TargetMode="External"/><Relationship Id="rId6" Type="http://schemas.openxmlformats.org/officeDocument/2006/relationships/hyperlink" Target="http://www.ohchr.org/Documents/HRBodies/HRCouncil/RegularSession/Session23/A.HRC.23.50.Add.2_ENG.pdf" TargetMode="External"/><Relationship Id="rId11" Type="http://schemas.openxmlformats.org/officeDocument/2006/relationships/hyperlink" Target="https://www.noonpost.com/content/19032" TargetMode="External"/><Relationship Id="rId24" Type="http://schemas.openxmlformats.org/officeDocument/2006/relationships/hyperlink" Target="http://www.legislation.tn/sites/default/files/codes/Nationalite.pdf" TargetMode="External"/><Relationship Id="rId5" Type="http://schemas.openxmlformats.org/officeDocument/2006/relationships/hyperlink" Target="https://freedomhouse.org/sites/default/files/inline_images/Tunisia.pdf" TargetMode="External"/><Relationship Id="rId15" Type="http://schemas.openxmlformats.org/officeDocument/2006/relationships/hyperlink" Target="http://www.independent.co.uk/news/world/africa/rape-tunisia-13-year-old-girl-pregnant-article-227-child-marriage-womens-right-consent-a7483941.html" TargetMode="External"/><Relationship Id="rId23" Type="http://schemas.openxmlformats.org/officeDocument/2006/relationships/hyperlink" Target="http://www.legislation.tn/sites/default/files/codes/Nationalite.pdf" TargetMode="External"/><Relationship Id="rId28" Type="http://schemas.openxmlformats.org/officeDocument/2006/relationships/hyperlink" Target="http://www.legislation.tn/sites/default/files/codes/Statutpersonnel.pdf" TargetMode="External"/><Relationship Id="rId10" Type="http://schemas.openxmlformats.org/officeDocument/2006/relationships/hyperlink" Target="https://www.ilo.org/dyn/natlex/docs/ELECTRONIC/61250/60936/F1198127290/TUN-61250.pdf" TargetMode="External"/><Relationship Id="rId19" Type="http://schemas.openxmlformats.org/officeDocument/2006/relationships/hyperlink" Target="http://mrawomen.ma/wp-content/uploads/doc/Tunisia%20UPR%20Submission%20FINAL.pdf" TargetMode="External"/><Relationship Id="rId4" Type="http://schemas.openxmlformats.org/officeDocument/2006/relationships/hyperlink" Target="https://www.unwomen.org/sites/default/files/Headquarters/Attachments/Sections/CSW/64/National-reviews/Tunisia_En.pdf" TargetMode="External"/><Relationship Id="rId9" Type="http://schemas.openxmlformats.org/officeDocument/2006/relationships/hyperlink" Target="http://www.legislation.tn/sites/default/files/codes/Statutpersonnel.pdf" TargetMode="External"/><Relationship Id="rId14" Type="http://schemas.openxmlformats.org/officeDocument/2006/relationships/hyperlink" Target="http://edition.cnn.com/2016/12/14/middleeast/tunisia-court-child-marriage/" TargetMode="External"/><Relationship Id="rId22" Type="http://schemas.openxmlformats.org/officeDocument/2006/relationships/hyperlink" Target="https://freedomhouse.org/sites/default/files/inline_images/Tunisia.pdf" TargetMode="External"/><Relationship Id="rId27" Type="http://schemas.openxmlformats.org/officeDocument/2006/relationships/hyperlink" Target="http://spring-forward.unwomen.org/en/countries/tunis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8ED74-2DA7-43EA-B9DA-737CBF90C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1156</TotalTime>
  <Pages>10</Pages>
  <Words>2785</Words>
  <Characters>14821</Characters>
  <Application>Microsoft Office Word</Application>
  <DocSecurity>0</DocSecurity>
  <Lines>285</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Waheedi, Salma</dc:creator>
  <cp:keywords/>
  <dc:description/>
  <cp:lastModifiedBy>Ansari, Fer Ghanaa-HLSCLINICS</cp:lastModifiedBy>
  <cp:revision>46</cp:revision>
  <dcterms:created xsi:type="dcterms:W3CDTF">2022-09-05T20:13:00Z</dcterms:created>
  <dcterms:modified xsi:type="dcterms:W3CDTF">2023-01-09T20:00:00Z</dcterms:modified>
</cp:coreProperties>
</file>