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25DA8" w14:textId="11681989" w:rsidR="00D4012A" w:rsidRDefault="008255E5" w:rsidP="00A470AD">
      <w:pPr>
        <w:pStyle w:val="AIUKBody"/>
      </w:pPr>
      <w:r>
        <w:rPr>
          <w:noProof/>
        </w:rPr>
        <w:drawing>
          <wp:inline distT="0" distB="0" distL="0" distR="0" wp14:anchorId="5D1CDCE7" wp14:editId="7000473B">
            <wp:extent cx="1459832" cy="618641"/>
            <wp:effectExtent l="0" t="0" r="1270" b="3810"/>
            <wp:docPr id="1717464721" name="Picture 4" descr="A yellow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464721" name="Picture 4" descr="A yellow sign with black tex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132" cy="643347"/>
                    </a:xfrm>
                    <a:prstGeom prst="rect">
                      <a:avLst/>
                    </a:prstGeom>
                  </pic:spPr>
                </pic:pic>
              </a:graphicData>
            </a:graphic>
          </wp:inline>
        </w:drawing>
      </w:r>
      <w:r w:rsidR="0018405E" w:rsidRPr="0018405E">
        <w:t xml:space="preserve"> </w:t>
      </w:r>
      <w:r w:rsidR="0018405E">
        <w:rPr>
          <w:noProof/>
        </w:rPr>
        <w:drawing>
          <wp:inline distT="0" distB="0" distL="0" distR="0" wp14:anchorId="577EE56A" wp14:editId="7DE5E1EE">
            <wp:extent cx="3877781" cy="621665"/>
            <wp:effectExtent l="0" t="0" r="8890" b="6985"/>
            <wp:docPr id="809866871" name="Picture 1" descr="A black letters on a pin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66871" name="Picture 1" descr="A black letters on a pink background&#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69379" cy="636350"/>
                    </a:xfrm>
                    <a:prstGeom prst="rect">
                      <a:avLst/>
                    </a:prstGeom>
                    <a:noFill/>
                    <a:ln>
                      <a:noFill/>
                    </a:ln>
                  </pic:spPr>
                </pic:pic>
              </a:graphicData>
            </a:graphic>
          </wp:inline>
        </w:drawing>
      </w:r>
    </w:p>
    <w:p w14:paraId="1E8E217C" w14:textId="4BAC918B" w:rsidR="007E7F72" w:rsidRPr="00B405EA" w:rsidRDefault="0018405E" w:rsidP="00B405EA">
      <w:pPr>
        <w:pStyle w:val="AIUKBriefingTitle1"/>
      </w:pPr>
      <w:r>
        <w:t>UNITED KINGDOM</w:t>
      </w:r>
    </w:p>
    <w:p w14:paraId="20ADB881" w14:textId="3B88CEA8" w:rsidR="008E4B9A" w:rsidRPr="00B405EA" w:rsidRDefault="0018405E" w:rsidP="00B405EA">
      <w:pPr>
        <w:pStyle w:val="AIUKBriefingTitle2"/>
        <w:sectPr w:rsidR="008E4B9A" w:rsidRPr="00B405EA" w:rsidSect="008255E5">
          <w:footerReference w:type="even" r:id="rId10"/>
          <w:footerReference w:type="default" r:id="rId11"/>
          <w:footerReference w:type="first" r:id="rId12"/>
          <w:type w:val="continuous"/>
          <w:pgSz w:w="11906" w:h="16838"/>
          <w:pgMar w:top="1588" w:right="1440" w:bottom="1588" w:left="1440" w:header="680" w:footer="680" w:gutter="0"/>
          <w:cols w:space="708"/>
          <w:titlePg/>
          <w:docGrid w:linePitch="360"/>
        </w:sectPr>
      </w:pPr>
      <w:r>
        <w:t>FOLLOW UP SUBMISSION TO THE COMMITTEE ON THE ELIMINATION OF RACIAL DISCRIMINATION</w:t>
      </w:r>
    </w:p>
    <w:p w14:paraId="4C38B81A" w14:textId="34CF884F" w:rsidR="008255E5" w:rsidRPr="000B42A6" w:rsidRDefault="0018405E" w:rsidP="008255E5">
      <w:pPr>
        <w:pStyle w:val="AIUKLargesubtitle"/>
      </w:pPr>
      <w:r>
        <w:t>AMNESTY INTERNATIONAL AND RUNNYMEDE TRUST</w:t>
      </w:r>
    </w:p>
    <w:p w14:paraId="36FBADEA" w14:textId="77777777" w:rsidR="008255E5" w:rsidRDefault="008255E5" w:rsidP="008255E5">
      <w:pPr>
        <w:spacing w:line="264" w:lineRule="auto"/>
        <w:ind w:right="2324"/>
        <w:rPr>
          <w:rFonts w:ascii="Amnesty Trade Gothic Cn" w:hAnsi="Amnesty Trade Gothic Cn" w:cs="Open Sans"/>
          <w:b/>
          <w:bCs/>
          <w:color w:val="000000"/>
          <w:shd w:val="clear" w:color="auto" w:fill="FFFFFF"/>
        </w:rPr>
        <w:sectPr w:rsidR="008255E5" w:rsidSect="008255E5">
          <w:type w:val="continuous"/>
          <w:pgSz w:w="11906" w:h="16838"/>
          <w:pgMar w:top="1588" w:right="1440" w:bottom="1588" w:left="1440" w:header="737" w:footer="737" w:gutter="0"/>
          <w:cols w:space="720"/>
          <w:docGrid w:linePitch="360"/>
        </w:sectPr>
      </w:pPr>
    </w:p>
    <w:p w14:paraId="0FF02B8F" w14:textId="5BC17C94" w:rsidR="008255E5" w:rsidRDefault="0018405E" w:rsidP="008255E5">
      <w:pPr>
        <w:pStyle w:val="AIUKBodyintropara"/>
      </w:pPr>
      <w:r w:rsidRPr="0018405E">
        <w:t>Amnesty International and Runnymede Trust submit this information in advance of the follow-up review of information on the implementation of the recommendations contained in paragraphs 30 (right to freedom of peaceful assembly), 34 (counter-terrorism measures) and 52 (Windrush generation) of the concluding observations.</w:t>
      </w:r>
      <w:r w:rsidR="00055C06">
        <w:rPr>
          <w:rStyle w:val="FootnoteReference"/>
        </w:rPr>
        <w:footnoteReference w:id="1"/>
      </w:r>
    </w:p>
    <w:p w14:paraId="47009744" w14:textId="77777777" w:rsidR="0018405E" w:rsidRDefault="0018405E" w:rsidP="0018405E">
      <w:pPr>
        <w:pStyle w:val="AIUKBody"/>
      </w:pPr>
    </w:p>
    <w:p w14:paraId="790D35A2" w14:textId="0169382C" w:rsidR="00940541" w:rsidRPr="0015269C" w:rsidRDefault="0018405E" w:rsidP="0018405E">
      <w:pPr>
        <w:pStyle w:val="AIUKBody"/>
        <w:rPr>
          <w:sz w:val="22"/>
          <w:szCs w:val="22"/>
        </w:rPr>
      </w:pPr>
      <w:r w:rsidRPr="0015269C">
        <w:rPr>
          <w:sz w:val="22"/>
          <w:szCs w:val="22"/>
          <w:lang w:val="en-US"/>
        </w:rPr>
        <w:t>This submission has been drafted by Amnesty International UK and the Runnymede Trust based on research done by both organisations on racial discrimination and inequality in the UK across various issues. Both organisations have various areas of expertise and have contributed to positive developments in the UK </w:t>
      </w:r>
      <w:proofErr w:type="gramStart"/>
      <w:r w:rsidRPr="0015269C">
        <w:rPr>
          <w:sz w:val="22"/>
          <w:szCs w:val="22"/>
          <w:lang w:val="en-US"/>
        </w:rPr>
        <w:t>in the area of</w:t>
      </w:r>
      <w:proofErr w:type="gramEnd"/>
      <w:r w:rsidRPr="0015269C">
        <w:rPr>
          <w:sz w:val="22"/>
          <w:szCs w:val="22"/>
          <w:lang w:val="en-US"/>
        </w:rPr>
        <w:t> tackling racism and other forms of discrimination, and unless stated otherwise within this submission the recommendations are supported by both organisations. </w:t>
      </w:r>
      <w:r w:rsidRPr="0015269C">
        <w:rPr>
          <w:sz w:val="22"/>
          <w:szCs w:val="22"/>
        </w:rPr>
        <w:t> </w:t>
      </w:r>
    </w:p>
    <w:p w14:paraId="38D106AF" w14:textId="77777777" w:rsidR="00055C06" w:rsidRPr="0015269C" w:rsidRDefault="00055C06" w:rsidP="0015269C">
      <w:pPr>
        <w:pStyle w:val="AIUKBody"/>
        <w:rPr>
          <w:rFonts w:ascii="Amnesty Trade Gothic Cn" w:hAnsi="Amnesty Trade Gothic Cn"/>
          <w:b/>
          <w:bCs/>
          <w:sz w:val="22"/>
          <w:szCs w:val="22"/>
          <w:lang w:val="en-US"/>
        </w:rPr>
      </w:pPr>
    </w:p>
    <w:p w14:paraId="3CA0961F" w14:textId="0F03D07D" w:rsidR="00BF73D0" w:rsidRPr="00055C06" w:rsidRDefault="00055C06" w:rsidP="00055C06">
      <w:pPr>
        <w:pStyle w:val="AIUKBody"/>
        <w:tabs>
          <w:tab w:val="left" w:pos="1190"/>
        </w:tabs>
        <w:sectPr w:rsidR="00BF73D0" w:rsidRPr="00055C06" w:rsidSect="008255E5">
          <w:type w:val="continuous"/>
          <w:pgSz w:w="11906" w:h="16838"/>
          <w:pgMar w:top="1588" w:right="1440" w:bottom="1588" w:left="1440" w:header="737" w:footer="737" w:gutter="0"/>
          <w:cols w:space="720"/>
          <w:docGrid w:linePitch="360"/>
        </w:sectPr>
      </w:pPr>
      <w:bookmarkStart w:id="0" w:name="_Hlk229042333"/>
      <w:r w:rsidRPr="00055C06">
        <w:rPr>
          <w:rFonts w:ascii="Amnesty Trade Gothic Cn" w:hAnsi="Amnesty Trade Gothic Cn"/>
          <w:b/>
          <w:bCs/>
          <w:sz w:val="44"/>
          <w:szCs w:val="44"/>
          <w:lang w:val="en-US"/>
        </w:rPr>
        <w:t>Right to freedom of peaceful assembly,</w:t>
      </w:r>
      <w:r>
        <w:rPr>
          <w:rFonts w:ascii="Amnesty Trade Gothic Cn" w:hAnsi="Amnesty Trade Gothic Cn"/>
          <w:b/>
          <w:bCs/>
          <w:sz w:val="44"/>
          <w:szCs w:val="44"/>
          <w:lang w:val="en-US"/>
        </w:rPr>
        <w:t xml:space="preserve"> </w:t>
      </w:r>
      <w:r w:rsidRPr="00055C06">
        <w:rPr>
          <w:rFonts w:ascii="Amnesty Trade Gothic Cn" w:hAnsi="Amnesty Trade Gothic Cn"/>
          <w:b/>
          <w:bCs/>
          <w:sz w:val="44"/>
          <w:szCs w:val="44"/>
          <w:lang w:val="en-US"/>
        </w:rPr>
        <w:t>Paragraphs 30 </w:t>
      </w:r>
    </w:p>
    <w:p w14:paraId="5BABF311" w14:textId="713BB67E" w:rsidR="00055C06" w:rsidRPr="00DF1290" w:rsidRDefault="00055C06" w:rsidP="00055C06">
      <w:pPr>
        <w:spacing w:line="264" w:lineRule="auto"/>
        <w:rPr>
          <w:sz w:val="22"/>
          <w:szCs w:val="22"/>
          <w:lang w:val="en-US"/>
        </w:rPr>
      </w:pPr>
      <w:r w:rsidRPr="00DF1290">
        <w:rPr>
          <w:sz w:val="22"/>
          <w:szCs w:val="22"/>
          <w:lang w:val="en-US"/>
        </w:rPr>
        <w:t xml:space="preserve">Over recent years, there has been a significant crackdown on the right to protest in the United Kingdom (UK). The UK Government has recently concluded the Parliamentary </w:t>
      </w:r>
      <w:r w:rsidRPr="00DF1290">
        <w:rPr>
          <w:sz w:val="22"/>
          <w:szCs w:val="22"/>
          <w:lang w:val="en-US"/>
        </w:rPr>
        <w:lastRenderedPageBreak/>
        <w:t>process for the fourth piece of legislation that would restrict people’s ability to protest, in as many y</w:t>
      </w:r>
      <w:bookmarkEnd w:id="0"/>
      <w:r w:rsidRPr="00DF1290">
        <w:rPr>
          <w:sz w:val="22"/>
          <w:szCs w:val="22"/>
          <w:lang w:val="en-US"/>
        </w:rPr>
        <w:t>ears.</w:t>
      </w:r>
      <w:r w:rsidRPr="00DF1290">
        <w:rPr>
          <w:rStyle w:val="FootnoteReference"/>
          <w:sz w:val="22"/>
          <w:szCs w:val="22"/>
          <w:lang w:val="en-US"/>
        </w:rPr>
        <w:footnoteReference w:id="2"/>
      </w:r>
      <w:r w:rsidR="003547B3" w:rsidRPr="00DF1290">
        <w:rPr>
          <w:sz w:val="22"/>
          <w:szCs w:val="22"/>
          <w:lang w:val="en-US"/>
        </w:rPr>
        <w:t xml:space="preserve"> </w:t>
      </w:r>
      <w:r w:rsidRPr="00DF1290">
        <w:rPr>
          <w:sz w:val="22"/>
          <w:szCs w:val="22"/>
          <w:lang w:val="en-US"/>
        </w:rPr>
        <w:t>The Crime and Policing Act contains numerous other restrictions on peaceful protest activity. It would give police more powers to impose restrictions on protests based on the “cumulative disruption” of previous protests, as well as the power to restrict protests in the vicinity of places of worship. </w:t>
      </w:r>
    </w:p>
    <w:p w14:paraId="72186549" w14:textId="77777777" w:rsidR="00055C06" w:rsidRPr="0015269C" w:rsidRDefault="00055C06" w:rsidP="00055C06">
      <w:pPr>
        <w:spacing w:line="264" w:lineRule="auto"/>
        <w:rPr>
          <w:sz w:val="22"/>
          <w:szCs w:val="22"/>
          <w:lang w:val="en-US"/>
        </w:rPr>
      </w:pPr>
    </w:p>
    <w:p w14:paraId="5D421E18" w14:textId="0D0AE053" w:rsidR="00055C06" w:rsidRPr="00DF1290" w:rsidRDefault="00055C06" w:rsidP="00055C06">
      <w:pPr>
        <w:spacing w:line="264" w:lineRule="auto"/>
        <w:rPr>
          <w:sz w:val="22"/>
          <w:szCs w:val="22"/>
        </w:rPr>
      </w:pPr>
      <w:r w:rsidRPr="00DF1290">
        <w:rPr>
          <w:sz w:val="22"/>
          <w:szCs w:val="22"/>
          <w:lang w:val="en-US"/>
        </w:rPr>
        <w:t>The Bill would also give police the power to ban face coverings at protests.</w:t>
      </w:r>
      <w:r w:rsidR="00EA77DB" w:rsidRPr="00DF1290">
        <w:rPr>
          <w:sz w:val="22"/>
          <w:szCs w:val="22"/>
          <w:lang w:val="en-US"/>
        </w:rPr>
        <w:t xml:space="preserve"> </w:t>
      </w:r>
      <w:r w:rsidRPr="00DF1290">
        <w:rPr>
          <w:sz w:val="22"/>
          <w:szCs w:val="22"/>
          <w:lang w:val="en-US"/>
        </w:rPr>
        <w:t>In addition to this primary legislation, there has been additional secondary legislation in recent years, subsequently struck down by the courts for unlawfulness, which also sought to restrict people’s ability to protest.</w:t>
      </w:r>
      <w:r w:rsidRPr="00DF1290">
        <w:rPr>
          <w:rStyle w:val="FootnoteReference"/>
          <w:sz w:val="22"/>
          <w:szCs w:val="22"/>
          <w:lang w:val="en-US"/>
        </w:rPr>
        <w:footnoteReference w:id="3"/>
      </w:r>
      <w:r w:rsidRPr="00DF1290">
        <w:rPr>
          <w:sz w:val="22"/>
          <w:szCs w:val="22"/>
          <w:lang w:val="en-US"/>
        </w:rPr>
        <w:t> All this legislation has been specifically targeted at curtailing peaceful, rather than violent or hate-based protest, which benefit from human rights protections under Articles 10 and 11 ECHR as well as Article 19, 21 and 22 of the ICCPR.</w:t>
      </w:r>
      <w:r w:rsidRPr="00DF1290">
        <w:rPr>
          <w:sz w:val="22"/>
          <w:szCs w:val="22"/>
        </w:rPr>
        <w:t> </w:t>
      </w:r>
    </w:p>
    <w:p w14:paraId="72F3CACC" w14:textId="77777777" w:rsidR="00055C06" w:rsidRPr="0015269C" w:rsidRDefault="00055C06" w:rsidP="00055C06">
      <w:pPr>
        <w:spacing w:line="264" w:lineRule="auto"/>
        <w:rPr>
          <w:sz w:val="22"/>
          <w:szCs w:val="22"/>
          <w:lang w:val="en-US"/>
        </w:rPr>
      </w:pPr>
    </w:p>
    <w:p w14:paraId="50EE1FE2" w14:textId="2C6A1F76" w:rsidR="00055C06" w:rsidRPr="00DF1290" w:rsidRDefault="00055C06" w:rsidP="00055C06">
      <w:pPr>
        <w:spacing w:line="264" w:lineRule="auto"/>
        <w:rPr>
          <w:sz w:val="22"/>
          <w:szCs w:val="22"/>
        </w:rPr>
      </w:pPr>
      <w:r w:rsidRPr="00DF1290">
        <w:rPr>
          <w:sz w:val="22"/>
          <w:szCs w:val="22"/>
          <w:lang w:val="en-US"/>
        </w:rPr>
        <w:t>We have previously noted our concern that the Crime and Policing Act 2026 has been passed in a context that increasingly conflates protest with hate crime, with cracking down on peaceful protest being wrongly presented as a means of preventing or reducing advocacy of hatred and discrimination.</w:t>
      </w:r>
      <w:r w:rsidRPr="00DF1290">
        <w:rPr>
          <w:rStyle w:val="FootnoteReference"/>
          <w:sz w:val="22"/>
          <w:szCs w:val="22"/>
          <w:lang w:val="en-US"/>
        </w:rPr>
        <w:footnoteReference w:id="4"/>
      </w:r>
      <w:r w:rsidR="003547B3" w:rsidRPr="00DF1290">
        <w:rPr>
          <w:sz w:val="22"/>
          <w:szCs w:val="22"/>
        </w:rPr>
        <w:t xml:space="preserve"> </w:t>
      </w:r>
      <w:r w:rsidRPr="00DF1290">
        <w:rPr>
          <w:sz w:val="22"/>
          <w:szCs w:val="22"/>
          <w:lang w:val="en-US"/>
        </w:rPr>
        <w:t>Research reports by Human Rights Watch and JUSTICE have found that the laws passed in recent years are overbroad, draconian and are having a seriously damaging effect on the ability of people to exercise their rights to peaceful protest.</w:t>
      </w:r>
      <w:r w:rsidRPr="00DF1290">
        <w:rPr>
          <w:rStyle w:val="FootnoteReference"/>
          <w:sz w:val="22"/>
          <w:szCs w:val="22"/>
          <w:lang w:val="en-US"/>
        </w:rPr>
        <w:footnoteReference w:id="5"/>
      </w:r>
      <w:r w:rsidRPr="00DF1290">
        <w:rPr>
          <w:sz w:val="22"/>
          <w:szCs w:val="22"/>
          <w:lang w:val="en-US"/>
        </w:rPr>
        <w:t xml:space="preserve"> For example, Network for Police Monitoring have noted how the policing of protests in solidarity with Palestinians since October 2023 has been characterised by racial profiling and Islamophobia, as well as unusually high levels of surveillance and harassment.</w:t>
      </w:r>
      <w:r w:rsidRPr="00DF1290">
        <w:rPr>
          <w:rStyle w:val="FootnoteReference"/>
          <w:sz w:val="22"/>
          <w:szCs w:val="22"/>
          <w:lang w:val="en-US"/>
        </w:rPr>
        <w:footnoteReference w:id="6"/>
      </w:r>
      <w:r w:rsidRPr="00DF1290">
        <w:rPr>
          <w:sz w:val="22"/>
          <w:szCs w:val="22"/>
          <w:vertAlign w:val="superscript"/>
          <w:lang w:val="en-US"/>
        </w:rPr>
        <w:t> </w:t>
      </w:r>
      <w:r w:rsidRPr="00DF1290">
        <w:rPr>
          <w:sz w:val="22"/>
          <w:szCs w:val="22"/>
          <w:lang w:val="en-US"/>
        </w:rPr>
        <w:t>International rights monitors at the UN and the Council of Europe have expressed growing concern about trend towards restricting the rights to the freedom of expression and peaceful assembly in the UK.</w:t>
      </w:r>
      <w:r w:rsidRPr="00DF1290">
        <w:rPr>
          <w:rStyle w:val="FootnoteReference"/>
          <w:sz w:val="22"/>
          <w:szCs w:val="22"/>
          <w:lang w:val="en-US"/>
        </w:rPr>
        <w:footnoteReference w:id="7"/>
      </w:r>
    </w:p>
    <w:p w14:paraId="1AE8A6BE" w14:textId="77777777" w:rsidR="00055C06" w:rsidRPr="0015269C" w:rsidRDefault="00055C06" w:rsidP="00055C06">
      <w:pPr>
        <w:spacing w:line="264" w:lineRule="auto"/>
        <w:rPr>
          <w:sz w:val="22"/>
          <w:szCs w:val="22"/>
        </w:rPr>
      </w:pPr>
    </w:p>
    <w:p w14:paraId="5A49EF07" w14:textId="02B83ECB" w:rsidR="00055C06" w:rsidRPr="00DF1290" w:rsidRDefault="00055C06" w:rsidP="00055C06">
      <w:pPr>
        <w:spacing w:line="264" w:lineRule="auto"/>
        <w:rPr>
          <w:sz w:val="22"/>
          <w:szCs w:val="22"/>
        </w:rPr>
      </w:pPr>
      <w:r w:rsidRPr="00DF1290">
        <w:rPr>
          <w:sz w:val="22"/>
          <w:szCs w:val="22"/>
          <w:lang w:val="en-US"/>
        </w:rPr>
        <w:t>In a historic shift of approach during this period, anti-terrorism powers for proscription were used against a group, Palestine Action, for their engagement in direct action protest in June 2025.</w:t>
      </w:r>
      <w:r w:rsidRPr="00DF1290">
        <w:rPr>
          <w:rStyle w:val="FootnoteReference"/>
          <w:sz w:val="22"/>
          <w:szCs w:val="22"/>
          <w:lang w:val="en-US"/>
        </w:rPr>
        <w:footnoteReference w:id="8"/>
      </w:r>
      <w:r w:rsidRPr="00DF1290">
        <w:rPr>
          <w:sz w:val="22"/>
          <w:szCs w:val="22"/>
          <w:lang w:val="en-US"/>
        </w:rPr>
        <w:t xml:space="preserve"> This has since been ruled unlawful by the High Court, on grounds that it was in breach of the Home Office’s own policy on the use of proscription </w:t>
      </w:r>
      <w:r w:rsidRPr="00DF1290">
        <w:rPr>
          <w:sz w:val="22"/>
          <w:szCs w:val="22"/>
          <w:lang w:val="en-US"/>
        </w:rPr>
        <w:lastRenderedPageBreak/>
        <w:t>powers and was a disproportionate interference with protected rights under Articles 10 and 11 of the ECHR.</w:t>
      </w:r>
      <w:r w:rsidRPr="00DF1290">
        <w:rPr>
          <w:rStyle w:val="FootnoteReference"/>
          <w:sz w:val="22"/>
          <w:szCs w:val="22"/>
          <w:lang w:val="en-US"/>
        </w:rPr>
        <w:footnoteReference w:id="9"/>
      </w:r>
      <w:r w:rsidRPr="00DF1290">
        <w:rPr>
          <w:sz w:val="22"/>
          <w:szCs w:val="22"/>
          <w:lang w:val="en-US"/>
        </w:rPr>
        <w:t> At the time of writing, this decision is being challenged by the Government at the Court of Appeal, in a case that was heard at the end of April 2026.</w:t>
      </w:r>
      <w:r w:rsidRPr="00DF1290">
        <w:rPr>
          <w:rStyle w:val="FootnoteReference"/>
          <w:sz w:val="22"/>
          <w:szCs w:val="22"/>
          <w:lang w:val="en-US"/>
        </w:rPr>
        <w:footnoteReference w:id="10"/>
      </w:r>
      <w:r w:rsidRPr="00DF1290">
        <w:rPr>
          <w:sz w:val="22"/>
          <w:szCs w:val="22"/>
          <w:lang w:val="en-US"/>
        </w:rPr>
        <w:t> </w:t>
      </w:r>
      <w:r w:rsidRPr="00DF1290">
        <w:rPr>
          <w:sz w:val="22"/>
          <w:szCs w:val="22"/>
        </w:rPr>
        <w:t> </w:t>
      </w:r>
    </w:p>
    <w:p w14:paraId="31C718B4" w14:textId="77777777" w:rsidR="00055C06" w:rsidRPr="0015269C" w:rsidRDefault="00055C06" w:rsidP="00055C06">
      <w:pPr>
        <w:spacing w:line="264" w:lineRule="auto"/>
        <w:rPr>
          <w:sz w:val="22"/>
          <w:szCs w:val="22"/>
        </w:rPr>
      </w:pPr>
    </w:p>
    <w:p w14:paraId="6163B5C9" w14:textId="60E91A20" w:rsidR="00055C06" w:rsidRPr="00DF1290" w:rsidRDefault="00055C06" w:rsidP="00055C06">
      <w:pPr>
        <w:spacing w:line="264" w:lineRule="auto"/>
        <w:rPr>
          <w:sz w:val="22"/>
          <w:szCs w:val="22"/>
        </w:rPr>
      </w:pPr>
      <w:r w:rsidRPr="00DF1290">
        <w:rPr>
          <w:sz w:val="22"/>
          <w:szCs w:val="22"/>
          <w:lang w:val="en-US"/>
        </w:rPr>
        <w:t>Following the proscription, a widespread campaign of civil disobedience broke out led by the “Defend Our Juries” group. In a series of large-scale protests, peaceful protesters held signs stating, “I oppose genocide. I support Palestine Action”, a statement which authorities interpret as being in breach of s13 of the Terrorism Act, which prohibits the “display of articles, such as placards, in such a way as to arouse reasonable suspicion that the person concerned is a member or supporter of a proscribed group.” At the time of writing, over 3300 arrests have been made, and 700 people have been charged. They face a maximum of six months in prison under section 13 of the Terrorism Act, although prosecutions have been stayed while the judicial review of the proscription decision is resolved.</w:t>
      </w:r>
      <w:r w:rsidR="000D32DC" w:rsidRPr="00DF1290">
        <w:rPr>
          <w:rStyle w:val="FootnoteReference"/>
          <w:sz w:val="22"/>
          <w:szCs w:val="22"/>
          <w:lang w:val="en-US"/>
        </w:rPr>
        <w:footnoteReference w:id="11"/>
      </w:r>
      <w:r w:rsidR="000D32DC" w:rsidRPr="00DF1290">
        <w:rPr>
          <w:sz w:val="22"/>
          <w:szCs w:val="22"/>
          <w:lang w:val="en-US"/>
        </w:rPr>
        <w:t xml:space="preserve"> </w:t>
      </w:r>
      <w:r w:rsidRPr="00DF1290">
        <w:rPr>
          <w:sz w:val="22"/>
          <w:szCs w:val="22"/>
          <w:lang w:val="en-US"/>
        </w:rPr>
        <w:t>A smaller number of protest organisers were arrested and charged under the much more severe section 12 of the Terrorism Act, which </w:t>
      </w:r>
      <w:proofErr w:type="spellStart"/>
      <w:r w:rsidRPr="00DF1290">
        <w:rPr>
          <w:sz w:val="22"/>
          <w:szCs w:val="22"/>
          <w:lang w:val="en-US"/>
        </w:rPr>
        <w:t>criminalises</w:t>
      </w:r>
      <w:proofErr w:type="spellEnd"/>
      <w:r w:rsidRPr="00DF1290">
        <w:rPr>
          <w:sz w:val="22"/>
          <w:szCs w:val="22"/>
          <w:lang w:val="en-US"/>
        </w:rPr>
        <w:t> </w:t>
      </w:r>
      <w:proofErr w:type="spellStart"/>
      <w:r w:rsidRPr="00DF1290">
        <w:rPr>
          <w:sz w:val="22"/>
          <w:szCs w:val="22"/>
          <w:lang w:val="en-US"/>
        </w:rPr>
        <w:t>organising</w:t>
      </w:r>
      <w:proofErr w:type="spellEnd"/>
      <w:r w:rsidRPr="00DF1290">
        <w:rPr>
          <w:sz w:val="22"/>
          <w:szCs w:val="22"/>
          <w:lang w:val="en-US"/>
        </w:rPr>
        <w:t> or participating in meetings in support of a proscribed </w:t>
      </w:r>
      <w:proofErr w:type="spellStart"/>
      <w:r w:rsidRPr="00DF1290">
        <w:rPr>
          <w:sz w:val="22"/>
          <w:szCs w:val="22"/>
          <w:lang w:val="en-US"/>
        </w:rPr>
        <w:t>organisation</w:t>
      </w:r>
      <w:proofErr w:type="spellEnd"/>
      <w:r w:rsidRPr="00DF1290">
        <w:rPr>
          <w:sz w:val="22"/>
          <w:szCs w:val="22"/>
          <w:lang w:val="en-US"/>
        </w:rPr>
        <w:t xml:space="preserve">. These prosecutions have also been </w:t>
      </w:r>
      <w:proofErr w:type="gramStart"/>
      <w:r w:rsidRPr="00DF1290">
        <w:rPr>
          <w:sz w:val="22"/>
          <w:szCs w:val="22"/>
          <w:lang w:val="en-US"/>
        </w:rPr>
        <w:t>stayed,</w:t>
      </w:r>
      <w:proofErr w:type="gramEnd"/>
      <w:r w:rsidRPr="00DF1290">
        <w:rPr>
          <w:sz w:val="22"/>
          <w:szCs w:val="22"/>
          <w:lang w:val="en-US"/>
        </w:rPr>
        <w:t xml:space="preserve"> until 2027, but prosecutors have already indicated that they would seek between six and nine years in prison if the accused are found guilty</w:t>
      </w:r>
      <w:r w:rsidR="007966D9" w:rsidRPr="00DF1290">
        <w:rPr>
          <w:sz w:val="22"/>
          <w:szCs w:val="22"/>
          <w:lang w:val="en-US"/>
        </w:rPr>
        <w:t>.</w:t>
      </w:r>
      <w:r w:rsidR="007966D9" w:rsidRPr="00DF1290">
        <w:rPr>
          <w:rStyle w:val="FootnoteReference"/>
          <w:sz w:val="22"/>
          <w:szCs w:val="22"/>
          <w:lang w:val="en-US"/>
        </w:rPr>
        <w:footnoteReference w:id="12"/>
      </w:r>
      <w:r w:rsidRPr="00DF1290">
        <w:rPr>
          <w:sz w:val="22"/>
          <w:szCs w:val="22"/>
        </w:rPr>
        <w:t> </w:t>
      </w:r>
    </w:p>
    <w:p w14:paraId="7F2AE2EA" w14:textId="77777777" w:rsidR="007966D9" w:rsidRPr="0015269C" w:rsidRDefault="007966D9" w:rsidP="00055C06">
      <w:pPr>
        <w:spacing w:line="264" w:lineRule="auto"/>
        <w:rPr>
          <w:sz w:val="22"/>
          <w:szCs w:val="22"/>
        </w:rPr>
      </w:pPr>
    </w:p>
    <w:p w14:paraId="4941BC7B" w14:textId="599B4BBA" w:rsidR="00055C06" w:rsidRPr="00DF1290" w:rsidRDefault="00055C06" w:rsidP="00055C06">
      <w:pPr>
        <w:spacing w:line="264" w:lineRule="auto"/>
        <w:rPr>
          <w:sz w:val="22"/>
          <w:szCs w:val="22"/>
          <w:lang w:val="en-US"/>
        </w:rPr>
      </w:pPr>
      <w:r w:rsidRPr="00DF1290">
        <w:rPr>
          <w:sz w:val="22"/>
          <w:szCs w:val="22"/>
          <w:lang w:val="en-US"/>
        </w:rPr>
        <w:t>Despite the police being plagued with institutional racism, misogyny, and homophobia</w:t>
      </w:r>
      <w:r w:rsidR="001117BD" w:rsidRPr="00DF1290">
        <w:rPr>
          <w:rStyle w:val="FootnoteReference"/>
          <w:sz w:val="22"/>
          <w:szCs w:val="22"/>
          <w:lang w:val="en-US"/>
        </w:rPr>
        <w:footnoteReference w:id="13"/>
      </w:r>
      <w:r w:rsidRPr="00DF1290">
        <w:rPr>
          <w:sz w:val="22"/>
          <w:szCs w:val="22"/>
          <w:lang w:val="en-US"/>
        </w:rPr>
        <w:t>, these legislative shifts hand greater powers to the police including powers that allow for suspicionless targeting, creating an environment rife for discrimination. Systemic racism in the policing of protest is also reflected in some of the data on police use of their new powers. While there is limited data to draw from given the recency of many of the new powers given to police in recent legislation, Metropolitan police data on the force’s use of the new ‘stop and search without reasonable suspicion’ powers already suggests its disproportionate use against young Black and Asian men</w:t>
      </w:r>
      <w:r w:rsidR="001117BD" w:rsidRPr="00DF1290">
        <w:rPr>
          <w:rStyle w:val="FootnoteReference"/>
          <w:sz w:val="22"/>
          <w:szCs w:val="22"/>
          <w:lang w:val="en-US"/>
        </w:rPr>
        <w:footnoteReference w:id="14"/>
      </w:r>
      <w:r w:rsidRPr="00DF1290">
        <w:rPr>
          <w:sz w:val="22"/>
          <w:szCs w:val="22"/>
          <w:lang w:val="en-US"/>
        </w:rPr>
        <w:t>; organizations had raised this risk at the time when Parliament was considering handing the police these powers. This comes in the context of previous research which found that, the policing of Black Lives Matter protests across the UK in 2020 used excessive use of force and the disproportionate targeting of Black protesters.</w:t>
      </w:r>
      <w:r w:rsidR="005706D1" w:rsidRPr="00DF1290">
        <w:rPr>
          <w:rStyle w:val="FootnoteReference"/>
          <w:sz w:val="22"/>
          <w:szCs w:val="22"/>
          <w:lang w:val="en-US"/>
        </w:rPr>
        <w:footnoteReference w:id="15"/>
      </w:r>
    </w:p>
    <w:p w14:paraId="3298CDFC" w14:textId="77777777" w:rsidR="003761D8" w:rsidRDefault="003761D8" w:rsidP="00055C06">
      <w:pPr>
        <w:spacing w:line="264" w:lineRule="auto"/>
        <w:rPr>
          <w:lang w:val="en-US"/>
        </w:rPr>
      </w:pPr>
    </w:p>
    <w:p w14:paraId="35B95C1E" w14:textId="2C20AA2A" w:rsidR="003761D8" w:rsidRDefault="003761D8" w:rsidP="003547B3">
      <w:pPr>
        <w:pStyle w:val="AIUKSmallSubtitle"/>
      </w:pPr>
      <w:r>
        <w:t>The UK Authorities should:</w:t>
      </w:r>
    </w:p>
    <w:p w14:paraId="326248A9" w14:textId="2C404127" w:rsidR="008A200B" w:rsidRPr="00EA77DB" w:rsidRDefault="008A200B" w:rsidP="003761D8">
      <w:pPr>
        <w:pStyle w:val="AIUKBulletpoint"/>
        <w:rPr>
          <w:sz w:val="22"/>
          <w:szCs w:val="22"/>
        </w:rPr>
      </w:pPr>
      <w:r w:rsidRPr="00EA77DB">
        <w:rPr>
          <w:sz w:val="22"/>
          <w:szCs w:val="22"/>
          <w:lang w:val="en-US"/>
        </w:rPr>
        <w:lastRenderedPageBreak/>
        <w:t>Repeal the Public Order Act 2023 and public-order-related measures in the PCSC</w:t>
      </w:r>
      <w:r w:rsidRPr="00EA77DB">
        <w:rPr>
          <w:sz w:val="22"/>
          <w:szCs w:val="22"/>
        </w:rPr>
        <w:t> </w:t>
      </w:r>
      <w:r w:rsidR="003547B3" w:rsidRPr="00EA77DB">
        <w:rPr>
          <w:sz w:val="22"/>
          <w:szCs w:val="22"/>
        </w:rPr>
        <w:t>Act 2022,</w:t>
      </w:r>
    </w:p>
    <w:p w14:paraId="27AC14C2" w14:textId="47B6B1DF" w:rsidR="008A200B" w:rsidRPr="00EA77DB" w:rsidRDefault="00920148" w:rsidP="003761D8">
      <w:pPr>
        <w:pStyle w:val="AIUKBulletpoint"/>
        <w:rPr>
          <w:sz w:val="22"/>
          <w:szCs w:val="22"/>
        </w:rPr>
      </w:pPr>
      <w:r w:rsidRPr="00EA77DB">
        <w:rPr>
          <w:sz w:val="22"/>
          <w:szCs w:val="22"/>
          <w:lang w:val="en-US"/>
        </w:rPr>
        <w:t>Repeal Sections of the Crime and Policing Act that introduce new offences of "Concealing Identity at Protests" and "Possession of Pyrotechnic Articles at Protests", and repeal sections that introduce police powers to impose restrictions on protests on grounds of "vicinity to places of worship" and potential "cumulative disruption"</w:t>
      </w:r>
      <w:r w:rsidR="003547B3" w:rsidRPr="00EA77DB">
        <w:rPr>
          <w:sz w:val="22"/>
          <w:szCs w:val="22"/>
          <w:lang w:val="en-US"/>
        </w:rPr>
        <w:t>,</w:t>
      </w:r>
    </w:p>
    <w:p w14:paraId="4BEA525F" w14:textId="608F211E" w:rsidR="00A95BE2" w:rsidRPr="00EA77DB" w:rsidRDefault="00A95BE2" w:rsidP="003761D8">
      <w:pPr>
        <w:pStyle w:val="AIUKBulletpoint"/>
        <w:rPr>
          <w:sz w:val="22"/>
          <w:szCs w:val="22"/>
        </w:rPr>
      </w:pPr>
      <w:r w:rsidRPr="00EA77DB">
        <w:rPr>
          <w:sz w:val="22"/>
          <w:szCs w:val="22"/>
          <w:lang w:val="en-US"/>
        </w:rPr>
        <w:t>Ensure all police forces have comprehensive training and guidance on protest rights and duty to facilitate peaceful protest</w:t>
      </w:r>
      <w:r w:rsidR="003547B3" w:rsidRPr="00EA77DB">
        <w:rPr>
          <w:sz w:val="22"/>
          <w:szCs w:val="22"/>
          <w:lang w:val="en-US"/>
        </w:rPr>
        <w:t>,</w:t>
      </w:r>
      <w:r w:rsidRPr="00EA77DB">
        <w:rPr>
          <w:sz w:val="22"/>
          <w:szCs w:val="22"/>
        </w:rPr>
        <w:t> </w:t>
      </w:r>
    </w:p>
    <w:p w14:paraId="2B9FDF01" w14:textId="33688606" w:rsidR="003761D8" w:rsidRPr="00EA77DB" w:rsidRDefault="00A95BE2" w:rsidP="003761D8">
      <w:pPr>
        <w:pStyle w:val="AIUKBulletpoint"/>
        <w:rPr>
          <w:sz w:val="22"/>
          <w:szCs w:val="22"/>
        </w:rPr>
      </w:pPr>
      <w:r w:rsidRPr="00EA77DB">
        <w:rPr>
          <w:sz w:val="22"/>
          <w:szCs w:val="22"/>
          <w:lang w:val="en-US"/>
        </w:rPr>
        <w:t>Not reach for counter-terror powers to suppress direct action protests.</w:t>
      </w:r>
      <w:r w:rsidRPr="00EA77DB">
        <w:rPr>
          <w:sz w:val="22"/>
          <w:szCs w:val="22"/>
        </w:rPr>
        <w:t> </w:t>
      </w:r>
    </w:p>
    <w:p w14:paraId="1A45B4A0" w14:textId="77777777" w:rsidR="00A95BE2" w:rsidRDefault="00A95BE2" w:rsidP="00A95BE2">
      <w:pPr>
        <w:pStyle w:val="AIUKBulletpoint"/>
        <w:numPr>
          <w:ilvl w:val="0"/>
          <w:numId w:val="0"/>
        </w:numPr>
      </w:pPr>
    </w:p>
    <w:p w14:paraId="30CF1533" w14:textId="72C2B6FC" w:rsidR="00A95BE2" w:rsidRDefault="00A95BE2" w:rsidP="003547B3">
      <w:pPr>
        <w:pStyle w:val="AIUKSmallSubtitle"/>
      </w:pPr>
      <w:r>
        <w:t>Amnesty International UK recommends the UK Authorities should:</w:t>
      </w:r>
    </w:p>
    <w:p w14:paraId="5D3C409A" w14:textId="6DF66DC9" w:rsidR="00A95BE2" w:rsidRPr="00EA77DB" w:rsidRDefault="00FC7F33" w:rsidP="00A95BE2">
      <w:pPr>
        <w:pStyle w:val="AIUKBulletpoint"/>
        <w:rPr>
          <w:sz w:val="22"/>
          <w:szCs w:val="22"/>
        </w:rPr>
      </w:pPr>
      <w:r w:rsidRPr="00EA77DB">
        <w:rPr>
          <w:sz w:val="22"/>
          <w:szCs w:val="22"/>
          <w:lang w:val="en-US"/>
        </w:rPr>
        <w:t>Drop the existing charges and to take no further action against protesters opposing the proscription of Palestine Action through the exercise of their rights to freedom of expression and peaceful assembly</w:t>
      </w:r>
      <w:r w:rsidR="003547B3" w:rsidRPr="00EA77DB">
        <w:rPr>
          <w:sz w:val="22"/>
          <w:szCs w:val="22"/>
          <w:lang w:val="en-US"/>
        </w:rPr>
        <w:t>,</w:t>
      </w:r>
    </w:p>
    <w:p w14:paraId="7B439DD1" w14:textId="0474437A" w:rsidR="00EB582D" w:rsidRPr="00EA77DB" w:rsidRDefault="00EB582D" w:rsidP="00A95BE2">
      <w:pPr>
        <w:pStyle w:val="AIUKBulletpoint"/>
        <w:rPr>
          <w:sz w:val="22"/>
          <w:szCs w:val="22"/>
        </w:rPr>
      </w:pPr>
      <w:r w:rsidRPr="00EA77DB">
        <w:rPr>
          <w:sz w:val="22"/>
          <w:szCs w:val="22"/>
          <w:lang w:val="en-US"/>
        </w:rPr>
        <w:t>Withdraw the proscription of Palestine Action.</w:t>
      </w:r>
      <w:r w:rsidRPr="00EA77DB">
        <w:rPr>
          <w:sz w:val="22"/>
          <w:szCs w:val="22"/>
        </w:rPr>
        <w:t> </w:t>
      </w:r>
    </w:p>
    <w:p w14:paraId="6C459A91" w14:textId="77777777" w:rsidR="00081B31" w:rsidRPr="00A95BE2" w:rsidRDefault="00081B31" w:rsidP="00081B31">
      <w:pPr>
        <w:pStyle w:val="AIUKBulletpoint"/>
        <w:numPr>
          <w:ilvl w:val="0"/>
          <w:numId w:val="0"/>
        </w:numPr>
      </w:pPr>
    </w:p>
    <w:p w14:paraId="51C12F6E" w14:textId="53EB1DDF" w:rsidR="00EB582D" w:rsidRPr="00055C06" w:rsidRDefault="00EB582D" w:rsidP="00EB582D">
      <w:pPr>
        <w:pStyle w:val="AIUKBody"/>
        <w:tabs>
          <w:tab w:val="left" w:pos="1190"/>
        </w:tabs>
        <w:sectPr w:rsidR="00EB582D" w:rsidRPr="00055C06" w:rsidSect="00EB582D">
          <w:type w:val="continuous"/>
          <w:pgSz w:w="11906" w:h="16838"/>
          <w:pgMar w:top="1588" w:right="1440" w:bottom="1588" w:left="1440" w:header="737" w:footer="737" w:gutter="0"/>
          <w:cols w:space="720"/>
          <w:docGrid w:linePitch="360"/>
        </w:sectPr>
      </w:pPr>
      <w:r>
        <w:rPr>
          <w:rFonts w:ascii="Amnesty Trade Gothic Cn" w:hAnsi="Amnesty Trade Gothic Cn"/>
          <w:b/>
          <w:bCs/>
          <w:sz w:val="44"/>
          <w:szCs w:val="44"/>
          <w:lang w:val="en-US"/>
        </w:rPr>
        <w:t>Counter-terrorism measures</w:t>
      </w:r>
      <w:r w:rsidRPr="00055C06">
        <w:rPr>
          <w:rFonts w:ascii="Amnesty Trade Gothic Cn" w:hAnsi="Amnesty Trade Gothic Cn"/>
          <w:b/>
          <w:bCs/>
          <w:sz w:val="44"/>
          <w:szCs w:val="44"/>
          <w:lang w:val="en-US"/>
        </w:rPr>
        <w:t>,</w:t>
      </w:r>
      <w:r>
        <w:rPr>
          <w:rFonts w:ascii="Amnesty Trade Gothic Cn" w:hAnsi="Amnesty Trade Gothic Cn"/>
          <w:b/>
          <w:bCs/>
          <w:sz w:val="44"/>
          <w:szCs w:val="44"/>
          <w:lang w:val="en-US"/>
        </w:rPr>
        <w:t xml:space="preserve"> </w:t>
      </w:r>
      <w:r w:rsidRPr="00055C06">
        <w:rPr>
          <w:rFonts w:ascii="Amnesty Trade Gothic Cn" w:hAnsi="Amnesty Trade Gothic Cn"/>
          <w:b/>
          <w:bCs/>
          <w:sz w:val="44"/>
          <w:szCs w:val="44"/>
          <w:lang w:val="en-US"/>
        </w:rPr>
        <w:t>Paragraphs 3</w:t>
      </w:r>
      <w:r>
        <w:rPr>
          <w:rFonts w:ascii="Amnesty Trade Gothic Cn" w:hAnsi="Amnesty Trade Gothic Cn"/>
          <w:b/>
          <w:bCs/>
          <w:sz w:val="44"/>
          <w:szCs w:val="44"/>
          <w:lang w:val="en-US"/>
        </w:rPr>
        <w:t>4</w:t>
      </w:r>
      <w:r w:rsidRPr="00055C06">
        <w:rPr>
          <w:rFonts w:ascii="Amnesty Trade Gothic Cn" w:hAnsi="Amnesty Trade Gothic Cn"/>
          <w:b/>
          <w:bCs/>
          <w:sz w:val="44"/>
          <w:szCs w:val="44"/>
          <w:lang w:val="en-US"/>
        </w:rPr>
        <w:t> </w:t>
      </w:r>
      <w:r w:rsidRPr="00055C06">
        <w:rPr>
          <w:rFonts w:ascii="Amnesty Trade Gothic Cn" w:hAnsi="Amnesty Trade Gothic Cn"/>
          <w:b/>
          <w:bCs/>
          <w:sz w:val="44"/>
          <w:szCs w:val="44"/>
        </w:rPr>
        <w:t> </w:t>
      </w:r>
    </w:p>
    <w:p w14:paraId="34A04045" w14:textId="31A88D43" w:rsidR="00FF0B3D" w:rsidRPr="00EA77DB" w:rsidRDefault="00D45A7E" w:rsidP="000B42A6">
      <w:pPr>
        <w:pStyle w:val="AIUKSmallSubtitle"/>
        <w:rPr>
          <w:rFonts w:ascii="Amnesty Trade Gothic" w:hAnsi="Amnesty Trade Gothic"/>
          <w:b w:val="0"/>
          <w:bCs w:val="0"/>
          <w:sz w:val="22"/>
          <w:szCs w:val="22"/>
        </w:rPr>
      </w:pPr>
      <w:r w:rsidRPr="00EA77DB">
        <w:rPr>
          <w:rFonts w:ascii="Amnesty Trade Gothic" w:hAnsi="Amnesty Trade Gothic"/>
          <w:b w:val="0"/>
          <w:bCs w:val="0"/>
          <w:sz w:val="22"/>
          <w:szCs w:val="22"/>
        </w:rPr>
        <w:t>In 2023, Amnesty International UK added to the growing calls of concern about the Prevent duty (also known as Prevent)  finding that Prevent violates several human rights, including the rights to freedom of expression; freedom of thought, conscience and religion; freedom of peaceful assembly; and critically, equality and non-discrimination – with Muslim communities and neurodiverse people disproportionally impacted.</w:t>
      </w:r>
      <w:r w:rsidR="00801062" w:rsidRPr="00EA77DB">
        <w:rPr>
          <w:rStyle w:val="FootnoteReference"/>
          <w:rFonts w:ascii="Amnesty Trade Gothic" w:hAnsi="Amnesty Trade Gothic"/>
          <w:b w:val="0"/>
          <w:bCs w:val="0"/>
          <w:sz w:val="22"/>
          <w:szCs w:val="22"/>
        </w:rPr>
        <w:footnoteReference w:id="16"/>
      </w:r>
    </w:p>
    <w:p w14:paraId="4478B18E" w14:textId="77777777" w:rsidR="00801062" w:rsidRDefault="00801062" w:rsidP="00801062">
      <w:pPr>
        <w:pStyle w:val="AIUKBody"/>
      </w:pPr>
    </w:p>
    <w:p w14:paraId="713E3B45" w14:textId="70301DB2" w:rsidR="00801062" w:rsidRPr="00EA77DB" w:rsidRDefault="00801062" w:rsidP="00801062">
      <w:pPr>
        <w:pStyle w:val="AIUKBody"/>
        <w:rPr>
          <w:sz w:val="22"/>
          <w:szCs w:val="22"/>
          <w:lang w:val="en-US"/>
        </w:rPr>
      </w:pPr>
      <w:r w:rsidRPr="00EA77DB">
        <w:rPr>
          <w:sz w:val="22"/>
          <w:szCs w:val="22"/>
          <w:lang w:val="en-US"/>
        </w:rPr>
        <w:t>Despite mounting evidence about its impact on human rights and on impacted communities, and even in the face of recommendations by the United Nations Committee on the Elimination of Racial Discrimination to suspend Prevent, the current government has accepted recommendations which widen its scope.</w:t>
      </w:r>
      <w:r w:rsidRPr="00EA77DB">
        <w:rPr>
          <w:rStyle w:val="FootnoteReference"/>
          <w:sz w:val="22"/>
          <w:szCs w:val="22"/>
          <w:lang w:val="en-US"/>
        </w:rPr>
        <w:footnoteReference w:id="17"/>
      </w:r>
      <w:r w:rsidRPr="00EA77DB">
        <w:rPr>
          <w:sz w:val="22"/>
          <w:szCs w:val="22"/>
          <w:lang w:val="en-US"/>
        </w:rPr>
        <w:t> Now, ’vulnerable‘ people and children will frequently be referred to Channel for further intervention.</w:t>
      </w:r>
      <w:r w:rsidR="00A17EC4" w:rsidRPr="00EA77DB">
        <w:rPr>
          <w:rStyle w:val="FootnoteReference"/>
          <w:sz w:val="22"/>
          <w:szCs w:val="22"/>
          <w:lang w:val="en-US"/>
        </w:rPr>
        <w:footnoteReference w:id="18"/>
      </w:r>
      <w:r w:rsidR="00A17EC4" w:rsidRPr="00EA77DB">
        <w:rPr>
          <w:sz w:val="22"/>
          <w:szCs w:val="22"/>
          <w:lang w:val="en-US"/>
        </w:rPr>
        <w:t xml:space="preserve"> </w:t>
      </w:r>
      <w:r w:rsidRPr="00EA77DB">
        <w:rPr>
          <w:sz w:val="22"/>
          <w:szCs w:val="22"/>
          <w:lang w:val="en-US"/>
        </w:rPr>
        <w:t>We are concerned that this indicates that the government is unwilling to hear from civil society groups monitoring this issue, or change policy based on available evidence of its harmful impact.</w:t>
      </w:r>
      <w:r w:rsidR="00A17EC4" w:rsidRPr="00EA77DB">
        <w:rPr>
          <w:rFonts w:ascii="Calibri" w:hAnsi="Calibri" w:cs="Calibri"/>
          <w:color w:val="000000"/>
          <w:sz w:val="20"/>
          <w:szCs w:val="20"/>
          <w:shd w:val="clear" w:color="auto" w:fill="FFFFFF"/>
          <w:lang w:val="en-US"/>
        </w:rPr>
        <w:t xml:space="preserve"> </w:t>
      </w:r>
      <w:r w:rsidR="00A17EC4" w:rsidRPr="00EA77DB">
        <w:rPr>
          <w:sz w:val="22"/>
          <w:szCs w:val="22"/>
          <w:lang w:val="en-US"/>
        </w:rPr>
        <w:t>Furthermore, a growing number of young people are impacted by Prevent referrals, particularly children who are referred by schools.</w:t>
      </w:r>
      <w:r w:rsidR="00434B0F" w:rsidRPr="00EA77DB">
        <w:rPr>
          <w:rStyle w:val="FootnoteReference"/>
          <w:sz w:val="22"/>
          <w:szCs w:val="22"/>
          <w:lang w:val="en-US"/>
        </w:rPr>
        <w:footnoteReference w:id="19"/>
      </w:r>
      <w:r w:rsidR="00A17EC4" w:rsidRPr="00EA77DB">
        <w:rPr>
          <w:sz w:val="22"/>
          <w:szCs w:val="22"/>
          <w:lang w:val="en-US"/>
        </w:rPr>
        <w:t> In the year to March 2025, more people than ever were referred to Prevent. The education sector is now the largest source of referrals and produced the single greatest number since statistics were first regularly published in 2015/2016.</w:t>
      </w:r>
      <w:r w:rsidR="00434B0F" w:rsidRPr="00EA77DB">
        <w:rPr>
          <w:rStyle w:val="FootnoteReference"/>
          <w:sz w:val="22"/>
          <w:szCs w:val="22"/>
          <w:lang w:val="en-US"/>
        </w:rPr>
        <w:footnoteReference w:id="20"/>
      </w:r>
    </w:p>
    <w:p w14:paraId="480E5F51" w14:textId="77777777" w:rsidR="00A17EC4" w:rsidRDefault="00A17EC4" w:rsidP="00801062">
      <w:pPr>
        <w:pStyle w:val="AIUKBody"/>
        <w:rPr>
          <w:lang w:val="en-US"/>
        </w:rPr>
      </w:pPr>
    </w:p>
    <w:p w14:paraId="3A411593" w14:textId="74B34DB8" w:rsidR="00A17EC4" w:rsidRPr="00EA77DB" w:rsidRDefault="00434B0F" w:rsidP="00801062">
      <w:pPr>
        <w:pStyle w:val="AIUKBody"/>
        <w:rPr>
          <w:sz w:val="22"/>
          <w:szCs w:val="22"/>
          <w:lang w:val="en-US"/>
        </w:rPr>
      </w:pPr>
      <w:r w:rsidRPr="00EA77DB">
        <w:rPr>
          <w:sz w:val="22"/>
          <w:szCs w:val="22"/>
          <w:lang w:val="en-US"/>
        </w:rPr>
        <w:t>As Amnesty International’s 2023 report highlighted, a person referred to Prevent – and their relatives – can experience life-changing impacts: a loss of trust in state institutions; stress, anxiety, and other mental health consequences; unmanageable financial costs associated with challenging referrals; and worries over their privacy and data protection. Poor transparency surrounding Prevent and barriers to redress compound these effects.</w:t>
      </w:r>
    </w:p>
    <w:p w14:paraId="5D7E8ACC" w14:textId="77777777" w:rsidR="00434B0F" w:rsidRDefault="00434B0F" w:rsidP="00801062">
      <w:pPr>
        <w:pStyle w:val="AIUKBody"/>
        <w:rPr>
          <w:lang w:val="en-US"/>
        </w:rPr>
      </w:pPr>
    </w:p>
    <w:p w14:paraId="4F3613DF" w14:textId="77777777" w:rsidR="00996B23" w:rsidRPr="00EA77DB" w:rsidRDefault="004E4CA3" w:rsidP="00F52B15">
      <w:pPr>
        <w:pStyle w:val="AIUKBody"/>
        <w:ind w:right="0"/>
        <w:rPr>
          <w:sz w:val="22"/>
          <w:szCs w:val="22"/>
          <w:lang w:val="en-US"/>
        </w:rPr>
      </w:pPr>
      <w:proofErr w:type="gramStart"/>
      <w:r w:rsidRPr="00EA77DB">
        <w:rPr>
          <w:sz w:val="22"/>
          <w:szCs w:val="22"/>
          <w:lang w:val="en-US"/>
        </w:rPr>
        <w:t>In light of</w:t>
      </w:r>
      <w:proofErr w:type="gramEnd"/>
      <w:r w:rsidRPr="00EA77DB">
        <w:rPr>
          <w:sz w:val="22"/>
          <w:szCs w:val="22"/>
          <w:lang w:val="en-US"/>
        </w:rPr>
        <w:t> horrific events like the Southport murders in 2024, the government has published a new strategy ‘Protecting What Matters’</w:t>
      </w:r>
      <w:r w:rsidRPr="00EA77DB">
        <w:rPr>
          <w:rStyle w:val="FootnoteReference"/>
          <w:sz w:val="22"/>
          <w:szCs w:val="22"/>
          <w:lang w:val="en-US"/>
        </w:rPr>
        <w:footnoteReference w:id="21"/>
      </w:r>
      <w:r w:rsidRPr="00EA77DB">
        <w:rPr>
          <w:sz w:val="22"/>
          <w:szCs w:val="22"/>
          <w:lang w:val="en-US"/>
        </w:rPr>
        <w:t> which claims that there is a need to strengthen and extend counter terrorism powers which risk violations of human rights. </w:t>
      </w:r>
    </w:p>
    <w:p w14:paraId="233F9F7E" w14:textId="77777777" w:rsidR="00996B23" w:rsidRDefault="00996B23" w:rsidP="00F52B15">
      <w:pPr>
        <w:pStyle w:val="AIUKBody"/>
        <w:ind w:right="0"/>
        <w:rPr>
          <w:lang w:val="en-US"/>
        </w:rPr>
      </w:pPr>
    </w:p>
    <w:p w14:paraId="01B173EB" w14:textId="0D178C02" w:rsidR="00996B23" w:rsidRPr="00EA77DB" w:rsidRDefault="004E4CA3" w:rsidP="00F52B15">
      <w:pPr>
        <w:pStyle w:val="AIUKBody"/>
        <w:ind w:right="0"/>
        <w:rPr>
          <w:sz w:val="22"/>
          <w:szCs w:val="22"/>
        </w:rPr>
      </w:pPr>
      <w:r w:rsidRPr="00EA77DB">
        <w:rPr>
          <w:sz w:val="22"/>
          <w:szCs w:val="22"/>
          <w:lang w:val="en-US"/>
        </w:rPr>
        <w:t>The adoption</w:t>
      </w:r>
      <w:r w:rsidR="00F52B15" w:rsidRPr="00EA77DB">
        <w:rPr>
          <w:sz w:val="22"/>
          <w:szCs w:val="22"/>
          <w:lang w:val="en-US"/>
        </w:rPr>
        <w:t xml:space="preserve"> </w:t>
      </w:r>
      <w:r w:rsidRPr="00EA77DB">
        <w:rPr>
          <w:sz w:val="22"/>
          <w:szCs w:val="22"/>
          <w:lang w:val="en-US"/>
        </w:rPr>
        <w:t>of the widely criticised definition of extremism</w:t>
      </w:r>
      <w:r w:rsidR="00355379" w:rsidRPr="00EA77DB">
        <w:rPr>
          <w:rStyle w:val="FootnoteReference"/>
          <w:sz w:val="22"/>
          <w:szCs w:val="22"/>
          <w:lang w:val="en-US"/>
        </w:rPr>
        <w:footnoteReference w:id="22"/>
      </w:r>
      <w:r w:rsidRPr="00EA77DB">
        <w:rPr>
          <w:sz w:val="22"/>
          <w:szCs w:val="22"/>
          <w:lang w:val="en-US"/>
        </w:rPr>
        <w:t>, published in 2024 as a part of this new strategy has also caused concern both amongst civil liberties campaigners and Muslim organisations who have raised concerns that it is over-broad and lacks appropriate safeguards.</w:t>
      </w:r>
      <w:r w:rsidR="00996B23" w:rsidRPr="00EA77DB">
        <w:rPr>
          <w:rStyle w:val="FootnoteReference"/>
          <w:sz w:val="22"/>
          <w:szCs w:val="22"/>
          <w:lang w:val="en-US"/>
        </w:rPr>
        <w:footnoteReference w:id="23"/>
      </w:r>
      <w:r w:rsidRPr="00EA77DB">
        <w:rPr>
          <w:sz w:val="22"/>
          <w:szCs w:val="22"/>
        </w:rPr>
        <w:t> </w:t>
      </w:r>
      <w:r w:rsidR="00B10B89" w:rsidRPr="00EA77DB">
        <w:rPr>
          <w:sz w:val="22"/>
          <w:szCs w:val="22"/>
        </w:rPr>
        <w:t>T</w:t>
      </w:r>
      <w:r w:rsidR="00996B23" w:rsidRPr="00EA77DB">
        <w:rPr>
          <w:sz w:val="22"/>
          <w:szCs w:val="22"/>
          <w:lang w:val="en-US"/>
        </w:rPr>
        <w:t>he adoption of this problematic definition comes amidst a backdrop of Islamophobia and often nefarious claims about Muslim criminality by the far right and </w:t>
      </w:r>
      <w:proofErr w:type="spellStart"/>
      <w:r w:rsidR="00996B23" w:rsidRPr="00EA77DB">
        <w:rPr>
          <w:sz w:val="22"/>
          <w:szCs w:val="22"/>
          <w:lang w:val="en-US"/>
        </w:rPr>
        <w:t>legitimised</w:t>
      </w:r>
      <w:proofErr w:type="spellEnd"/>
      <w:r w:rsidR="00996B23" w:rsidRPr="00EA77DB">
        <w:rPr>
          <w:sz w:val="22"/>
          <w:szCs w:val="22"/>
          <w:lang w:val="en-US"/>
        </w:rPr>
        <w:t> by mainstream politicians and media.</w:t>
      </w:r>
      <w:r w:rsidR="00B10B89" w:rsidRPr="00EA77DB">
        <w:rPr>
          <w:rStyle w:val="FootnoteReference"/>
          <w:sz w:val="22"/>
          <w:szCs w:val="22"/>
          <w:lang w:val="en-US"/>
        </w:rPr>
        <w:footnoteReference w:id="24"/>
      </w:r>
      <w:r w:rsidR="00996B23" w:rsidRPr="00EA77DB">
        <w:rPr>
          <w:sz w:val="22"/>
          <w:szCs w:val="22"/>
          <w:lang w:val="en-US"/>
        </w:rPr>
        <w:t> The strategy was also announced at the same time as the government’s new ‘anti-Muslim hostility’ definition, ostensibly designed to protect Muslim communities against Islamophobia. This definition has been criticised for failing to use the universally </w:t>
      </w:r>
      <w:proofErr w:type="spellStart"/>
      <w:r w:rsidR="00996B23" w:rsidRPr="00EA77DB">
        <w:rPr>
          <w:sz w:val="22"/>
          <w:szCs w:val="22"/>
          <w:lang w:val="en-US"/>
        </w:rPr>
        <w:t>recognised</w:t>
      </w:r>
      <w:proofErr w:type="spellEnd"/>
      <w:r w:rsidR="00996B23" w:rsidRPr="00EA77DB">
        <w:rPr>
          <w:sz w:val="22"/>
          <w:szCs w:val="22"/>
          <w:lang w:val="en-US"/>
        </w:rPr>
        <w:t> and well supported term of ‘Islamophobia’ or to make a clear explication of it as a form of racism</w:t>
      </w:r>
      <w:r w:rsidR="00926D29" w:rsidRPr="00EA77DB">
        <w:rPr>
          <w:rStyle w:val="FootnoteReference"/>
          <w:sz w:val="22"/>
          <w:szCs w:val="22"/>
          <w:lang w:val="en-US"/>
        </w:rPr>
        <w:footnoteReference w:id="25"/>
      </w:r>
      <w:r w:rsidR="00996B23" w:rsidRPr="00EA77DB">
        <w:rPr>
          <w:sz w:val="22"/>
          <w:szCs w:val="22"/>
          <w:lang w:val="en-US"/>
        </w:rPr>
        <w:t>, as advanced by long time campaigners such as the Runnymede Trust.</w:t>
      </w:r>
      <w:r w:rsidR="00C5711D" w:rsidRPr="00EA77DB">
        <w:rPr>
          <w:rStyle w:val="FootnoteReference"/>
          <w:sz w:val="22"/>
          <w:szCs w:val="22"/>
          <w:lang w:val="en-US"/>
        </w:rPr>
        <w:footnoteReference w:id="26"/>
      </w:r>
    </w:p>
    <w:p w14:paraId="3174EAF6" w14:textId="77777777" w:rsidR="00D45A7E" w:rsidRDefault="00D45A7E" w:rsidP="00D45A7E">
      <w:pPr>
        <w:pStyle w:val="AIUKBody"/>
      </w:pPr>
    </w:p>
    <w:p w14:paraId="0DD024D1" w14:textId="18730141" w:rsidR="00D45A7E" w:rsidRDefault="00700ED0" w:rsidP="003547B3">
      <w:pPr>
        <w:pStyle w:val="AIUKSmallSubtitle"/>
      </w:pPr>
      <w:bookmarkStart w:id="1" w:name="_Hlk229048481"/>
      <w:r>
        <w:t>The UK Authorities should:</w:t>
      </w:r>
    </w:p>
    <w:p w14:paraId="19260737" w14:textId="46D28F4E" w:rsidR="003D409E" w:rsidRPr="00EA77DB" w:rsidRDefault="003D409E" w:rsidP="00700ED0">
      <w:pPr>
        <w:pStyle w:val="AIUKBulletpoint"/>
        <w:rPr>
          <w:sz w:val="22"/>
          <w:szCs w:val="22"/>
        </w:rPr>
      </w:pPr>
      <w:bookmarkStart w:id="2" w:name="_Hlk229048505"/>
      <w:r w:rsidRPr="00EA77DB">
        <w:rPr>
          <w:sz w:val="22"/>
          <w:szCs w:val="22"/>
        </w:rPr>
        <w:t xml:space="preserve">Abolish </w:t>
      </w:r>
      <w:bookmarkEnd w:id="1"/>
      <w:r w:rsidRPr="00EA77DB">
        <w:rPr>
          <w:sz w:val="22"/>
          <w:szCs w:val="22"/>
        </w:rPr>
        <w:t>Prevent under Counterterrorism and Security Act 2015, supporting professionals to use ordinary safeguarding processes</w:t>
      </w:r>
      <w:r w:rsidR="00E647A0" w:rsidRPr="00EA77DB">
        <w:rPr>
          <w:sz w:val="22"/>
          <w:szCs w:val="22"/>
        </w:rPr>
        <w:t>,</w:t>
      </w:r>
    </w:p>
    <w:p w14:paraId="4C1D73A0" w14:textId="5522F2C1" w:rsidR="003D409E" w:rsidRPr="00EA77DB" w:rsidRDefault="003D409E" w:rsidP="00700ED0">
      <w:pPr>
        <w:pStyle w:val="AIUKBulletpoint"/>
        <w:rPr>
          <w:sz w:val="22"/>
          <w:szCs w:val="22"/>
        </w:rPr>
      </w:pPr>
      <w:r w:rsidRPr="00EA77DB">
        <w:rPr>
          <w:sz w:val="22"/>
          <w:szCs w:val="22"/>
        </w:rPr>
        <w:t>Withdraw the 2024 definition of ‘extremism’</w:t>
      </w:r>
      <w:r w:rsidR="00E647A0" w:rsidRPr="00EA77DB">
        <w:rPr>
          <w:sz w:val="22"/>
          <w:szCs w:val="22"/>
        </w:rPr>
        <w:t>,</w:t>
      </w:r>
    </w:p>
    <w:p w14:paraId="39B50F51" w14:textId="2DD94ABC" w:rsidR="0064752E" w:rsidRPr="00EA77DB" w:rsidRDefault="00C60049" w:rsidP="00D45A7E">
      <w:pPr>
        <w:pStyle w:val="AIUKBulletpoint"/>
        <w:rPr>
          <w:sz w:val="22"/>
          <w:szCs w:val="22"/>
        </w:rPr>
      </w:pPr>
      <w:r w:rsidRPr="00EA77DB">
        <w:rPr>
          <w:sz w:val="22"/>
          <w:szCs w:val="22"/>
          <w:lang w:val="en-US"/>
        </w:rPr>
        <w:t xml:space="preserve">In line with our previous submission the Government </w:t>
      </w:r>
      <w:r w:rsidR="00E647A0" w:rsidRPr="00EA77DB">
        <w:rPr>
          <w:sz w:val="22"/>
          <w:szCs w:val="22"/>
          <w:lang w:val="en-US"/>
        </w:rPr>
        <w:t xml:space="preserve">should </w:t>
      </w:r>
      <w:r w:rsidRPr="00EA77DB">
        <w:rPr>
          <w:sz w:val="22"/>
          <w:szCs w:val="22"/>
          <w:lang w:val="en-US"/>
        </w:rPr>
        <w:t>refrain from attempts to </w:t>
      </w:r>
      <w:proofErr w:type="spellStart"/>
      <w:r w:rsidRPr="00EA77DB">
        <w:rPr>
          <w:sz w:val="22"/>
          <w:szCs w:val="22"/>
          <w:lang w:val="en-US"/>
        </w:rPr>
        <w:t>delegitimise</w:t>
      </w:r>
      <w:proofErr w:type="spellEnd"/>
      <w:r w:rsidRPr="00EA77DB">
        <w:rPr>
          <w:sz w:val="22"/>
          <w:szCs w:val="22"/>
          <w:lang w:val="en-US"/>
        </w:rPr>
        <w:t> criticisms of Prevent by journalists, academics and CSOs, instead engaging meaningfully with issues raised</w:t>
      </w:r>
      <w:r w:rsidR="00E647A0" w:rsidRPr="00EA77DB">
        <w:rPr>
          <w:sz w:val="22"/>
          <w:szCs w:val="22"/>
          <w:lang w:val="en-US"/>
        </w:rPr>
        <w:t>,</w:t>
      </w:r>
      <w:r w:rsidRPr="00EA77DB">
        <w:rPr>
          <w:sz w:val="22"/>
          <w:szCs w:val="22"/>
        </w:rPr>
        <w:t> </w:t>
      </w:r>
    </w:p>
    <w:bookmarkEnd w:id="2"/>
    <w:p w14:paraId="5426A270" w14:textId="2094278B" w:rsidR="00700ED0" w:rsidRPr="00EA77DB" w:rsidRDefault="0064752E" w:rsidP="00D45A7E">
      <w:pPr>
        <w:pStyle w:val="AIUKBulletpoint"/>
        <w:rPr>
          <w:sz w:val="22"/>
          <w:szCs w:val="22"/>
        </w:rPr>
      </w:pPr>
      <w:r w:rsidRPr="00EA77DB">
        <w:rPr>
          <w:sz w:val="22"/>
          <w:szCs w:val="22"/>
          <w:lang w:val="en-US"/>
        </w:rPr>
        <w:t xml:space="preserve">refrain from associating non-violent groups and their </w:t>
      </w:r>
      <w:proofErr w:type="gramStart"/>
      <w:r w:rsidRPr="00EA77DB">
        <w:rPr>
          <w:sz w:val="22"/>
          <w:szCs w:val="22"/>
          <w:lang w:val="en-US"/>
        </w:rPr>
        <w:t>views (‘</w:t>
      </w:r>
      <w:proofErr w:type="gramEnd"/>
      <w:r w:rsidRPr="00EA77DB">
        <w:rPr>
          <w:sz w:val="22"/>
          <w:szCs w:val="22"/>
          <w:lang w:val="en-US"/>
        </w:rPr>
        <w:t>non-violent extremism’) with terrorism</w:t>
      </w:r>
      <w:r w:rsidR="005A7479" w:rsidRPr="00EA77DB">
        <w:rPr>
          <w:sz w:val="22"/>
          <w:szCs w:val="22"/>
          <w:lang w:val="en-US"/>
        </w:rPr>
        <w:t>,</w:t>
      </w:r>
    </w:p>
    <w:p w14:paraId="712D69CB" w14:textId="7F1785A9" w:rsidR="0064752E" w:rsidRPr="00EA77DB" w:rsidRDefault="0064752E" w:rsidP="00D45A7E">
      <w:pPr>
        <w:pStyle w:val="AIUKBulletpoint"/>
        <w:rPr>
          <w:sz w:val="22"/>
          <w:szCs w:val="22"/>
        </w:rPr>
      </w:pPr>
      <w:r w:rsidRPr="00EA77DB">
        <w:rPr>
          <w:sz w:val="22"/>
          <w:szCs w:val="22"/>
          <w:lang w:val="en-US"/>
        </w:rPr>
        <w:lastRenderedPageBreak/>
        <w:t>ensure victims of human rights violations under Prevent have access to effective remedy, including access to justice, compensation, rehabilitation, satisfaction and guarantees of non-repetition</w:t>
      </w:r>
      <w:r w:rsidR="005A7479" w:rsidRPr="00EA77DB">
        <w:rPr>
          <w:sz w:val="22"/>
          <w:szCs w:val="22"/>
        </w:rPr>
        <w:t>.</w:t>
      </w:r>
    </w:p>
    <w:p w14:paraId="5306489E" w14:textId="65B219B5" w:rsidR="0064752E" w:rsidRPr="00EA77DB" w:rsidRDefault="00632793" w:rsidP="00D45A7E">
      <w:pPr>
        <w:pStyle w:val="AIUKBulletpoint"/>
        <w:rPr>
          <w:sz w:val="22"/>
          <w:szCs w:val="22"/>
        </w:rPr>
      </w:pPr>
      <w:r w:rsidRPr="00EA77DB">
        <w:rPr>
          <w:sz w:val="22"/>
          <w:szCs w:val="22"/>
        </w:rPr>
        <w:t>If Prevent remains in operation:</w:t>
      </w:r>
    </w:p>
    <w:p w14:paraId="47175D8B" w14:textId="77777777" w:rsidR="00632793" w:rsidRPr="00EA77DB" w:rsidRDefault="00632793" w:rsidP="00632793">
      <w:pPr>
        <w:pStyle w:val="AIUKBulletpoint"/>
        <w:numPr>
          <w:ilvl w:val="1"/>
          <w:numId w:val="1"/>
        </w:numPr>
        <w:rPr>
          <w:rStyle w:val="normaltextrun"/>
          <w:sz w:val="20"/>
          <w:szCs w:val="20"/>
        </w:rPr>
      </w:pPr>
      <w:r w:rsidRPr="00EA77DB">
        <w:rPr>
          <w:rStyle w:val="normaltextrun"/>
          <w:rFonts w:cs="Segoe UI"/>
          <w:sz w:val="20"/>
          <w:szCs w:val="20"/>
          <w:lang w:val="en-US"/>
        </w:rPr>
        <w:t xml:space="preserve">provide an independent complaints mechanism for challenging referrals which includes, among potential outcomes, removing the referral from any </w:t>
      </w:r>
      <w:proofErr w:type="gramStart"/>
      <w:r w:rsidRPr="00EA77DB">
        <w:rPr>
          <w:rStyle w:val="normaltextrun"/>
          <w:rFonts w:cs="Segoe UI"/>
          <w:sz w:val="20"/>
          <w:szCs w:val="20"/>
          <w:lang w:val="en-US"/>
        </w:rPr>
        <w:t>databases</w:t>
      </w:r>
      <w:proofErr w:type="gramEnd"/>
    </w:p>
    <w:p w14:paraId="5738D479" w14:textId="67DDE7ED" w:rsidR="00632793" w:rsidRPr="00EA77DB" w:rsidRDefault="00632793" w:rsidP="00632793">
      <w:pPr>
        <w:pStyle w:val="AIUKBulletpoint"/>
        <w:numPr>
          <w:ilvl w:val="1"/>
          <w:numId w:val="1"/>
        </w:numPr>
        <w:rPr>
          <w:rStyle w:val="eop"/>
          <w:sz w:val="20"/>
          <w:szCs w:val="20"/>
        </w:rPr>
      </w:pPr>
      <w:r w:rsidRPr="00EA77DB">
        <w:rPr>
          <w:rStyle w:val="normaltextrun"/>
          <w:rFonts w:cs="Segoe UI"/>
          <w:sz w:val="20"/>
          <w:szCs w:val="20"/>
          <w:lang w:val="en-US"/>
        </w:rPr>
        <w:t xml:space="preserve">ensure any individual referred to Prevent (including individuals </w:t>
      </w:r>
      <w:proofErr w:type="gramStart"/>
      <w:r w:rsidRPr="00EA77DB">
        <w:rPr>
          <w:rStyle w:val="normaltextrun"/>
          <w:rFonts w:cs="Segoe UI"/>
          <w:sz w:val="20"/>
          <w:szCs w:val="20"/>
          <w:lang w:val="en-US"/>
        </w:rPr>
        <w:t>referred</w:t>
      </w:r>
      <w:proofErr w:type="gramEnd"/>
      <w:r w:rsidRPr="00EA77DB">
        <w:rPr>
          <w:rStyle w:val="normaltextrun"/>
          <w:rFonts w:cs="Segoe UI"/>
          <w:sz w:val="20"/>
          <w:szCs w:val="20"/>
          <w:lang w:val="en-US"/>
        </w:rPr>
        <w:t xml:space="preserve"> in the past) is informed in writing and provided with information about how to challenge their referral and have their data removed from any databases</w:t>
      </w:r>
      <w:r w:rsidRPr="00EA77DB">
        <w:rPr>
          <w:rStyle w:val="eop"/>
          <w:rFonts w:cs="Segoe UI"/>
          <w:sz w:val="20"/>
          <w:szCs w:val="20"/>
        </w:rPr>
        <w:t> </w:t>
      </w:r>
    </w:p>
    <w:p w14:paraId="1E4FF709" w14:textId="161DC0B7" w:rsidR="00632793" w:rsidRPr="00EA77DB" w:rsidRDefault="00632793" w:rsidP="00632793">
      <w:pPr>
        <w:pStyle w:val="AIUKBulletpoint"/>
        <w:numPr>
          <w:ilvl w:val="1"/>
          <w:numId w:val="1"/>
        </w:numPr>
        <w:rPr>
          <w:rStyle w:val="eop"/>
          <w:sz w:val="20"/>
          <w:szCs w:val="20"/>
        </w:rPr>
      </w:pPr>
      <w:r w:rsidRPr="00EA77DB">
        <w:rPr>
          <w:rStyle w:val="eop"/>
          <w:sz w:val="20"/>
          <w:szCs w:val="20"/>
        </w:rPr>
        <w:t xml:space="preserve">collect and publish data relating to Prevent’s operation, disaggregated by ethnicity and religion. </w:t>
      </w:r>
    </w:p>
    <w:p w14:paraId="36E8E075" w14:textId="77777777" w:rsidR="00745AE2" w:rsidRDefault="00745AE2" w:rsidP="00745AE2">
      <w:pPr>
        <w:pStyle w:val="AIUKBulletpoint"/>
        <w:numPr>
          <w:ilvl w:val="0"/>
          <w:numId w:val="0"/>
        </w:numPr>
        <w:rPr>
          <w:rStyle w:val="eop"/>
        </w:rPr>
      </w:pPr>
    </w:p>
    <w:p w14:paraId="43B48D4B" w14:textId="5F2C032A" w:rsidR="00745AE2" w:rsidRPr="00055C06" w:rsidRDefault="00745AE2" w:rsidP="00745AE2">
      <w:pPr>
        <w:pStyle w:val="AIUKBody"/>
        <w:tabs>
          <w:tab w:val="left" w:pos="1190"/>
        </w:tabs>
        <w:sectPr w:rsidR="00745AE2" w:rsidRPr="00055C06" w:rsidSect="00745AE2">
          <w:type w:val="continuous"/>
          <w:pgSz w:w="11906" w:h="16838"/>
          <w:pgMar w:top="1588" w:right="1440" w:bottom="1588" w:left="1440" w:header="737" w:footer="737" w:gutter="0"/>
          <w:cols w:space="720"/>
          <w:docGrid w:linePitch="360"/>
        </w:sectPr>
      </w:pPr>
      <w:r>
        <w:rPr>
          <w:rFonts w:ascii="Amnesty Trade Gothic Cn" w:hAnsi="Amnesty Trade Gothic Cn"/>
          <w:b/>
          <w:bCs/>
          <w:sz w:val="44"/>
          <w:szCs w:val="44"/>
          <w:lang w:val="en-US"/>
        </w:rPr>
        <w:t>Windrush Generation</w:t>
      </w:r>
      <w:r w:rsidRPr="00055C06">
        <w:rPr>
          <w:rFonts w:ascii="Amnesty Trade Gothic Cn" w:hAnsi="Amnesty Trade Gothic Cn"/>
          <w:b/>
          <w:bCs/>
          <w:sz w:val="44"/>
          <w:szCs w:val="44"/>
          <w:lang w:val="en-US"/>
        </w:rPr>
        <w:t>,</w:t>
      </w:r>
      <w:r>
        <w:rPr>
          <w:rFonts w:ascii="Amnesty Trade Gothic Cn" w:hAnsi="Amnesty Trade Gothic Cn"/>
          <w:b/>
          <w:bCs/>
          <w:sz w:val="44"/>
          <w:szCs w:val="44"/>
          <w:lang w:val="en-US"/>
        </w:rPr>
        <w:t xml:space="preserve"> </w:t>
      </w:r>
      <w:r w:rsidRPr="00055C06">
        <w:rPr>
          <w:rFonts w:ascii="Amnesty Trade Gothic Cn" w:hAnsi="Amnesty Trade Gothic Cn"/>
          <w:b/>
          <w:bCs/>
          <w:sz w:val="44"/>
          <w:szCs w:val="44"/>
          <w:lang w:val="en-US"/>
        </w:rPr>
        <w:t xml:space="preserve">Paragraphs </w:t>
      </w:r>
      <w:r>
        <w:rPr>
          <w:rFonts w:ascii="Amnesty Trade Gothic Cn" w:hAnsi="Amnesty Trade Gothic Cn"/>
          <w:b/>
          <w:bCs/>
          <w:sz w:val="44"/>
          <w:szCs w:val="44"/>
          <w:lang w:val="en-US"/>
        </w:rPr>
        <w:t>52</w:t>
      </w:r>
      <w:r w:rsidRPr="00055C06">
        <w:rPr>
          <w:rFonts w:ascii="Amnesty Trade Gothic Cn" w:hAnsi="Amnesty Trade Gothic Cn"/>
          <w:b/>
          <w:bCs/>
          <w:sz w:val="44"/>
          <w:szCs w:val="44"/>
          <w:lang w:val="en-US"/>
        </w:rPr>
        <w:t> </w:t>
      </w:r>
      <w:r w:rsidRPr="00055C06">
        <w:rPr>
          <w:rFonts w:ascii="Amnesty Trade Gothic Cn" w:hAnsi="Amnesty Trade Gothic Cn"/>
          <w:b/>
          <w:bCs/>
          <w:sz w:val="44"/>
          <w:szCs w:val="44"/>
        </w:rPr>
        <w:t> </w:t>
      </w:r>
    </w:p>
    <w:p w14:paraId="36C22976" w14:textId="40ABD49C" w:rsidR="00700ED0" w:rsidRPr="00EA77DB" w:rsidRDefault="00845243" w:rsidP="00845243">
      <w:pPr>
        <w:pStyle w:val="AIUKBulletpoint"/>
        <w:numPr>
          <w:ilvl w:val="0"/>
          <w:numId w:val="0"/>
        </w:numPr>
        <w:rPr>
          <w:sz w:val="22"/>
          <w:szCs w:val="22"/>
        </w:rPr>
      </w:pPr>
      <w:r w:rsidRPr="00EA77DB">
        <w:rPr>
          <w:sz w:val="22"/>
          <w:szCs w:val="22"/>
        </w:rPr>
        <w:t>We urge the Committee to revisit its important focus on the UK’s treatment of the Windrush generation and descendants. In doing so, it should consider both matters concerning the compensation of victims and matters concerning the lessons that should have been learned. </w:t>
      </w:r>
    </w:p>
    <w:p w14:paraId="27FC6620" w14:textId="77777777" w:rsidR="00845243" w:rsidRDefault="00845243" w:rsidP="00845243">
      <w:pPr>
        <w:pStyle w:val="AIUKBulletpoint"/>
        <w:numPr>
          <w:ilvl w:val="0"/>
          <w:numId w:val="0"/>
        </w:numPr>
      </w:pPr>
    </w:p>
    <w:p w14:paraId="60442A2B" w14:textId="7A7981CD" w:rsidR="00845243" w:rsidRPr="00EA77DB" w:rsidRDefault="00845243" w:rsidP="00845243">
      <w:pPr>
        <w:pStyle w:val="AIUKBulletpoint"/>
        <w:numPr>
          <w:ilvl w:val="0"/>
          <w:numId w:val="0"/>
        </w:numPr>
        <w:rPr>
          <w:sz w:val="22"/>
          <w:szCs w:val="22"/>
        </w:rPr>
      </w:pPr>
      <w:r w:rsidRPr="00EA77DB">
        <w:rPr>
          <w:sz w:val="22"/>
          <w:szCs w:val="22"/>
        </w:rPr>
        <w:t>As regards compensation, the government’s Windrush Compensation Scheme (WCS) remains fraught with delays. Campaigners have identified a failure, in comparison to other government compensation schemes, to demonstrate equity and a duty of care to victims.</w:t>
      </w:r>
      <w:r w:rsidR="007D645B" w:rsidRPr="00EA77DB">
        <w:rPr>
          <w:rStyle w:val="FootnoteReference"/>
          <w:sz w:val="22"/>
          <w:szCs w:val="22"/>
        </w:rPr>
        <w:footnoteReference w:id="27"/>
      </w:r>
      <w:r w:rsidRPr="00EA77DB">
        <w:rPr>
          <w:sz w:val="22"/>
          <w:szCs w:val="22"/>
        </w:rPr>
        <w:t> The WCS was established in April 2019. Claimants have met a high refusal rate, bureaucratic complexity, and patchy availability of legal assistance, all compounding the harms for which the WCS is intended to compensate.</w:t>
      </w:r>
      <w:r w:rsidR="007D645B" w:rsidRPr="00EA77DB">
        <w:rPr>
          <w:rStyle w:val="FootnoteReference"/>
          <w:sz w:val="22"/>
          <w:szCs w:val="22"/>
        </w:rPr>
        <w:footnoteReference w:id="28"/>
      </w:r>
      <w:r w:rsidRPr="00EA77DB">
        <w:rPr>
          <w:sz w:val="22"/>
          <w:szCs w:val="22"/>
        </w:rPr>
        <w:t> While some remedial actions have been taken since, including changes to allow advance payments and the appointment of an Independent Windrush Commissioner (“the commissioner”),</w:t>
      </w:r>
      <w:r w:rsidR="00065992" w:rsidRPr="00EA77DB">
        <w:rPr>
          <w:sz w:val="22"/>
          <w:szCs w:val="22"/>
        </w:rPr>
        <w:t xml:space="preserve"> </w:t>
      </w:r>
      <w:r w:rsidRPr="00EA77DB">
        <w:rPr>
          <w:sz w:val="22"/>
          <w:szCs w:val="22"/>
        </w:rPr>
        <w:t>the WCS continues to deny compensation or make low payments of compensation to many victims, as has been identified by the commissioner Reverend Clive Foster MBE</w:t>
      </w:r>
      <w:r w:rsidR="00065992" w:rsidRPr="00EA77DB">
        <w:rPr>
          <w:rStyle w:val="FootnoteReference"/>
          <w:sz w:val="22"/>
          <w:szCs w:val="22"/>
        </w:rPr>
        <w:footnoteReference w:id="29"/>
      </w:r>
      <w:r w:rsidRPr="00EA77DB">
        <w:rPr>
          <w:sz w:val="22"/>
          <w:szCs w:val="22"/>
        </w:rPr>
        <w:t> and the parliamentary ombudsman</w:t>
      </w:r>
      <w:r w:rsidR="00124F2B" w:rsidRPr="00EA77DB">
        <w:rPr>
          <w:sz w:val="22"/>
          <w:szCs w:val="22"/>
        </w:rPr>
        <w:t>.</w:t>
      </w:r>
      <w:r w:rsidR="00124F2B" w:rsidRPr="00EA77DB">
        <w:rPr>
          <w:rStyle w:val="FootnoteReference"/>
          <w:sz w:val="22"/>
          <w:szCs w:val="22"/>
        </w:rPr>
        <w:footnoteReference w:id="30"/>
      </w:r>
      <w:r w:rsidRPr="00EA77DB">
        <w:rPr>
          <w:sz w:val="22"/>
          <w:szCs w:val="22"/>
        </w:rPr>
        <w:t> </w:t>
      </w:r>
    </w:p>
    <w:p w14:paraId="6461576E" w14:textId="77777777" w:rsidR="003D5293" w:rsidRDefault="003D5293" w:rsidP="00845243">
      <w:pPr>
        <w:pStyle w:val="AIUKBulletpoint"/>
        <w:numPr>
          <w:ilvl w:val="0"/>
          <w:numId w:val="0"/>
        </w:numPr>
      </w:pPr>
    </w:p>
    <w:p w14:paraId="6847610E" w14:textId="3F7B43E2" w:rsidR="003D5293" w:rsidRPr="00EA77DB" w:rsidRDefault="003D5293" w:rsidP="00845243">
      <w:pPr>
        <w:pStyle w:val="AIUKBulletpoint"/>
        <w:numPr>
          <w:ilvl w:val="0"/>
          <w:numId w:val="0"/>
        </w:numPr>
        <w:rPr>
          <w:sz w:val="22"/>
          <w:szCs w:val="22"/>
        </w:rPr>
      </w:pPr>
      <w:r w:rsidRPr="00EA77DB">
        <w:rPr>
          <w:sz w:val="22"/>
          <w:szCs w:val="22"/>
        </w:rPr>
        <w:t>The National Audit Office, the UK’s public spending watchdog, found only a third of WCS claimants (3,418) received a payment, with 56% of claimants (5,203) receiving a nil award.</w:t>
      </w:r>
      <w:r w:rsidR="00FF7DBF" w:rsidRPr="00EA77DB">
        <w:rPr>
          <w:rStyle w:val="FootnoteReference"/>
          <w:sz w:val="22"/>
          <w:szCs w:val="22"/>
        </w:rPr>
        <w:footnoteReference w:id="31"/>
      </w:r>
      <w:r w:rsidRPr="00EA77DB">
        <w:rPr>
          <w:sz w:val="22"/>
          <w:szCs w:val="22"/>
        </w:rPr>
        <w:t xml:space="preserve"> Research has shown an average payment of £83,200 to legally represented claimants compared to £11,400 to claimants with no legal </w:t>
      </w:r>
      <w:r w:rsidRPr="00EA77DB">
        <w:rPr>
          <w:sz w:val="22"/>
          <w:szCs w:val="22"/>
        </w:rPr>
        <w:lastRenderedPageBreak/>
        <w:t>representation.</w:t>
      </w:r>
      <w:r w:rsidR="00FC0F6A" w:rsidRPr="00EA77DB">
        <w:rPr>
          <w:rStyle w:val="FootnoteReference"/>
          <w:sz w:val="22"/>
          <w:szCs w:val="22"/>
        </w:rPr>
        <w:footnoteReference w:id="32"/>
      </w:r>
      <w:r w:rsidRPr="00EA77DB">
        <w:rPr>
          <w:sz w:val="22"/>
          <w:szCs w:val="22"/>
        </w:rPr>
        <w:t> The WCS is the only major compensation scheme resulting from state injustice for which free legal representation is not provided. The commissioner has identified a need for funded legal assistance.</w:t>
      </w:r>
      <w:r w:rsidR="00E053BA" w:rsidRPr="00EA77DB">
        <w:rPr>
          <w:rStyle w:val="FootnoteReference"/>
          <w:sz w:val="22"/>
          <w:szCs w:val="22"/>
        </w:rPr>
        <w:footnoteReference w:id="33"/>
      </w:r>
      <w:r w:rsidRPr="00EA77DB">
        <w:rPr>
          <w:sz w:val="22"/>
          <w:szCs w:val="22"/>
        </w:rPr>
        <w:t> </w:t>
      </w:r>
    </w:p>
    <w:p w14:paraId="7C0AB581" w14:textId="77777777" w:rsidR="00F15402" w:rsidRPr="00EA77DB" w:rsidRDefault="00F15402" w:rsidP="00845243">
      <w:pPr>
        <w:pStyle w:val="AIUKBulletpoint"/>
        <w:numPr>
          <w:ilvl w:val="0"/>
          <w:numId w:val="0"/>
        </w:numPr>
        <w:rPr>
          <w:sz w:val="22"/>
          <w:szCs w:val="22"/>
        </w:rPr>
      </w:pPr>
    </w:p>
    <w:p w14:paraId="16CEFA72" w14:textId="120BC76D" w:rsidR="00F15402" w:rsidRPr="00EA77DB" w:rsidRDefault="00F15402" w:rsidP="00845243">
      <w:pPr>
        <w:pStyle w:val="AIUKBulletpoint"/>
        <w:numPr>
          <w:ilvl w:val="0"/>
          <w:numId w:val="0"/>
        </w:numPr>
        <w:rPr>
          <w:sz w:val="22"/>
          <w:szCs w:val="22"/>
        </w:rPr>
      </w:pPr>
      <w:r w:rsidRPr="00EA77DB">
        <w:rPr>
          <w:sz w:val="22"/>
          <w:szCs w:val="22"/>
        </w:rPr>
        <w:t>As regards lessons to be learnt, a key lesson concerns deprivation of citizenship. As identified in both our submission to the Home Office Windrush Lessons Learned Review</w:t>
      </w:r>
      <w:r w:rsidR="00DC1B22" w:rsidRPr="00EA77DB">
        <w:rPr>
          <w:rStyle w:val="FootnoteReference"/>
          <w:sz w:val="22"/>
          <w:szCs w:val="22"/>
        </w:rPr>
        <w:footnoteReference w:id="34"/>
      </w:r>
      <w:r w:rsidRPr="00EA77DB">
        <w:rPr>
          <w:sz w:val="22"/>
          <w:szCs w:val="22"/>
        </w:rPr>
        <w:t> and the independent report into the origins of the Windrush Scandal (“the scandal”) commissioned by the Home Office,</w:t>
      </w:r>
      <w:r w:rsidR="00106DC9" w:rsidRPr="00EA77DB">
        <w:rPr>
          <w:rStyle w:val="FootnoteReference"/>
          <w:sz w:val="22"/>
          <w:szCs w:val="22"/>
        </w:rPr>
        <w:footnoteReference w:id="35"/>
      </w:r>
      <w:r w:rsidRPr="00EA77DB">
        <w:rPr>
          <w:sz w:val="22"/>
          <w:szCs w:val="22"/>
        </w:rPr>
        <w:t> at the scandal’s heart was a systemic failure to respect rights to British citizenship. The occasion for that failure was a fundamental change in British nationality law on 1 January 1983,</w:t>
      </w:r>
      <w:r w:rsidR="001F7649" w:rsidRPr="00EA77DB">
        <w:rPr>
          <w:rStyle w:val="FootnoteReference"/>
          <w:sz w:val="22"/>
          <w:szCs w:val="22"/>
        </w:rPr>
        <w:footnoteReference w:id="36"/>
      </w:r>
      <w:r w:rsidRPr="00EA77DB">
        <w:rPr>
          <w:sz w:val="22"/>
          <w:szCs w:val="22"/>
        </w:rPr>
        <w:t> which included the creation of British citizenship and the ending of adherence to </w:t>
      </w:r>
      <w:r w:rsidRPr="00EA77DB">
        <w:rPr>
          <w:i/>
          <w:iCs/>
          <w:sz w:val="22"/>
          <w:szCs w:val="22"/>
        </w:rPr>
        <w:t>jus soli</w:t>
      </w:r>
      <w:r w:rsidRPr="00EA77DB">
        <w:rPr>
          <w:sz w:val="22"/>
          <w:szCs w:val="22"/>
        </w:rPr>
        <w:t>. </w:t>
      </w:r>
    </w:p>
    <w:p w14:paraId="6E9B3916" w14:textId="77777777" w:rsidR="001F7649" w:rsidRPr="00EA77DB" w:rsidRDefault="001F7649" w:rsidP="00845243">
      <w:pPr>
        <w:pStyle w:val="AIUKBulletpoint"/>
        <w:numPr>
          <w:ilvl w:val="0"/>
          <w:numId w:val="0"/>
        </w:numPr>
        <w:rPr>
          <w:sz w:val="22"/>
          <w:szCs w:val="22"/>
        </w:rPr>
      </w:pPr>
    </w:p>
    <w:p w14:paraId="4F62B932" w14:textId="3B649D22" w:rsidR="001F7649" w:rsidRPr="00EA77DB" w:rsidRDefault="001F7649" w:rsidP="00845243">
      <w:pPr>
        <w:pStyle w:val="AIUKBulletpoint"/>
        <w:numPr>
          <w:ilvl w:val="0"/>
          <w:numId w:val="0"/>
        </w:numPr>
        <w:rPr>
          <w:sz w:val="22"/>
          <w:szCs w:val="22"/>
        </w:rPr>
      </w:pPr>
      <w:r w:rsidRPr="00EA77DB">
        <w:rPr>
          <w:sz w:val="22"/>
          <w:szCs w:val="22"/>
        </w:rPr>
        <w:t xml:space="preserve">When these changes were made, the Windrush </w:t>
      </w:r>
      <w:proofErr w:type="spellStart"/>
      <w:r w:rsidRPr="00EA77DB">
        <w:rPr>
          <w:sz w:val="22"/>
          <w:szCs w:val="22"/>
        </w:rPr>
        <w:t>generation,their</w:t>
      </w:r>
      <w:proofErr w:type="spellEnd"/>
      <w:r w:rsidRPr="00EA77DB">
        <w:rPr>
          <w:sz w:val="22"/>
          <w:szCs w:val="22"/>
        </w:rPr>
        <w:t> descendants and hundreds of thousands of other people among future generations born in the UK were nonetheless to remain recognised as belonging to the UK for the purposes of British citizenship by a system of registration of nationality by entitlement.</w:t>
      </w:r>
      <w:r w:rsidR="00094D3E" w:rsidRPr="00EA77DB">
        <w:rPr>
          <w:rStyle w:val="FootnoteReference"/>
          <w:sz w:val="22"/>
          <w:szCs w:val="22"/>
        </w:rPr>
        <w:footnoteReference w:id="37"/>
      </w:r>
      <w:r w:rsidR="00094D3E" w:rsidRPr="00EA77DB">
        <w:rPr>
          <w:sz w:val="22"/>
          <w:szCs w:val="22"/>
        </w:rPr>
        <w:t xml:space="preserve"> </w:t>
      </w:r>
      <w:r w:rsidRPr="00EA77DB">
        <w:rPr>
          <w:sz w:val="22"/>
          <w:szCs w:val="22"/>
        </w:rPr>
        <w:t>As mentioned in our previous submission, the scandal’s immediate cause was a failure to ensure people were informed, encouraged and enabled to become registered – exacerbated, as recorded by Wendy Williams in her </w:t>
      </w:r>
      <w:r w:rsidRPr="00EA77DB">
        <w:rPr>
          <w:i/>
          <w:iCs/>
          <w:sz w:val="22"/>
          <w:szCs w:val="22"/>
        </w:rPr>
        <w:t>Windrush Lessons Learned </w:t>
      </w:r>
      <w:r w:rsidRPr="00EA77DB">
        <w:rPr>
          <w:sz w:val="22"/>
          <w:szCs w:val="22"/>
        </w:rPr>
        <w:t>report, by the Home Office disseminating information expressly discouraging people from getting registered (people who thereafter became at general risk of the UK’s immigration laws by reason of remaining without the UK’s then new citizenship)</w:t>
      </w:r>
      <w:r w:rsidR="003D541F" w:rsidRPr="00EA77DB">
        <w:rPr>
          <w:sz w:val="22"/>
          <w:szCs w:val="22"/>
        </w:rPr>
        <w:t>.</w:t>
      </w:r>
      <w:r w:rsidR="003D541F" w:rsidRPr="00EA77DB">
        <w:rPr>
          <w:rStyle w:val="FootnoteReference"/>
          <w:sz w:val="22"/>
          <w:szCs w:val="22"/>
        </w:rPr>
        <w:footnoteReference w:id="38"/>
      </w:r>
    </w:p>
    <w:p w14:paraId="4A73587D" w14:textId="77777777" w:rsidR="001D5033" w:rsidRDefault="001D5033" w:rsidP="00845243">
      <w:pPr>
        <w:pStyle w:val="AIUKBulletpoint"/>
        <w:numPr>
          <w:ilvl w:val="0"/>
          <w:numId w:val="0"/>
        </w:numPr>
      </w:pPr>
    </w:p>
    <w:p w14:paraId="6B9A11E2" w14:textId="618D9436" w:rsidR="001D5033" w:rsidRPr="00EA77DB" w:rsidRDefault="001D5033" w:rsidP="00845243">
      <w:pPr>
        <w:pStyle w:val="AIUKBulletpoint"/>
        <w:numPr>
          <w:ilvl w:val="0"/>
          <w:numId w:val="0"/>
        </w:numPr>
        <w:rPr>
          <w:sz w:val="22"/>
          <w:szCs w:val="22"/>
        </w:rPr>
      </w:pPr>
      <w:r w:rsidRPr="00EA77DB">
        <w:rPr>
          <w:sz w:val="22"/>
          <w:szCs w:val="22"/>
        </w:rPr>
        <w:t>Our previous submission noted how this failure to promote and respect rights to British citizenship by registration remains and disproportionately affects people of colour. British citizenship is acquired by right in one of two ways. For the majority of people of the UK, it is acquired automatically either on 1 January 1983 or subsequently at birth or on adoption.</w:t>
      </w:r>
      <w:r w:rsidRPr="00EA77DB">
        <w:rPr>
          <w:rStyle w:val="FootnoteReference"/>
          <w:sz w:val="22"/>
          <w:szCs w:val="22"/>
        </w:rPr>
        <w:footnoteReference w:id="39"/>
      </w:r>
      <w:r w:rsidRPr="00EA77DB">
        <w:rPr>
          <w:sz w:val="22"/>
          <w:szCs w:val="22"/>
        </w:rPr>
        <w:t> For a minority of such people, disproportionately people of colour, its acquisition requires the formality of registration (expressly identified in the British Nationality Act 1981 as their entitlement).</w:t>
      </w:r>
      <w:r w:rsidR="0091301D" w:rsidRPr="00EA77DB">
        <w:rPr>
          <w:rStyle w:val="FootnoteReference"/>
          <w:sz w:val="22"/>
          <w:szCs w:val="22"/>
        </w:rPr>
        <w:footnoteReference w:id="40"/>
      </w:r>
      <w:r w:rsidRPr="00EA77DB">
        <w:rPr>
          <w:sz w:val="22"/>
          <w:szCs w:val="22"/>
        </w:rPr>
        <w:t xml:space="preserve"> Various developments of law, policy and practice, emanating from the Home Office since 1 January 1983, coupled with a general failure to give publicity to the need for and importance of registration (including for thousands of children born in the UK), cause people to grow up without British </w:t>
      </w:r>
      <w:r w:rsidRPr="00EA77DB">
        <w:rPr>
          <w:sz w:val="22"/>
          <w:szCs w:val="22"/>
        </w:rPr>
        <w:lastRenderedPageBreak/>
        <w:t>citizenship – notwithstanding they may neither know nor have ever visited any other place.</w:t>
      </w:r>
      <w:r w:rsidR="0091301D" w:rsidRPr="00EA77DB">
        <w:rPr>
          <w:rStyle w:val="FootnoteReference"/>
          <w:sz w:val="22"/>
          <w:szCs w:val="22"/>
        </w:rPr>
        <w:footnoteReference w:id="41"/>
      </w:r>
    </w:p>
    <w:p w14:paraId="33F52685" w14:textId="77777777" w:rsidR="001D5033" w:rsidRPr="00EA77DB" w:rsidRDefault="001D5033" w:rsidP="00845243">
      <w:pPr>
        <w:pStyle w:val="AIUKBulletpoint"/>
        <w:numPr>
          <w:ilvl w:val="0"/>
          <w:numId w:val="0"/>
        </w:numPr>
        <w:rPr>
          <w:sz w:val="22"/>
          <w:szCs w:val="22"/>
        </w:rPr>
      </w:pPr>
    </w:p>
    <w:p w14:paraId="19E700E1" w14:textId="4347E116" w:rsidR="00C33472" w:rsidRPr="00EA77DB" w:rsidRDefault="00C33472" w:rsidP="00845243">
      <w:pPr>
        <w:pStyle w:val="AIUKBulletpoint"/>
        <w:numPr>
          <w:ilvl w:val="0"/>
          <w:numId w:val="0"/>
        </w:numPr>
        <w:rPr>
          <w:sz w:val="22"/>
          <w:szCs w:val="22"/>
          <w:lang w:val="en-US"/>
        </w:rPr>
      </w:pPr>
      <w:r w:rsidRPr="00EA77DB">
        <w:rPr>
          <w:sz w:val="22"/>
          <w:szCs w:val="22"/>
        </w:rPr>
        <w:t>The extent of this deprivation is unknown, but we are aware of people in their 40s now living in the UK without British citizenship notwithstanding their having been born in the UK, lived here their entire lives, and been entitled to that citizenship since no later than their tenth birthday (in some instances much earlier). Just like the Windrush generation, these people are formally subject to UK immigration law, and in some instances are without rights to work, study, receive social assistance and at risk of detention and deportation. The people affected are disproportionately people of colour. Current </w:t>
      </w:r>
      <w:r w:rsidRPr="00EA77DB">
        <w:rPr>
          <w:sz w:val="22"/>
          <w:szCs w:val="22"/>
          <w:lang w:val="en-US"/>
        </w:rPr>
        <w:t>government policy proposals</w:t>
      </w:r>
      <w:r w:rsidR="00C34460" w:rsidRPr="00EA77DB">
        <w:rPr>
          <w:rFonts w:cs="Amnesty Trade Gothic"/>
          <w:sz w:val="22"/>
          <w:szCs w:val="22"/>
        </w:rPr>
        <w:t xml:space="preserve"> </w:t>
      </w:r>
      <w:r w:rsidRPr="00EA77DB">
        <w:rPr>
          <w:sz w:val="22"/>
          <w:szCs w:val="22"/>
        </w:rPr>
        <w:t>threaten</w:t>
      </w:r>
      <w:r w:rsidR="00C34460" w:rsidRPr="00EA77DB">
        <w:rPr>
          <w:sz w:val="22"/>
          <w:szCs w:val="22"/>
        </w:rPr>
        <w:t xml:space="preserve"> to </w:t>
      </w:r>
      <w:r w:rsidRPr="00EA77DB">
        <w:rPr>
          <w:sz w:val="22"/>
          <w:szCs w:val="22"/>
        </w:rPr>
        <w:t>worsen</w:t>
      </w:r>
      <w:r w:rsidR="00C34460" w:rsidRPr="00EA77DB">
        <w:rPr>
          <w:sz w:val="22"/>
          <w:szCs w:val="22"/>
        </w:rPr>
        <w:t xml:space="preserve"> </w:t>
      </w:r>
      <w:r w:rsidRPr="00EA77DB">
        <w:rPr>
          <w:sz w:val="22"/>
          <w:szCs w:val="22"/>
        </w:rPr>
        <w:t>the current problem, again with disproportionate racial impact</w:t>
      </w:r>
      <w:r w:rsidRPr="00EA77DB">
        <w:rPr>
          <w:sz w:val="22"/>
          <w:szCs w:val="22"/>
          <w:lang w:val="en-US"/>
        </w:rPr>
        <w:t>.</w:t>
      </w:r>
      <w:r w:rsidR="00C34460" w:rsidRPr="00EA77DB">
        <w:rPr>
          <w:rStyle w:val="FootnoteReference"/>
          <w:sz w:val="22"/>
          <w:szCs w:val="22"/>
          <w:lang w:val="en-US"/>
        </w:rPr>
        <w:footnoteReference w:id="42"/>
      </w:r>
    </w:p>
    <w:p w14:paraId="50D331EC" w14:textId="77777777" w:rsidR="00EA77DB" w:rsidRDefault="00EA77DB" w:rsidP="00845243">
      <w:pPr>
        <w:pStyle w:val="AIUKBulletpoint"/>
        <w:numPr>
          <w:ilvl w:val="0"/>
          <w:numId w:val="0"/>
        </w:numPr>
        <w:rPr>
          <w:lang w:val="en-US"/>
        </w:rPr>
      </w:pPr>
    </w:p>
    <w:p w14:paraId="3A51470D" w14:textId="0EC785CF" w:rsidR="00CF71A7" w:rsidRPr="00EA77DB" w:rsidRDefault="00CF71A7" w:rsidP="00845243">
      <w:pPr>
        <w:pStyle w:val="AIUKBulletpoint"/>
        <w:numPr>
          <w:ilvl w:val="0"/>
          <w:numId w:val="0"/>
        </w:numPr>
        <w:rPr>
          <w:sz w:val="22"/>
          <w:szCs w:val="22"/>
        </w:rPr>
      </w:pPr>
      <w:r w:rsidRPr="00EA77DB">
        <w:rPr>
          <w:sz w:val="22"/>
          <w:szCs w:val="22"/>
        </w:rPr>
        <w:t>Deprivation of nationality – whether before acquisition or post-acquisition – is profoundly alienating. It separates between those people who are fully entitled to belong and participate under the nation’s laws and customs and those who are not. If arbitrary, it contravenes the Convention.</w:t>
      </w:r>
      <w:r w:rsidRPr="00EA77DB">
        <w:rPr>
          <w:rStyle w:val="FootnoteReference"/>
          <w:sz w:val="22"/>
          <w:szCs w:val="22"/>
        </w:rPr>
        <w:footnoteReference w:id="43"/>
      </w:r>
      <w:r w:rsidRPr="00EA77DB">
        <w:rPr>
          <w:sz w:val="22"/>
          <w:szCs w:val="22"/>
        </w:rPr>
        <w:t> When those who are among a nation’s people under the nationality laws it has adopted are instead treated as non-citizens, they are made illegitimately subjected to a profound disadvantage. That was precisely the case of the scandal and remains the case in ways that show the most profound lesson from it is neither learned nor being addressed. The “</w:t>
      </w:r>
      <w:r w:rsidRPr="00EA77DB">
        <w:rPr>
          <w:i/>
          <w:iCs/>
          <w:sz w:val="22"/>
          <w:szCs w:val="22"/>
        </w:rPr>
        <w:t>othering</w:t>
      </w:r>
      <w:r w:rsidRPr="00EA77DB">
        <w:rPr>
          <w:sz w:val="22"/>
          <w:szCs w:val="22"/>
        </w:rPr>
        <w:t>” of members of the community in this way has been expressly recognised by the Committee in its recommendations on eliminating xenophobia when considering persons wrongly “</w:t>
      </w:r>
      <w:r w:rsidRPr="00EA77DB">
        <w:rPr>
          <w:i/>
          <w:iCs/>
          <w:sz w:val="22"/>
          <w:szCs w:val="22"/>
        </w:rPr>
        <w:t>perceived as</w:t>
      </w:r>
      <w:r w:rsidRPr="00EA77DB">
        <w:rPr>
          <w:sz w:val="22"/>
          <w:szCs w:val="22"/>
        </w:rPr>
        <w:t>” migrant</w:t>
      </w:r>
      <w:r w:rsidR="006A336F" w:rsidRPr="00EA77DB">
        <w:rPr>
          <w:sz w:val="22"/>
          <w:szCs w:val="22"/>
        </w:rPr>
        <w:t>.</w:t>
      </w:r>
      <w:r w:rsidR="006A336F" w:rsidRPr="00EA77DB">
        <w:rPr>
          <w:rStyle w:val="FootnoteReference"/>
          <w:sz w:val="22"/>
          <w:szCs w:val="22"/>
        </w:rPr>
        <w:footnoteReference w:id="44"/>
      </w:r>
      <w:r w:rsidRPr="00EA77DB">
        <w:rPr>
          <w:sz w:val="22"/>
          <w:szCs w:val="22"/>
        </w:rPr>
        <w:t> </w:t>
      </w:r>
    </w:p>
    <w:p w14:paraId="26EB6724" w14:textId="77777777" w:rsidR="006A336F" w:rsidRDefault="006A336F" w:rsidP="00845243">
      <w:pPr>
        <w:pStyle w:val="AIUKBulletpoint"/>
        <w:numPr>
          <w:ilvl w:val="0"/>
          <w:numId w:val="0"/>
        </w:numPr>
      </w:pPr>
    </w:p>
    <w:p w14:paraId="55657643" w14:textId="5E5EDC2B" w:rsidR="006A336F" w:rsidRPr="00651EF4" w:rsidRDefault="00A74597" w:rsidP="00845243">
      <w:pPr>
        <w:pStyle w:val="AIUKBulletpoint"/>
        <w:numPr>
          <w:ilvl w:val="0"/>
          <w:numId w:val="0"/>
        </w:numPr>
        <w:rPr>
          <w:sz w:val="22"/>
          <w:szCs w:val="22"/>
        </w:rPr>
      </w:pPr>
      <w:r w:rsidRPr="00651EF4">
        <w:rPr>
          <w:sz w:val="22"/>
          <w:szCs w:val="22"/>
        </w:rPr>
        <w:t>We also note the disproportionate impact of post-acquisition deprivation – commonly known as “citizenship stripping”. The law permitting the Home Secretary to strip people of their British citizenship on the basis that is “</w:t>
      </w:r>
      <w:r w:rsidRPr="00651EF4">
        <w:rPr>
          <w:i/>
          <w:iCs/>
          <w:sz w:val="22"/>
          <w:szCs w:val="22"/>
        </w:rPr>
        <w:t>conducive to the public good</w:t>
      </w:r>
      <w:r w:rsidRPr="00651EF4">
        <w:rPr>
          <w:sz w:val="22"/>
          <w:szCs w:val="22"/>
        </w:rPr>
        <w:t>” has been significantly expanded since 2002.</w:t>
      </w:r>
      <w:r w:rsidRPr="00651EF4">
        <w:rPr>
          <w:rStyle w:val="FootnoteReference"/>
          <w:sz w:val="22"/>
          <w:szCs w:val="22"/>
        </w:rPr>
        <w:footnoteReference w:id="45"/>
      </w:r>
      <w:r w:rsidRPr="00651EF4">
        <w:rPr>
          <w:sz w:val="22"/>
          <w:szCs w:val="22"/>
        </w:rPr>
        <w:t> The use of this power has also grown significantly, with the great majority of people stripped of citizenship on these grounds being Muslim people with South Asian, Middle Eastern or North African heritage.</w:t>
      </w:r>
      <w:r w:rsidR="00406F43" w:rsidRPr="00651EF4">
        <w:rPr>
          <w:rStyle w:val="FootnoteReference"/>
          <w:sz w:val="22"/>
          <w:szCs w:val="22"/>
        </w:rPr>
        <w:footnoteReference w:id="46"/>
      </w:r>
      <w:r w:rsidRPr="00651EF4">
        <w:rPr>
          <w:sz w:val="22"/>
          <w:szCs w:val="22"/>
        </w:rPr>
        <w:t xml:space="preserve"> In the UK, these powers cannot be used save where someone is or is said to be a dual national or, in </w:t>
      </w:r>
      <w:r w:rsidRPr="00651EF4">
        <w:rPr>
          <w:sz w:val="22"/>
          <w:szCs w:val="22"/>
        </w:rPr>
        <w:lastRenderedPageBreak/>
        <w:t>some further cases, is a migrant who has been naturalised. People of colour are disproportionately liable to these powers. Analysis indicates that around 3 in 5 British citizens of colour are impacted compared to only 1 in 20 white British citizens</w:t>
      </w:r>
      <w:r w:rsidR="00406F43" w:rsidRPr="00651EF4">
        <w:rPr>
          <w:sz w:val="22"/>
          <w:szCs w:val="22"/>
        </w:rPr>
        <w:t>.</w:t>
      </w:r>
      <w:r w:rsidR="00406F43" w:rsidRPr="00651EF4">
        <w:rPr>
          <w:rStyle w:val="FootnoteReference"/>
          <w:sz w:val="22"/>
          <w:szCs w:val="22"/>
        </w:rPr>
        <w:footnoteReference w:id="47"/>
      </w:r>
      <w:r w:rsidRPr="00651EF4">
        <w:rPr>
          <w:sz w:val="22"/>
          <w:szCs w:val="22"/>
        </w:rPr>
        <w:t> The extent of the use of these powers raises concerns within the scope of the Convention.  </w:t>
      </w:r>
    </w:p>
    <w:p w14:paraId="5DB571A6" w14:textId="77777777" w:rsidR="005A7479" w:rsidRDefault="005A7479" w:rsidP="00845243">
      <w:pPr>
        <w:pStyle w:val="AIUKBulletpoint"/>
        <w:numPr>
          <w:ilvl w:val="0"/>
          <w:numId w:val="0"/>
        </w:numPr>
      </w:pPr>
    </w:p>
    <w:p w14:paraId="3AA6E0DE" w14:textId="77777777" w:rsidR="005A7479" w:rsidRDefault="005A7479" w:rsidP="005A7479">
      <w:pPr>
        <w:pStyle w:val="AIUKSmallSubtitle"/>
      </w:pPr>
      <w:r>
        <w:t>The UK Authorities should:</w:t>
      </w:r>
    </w:p>
    <w:p w14:paraId="261F98FB" w14:textId="3A3E42E2" w:rsidR="005A7479" w:rsidRPr="00651EF4" w:rsidRDefault="00F4251A" w:rsidP="005A7479">
      <w:pPr>
        <w:pStyle w:val="AIUKBulletpoint"/>
        <w:ind w:left="720"/>
        <w:rPr>
          <w:sz w:val="22"/>
          <w:szCs w:val="22"/>
        </w:rPr>
      </w:pPr>
      <w:r w:rsidRPr="00651EF4">
        <w:rPr>
          <w:sz w:val="22"/>
          <w:szCs w:val="22"/>
        </w:rPr>
        <w:t>Actively raise awareness and encourage action to register citizenship of children born and growing up in the UK,</w:t>
      </w:r>
    </w:p>
    <w:p w14:paraId="56DB9FA8" w14:textId="34D8FB49" w:rsidR="00F4251A" w:rsidRPr="00651EF4" w:rsidRDefault="00F4251A" w:rsidP="005A7479">
      <w:pPr>
        <w:pStyle w:val="AIUKBulletpoint"/>
        <w:ind w:left="720"/>
        <w:rPr>
          <w:sz w:val="22"/>
          <w:szCs w:val="22"/>
        </w:rPr>
      </w:pPr>
      <w:r w:rsidRPr="00651EF4">
        <w:rPr>
          <w:sz w:val="22"/>
          <w:szCs w:val="22"/>
        </w:rPr>
        <w:t>Extend the fee exemption for registration of citizenship that is available for children in care to young adult care leavers who continue to be supported by a local authority (to ensure the fee is not a barrier to registration for young adults who should have been but were not assisted to be registered before adulthood),</w:t>
      </w:r>
    </w:p>
    <w:p w14:paraId="6CA9AFA6" w14:textId="0977D560" w:rsidR="00F4251A" w:rsidRPr="00651EF4" w:rsidRDefault="008515AD" w:rsidP="005A7479">
      <w:pPr>
        <w:pStyle w:val="AIUKBulletpoint"/>
        <w:ind w:left="720"/>
        <w:rPr>
          <w:sz w:val="22"/>
          <w:szCs w:val="22"/>
        </w:rPr>
      </w:pPr>
      <w:r w:rsidRPr="00651EF4">
        <w:rPr>
          <w:sz w:val="22"/>
          <w:szCs w:val="22"/>
        </w:rPr>
        <w:t>Extend the fee waiver for registration of citizenship that is available to children who cannot afford the fee to all people who cannot afford it,</w:t>
      </w:r>
    </w:p>
    <w:p w14:paraId="49A99F18" w14:textId="680F7712" w:rsidR="008515AD" w:rsidRPr="00651EF4" w:rsidRDefault="005E2409" w:rsidP="005A7479">
      <w:pPr>
        <w:pStyle w:val="AIUKBulletpoint"/>
        <w:ind w:left="720"/>
        <w:rPr>
          <w:sz w:val="22"/>
          <w:szCs w:val="22"/>
        </w:rPr>
      </w:pPr>
      <w:r w:rsidRPr="00651EF4">
        <w:rPr>
          <w:sz w:val="22"/>
          <w:szCs w:val="22"/>
        </w:rPr>
        <w:t>Cease charging fees above administrative cost for registration of citizenship,</w:t>
      </w:r>
    </w:p>
    <w:p w14:paraId="2AC73507" w14:textId="6A4E0AF1" w:rsidR="005E2409" w:rsidRPr="00651EF4" w:rsidRDefault="005E2409" w:rsidP="005A7479">
      <w:pPr>
        <w:pStyle w:val="AIUKBulletpoint"/>
        <w:ind w:left="720"/>
        <w:rPr>
          <w:sz w:val="22"/>
          <w:szCs w:val="22"/>
        </w:rPr>
      </w:pPr>
      <w:r w:rsidRPr="00651EF4">
        <w:rPr>
          <w:sz w:val="22"/>
          <w:szCs w:val="22"/>
        </w:rPr>
        <w:t>Repeal its statutory requirement of good character for registration of citizenship,</w:t>
      </w:r>
    </w:p>
    <w:p w14:paraId="4C90537B" w14:textId="1C93E411" w:rsidR="005E2409" w:rsidRPr="00651EF4" w:rsidRDefault="00085B63" w:rsidP="005A7479">
      <w:pPr>
        <w:pStyle w:val="AIUKBulletpoint"/>
        <w:ind w:left="720"/>
        <w:rPr>
          <w:sz w:val="22"/>
          <w:szCs w:val="22"/>
        </w:rPr>
      </w:pPr>
      <w:r w:rsidRPr="00651EF4">
        <w:rPr>
          <w:sz w:val="22"/>
          <w:szCs w:val="22"/>
        </w:rPr>
        <w:t>Undertake a children’s best interests and race impact assessment of the effect of its proposals on settlement on the citizenship rights of children born and growing up in the UK and take steps to avoid or mitigate any harmful impacts before any of these proposals are implemented,</w:t>
      </w:r>
    </w:p>
    <w:p w14:paraId="73108A92" w14:textId="5FE79475" w:rsidR="00085B63" w:rsidRDefault="00D03A95" w:rsidP="005A7479">
      <w:pPr>
        <w:pStyle w:val="AIUKBulletpoint"/>
        <w:ind w:left="720"/>
        <w:rPr>
          <w:sz w:val="22"/>
          <w:szCs w:val="22"/>
        </w:rPr>
      </w:pPr>
      <w:r w:rsidRPr="00651EF4">
        <w:rPr>
          <w:sz w:val="22"/>
          <w:szCs w:val="22"/>
        </w:rPr>
        <w:t>Make provision for free legal representation to be available to Windrush Compensation Scheme claimants</w:t>
      </w:r>
      <w:r w:rsidR="00BA26CE">
        <w:rPr>
          <w:sz w:val="22"/>
          <w:szCs w:val="22"/>
        </w:rPr>
        <w:t>,</w:t>
      </w:r>
    </w:p>
    <w:p w14:paraId="2110C5F9" w14:textId="5AD1F3B6" w:rsidR="0013598F" w:rsidRDefault="00BD09E1" w:rsidP="005A7479">
      <w:pPr>
        <w:pStyle w:val="AIUKBulletpoint"/>
        <w:ind w:left="720"/>
        <w:rPr>
          <w:sz w:val="22"/>
          <w:szCs w:val="22"/>
        </w:rPr>
      </w:pPr>
      <w:r>
        <w:rPr>
          <w:sz w:val="22"/>
          <w:szCs w:val="22"/>
        </w:rPr>
        <w:t>Conduct</w:t>
      </w:r>
      <w:r w:rsidR="0013598F">
        <w:rPr>
          <w:sz w:val="22"/>
          <w:szCs w:val="22"/>
        </w:rPr>
        <w:t xml:space="preserve"> an independent review of the power to deprive of citizenship on ‘conducive to the public good’ grounds to consider the statutory power and its application, including all deprivations that have been made under this power.</w:t>
      </w:r>
    </w:p>
    <w:p w14:paraId="3D10C6E5" w14:textId="120A0CC0" w:rsidR="00C56699" w:rsidRPr="00651EF4" w:rsidRDefault="00C56699" w:rsidP="0013598F">
      <w:pPr>
        <w:pStyle w:val="AIUKBulletpoint"/>
        <w:numPr>
          <w:ilvl w:val="0"/>
          <w:numId w:val="0"/>
        </w:numPr>
        <w:ind w:left="360"/>
        <w:rPr>
          <w:sz w:val="22"/>
          <w:szCs w:val="22"/>
        </w:rPr>
      </w:pPr>
    </w:p>
    <w:sectPr w:rsidR="00C56699" w:rsidRPr="00651EF4" w:rsidSect="00F54DD8">
      <w:type w:val="continuous"/>
      <w:pgSz w:w="11906" w:h="16838"/>
      <w:pgMar w:top="1588" w:right="1440" w:bottom="1588" w:left="1440" w:header="737" w:footer="73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43268" w14:textId="77777777" w:rsidR="00DA6494" w:rsidRDefault="00DA6494" w:rsidP="009B2F8C">
      <w:r>
        <w:separator/>
      </w:r>
    </w:p>
  </w:endnote>
  <w:endnote w:type="continuationSeparator" w:id="0">
    <w:p w14:paraId="3B9CDC0F" w14:textId="77777777" w:rsidR="00DA6494" w:rsidRDefault="00DA6494" w:rsidP="009B2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pleSystemUIFont">
    <w:altName w:val="Calibri"/>
    <w:charset w:val="00"/>
    <w:family w:val="auto"/>
    <w:pitch w:val="default"/>
    <w:sig w:usb0="00000003" w:usb1="00000000" w:usb2="00000000" w:usb3="00000000" w:csb0="00000001" w:csb1="00000000"/>
  </w:font>
  <w:font w:name="Amnesty Trade Gothic">
    <w:panose1 w:val="020B0503040303020004"/>
    <w:charset w:val="00"/>
    <w:family w:val="swiss"/>
    <w:pitch w:val="variable"/>
    <w:sig w:usb0="800000AF" w:usb1="5000204A" w:usb2="00000000" w:usb3="00000000" w:csb0="0000009B" w:csb1="00000000"/>
  </w:font>
  <w:font w:name="Aptos Display">
    <w:charset w:val="00"/>
    <w:family w:val="swiss"/>
    <w:pitch w:val="variable"/>
    <w:sig w:usb0="20000287" w:usb1="00000003" w:usb2="00000000" w:usb3="00000000" w:csb0="0000019F" w:csb1="00000000"/>
  </w:font>
  <w:font w:name="Amnesty Trade Gothic Cn">
    <w:panose1 w:val="020B0506040303020004"/>
    <w:charset w:val="00"/>
    <w:family w:val="swiss"/>
    <w:pitch w:val="variable"/>
    <w:sig w:usb0="800000AF" w:usb1="5000204A" w:usb2="00000000" w:usb3="00000000" w:csb0="0000009B" w:csb1="00000000"/>
  </w:font>
  <w:font w:name="Open Sans">
    <w:charset w:val="00"/>
    <w:family w:val="swiss"/>
    <w:pitch w:val="variable"/>
    <w:sig w:usb0="E00002EF" w:usb1="4000205B" w:usb2="00000028"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07135217"/>
      <w:docPartObj>
        <w:docPartGallery w:val="Page Numbers (Bottom of Page)"/>
        <w:docPartUnique/>
      </w:docPartObj>
    </w:sdtPr>
    <w:sdtEndPr>
      <w:rPr>
        <w:rStyle w:val="PageNumber"/>
      </w:rPr>
    </w:sdtEndPr>
    <w:sdtContent>
      <w:p w14:paraId="5DCC8B4E" w14:textId="781E8D92" w:rsidR="004D7D7E" w:rsidRDefault="004D7D7E" w:rsidP="005B77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894B51F" w14:textId="77777777" w:rsidR="004D7D7E" w:rsidRDefault="004D7D7E" w:rsidP="004D7D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7798642"/>
      <w:docPartObj>
        <w:docPartGallery w:val="Page Numbers (Bottom of Page)"/>
        <w:docPartUnique/>
      </w:docPartObj>
    </w:sdtPr>
    <w:sdtEndPr>
      <w:rPr>
        <w:noProof/>
      </w:rPr>
    </w:sdtEndPr>
    <w:sdtContent>
      <w:p w14:paraId="73E4C7AB" w14:textId="77777777" w:rsidR="00940541" w:rsidRDefault="00940541">
        <w:pPr>
          <w:pStyle w:val="Footer"/>
          <w:jc w:val="right"/>
        </w:pPr>
      </w:p>
      <w:p w14:paraId="4654303A" w14:textId="77777777" w:rsidR="00940541" w:rsidRPr="0015269C" w:rsidRDefault="00940541" w:rsidP="00940541">
        <w:pPr>
          <w:pStyle w:val="Header"/>
          <w:rPr>
            <w:rFonts w:ascii="Amnesty Trade Gothic Cn" w:hAnsi="Amnesty Trade Gothic Cn"/>
            <w:sz w:val="16"/>
            <w:szCs w:val="16"/>
          </w:rPr>
        </w:pPr>
        <w:r w:rsidRPr="0015269C">
          <w:rPr>
            <w:rFonts w:ascii="Amnesty Trade Gothic Cn" w:hAnsi="Amnesty Trade Gothic Cn"/>
            <w:sz w:val="16"/>
            <w:szCs w:val="16"/>
          </w:rPr>
          <w:t xml:space="preserve">SUBMISSION TO THE </w:t>
        </w:r>
        <w:r w:rsidRPr="0015269C">
          <w:rPr>
            <w:rFonts w:ascii="Amnesty Trade Gothic Cn" w:hAnsi="Amnesty Trade Gothic Cn"/>
            <w:sz w:val="16"/>
            <w:szCs w:val="16"/>
          </w:rPr>
          <w:t>COMMITTEE ON THE ELIMINATION OF RACIAL DISCRIMINATION</w:t>
        </w:r>
        <w:r w:rsidRPr="0015269C">
          <w:rPr>
            <w:rFonts w:ascii="Amnesty Trade Gothic Cn" w:hAnsi="Amnesty Trade Gothic Cn"/>
            <w:sz w:val="16"/>
            <w:szCs w:val="16"/>
          </w:rPr>
          <w:t>, FOLLOW-UP,</w:t>
        </w:r>
        <w:r w:rsidRPr="0015269C">
          <w:rPr>
            <w:rFonts w:ascii="Amnesty Trade Gothic Cn" w:hAnsi="Amnesty Trade Gothic Cn"/>
            <w:sz w:val="16"/>
            <w:szCs w:val="16"/>
          </w:rPr>
          <w:t xml:space="preserve"> AUGUST 2026</w:t>
        </w:r>
      </w:p>
      <w:p w14:paraId="21040AF5" w14:textId="16717B0A" w:rsidR="00940541" w:rsidRPr="0015269C" w:rsidRDefault="00940541" w:rsidP="0015269C">
        <w:pPr>
          <w:pStyle w:val="Footer"/>
          <w:rPr>
            <w:rFonts w:ascii="Amnesty Trade Gothic Cn" w:hAnsi="Amnesty Trade Gothic Cn"/>
            <w:noProof/>
            <w:sz w:val="16"/>
            <w:szCs w:val="16"/>
          </w:rPr>
        </w:pPr>
        <w:r w:rsidRPr="0015269C">
          <w:rPr>
            <w:rFonts w:ascii="Amnesty Trade Gothic Cn" w:hAnsi="Amnesty Trade Gothic Cn"/>
            <w:b/>
            <w:bCs/>
            <w:sz w:val="16"/>
            <w:szCs w:val="16"/>
          </w:rPr>
          <w:t>AMNESTY INTERNATIONAL AND RUNNYMEDE TRUST</w:t>
        </w:r>
        <w:r w:rsidRPr="0015269C">
          <w:rPr>
            <w:rFonts w:ascii="Amnesty Trade Gothic Cn" w:hAnsi="Amnesty Trade Gothic Cn"/>
            <w:b/>
            <w:bCs/>
            <w:sz w:val="16"/>
            <w:szCs w:val="16"/>
          </w:rPr>
          <w:tab/>
        </w:r>
        <w:r w:rsidRPr="0015269C">
          <w:rPr>
            <w:rFonts w:ascii="Amnesty Trade Gothic Cn" w:hAnsi="Amnesty Trade Gothic Cn"/>
            <w:b/>
            <w:bCs/>
            <w:sz w:val="16"/>
            <w:szCs w:val="16"/>
          </w:rPr>
          <w:tab/>
        </w:r>
        <w:r w:rsidRPr="0015269C">
          <w:rPr>
            <w:rFonts w:ascii="Amnesty Trade Gothic Cn" w:hAnsi="Amnesty Trade Gothic Cn"/>
            <w:sz w:val="16"/>
            <w:szCs w:val="16"/>
          </w:rPr>
          <w:fldChar w:fldCharType="begin"/>
        </w:r>
        <w:r w:rsidRPr="0015269C">
          <w:rPr>
            <w:rFonts w:ascii="Amnesty Trade Gothic Cn" w:hAnsi="Amnesty Trade Gothic Cn"/>
            <w:sz w:val="16"/>
            <w:szCs w:val="16"/>
          </w:rPr>
          <w:instrText xml:space="preserve"> PAGE   \* MERGEFORMAT </w:instrText>
        </w:r>
        <w:r w:rsidRPr="0015269C">
          <w:rPr>
            <w:rFonts w:ascii="Amnesty Trade Gothic Cn" w:hAnsi="Amnesty Trade Gothic Cn"/>
            <w:sz w:val="16"/>
            <w:szCs w:val="16"/>
          </w:rPr>
          <w:fldChar w:fldCharType="separate"/>
        </w:r>
        <w:r w:rsidRPr="0015269C">
          <w:rPr>
            <w:rFonts w:ascii="Amnesty Trade Gothic Cn" w:hAnsi="Amnesty Trade Gothic Cn"/>
            <w:sz w:val="16"/>
            <w:szCs w:val="16"/>
          </w:rPr>
          <w:t>2</w:t>
        </w:r>
        <w:r w:rsidRPr="0015269C">
          <w:rPr>
            <w:rFonts w:ascii="Amnesty Trade Gothic Cn" w:hAnsi="Amnesty Trade Gothic Cn"/>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809525"/>
      <w:docPartObj>
        <w:docPartGallery w:val="Page Numbers (Bottom of Page)"/>
        <w:docPartUnique/>
      </w:docPartObj>
    </w:sdtPr>
    <w:sdtEndPr>
      <w:rPr>
        <w:noProof/>
      </w:rPr>
    </w:sdtEndPr>
    <w:sdtContent>
      <w:p w14:paraId="71AA2E61" w14:textId="77777777" w:rsidR="00940541" w:rsidRDefault="00940541" w:rsidP="00940541">
        <w:pPr>
          <w:pStyle w:val="Footer"/>
          <w:jc w:val="right"/>
        </w:pPr>
      </w:p>
      <w:p w14:paraId="28C22D29" w14:textId="77777777" w:rsidR="00940541" w:rsidRPr="0015269C" w:rsidRDefault="00940541" w:rsidP="00940541">
        <w:pPr>
          <w:pStyle w:val="Header"/>
          <w:rPr>
            <w:rFonts w:ascii="Amnesty Trade Gothic Cn" w:hAnsi="Amnesty Trade Gothic Cn"/>
            <w:sz w:val="16"/>
            <w:szCs w:val="16"/>
          </w:rPr>
        </w:pPr>
        <w:r w:rsidRPr="0015269C">
          <w:rPr>
            <w:rFonts w:ascii="Amnesty Trade Gothic Cn" w:hAnsi="Amnesty Trade Gothic Cn"/>
            <w:sz w:val="16"/>
            <w:szCs w:val="16"/>
          </w:rPr>
          <w:t xml:space="preserve">SUBMISSION TO THE </w:t>
        </w:r>
        <w:r w:rsidRPr="0015269C">
          <w:rPr>
            <w:rFonts w:ascii="Amnesty Trade Gothic Cn" w:hAnsi="Amnesty Trade Gothic Cn"/>
            <w:sz w:val="16"/>
            <w:szCs w:val="16"/>
          </w:rPr>
          <w:t>COMMITTEE ON THE ELIMINATION OF RACIAL DISCRIMINATION</w:t>
        </w:r>
        <w:r w:rsidRPr="0015269C">
          <w:rPr>
            <w:rFonts w:ascii="Amnesty Trade Gothic Cn" w:hAnsi="Amnesty Trade Gothic Cn"/>
            <w:sz w:val="16"/>
            <w:szCs w:val="16"/>
          </w:rPr>
          <w:t>, FOLLOW-UP,</w:t>
        </w:r>
        <w:r w:rsidRPr="0015269C">
          <w:rPr>
            <w:rFonts w:ascii="Amnesty Trade Gothic Cn" w:hAnsi="Amnesty Trade Gothic Cn"/>
            <w:sz w:val="16"/>
            <w:szCs w:val="16"/>
          </w:rPr>
          <w:t xml:space="preserve"> AUGUST 2026</w:t>
        </w:r>
      </w:p>
      <w:p w14:paraId="0EF634CC" w14:textId="12983F7B" w:rsidR="00940541" w:rsidRPr="0015269C" w:rsidRDefault="00940541" w:rsidP="0015269C">
        <w:pPr>
          <w:pStyle w:val="Footer"/>
          <w:rPr>
            <w:rFonts w:ascii="Amnesty Trade Gothic Cn" w:hAnsi="Amnesty Trade Gothic Cn"/>
            <w:noProof/>
            <w:sz w:val="16"/>
            <w:szCs w:val="16"/>
          </w:rPr>
        </w:pPr>
        <w:r w:rsidRPr="00582076">
          <w:rPr>
            <w:rFonts w:ascii="Amnesty Trade Gothic Cn" w:hAnsi="Amnesty Trade Gothic Cn"/>
            <w:b/>
            <w:bCs/>
            <w:sz w:val="16"/>
            <w:szCs w:val="16"/>
          </w:rPr>
          <w:t>AMNESTY INTERNATIONAL AND RUNNYMEDE TRUST</w:t>
        </w:r>
        <w:r w:rsidRPr="00582076">
          <w:rPr>
            <w:rFonts w:ascii="Amnesty Trade Gothic Cn" w:hAnsi="Amnesty Trade Gothic Cn"/>
            <w:b/>
            <w:bCs/>
            <w:sz w:val="16"/>
            <w:szCs w:val="16"/>
          </w:rPr>
          <w:tab/>
        </w:r>
        <w:r w:rsidRPr="00582076">
          <w:rPr>
            <w:rFonts w:ascii="Amnesty Trade Gothic Cn" w:hAnsi="Amnesty Trade Gothic Cn"/>
            <w:b/>
            <w:bCs/>
            <w:sz w:val="16"/>
            <w:szCs w:val="16"/>
          </w:rPr>
          <w:tab/>
        </w:r>
        <w:r w:rsidRPr="00582076">
          <w:rPr>
            <w:rFonts w:ascii="Amnesty Trade Gothic Cn" w:hAnsi="Amnesty Trade Gothic Cn"/>
            <w:sz w:val="16"/>
            <w:szCs w:val="16"/>
          </w:rPr>
          <w:fldChar w:fldCharType="begin"/>
        </w:r>
        <w:r w:rsidRPr="00582076">
          <w:rPr>
            <w:rFonts w:ascii="Amnesty Trade Gothic Cn" w:hAnsi="Amnesty Trade Gothic Cn"/>
            <w:sz w:val="16"/>
            <w:szCs w:val="16"/>
          </w:rPr>
          <w:instrText xml:space="preserve"> PAGE   \* MERGEFORMAT </w:instrText>
        </w:r>
        <w:r w:rsidRPr="00582076">
          <w:rPr>
            <w:rFonts w:ascii="Amnesty Trade Gothic Cn" w:hAnsi="Amnesty Trade Gothic Cn"/>
            <w:sz w:val="16"/>
            <w:szCs w:val="16"/>
          </w:rPr>
          <w:fldChar w:fldCharType="separate"/>
        </w:r>
        <w:r>
          <w:rPr>
            <w:rFonts w:ascii="Amnesty Trade Gothic Cn" w:hAnsi="Amnesty Trade Gothic Cn"/>
            <w:sz w:val="16"/>
            <w:szCs w:val="16"/>
          </w:rPr>
          <w:t>2</w:t>
        </w:r>
        <w:r w:rsidRPr="00582076">
          <w:rPr>
            <w:rFonts w:ascii="Amnesty Trade Gothic Cn" w:hAnsi="Amnesty Trade Gothic Cn"/>
            <w:noProof/>
            <w:sz w:val="16"/>
            <w:szCs w:val="16"/>
          </w:rPr>
          <w:fldChar w:fldCharType="end"/>
        </w:r>
      </w:p>
    </w:sdtContent>
  </w:sdt>
  <w:p w14:paraId="6AC7AB7E" w14:textId="77777777" w:rsidR="00DF1290" w:rsidRDefault="00DF1290" w:rsidP="008255E5">
    <w:pPr>
      <w:pStyle w:val="Footer"/>
      <w:tabs>
        <w:tab w:val="clear" w:pos="4513"/>
        <w:tab w:val="clear" w:pos="9026"/>
        <w:tab w:val="left" w:pos="8226"/>
      </w:tabs>
    </w:pPr>
  </w:p>
  <w:p w14:paraId="376F16D0" w14:textId="4C163C53" w:rsidR="008255E5" w:rsidRPr="0015269C" w:rsidRDefault="00DF1290" w:rsidP="008255E5">
    <w:pPr>
      <w:pStyle w:val="Footer"/>
      <w:tabs>
        <w:tab w:val="clear" w:pos="4513"/>
        <w:tab w:val="clear" w:pos="9026"/>
        <w:tab w:val="left" w:pos="8226"/>
      </w:tabs>
      <w:rPr>
        <w:rFonts w:ascii="Amnesty Trade Gothic Cn" w:hAnsi="Amnesty Trade Gothic Cn"/>
        <w:sz w:val="16"/>
        <w:szCs w:val="16"/>
      </w:rPr>
    </w:pPr>
    <w:r w:rsidRPr="0015269C">
      <w:rPr>
        <w:rFonts w:ascii="Amnesty Trade Gothic Cn" w:hAnsi="Amnesty Trade Gothic Cn"/>
        <w:sz w:val="16"/>
        <w:szCs w:val="16"/>
      </w:rPr>
      <w:t xml:space="preserve">AI Ref: </w:t>
    </w:r>
    <w:r w:rsidRPr="0015269C">
      <w:rPr>
        <w:rFonts w:ascii="Amnesty Trade Gothic Cn" w:hAnsi="Amnesty Trade Gothic Cn"/>
        <w:sz w:val="16"/>
        <w:szCs w:val="16"/>
      </w:rPr>
      <w:t>EUR 45/0981/2026</w:t>
    </w:r>
    <w:r w:rsidR="008255E5" w:rsidRPr="0015269C">
      <w:rPr>
        <w:rFonts w:ascii="Amnesty Trade Gothic Cn" w:hAnsi="Amnesty Trade Gothic Cn"/>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C50CA" w14:textId="77777777" w:rsidR="00DA6494" w:rsidRDefault="00DA6494" w:rsidP="009B2F8C">
      <w:r>
        <w:separator/>
      </w:r>
    </w:p>
  </w:footnote>
  <w:footnote w:type="continuationSeparator" w:id="0">
    <w:p w14:paraId="4D7997C9" w14:textId="77777777" w:rsidR="00DA6494" w:rsidRDefault="00DA6494" w:rsidP="009B2F8C">
      <w:r>
        <w:continuationSeparator/>
      </w:r>
    </w:p>
  </w:footnote>
  <w:footnote w:id="1">
    <w:p w14:paraId="28D52FC8" w14:textId="1EC8F715"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Committee on the Elimination of Racial Discrimination, Concluding observations on the combined twenty-fourth to twenty-sixth periodic reports of the United Kingdom of Great Britain and Northern Ireland, UN. Doc. CERD/C/GBR/CO/24-26, 24 September </w:t>
      </w:r>
      <w:proofErr w:type="gramStart"/>
      <w:r w:rsidRPr="0015269C">
        <w:rPr>
          <w:sz w:val="16"/>
          <w:szCs w:val="16"/>
        </w:rPr>
        <w:t>2024,  https://docstore.ohchr.org/SelfServices/FilesHandler.ashx?enc=oFxy%2BOcgV1ARVS7V%2BYaYkIN0XPaUqnCvEAUM5NpkagnZ%2BncR3qeeedvDZx89dKpOQXYpBcPOpWqFwzn8YbyzTb9qQmk9Hs8qlWmrcdo6zf8%3D</w:t>
      </w:r>
      <w:proofErr w:type="gramEnd"/>
      <w:r w:rsidRPr="0015269C">
        <w:rPr>
          <w:sz w:val="16"/>
          <w:szCs w:val="16"/>
        </w:rPr>
        <w:t xml:space="preserve">  </w:t>
      </w:r>
    </w:p>
  </w:footnote>
  <w:footnote w:id="2">
    <w:p w14:paraId="55C88886" w14:textId="7BDB3BB8"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The Police Crime Sentencing and Courts Act 2022; the Public Order Act 2023; the Criminal Justice Bill 2023 (which only fell when the 2024 General election was called) and now the Crime and Policing Bill 2025.</w:t>
      </w:r>
      <w:r w:rsidRPr="0015269C">
        <w:rPr>
          <w:sz w:val="16"/>
          <w:szCs w:val="16"/>
        </w:rPr>
        <w:t> </w:t>
      </w:r>
    </w:p>
  </w:footnote>
  <w:footnote w:id="3">
    <w:p w14:paraId="326E1DD2" w14:textId="684CEFA1"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The Public Order Act 1986 (Serious Disruption to the Life of the Community) Regulations 2023</w:t>
      </w:r>
    </w:p>
  </w:footnote>
  <w:footnote w:id="4">
    <w:p w14:paraId="3E7B7F25" w14:textId="10EDFFFD"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Amnesty International Submission to Independent Review of Public Order and Hate Crime Legislation in England and Wales, December 2025. </w:t>
      </w:r>
    </w:p>
  </w:footnote>
  <w:footnote w:id="5">
    <w:p w14:paraId="5A92F13D" w14:textId="06C527D8"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Human Rights Watch, Silencing the Streets: The Right to Protest Under Attack in the United Kingdom, January 2026, </w:t>
      </w:r>
      <w:hyperlink r:id="rId1" w:tgtFrame="_blank" w:history="1">
        <w:r w:rsidRPr="0015269C">
          <w:rPr>
            <w:rStyle w:val="Hyperlink"/>
            <w:sz w:val="16"/>
            <w:szCs w:val="16"/>
            <w:lang w:val="en-US"/>
          </w:rPr>
          <w:t>https://www.hrw.org/sites/default/files/media_2026/01/uk0126%20web.pdf</w:t>
        </w:r>
      </w:hyperlink>
      <w:r w:rsidRPr="0015269C">
        <w:rPr>
          <w:sz w:val="16"/>
          <w:szCs w:val="16"/>
          <w:lang w:val="en-US"/>
        </w:rPr>
        <w:t>; Justice, Striking The Balance: Protest Rights and Public Order, January 2026, </w:t>
      </w:r>
      <w:hyperlink r:id="rId2" w:history="1">
        <w:r w:rsidRPr="0015269C">
          <w:rPr>
            <w:rStyle w:val="Hyperlink"/>
            <w:sz w:val="16"/>
            <w:szCs w:val="16"/>
            <w:lang w:val="en-US"/>
          </w:rPr>
          <w:t>https://cdn.prod.website-files.com/67becde70dae19a9e5ea2bc3/696d576ab20167a705505283_Striking%20The%20Balance.pdf</w:t>
        </w:r>
      </w:hyperlink>
    </w:p>
  </w:footnote>
  <w:footnote w:id="6">
    <w:p w14:paraId="3B8C8E83" w14:textId="1043894D"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u w:val="single"/>
          <w:lang w:val="en-US"/>
        </w:rPr>
        <w:t>The Network for Police Monitoring, (2024). </w:t>
      </w:r>
      <w:r w:rsidRPr="0015269C">
        <w:rPr>
          <w:i/>
          <w:iCs/>
          <w:sz w:val="16"/>
          <w:szCs w:val="16"/>
          <w:u w:val="single"/>
          <w:lang w:val="en-US"/>
        </w:rPr>
        <w:t>IN OUR MILLIONS: A Netpol report on the policing of protests in Britain against Israeli genocide in Palestine</w:t>
      </w:r>
      <w:r w:rsidRPr="0015269C">
        <w:rPr>
          <w:sz w:val="16"/>
          <w:szCs w:val="16"/>
          <w:u w:val="single"/>
          <w:lang w:val="en-US"/>
        </w:rPr>
        <w:t>[online]. [Viewed 13 May 2025]. Available from: </w:t>
      </w:r>
      <w:hyperlink r:id="rId3" w:tgtFrame="_blank" w:history="1">
        <w:r w:rsidRPr="0015269C">
          <w:rPr>
            <w:rStyle w:val="Hyperlink"/>
            <w:sz w:val="16"/>
            <w:szCs w:val="16"/>
            <w:lang w:val="en-US"/>
          </w:rPr>
          <w:t>https://netpol.org/wp-content/uploads/2024/05/InOurMillions_WEB.pdf</w:t>
        </w:r>
      </w:hyperlink>
      <w:r w:rsidRPr="0015269C">
        <w:rPr>
          <w:sz w:val="16"/>
          <w:szCs w:val="16"/>
        </w:rPr>
        <w:t> </w:t>
      </w:r>
    </w:p>
  </w:footnote>
  <w:footnote w:id="7">
    <w:p w14:paraId="1A5C18AA" w14:textId="79C0DE44"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Office of the High Commissioner of Human Rights, The Public Order Act will have a chilling effect on your civic freedoms – it must be repealed, 28 May 2023, </w:t>
      </w:r>
      <w:hyperlink r:id="rId4" w:tgtFrame="_blank" w:history="1">
        <w:r w:rsidRPr="0015269C">
          <w:rPr>
            <w:rStyle w:val="Hyperlink"/>
            <w:sz w:val="16"/>
            <w:szCs w:val="16"/>
            <w:lang w:val="en-US"/>
          </w:rPr>
          <w:t>https://www.ohchr.org/en/opinion-editorial/2023/05/public-order-act-will-have-chilling-effect-your-civic-freedoms-it-must-be</w:t>
        </w:r>
      </w:hyperlink>
      <w:r w:rsidRPr="0015269C">
        <w:rPr>
          <w:sz w:val="16"/>
          <w:szCs w:val="16"/>
          <w:lang w:val="en-US"/>
        </w:rPr>
        <w:t>; Council of Europe, United Kingdom: Commissioner addresses human rights issues in policing of protests and the situation of trans people, 23 September 2025, https://www.coe.int/en/web/commissioner/-/united</w:t>
      </w:r>
      <w:r w:rsidRPr="00DF1290">
        <w:rPr>
          <w:sz w:val="16"/>
          <w:szCs w:val="16"/>
          <w:lang w:val="en-US"/>
        </w:rPr>
        <w:t>-</w:t>
      </w:r>
      <w:r w:rsidRPr="0015269C">
        <w:rPr>
          <w:sz w:val="16"/>
          <w:szCs w:val="16"/>
          <w:lang w:val="en-US"/>
        </w:rPr>
        <w:t>kingdom-commissioner-addresses-human-rights-issues-in-policing-of-protests-and-the-situation-of-trans-people</w:t>
      </w:r>
      <w:r w:rsidRPr="0015269C">
        <w:rPr>
          <w:sz w:val="16"/>
          <w:szCs w:val="16"/>
        </w:rPr>
        <w:t> </w:t>
      </w:r>
    </w:p>
  </w:footnote>
  <w:footnote w:id="8">
    <w:p w14:paraId="386572C1" w14:textId="22CE33D0"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Legislation, The Terrorism Act 2000 (Proscribed Organisations) (Amendment) Order 2025, https://www.legislation.gov.uk/ukdsi/2025/9780348273373</w:t>
      </w:r>
      <w:r w:rsidRPr="0015269C">
        <w:rPr>
          <w:sz w:val="16"/>
          <w:szCs w:val="16"/>
        </w:rPr>
        <w:t> </w:t>
      </w:r>
    </w:p>
  </w:footnote>
  <w:footnote w:id="9">
    <w:p w14:paraId="1F1EE3A4" w14:textId="144DBF2F"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EWHC 292, R (Ammori) V Secretary of State for Home Department, https://www.judiciary.uk/wp-content/uploads/2026/02/R-Ammori-v-SSHD-OPEN-Judgment-final.pdf </w:t>
      </w:r>
    </w:p>
  </w:footnote>
  <w:footnote w:id="10">
    <w:p w14:paraId="714D9629" w14:textId="45CFC54A" w:rsidR="00055C06" w:rsidRPr="0015269C" w:rsidRDefault="00055C06">
      <w:pPr>
        <w:pStyle w:val="FootnoteText"/>
        <w:rPr>
          <w:sz w:val="16"/>
          <w:szCs w:val="16"/>
        </w:rPr>
      </w:pPr>
      <w:r w:rsidRPr="0015269C">
        <w:rPr>
          <w:rStyle w:val="FootnoteReference"/>
          <w:sz w:val="16"/>
          <w:szCs w:val="16"/>
        </w:rPr>
        <w:footnoteRef/>
      </w:r>
      <w:r w:rsidRPr="0015269C">
        <w:rPr>
          <w:sz w:val="16"/>
          <w:szCs w:val="16"/>
        </w:rPr>
        <w:t xml:space="preserve"> </w:t>
      </w:r>
      <w:proofErr w:type="spellStart"/>
      <w:r w:rsidRPr="0015269C">
        <w:rPr>
          <w:sz w:val="16"/>
          <w:szCs w:val="16"/>
          <w:lang w:val="en-US"/>
        </w:rPr>
        <w:t>Casetracker</w:t>
      </w:r>
      <w:proofErr w:type="spellEnd"/>
      <w:r w:rsidRPr="0015269C">
        <w:rPr>
          <w:sz w:val="16"/>
          <w:szCs w:val="16"/>
          <w:lang w:val="en-US"/>
        </w:rPr>
        <w:t>, Summary Case Details for CA-2026-000583, 8 April 2026, https://casetracker.justice.gov.uk/getDetail.do?case_id=CA-2026-000583</w:t>
      </w:r>
    </w:p>
  </w:footnote>
  <w:footnote w:id="11">
    <w:p w14:paraId="4788A9EA" w14:textId="0086548C" w:rsidR="000D32DC" w:rsidRPr="0015269C" w:rsidRDefault="000D32DC">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Amnesty International, UK: End prosecution of peaceful protestors, Index Number: EUR 45/0217/2025, 22 August 2025</w:t>
      </w:r>
      <w:r w:rsidR="000D6619" w:rsidRPr="0015269C">
        <w:rPr>
          <w:sz w:val="16"/>
          <w:szCs w:val="16"/>
          <w:lang w:val="en-US"/>
        </w:rPr>
        <w:t>,</w:t>
      </w:r>
      <w:r w:rsidR="00E647A0" w:rsidRPr="0015269C">
        <w:rPr>
          <w:sz w:val="16"/>
          <w:szCs w:val="16"/>
          <w:lang w:val="en-US"/>
        </w:rPr>
        <w:t xml:space="preserve"> </w:t>
      </w:r>
      <w:r w:rsidRPr="0015269C">
        <w:rPr>
          <w:sz w:val="16"/>
          <w:szCs w:val="16"/>
          <w:lang w:val="en-US"/>
        </w:rPr>
        <w:t>https://www.amnesty.org/en/documents/eur45/0217/2025/en/?utm_source=annual_report&amp;utm_medium=pdf&amp;utm_campaign=2025</w:t>
      </w:r>
    </w:p>
  </w:footnote>
  <w:footnote w:id="12">
    <w:p w14:paraId="699C23C0" w14:textId="6F173066" w:rsidR="007966D9" w:rsidRPr="0015269C" w:rsidRDefault="007966D9">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 Amnesty International, UK: 'Horrifying' that Defend Our Juries spokespeople are being threatened with severe jail sentences, 4 September 2025 https://www.amnesty.org.uk/latest/uk-horrifying-defend-our-juries-spokespeople-are-being-threatened-severe-jail/</w:t>
      </w:r>
      <w:r w:rsidRPr="0015269C">
        <w:rPr>
          <w:sz w:val="16"/>
          <w:szCs w:val="16"/>
        </w:rPr>
        <w:t> </w:t>
      </w:r>
    </w:p>
  </w:footnote>
  <w:footnote w:id="13">
    <w:p w14:paraId="20C65311" w14:textId="1D0C26B8" w:rsidR="001117BD" w:rsidRPr="0015269C" w:rsidRDefault="001117BD">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Metropolitan Police, The Baroness Casey Review, March 2023</w:t>
      </w:r>
    </w:p>
  </w:footnote>
  <w:footnote w:id="14">
    <w:p w14:paraId="70451859" w14:textId="2F8234D2" w:rsidR="001117BD" w:rsidRPr="0015269C" w:rsidRDefault="001117BD">
      <w:pPr>
        <w:pStyle w:val="FootnoteText"/>
        <w:rPr>
          <w:sz w:val="16"/>
          <w:szCs w:val="16"/>
        </w:rPr>
      </w:pPr>
      <w:r w:rsidRPr="0015269C">
        <w:rPr>
          <w:rStyle w:val="FootnoteReference"/>
          <w:sz w:val="16"/>
          <w:szCs w:val="16"/>
        </w:rPr>
        <w:footnoteRef/>
      </w:r>
      <w:r w:rsidRPr="0015269C">
        <w:rPr>
          <w:sz w:val="16"/>
          <w:szCs w:val="16"/>
        </w:rPr>
        <w:t xml:space="preserve">  Metropolitan Police, Section 11 Authorisations and Stop and Searches (01/12/2023 - 30/11/2025), 30 December 2025. </w:t>
      </w:r>
    </w:p>
  </w:footnote>
  <w:footnote w:id="15">
    <w:p w14:paraId="35B513C2" w14:textId="5DA7BB81" w:rsidR="005706D1" w:rsidRPr="0015269C" w:rsidRDefault="005706D1">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The Network for Police Monitoring, (2020). </w:t>
      </w:r>
      <w:r w:rsidRPr="0015269C">
        <w:rPr>
          <w:i/>
          <w:iCs/>
          <w:sz w:val="16"/>
          <w:szCs w:val="16"/>
          <w:lang w:val="en-US"/>
        </w:rPr>
        <w:t>‘Britain Is Not Innocent’</w:t>
      </w:r>
      <w:r w:rsidRPr="0015269C">
        <w:rPr>
          <w:sz w:val="16"/>
          <w:szCs w:val="16"/>
          <w:lang w:val="en-US"/>
        </w:rPr>
        <w:t>[online]. [Viewed 13 May 2025]. Available from: </w:t>
      </w:r>
      <w:hyperlink r:id="rId5" w:tgtFrame="_blank" w:history="1">
        <w:r w:rsidRPr="0015269C">
          <w:rPr>
            <w:rStyle w:val="Hyperlink"/>
            <w:sz w:val="16"/>
            <w:szCs w:val="16"/>
            <w:lang w:val="en-US"/>
          </w:rPr>
          <w:t>https://netpol.org/wp-content/uploads/2020/11/Britain-is-not-innocent-web-version.pdf</w:t>
        </w:r>
      </w:hyperlink>
      <w:r w:rsidRPr="0015269C">
        <w:rPr>
          <w:sz w:val="16"/>
          <w:szCs w:val="16"/>
        </w:rPr>
        <w:t> </w:t>
      </w:r>
    </w:p>
  </w:footnote>
  <w:footnote w:id="16">
    <w:p w14:paraId="2A40062D" w14:textId="6C569CA8" w:rsidR="00801062" w:rsidRPr="0015269C" w:rsidRDefault="00801062">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Amnesty International, This Is the Thought Police: The Prevent Duty and Its Chilling Effect on Human Rights, October 2023, https://www.amnesty.org.uk/knowledge-hub/all-resources/united-kingdom-prevent-thought-police-2023/</w:t>
      </w:r>
    </w:p>
  </w:footnote>
  <w:footnote w:id="17">
    <w:p w14:paraId="3C9AE36B" w14:textId="0350E35D" w:rsidR="00801062" w:rsidRPr="0015269C" w:rsidRDefault="00801062">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Home Secretary, Statement following publication of Lessons for Prevent, 16 July 2025 https://questions-statements.parliament.uk/written-statements/detail/2025-07-16/hcws831</w:t>
      </w:r>
    </w:p>
  </w:footnote>
  <w:footnote w:id="18">
    <w:p w14:paraId="532BF26F" w14:textId="2C6CC183" w:rsidR="00A17EC4" w:rsidRPr="0015269C" w:rsidRDefault="00A17EC4">
      <w:pPr>
        <w:pStyle w:val="FootnoteText"/>
        <w:rPr>
          <w:sz w:val="16"/>
          <w:szCs w:val="16"/>
        </w:rPr>
      </w:pPr>
      <w:r w:rsidRPr="0015269C">
        <w:rPr>
          <w:rStyle w:val="FootnoteReference"/>
          <w:sz w:val="16"/>
          <w:szCs w:val="16"/>
        </w:rPr>
        <w:footnoteRef/>
      </w:r>
      <w:r w:rsidRPr="0015269C">
        <w:rPr>
          <w:sz w:val="16"/>
          <w:szCs w:val="16"/>
        </w:rPr>
        <w:t xml:space="preserve"> Ibid</w:t>
      </w:r>
    </w:p>
  </w:footnote>
  <w:footnote w:id="19">
    <w:p w14:paraId="06B824F9" w14:textId="2D8024A6" w:rsidR="00434B0F" w:rsidRPr="0015269C" w:rsidRDefault="00434B0F">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Home Office, Individuals referred to and supported through the Prevent Programme, April 2024 to March 2025, 6 November 2025 https://www.gov.uk/government/statistics/individuals-referred-to-prevent-to-march-2025/individuals-referred-to-and-supported-through-the-prevent-programme-april-2024-to-march-2025</w:t>
      </w:r>
    </w:p>
  </w:footnote>
  <w:footnote w:id="20">
    <w:p w14:paraId="00F02397" w14:textId="3D671437" w:rsidR="00434B0F" w:rsidRPr="0015269C" w:rsidRDefault="00434B0F">
      <w:pPr>
        <w:pStyle w:val="FootnoteText"/>
        <w:rPr>
          <w:sz w:val="16"/>
          <w:szCs w:val="16"/>
        </w:rPr>
      </w:pPr>
      <w:r w:rsidRPr="0015269C">
        <w:rPr>
          <w:rStyle w:val="FootnoteReference"/>
          <w:sz w:val="16"/>
          <w:szCs w:val="16"/>
        </w:rPr>
        <w:footnoteRef/>
      </w:r>
      <w:r w:rsidRPr="0015269C">
        <w:rPr>
          <w:sz w:val="16"/>
          <w:szCs w:val="16"/>
        </w:rPr>
        <w:t xml:space="preserve"> Ibid</w:t>
      </w:r>
    </w:p>
  </w:footnote>
  <w:footnote w:id="21">
    <w:p w14:paraId="4C1874BD" w14:textId="5319A67C" w:rsidR="004E4CA3" w:rsidRPr="0015269C" w:rsidRDefault="004E4CA3">
      <w:pPr>
        <w:pStyle w:val="FootnoteText"/>
        <w:rPr>
          <w:sz w:val="16"/>
          <w:szCs w:val="16"/>
        </w:rPr>
      </w:pPr>
      <w:r w:rsidRPr="0015269C">
        <w:rPr>
          <w:rStyle w:val="FootnoteReference"/>
          <w:sz w:val="16"/>
          <w:szCs w:val="16"/>
        </w:rPr>
        <w:footnoteRef/>
      </w:r>
      <w:r w:rsidRPr="0015269C">
        <w:rPr>
          <w:sz w:val="16"/>
          <w:szCs w:val="16"/>
        </w:rPr>
        <w:t xml:space="preserve"> Ministry of Communities, Housing and Local Government, Protecting what matters, 9 March </w:t>
      </w:r>
      <w:proofErr w:type="gramStart"/>
      <w:r w:rsidRPr="0015269C">
        <w:rPr>
          <w:sz w:val="16"/>
          <w:szCs w:val="16"/>
        </w:rPr>
        <w:t>2026  https://www.gov.uk/government/publications/protecting-what-matters-towards-a-more-confident-cohesive-and-resilient-united-kingdom/protecting-what-matters-towards-a-more-confident-cohesive-and-resilient-united-kingdom</w:t>
      </w:r>
      <w:proofErr w:type="gramEnd"/>
    </w:p>
  </w:footnote>
  <w:footnote w:id="22">
    <w:p w14:paraId="252EEC5C" w14:textId="31884F77" w:rsidR="00355379" w:rsidRPr="0015269C" w:rsidRDefault="00355379">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Ministry of Communities, Housing and Local Government, New definition of Extremism, March 2024</w:t>
      </w:r>
      <w:r w:rsidRPr="0015269C">
        <w:rPr>
          <w:sz w:val="16"/>
          <w:szCs w:val="16"/>
        </w:rPr>
        <w:t> </w:t>
      </w:r>
    </w:p>
  </w:footnote>
  <w:footnote w:id="23">
    <w:p w14:paraId="525DF35A" w14:textId="6983E4E5" w:rsidR="00996B23" w:rsidRPr="0015269C" w:rsidRDefault="00996B23">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Amnesty International UK, UK: G</w:t>
      </w:r>
      <w:r w:rsidR="00926D29" w:rsidRPr="0015269C">
        <w:rPr>
          <w:sz w:val="16"/>
          <w:szCs w:val="16"/>
          <w:lang w:val="en-US"/>
        </w:rPr>
        <w:t>o</w:t>
      </w:r>
      <w:r w:rsidRPr="0015269C">
        <w:rPr>
          <w:sz w:val="16"/>
          <w:szCs w:val="16"/>
          <w:lang w:val="en-US"/>
        </w:rPr>
        <w:t xml:space="preserve">vernment’s new extremism definition is a smash and grab of our human rights, 14 March 2024 </w:t>
      </w:r>
    </w:p>
  </w:footnote>
  <w:footnote w:id="24">
    <w:p w14:paraId="4A205A60" w14:textId="41369550" w:rsidR="00B10B89" w:rsidRPr="0015269C" w:rsidRDefault="00B10B89">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Runnymede Trust (2024) ’Islamophobia: The intensification of racism against Muslim communities in the UK’, https://cdn.prod.website-files.com/61488f992b58e687f1108c7c/67507138f93ab16b069b3375_Runnymede_Islamophobia%20Report_Final_11_compressed-compressed.pdf</w:t>
      </w:r>
      <w:r w:rsidRPr="0015269C">
        <w:rPr>
          <w:sz w:val="16"/>
          <w:szCs w:val="16"/>
        </w:rPr>
        <w:t> </w:t>
      </w:r>
    </w:p>
  </w:footnote>
  <w:footnote w:id="25">
    <w:p w14:paraId="5C164361" w14:textId="707D6FCC" w:rsidR="00926D29" w:rsidRPr="0015269C" w:rsidRDefault="00926D29">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Runnymede Trust, Response to the Government’s definition of Islamophobia, 17 December 2025 https://www.runnymedetrust.org/news/response-to-the-governments-definition-of-islamophobia</w:t>
      </w:r>
      <w:r w:rsidRPr="0015269C">
        <w:rPr>
          <w:sz w:val="16"/>
          <w:szCs w:val="16"/>
        </w:rPr>
        <w:t> </w:t>
      </w:r>
    </w:p>
  </w:footnote>
  <w:footnote w:id="26">
    <w:p w14:paraId="5B62EB43" w14:textId="4BE5FCF6" w:rsidR="00C5711D" w:rsidRPr="0015269C" w:rsidRDefault="00C5711D">
      <w:pPr>
        <w:pStyle w:val="FootnoteText"/>
        <w:rPr>
          <w:sz w:val="16"/>
          <w:szCs w:val="16"/>
        </w:rPr>
      </w:pPr>
      <w:r w:rsidRPr="0015269C">
        <w:rPr>
          <w:rStyle w:val="FootnoteReference"/>
          <w:sz w:val="16"/>
          <w:szCs w:val="16"/>
        </w:rPr>
        <w:footnoteRef/>
      </w:r>
      <w:r w:rsidRPr="0015269C">
        <w:rPr>
          <w:sz w:val="16"/>
          <w:szCs w:val="16"/>
        </w:rPr>
        <w:t xml:space="preserve"> Runnymede Trust, Islamophobia: towards a working definition, </w:t>
      </w:r>
      <w:r w:rsidR="0090442E" w:rsidRPr="0015269C">
        <w:rPr>
          <w:sz w:val="16"/>
          <w:szCs w:val="16"/>
        </w:rPr>
        <w:t>July 2025</w:t>
      </w:r>
      <w:r w:rsidR="00700ED0" w:rsidRPr="0015269C">
        <w:rPr>
          <w:sz w:val="16"/>
          <w:szCs w:val="16"/>
        </w:rPr>
        <w:t>, https://www.runnymedetrust.org/publications/islamophobia-towards-a-working-definition</w:t>
      </w:r>
    </w:p>
  </w:footnote>
  <w:footnote w:id="27">
    <w:p w14:paraId="3DB26A32" w14:textId="68D119D3" w:rsidR="007D645B" w:rsidRPr="0015269C" w:rsidRDefault="007D645B">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Human Rights Watch, UK: Hostile compensation scheme fails Windrush victims, 17 April 2023 https://www.hrw.org/news/2023/04/17/uk-hostile-compensation-scheme-fails-windrush-victims</w:t>
      </w:r>
      <w:r w:rsidRPr="0015269C">
        <w:rPr>
          <w:sz w:val="16"/>
          <w:szCs w:val="16"/>
        </w:rPr>
        <w:t> </w:t>
      </w:r>
    </w:p>
  </w:footnote>
  <w:footnote w:id="28">
    <w:p w14:paraId="5783084C" w14:textId="68CF2D7B" w:rsidR="007D645B" w:rsidRPr="0015269C" w:rsidRDefault="007D645B">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Kings College London Law Clinic, The Windrush Compensation Scheme: A Comparative Analysis, 13 February 2024 https://www.kcl.ac.uk/legal-clinic/assets/the-wcs-a-comparative-analysis-feb-2024-new-attempt-2.pdf</w:t>
      </w:r>
    </w:p>
  </w:footnote>
  <w:footnote w:id="29">
    <w:p w14:paraId="1510D8EA" w14:textId="6E23D544" w:rsidR="00065992" w:rsidRPr="0015269C" w:rsidRDefault="00065992">
      <w:pPr>
        <w:pStyle w:val="FootnoteText"/>
        <w:rPr>
          <w:sz w:val="16"/>
          <w:szCs w:val="16"/>
        </w:rPr>
      </w:pPr>
      <w:r w:rsidRPr="0015269C">
        <w:rPr>
          <w:rStyle w:val="FootnoteReference"/>
          <w:sz w:val="16"/>
          <w:szCs w:val="16"/>
        </w:rPr>
        <w:footnoteRef/>
      </w:r>
      <w:r w:rsidRPr="0015269C">
        <w:rPr>
          <w:sz w:val="16"/>
          <w:szCs w:val="16"/>
        </w:rPr>
        <w:t xml:space="preserve"> </w:t>
      </w:r>
      <w:r w:rsidR="009F396E" w:rsidRPr="0015269C">
        <w:rPr>
          <w:sz w:val="16"/>
          <w:szCs w:val="16"/>
          <w:lang w:val="en-US"/>
        </w:rPr>
        <w:t>Office of the Windrush Commissioner, Letter to Minister for Migration and Citizenship, 11 December 202</w:t>
      </w:r>
      <w:r w:rsidR="00C171AB" w:rsidRPr="0015269C">
        <w:rPr>
          <w:sz w:val="16"/>
          <w:szCs w:val="16"/>
          <w:lang w:val="en-US"/>
        </w:rPr>
        <w:t>5 https://www.windrushcommissioner.uk/letter-to-minister-mike-tapp-from-windrush-commissioner-with-further-recommendations/</w:t>
      </w:r>
    </w:p>
  </w:footnote>
  <w:footnote w:id="30">
    <w:p w14:paraId="22757FCC" w14:textId="5F6A7F4E" w:rsidR="00124F2B" w:rsidRPr="0015269C" w:rsidRDefault="00124F2B">
      <w:pPr>
        <w:pStyle w:val="FootnoteText"/>
        <w:rPr>
          <w:sz w:val="16"/>
          <w:szCs w:val="16"/>
        </w:rPr>
      </w:pPr>
      <w:r w:rsidRPr="0015269C">
        <w:rPr>
          <w:rStyle w:val="FootnoteReference"/>
          <w:sz w:val="16"/>
          <w:szCs w:val="16"/>
        </w:rPr>
        <w:footnoteRef/>
      </w:r>
      <w:r w:rsidRPr="0015269C">
        <w:rPr>
          <w:sz w:val="16"/>
          <w:szCs w:val="16"/>
        </w:rPr>
        <w:t xml:space="preserve"> Parliamentary and Health Service Ombudsman, Windrush Compensation Scheme Improvements called for after another family impacted by failings, 18 September 2025</w:t>
      </w:r>
      <w:r w:rsidR="003D5293" w:rsidRPr="0015269C">
        <w:rPr>
          <w:sz w:val="16"/>
          <w:szCs w:val="16"/>
        </w:rPr>
        <w:t xml:space="preserve"> https://www.ombudsman.org.uk/news-and-blog/news/windrush-compensation-scheme-improvements-called-after-another-family-impacted</w:t>
      </w:r>
    </w:p>
  </w:footnote>
  <w:footnote w:id="31">
    <w:p w14:paraId="645FF5C5" w14:textId="72F1A884" w:rsidR="00FF7DBF" w:rsidRPr="0015269C" w:rsidRDefault="00FF7DBF">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National Audit Office, </w:t>
      </w:r>
      <w:hyperlink r:id="rId6" w:tgtFrame="_blank" w:history="1">
        <w:r w:rsidRPr="0015269C">
          <w:rPr>
            <w:rStyle w:val="Hyperlink"/>
            <w:i/>
            <w:iCs/>
            <w:sz w:val="16"/>
            <w:szCs w:val="16"/>
            <w:lang w:val="en-US"/>
          </w:rPr>
          <w:t>Government’s compensation and financial recognition schemes</w:t>
        </w:r>
      </w:hyperlink>
      <w:r w:rsidRPr="0015269C">
        <w:rPr>
          <w:sz w:val="16"/>
          <w:szCs w:val="16"/>
          <w:lang w:val="en-US"/>
        </w:rPr>
        <w:t>, Session 2024-2026, April 2026, HC 1817,</w:t>
      </w:r>
      <w:r w:rsidRPr="0015269C">
        <w:rPr>
          <w:i/>
          <w:iCs/>
          <w:sz w:val="16"/>
          <w:szCs w:val="16"/>
          <w:lang w:val="en-US"/>
        </w:rPr>
        <w:t> </w:t>
      </w:r>
      <w:r w:rsidRPr="0015269C">
        <w:rPr>
          <w:sz w:val="16"/>
          <w:szCs w:val="16"/>
          <w:lang w:val="en-US"/>
        </w:rPr>
        <w:t>Fig 2</w:t>
      </w:r>
    </w:p>
  </w:footnote>
  <w:footnote w:id="32">
    <w:p w14:paraId="70CDFC80" w14:textId="42B145EE" w:rsidR="00FC0F6A" w:rsidRPr="0015269C" w:rsidRDefault="00FC0F6A">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Justice, </w:t>
      </w:r>
      <w:hyperlink r:id="rId7" w:tgtFrame="_blank" w:history="1">
        <w:r w:rsidRPr="0015269C">
          <w:rPr>
            <w:rStyle w:val="Hyperlink"/>
            <w:i/>
            <w:iCs/>
            <w:sz w:val="16"/>
            <w:szCs w:val="16"/>
            <w:lang w:val="en-US"/>
          </w:rPr>
          <w:t>People need legal help: The value of legal representation in the Windrush Compensation Scheme</w:t>
        </w:r>
      </w:hyperlink>
      <w:r w:rsidRPr="0015269C">
        <w:rPr>
          <w:sz w:val="16"/>
          <w:szCs w:val="16"/>
          <w:lang w:val="en-US"/>
        </w:rPr>
        <w:t>, published June 2025, p7</w:t>
      </w:r>
    </w:p>
  </w:footnote>
  <w:footnote w:id="33">
    <w:p w14:paraId="76E81BAD" w14:textId="41B210C7" w:rsidR="00E053BA" w:rsidRPr="0015269C" w:rsidRDefault="00E053BA">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Office of the Windrush Commissioner, Letter to Minister for Migration and Citizenship, 11 December 2025 https://www.windrushcommissioner.uk/letter-to-minister-mike-tapp-from-windrush-commissioner-with-further-recommendations/</w:t>
      </w:r>
    </w:p>
  </w:footnote>
  <w:footnote w:id="34">
    <w:p w14:paraId="01477555" w14:textId="04806341" w:rsidR="00DC1B22" w:rsidRPr="0015269C" w:rsidRDefault="00DC1B22">
      <w:pPr>
        <w:pStyle w:val="FootnoteText"/>
        <w:rPr>
          <w:sz w:val="16"/>
          <w:szCs w:val="16"/>
        </w:rPr>
      </w:pPr>
      <w:r w:rsidRPr="0015269C">
        <w:rPr>
          <w:rStyle w:val="FootnoteReference"/>
          <w:sz w:val="16"/>
          <w:szCs w:val="16"/>
        </w:rPr>
        <w:footnoteRef/>
      </w:r>
      <w:r w:rsidRPr="0015269C">
        <w:rPr>
          <w:sz w:val="16"/>
          <w:szCs w:val="16"/>
        </w:rPr>
        <w:t xml:space="preserve"> Amnesty International UK, </w:t>
      </w:r>
      <w:hyperlink r:id="rId8" w:tgtFrame="_blank" w:history="1">
        <w:r w:rsidRPr="0015269C">
          <w:rPr>
            <w:rStyle w:val="Hyperlink"/>
            <w:i/>
            <w:iCs/>
            <w:sz w:val="16"/>
            <w:szCs w:val="16"/>
          </w:rPr>
          <w:t>Submission to the Windrush Lessons Learned Review</w:t>
        </w:r>
      </w:hyperlink>
      <w:r w:rsidRPr="0015269C">
        <w:rPr>
          <w:sz w:val="16"/>
          <w:szCs w:val="16"/>
        </w:rPr>
        <w:t>, October 2018</w:t>
      </w:r>
    </w:p>
  </w:footnote>
  <w:footnote w:id="35">
    <w:p w14:paraId="355B118C" w14:textId="6D98349F" w:rsidR="00106DC9" w:rsidRPr="0015269C" w:rsidRDefault="00106DC9">
      <w:pPr>
        <w:pStyle w:val="FootnoteText"/>
        <w:rPr>
          <w:sz w:val="16"/>
          <w:szCs w:val="16"/>
        </w:rPr>
      </w:pPr>
      <w:r w:rsidRPr="0015269C">
        <w:rPr>
          <w:rStyle w:val="FootnoteReference"/>
          <w:sz w:val="16"/>
          <w:szCs w:val="16"/>
        </w:rPr>
        <w:footnoteRef/>
      </w:r>
      <w:r w:rsidRPr="0015269C">
        <w:rPr>
          <w:sz w:val="16"/>
          <w:szCs w:val="16"/>
        </w:rPr>
        <w:t xml:space="preserve"> </w:t>
      </w:r>
      <w:r w:rsidR="00667383" w:rsidRPr="0015269C">
        <w:rPr>
          <w:sz w:val="16"/>
          <w:szCs w:val="16"/>
        </w:rPr>
        <w:t xml:space="preserve">Home Office, Independent Report: </w:t>
      </w:r>
      <w:r w:rsidRPr="0015269C">
        <w:rPr>
          <w:sz w:val="16"/>
          <w:szCs w:val="16"/>
        </w:rPr>
        <w:t xml:space="preserve">The Historical Roots of the Windrush Scandal, </w:t>
      </w:r>
      <w:r w:rsidR="00667383" w:rsidRPr="0015269C">
        <w:rPr>
          <w:sz w:val="16"/>
          <w:szCs w:val="16"/>
        </w:rPr>
        <w:t xml:space="preserve">26 September 2024 </w:t>
      </w:r>
      <w:r w:rsidR="00F40A5B" w:rsidRPr="0015269C">
        <w:rPr>
          <w:sz w:val="16"/>
          <w:szCs w:val="16"/>
        </w:rPr>
        <w:t>https://www.gov.uk/government/publications/the-historical-roots-of-the-windrush-scandal</w:t>
      </w:r>
    </w:p>
  </w:footnote>
  <w:footnote w:id="36">
    <w:p w14:paraId="68EE5B44" w14:textId="0F1C48CB" w:rsidR="001F7649" w:rsidRPr="0015269C" w:rsidRDefault="001F7649">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The date of commencement of the British Nationality Act 1981.</w:t>
      </w:r>
    </w:p>
  </w:footnote>
  <w:footnote w:id="37">
    <w:p w14:paraId="42ACB26F" w14:textId="64AC63C7" w:rsidR="00094D3E" w:rsidRPr="0015269C" w:rsidRDefault="00094D3E">
      <w:pPr>
        <w:pStyle w:val="FootnoteText"/>
        <w:rPr>
          <w:sz w:val="16"/>
          <w:szCs w:val="16"/>
        </w:rPr>
      </w:pPr>
      <w:r w:rsidRPr="0015269C">
        <w:rPr>
          <w:rStyle w:val="FootnoteReference"/>
          <w:sz w:val="16"/>
          <w:szCs w:val="16"/>
        </w:rPr>
        <w:footnoteRef/>
      </w:r>
      <w:r w:rsidRPr="0015269C">
        <w:rPr>
          <w:sz w:val="16"/>
          <w:szCs w:val="16"/>
        </w:rPr>
        <w:t xml:space="preserve"> See </w:t>
      </w:r>
      <w:proofErr w:type="spellStart"/>
      <w:r w:rsidRPr="0015269C">
        <w:rPr>
          <w:sz w:val="16"/>
          <w:szCs w:val="16"/>
        </w:rPr>
        <w:t>e.g</w:t>
      </w:r>
      <w:proofErr w:type="spellEnd"/>
      <w:r w:rsidRPr="0015269C">
        <w:rPr>
          <w:sz w:val="16"/>
          <w:szCs w:val="16"/>
        </w:rPr>
        <w:t>, sections 1(3) and (4), and 7 of the British Nationality Act 1981.</w:t>
      </w:r>
    </w:p>
  </w:footnote>
  <w:footnote w:id="38">
    <w:p w14:paraId="1DECF905" w14:textId="6D833D43" w:rsidR="003D541F" w:rsidRPr="0015269C" w:rsidRDefault="003D541F">
      <w:pPr>
        <w:pStyle w:val="FootnoteText"/>
        <w:rPr>
          <w:sz w:val="16"/>
          <w:szCs w:val="16"/>
        </w:rPr>
      </w:pPr>
      <w:r w:rsidRPr="0015269C">
        <w:rPr>
          <w:rStyle w:val="FootnoteReference"/>
          <w:sz w:val="16"/>
          <w:szCs w:val="16"/>
        </w:rPr>
        <w:footnoteRef/>
      </w:r>
      <w:r w:rsidRPr="0015269C">
        <w:rPr>
          <w:sz w:val="16"/>
          <w:szCs w:val="16"/>
        </w:rPr>
        <w:t xml:space="preserve"> Home </w:t>
      </w:r>
      <w:proofErr w:type="spellStart"/>
      <w:r w:rsidRPr="0015269C">
        <w:rPr>
          <w:sz w:val="16"/>
          <w:szCs w:val="16"/>
        </w:rPr>
        <w:t>Office,</w:t>
      </w:r>
      <w:hyperlink r:id="rId9" w:tgtFrame="_blank" w:history="1">
        <w:r w:rsidRPr="0015269C">
          <w:rPr>
            <w:rStyle w:val="Hyperlink"/>
            <w:i/>
            <w:iCs/>
            <w:sz w:val="16"/>
            <w:szCs w:val="16"/>
          </w:rPr>
          <w:t>Windrush</w:t>
        </w:r>
        <w:proofErr w:type="spellEnd"/>
        <w:r w:rsidRPr="0015269C">
          <w:rPr>
            <w:rStyle w:val="Hyperlink"/>
            <w:i/>
            <w:iCs/>
            <w:sz w:val="16"/>
            <w:szCs w:val="16"/>
          </w:rPr>
          <w:t xml:space="preserve"> Lessons Learned Review</w:t>
        </w:r>
      </w:hyperlink>
      <w:r w:rsidRPr="0015269C">
        <w:rPr>
          <w:sz w:val="16"/>
          <w:szCs w:val="16"/>
        </w:rPr>
        <w:t>, March 2020, HC 93, pp12 &amp; 59</w:t>
      </w:r>
    </w:p>
  </w:footnote>
  <w:footnote w:id="39">
    <w:p w14:paraId="26358DBB" w14:textId="04EA9DB2" w:rsidR="001D5033" w:rsidRPr="0015269C" w:rsidRDefault="001D5033">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Sections 11 and 1 of the British Nationality Act 1981 respectively.</w:t>
      </w:r>
      <w:r w:rsidRPr="0015269C">
        <w:rPr>
          <w:sz w:val="16"/>
          <w:szCs w:val="16"/>
        </w:rPr>
        <w:t> </w:t>
      </w:r>
    </w:p>
  </w:footnote>
  <w:footnote w:id="40">
    <w:p w14:paraId="06933D6A" w14:textId="2F661ECD" w:rsidR="0091301D" w:rsidRPr="0015269C" w:rsidRDefault="0091301D">
      <w:pPr>
        <w:pStyle w:val="FootnoteText"/>
        <w:rPr>
          <w:sz w:val="16"/>
          <w:szCs w:val="16"/>
        </w:rPr>
      </w:pPr>
      <w:r w:rsidRPr="0015269C">
        <w:rPr>
          <w:rStyle w:val="FootnoteReference"/>
          <w:sz w:val="16"/>
          <w:szCs w:val="16"/>
        </w:rPr>
        <w:footnoteRef/>
      </w:r>
      <w:r w:rsidRPr="0015269C">
        <w:rPr>
          <w:sz w:val="16"/>
          <w:szCs w:val="16"/>
        </w:rPr>
        <w:t xml:space="preserve"> People born in the UK to a parent who is a British citizen or settled (i.e., has permanent residence) are British citizens automatically at birth: section 1, British Nationality Act 1981. Other people born in the UK become entitled to be registered as British citizens in their childhood if a parent becomes a British citizen or settled or at any time from their tenth birthday if the UK has continued to be their home to that point: sections 1(3) &amp; (4), British Nationality Act 1981.</w:t>
      </w:r>
    </w:p>
  </w:footnote>
  <w:footnote w:id="41">
    <w:p w14:paraId="0F7BBA1B" w14:textId="2C614284" w:rsidR="0091301D" w:rsidRPr="0015269C" w:rsidRDefault="0091301D">
      <w:pPr>
        <w:pStyle w:val="FootnoteText"/>
        <w:rPr>
          <w:sz w:val="16"/>
          <w:szCs w:val="16"/>
        </w:rPr>
      </w:pPr>
      <w:r w:rsidRPr="0015269C">
        <w:rPr>
          <w:rStyle w:val="FootnoteReference"/>
          <w:sz w:val="16"/>
          <w:szCs w:val="16"/>
        </w:rPr>
        <w:footnoteRef/>
      </w:r>
      <w:r w:rsidRPr="0015269C">
        <w:rPr>
          <w:sz w:val="16"/>
          <w:szCs w:val="16"/>
        </w:rPr>
        <w:t xml:space="preserve"> These include imposition of fees for registration at above the administrative cost of that function, the introduction of a character requirement for registration of citizenship for persons aged 10 or older: see </w:t>
      </w:r>
      <w:r w:rsidRPr="0015269C">
        <w:rPr>
          <w:i/>
          <w:iCs/>
          <w:sz w:val="16"/>
          <w:szCs w:val="16"/>
        </w:rPr>
        <w:t>Reasserting Rights to British Citizenship Through Registration</w:t>
      </w:r>
      <w:r w:rsidRPr="0015269C">
        <w:rPr>
          <w:sz w:val="16"/>
          <w:szCs w:val="16"/>
        </w:rPr>
        <w:t>, IANL, Vol 34, No 2, 2020. A further problem is the failure of the UK to inform the public of its nationality laws, including the importance of registering children’s citizenship rights.</w:t>
      </w:r>
    </w:p>
  </w:footnote>
  <w:footnote w:id="42">
    <w:p w14:paraId="3792DA5D" w14:textId="47007046" w:rsidR="00C34460" w:rsidRPr="0015269C" w:rsidRDefault="00C34460">
      <w:pPr>
        <w:pStyle w:val="FootnoteText"/>
        <w:rPr>
          <w:sz w:val="16"/>
          <w:szCs w:val="16"/>
        </w:rPr>
      </w:pPr>
      <w:r w:rsidRPr="0015269C">
        <w:rPr>
          <w:rStyle w:val="FootnoteReference"/>
          <w:sz w:val="16"/>
          <w:szCs w:val="16"/>
        </w:rPr>
        <w:footnoteRef/>
      </w:r>
      <w:r w:rsidRPr="0015269C">
        <w:rPr>
          <w:sz w:val="16"/>
          <w:szCs w:val="16"/>
        </w:rPr>
        <w:t xml:space="preserve"> The Government is pursuing proposals to delay or block migrants who have lawfully made their home in the UK becoming permanent residents which will have a dramatic effect on the number of children born and growing up in the UK without British citizenship. Further consideration and explanation of this matter is available from the </w:t>
      </w:r>
      <w:hyperlink r:id="rId10" w:tgtFrame="_blank" w:history="1">
        <w:r w:rsidRPr="0015269C">
          <w:rPr>
            <w:rStyle w:val="Hyperlink"/>
            <w:sz w:val="16"/>
            <w:szCs w:val="16"/>
          </w:rPr>
          <w:t>joint PRCBC and Amnesty UK submission</w:t>
        </w:r>
      </w:hyperlink>
      <w:r w:rsidRPr="0015269C">
        <w:rPr>
          <w:sz w:val="16"/>
          <w:szCs w:val="16"/>
        </w:rPr>
        <w:t> to the Justice and Home Affairs Committee of the UK Parliament on these proposals.</w:t>
      </w:r>
    </w:p>
  </w:footnote>
  <w:footnote w:id="43">
    <w:p w14:paraId="6BA1196B" w14:textId="1B09E1AE" w:rsidR="00CF71A7" w:rsidRPr="0015269C" w:rsidRDefault="00CF71A7">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Articles 2 &amp; 5(d)(iii)</w:t>
      </w:r>
    </w:p>
  </w:footnote>
  <w:footnote w:id="44">
    <w:p w14:paraId="7B74B3F6" w14:textId="782B6CA0" w:rsidR="006A336F" w:rsidRPr="0015269C" w:rsidRDefault="006A336F">
      <w:pPr>
        <w:pStyle w:val="FootnoteText"/>
        <w:rPr>
          <w:sz w:val="16"/>
          <w:szCs w:val="16"/>
        </w:rPr>
      </w:pPr>
      <w:r w:rsidRPr="0015269C">
        <w:rPr>
          <w:rStyle w:val="FootnoteReference"/>
          <w:sz w:val="16"/>
          <w:szCs w:val="16"/>
        </w:rPr>
        <w:footnoteRef/>
      </w:r>
      <w:r w:rsidRPr="0015269C">
        <w:rPr>
          <w:sz w:val="16"/>
          <w:szCs w:val="16"/>
        </w:rPr>
        <w:t xml:space="preserve"> </w:t>
      </w:r>
      <w:hyperlink r:id="rId11" w:tgtFrame="_blank" w:history="1">
        <w:r w:rsidRPr="0015269C">
          <w:rPr>
            <w:rStyle w:val="Hyperlink"/>
            <w:sz w:val="16"/>
            <w:szCs w:val="16"/>
          </w:rPr>
          <w:t>Joint general recommendation No. 38 (2025) of the Committee on the Elimination of Racial Discrimination and general comment No. 7 (2025) of the Committee on the Protection of the Rights of All Migrant Workers and Members of Their Families on general guidelines for eradicating xenophobia towards migrants and others perceived as such</w:t>
        </w:r>
      </w:hyperlink>
      <w:r w:rsidRPr="0015269C">
        <w:rPr>
          <w:sz w:val="16"/>
          <w:szCs w:val="16"/>
        </w:rPr>
        <w:t>, paragraph 12</w:t>
      </w:r>
    </w:p>
  </w:footnote>
  <w:footnote w:id="45">
    <w:p w14:paraId="30419D5E" w14:textId="6A32A7A8" w:rsidR="00A74597" w:rsidRPr="0015269C" w:rsidRDefault="00A74597">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The development of these powers is </w:t>
      </w:r>
      <w:proofErr w:type="spellStart"/>
      <w:r w:rsidRPr="0015269C">
        <w:rPr>
          <w:sz w:val="16"/>
          <w:szCs w:val="16"/>
          <w:lang w:val="en-US"/>
        </w:rPr>
        <w:t>summarised</w:t>
      </w:r>
      <w:proofErr w:type="spellEnd"/>
      <w:r w:rsidRPr="0015269C">
        <w:rPr>
          <w:sz w:val="16"/>
          <w:szCs w:val="16"/>
          <w:lang w:val="en-US"/>
        </w:rPr>
        <w:t> in the Appendix to the </w:t>
      </w:r>
      <w:hyperlink r:id="rId12" w:tgtFrame="_blank" w:history="1">
        <w:r w:rsidRPr="0015269C">
          <w:rPr>
            <w:rStyle w:val="Hyperlink"/>
            <w:sz w:val="16"/>
            <w:szCs w:val="16"/>
            <w:lang w:val="en-US"/>
          </w:rPr>
          <w:t>joint Amnesty and PRCBC deprivation briefing</w:t>
        </w:r>
      </w:hyperlink>
      <w:r w:rsidRPr="0015269C">
        <w:rPr>
          <w:sz w:val="16"/>
          <w:szCs w:val="16"/>
          <w:lang w:val="en-US"/>
        </w:rPr>
        <w:t> on the Nationality and Borders Bill 2021-2022 and in Runnymede and Reprieve, </w:t>
      </w:r>
      <w:hyperlink r:id="rId13" w:tgtFrame="_blank" w:history="1">
        <w:r w:rsidRPr="0015269C">
          <w:rPr>
            <w:rStyle w:val="Hyperlink"/>
            <w:i/>
            <w:iCs/>
            <w:sz w:val="16"/>
            <w:szCs w:val="16"/>
            <w:lang w:val="en-US"/>
          </w:rPr>
          <w:t>Stripped: The Citizenship Divide</w:t>
        </w:r>
      </w:hyperlink>
      <w:r w:rsidRPr="0015269C">
        <w:rPr>
          <w:sz w:val="16"/>
          <w:szCs w:val="16"/>
          <w:lang w:val="en-US"/>
        </w:rPr>
        <w:t>, December 2025 </w:t>
      </w:r>
      <w:r w:rsidRPr="0015269C">
        <w:rPr>
          <w:sz w:val="16"/>
          <w:szCs w:val="16"/>
        </w:rPr>
        <w:t> </w:t>
      </w:r>
    </w:p>
  </w:footnote>
  <w:footnote w:id="46">
    <w:p w14:paraId="1D529E6C" w14:textId="44E5DB85" w:rsidR="00406F43" w:rsidRPr="0015269C" w:rsidRDefault="00406F43">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As more fully discussed in Institute of Race Relations (IRR), </w:t>
      </w:r>
      <w:r w:rsidRPr="0015269C">
        <w:rPr>
          <w:i/>
          <w:iCs/>
          <w:sz w:val="16"/>
          <w:szCs w:val="16"/>
          <w:lang w:val="en-US"/>
        </w:rPr>
        <w:t>Citizenship: From Right to Privilege</w:t>
      </w:r>
      <w:r w:rsidRPr="0015269C">
        <w:rPr>
          <w:sz w:val="16"/>
          <w:szCs w:val="16"/>
          <w:lang w:val="en-US"/>
        </w:rPr>
        <w:t>, 2022</w:t>
      </w:r>
    </w:p>
  </w:footnote>
  <w:footnote w:id="47">
    <w:p w14:paraId="783151FB" w14:textId="4D49C99B" w:rsidR="00406F43" w:rsidRPr="0015269C" w:rsidRDefault="00406F43">
      <w:pPr>
        <w:pStyle w:val="FootnoteText"/>
        <w:rPr>
          <w:sz w:val="16"/>
          <w:szCs w:val="16"/>
        </w:rPr>
      </w:pPr>
      <w:r w:rsidRPr="0015269C">
        <w:rPr>
          <w:rStyle w:val="FootnoteReference"/>
          <w:sz w:val="16"/>
          <w:szCs w:val="16"/>
        </w:rPr>
        <w:footnoteRef/>
      </w:r>
      <w:r w:rsidRPr="0015269C">
        <w:rPr>
          <w:sz w:val="16"/>
          <w:szCs w:val="16"/>
        </w:rPr>
        <w:t xml:space="preserve"> </w:t>
      </w:r>
      <w:r w:rsidRPr="0015269C">
        <w:rPr>
          <w:sz w:val="16"/>
          <w:szCs w:val="16"/>
          <w:lang w:val="en-US"/>
        </w:rPr>
        <w:t>See e.g., Runnymede and Reprieve, </w:t>
      </w:r>
      <w:r w:rsidRPr="0015269C">
        <w:rPr>
          <w:i/>
          <w:iCs/>
          <w:sz w:val="16"/>
          <w:szCs w:val="16"/>
          <w:lang w:val="en-US"/>
        </w:rPr>
        <w:t>op cit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57164E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1D60261"/>
    <w:multiLevelType w:val="hybridMultilevel"/>
    <w:tmpl w:val="6ED8B5FA"/>
    <w:lvl w:ilvl="0" w:tplc="DF648FFA">
      <w:start w:val="1"/>
      <w:numFmt w:val="bullet"/>
      <w:pStyle w:val="AIUKBulletpoin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923E6"/>
    <w:multiLevelType w:val="hybridMultilevel"/>
    <w:tmpl w:val="7756B2F4"/>
    <w:lvl w:ilvl="0" w:tplc="E306195E">
      <w:start w:val="3"/>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9B85071"/>
    <w:multiLevelType w:val="hybridMultilevel"/>
    <w:tmpl w:val="9AE25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B824E0"/>
    <w:multiLevelType w:val="hybridMultilevel"/>
    <w:tmpl w:val="0CCC2ACA"/>
    <w:lvl w:ilvl="0" w:tplc="0CB02EE0">
      <w:start w:val="1"/>
      <w:numFmt w:val="decimal"/>
      <w:pStyle w:val="AIUKNumberList"/>
      <w:lvlText w:val="%1."/>
      <w:lvlJc w:val="left"/>
      <w:pPr>
        <w:ind w:left="720" w:hanging="360"/>
      </w:pPr>
      <w:rPr>
        <w:rFonts w:cs="AppleSystemUIFont" w:hint="default"/>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3178713">
    <w:abstractNumId w:val="1"/>
  </w:num>
  <w:num w:numId="2" w16cid:durableId="480536196">
    <w:abstractNumId w:val="4"/>
  </w:num>
  <w:num w:numId="3" w16cid:durableId="186717703">
    <w:abstractNumId w:val="4"/>
    <w:lvlOverride w:ilvl="0">
      <w:startOverride w:val="1"/>
    </w:lvlOverride>
  </w:num>
  <w:num w:numId="4" w16cid:durableId="787159882">
    <w:abstractNumId w:val="0"/>
  </w:num>
  <w:num w:numId="5" w16cid:durableId="657421500">
    <w:abstractNumId w:val="3"/>
  </w:num>
  <w:num w:numId="6" w16cid:durableId="5275236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displayBackgroundShape/>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revisionView w:formatting="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F8C"/>
    <w:rsid w:val="00002D74"/>
    <w:rsid w:val="00017D39"/>
    <w:rsid w:val="00055C06"/>
    <w:rsid w:val="000628E0"/>
    <w:rsid w:val="00065992"/>
    <w:rsid w:val="00081B31"/>
    <w:rsid w:val="00085B63"/>
    <w:rsid w:val="00094D3E"/>
    <w:rsid w:val="000A0BE7"/>
    <w:rsid w:val="000B42A6"/>
    <w:rsid w:val="000B498B"/>
    <w:rsid w:val="000C52FD"/>
    <w:rsid w:val="000D32DC"/>
    <w:rsid w:val="000D6619"/>
    <w:rsid w:val="00106DC9"/>
    <w:rsid w:val="001117BD"/>
    <w:rsid w:val="00124F2B"/>
    <w:rsid w:val="0013598F"/>
    <w:rsid w:val="0015269C"/>
    <w:rsid w:val="0018405E"/>
    <w:rsid w:val="001968C6"/>
    <w:rsid w:val="001A09A1"/>
    <w:rsid w:val="001B68B0"/>
    <w:rsid w:val="001D5033"/>
    <w:rsid w:val="001D5C41"/>
    <w:rsid w:val="001F7649"/>
    <w:rsid w:val="00215059"/>
    <w:rsid w:val="00265037"/>
    <w:rsid w:val="002E3F65"/>
    <w:rsid w:val="00317EBF"/>
    <w:rsid w:val="003547B3"/>
    <w:rsid w:val="00355379"/>
    <w:rsid w:val="00363453"/>
    <w:rsid w:val="003761D8"/>
    <w:rsid w:val="003D409E"/>
    <w:rsid w:val="003D5293"/>
    <w:rsid w:val="003D541F"/>
    <w:rsid w:val="003F121D"/>
    <w:rsid w:val="00406F43"/>
    <w:rsid w:val="0042441C"/>
    <w:rsid w:val="00434B0F"/>
    <w:rsid w:val="004D7D7E"/>
    <w:rsid w:val="004E4CA3"/>
    <w:rsid w:val="00504669"/>
    <w:rsid w:val="00510A2B"/>
    <w:rsid w:val="00513E16"/>
    <w:rsid w:val="00522024"/>
    <w:rsid w:val="00530279"/>
    <w:rsid w:val="005706D1"/>
    <w:rsid w:val="005A7479"/>
    <w:rsid w:val="005B7700"/>
    <w:rsid w:val="005C7C8A"/>
    <w:rsid w:val="005E2409"/>
    <w:rsid w:val="00632793"/>
    <w:rsid w:val="0064752E"/>
    <w:rsid w:val="00651EF4"/>
    <w:rsid w:val="00667383"/>
    <w:rsid w:val="006A336F"/>
    <w:rsid w:val="006C615A"/>
    <w:rsid w:val="006F07FD"/>
    <w:rsid w:val="00700ED0"/>
    <w:rsid w:val="00745AE2"/>
    <w:rsid w:val="007966D9"/>
    <w:rsid w:val="007D645B"/>
    <w:rsid w:val="007E7F72"/>
    <w:rsid w:val="00801062"/>
    <w:rsid w:val="008255E5"/>
    <w:rsid w:val="00845243"/>
    <w:rsid w:val="008515AD"/>
    <w:rsid w:val="008A200B"/>
    <w:rsid w:val="008E4B9A"/>
    <w:rsid w:val="008E7D71"/>
    <w:rsid w:val="00901E61"/>
    <w:rsid w:val="00902747"/>
    <w:rsid w:val="0090442E"/>
    <w:rsid w:val="0091301D"/>
    <w:rsid w:val="00916F4C"/>
    <w:rsid w:val="00920148"/>
    <w:rsid w:val="009257AB"/>
    <w:rsid w:val="00926D29"/>
    <w:rsid w:val="0093653B"/>
    <w:rsid w:val="00940541"/>
    <w:rsid w:val="00975F25"/>
    <w:rsid w:val="00996B23"/>
    <w:rsid w:val="009B2F8C"/>
    <w:rsid w:val="009B6164"/>
    <w:rsid w:val="009F21FE"/>
    <w:rsid w:val="009F396E"/>
    <w:rsid w:val="00A17EC4"/>
    <w:rsid w:val="00A23825"/>
    <w:rsid w:val="00A450BC"/>
    <w:rsid w:val="00A470AD"/>
    <w:rsid w:val="00A74597"/>
    <w:rsid w:val="00A95BE2"/>
    <w:rsid w:val="00AB6A4F"/>
    <w:rsid w:val="00AF17A9"/>
    <w:rsid w:val="00AF3442"/>
    <w:rsid w:val="00B10B89"/>
    <w:rsid w:val="00B22C05"/>
    <w:rsid w:val="00B405EA"/>
    <w:rsid w:val="00B620B0"/>
    <w:rsid w:val="00B64C97"/>
    <w:rsid w:val="00BA26CE"/>
    <w:rsid w:val="00BB5082"/>
    <w:rsid w:val="00BD09E1"/>
    <w:rsid w:val="00BE1941"/>
    <w:rsid w:val="00BF5BF4"/>
    <w:rsid w:val="00BF73D0"/>
    <w:rsid w:val="00BF7AA5"/>
    <w:rsid w:val="00C171AB"/>
    <w:rsid w:val="00C33472"/>
    <w:rsid w:val="00C34460"/>
    <w:rsid w:val="00C56699"/>
    <w:rsid w:val="00C5711D"/>
    <w:rsid w:val="00C60049"/>
    <w:rsid w:val="00C6715B"/>
    <w:rsid w:val="00C84226"/>
    <w:rsid w:val="00CF71A7"/>
    <w:rsid w:val="00D03A95"/>
    <w:rsid w:val="00D4012A"/>
    <w:rsid w:val="00D45A7E"/>
    <w:rsid w:val="00D960B6"/>
    <w:rsid w:val="00DA6494"/>
    <w:rsid w:val="00DC1B22"/>
    <w:rsid w:val="00DD6C6D"/>
    <w:rsid w:val="00DE1B1B"/>
    <w:rsid w:val="00DF1290"/>
    <w:rsid w:val="00E053BA"/>
    <w:rsid w:val="00E647A0"/>
    <w:rsid w:val="00EA77DB"/>
    <w:rsid w:val="00EB582D"/>
    <w:rsid w:val="00EB6983"/>
    <w:rsid w:val="00F10C72"/>
    <w:rsid w:val="00F15402"/>
    <w:rsid w:val="00F40A5B"/>
    <w:rsid w:val="00F4144B"/>
    <w:rsid w:val="00F4251A"/>
    <w:rsid w:val="00F52B15"/>
    <w:rsid w:val="00F54DD8"/>
    <w:rsid w:val="00FC0F6A"/>
    <w:rsid w:val="00FC7F33"/>
    <w:rsid w:val="00FF0B3D"/>
    <w:rsid w:val="00FF7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EF8E8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669"/>
    <w:rPr>
      <w:rFonts w:ascii="Amnesty Trade Gothic" w:hAnsi="Amnesty Trade Gothic"/>
    </w:rPr>
  </w:style>
  <w:style w:type="paragraph" w:styleId="Heading1">
    <w:name w:val="heading 1"/>
    <w:basedOn w:val="Normal"/>
    <w:next w:val="Normal"/>
    <w:link w:val="Heading1Char"/>
    <w:uiPriority w:val="9"/>
    <w:qFormat/>
    <w:rsid w:val="009B2F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2F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2F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F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F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F8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F8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F8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F8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2F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2F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2F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F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F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F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F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F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F8C"/>
    <w:rPr>
      <w:rFonts w:eastAsiaTheme="majorEastAsia" w:cstheme="majorBidi"/>
      <w:color w:val="272727" w:themeColor="text1" w:themeTint="D8"/>
    </w:rPr>
  </w:style>
  <w:style w:type="paragraph" w:styleId="Title">
    <w:name w:val="Title"/>
    <w:basedOn w:val="Normal"/>
    <w:next w:val="Normal"/>
    <w:link w:val="TitleChar"/>
    <w:uiPriority w:val="10"/>
    <w:qFormat/>
    <w:rsid w:val="009B2F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F8C"/>
    <w:rPr>
      <w:rFonts w:asciiTheme="majorHAnsi" w:eastAsiaTheme="majorEastAsia" w:hAnsiTheme="majorHAnsi" w:cstheme="majorBidi"/>
      <w:spacing w:val="-10"/>
      <w:kern w:val="28"/>
      <w:sz w:val="56"/>
      <w:szCs w:val="56"/>
    </w:rPr>
  </w:style>
  <w:style w:type="paragraph" w:customStyle="1" w:styleId="AIUKLargesubtitle">
    <w:name w:val="AIUK Large subtitle"/>
    <w:basedOn w:val="Normal"/>
    <w:next w:val="AIUKBodyintropara"/>
    <w:qFormat/>
    <w:rsid w:val="000B42A6"/>
    <w:pPr>
      <w:spacing w:before="120" w:after="120" w:line="192" w:lineRule="auto"/>
    </w:pPr>
    <w:rPr>
      <w:rFonts w:ascii="Amnesty Trade Gothic Cn" w:hAnsi="Amnesty Trade Gothic Cn"/>
      <w:b/>
      <w:bCs/>
      <w:sz w:val="44"/>
      <w:szCs w:val="44"/>
    </w:rPr>
  </w:style>
  <w:style w:type="paragraph" w:customStyle="1" w:styleId="AIUKSmallSubtitle">
    <w:name w:val="AIUK Small Subtitle"/>
    <w:basedOn w:val="Normal"/>
    <w:next w:val="AIUKBody"/>
    <w:qFormat/>
    <w:rsid w:val="000B42A6"/>
    <w:pPr>
      <w:spacing w:line="264" w:lineRule="auto"/>
    </w:pPr>
    <w:rPr>
      <w:rFonts w:ascii="Amnesty Trade Gothic Cn" w:hAnsi="Amnesty Trade Gothic Cn"/>
      <w:b/>
      <w:bCs/>
      <w:sz w:val="32"/>
      <w:szCs w:val="32"/>
    </w:rPr>
  </w:style>
  <w:style w:type="paragraph" w:styleId="Quote">
    <w:name w:val="Quote"/>
    <w:basedOn w:val="Normal"/>
    <w:next w:val="Normal"/>
    <w:link w:val="QuoteChar"/>
    <w:uiPriority w:val="29"/>
    <w:qFormat/>
    <w:rsid w:val="009B2F8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2F8C"/>
    <w:rPr>
      <w:i/>
      <w:iCs/>
      <w:color w:val="404040" w:themeColor="text1" w:themeTint="BF"/>
    </w:rPr>
  </w:style>
  <w:style w:type="paragraph" w:styleId="ListParagraph">
    <w:name w:val="List Paragraph"/>
    <w:basedOn w:val="Normal"/>
    <w:uiPriority w:val="34"/>
    <w:qFormat/>
    <w:rsid w:val="009B2F8C"/>
    <w:pPr>
      <w:ind w:left="720"/>
      <w:contextualSpacing/>
    </w:pPr>
  </w:style>
  <w:style w:type="character" w:styleId="IntenseEmphasis">
    <w:name w:val="Intense Emphasis"/>
    <w:basedOn w:val="DefaultParagraphFont"/>
    <w:uiPriority w:val="21"/>
    <w:qFormat/>
    <w:rsid w:val="009B2F8C"/>
    <w:rPr>
      <w:i/>
      <w:iCs/>
      <w:color w:val="0F4761" w:themeColor="accent1" w:themeShade="BF"/>
    </w:rPr>
  </w:style>
  <w:style w:type="paragraph" w:styleId="IntenseQuote">
    <w:name w:val="Intense Quote"/>
    <w:basedOn w:val="Normal"/>
    <w:next w:val="Normal"/>
    <w:link w:val="IntenseQuoteChar"/>
    <w:uiPriority w:val="30"/>
    <w:qFormat/>
    <w:rsid w:val="009B2F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F8C"/>
    <w:rPr>
      <w:i/>
      <w:iCs/>
      <w:color w:val="0F4761" w:themeColor="accent1" w:themeShade="BF"/>
    </w:rPr>
  </w:style>
  <w:style w:type="character" w:styleId="IntenseReference">
    <w:name w:val="Intense Reference"/>
    <w:basedOn w:val="DefaultParagraphFont"/>
    <w:uiPriority w:val="32"/>
    <w:qFormat/>
    <w:rsid w:val="009B2F8C"/>
    <w:rPr>
      <w:b/>
      <w:bCs/>
      <w:smallCaps/>
      <w:color w:val="0F4761" w:themeColor="accent1" w:themeShade="BF"/>
      <w:spacing w:val="5"/>
    </w:rPr>
  </w:style>
  <w:style w:type="paragraph" w:styleId="Header">
    <w:name w:val="header"/>
    <w:basedOn w:val="Normal"/>
    <w:link w:val="HeaderChar"/>
    <w:uiPriority w:val="99"/>
    <w:unhideWhenUsed/>
    <w:rsid w:val="009B2F8C"/>
    <w:pPr>
      <w:tabs>
        <w:tab w:val="center" w:pos="4513"/>
        <w:tab w:val="right" w:pos="9026"/>
      </w:tabs>
    </w:pPr>
  </w:style>
  <w:style w:type="character" w:customStyle="1" w:styleId="HeaderChar">
    <w:name w:val="Header Char"/>
    <w:basedOn w:val="DefaultParagraphFont"/>
    <w:link w:val="Header"/>
    <w:uiPriority w:val="99"/>
    <w:rsid w:val="009B2F8C"/>
  </w:style>
  <w:style w:type="paragraph" w:styleId="Footer">
    <w:name w:val="footer"/>
    <w:basedOn w:val="Normal"/>
    <w:link w:val="FooterChar"/>
    <w:uiPriority w:val="99"/>
    <w:unhideWhenUsed/>
    <w:rsid w:val="009B2F8C"/>
    <w:pPr>
      <w:tabs>
        <w:tab w:val="center" w:pos="4513"/>
        <w:tab w:val="right" w:pos="9026"/>
      </w:tabs>
    </w:pPr>
  </w:style>
  <w:style w:type="character" w:customStyle="1" w:styleId="FooterChar">
    <w:name w:val="Footer Char"/>
    <w:basedOn w:val="DefaultParagraphFont"/>
    <w:link w:val="Footer"/>
    <w:uiPriority w:val="99"/>
    <w:rsid w:val="009B2F8C"/>
  </w:style>
  <w:style w:type="character" w:styleId="PageNumber">
    <w:name w:val="page number"/>
    <w:basedOn w:val="DefaultParagraphFont"/>
    <w:uiPriority w:val="99"/>
    <w:semiHidden/>
    <w:unhideWhenUsed/>
    <w:rsid w:val="00BF73D0"/>
  </w:style>
  <w:style w:type="paragraph" w:customStyle="1" w:styleId="AIUKBriefingTitle1">
    <w:name w:val="AIUK Briefing Title 1"/>
    <w:basedOn w:val="AIUKBody"/>
    <w:next w:val="AIUKBriefingTitle2"/>
    <w:qFormat/>
    <w:rsid w:val="00B405EA"/>
    <w:pPr>
      <w:spacing w:before="480" w:after="240" w:line="192" w:lineRule="auto"/>
      <w:ind w:right="0"/>
    </w:pPr>
    <w:rPr>
      <w:rFonts w:ascii="Amnesty Trade Gothic Cn" w:hAnsi="Amnesty Trade Gothic Cn"/>
      <w:b/>
      <w:bCs/>
      <w:sz w:val="134"/>
      <w:szCs w:val="134"/>
    </w:rPr>
  </w:style>
  <w:style w:type="paragraph" w:customStyle="1" w:styleId="AIUKBriefingTitle2">
    <w:name w:val="AIUK Briefing Title 2"/>
    <w:basedOn w:val="Normal"/>
    <w:next w:val="AIUKLargesubtitle"/>
    <w:qFormat/>
    <w:rsid w:val="00B405EA"/>
    <w:pPr>
      <w:spacing w:after="480" w:line="216" w:lineRule="auto"/>
    </w:pPr>
    <w:rPr>
      <w:rFonts w:ascii="Amnesty Trade Gothic Cn" w:hAnsi="Amnesty Trade Gothic Cn"/>
      <w:b/>
      <w:bCs/>
      <w:sz w:val="60"/>
      <w:szCs w:val="60"/>
    </w:rPr>
  </w:style>
  <w:style w:type="paragraph" w:customStyle="1" w:styleId="AIUKBodyintropara">
    <w:name w:val="AIUK Body intro para"/>
    <w:basedOn w:val="Normal"/>
    <w:next w:val="AIUKBody"/>
    <w:qFormat/>
    <w:rsid w:val="000B42A6"/>
    <w:pPr>
      <w:spacing w:line="264" w:lineRule="auto"/>
    </w:pPr>
    <w:rPr>
      <w:b/>
      <w:bCs/>
      <w:sz w:val="25"/>
      <w:szCs w:val="25"/>
    </w:rPr>
  </w:style>
  <w:style w:type="paragraph" w:customStyle="1" w:styleId="AIUKBody">
    <w:name w:val="AIUK Body"/>
    <w:basedOn w:val="Normal"/>
    <w:qFormat/>
    <w:rsid w:val="00A470AD"/>
    <w:pPr>
      <w:spacing w:line="264" w:lineRule="auto"/>
      <w:ind w:right="57"/>
    </w:pPr>
  </w:style>
  <w:style w:type="paragraph" w:customStyle="1" w:styleId="AIUKBulletpoint">
    <w:name w:val="AIUK Bullet point"/>
    <w:basedOn w:val="ListParagraph"/>
    <w:qFormat/>
    <w:rsid w:val="00215059"/>
    <w:pPr>
      <w:numPr>
        <w:numId w:val="1"/>
      </w:numPr>
      <w:spacing w:line="264" w:lineRule="auto"/>
      <w:ind w:left="927" w:right="561"/>
    </w:pPr>
  </w:style>
  <w:style w:type="paragraph" w:customStyle="1" w:styleId="AIUKsectionheading">
    <w:name w:val="AIUK section heading"/>
    <w:basedOn w:val="Normal"/>
    <w:next w:val="AIUKBodyintropara"/>
    <w:qFormat/>
    <w:rsid w:val="00215059"/>
    <w:pPr>
      <w:spacing w:before="360" w:after="240" w:line="216" w:lineRule="auto"/>
    </w:pPr>
    <w:rPr>
      <w:rFonts w:ascii="Amnesty Trade Gothic Cn" w:hAnsi="Amnesty Trade Gothic Cn"/>
      <w:b/>
      <w:bCs/>
      <w:sz w:val="72"/>
      <w:szCs w:val="72"/>
    </w:rPr>
  </w:style>
  <w:style w:type="paragraph" w:customStyle="1" w:styleId="AIUKfooter">
    <w:name w:val="AIUK footer"/>
    <w:basedOn w:val="AIUKBody"/>
    <w:qFormat/>
    <w:rsid w:val="005B7700"/>
    <w:pPr>
      <w:ind w:right="360"/>
    </w:pPr>
    <w:rPr>
      <w:b/>
      <w:bCs/>
      <w:sz w:val="21"/>
      <w:szCs w:val="21"/>
    </w:rPr>
  </w:style>
  <w:style w:type="paragraph" w:customStyle="1" w:styleId="AIUKNumberList">
    <w:name w:val="AIUK Number List"/>
    <w:basedOn w:val="ListParagraph"/>
    <w:qFormat/>
    <w:rsid w:val="008E4B9A"/>
    <w:pPr>
      <w:numPr>
        <w:numId w:val="2"/>
      </w:numPr>
      <w:tabs>
        <w:tab w:val="left" w:pos="1394"/>
      </w:tabs>
      <w:spacing w:after="240" w:line="264" w:lineRule="auto"/>
      <w:ind w:left="714" w:hanging="357"/>
    </w:pPr>
    <w:rPr>
      <w:rFonts w:cs="AppleSystemUIFont"/>
      <w:kern w:val="0"/>
    </w:rPr>
  </w:style>
  <w:style w:type="paragraph" w:styleId="ListBullet">
    <w:name w:val="List Bullet"/>
    <w:basedOn w:val="Normal"/>
    <w:uiPriority w:val="99"/>
    <w:unhideWhenUsed/>
    <w:rsid w:val="00215059"/>
    <w:pPr>
      <w:numPr>
        <w:numId w:val="4"/>
      </w:numPr>
      <w:contextualSpacing/>
    </w:pPr>
  </w:style>
  <w:style w:type="character" w:styleId="Hyperlink">
    <w:name w:val="Hyperlink"/>
    <w:basedOn w:val="DefaultParagraphFont"/>
    <w:uiPriority w:val="99"/>
    <w:unhideWhenUsed/>
    <w:rsid w:val="00215059"/>
    <w:rPr>
      <w:color w:val="467886" w:themeColor="hyperlink"/>
      <w:u w:val="single"/>
    </w:rPr>
  </w:style>
  <w:style w:type="character" w:styleId="UnresolvedMention">
    <w:name w:val="Unresolved Mention"/>
    <w:basedOn w:val="DefaultParagraphFont"/>
    <w:uiPriority w:val="99"/>
    <w:semiHidden/>
    <w:unhideWhenUsed/>
    <w:rsid w:val="00215059"/>
    <w:rPr>
      <w:color w:val="605E5C"/>
      <w:shd w:val="clear" w:color="auto" w:fill="E1DFDD"/>
    </w:rPr>
  </w:style>
  <w:style w:type="paragraph" w:styleId="FootnoteText">
    <w:name w:val="footnote text"/>
    <w:basedOn w:val="Normal"/>
    <w:link w:val="FootnoteTextChar"/>
    <w:uiPriority w:val="99"/>
    <w:semiHidden/>
    <w:unhideWhenUsed/>
    <w:rsid w:val="00055C06"/>
    <w:rPr>
      <w:sz w:val="20"/>
      <w:szCs w:val="20"/>
    </w:rPr>
  </w:style>
  <w:style w:type="character" w:customStyle="1" w:styleId="FootnoteTextChar">
    <w:name w:val="Footnote Text Char"/>
    <w:basedOn w:val="DefaultParagraphFont"/>
    <w:link w:val="FootnoteText"/>
    <w:uiPriority w:val="99"/>
    <w:semiHidden/>
    <w:rsid w:val="00055C06"/>
    <w:rPr>
      <w:rFonts w:ascii="Amnesty Trade Gothic" w:hAnsi="Amnesty Trade Gothic"/>
      <w:sz w:val="20"/>
      <w:szCs w:val="20"/>
    </w:rPr>
  </w:style>
  <w:style w:type="character" w:styleId="FootnoteReference">
    <w:name w:val="footnote reference"/>
    <w:basedOn w:val="DefaultParagraphFont"/>
    <w:uiPriority w:val="99"/>
    <w:semiHidden/>
    <w:unhideWhenUsed/>
    <w:rsid w:val="00055C06"/>
    <w:rPr>
      <w:vertAlign w:val="superscript"/>
    </w:rPr>
  </w:style>
  <w:style w:type="paragraph" w:styleId="EndnoteText">
    <w:name w:val="endnote text"/>
    <w:basedOn w:val="Normal"/>
    <w:link w:val="EndnoteTextChar"/>
    <w:uiPriority w:val="99"/>
    <w:semiHidden/>
    <w:unhideWhenUsed/>
    <w:rsid w:val="00055C06"/>
    <w:rPr>
      <w:sz w:val="20"/>
      <w:szCs w:val="20"/>
    </w:rPr>
  </w:style>
  <w:style w:type="character" w:customStyle="1" w:styleId="EndnoteTextChar">
    <w:name w:val="Endnote Text Char"/>
    <w:basedOn w:val="DefaultParagraphFont"/>
    <w:link w:val="EndnoteText"/>
    <w:uiPriority w:val="99"/>
    <w:semiHidden/>
    <w:rsid w:val="00055C06"/>
    <w:rPr>
      <w:rFonts w:ascii="Amnesty Trade Gothic" w:hAnsi="Amnesty Trade Gothic"/>
      <w:sz w:val="20"/>
      <w:szCs w:val="20"/>
    </w:rPr>
  </w:style>
  <w:style w:type="character" w:styleId="EndnoteReference">
    <w:name w:val="endnote reference"/>
    <w:basedOn w:val="DefaultParagraphFont"/>
    <w:uiPriority w:val="99"/>
    <w:semiHidden/>
    <w:unhideWhenUsed/>
    <w:rsid w:val="00055C06"/>
    <w:rPr>
      <w:vertAlign w:val="superscript"/>
    </w:rPr>
  </w:style>
  <w:style w:type="paragraph" w:customStyle="1" w:styleId="paragraph">
    <w:name w:val="paragraph"/>
    <w:basedOn w:val="Normal"/>
    <w:rsid w:val="00632793"/>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632793"/>
  </w:style>
  <w:style w:type="character" w:customStyle="1" w:styleId="tabchar">
    <w:name w:val="tabchar"/>
    <w:basedOn w:val="DefaultParagraphFont"/>
    <w:rsid w:val="00632793"/>
  </w:style>
  <w:style w:type="character" w:customStyle="1" w:styleId="eop">
    <w:name w:val="eop"/>
    <w:basedOn w:val="DefaultParagraphFont"/>
    <w:rsid w:val="00632793"/>
  </w:style>
  <w:style w:type="character" w:styleId="FollowedHyperlink">
    <w:name w:val="FollowedHyperlink"/>
    <w:basedOn w:val="DefaultParagraphFont"/>
    <w:uiPriority w:val="99"/>
    <w:semiHidden/>
    <w:unhideWhenUsed/>
    <w:rsid w:val="00065992"/>
    <w:rPr>
      <w:color w:val="96607D" w:themeColor="followedHyperlink"/>
      <w:u w:val="single"/>
    </w:rPr>
  </w:style>
  <w:style w:type="paragraph" w:styleId="Revision">
    <w:name w:val="Revision"/>
    <w:hidden/>
    <w:uiPriority w:val="99"/>
    <w:semiHidden/>
    <w:rsid w:val="00940541"/>
    <w:rPr>
      <w:rFonts w:ascii="Amnesty Trade Gothic" w:hAnsi="Amnesty Trade Gothic"/>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079073">
      <w:bodyDiv w:val="1"/>
      <w:marLeft w:val="0"/>
      <w:marRight w:val="0"/>
      <w:marTop w:val="0"/>
      <w:marBottom w:val="0"/>
      <w:divBdr>
        <w:top w:val="none" w:sz="0" w:space="0" w:color="auto"/>
        <w:left w:val="none" w:sz="0" w:space="0" w:color="auto"/>
        <w:bottom w:val="none" w:sz="0" w:space="0" w:color="auto"/>
        <w:right w:val="none" w:sz="0" w:space="0" w:color="auto"/>
      </w:divBdr>
      <w:divsChild>
        <w:div w:id="847988533">
          <w:marLeft w:val="0"/>
          <w:marRight w:val="0"/>
          <w:marTop w:val="0"/>
          <w:marBottom w:val="0"/>
          <w:divBdr>
            <w:top w:val="none" w:sz="0" w:space="0" w:color="auto"/>
            <w:left w:val="none" w:sz="0" w:space="0" w:color="auto"/>
            <w:bottom w:val="none" w:sz="0" w:space="0" w:color="auto"/>
            <w:right w:val="none" w:sz="0" w:space="0" w:color="auto"/>
          </w:divBdr>
        </w:div>
        <w:div w:id="1304965974">
          <w:marLeft w:val="0"/>
          <w:marRight w:val="0"/>
          <w:marTop w:val="0"/>
          <w:marBottom w:val="0"/>
          <w:divBdr>
            <w:top w:val="none" w:sz="0" w:space="0" w:color="auto"/>
            <w:left w:val="none" w:sz="0" w:space="0" w:color="auto"/>
            <w:bottom w:val="none" w:sz="0" w:space="0" w:color="auto"/>
            <w:right w:val="none" w:sz="0" w:space="0" w:color="auto"/>
          </w:divBdr>
        </w:div>
      </w:divsChild>
    </w:div>
    <w:div w:id="212274272">
      <w:bodyDiv w:val="1"/>
      <w:marLeft w:val="0"/>
      <w:marRight w:val="0"/>
      <w:marTop w:val="0"/>
      <w:marBottom w:val="0"/>
      <w:divBdr>
        <w:top w:val="none" w:sz="0" w:space="0" w:color="auto"/>
        <w:left w:val="none" w:sz="0" w:space="0" w:color="auto"/>
        <w:bottom w:val="none" w:sz="0" w:space="0" w:color="auto"/>
        <w:right w:val="none" w:sz="0" w:space="0" w:color="auto"/>
      </w:divBdr>
      <w:divsChild>
        <w:div w:id="541401451">
          <w:marLeft w:val="0"/>
          <w:marRight w:val="0"/>
          <w:marTop w:val="0"/>
          <w:marBottom w:val="0"/>
          <w:divBdr>
            <w:top w:val="none" w:sz="0" w:space="0" w:color="auto"/>
            <w:left w:val="none" w:sz="0" w:space="0" w:color="auto"/>
            <w:bottom w:val="none" w:sz="0" w:space="0" w:color="auto"/>
            <w:right w:val="none" w:sz="0" w:space="0" w:color="auto"/>
          </w:divBdr>
        </w:div>
        <w:div w:id="130558228">
          <w:marLeft w:val="0"/>
          <w:marRight w:val="0"/>
          <w:marTop w:val="0"/>
          <w:marBottom w:val="0"/>
          <w:divBdr>
            <w:top w:val="none" w:sz="0" w:space="0" w:color="auto"/>
            <w:left w:val="none" w:sz="0" w:space="0" w:color="auto"/>
            <w:bottom w:val="none" w:sz="0" w:space="0" w:color="auto"/>
            <w:right w:val="none" w:sz="0" w:space="0" w:color="auto"/>
          </w:divBdr>
        </w:div>
        <w:div w:id="1831671133">
          <w:marLeft w:val="0"/>
          <w:marRight w:val="0"/>
          <w:marTop w:val="0"/>
          <w:marBottom w:val="0"/>
          <w:divBdr>
            <w:top w:val="none" w:sz="0" w:space="0" w:color="auto"/>
            <w:left w:val="none" w:sz="0" w:space="0" w:color="auto"/>
            <w:bottom w:val="none" w:sz="0" w:space="0" w:color="auto"/>
            <w:right w:val="none" w:sz="0" w:space="0" w:color="auto"/>
          </w:divBdr>
        </w:div>
      </w:divsChild>
    </w:div>
    <w:div w:id="1387336590">
      <w:bodyDiv w:val="1"/>
      <w:marLeft w:val="0"/>
      <w:marRight w:val="0"/>
      <w:marTop w:val="0"/>
      <w:marBottom w:val="0"/>
      <w:divBdr>
        <w:top w:val="none" w:sz="0" w:space="0" w:color="auto"/>
        <w:left w:val="none" w:sz="0" w:space="0" w:color="auto"/>
        <w:bottom w:val="none" w:sz="0" w:space="0" w:color="auto"/>
        <w:right w:val="none" w:sz="0" w:space="0" w:color="auto"/>
      </w:divBdr>
      <w:divsChild>
        <w:div w:id="117921126">
          <w:marLeft w:val="0"/>
          <w:marRight w:val="0"/>
          <w:marTop w:val="0"/>
          <w:marBottom w:val="0"/>
          <w:divBdr>
            <w:top w:val="none" w:sz="0" w:space="0" w:color="auto"/>
            <w:left w:val="none" w:sz="0" w:space="0" w:color="auto"/>
            <w:bottom w:val="none" w:sz="0" w:space="0" w:color="auto"/>
            <w:right w:val="none" w:sz="0" w:space="0" w:color="auto"/>
          </w:divBdr>
        </w:div>
        <w:div w:id="1199584914">
          <w:marLeft w:val="0"/>
          <w:marRight w:val="0"/>
          <w:marTop w:val="0"/>
          <w:marBottom w:val="0"/>
          <w:divBdr>
            <w:top w:val="none" w:sz="0" w:space="0" w:color="auto"/>
            <w:left w:val="none" w:sz="0" w:space="0" w:color="auto"/>
            <w:bottom w:val="none" w:sz="0" w:space="0" w:color="auto"/>
            <w:right w:val="none" w:sz="0" w:space="0" w:color="auto"/>
          </w:divBdr>
        </w:div>
        <w:div w:id="226764041">
          <w:marLeft w:val="0"/>
          <w:marRight w:val="0"/>
          <w:marTop w:val="0"/>
          <w:marBottom w:val="0"/>
          <w:divBdr>
            <w:top w:val="none" w:sz="0" w:space="0" w:color="auto"/>
            <w:left w:val="none" w:sz="0" w:space="0" w:color="auto"/>
            <w:bottom w:val="none" w:sz="0" w:space="0" w:color="auto"/>
            <w:right w:val="none" w:sz="0" w:space="0" w:color="auto"/>
          </w:divBdr>
        </w:div>
        <w:div w:id="1416977438">
          <w:marLeft w:val="0"/>
          <w:marRight w:val="0"/>
          <w:marTop w:val="0"/>
          <w:marBottom w:val="0"/>
          <w:divBdr>
            <w:top w:val="none" w:sz="0" w:space="0" w:color="auto"/>
            <w:left w:val="none" w:sz="0" w:space="0" w:color="auto"/>
            <w:bottom w:val="none" w:sz="0" w:space="0" w:color="auto"/>
            <w:right w:val="none" w:sz="0" w:space="0" w:color="auto"/>
          </w:divBdr>
        </w:div>
        <w:div w:id="418217503">
          <w:marLeft w:val="0"/>
          <w:marRight w:val="0"/>
          <w:marTop w:val="0"/>
          <w:marBottom w:val="0"/>
          <w:divBdr>
            <w:top w:val="none" w:sz="0" w:space="0" w:color="auto"/>
            <w:left w:val="none" w:sz="0" w:space="0" w:color="auto"/>
            <w:bottom w:val="none" w:sz="0" w:space="0" w:color="auto"/>
            <w:right w:val="none" w:sz="0" w:space="0" w:color="auto"/>
          </w:divBdr>
        </w:div>
        <w:div w:id="652372320">
          <w:marLeft w:val="0"/>
          <w:marRight w:val="0"/>
          <w:marTop w:val="0"/>
          <w:marBottom w:val="0"/>
          <w:divBdr>
            <w:top w:val="none" w:sz="0" w:space="0" w:color="auto"/>
            <w:left w:val="none" w:sz="0" w:space="0" w:color="auto"/>
            <w:bottom w:val="none" w:sz="0" w:space="0" w:color="auto"/>
            <w:right w:val="none" w:sz="0" w:space="0" w:color="auto"/>
          </w:divBdr>
        </w:div>
        <w:div w:id="811023740">
          <w:marLeft w:val="0"/>
          <w:marRight w:val="0"/>
          <w:marTop w:val="0"/>
          <w:marBottom w:val="0"/>
          <w:divBdr>
            <w:top w:val="none" w:sz="0" w:space="0" w:color="auto"/>
            <w:left w:val="none" w:sz="0" w:space="0" w:color="auto"/>
            <w:bottom w:val="none" w:sz="0" w:space="0" w:color="auto"/>
            <w:right w:val="none" w:sz="0" w:space="0" w:color="auto"/>
          </w:divBdr>
        </w:div>
      </w:divsChild>
    </w:div>
    <w:div w:id="1457679531">
      <w:bodyDiv w:val="1"/>
      <w:marLeft w:val="0"/>
      <w:marRight w:val="0"/>
      <w:marTop w:val="0"/>
      <w:marBottom w:val="0"/>
      <w:divBdr>
        <w:top w:val="none" w:sz="0" w:space="0" w:color="auto"/>
        <w:left w:val="none" w:sz="0" w:space="0" w:color="auto"/>
        <w:bottom w:val="none" w:sz="0" w:space="0" w:color="auto"/>
        <w:right w:val="none" w:sz="0" w:space="0" w:color="auto"/>
      </w:divBdr>
      <w:divsChild>
        <w:div w:id="610865428">
          <w:marLeft w:val="0"/>
          <w:marRight w:val="0"/>
          <w:marTop w:val="0"/>
          <w:marBottom w:val="0"/>
          <w:divBdr>
            <w:top w:val="none" w:sz="0" w:space="0" w:color="auto"/>
            <w:left w:val="none" w:sz="0" w:space="0" w:color="auto"/>
            <w:bottom w:val="none" w:sz="0" w:space="0" w:color="auto"/>
            <w:right w:val="none" w:sz="0" w:space="0" w:color="auto"/>
          </w:divBdr>
        </w:div>
        <w:div w:id="1037320487">
          <w:marLeft w:val="0"/>
          <w:marRight w:val="0"/>
          <w:marTop w:val="0"/>
          <w:marBottom w:val="0"/>
          <w:divBdr>
            <w:top w:val="none" w:sz="0" w:space="0" w:color="auto"/>
            <w:left w:val="none" w:sz="0" w:space="0" w:color="auto"/>
            <w:bottom w:val="none" w:sz="0" w:space="0" w:color="auto"/>
            <w:right w:val="none" w:sz="0" w:space="0" w:color="auto"/>
          </w:divBdr>
        </w:div>
        <w:div w:id="131876152">
          <w:marLeft w:val="0"/>
          <w:marRight w:val="0"/>
          <w:marTop w:val="0"/>
          <w:marBottom w:val="0"/>
          <w:divBdr>
            <w:top w:val="none" w:sz="0" w:space="0" w:color="auto"/>
            <w:left w:val="none" w:sz="0" w:space="0" w:color="auto"/>
            <w:bottom w:val="none" w:sz="0" w:space="0" w:color="auto"/>
            <w:right w:val="none" w:sz="0" w:space="0" w:color="auto"/>
          </w:divBdr>
        </w:div>
        <w:div w:id="582102718">
          <w:marLeft w:val="0"/>
          <w:marRight w:val="0"/>
          <w:marTop w:val="0"/>
          <w:marBottom w:val="0"/>
          <w:divBdr>
            <w:top w:val="none" w:sz="0" w:space="0" w:color="auto"/>
            <w:left w:val="none" w:sz="0" w:space="0" w:color="auto"/>
            <w:bottom w:val="none" w:sz="0" w:space="0" w:color="auto"/>
            <w:right w:val="none" w:sz="0" w:space="0" w:color="auto"/>
          </w:divBdr>
        </w:div>
        <w:div w:id="913703385">
          <w:marLeft w:val="0"/>
          <w:marRight w:val="0"/>
          <w:marTop w:val="0"/>
          <w:marBottom w:val="0"/>
          <w:divBdr>
            <w:top w:val="none" w:sz="0" w:space="0" w:color="auto"/>
            <w:left w:val="none" w:sz="0" w:space="0" w:color="auto"/>
            <w:bottom w:val="none" w:sz="0" w:space="0" w:color="auto"/>
            <w:right w:val="none" w:sz="0" w:space="0" w:color="auto"/>
          </w:divBdr>
        </w:div>
        <w:div w:id="1560241316">
          <w:marLeft w:val="0"/>
          <w:marRight w:val="0"/>
          <w:marTop w:val="0"/>
          <w:marBottom w:val="0"/>
          <w:divBdr>
            <w:top w:val="none" w:sz="0" w:space="0" w:color="auto"/>
            <w:left w:val="none" w:sz="0" w:space="0" w:color="auto"/>
            <w:bottom w:val="none" w:sz="0" w:space="0" w:color="auto"/>
            <w:right w:val="none" w:sz="0" w:space="0" w:color="auto"/>
          </w:divBdr>
        </w:div>
        <w:div w:id="308049884">
          <w:marLeft w:val="0"/>
          <w:marRight w:val="0"/>
          <w:marTop w:val="0"/>
          <w:marBottom w:val="0"/>
          <w:divBdr>
            <w:top w:val="none" w:sz="0" w:space="0" w:color="auto"/>
            <w:left w:val="none" w:sz="0" w:space="0" w:color="auto"/>
            <w:bottom w:val="none" w:sz="0" w:space="0" w:color="auto"/>
            <w:right w:val="none" w:sz="0" w:space="0" w:color="auto"/>
          </w:divBdr>
        </w:div>
      </w:divsChild>
    </w:div>
    <w:div w:id="1738044315">
      <w:bodyDiv w:val="1"/>
      <w:marLeft w:val="0"/>
      <w:marRight w:val="0"/>
      <w:marTop w:val="0"/>
      <w:marBottom w:val="0"/>
      <w:divBdr>
        <w:top w:val="none" w:sz="0" w:space="0" w:color="auto"/>
        <w:left w:val="none" w:sz="0" w:space="0" w:color="auto"/>
        <w:bottom w:val="none" w:sz="0" w:space="0" w:color="auto"/>
        <w:right w:val="none" w:sz="0" w:space="0" w:color="auto"/>
      </w:divBdr>
    </w:div>
    <w:div w:id="2065325294">
      <w:bodyDiv w:val="1"/>
      <w:marLeft w:val="0"/>
      <w:marRight w:val="0"/>
      <w:marTop w:val="0"/>
      <w:marBottom w:val="0"/>
      <w:divBdr>
        <w:top w:val="none" w:sz="0" w:space="0" w:color="auto"/>
        <w:left w:val="none" w:sz="0" w:space="0" w:color="auto"/>
        <w:bottom w:val="none" w:sz="0" w:space="0" w:color="auto"/>
        <w:right w:val="none" w:sz="0" w:space="0" w:color="auto"/>
      </w:divBdr>
      <w:divsChild>
        <w:div w:id="249509981">
          <w:marLeft w:val="0"/>
          <w:marRight w:val="0"/>
          <w:marTop w:val="0"/>
          <w:marBottom w:val="0"/>
          <w:divBdr>
            <w:top w:val="none" w:sz="0" w:space="0" w:color="auto"/>
            <w:left w:val="none" w:sz="0" w:space="0" w:color="auto"/>
            <w:bottom w:val="none" w:sz="0" w:space="0" w:color="auto"/>
            <w:right w:val="none" w:sz="0" w:space="0" w:color="auto"/>
          </w:divBdr>
        </w:div>
        <w:div w:id="1917550324">
          <w:marLeft w:val="0"/>
          <w:marRight w:val="0"/>
          <w:marTop w:val="0"/>
          <w:marBottom w:val="0"/>
          <w:divBdr>
            <w:top w:val="none" w:sz="0" w:space="0" w:color="auto"/>
            <w:left w:val="none" w:sz="0" w:space="0" w:color="auto"/>
            <w:bottom w:val="none" w:sz="0" w:space="0" w:color="auto"/>
            <w:right w:val="none" w:sz="0" w:space="0" w:color="auto"/>
          </w:divBdr>
        </w:div>
      </w:divsChild>
    </w:div>
    <w:div w:id="211243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media.amnesty.org.uk/documents/AIUK20to20Home20Office20Windrush20Lessons20Learned20Review.pdf" TargetMode="External"/><Relationship Id="rId13" Type="http://schemas.openxmlformats.org/officeDocument/2006/relationships/hyperlink" Target="https://cdn.prod.website-files.com/61488f992b58e687f1108c7c/69384c698ceab64292de280a_2025_12_05_EXT%20Stripped%20-%20The%20Citizenship%20Divide%20-%20Reprieve%20and%20Runnymede%20-%20Digital%20FINAL.pdf" TargetMode="External"/><Relationship Id="rId3" Type="http://schemas.openxmlformats.org/officeDocument/2006/relationships/hyperlink" Target="https://netpol.org/wp-content/uploads/2024/05/InOurMillions_WEB.pdf" TargetMode="External"/><Relationship Id="rId7" Type="http://schemas.openxmlformats.org/officeDocument/2006/relationships/hyperlink" Target="https://www.justice.org.uk/reports/people-need-legal-help-the-value-of-legal-representation-in-the-windrush-compensation-scheme" TargetMode="External"/><Relationship Id="rId12" Type="http://schemas.openxmlformats.org/officeDocument/2006/relationships/hyperlink" Target="https://media.amnesty.org.uk/documents/Nationality20and20Borders20Bill20Deprivation20Briefing_0.pdf" TargetMode="External"/><Relationship Id="rId2" Type="http://schemas.openxmlformats.org/officeDocument/2006/relationships/hyperlink" Target="https://cdn.prod.website-files.com/67becde70dae19a9e5ea2bc3/696d576ab20167a705505283_Striking%20The%20Balance.pdf" TargetMode="External"/><Relationship Id="rId1" Type="http://schemas.openxmlformats.org/officeDocument/2006/relationships/hyperlink" Target="https://www.hrw.org/sites/default/files/media_2026/01/uk0126%20web.pdf" TargetMode="External"/><Relationship Id="rId6" Type="http://schemas.openxmlformats.org/officeDocument/2006/relationships/hyperlink" Target="https://www.nao.org.uk/reports/governments-compensation-and-financial-recognition-schemes/" TargetMode="External"/><Relationship Id="rId11" Type="http://schemas.openxmlformats.org/officeDocument/2006/relationships/hyperlink" Target="https://www.ohchr.org/en/documents/general-comments-and-recommendations/joint-general-recommendation-no-38-2025-committee" TargetMode="External"/><Relationship Id="rId5" Type="http://schemas.openxmlformats.org/officeDocument/2006/relationships/hyperlink" Target="https://netpol.org/wp-content/uploads/2020/11/Britain-is-not-innocent-web-version.pdf" TargetMode="External"/><Relationship Id="rId10" Type="http://schemas.openxmlformats.org/officeDocument/2006/relationships/hyperlink" Target="https://committees.parliament.uk/writtenevidence/161798/pdf/" TargetMode="External"/><Relationship Id="rId4" Type="http://schemas.openxmlformats.org/officeDocument/2006/relationships/hyperlink" Target="https://www.ohchr.org/en/opinion-editorial/2023/05/public-order-act-will-have-chilling-effect-your-civic-freedoms-it-must-be" TargetMode="External"/><Relationship Id="rId9" Type="http://schemas.openxmlformats.org/officeDocument/2006/relationships/hyperlink" Target="https://www.gov.uk/government/publications/windrush-lessons-learned-re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E019D-AE97-274A-8BBC-55B0A5CAC44C}">
  <ds:schemaRefs>
    <ds:schemaRef ds:uri="http://schemas.openxmlformats.org/officeDocument/2006/bibliography"/>
  </ds:schemaRefs>
</ds:datastoreItem>
</file>

<file path=docMetadata/LabelInfo.xml><?xml version="1.0" encoding="utf-8"?>
<clbl:labelList xmlns:clbl="http://schemas.microsoft.com/office/2020/mipLabelMetadata">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0</TotalTime>
  <Pages>9</Pages>
  <Words>2856</Words>
  <Characters>16282</Characters>
  <Application>Microsoft Office Word</Application>
  <DocSecurity>0</DocSecurity>
  <Lines>135</Lines>
  <Paragraphs>38</Paragraphs>
  <ScaleCrop>false</ScaleCrop>
  <Company/>
  <LinksUpToDate>false</LinksUpToDate>
  <CharactersWithSpaces>19100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2026-05-08T09:23:00Z</dcterms:created>
  <dcterms:modified xsi:type="dcterms:W3CDTF">2026-05-08T09:23:00Z</dcterms:modified>
</cp:coreProperties>
</file>