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F1FEE" w14:textId="77777777" w:rsidR="004D5452" w:rsidRDefault="004D5452">
      <w:pPr>
        <w:jc w:val="center"/>
        <w:rPr>
          <w:b/>
        </w:rPr>
      </w:pPr>
    </w:p>
    <w:p w14:paraId="3014C9D3" w14:textId="77777777" w:rsidR="004D5452" w:rsidRDefault="004D5452">
      <w:pPr>
        <w:jc w:val="center"/>
        <w:rPr>
          <w:b/>
        </w:rPr>
      </w:pPr>
    </w:p>
    <w:p w14:paraId="1F3F10F4" w14:textId="77777777" w:rsidR="004D5452" w:rsidRDefault="004D5452">
      <w:pPr>
        <w:jc w:val="center"/>
        <w:rPr>
          <w:b/>
        </w:rPr>
      </w:pPr>
    </w:p>
    <w:p w14:paraId="56D7ECBD" w14:textId="77777777" w:rsidR="004D5452" w:rsidRDefault="004D5452">
      <w:pPr>
        <w:jc w:val="center"/>
        <w:rPr>
          <w:b/>
        </w:rPr>
      </w:pPr>
    </w:p>
    <w:p w14:paraId="00000001" w14:textId="517A2B32" w:rsidR="009B2197" w:rsidRDefault="00000000">
      <w:pPr>
        <w:jc w:val="center"/>
        <w:rPr>
          <w:b/>
        </w:rPr>
      </w:pPr>
      <w:r>
        <w:rPr>
          <w:b/>
        </w:rPr>
        <w:t xml:space="preserve">Information to the Human Rights Committee regarding Syria’s Fourth Periodic Review </w:t>
      </w:r>
      <w:r>
        <w:t xml:space="preserve"> </w:t>
      </w:r>
    </w:p>
    <w:p w14:paraId="00000002" w14:textId="77777777" w:rsidR="009B2197" w:rsidRDefault="009B2197">
      <w:pPr>
        <w:jc w:val="both"/>
        <w:rPr>
          <w:b/>
        </w:rPr>
      </w:pPr>
    </w:p>
    <w:p w14:paraId="00000003" w14:textId="77777777" w:rsidR="009B2197" w:rsidRDefault="009B2197">
      <w:pPr>
        <w:jc w:val="both"/>
        <w:rPr>
          <w:b/>
        </w:rPr>
      </w:pPr>
    </w:p>
    <w:p w14:paraId="00000004" w14:textId="77777777" w:rsidR="009B2197" w:rsidRDefault="009B2197">
      <w:pPr>
        <w:jc w:val="both"/>
        <w:rPr>
          <w:b/>
        </w:rPr>
      </w:pPr>
    </w:p>
    <w:p w14:paraId="00000005" w14:textId="77777777" w:rsidR="009B2197" w:rsidRDefault="009B2197">
      <w:pPr>
        <w:jc w:val="both"/>
        <w:rPr>
          <w:b/>
        </w:rPr>
      </w:pPr>
    </w:p>
    <w:p w14:paraId="00000006" w14:textId="77777777" w:rsidR="009B2197" w:rsidRDefault="009B2197">
      <w:pPr>
        <w:jc w:val="both"/>
        <w:rPr>
          <w:b/>
        </w:rPr>
      </w:pPr>
    </w:p>
    <w:p w14:paraId="00000007" w14:textId="77777777" w:rsidR="009B2197" w:rsidRDefault="009B2197">
      <w:pPr>
        <w:jc w:val="both"/>
        <w:rPr>
          <w:b/>
        </w:rPr>
      </w:pPr>
    </w:p>
    <w:sdt>
      <w:sdtPr>
        <w:id w:val="-820812691"/>
        <w:docPartObj>
          <w:docPartGallery w:val="Table of Contents"/>
          <w:docPartUnique/>
        </w:docPartObj>
      </w:sdtPr>
      <w:sdtContent>
        <w:p w14:paraId="00000008" w14:textId="426B5619" w:rsidR="009B2197" w:rsidRDefault="00000000">
          <w:pPr>
            <w:widowControl w:val="0"/>
            <w:tabs>
              <w:tab w:val="right" w:pos="9025"/>
            </w:tabs>
            <w:spacing w:before="60"/>
            <w:rPr>
              <w:b/>
              <w:color w:val="000000"/>
            </w:rPr>
          </w:pPr>
          <w:r>
            <w:fldChar w:fldCharType="begin"/>
          </w:r>
          <w:r>
            <w:instrText xml:space="preserve"> TOC \h \u \z \t "Heading 1,1,Heading 2,2,Heading 3,3,Heading 4,4,Heading 5,5,Heading 6,6,"</w:instrText>
          </w:r>
          <w:r>
            <w:fldChar w:fldCharType="separate"/>
          </w:r>
          <w:hyperlink w:anchor="_heading=h.9a0aabbqo8dm">
            <w:r>
              <w:rPr>
                <w:b/>
                <w:color w:val="000000"/>
              </w:rPr>
              <w:t>The Submitting Organisations</w:t>
            </w:r>
            <w:r>
              <w:rPr>
                <w:b/>
                <w:color w:val="000000"/>
              </w:rPr>
              <w:tab/>
            </w:r>
          </w:hyperlink>
          <w:r>
            <w:fldChar w:fldCharType="begin"/>
          </w:r>
          <w:r>
            <w:instrText xml:space="preserve"> PAGEREF _heading=h.9a0aabbqo8dm \h </w:instrText>
          </w:r>
          <w:r>
            <w:fldChar w:fldCharType="separate"/>
          </w:r>
          <w:r w:rsidR="00AB13AA">
            <w:rPr>
              <w:noProof/>
            </w:rPr>
            <w:t>2</w:t>
          </w:r>
          <w:r>
            <w:fldChar w:fldCharType="end"/>
          </w:r>
        </w:p>
        <w:p w14:paraId="00000009" w14:textId="75FC085C" w:rsidR="009B2197" w:rsidRDefault="00000000">
          <w:pPr>
            <w:widowControl w:val="0"/>
            <w:tabs>
              <w:tab w:val="right" w:pos="9025"/>
            </w:tabs>
            <w:spacing w:before="60"/>
            <w:rPr>
              <w:b/>
              <w:color w:val="000000"/>
            </w:rPr>
          </w:pPr>
          <w:hyperlink w:anchor="_heading=h.78tzxbneg0jt">
            <w:r>
              <w:rPr>
                <w:b/>
                <w:color w:val="000000"/>
              </w:rPr>
              <w:t>Introduction</w:t>
            </w:r>
            <w:r>
              <w:rPr>
                <w:b/>
                <w:color w:val="000000"/>
              </w:rPr>
              <w:tab/>
            </w:r>
          </w:hyperlink>
          <w:r>
            <w:fldChar w:fldCharType="begin"/>
          </w:r>
          <w:r>
            <w:instrText xml:space="preserve"> PAGEREF _heading=h.78tzxbneg0jt \h </w:instrText>
          </w:r>
          <w:r>
            <w:fldChar w:fldCharType="separate"/>
          </w:r>
          <w:r w:rsidR="00AB13AA">
            <w:rPr>
              <w:noProof/>
            </w:rPr>
            <w:t>3</w:t>
          </w:r>
          <w:r>
            <w:fldChar w:fldCharType="end"/>
          </w:r>
        </w:p>
        <w:p w14:paraId="0000000A" w14:textId="1958061F" w:rsidR="009B2197" w:rsidRDefault="00000000">
          <w:pPr>
            <w:widowControl w:val="0"/>
            <w:tabs>
              <w:tab w:val="right" w:pos="9025"/>
            </w:tabs>
            <w:spacing w:before="60"/>
            <w:rPr>
              <w:b/>
              <w:color w:val="000000"/>
            </w:rPr>
          </w:pPr>
          <w:hyperlink w:anchor="_heading=h.4ghtl4y48q7n">
            <w:r>
              <w:rPr>
                <w:b/>
                <w:color w:val="000000"/>
              </w:rPr>
              <w:t>I. Security Clearance</w:t>
            </w:r>
            <w:r>
              <w:rPr>
                <w:b/>
                <w:color w:val="000000"/>
              </w:rPr>
              <w:tab/>
            </w:r>
          </w:hyperlink>
          <w:r>
            <w:fldChar w:fldCharType="begin"/>
          </w:r>
          <w:r>
            <w:instrText xml:space="preserve"> PAGEREF _heading=h.4ghtl4y48q7n \h </w:instrText>
          </w:r>
          <w:r>
            <w:fldChar w:fldCharType="separate"/>
          </w:r>
          <w:r w:rsidR="00AB13AA">
            <w:rPr>
              <w:noProof/>
            </w:rPr>
            <w:t>3</w:t>
          </w:r>
          <w:r>
            <w:fldChar w:fldCharType="end"/>
          </w:r>
        </w:p>
        <w:p w14:paraId="0000000B" w14:textId="605E6ED7" w:rsidR="009B2197" w:rsidRDefault="00000000">
          <w:pPr>
            <w:widowControl w:val="0"/>
            <w:tabs>
              <w:tab w:val="right" w:pos="9025"/>
            </w:tabs>
            <w:spacing w:before="60"/>
            <w:rPr>
              <w:b/>
              <w:color w:val="000000"/>
            </w:rPr>
          </w:pPr>
          <w:hyperlink w:anchor="_heading=h.wyg3va72o6ao">
            <w:r>
              <w:rPr>
                <w:b/>
                <w:color w:val="000000"/>
              </w:rPr>
              <w:t>II. Failure to take measures to facilitate a safe and dignified return</w:t>
            </w:r>
            <w:r>
              <w:rPr>
                <w:b/>
                <w:color w:val="000000"/>
              </w:rPr>
              <w:tab/>
            </w:r>
          </w:hyperlink>
          <w:r>
            <w:fldChar w:fldCharType="begin"/>
          </w:r>
          <w:r>
            <w:instrText xml:space="preserve"> PAGEREF _heading=h.wyg3va72o6ao \h </w:instrText>
          </w:r>
          <w:r>
            <w:fldChar w:fldCharType="separate"/>
          </w:r>
          <w:r w:rsidR="00AB13AA">
            <w:rPr>
              <w:noProof/>
            </w:rPr>
            <w:t>7</w:t>
          </w:r>
          <w:r>
            <w:fldChar w:fldCharType="end"/>
          </w:r>
        </w:p>
        <w:p w14:paraId="0000000C" w14:textId="1EF1FAC5" w:rsidR="009B2197" w:rsidRDefault="00000000">
          <w:pPr>
            <w:widowControl w:val="0"/>
            <w:tabs>
              <w:tab w:val="right" w:pos="9025"/>
            </w:tabs>
            <w:spacing w:before="60"/>
            <w:rPr>
              <w:b/>
              <w:color w:val="000000"/>
            </w:rPr>
          </w:pPr>
          <w:hyperlink w:anchor="_heading=h.f83ryyrkwwh6">
            <w:r>
              <w:rPr>
                <w:b/>
                <w:color w:val="000000"/>
              </w:rPr>
              <w:t>Recommendations</w:t>
            </w:r>
            <w:r>
              <w:rPr>
                <w:b/>
                <w:color w:val="000000"/>
              </w:rPr>
              <w:tab/>
            </w:r>
          </w:hyperlink>
          <w:r>
            <w:fldChar w:fldCharType="begin"/>
          </w:r>
          <w:r>
            <w:instrText xml:space="preserve"> PAGEREF _heading=h.f83ryyrkwwh6 \h </w:instrText>
          </w:r>
          <w:r>
            <w:fldChar w:fldCharType="separate"/>
          </w:r>
          <w:r w:rsidR="00AB13AA">
            <w:rPr>
              <w:noProof/>
            </w:rPr>
            <w:t>12</w:t>
          </w:r>
          <w:r>
            <w:fldChar w:fldCharType="end"/>
          </w:r>
        </w:p>
        <w:p w14:paraId="0000000D" w14:textId="364D8C74" w:rsidR="009B2197" w:rsidRDefault="00000000">
          <w:pPr>
            <w:widowControl w:val="0"/>
            <w:tabs>
              <w:tab w:val="right" w:pos="9025"/>
            </w:tabs>
            <w:spacing w:before="60"/>
            <w:rPr>
              <w:b/>
              <w:color w:val="000000"/>
            </w:rPr>
          </w:pPr>
          <w:hyperlink w:anchor="_heading=h.1bs6l1xrjybf">
            <w:r>
              <w:rPr>
                <w:b/>
                <w:color w:val="000000"/>
              </w:rPr>
              <w:t xml:space="preserve">Annex 1: </w:t>
            </w:r>
          </w:hyperlink>
          <w:hyperlink w:anchor="_heading=h.1bs6l1xrjybf">
            <w:r>
              <w:rPr>
                <w:b/>
              </w:rPr>
              <w:t>A Brief Analysis of Certain Syrian Legislation Related to Real Estate</w:t>
            </w:r>
          </w:hyperlink>
          <w:hyperlink w:anchor="_heading=h.1bs6l1xrjybf">
            <w:r>
              <w:rPr>
                <w:b/>
                <w:color w:val="000000"/>
              </w:rPr>
              <w:tab/>
            </w:r>
          </w:hyperlink>
          <w:r>
            <w:fldChar w:fldCharType="begin"/>
          </w:r>
          <w:r>
            <w:instrText xml:space="preserve"> PAGEREF _heading=h.1bs6l1xrjybf \h </w:instrText>
          </w:r>
          <w:r>
            <w:fldChar w:fldCharType="separate"/>
          </w:r>
          <w:r w:rsidR="00AB13AA">
            <w:rPr>
              <w:noProof/>
            </w:rPr>
            <w:t>14</w:t>
          </w:r>
          <w:r>
            <w:fldChar w:fldCharType="end"/>
          </w:r>
          <w:r>
            <w:fldChar w:fldCharType="end"/>
          </w:r>
        </w:p>
      </w:sdtContent>
    </w:sdt>
    <w:p w14:paraId="0000000E" w14:textId="77777777" w:rsidR="009B2197" w:rsidRDefault="00000000">
      <w:pPr>
        <w:jc w:val="both"/>
        <w:rPr>
          <w:b/>
        </w:rPr>
      </w:pPr>
      <w:r>
        <w:br w:type="page"/>
      </w:r>
    </w:p>
    <w:p w14:paraId="0000000F" w14:textId="77777777" w:rsidR="009B2197" w:rsidRPr="00EF7FBB" w:rsidRDefault="00000000" w:rsidP="00EF7FBB">
      <w:pPr>
        <w:pStyle w:val="Heading1"/>
        <w:ind w:left="0"/>
        <w:rPr>
          <w:b/>
          <w:bCs w:val="0"/>
        </w:rPr>
      </w:pPr>
      <w:bookmarkStart w:id="0" w:name="_heading=h.9a0aabbqo8dm" w:colFirst="0" w:colLast="0"/>
      <w:bookmarkEnd w:id="0"/>
      <w:r w:rsidRPr="00EF7FBB">
        <w:rPr>
          <w:b/>
          <w:bCs w:val="0"/>
        </w:rPr>
        <w:lastRenderedPageBreak/>
        <w:t>The Submitting Organisations</w:t>
      </w:r>
    </w:p>
    <w:p w14:paraId="00000010" w14:textId="77777777" w:rsidR="009B2197" w:rsidRDefault="009B2197">
      <w:pPr>
        <w:jc w:val="both"/>
        <w:rPr>
          <w:b/>
        </w:rPr>
      </w:pPr>
    </w:p>
    <w:p w14:paraId="00000011" w14:textId="77777777" w:rsidR="009B2197" w:rsidRDefault="00000000">
      <w:pPr>
        <w:jc w:val="both"/>
        <w:rPr>
          <w:b/>
          <w:i/>
        </w:rPr>
      </w:pPr>
      <w:r>
        <w:rPr>
          <w:b/>
          <w:i/>
        </w:rPr>
        <w:t xml:space="preserve">The Day After (TDA) </w:t>
      </w:r>
      <w:r>
        <w:t>is a Syrian non-profit organization that is working to counter authoritarianism and support democratic transition in Syria. It adopts the values of human rights in accordance with international conventions and covenants. TDA was established in 2012 and brings together a group of Syrians representing a broad spectrum of the Syrian opposition from all major political movements — all to engage in planning for the transitional phase in Syria. Due to the protracted and complex conflict in Syria, the founders of TDA decided to establish the organization to implement several programs in support of victims/survivors of detainment, transitional justice, and housing, land and property rights.</w:t>
      </w:r>
    </w:p>
    <w:p w14:paraId="00000012" w14:textId="77777777" w:rsidR="009B2197" w:rsidRDefault="009B2197">
      <w:pPr>
        <w:jc w:val="both"/>
        <w:rPr>
          <w:b/>
        </w:rPr>
      </w:pPr>
    </w:p>
    <w:p w14:paraId="00000013" w14:textId="77777777" w:rsidR="009B2197" w:rsidRDefault="00000000">
      <w:pPr>
        <w:jc w:val="both"/>
        <w:rPr>
          <w:b/>
        </w:rPr>
      </w:pPr>
      <w:r>
        <w:rPr>
          <w:b/>
          <w:i/>
        </w:rPr>
        <w:t>The Syrian Legal Development Programme (SLDP)</w:t>
      </w:r>
      <w:r>
        <w:rPr>
          <w:highlight w:val="white"/>
        </w:rPr>
        <w:t xml:space="preserve"> is a UK-based Syrian organisation established in 2013 in response to the Syrian conflict after realising the importance of addressing complex legal needs triggered by the conflict. SLDP's scope of work embraces various services, projects, and activities implemented in Syria, neighbouring countries, and other states involved or have a stake in the conflict. SLDP’s work includes but is not limited to legal consultations, training and workshops, policy recommendations, legal assessments and advocacy campaigns explicitly tailored for Syrian NGOs and victims and families' groups to help them with their work on the ground and their documentation and legal advocacy efforts.</w:t>
      </w:r>
    </w:p>
    <w:p w14:paraId="00000014" w14:textId="77777777" w:rsidR="009B2197" w:rsidRDefault="009B2197">
      <w:pPr>
        <w:jc w:val="both"/>
        <w:rPr>
          <w:b/>
        </w:rPr>
      </w:pPr>
    </w:p>
    <w:p w14:paraId="00000015" w14:textId="77777777" w:rsidR="009B2197" w:rsidRDefault="00000000">
      <w:pPr>
        <w:jc w:val="both"/>
        <w:rPr>
          <w:b/>
        </w:rPr>
      </w:pPr>
      <w:r>
        <w:br w:type="page"/>
      </w:r>
    </w:p>
    <w:p w14:paraId="00000016" w14:textId="77777777" w:rsidR="009B2197" w:rsidRPr="00EF7FBB" w:rsidRDefault="00000000" w:rsidP="00EF7FBB">
      <w:pPr>
        <w:pStyle w:val="Heading1"/>
        <w:ind w:left="0"/>
        <w:rPr>
          <w:b/>
          <w:bCs w:val="0"/>
        </w:rPr>
      </w:pPr>
      <w:bookmarkStart w:id="1" w:name="_heading=h.78tzxbneg0jt" w:colFirst="0" w:colLast="0"/>
      <w:bookmarkEnd w:id="1"/>
      <w:r w:rsidRPr="00EF7FBB">
        <w:rPr>
          <w:b/>
          <w:bCs w:val="0"/>
        </w:rPr>
        <w:lastRenderedPageBreak/>
        <w:t xml:space="preserve">Introduction </w:t>
      </w:r>
    </w:p>
    <w:p w14:paraId="00000017" w14:textId="77777777" w:rsidR="009B2197" w:rsidRDefault="009B2197">
      <w:pPr>
        <w:pBdr>
          <w:top w:val="nil"/>
          <w:left w:val="nil"/>
          <w:bottom w:val="nil"/>
          <w:right w:val="nil"/>
          <w:between w:val="nil"/>
        </w:pBdr>
        <w:jc w:val="both"/>
        <w:rPr>
          <w:b/>
          <w:color w:val="000000"/>
        </w:rPr>
      </w:pPr>
    </w:p>
    <w:p w14:paraId="00000018" w14:textId="77777777" w:rsidR="009B2197" w:rsidRDefault="00000000">
      <w:pPr>
        <w:numPr>
          <w:ilvl w:val="0"/>
          <w:numId w:val="5"/>
        </w:numPr>
        <w:pBdr>
          <w:top w:val="nil"/>
          <w:left w:val="nil"/>
          <w:bottom w:val="nil"/>
          <w:right w:val="nil"/>
          <w:between w:val="nil"/>
        </w:pBdr>
        <w:jc w:val="both"/>
        <w:rPr>
          <w:color w:val="000000"/>
        </w:rPr>
      </w:pPr>
      <w:r>
        <w:rPr>
          <w:color w:val="000000"/>
        </w:rPr>
        <w:t>This paper provides a response to the Syrian Government’s responses to the list of issues regarding its fourth periodic report. It does not address all the issues raised by the Committee and responded to by the Syrian Government. Instead, it focuses specifically on paragraph 17, which relates to the right to privacy, freedom of movement, and internally displaced persons.</w:t>
      </w:r>
    </w:p>
    <w:p w14:paraId="00000019" w14:textId="77777777" w:rsidR="009B2197" w:rsidRDefault="009B2197">
      <w:pPr>
        <w:pBdr>
          <w:top w:val="nil"/>
          <w:left w:val="nil"/>
          <w:bottom w:val="nil"/>
          <w:right w:val="nil"/>
          <w:between w:val="nil"/>
        </w:pBdr>
        <w:jc w:val="both"/>
        <w:rPr>
          <w:color w:val="000000"/>
        </w:rPr>
      </w:pPr>
    </w:p>
    <w:p w14:paraId="0000001A" w14:textId="77777777" w:rsidR="009B2197" w:rsidRDefault="00000000">
      <w:pPr>
        <w:numPr>
          <w:ilvl w:val="0"/>
          <w:numId w:val="5"/>
        </w:numPr>
        <w:pBdr>
          <w:top w:val="nil"/>
          <w:left w:val="nil"/>
          <w:bottom w:val="nil"/>
          <w:right w:val="nil"/>
          <w:between w:val="nil"/>
        </w:pBdr>
        <w:jc w:val="both"/>
      </w:pPr>
      <w:r>
        <w:t>The Syrian government continues to impose security clearance requirements for several transactions, impeding Syrians from fully enjoying their rights under the International Covenant for Civil and Political Rights (ICCPR). Additionally, the government has failed to take concrete measures to facilitate the dignified and safe return of Syrian refugees and internally displaced persons. Those returning continue to face grave human rights violations, such as arbitrary detention, torture, enforced disappearance, and violations of their property rights.</w:t>
      </w:r>
    </w:p>
    <w:p w14:paraId="0000001B" w14:textId="77777777" w:rsidR="009B2197" w:rsidRPr="00EF7FBB" w:rsidRDefault="009B2197">
      <w:pPr>
        <w:jc w:val="both"/>
        <w:rPr>
          <w:b/>
          <w:color w:val="000000"/>
        </w:rPr>
      </w:pPr>
    </w:p>
    <w:p w14:paraId="0000001C" w14:textId="77777777" w:rsidR="009B2197" w:rsidRPr="00EF7FBB" w:rsidRDefault="00000000">
      <w:pPr>
        <w:pStyle w:val="Heading1"/>
        <w:numPr>
          <w:ilvl w:val="0"/>
          <w:numId w:val="2"/>
        </w:numPr>
        <w:rPr>
          <w:b/>
          <w:bCs w:val="0"/>
        </w:rPr>
      </w:pPr>
      <w:bookmarkStart w:id="2" w:name="_heading=h.4ghtl4y48q7n" w:colFirst="0" w:colLast="0"/>
      <w:bookmarkEnd w:id="2"/>
      <w:r w:rsidRPr="00EF7FBB">
        <w:rPr>
          <w:b/>
          <w:bCs w:val="0"/>
        </w:rPr>
        <w:t xml:space="preserve">Security Clearance </w:t>
      </w:r>
    </w:p>
    <w:p w14:paraId="0000001D" w14:textId="77777777" w:rsidR="009B2197" w:rsidRDefault="009B2197">
      <w:pPr>
        <w:rPr>
          <w:color w:val="000000"/>
        </w:rPr>
      </w:pPr>
    </w:p>
    <w:p w14:paraId="0000001E" w14:textId="77777777" w:rsidR="009B2197" w:rsidRDefault="00000000">
      <w:pPr>
        <w:numPr>
          <w:ilvl w:val="0"/>
          <w:numId w:val="4"/>
        </w:numPr>
        <w:pBdr>
          <w:top w:val="nil"/>
          <w:left w:val="nil"/>
          <w:bottom w:val="nil"/>
          <w:right w:val="nil"/>
          <w:between w:val="nil"/>
        </w:pBdr>
        <w:jc w:val="both"/>
        <w:rPr>
          <w:color w:val="000000"/>
        </w:rPr>
      </w:pPr>
      <w:r>
        <w:t>In</w:t>
      </w:r>
      <w:r>
        <w:rPr>
          <w:color w:val="000000"/>
        </w:rPr>
        <w:t xml:space="preserve"> its response to Paragraph 17, the Syrian Government confirms the existence of security clearance for certain transactions but fails to explain how this practice aligns with its </w:t>
      </w:r>
      <w:r>
        <w:t>obligations</w:t>
      </w:r>
      <w:r>
        <w:rPr>
          <w:color w:val="000000"/>
        </w:rPr>
        <w:t xml:space="preserve"> under the ICCPR. The government asserts that security clearance is a limited procedure for specific transactions requiring prior verification, such as those involving citizens' rights and property. According to the government, </w:t>
      </w:r>
      <w:r>
        <w:t>this clearance aims</w:t>
      </w:r>
      <w:r>
        <w:rPr>
          <w:color w:val="000000"/>
        </w:rPr>
        <w:t xml:space="preserve"> to confirm the identity of individuals involved in sales or purchases, preventing exploitation and unlawful property transfers that could jeopardise ownership rights. It also claims that transactions such as renting, registering a marriage, or moving do not require any prior </w:t>
      </w:r>
      <w:r>
        <w:t>security clearance.</w:t>
      </w:r>
    </w:p>
    <w:p w14:paraId="0000001F" w14:textId="77777777" w:rsidR="009B2197" w:rsidRDefault="009B2197">
      <w:pPr>
        <w:pBdr>
          <w:top w:val="nil"/>
          <w:left w:val="nil"/>
          <w:bottom w:val="nil"/>
          <w:right w:val="nil"/>
          <w:between w:val="nil"/>
        </w:pBdr>
        <w:ind w:left="720"/>
        <w:jc w:val="both"/>
      </w:pPr>
    </w:p>
    <w:p w14:paraId="00000020" w14:textId="77777777" w:rsidR="009B2197" w:rsidRDefault="00000000">
      <w:pPr>
        <w:numPr>
          <w:ilvl w:val="0"/>
          <w:numId w:val="4"/>
        </w:numPr>
        <w:pBdr>
          <w:top w:val="nil"/>
          <w:left w:val="nil"/>
          <w:bottom w:val="nil"/>
          <w:right w:val="nil"/>
          <w:between w:val="nil"/>
        </w:pBdr>
        <w:jc w:val="both"/>
        <w:rPr>
          <w:color w:val="000000"/>
        </w:rPr>
      </w:pPr>
      <w:r>
        <w:rPr>
          <w:color w:val="000000"/>
        </w:rPr>
        <w:t xml:space="preserve">However, in practice, the security clearance requirement is broadly applied. It remains a crucial requirement for real estate transactions, as well as for confirming death and initiating power of attorney for missing persons. Thus, security clearance significantly undermines Syrians’ access to their rights, including their property rights, access to justice, and other rights under the ICCPR. </w:t>
      </w:r>
    </w:p>
    <w:p w14:paraId="00000021" w14:textId="77777777" w:rsidR="009B2197" w:rsidRDefault="009B2197">
      <w:pPr>
        <w:pBdr>
          <w:top w:val="nil"/>
          <w:left w:val="nil"/>
          <w:bottom w:val="nil"/>
          <w:right w:val="nil"/>
          <w:between w:val="nil"/>
        </w:pBdr>
        <w:ind w:left="720"/>
        <w:rPr>
          <w:color w:val="000000"/>
        </w:rPr>
      </w:pPr>
    </w:p>
    <w:p w14:paraId="00000022" w14:textId="46DD2862" w:rsidR="009B2197" w:rsidRDefault="00000000">
      <w:pPr>
        <w:numPr>
          <w:ilvl w:val="0"/>
          <w:numId w:val="4"/>
        </w:numPr>
        <w:pBdr>
          <w:top w:val="nil"/>
          <w:left w:val="nil"/>
          <w:bottom w:val="nil"/>
          <w:right w:val="nil"/>
          <w:between w:val="nil"/>
        </w:pBdr>
        <w:jc w:val="both"/>
        <w:rPr>
          <w:color w:val="000000"/>
        </w:rPr>
      </w:pPr>
      <w:r>
        <w:lastRenderedPageBreak/>
        <w:t>Throughout</w:t>
      </w:r>
      <w:r>
        <w:rPr>
          <w:color w:val="000000"/>
        </w:rPr>
        <w:t xml:space="preserve"> the conflict, the Syrian authorities issued several circulars related to security clearance, particularly preventing Syrians from accessing their property without such clearance. </w:t>
      </w:r>
      <w:r>
        <w:t>In 2011, the Presidency of the Council of Ministers issued Resolution No. 4554, which includes Circular 463</w:t>
      </w:r>
      <w:r w:rsidR="00734483">
        <w:t>, which</w:t>
      </w:r>
      <w:r>
        <w:t xml:space="preserve"> imposes security clearance for all real estate transactions</w:t>
      </w:r>
      <w:r>
        <w:rPr>
          <w:color w:val="000000"/>
        </w:rPr>
        <w:t>.</w:t>
      </w:r>
      <w:r>
        <w:rPr>
          <w:color w:val="000000"/>
          <w:vertAlign w:val="superscript"/>
        </w:rPr>
        <w:footnoteReference w:id="1"/>
      </w:r>
      <w:r>
        <w:rPr>
          <w:color w:val="000000"/>
        </w:rPr>
        <w:t xml:space="preserve"> </w:t>
      </w:r>
      <w:r>
        <w:rPr>
          <w:color w:val="0D0D0D"/>
          <w:highlight w:val="white"/>
        </w:rPr>
        <w:t xml:space="preserve">The circular stipulates adding real estate sales, rental operations, and occupancy of homes and shops in regulated and unregulated areas (areas outside </w:t>
      </w:r>
      <w:r>
        <w:t xml:space="preserve">urban planning zones) </w:t>
      </w:r>
      <w:r>
        <w:rPr>
          <w:color w:val="0D0D0D"/>
          <w:highlight w:val="white"/>
        </w:rPr>
        <w:t xml:space="preserve">to the </w:t>
      </w:r>
      <w:r w:rsidR="00734483">
        <w:rPr>
          <w:color w:val="0D0D0D"/>
          <w:highlight w:val="white"/>
        </w:rPr>
        <w:t>transactions requiring</w:t>
      </w:r>
      <w:r>
        <w:rPr>
          <w:color w:val="0D0D0D"/>
          <w:highlight w:val="white"/>
        </w:rPr>
        <w:t xml:space="preserve"> prior security clearance.</w:t>
      </w:r>
      <w:r>
        <w:rPr>
          <w:color w:val="000000"/>
        </w:rPr>
        <w:t xml:space="preserve"> </w:t>
      </w:r>
      <w:r>
        <w:rPr>
          <w:color w:val="0D0D0D"/>
          <w:highlight w:val="white"/>
        </w:rPr>
        <w:t>In 2018, the Minister of Justice issued Circular No. 14, further mandating security clearance for judicially approved public auction real estate sales.</w:t>
      </w:r>
      <w:r>
        <w:rPr>
          <w:color w:val="0D0D0D"/>
          <w:highlight w:val="white"/>
          <w:vertAlign w:val="superscript"/>
        </w:rPr>
        <w:footnoteReference w:id="2"/>
      </w:r>
      <w:r>
        <w:rPr>
          <w:color w:val="0D0D0D"/>
          <w:highlight w:val="white"/>
        </w:rPr>
        <w:t xml:space="preserve"> </w:t>
      </w:r>
    </w:p>
    <w:p w14:paraId="00000023" w14:textId="77777777" w:rsidR="009B2197" w:rsidRDefault="009B2197">
      <w:pPr>
        <w:pBdr>
          <w:top w:val="nil"/>
          <w:left w:val="nil"/>
          <w:bottom w:val="nil"/>
          <w:right w:val="nil"/>
          <w:between w:val="nil"/>
        </w:pBdr>
        <w:ind w:left="720"/>
        <w:rPr>
          <w:color w:val="0D0D0D"/>
          <w:highlight w:val="white"/>
        </w:rPr>
      </w:pPr>
    </w:p>
    <w:p w14:paraId="00000024" w14:textId="77777777" w:rsidR="009B2197" w:rsidRDefault="00000000">
      <w:pPr>
        <w:numPr>
          <w:ilvl w:val="0"/>
          <w:numId w:val="4"/>
        </w:numPr>
        <w:pBdr>
          <w:top w:val="nil"/>
          <w:left w:val="nil"/>
          <w:bottom w:val="nil"/>
          <w:right w:val="nil"/>
          <w:between w:val="nil"/>
        </w:pBdr>
        <w:jc w:val="both"/>
        <w:rPr>
          <w:color w:val="000000"/>
        </w:rPr>
      </w:pPr>
      <w:r>
        <w:rPr>
          <w:color w:val="0D0D0D"/>
          <w:highlight w:val="white"/>
        </w:rPr>
        <w:t>On 16 September 2021, the Ministry of Justice issued Circular No. 30, requiring individuals to obtain a security clearance to initiate the power of attorney process for absent and missing persons.</w:t>
      </w:r>
      <w:r>
        <w:rPr>
          <w:color w:val="0D0D0D"/>
          <w:highlight w:val="white"/>
          <w:vertAlign w:val="superscript"/>
        </w:rPr>
        <w:footnoteReference w:id="3"/>
      </w:r>
      <w:r>
        <w:rPr>
          <w:color w:val="0D0D0D"/>
          <w:highlight w:val="white"/>
        </w:rPr>
        <w:t xml:space="preserve"> Receiving powers of attorney for absent and missing persons is an essential tool for their families, allowing them to receive the individual’s salary and pension and submit legal documents on their behalf. Families of missing or absent persons must prove their status to initiate the process of obtaining a power of attorney for them. The process usually starts with filing a lawsuit, which requires a police report and testimonies from two witnesses confirming that the person has been missing or absent for more than four years. However, Circular No. 30 added another requirement that the families of missing or absent persons must obtain security clearance before initiating the process. On 27 September 2021, circular 30 was slightly amended to stipulate that only powers of attorney related to financial transactions involving absent and missing persons require a security clearance.</w:t>
      </w:r>
    </w:p>
    <w:p w14:paraId="00000025" w14:textId="77777777" w:rsidR="009B2197" w:rsidRDefault="009B2197">
      <w:pPr>
        <w:pBdr>
          <w:top w:val="nil"/>
          <w:left w:val="nil"/>
          <w:bottom w:val="nil"/>
          <w:right w:val="nil"/>
          <w:between w:val="nil"/>
        </w:pBdr>
        <w:ind w:left="720"/>
        <w:rPr>
          <w:color w:val="0D0D0D"/>
          <w:highlight w:val="white"/>
        </w:rPr>
      </w:pPr>
    </w:p>
    <w:p w14:paraId="00000028" w14:textId="32EDE852" w:rsidR="009B2197" w:rsidRPr="00EF7FBB" w:rsidRDefault="00000000" w:rsidP="00EF7FBB">
      <w:pPr>
        <w:numPr>
          <w:ilvl w:val="0"/>
          <w:numId w:val="4"/>
        </w:numPr>
        <w:pBdr>
          <w:top w:val="nil"/>
          <w:left w:val="nil"/>
          <w:bottom w:val="nil"/>
          <w:right w:val="nil"/>
          <w:between w:val="nil"/>
        </w:pBdr>
        <w:jc w:val="both"/>
        <w:rPr>
          <w:color w:val="0D0D0D"/>
          <w:highlight w:val="white"/>
        </w:rPr>
      </w:pPr>
      <w:r>
        <w:rPr>
          <w:color w:val="0D0D0D"/>
          <w:highlight w:val="white"/>
        </w:rPr>
        <w:t xml:space="preserve">In 2022, the Ministry of Justice issued Circular No. 22, requiring Shari’a judges (Personal Status judges) to request the relevant Criminal Security Branch to contact </w:t>
      </w:r>
      <w:r>
        <w:rPr>
          <w:color w:val="0D0D0D"/>
          <w:highlight w:val="white"/>
        </w:rPr>
        <w:lastRenderedPageBreak/>
        <w:t>other security branches to determine whether they have any information about the person whose death is to be confirmed and to obtain security clearance for it.</w:t>
      </w:r>
      <w:r>
        <w:rPr>
          <w:color w:val="0D0D0D"/>
          <w:highlight w:val="white"/>
          <w:vertAlign w:val="superscript"/>
        </w:rPr>
        <w:footnoteReference w:id="4"/>
      </w:r>
      <w:r>
        <w:rPr>
          <w:color w:val="0D0D0D"/>
          <w:highlight w:val="white"/>
          <w:vertAlign w:val="superscript"/>
        </w:rPr>
        <w:t xml:space="preserve"> </w:t>
      </w:r>
      <w:r>
        <w:rPr>
          <w:color w:val="0D0D0D"/>
          <w:highlight w:val="white"/>
        </w:rPr>
        <w:t>According to the Personal Status Law, any person missing during military operations for a period of four years can be declared legally dead by the courts.</w:t>
      </w:r>
      <w:r>
        <w:rPr>
          <w:color w:val="0D0D0D"/>
          <w:highlight w:val="white"/>
          <w:vertAlign w:val="superscript"/>
        </w:rPr>
        <w:footnoteReference w:id="5"/>
      </w:r>
      <w:r>
        <w:rPr>
          <w:color w:val="0D0D0D"/>
          <w:highlight w:val="white"/>
        </w:rPr>
        <w:t xml:space="preserve"> The Circular makes the declaration of death by the court (Sharia judges) contingent on a security clearance.</w:t>
      </w:r>
      <w:r w:rsidR="00EF7FBB">
        <w:rPr>
          <w:color w:val="0D0D0D"/>
          <w:highlight w:val="white"/>
        </w:rPr>
        <w:t xml:space="preserve"> </w:t>
      </w:r>
      <w:r w:rsidRPr="00EF7FBB">
        <w:rPr>
          <w:color w:val="0D0D0D"/>
          <w:highlight w:val="white"/>
        </w:rPr>
        <w:t>Finally, a recent circular, No. 1/3039, dated June 3, 2024, issued by the Presidency of the Council of Ministers, following a letter from the so-called National Security Office, reiterated the requirement for security clearance for real estate transactions and powers of attorney.</w:t>
      </w:r>
      <w:r>
        <w:rPr>
          <w:color w:val="0D0D0D"/>
          <w:highlight w:val="white"/>
          <w:vertAlign w:val="superscript"/>
        </w:rPr>
        <w:footnoteReference w:id="6"/>
      </w:r>
    </w:p>
    <w:p w14:paraId="00000029" w14:textId="77777777" w:rsidR="009B2197" w:rsidRDefault="009B2197">
      <w:pPr>
        <w:rPr>
          <w:color w:val="000000"/>
        </w:rPr>
      </w:pPr>
    </w:p>
    <w:p w14:paraId="0000002A" w14:textId="77777777" w:rsidR="009B2197" w:rsidRDefault="00000000">
      <w:pPr>
        <w:numPr>
          <w:ilvl w:val="0"/>
          <w:numId w:val="4"/>
        </w:numPr>
        <w:pBdr>
          <w:top w:val="nil"/>
          <w:left w:val="nil"/>
          <w:bottom w:val="nil"/>
          <w:right w:val="nil"/>
          <w:between w:val="nil"/>
        </w:pBdr>
        <w:jc w:val="both"/>
        <w:rPr>
          <w:color w:val="0D0D0D"/>
          <w:highlight w:val="white"/>
        </w:rPr>
      </w:pPr>
      <w:r>
        <w:rPr>
          <w:color w:val="000000"/>
        </w:rPr>
        <w:t xml:space="preserve">The Syrian government's claim that security clearance is a protective measure implies that the judiciary is incapable of fulfilling </w:t>
      </w:r>
      <w:r>
        <w:t>its</w:t>
      </w:r>
      <w:r>
        <w:rPr>
          <w:color w:val="000000"/>
        </w:rPr>
        <w:t xml:space="preserve"> role, thus necessitating security clearance. This rationale underscores the absence of the rule of law, judicial independence, and the </w:t>
      </w:r>
      <w:r>
        <w:t>executive authority’s extraordinary powers</w:t>
      </w:r>
      <w:r>
        <w:rPr>
          <w:color w:val="000000"/>
        </w:rPr>
        <w:t xml:space="preserve"> over the judiciary and legislative branches. Even the implementation of judicial rulings, in </w:t>
      </w:r>
      <w:r>
        <w:t>some instances, requires</w:t>
      </w:r>
      <w:r>
        <w:rPr>
          <w:color w:val="000000"/>
        </w:rPr>
        <w:t xml:space="preserve"> a security clearance. In May 2017, the General Secretariat of the Council of Ministers sent a letter to the Ministry of Defense regarding the implementation of judicial decisions involving real estate and compensation for damages. The letter explicitly states that the Head of the "National Security </w:t>
      </w:r>
      <w:r>
        <w:t>Office</w:t>
      </w:r>
      <w:r>
        <w:rPr>
          <w:color w:val="000000"/>
        </w:rPr>
        <w:t>" indicated that compensation for damages resulting from the current circumstances in Syria, whether from a judicial decision or settlement, requires security clearance for the person claiming compensation.</w:t>
      </w:r>
      <w:r>
        <w:rPr>
          <w:color w:val="000000"/>
          <w:vertAlign w:val="superscript"/>
        </w:rPr>
        <w:footnoteReference w:id="7"/>
      </w:r>
      <w:r>
        <w:rPr>
          <w:color w:val="000000"/>
        </w:rPr>
        <w:t xml:space="preserve"> This means that the enforcement of judicial rulings, in this case, depends on security clearance issued by the intelligence service, contradicting the authorities' claim in their response to paragraph 17 that security clearance is solely meant to protect citizens' rights.</w:t>
      </w:r>
    </w:p>
    <w:p w14:paraId="0000002B" w14:textId="77777777" w:rsidR="009B2197" w:rsidRDefault="009B2197">
      <w:pPr>
        <w:pBdr>
          <w:top w:val="nil"/>
          <w:left w:val="nil"/>
          <w:bottom w:val="nil"/>
          <w:right w:val="nil"/>
          <w:between w:val="nil"/>
        </w:pBdr>
        <w:ind w:left="720"/>
        <w:jc w:val="both"/>
      </w:pPr>
    </w:p>
    <w:p w14:paraId="0000002C" w14:textId="77777777" w:rsidR="009B2197" w:rsidRDefault="009B2197">
      <w:pPr>
        <w:pBdr>
          <w:top w:val="nil"/>
          <w:left w:val="nil"/>
          <w:bottom w:val="nil"/>
          <w:right w:val="nil"/>
          <w:between w:val="nil"/>
        </w:pBdr>
        <w:ind w:left="720"/>
        <w:jc w:val="both"/>
        <w:rPr>
          <w:color w:val="0D0D0D"/>
          <w:highlight w:val="white"/>
        </w:rPr>
      </w:pPr>
    </w:p>
    <w:p w14:paraId="0000002D" w14:textId="77777777" w:rsidR="009B2197" w:rsidRDefault="00000000">
      <w:pPr>
        <w:numPr>
          <w:ilvl w:val="0"/>
          <w:numId w:val="4"/>
        </w:numPr>
        <w:pBdr>
          <w:top w:val="nil"/>
          <w:left w:val="nil"/>
          <w:bottom w:val="nil"/>
          <w:right w:val="nil"/>
          <w:between w:val="nil"/>
        </w:pBdr>
        <w:jc w:val="both"/>
        <w:rPr>
          <w:color w:val="0D0D0D"/>
          <w:highlight w:val="white"/>
        </w:rPr>
      </w:pPr>
      <w:r>
        <w:rPr>
          <w:color w:val="0D0D0D"/>
          <w:highlight w:val="white"/>
        </w:rPr>
        <w:lastRenderedPageBreak/>
        <w:t>With regard to tenancy, the Syrian government has, in theory, lifted the security clearance requirement. However, it remains in practice. Circular No. 4 of 2019, issued by the Minister of the Interior, requires that tenancy contracts be registered with the administrative unit. The administrative unit then informs the police, and the police should immediately send a copy of the tenancy contract to Political Security, which conducts a background check on the tenant and decides whether to take measures such as arresting or supervising the tenant.</w:t>
      </w:r>
      <w:r>
        <w:rPr>
          <w:color w:val="0D0D0D"/>
          <w:highlight w:val="white"/>
          <w:vertAlign w:val="superscript"/>
        </w:rPr>
        <w:footnoteReference w:id="8"/>
      </w:r>
      <w:r>
        <w:rPr>
          <w:color w:val="0D0D0D"/>
          <w:highlight w:val="white"/>
        </w:rPr>
        <w:t xml:space="preserve"> </w:t>
      </w:r>
    </w:p>
    <w:p w14:paraId="0000002E" w14:textId="77777777" w:rsidR="009B2197" w:rsidRDefault="009B2197">
      <w:pPr>
        <w:jc w:val="both"/>
        <w:rPr>
          <w:color w:val="0D0D0D"/>
          <w:highlight w:val="white"/>
        </w:rPr>
      </w:pPr>
    </w:p>
    <w:p w14:paraId="4E8098AE" w14:textId="49837F3E" w:rsidR="00962939" w:rsidRPr="00962939" w:rsidRDefault="00000000" w:rsidP="00962939">
      <w:pPr>
        <w:numPr>
          <w:ilvl w:val="0"/>
          <w:numId w:val="4"/>
        </w:numPr>
        <w:pBdr>
          <w:top w:val="nil"/>
          <w:left w:val="nil"/>
          <w:bottom w:val="nil"/>
          <w:right w:val="nil"/>
          <w:between w:val="nil"/>
        </w:pBdr>
        <w:jc w:val="both"/>
        <w:rPr>
          <w:color w:val="000000"/>
        </w:rPr>
      </w:pPr>
      <w:r>
        <w:rPr>
          <w:color w:val="000000"/>
        </w:rPr>
        <w:t xml:space="preserve">It is worth mentioning that security clearance is not the only restriction on real estate transactions. </w:t>
      </w:r>
      <w:r>
        <w:t>It supplements other mechanisms, including precautionary seizure decisions and property appropriation. The law has empowered the executive authority, represented by the Minister of Finance, to impose precautionary seizure on movable and immovable assets</w:t>
      </w:r>
      <w:r w:rsidR="00EF7FBB">
        <w:t>, often upon request from the intelligence services</w:t>
      </w:r>
      <w:r>
        <w:t>.</w:t>
      </w:r>
      <w:r w:rsidR="00980A67">
        <w:rPr>
          <w:rStyle w:val="FootnoteReference"/>
        </w:rPr>
        <w:footnoteReference w:id="9"/>
      </w:r>
      <w:r>
        <w:t xml:space="preserve"> </w:t>
      </w:r>
      <w:r w:rsidR="00075E68" w:rsidRPr="00075E68">
        <w:t>Law No. 30 of 2010 on Banking Secrecy grants the executive, represented by the Minister of Finance, the authority to impose precautionary seizures.</w:t>
      </w:r>
      <w:r w:rsidR="00962939">
        <w:rPr>
          <w:vertAlign w:val="superscript"/>
        </w:rPr>
        <w:footnoteReference w:id="10"/>
      </w:r>
      <w:r w:rsidR="00075E68" w:rsidRPr="00075E68">
        <w:t xml:space="preserve"> </w:t>
      </w:r>
      <w:r w:rsidR="00AD0D7A" w:rsidRPr="00AD0D7A">
        <w:t>The Ministry of Finance confirmed that it has the authority to impose precautionary seizures on the accounts and assets of depositors in financial institutions in accordance with laws and regulations aimed at protecting public funds or combating money laundering and terrorist financing</w:t>
      </w:r>
      <w:r w:rsidR="00075E68" w:rsidRPr="00075E68">
        <w:t>.</w:t>
      </w:r>
      <w:r w:rsidR="00075E68">
        <w:rPr>
          <w:rStyle w:val="FootnoteReference"/>
        </w:rPr>
        <w:footnoteReference w:id="11"/>
      </w:r>
    </w:p>
    <w:p w14:paraId="39768212" w14:textId="77777777" w:rsidR="00962939" w:rsidRDefault="00962939" w:rsidP="00962939">
      <w:pPr>
        <w:pBdr>
          <w:top w:val="nil"/>
          <w:left w:val="nil"/>
          <w:bottom w:val="nil"/>
          <w:right w:val="nil"/>
          <w:between w:val="nil"/>
        </w:pBdr>
        <w:ind w:left="720"/>
        <w:jc w:val="both"/>
        <w:rPr>
          <w:color w:val="000000"/>
        </w:rPr>
      </w:pPr>
    </w:p>
    <w:p w14:paraId="0000002F" w14:textId="791FA818" w:rsidR="009B2197" w:rsidRPr="00962939" w:rsidRDefault="00000000" w:rsidP="00962939">
      <w:pPr>
        <w:numPr>
          <w:ilvl w:val="0"/>
          <w:numId w:val="4"/>
        </w:numPr>
        <w:pBdr>
          <w:top w:val="nil"/>
          <w:left w:val="nil"/>
          <w:bottom w:val="nil"/>
          <w:right w:val="nil"/>
          <w:between w:val="nil"/>
        </w:pBdr>
        <w:jc w:val="both"/>
        <w:rPr>
          <w:color w:val="000000"/>
        </w:rPr>
      </w:pPr>
      <w:r>
        <w:t>Also, the C</w:t>
      </w:r>
      <w:r w:rsidR="00EF7FBB">
        <w:t>ou</w:t>
      </w:r>
      <w:r>
        <w:t xml:space="preserve">nter-Terrorism Law grant the court the authority to carry out the general appropriation of assets. This practice is not only in breach of Syria’s obligations under the ICCPR, but it also contradicts the constitution itself, which stipulates in Article 15 that general appropriation of assets is prohibited. The Military Field Court also </w:t>
      </w:r>
      <w:r>
        <w:lastRenderedPageBreak/>
        <w:t>followed a similar approach in the general appropriation of assets, and despite the abolition of this court, the effects of its decisions were not nullified. Furthermore, Law No. 41 of 2004</w:t>
      </w:r>
      <w:r w:rsidRPr="00962939">
        <w:rPr>
          <w:color w:val="000000"/>
        </w:rPr>
        <w:t xml:space="preserve"> in force prevents owners in border areas from disposing of their property without approval from the Minister of Interior, whose decision is final and not subject to judicial review. </w:t>
      </w:r>
      <w:r>
        <w:t>It</w:t>
      </w:r>
      <w:r w:rsidRPr="00962939">
        <w:rPr>
          <w:color w:val="000000"/>
        </w:rPr>
        <w:t xml:space="preserve"> specifies that court rulings and decisions regarding border area lands are implemented only with this clearance. </w:t>
      </w:r>
    </w:p>
    <w:p w14:paraId="00000030" w14:textId="77777777" w:rsidR="009B2197" w:rsidRDefault="009B2197">
      <w:pPr>
        <w:pBdr>
          <w:top w:val="nil"/>
          <w:left w:val="nil"/>
          <w:bottom w:val="nil"/>
          <w:right w:val="nil"/>
          <w:between w:val="nil"/>
        </w:pBdr>
        <w:jc w:val="both"/>
        <w:rPr>
          <w:color w:val="0D0D0D"/>
          <w:highlight w:val="white"/>
        </w:rPr>
      </w:pPr>
    </w:p>
    <w:p w14:paraId="00000031" w14:textId="77777777" w:rsidR="009B2197" w:rsidRDefault="00000000">
      <w:pPr>
        <w:numPr>
          <w:ilvl w:val="0"/>
          <w:numId w:val="4"/>
        </w:numPr>
        <w:pBdr>
          <w:top w:val="nil"/>
          <w:left w:val="nil"/>
          <w:bottom w:val="nil"/>
          <w:right w:val="nil"/>
          <w:between w:val="nil"/>
        </w:pBdr>
        <w:jc w:val="both"/>
        <w:rPr>
          <w:color w:val="000000"/>
        </w:rPr>
      </w:pPr>
      <w:r>
        <w:rPr>
          <w:color w:val="000000"/>
        </w:rPr>
        <w:t xml:space="preserve">In light of the above, it is clear that security clearance is not limited to </w:t>
      </w:r>
      <w:r>
        <w:t>specific</w:t>
      </w:r>
      <w:r>
        <w:rPr>
          <w:color w:val="000000"/>
        </w:rPr>
        <w:t xml:space="preserve"> transactions requiring prior identity verification as claimed by the government. Instead, it is a tool for establishing and maintaining government control over society. It undermines the judiciary's role in redressing grievances and adjudicating disputes. </w:t>
      </w:r>
      <w:r>
        <w:t>The</w:t>
      </w:r>
      <w:r>
        <w:rPr>
          <w:color w:val="000000"/>
        </w:rPr>
        <w:t xml:space="preserve"> executive holds authority over the judiciary through security clearance, denying access and rights to whoever they choose. </w:t>
      </w:r>
      <w:r>
        <w:t>The</w:t>
      </w:r>
      <w:r>
        <w:rPr>
          <w:color w:val="000000"/>
        </w:rPr>
        <w:t xml:space="preserve"> executive effectively overrides the </w:t>
      </w:r>
      <w:r>
        <w:t>domestic</w:t>
      </w:r>
      <w:r>
        <w:rPr>
          <w:color w:val="000000"/>
        </w:rPr>
        <w:t xml:space="preserve"> constitutional and legal frameworks</w:t>
      </w:r>
      <w:r>
        <w:t xml:space="preserve"> and</w:t>
      </w:r>
      <w:r>
        <w:rPr>
          <w:color w:val="000000"/>
        </w:rPr>
        <w:t xml:space="preserve"> Syria’s obligations under the ICCPR by imposing security clearance through practices and circulars.</w:t>
      </w:r>
    </w:p>
    <w:p w14:paraId="00000033" w14:textId="77777777" w:rsidR="009B2197" w:rsidRDefault="009B2197">
      <w:pPr>
        <w:jc w:val="both"/>
        <w:rPr>
          <w:color w:val="000000"/>
        </w:rPr>
      </w:pPr>
    </w:p>
    <w:p w14:paraId="00000034" w14:textId="77777777" w:rsidR="009B2197" w:rsidRDefault="00000000">
      <w:pPr>
        <w:pStyle w:val="Heading1"/>
        <w:numPr>
          <w:ilvl w:val="0"/>
          <w:numId w:val="2"/>
        </w:numPr>
      </w:pPr>
      <w:bookmarkStart w:id="3" w:name="_heading=h.wyg3va72o6ao" w:colFirst="0" w:colLast="0"/>
      <w:bookmarkEnd w:id="3"/>
      <w:r>
        <w:t xml:space="preserve">Failure to take measures to facilitate a safe and dignified return </w:t>
      </w:r>
    </w:p>
    <w:p w14:paraId="00000035" w14:textId="77777777" w:rsidR="009B2197" w:rsidRDefault="009B2197">
      <w:pPr>
        <w:bidi/>
        <w:jc w:val="both"/>
        <w:rPr>
          <w:color w:val="000000"/>
        </w:rPr>
      </w:pPr>
    </w:p>
    <w:p w14:paraId="00000036" w14:textId="77777777" w:rsidR="009B2197" w:rsidRDefault="00000000">
      <w:pPr>
        <w:numPr>
          <w:ilvl w:val="0"/>
          <w:numId w:val="4"/>
        </w:numPr>
        <w:pBdr>
          <w:top w:val="nil"/>
          <w:left w:val="nil"/>
          <w:bottom w:val="nil"/>
          <w:right w:val="nil"/>
          <w:between w:val="nil"/>
        </w:pBdr>
        <w:jc w:val="both"/>
        <w:rPr>
          <w:color w:val="000000"/>
        </w:rPr>
      </w:pPr>
      <w:r>
        <w:t>Several reports issued by the COI, OHCHR, and Syrian organisations confirm that the Syrian government has not only failed to take any measures to facilitate the return but is actively impeding the right to return.</w:t>
      </w:r>
      <w:r>
        <w:rPr>
          <w:color w:val="000000"/>
        </w:rPr>
        <w:t xml:space="preserve"> </w:t>
      </w:r>
      <w:r>
        <w:rPr>
          <w:color w:val="0D0D0D"/>
          <w:highlight w:val="white"/>
        </w:rPr>
        <w:t>Despite the Syrian Government's public encouragement to return, including holding three conferences since 2020 to support refugees’</w:t>
      </w:r>
      <w:r>
        <w:rPr>
          <w:color w:val="000000"/>
        </w:rPr>
        <w:t xml:space="preserve"> return</w:t>
      </w:r>
      <w:r>
        <w:rPr>
          <w:color w:val="000000"/>
          <w:highlight w:val="white"/>
        </w:rPr>
        <w:t>,</w:t>
      </w:r>
      <w:r>
        <w:rPr>
          <w:highlight w:val="white"/>
          <w:vertAlign w:val="superscript"/>
        </w:rPr>
        <w:footnoteReference w:id="12"/>
      </w:r>
      <w:r>
        <w:rPr>
          <w:color w:val="000000"/>
          <w:highlight w:val="white"/>
        </w:rPr>
        <w:t xml:space="preserve"> </w:t>
      </w:r>
      <w:r>
        <w:rPr>
          <w:color w:val="0D0D0D"/>
          <w:highlight w:val="white"/>
        </w:rPr>
        <w:t>significant challenges persist for those seeking to return to Syria. The absence of a clear legal framework or accessible information for individuals wishing to return continues, alongside ongoing human rights violations such as torture, enforced disappearance, arbitrary detention, and property rights violations against returnees.</w:t>
      </w:r>
    </w:p>
    <w:p w14:paraId="00000037" w14:textId="77777777" w:rsidR="009B2197" w:rsidRDefault="009B2197">
      <w:pPr>
        <w:pBdr>
          <w:top w:val="nil"/>
          <w:left w:val="nil"/>
          <w:bottom w:val="nil"/>
          <w:right w:val="nil"/>
          <w:between w:val="nil"/>
        </w:pBdr>
        <w:ind w:left="720"/>
        <w:jc w:val="both"/>
        <w:rPr>
          <w:color w:val="000000"/>
        </w:rPr>
      </w:pPr>
    </w:p>
    <w:p w14:paraId="00000038" w14:textId="77777777" w:rsidR="009B2197" w:rsidRDefault="00000000">
      <w:pPr>
        <w:numPr>
          <w:ilvl w:val="0"/>
          <w:numId w:val="4"/>
        </w:numPr>
        <w:pBdr>
          <w:top w:val="nil"/>
          <w:left w:val="nil"/>
          <w:bottom w:val="nil"/>
          <w:right w:val="nil"/>
          <w:between w:val="nil"/>
        </w:pBdr>
        <w:jc w:val="both"/>
        <w:rPr>
          <w:color w:val="000000"/>
        </w:rPr>
      </w:pPr>
      <w:r>
        <w:rPr>
          <w:color w:val="000000"/>
        </w:rPr>
        <w:t xml:space="preserve">In its report published in February 2023, the COI stated that although the Syrian government has publicly encouraged return, it has not established the required conditions and a clear legal framework for those wishing to return to their country </w:t>
      </w:r>
      <w:r>
        <w:rPr>
          <w:color w:val="000000"/>
        </w:rPr>
        <w:lastRenderedPageBreak/>
        <w:t>legally, such as who is responsible for issuing return permits and how to submit appeals when return is refused.</w:t>
      </w:r>
      <w:r>
        <w:rPr>
          <w:color w:val="000000"/>
          <w:vertAlign w:val="superscript"/>
        </w:rPr>
        <w:t xml:space="preserve"> </w:t>
      </w:r>
      <w:r>
        <w:rPr>
          <w:color w:val="000000"/>
        </w:rPr>
        <w:t>Indeed, cases of people whose applications were rejected for “criminal” or “security reasons” have been reported without any details or formal procedures for appealing the decision.</w:t>
      </w:r>
      <w:r>
        <w:rPr>
          <w:vertAlign w:val="superscript"/>
        </w:rPr>
        <w:footnoteReference w:id="13"/>
      </w:r>
      <w:r>
        <w:rPr>
          <w:color w:val="000000"/>
        </w:rPr>
        <w:t xml:space="preserve"> </w:t>
      </w:r>
    </w:p>
    <w:p w14:paraId="00000039" w14:textId="77777777" w:rsidR="009B2197" w:rsidRDefault="009B2197">
      <w:pPr>
        <w:pBdr>
          <w:top w:val="nil"/>
          <w:left w:val="nil"/>
          <w:bottom w:val="nil"/>
          <w:right w:val="nil"/>
          <w:between w:val="nil"/>
        </w:pBdr>
        <w:ind w:left="720"/>
        <w:jc w:val="both"/>
      </w:pPr>
    </w:p>
    <w:p w14:paraId="0000003A" w14:textId="77777777" w:rsidR="009B2197" w:rsidRDefault="00000000">
      <w:pPr>
        <w:numPr>
          <w:ilvl w:val="0"/>
          <w:numId w:val="4"/>
        </w:numPr>
        <w:pBdr>
          <w:top w:val="nil"/>
          <w:left w:val="nil"/>
          <w:bottom w:val="nil"/>
          <w:right w:val="nil"/>
          <w:between w:val="nil"/>
        </w:pBdr>
        <w:jc w:val="both"/>
        <w:rPr>
          <w:color w:val="000000"/>
        </w:rPr>
      </w:pPr>
      <w:r>
        <w:rPr>
          <w:color w:val="000000"/>
        </w:rPr>
        <w:t>In the same report, the COI also reported that IDPs were denied return to their village of origin in government-controlled areas from opposition-controlled areas despite having obtained prior approval (security clearance). Others were threatened with being handed over to the security services unless they paid bribes. Many returnees reported having to pay bribes to members of local administrations to access their properties. For example, this report reported a case of a person whose house was severely damaged in retaliation for his insistence on restoring the house. In another case, the COI showed that a piece of land belonging to a returnee was seized by the local leader of a pro-government militia through public auctions, confirming the continuation of a pattern of violations previously documented by it. Remedies to address these cases remain unavailable or ineffective, as authorities have not reacted to complaints from some, while others have reported that they fear retaliation if a complaint is made.</w:t>
      </w:r>
      <w:r>
        <w:rPr>
          <w:vertAlign w:val="superscript"/>
        </w:rPr>
        <w:footnoteReference w:id="14"/>
      </w:r>
      <w:r>
        <w:t xml:space="preserve"> </w:t>
      </w:r>
      <w:r>
        <w:rPr>
          <w:color w:val="000000"/>
        </w:rPr>
        <w:t> </w:t>
      </w:r>
    </w:p>
    <w:p w14:paraId="0000003B" w14:textId="77777777" w:rsidR="009B2197" w:rsidRDefault="009B2197">
      <w:pPr>
        <w:ind w:left="360"/>
        <w:jc w:val="both"/>
      </w:pPr>
    </w:p>
    <w:p w14:paraId="0000003C" w14:textId="77777777" w:rsidR="009B2197" w:rsidRDefault="00000000">
      <w:pPr>
        <w:numPr>
          <w:ilvl w:val="0"/>
          <w:numId w:val="4"/>
        </w:numPr>
        <w:pBdr>
          <w:top w:val="nil"/>
          <w:left w:val="nil"/>
          <w:bottom w:val="nil"/>
          <w:right w:val="nil"/>
          <w:between w:val="nil"/>
        </w:pBdr>
        <w:jc w:val="both"/>
        <w:rPr>
          <w:color w:val="000000"/>
        </w:rPr>
      </w:pPr>
      <w:r>
        <w:rPr>
          <w:color w:val="000000"/>
        </w:rPr>
        <w:t xml:space="preserve">In addition, COI reports confirm that returnees continue to face serious human rights violations upon return, further hampering voluntary repatriation efforts. Torture, arbitrary detention and other forms of abuse continue, perpetuating a climate of fear and insecurity for those contemplating return. The COI highlighted widespread patterns of persecution, including cases in which individuals were subjected to forced military recruitment upon return. Additionally, the ambiguous and arbitrary nature of the </w:t>
      </w:r>
      <w:r>
        <w:rPr>
          <w:color w:val="0D0D0D"/>
          <w:highlight w:val="white"/>
        </w:rPr>
        <w:t>Syrian Government</w:t>
      </w:r>
      <w:r>
        <w:rPr>
          <w:color w:val="000000"/>
        </w:rPr>
        <w:t xml:space="preserve">’s “reconciliation” processes poses additional risks, as returnees often face interrogation, arrest, and enforced disappearance upon arrival. In its report on August 14, 2023, covering January to June 31, 2023, the COI confirmed that Syria remains unsafe for refugees to return. For example, the COI documented the arrest of a returnee based on a “security report” accusing him of committing crimes that occurred while he was abroad. He was arrested with his wife and children, detained for weeks without access to a lawyer or being brought before a judge, and tortured while in detention by </w:t>
      </w:r>
      <w:r>
        <w:rPr>
          <w:color w:val="000000"/>
        </w:rPr>
        <w:lastRenderedPageBreak/>
        <w:t>several security agencies, notably the Military Intelligence and Political Security Branch, to obtain information, forcing him to make confessions.</w:t>
      </w:r>
      <w:r>
        <w:rPr>
          <w:vertAlign w:val="superscript"/>
        </w:rPr>
        <w:footnoteReference w:id="15"/>
      </w:r>
      <w:r>
        <w:t xml:space="preserve"> </w:t>
      </w:r>
    </w:p>
    <w:p w14:paraId="0000003D" w14:textId="77777777" w:rsidR="009B2197" w:rsidRDefault="009B2197">
      <w:pPr>
        <w:pBdr>
          <w:top w:val="nil"/>
          <w:left w:val="nil"/>
          <w:bottom w:val="nil"/>
          <w:right w:val="nil"/>
          <w:between w:val="nil"/>
        </w:pBdr>
        <w:ind w:left="720"/>
        <w:jc w:val="both"/>
        <w:rPr>
          <w:color w:val="000000"/>
        </w:rPr>
      </w:pPr>
    </w:p>
    <w:p w14:paraId="0000003E" w14:textId="77777777" w:rsidR="009B2197" w:rsidRDefault="00000000">
      <w:pPr>
        <w:numPr>
          <w:ilvl w:val="0"/>
          <w:numId w:val="4"/>
        </w:numPr>
        <w:pBdr>
          <w:top w:val="nil"/>
          <w:left w:val="nil"/>
          <w:bottom w:val="nil"/>
          <w:right w:val="nil"/>
          <w:between w:val="nil"/>
        </w:pBdr>
        <w:jc w:val="both"/>
        <w:rPr>
          <w:color w:val="000000"/>
        </w:rPr>
      </w:pPr>
      <w:r>
        <w:rPr>
          <w:color w:val="000000"/>
        </w:rPr>
        <w:t xml:space="preserve">Also, according to the report, hundreds of Syrian refugees and migrants were repatriated from Lebanon during the reporting period, including about 200 individuals on January 1 who were rescued from a sunken ship and forced to return via formal or informal routes. </w:t>
      </w:r>
      <w:r>
        <w:t>Members of the Fourth Division of the Syrian Arab Army or smugglers arrested some</w:t>
      </w:r>
      <w:r>
        <w:rPr>
          <w:color w:val="000000"/>
        </w:rPr>
        <w:t xml:space="preserve">. Many were threatened with being handed over to the security services or sent to prison unless they paid large sums of money, averaging several hundred dollars. Those who paid were released and subsequently </w:t>
      </w:r>
      <w:r>
        <w:t>returned</w:t>
      </w:r>
      <w:r>
        <w:rPr>
          <w:color w:val="000000"/>
        </w:rPr>
        <w:t xml:space="preserve"> to Lebanon through unofficial channels. In contrast, others were handed over and detained by the security services or the Syrian Arab Army. Many of these detainees described being held by the Syrian army in overcrowded facilities with insufficient food and water. Some were forced to enlist for military service and sign a "Settlement Status” document. The report further indicates that some returnees, including children, have gone missing since their return to Syria, with their families unaware of their fate or whereabouts.</w:t>
      </w:r>
      <w:r>
        <w:rPr>
          <w:vertAlign w:val="superscript"/>
        </w:rPr>
        <w:footnoteReference w:id="16"/>
      </w:r>
      <w:r>
        <w:rPr>
          <w:color w:val="000000"/>
        </w:rPr>
        <w:t> </w:t>
      </w:r>
    </w:p>
    <w:p w14:paraId="0000003F" w14:textId="77777777" w:rsidR="009B2197" w:rsidRDefault="009B2197">
      <w:pPr>
        <w:pBdr>
          <w:top w:val="nil"/>
          <w:left w:val="nil"/>
          <w:bottom w:val="nil"/>
          <w:right w:val="nil"/>
          <w:between w:val="nil"/>
        </w:pBdr>
        <w:ind w:left="720"/>
        <w:jc w:val="both"/>
        <w:rPr>
          <w:color w:val="000000"/>
        </w:rPr>
      </w:pPr>
    </w:p>
    <w:p w14:paraId="00000040" w14:textId="506351EF" w:rsidR="009B2197" w:rsidRDefault="00000000">
      <w:pPr>
        <w:numPr>
          <w:ilvl w:val="0"/>
          <w:numId w:val="4"/>
        </w:numPr>
        <w:pBdr>
          <w:top w:val="nil"/>
          <w:left w:val="nil"/>
          <w:bottom w:val="nil"/>
          <w:right w:val="nil"/>
          <w:between w:val="nil"/>
        </w:pBdr>
        <w:jc w:val="both"/>
        <w:rPr>
          <w:color w:val="000000"/>
        </w:rPr>
      </w:pPr>
      <w:r>
        <w:rPr>
          <w:color w:val="000000"/>
        </w:rPr>
        <w:t xml:space="preserve">In the same context, in February 2024, the OHCHR published a report detailing the human rights violations faced by Syrians upon their return to Syria after fleeing the country. The report highlights interrelated patterns of violations and identifies challenges to access to economic, social and cultural rights, exacerbated by armed conflict and the economic crisis. The report's findings are primarily based on 44 interviews and meetings conducted by OHCHR. Of these, 22 interviews were conducted with returnees and former returnees (people who have returned and left the country again), including </w:t>
      </w:r>
      <w:r w:rsidR="00734483">
        <w:t>10</w:t>
      </w:r>
      <w:r>
        <w:rPr>
          <w:color w:val="000000"/>
        </w:rPr>
        <w:t xml:space="preserve"> women and 12 men between October 2022 and June 2023.</w:t>
      </w:r>
      <w:r>
        <w:rPr>
          <w:vertAlign w:val="superscript"/>
        </w:rPr>
        <w:footnoteReference w:id="17"/>
      </w:r>
    </w:p>
    <w:p w14:paraId="00000041" w14:textId="77777777" w:rsidR="009B2197" w:rsidRDefault="009B2197">
      <w:pPr>
        <w:pBdr>
          <w:top w:val="nil"/>
          <w:left w:val="nil"/>
          <w:bottom w:val="nil"/>
          <w:right w:val="nil"/>
          <w:between w:val="nil"/>
        </w:pBdr>
        <w:ind w:left="720"/>
        <w:rPr>
          <w:color w:val="000000"/>
        </w:rPr>
      </w:pPr>
    </w:p>
    <w:p w14:paraId="00000042" w14:textId="77777777" w:rsidR="009B2197" w:rsidRDefault="00000000">
      <w:pPr>
        <w:numPr>
          <w:ilvl w:val="0"/>
          <w:numId w:val="4"/>
        </w:numPr>
        <w:pBdr>
          <w:top w:val="nil"/>
          <w:left w:val="nil"/>
          <w:bottom w:val="nil"/>
          <w:right w:val="nil"/>
          <w:between w:val="nil"/>
        </w:pBdr>
        <w:jc w:val="both"/>
        <w:rPr>
          <w:color w:val="000000"/>
        </w:rPr>
      </w:pPr>
      <w:r>
        <w:rPr>
          <w:color w:val="000000"/>
        </w:rPr>
        <w:t>The report concludes that although Syrians have returned home, the root causes of the conflict remain unaddressed, leaving returnees vulnerable to various violations of international human rights and</w:t>
      </w:r>
      <w:r>
        <w:t xml:space="preserve"> humanitarian law</w:t>
      </w:r>
      <w:r>
        <w:rPr>
          <w:color w:val="000000"/>
        </w:rPr>
        <w:t xml:space="preserve">. Many Syrian returnees face significant challenges and are subjected to grave human rights violations, including </w:t>
      </w:r>
      <w:r>
        <w:rPr>
          <w:color w:val="000000"/>
        </w:rPr>
        <w:lastRenderedPageBreak/>
        <w:t>arbitrary detention, torture, restrictions on freedom of movement, inadequate housing, and violations of property rights. OHCHR obtained several testimonies of returnees to areas under the control of pro-government forces who reported being subjected to torture and ill-treatment while in detention and being detained until the visible wounds and traces of physical harm disappeared before being brought before a judge or released. One woman described the conditions of her detained son, also a returnee, who was held in a pro-government detention centre in Damascus. According to the woman's testimony, her son was severely beaten in detention. He was only allowed to appear before a judge (he was brought before a military judge) after being provided with an intensive dose of cortisone and other medicines to treat bruises and other signs of torture for weeks, as detainees are not allowed to appear before the court until after any visible signs of torture have healed.</w:t>
      </w:r>
      <w:r>
        <w:rPr>
          <w:vertAlign w:val="superscript"/>
        </w:rPr>
        <w:footnoteReference w:id="18"/>
      </w:r>
      <w:r>
        <w:t xml:space="preserve"> </w:t>
      </w:r>
    </w:p>
    <w:p w14:paraId="00000043" w14:textId="77777777" w:rsidR="009B2197" w:rsidRDefault="009B2197">
      <w:pPr>
        <w:pBdr>
          <w:top w:val="nil"/>
          <w:left w:val="nil"/>
          <w:bottom w:val="nil"/>
          <w:right w:val="nil"/>
          <w:between w:val="nil"/>
        </w:pBdr>
        <w:ind w:left="720"/>
        <w:jc w:val="both"/>
        <w:rPr>
          <w:color w:val="000000"/>
        </w:rPr>
      </w:pPr>
    </w:p>
    <w:p w14:paraId="00000044" w14:textId="77777777" w:rsidR="009B2197" w:rsidRDefault="00000000">
      <w:pPr>
        <w:numPr>
          <w:ilvl w:val="0"/>
          <w:numId w:val="4"/>
        </w:numPr>
        <w:pBdr>
          <w:top w:val="nil"/>
          <w:left w:val="nil"/>
          <w:bottom w:val="nil"/>
          <w:right w:val="nil"/>
          <w:between w:val="nil"/>
        </w:pBdr>
        <w:jc w:val="both"/>
        <w:rPr>
          <w:color w:val="000000"/>
        </w:rPr>
      </w:pPr>
      <w:r>
        <w:rPr>
          <w:color w:val="000000"/>
        </w:rPr>
        <w:t>In addition, the report notes the suffering of returnees due to the destruction of their homes during the conflict, the lack of civil documentation, and perceived threats from local authorities due to their previous departure or their opposing views. Additionally, women are disproportionately affected by discriminatory laws and gender-based violence. As a result, the majority of individuals interviewed, especially those with financial means, chose to leave Syria again, seeking refuge in countries such as Lebanon and Turkey, where they expect better economic conditions despite possible mistreatment by local authorities.</w:t>
      </w:r>
    </w:p>
    <w:p w14:paraId="00000045" w14:textId="77777777" w:rsidR="009B2197" w:rsidRDefault="009B2197">
      <w:pPr>
        <w:pBdr>
          <w:top w:val="nil"/>
          <w:left w:val="nil"/>
          <w:bottom w:val="nil"/>
          <w:right w:val="nil"/>
          <w:between w:val="nil"/>
        </w:pBdr>
        <w:ind w:left="720"/>
        <w:jc w:val="both"/>
      </w:pPr>
    </w:p>
    <w:p w14:paraId="00000046" w14:textId="77777777" w:rsidR="009B2197" w:rsidRDefault="00000000">
      <w:pPr>
        <w:numPr>
          <w:ilvl w:val="0"/>
          <w:numId w:val="4"/>
        </w:numPr>
        <w:jc w:val="both"/>
      </w:pPr>
      <w:r>
        <w:t>Notably, after 2011, real estate laws in Syria have become a means for the government to bolster its position and weaken its political opponents, leading to significant impacts on the property and housing rights of the Syrian people. This, in turn, has constituted and continues to constitute a significant impact on the right to return of Syrian refugees and internally displaced persons.</w:t>
      </w:r>
    </w:p>
    <w:p w14:paraId="00000047" w14:textId="77777777" w:rsidR="009B2197" w:rsidRDefault="009B2197">
      <w:pPr>
        <w:ind w:left="720"/>
        <w:jc w:val="both"/>
      </w:pPr>
    </w:p>
    <w:p w14:paraId="00000048" w14:textId="15CEDB4F" w:rsidR="009B2197" w:rsidRDefault="00000000">
      <w:pPr>
        <w:numPr>
          <w:ilvl w:val="0"/>
          <w:numId w:val="4"/>
        </w:numPr>
        <w:jc w:val="both"/>
      </w:pPr>
      <w:r>
        <w:t xml:space="preserve">The presence of multiple overlapping laws without clear and decisive standards has created a situation of ambiguity and contradictions, providing the government with room to manipulate the laws in pursuit of its own interests. </w:t>
      </w:r>
      <w:r w:rsidR="00734483">
        <w:t>T</w:t>
      </w:r>
      <w:r>
        <w:t xml:space="preserve">hese laws do not consider the substantial changes in urban structures and population displacement that have </w:t>
      </w:r>
      <w:r>
        <w:lastRenderedPageBreak/>
        <w:t xml:space="preserve">occurred during the conflict in Syria. They do not adequately address the challenges faced by families with missing or detained members, including female relatives, who encounter significant legal, social, and economic barriers in accessing their HLP and inheritance rights. </w:t>
      </w:r>
    </w:p>
    <w:p w14:paraId="00000049" w14:textId="77777777" w:rsidR="009B2197" w:rsidRDefault="009B2197">
      <w:pPr>
        <w:ind w:left="720"/>
        <w:jc w:val="both"/>
      </w:pPr>
    </w:p>
    <w:p w14:paraId="0000004A" w14:textId="67D032B2" w:rsidR="009B2197" w:rsidRDefault="00000000">
      <w:pPr>
        <w:numPr>
          <w:ilvl w:val="0"/>
          <w:numId w:val="4"/>
        </w:numPr>
        <w:jc w:val="both"/>
      </w:pPr>
      <w:r>
        <w:t>The lack of essential documents, such as death and marriage certificates and HLP documents, presents obstacles for refugees and IDPs to establish their legal right to inherit or claim their rightful HLP entitlements. Moreover, these laws assume a state of stability in the country and impose complex ownership verification processes on displaced and affected residents, even those currently residing outside Syria. This approach does not consider the dynamic and uncertain situation on the ground, making it difficult for individuals to assert their property rights and reclaim their homes or land. While a comprehensive review of all real estate laws is beyond the scope of this discussion, it is essential to reference some of them to highlight how these laws have been used to violate the HLP rights of displaced individuals</w:t>
      </w:r>
      <w:r w:rsidR="00734483">
        <w:t>, further consolidate their displacement,</w:t>
      </w:r>
      <w:r>
        <w:t xml:space="preserve"> and impede their return. Annex I of this paper provides a brief overview and legal analysis of these laws</w:t>
      </w:r>
      <w:r w:rsidR="00734483">
        <w:t>,</w:t>
      </w:r>
      <w:r>
        <w:t xml:space="preserve"> highlighting how they infringe on property rights and impede the right to return.</w:t>
      </w:r>
    </w:p>
    <w:p w14:paraId="0000004B" w14:textId="77777777" w:rsidR="009B2197" w:rsidRDefault="009B2197">
      <w:pPr>
        <w:ind w:left="720"/>
        <w:jc w:val="both"/>
      </w:pPr>
    </w:p>
    <w:p w14:paraId="0000004C" w14:textId="57E2735B" w:rsidR="009B2197" w:rsidRDefault="00000000">
      <w:pPr>
        <w:numPr>
          <w:ilvl w:val="0"/>
          <w:numId w:val="4"/>
        </w:numPr>
        <w:jc w:val="both"/>
      </w:pPr>
      <w:r>
        <w:t xml:space="preserve">Finally, </w:t>
      </w:r>
      <w:r w:rsidR="00734483">
        <w:t>a</w:t>
      </w:r>
      <w:r>
        <w:t xml:space="preserve"> study published by the Day After Foundation, "After the Trilogy of Siege, Destruction, and Displacement", found multiple patterns of violations, including violations of property rights and the rights of refugees and internally displaced persons to return. The study reveals that the government has been using legal and administrative procedures to legitimise and consolidate the forced displacement and demographic changes brought about by the government's human rights violations and international crimes.</w:t>
      </w:r>
      <w:r>
        <w:rPr>
          <w:vertAlign w:val="superscript"/>
        </w:rPr>
        <w:footnoteReference w:id="19"/>
      </w:r>
    </w:p>
    <w:p w14:paraId="0000004D" w14:textId="77777777" w:rsidR="009B2197" w:rsidRDefault="009B2197">
      <w:pPr>
        <w:ind w:left="720"/>
        <w:jc w:val="both"/>
      </w:pPr>
    </w:p>
    <w:p w14:paraId="0000004E" w14:textId="19F9A876" w:rsidR="009B2197" w:rsidRDefault="00000000">
      <w:pPr>
        <w:numPr>
          <w:ilvl w:val="0"/>
          <w:numId w:val="4"/>
        </w:numPr>
        <w:jc w:val="both"/>
      </w:pPr>
      <w:r>
        <w:t xml:space="preserve">The study's methodology was robust, encompassing investigations, questionnaires with a representative sample of those affected, and the use of open sources, satellite images, and maps. It covered seven areas: Jobar and al-Tadamon neighbourhoods (Damascus Governorate), </w:t>
      </w:r>
      <w:r w:rsidR="00CB37FB">
        <w:t>Daraya</w:t>
      </w:r>
      <w:r>
        <w:t xml:space="preserve"> City (Damascus Countryside Governorate), Jabal Badro </w:t>
      </w:r>
      <w:r>
        <w:lastRenderedPageBreak/>
        <w:t>neighbourhood (Aleppo Governorate), Baba Amr neighbourhood, al-Qusayr City (Homs Governorate), al-Mukhayyam neighbourhood (Daraa Governorate). The government's strategy was consistent in all these areas: besiege, bomb, and displace.</w:t>
      </w:r>
    </w:p>
    <w:p w14:paraId="0000004F" w14:textId="77777777" w:rsidR="009B2197" w:rsidRDefault="009B2197">
      <w:pPr>
        <w:ind w:left="720"/>
        <w:jc w:val="both"/>
      </w:pPr>
    </w:p>
    <w:p w14:paraId="00000050" w14:textId="77777777" w:rsidR="009B2197" w:rsidRDefault="00000000">
      <w:pPr>
        <w:numPr>
          <w:ilvl w:val="0"/>
          <w:numId w:val="4"/>
        </w:numPr>
        <w:jc w:val="both"/>
      </w:pPr>
      <w:r>
        <w:t>The study demonstrates systematic procedures by the Syrian government in all areas to prevent property rights holders from accessing their rights through repeated patterns of violations, impeding their right to return. Some of these violations took on an official character, such as regulatory plans that changed the demographic nature of the areas and ignored residents' rights, further consolidating the displacement and impeding the right to return of those displaced. The pattern of preventing return was consistent across the seven areas examined by the study, along with other recurring violations, including displacement, pillaging and looting, shelling, and breaches of urban planning. Different patterns in other areas included property seizure, forced sales, and construction on the lands of the displaced.</w:t>
      </w:r>
    </w:p>
    <w:p w14:paraId="00000051" w14:textId="77777777" w:rsidR="009B2197" w:rsidRDefault="009B2197">
      <w:pPr>
        <w:pBdr>
          <w:top w:val="nil"/>
          <w:left w:val="nil"/>
          <w:bottom w:val="nil"/>
          <w:right w:val="nil"/>
          <w:between w:val="nil"/>
        </w:pBdr>
        <w:jc w:val="both"/>
      </w:pPr>
    </w:p>
    <w:p w14:paraId="00000052" w14:textId="77777777" w:rsidR="009B2197" w:rsidRDefault="00000000">
      <w:pPr>
        <w:pStyle w:val="Heading1"/>
        <w:ind w:left="0"/>
      </w:pPr>
      <w:bookmarkStart w:id="4" w:name="_heading=h.f83ryyrkwwh6" w:colFirst="0" w:colLast="0"/>
      <w:bookmarkEnd w:id="4"/>
      <w:r>
        <w:t>Recommendations</w:t>
      </w:r>
    </w:p>
    <w:p w14:paraId="00000053" w14:textId="77777777" w:rsidR="009B2197" w:rsidRDefault="009B2197">
      <w:pPr>
        <w:pBdr>
          <w:top w:val="nil"/>
          <w:left w:val="nil"/>
          <w:bottom w:val="nil"/>
          <w:right w:val="nil"/>
          <w:between w:val="nil"/>
        </w:pBdr>
        <w:ind w:left="720"/>
        <w:jc w:val="both"/>
      </w:pPr>
    </w:p>
    <w:p w14:paraId="00000054" w14:textId="77777777" w:rsidR="009B2197" w:rsidRDefault="00000000">
      <w:pPr>
        <w:numPr>
          <w:ilvl w:val="0"/>
          <w:numId w:val="1"/>
        </w:numPr>
        <w:jc w:val="both"/>
      </w:pPr>
      <w:r>
        <w:t>The Syrian government must remove security clearance requirements for all transactions, including those related to real estate sale and purchase, tenancy, and transactions concerning missing persons.</w:t>
      </w:r>
    </w:p>
    <w:p w14:paraId="00000055" w14:textId="77777777" w:rsidR="009B2197" w:rsidRDefault="009B2197">
      <w:pPr>
        <w:ind w:left="1440"/>
        <w:jc w:val="both"/>
      </w:pPr>
    </w:p>
    <w:p w14:paraId="00000056" w14:textId="77777777" w:rsidR="009B2197" w:rsidRDefault="00000000">
      <w:pPr>
        <w:numPr>
          <w:ilvl w:val="0"/>
          <w:numId w:val="1"/>
        </w:numPr>
        <w:jc w:val="both"/>
      </w:pPr>
      <w:r>
        <w:t>The Syrian government must provide constitutional guarantees to ensure the independence of the judiciary from the executive branch, including removing any restrictions on the judiciary imposed in favour of the security agencies.</w:t>
      </w:r>
    </w:p>
    <w:p w14:paraId="00000057" w14:textId="77777777" w:rsidR="009B2197" w:rsidRDefault="009B2197">
      <w:pPr>
        <w:ind w:left="1440"/>
        <w:jc w:val="both"/>
      </w:pPr>
    </w:p>
    <w:p w14:paraId="00000058" w14:textId="77777777" w:rsidR="009B2197" w:rsidRDefault="00000000">
      <w:pPr>
        <w:numPr>
          <w:ilvl w:val="0"/>
          <w:numId w:val="1"/>
        </w:numPr>
        <w:jc w:val="both"/>
      </w:pPr>
      <w:r>
        <w:t>The Syrian government must ensure that any restrictions on property rights fall within the judiciary's jurisdiction in a manner consistent with the ICCPR, without any interference from the executive and intelligence services.</w:t>
      </w:r>
    </w:p>
    <w:p w14:paraId="00000059" w14:textId="77777777" w:rsidR="009B2197" w:rsidRDefault="009B2197">
      <w:pPr>
        <w:ind w:left="1440"/>
        <w:jc w:val="both"/>
      </w:pPr>
    </w:p>
    <w:p w14:paraId="0000005A" w14:textId="77777777" w:rsidR="009B2197" w:rsidRDefault="00000000">
      <w:pPr>
        <w:numPr>
          <w:ilvl w:val="0"/>
          <w:numId w:val="1"/>
        </w:numPr>
        <w:jc w:val="both"/>
      </w:pPr>
      <w:r>
        <w:t>The Syrian government must take active steps to prevent and investigate human rights violations and crimes against returnees, publicly detailing its efforts to conduct investigations, prosecute perpetrators, impose penalties and provide reparations to victims.</w:t>
      </w:r>
    </w:p>
    <w:p w14:paraId="0000005B" w14:textId="77777777" w:rsidR="009B2197" w:rsidRDefault="009B2197">
      <w:pPr>
        <w:ind w:left="1440"/>
        <w:jc w:val="both"/>
      </w:pPr>
    </w:p>
    <w:p w14:paraId="0000005C" w14:textId="77777777" w:rsidR="009B2197" w:rsidRDefault="00000000">
      <w:pPr>
        <w:numPr>
          <w:ilvl w:val="0"/>
          <w:numId w:val="1"/>
        </w:numPr>
        <w:jc w:val="both"/>
      </w:pPr>
      <w:r>
        <w:lastRenderedPageBreak/>
        <w:t>The government must take active steps to facilitate complaints by victims' families and ensure effective remedies and reparations for them.</w:t>
      </w:r>
    </w:p>
    <w:p w14:paraId="0000005D" w14:textId="77777777" w:rsidR="009B2197" w:rsidRDefault="009B2197">
      <w:pPr>
        <w:ind w:left="1440"/>
        <w:jc w:val="both"/>
      </w:pPr>
    </w:p>
    <w:p w14:paraId="0000005E" w14:textId="77777777" w:rsidR="009B2197" w:rsidRDefault="00000000">
      <w:pPr>
        <w:numPr>
          <w:ilvl w:val="0"/>
          <w:numId w:val="1"/>
        </w:numPr>
        <w:jc w:val="both"/>
      </w:pPr>
      <w:r>
        <w:t>The Syrian government must repeal all legislation and practices that violate housing, land, and property rights and impede the rights of refugees and internally displaced persons to return, including the Counter-Terrorism Law (19/2012), which grants the court authority to appropriate property, and the real estate legislations mentioned in the Annex of this paper.</w:t>
      </w:r>
    </w:p>
    <w:p w14:paraId="0000005F" w14:textId="77777777" w:rsidR="009B2197" w:rsidRDefault="009B2197">
      <w:pPr>
        <w:ind w:left="1440"/>
        <w:jc w:val="both"/>
        <w:sectPr w:rsidR="009B2197">
          <w:footerReference w:type="even" r:id="rId9"/>
          <w:footerReference w:type="default" r:id="rId10"/>
          <w:pgSz w:w="11900" w:h="16820"/>
          <w:pgMar w:top="1440" w:right="1440" w:bottom="1440" w:left="1440" w:header="709" w:footer="709" w:gutter="0"/>
          <w:pgNumType w:start="1"/>
          <w:cols w:space="720"/>
        </w:sectPr>
      </w:pPr>
    </w:p>
    <w:p w14:paraId="00000060" w14:textId="77777777" w:rsidR="009B2197" w:rsidRPr="00AB13AA" w:rsidRDefault="00000000" w:rsidP="00AB13AA">
      <w:pPr>
        <w:pStyle w:val="Heading1"/>
        <w:ind w:left="0"/>
        <w:jc w:val="left"/>
        <w:rPr>
          <w:b/>
          <w:bCs w:val="0"/>
        </w:rPr>
      </w:pPr>
      <w:bookmarkStart w:id="5" w:name="_heading=h.1bs6l1xrjybf" w:colFirst="0" w:colLast="0"/>
      <w:bookmarkEnd w:id="5"/>
      <w:r w:rsidRPr="00AB13AA">
        <w:rPr>
          <w:b/>
          <w:bCs w:val="0"/>
        </w:rPr>
        <w:lastRenderedPageBreak/>
        <w:t>Annex 1: A Brief Analysis of Certain Syrian Legislation Related to Real Estate</w:t>
      </w:r>
    </w:p>
    <w:p w14:paraId="00000061" w14:textId="77777777" w:rsidR="009B2197" w:rsidRDefault="009B2197">
      <w:pPr>
        <w:jc w:val="both"/>
        <w:rPr>
          <w:rtl/>
        </w:rPr>
      </w:pPr>
    </w:p>
    <w:p w14:paraId="75B198F9" w14:textId="54DDE6C9" w:rsidR="00AB13AA" w:rsidRPr="00AB13AA" w:rsidRDefault="00AB13AA" w:rsidP="00AB13AA">
      <w:pPr>
        <w:jc w:val="both"/>
        <w:rPr>
          <w:lang w:val="en-US"/>
        </w:rPr>
      </w:pPr>
      <w:r w:rsidRPr="00AB13AA">
        <w:rPr>
          <w:lang w:val="en-US"/>
        </w:rPr>
        <w:t>This Annex provides a brief legal analysis of several real estate properties that infringe upon property rights, contribute to the consolidation of forced displacement, and hinder the right to return.</w:t>
      </w:r>
    </w:p>
    <w:p w14:paraId="62ECC204" w14:textId="77777777" w:rsidR="00AB13AA" w:rsidRDefault="00AB13AA">
      <w:pPr>
        <w:jc w:val="both"/>
      </w:pPr>
    </w:p>
    <w:p w14:paraId="00000062" w14:textId="25D550E9" w:rsidR="009B2197" w:rsidRDefault="00000000">
      <w:pPr>
        <w:numPr>
          <w:ilvl w:val="0"/>
          <w:numId w:val="3"/>
        </w:numPr>
        <w:jc w:val="both"/>
        <w:rPr>
          <w:b/>
        </w:rPr>
      </w:pPr>
      <w:r>
        <w:rPr>
          <w:b/>
        </w:rPr>
        <w:t>Real Estate Development and Investment Law No. 15 of 2008 and Law 2 of 2023 Amending the Investment Law</w:t>
      </w:r>
      <w:r w:rsidR="008E56F4">
        <w:rPr>
          <w:rStyle w:val="FootnoteReference"/>
          <w:b/>
        </w:rPr>
        <w:footnoteReference w:id="20"/>
      </w:r>
    </w:p>
    <w:p w14:paraId="00000063" w14:textId="77777777" w:rsidR="009B2197" w:rsidRDefault="009B2197">
      <w:pPr>
        <w:bidi/>
        <w:ind w:left="720"/>
      </w:pPr>
    </w:p>
    <w:p w14:paraId="00000064" w14:textId="239368F8" w:rsidR="009B2197" w:rsidRDefault="00000000">
      <w:pPr>
        <w:numPr>
          <w:ilvl w:val="0"/>
          <w:numId w:val="6"/>
        </w:numPr>
        <w:jc w:val="both"/>
      </w:pPr>
      <w:r>
        <w:t>Law 15/2008 was enacted with the objective of attracting investments in the form of real estate development in Syria. However, the law has been met with criticism from Syrian lawyers and legal experts, who have raised concerns about various provisions, particularly those concerning the privileges granted to real estate developers, property expropriation, compensation mechanisms, the provision of alternative housing, and using social surveys to identify right-holders in areas targeted by the law.</w:t>
      </w:r>
      <w:r>
        <w:rPr>
          <w:vertAlign w:val="superscript"/>
        </w:rPr>
        <w:footnoteReference w:id="21"/>
      </w:r>
    </w:p>
    <w:p w14:paraId="00000065" w14:textId="77777777" w:rsidR="009B2197" w:rsidRDefault="009B2197">
      <w:pPr>
        <w:spacing w:after="160"/>
        <w:ind w:left="1440"/>
        <w:jc w:val="both"/>
      </w:pPr>
    </w:p>
    <w:p w14:paraId="00000066" w14:textId="77777777" w:rsidR="009B2197" w:rsidRDefault="00000000">
      <w:pPr>
        <w:numPr>
          <w:ilvl w:val="0"/>
          <w:numId w:val="6"/>
        </w:numPr>
        <w:jc w:val="both"/>
      </w:pPr>
      <w:r>
        <w:t xml:space="preserve">This law established the so-called General Authority for Real Estate Development and Investment (the committee), an independent administrative entity with its own legal status, financial autonomy, and administrative authority. The committee, which has extensive powers, is affiliated with the Ministry of Public Works and Housing and is based in Damascus, with branches in different governorates (Article 2). The committee is managed by a Board of Directors led by the Minister of Public Works and Housing. The primary objective of this board is to formulate policies and comprehensive plans for real estate development and investment in Syria, as well as oversee their execution (Articles 3, 4 and 5). Additionally, the Board of Directors has the authority to submit proposals for the creation of real estate development areas subject to the law's provisions and to propose the acquisition of real estate to undertake real </w:t>
      </w:r>
      <w:r>
        <w:lastRenderedPageBreak/>
        <w:t xml:space="preserve">estate development projects (Article 6). Under Article 10 of the Law, the Board of Directors also has the power to propose demolition, rebuilding, rehabilitation, and renovation of existing residential areas. </w:t>
      </w:r>
    </w:p>
    <w:p w14:paraId="00000067" w14:textId="77777777" w:rsidR="009B2197" w:rsidRDefault="009B2197">
      <w:pPr>
        <w:spacing w:after="160"/>
        <w:jc w:val="both"/>
      </w:pPr>
    </w:p>
    <w:p w14:paraId="00000068" w14:textId="77777777" w:rsidR="009B2197" w:rsidRDefault="00000000">
      <w:pPr>
        <w:numPr>
          <w:ilvl w:val="0"/>
          <w:numId w:val="6"/>
        </w:numPr>
        <w:jc w:val="both"/>
      </w:pPr>
      <w:r>
        <w:t xml:space="preserve">The law allows for the expropriation of private property located within the designated real estate development zone by a decree by the Prime Minister for the benefit of the local administrative unit. The expropriated real estate is then officially registered under the name of the local administrative unit. Following the issuance of the decree, the local administrative unit is responsible for assessing the compensation amount for the expropriated property (Article 11). </w:t>
      </w:r>
    </w:p>
    <w:p w14:paraId="00000069" w14:textId="77777777" w:rsidR="009B2197" w:rsidRDefault="009B2197">
      <w:pPr>
        <w:ind w:left="720"/>
      </w:pPr>
    </w:p>
    <w:p w14:paraId="0000006A" w14:textId="77777777" w:rsidR="009B2197" w:rsidRDefault="00000000">
      <w:pPr>
        <w:numPr>
          <w:ilvl w:val="0"/>
          <w:numId w:val="6"/>
        </w:numPr>
        <w:jc w:val="both"/>
      </w:pPr>
      <w:r>
        <w:t xml:space="preserve">Furthermore, Article 20 of the law provides that projects within the development zones must be carried out by licenced real estate developer companies registered with the committee. In this sense, the primary goal of this law is to engage private companies (Syrian or foreign companies) in the construction of infrastructure and services within the development project while also ensuring the provision of alternative housing for affected residents. </w:t>
      </w:r>
    </w:p>
    <w:p w14:paraId="0000006B" w14:textId="77777777" w:rsidR="009B2197" w:rsidRDefault="009B2197">
      <w:pPr>
        <w:ind w:left="1440"/>
        <w:jc w:val="both"/>
      </w:pPr>
    </w:p>
    <w:p w14:paraId="0000006C" w14:textId="77777777" w:rsidR="009B2197" w:rsidRDefault="00000000">
      <w:pPr>
        <w:numPr>
          <w:ilvl w:val="0"/>
          <w:numId w:val="6"/>
        </w:numPr>
        <w:jc w:val="both"/>
      </w:pPr>
      <w:r>
        <w:t>The same article explicitly states that real estate developers who are implementing projects in slum areas are obligated to provide suitable and alternative housing for the occupants of the project area. This housing should be handed over to the administrative unit, which will distribute it to the occupants in accordance with a "social survey" that it has conducted. Alternatively, the developer may offer compensation in the form of a cash payment to those willing to accept it. The implementation of the social survey method in the current circumstances in Syria poses a significant threat to the rights of refugees and displaced populations, who constitute the majority in many areas recaptured by the government.</w:t>
      </w:r>
    </w:p>
    <w:p w14:paraId="0000006D" w14:textId="77777777" w:rsidR="009B2197" w:rsidRDefault="009B2197">
      <w:pPr>
        <w:ind w:left="720"/>
      </w:pPr>
    </w:p>
    <w:p w14:paraId="0000006E" w14:textId="18A850C2" w:rsidR="009B2197" w:rsidRDefault="00000000">
      <w:pPr>
        <w:numPr>
          <w:ilvl w:val="0"/>
          <w:numId w:val="6"/>
        </w:numPr>
        <w:jc w:val="both"/>
      </w:pPr>
      <w:r>
        <w:t xml:space="preserve">It is worth noting that Law No. 2 was issued on 22 March 2023, amending certain provisions of Investment Law No. 18 of 2021 and repealing Law No. 15 </w:t>
      </w:r>
      <w:r>
        <w:lastRenderedPageBreak/>
        <w:t>of 2018.</w:t>
      </w:r>
      <w:r w:rsidR="004D5452">
        <w:rPr>
          <w:vertAlign w:val="superscript"/>
        </w:rPr>
        <w:footnoteReference w:id="22"/>
      </w:r>
      <w:r w:rsidR="004D5452">
        <w:t xml:space="preserve"> </w:t>
      </w:r>
      <w:r>
        <w:t xml:space="preserve"> The primary aim of Law No. 2 is to broaden the scope of Law No. 18 to include real estate development and investment projects previously governed by Law No. 15 of 2008. Significant changes introduced by Law No. 2 include adding "contribution to construction and urban development" as one of the goals of economic investment (Article 2) and extending the law's provisions to various projects, including those related to urban development and investment (Article 3). The Syrian Investment Agency (Agency), established under Law No. 18, now oversees investment in all sectors, including real estate, replacing the committee established under Law No. 15 of 2008. The Agency operates independently with financial and administrative autonomy while affiliated with the Minister of Economy and Internal Trade.</w:t>
      </w:r>
    </w:p>
    <w:p w14:paraId="0000006F" w14:textId="77777777" w:rsidR="009B2197" w:rsidRDefault="009B2197">
      <w:pPr>
        <w:spacing w:after="160"/>
        <w:ind w:left="1440"/>
      </w:pPr>
    </w:p>
    <w:p w14:paraId="00000070" w14:textId="77777777" w:rsidR="009B2197" w:rsidRDefault="00000000">
      <w:pPr>
        <w:numPr>
          <w:ilvl w:val="0"/>
          <w:numId w:val="6"/>
        </w:numPr>
        <w:jc w:val="both"/>
      </w:pPr>
      <w:r>
        <w:t xml:space="preserve">Law No. 2 increases the number of the Agency's board members from 12 to 14 by including representatives from the Ministry of Public Works and Housing and the Regional Planning Commission. Moreover, the new law empowers the Agency board with additional responsibilities, such as proposing state-owned properties for establishing real estate development and investment zones, suggesting advantages and easements for such projects, and granting development licenses to real estate developers. Real estate developers and real estate investment and development companies licensed under Law No.15/2008 are required to align with the provisions of this new law within one year of its enforcement. The Council has the authority to extend this period for an additional year if necessary (Article 14). </w:t>
      </w:r>
    </w:p>
    <w:p w14:paraId="00000071" w14:textId="77777777" w:rsidR="009B2197" w:rsidRDefault="009B2197">
      <w:pPr>
        <w:spacing w:after="160"/>
      </w:pPr>
    </w:p>
    <w:p w14:paraId="00000072" w14:textId="77777777" w:rsidR="009B2197" w:rsidRDefault="00000000">
      <w:pPr>
        <w:numPr>
          <w:ilvl w:val="0"/>
          <w:numId w:val="6"/>
        </w:numPr>
        <w:jc w:val="both"/>
      </w:pPr>
      <w:r>
        <w:t xml:space="preserve">The term "real estate development zone" is substituted with "zone for real estate development and investment" in Law No. 2. This new definition encompasses any real estate or part thereof covered by a decision to establish such a zone, irrespective of its current condition (built or unbuilt). Unlike Law No. 15 of 2008, Law No. 2 does not explicitly address informal settlements. However, the Agency board retains the authority to propose establishing special economic </w:t>
      </w:r>
      <w:r>
        <w:lastRenderedPageBreak/>
        <w:t>zones within Syria's customs zones to promote specific economic activities. One type of special economic zone is the development zone, intended as an investment zone for reconstruction in areas damaged by the conflict.</w:t>
      </w:r>
    </w:p>
    <w:p w14:paraId="00000073" w14:textId="77777777" w:rsidR="009B2197" w:rsidRDefault="009B2197">
      <w:pPr>
        <w:spacing w:after="160"/>
      </w:pPr>
    </w:p>
    <w:p w14:paraId="00000074" w14:textId="76E6B79F" w:rsidR="009B2197" w:rsidRDefault="00000000">
      <w:pPr>
        <w:numPr>
          <w:ilvl w:val="0"/>
          <w:numId w:val="6"/>
        </w:numPr>
        <w:jc w:val="both"/>
      </w:pPr>
      <w:r>
        <w:t>It is important to mention that the revocation of Law No. 15 raises a notable concern</w:t>
      </w:r>
      <w:r w:rsidR="004D5452">
        <w:t>. R</w:t>
      </w:r>
      <w:r>
        <w:t xml:space="preserve">eal estate developers previously bound by this law to provide alternative housing for occupants in slum areas are no longer obligated to do so under the amended investment law, affecting the assurances for real estate development zones. </w:t>
      </w:r>
    </w:p>
    <w:p w14:paraId="00000075" w14:textId="77777777" w:rsidR="009B2197" w:rsidRDefault="009B2197">
      <w:pPr>
        <w:jc w:val="both"/>
      </w:pPr>
    </w:p>
    <w:p w14:paraId="00000076" w14:textId="77777777" w:rsidR="009B2197" w:rsidRDefault="00000000">
      <w:pPr>
        <w:jc w:val="both"/>
        <w:rPr>
          <w:b/>
        </w:rPr>
      </w:pPr>
      <w:r>
        <w:rPr>
          <w:b/>
        </w:rPr>
        <w:t>II. Law 23 of 2015 on Planning and Urban Development</w:t>
      </w:r>
      <w:r>
        <w:rPr>
          <w:b/>
          <w:vertAlign w:val="superscript"/>
        </w:rPr>
        <w:footnoteReference w:id="23"/>
      </w:r>
      <w:r>
        <w:rPr>
          <w:b/>
        </w:rPr>
        <w:t xml:space="preserve"> </w:t>
      </w:r>
    </w:p>
    <w:p w14:paraId="00000077" w14:textId="77777777" w:rsidR="009B2197" w:rsidRDefault="009B2197">
      <w:pPr>
        <w:ind w:left="720"/>
      </w:pPr>
    </w:p>
    <w:p w14:paraId="00000078" w14:textId="77777777" w:rsidR="009B2197" w:rsidRDefault="00000000">
      <w:pPr>
        <w:numPr>
          <w:ilvl w:val="0"/>
          <w:numId w:val="6"/>
        </w:numPr>
        <w:jc w:val="both"/>
      </w:pPr>
      <w:r>
        <w:t>This law empowers the administrative unit (municipalities and governorates) to propose reorganisation and real estate development areas. Article 3 of the law grants the administrative unit the authority to decide between three options if there are informal housing areas (slums) within the approved organisational plans. The options include applying the provisions of this law, Law No. 15 of 2008 and its amendments, based on agreements between the real estate developer and the owners or the administrative body, or the Expropriation Law to implement the organisational plan for the area, ensuring adherence to Paragraph 2 of Article 15 of the Constitution.</w:t>
      </w:r>
      <w:r>
        <w:rPr>
          <w:vertAlign w:val="superscript"/>
        </w:rPr>
        <w:footnoteReference w:id="24"/>
      </w:r>
    </w:p>
    <w:p w14:paraId="00000079" w14:textId="77777777" w:rsidR="009B2197" w:rsidRDefault="009B2197">
      <w:pPr>
        <w:spacing w:after="160"/>
        <w:ind w:left="1440"/>
        <w:jc w:val="both"/>
      </w:pPr>
    </w:p>
    <w:p w14:paraId="0000007A" w14:textId="77777777" w:rsidR="009B2197" w:rsidRDefault="00000000">
      <w:pPr>
        <w:numPr>
          <w:ilvl w:val="0"/>
          <w:numId w:val="6"/>
        </w:numPr>
        <w:jc w:val="both"/>
      </w:pPr>
      <w:r>
        <w:t xml:space="preserve">Law 23 offers the administrative unit flexibility in selecting which of the three laws it wishes to apply. It has a broad scope, encompassing areas where the administrative body intends to implement general and detailed plans, areas </w:t>
      </w:r>
      <w:r>
        <w:lastRenderedPageBreak/>
        <w:t>affected by natural disasters and wars, and areas attached to organisational plans.</w:t>
      </w:r>
    </w:p>
    <w:p w14:paraId="0000007B" w14:textId="77777777" w:rsidR="009B2197" w:rsidRDefault="009B2197">
      <w:pPr>
        <w:ind w:left="720"/>
      </w:pPr>
    </w:p>
    <w:p w14:paraId="0000007C" w14:textId="25706039" w:rsidR="009B2197" w:rsidRDefault="00000000">
      <w:pPr>
        <w:numPr>
          <w:ilvl w:val="0"/>
          <w:numId w:val="6"/>
        </w:numPr>
        <w:jc w:val="both"/>
      </w:pPr>
      <w:r>
        <w:t>A significant concern with this law is that it grants administrative units the authority to use eminent domain in informal housing areas, allowing deductions for the public benefit of up to 50% in properties within cities of provincial centres and 40% in the countryside and other cities, without providing any compensation to the property owners (Article 4). Consequently, owners can only claim compensation if the deduction rate exceeds these specified percentages, limiting their right to compensation to the excess amount deducted beyond these percentages.</w:t>
      </w:r>
    </w:p>
    <w:p w14:paraId="0000007D" w14:textId="77777777" w:rsidR="009B2197" w:rsidRDefault="009B2197">
      <w:pPr>
        <w:jc w:val="both"/>
      </w:pPr>
    </w:p>
    <w:p w14:paraId="0000007E" w14:textId="63AAABBC" w:rsidR="009B2197" w:rsidRDefault="00000000">
      <w:pPr>
        <w:jc w:val="both"/>
        <w:rPr>
          <w:b/>
        </w:rPr>
      </w:pPr>
      <w:r>
        <w:rPr>
          <w:b/>
        </w:rPr>
        <w:t>III. Law no. 3 of 2018 on Rubble Removal</w:t>
      </w:r>
      <w:r>
        <w:rPr>
          <w:vertAlign w:val="superscript"/>
        </w:rPr>
        <w:footnoteReference w:id="25"/>
      </w:r>
      <w:r>
        <w:t xml:space="preserve"> </w:t>
      </w:r>
    </w:p>
    <w:p w14:paraId="0000007F" w14:textId="77777777" w:rsidR="009B2197" w:rsidRDefault="009B2197">
      <w:pPr>
        <w:ind w:left="720"/>
      </w:pPr>
    </w:p>
    <w:p w14:paraId="00000080" w14:textId="63282F57" w:rsidR="009B2197" w:rsidRDefault="00000000">
      <w:pPr>
        <w:numPr>
          <w:ilvl w:val="0"/>
          <w:numId w:val="6"/>
        </w:numPr>
        <w:jc w:val="both"/>
      </w:pPr>
      <w:r>
        <w:t>Law No. 3 of 2018, enacted in response to the destruction caused by the conflict in Syria, addresses the removal of rubble from damaged buildings.</w:t>
      </w:r>
      <w:r w:rsidR="00734483">
        <w:t xml:space="preserve"> </w:t>
      </w:r>
      <w:r>
        <w:t>However, this law encompasses not only the removal of rubble resulting from the conflict but also covers the rubble from buildings destroyed by natural events like earthquakes. According to Article 2 of the law, governors are granted the authority to issue a decision, based on the proposal of the administrative unit, determining the real estate areas and the damaged buildings covered by the provisions of this law. The decision should specify the time limit within which the administrative unit must prepare a detailed report on the condition of this area, provided that this period should not exceed 120 days. This report must be published in both the Official Gazette and on the bulletin board of the administrative unit.</w:t>
      </w:r>
    </w:p>
    <w:p w14:paraId="00000081" w14:textId="77777777" w:rsidR="009B2197" w:rsidRDefault="009B2197">
      <w:pPr>
        <w:spacing w:after="160"/>
        <w:ind w:left="1440"/>
        <w:jc w:val="both"/>
      </w:pPr>
    </w:p>
    <w:p w14:paraId="00000082" w14:textId="77777777" w:rsidR="009B2197" w:rsidRDefault="00000000">
      <w:pPr>
        <w:numPr>
          <w:ilvl w:val="0"/>
          <w:numId w:val="6"/>
        </w:numPr>
        <w:jc w:val="both"/>
      </w:pPr>
      <w:r>
        <w:t xml:space="preserve">Owners of properties within the designated real estate area, as well as their legal representatives and relatives up to the fourth degree and any other interested parties, have the opportunity to submit a formal request to the relevant administrative authority within 30 days following the publication of the </w:t>
      </w:r>
      <w:r>
        <w:lastRenderedPageBreak/>
        <w:t>governor’s decision. The request should indicate the place of residence and must be accompanied by relevant supporting documents and evidence of their rights. In case the original documents are not available, copies can be submitted. The request should also provide comprehensive details regarding the property, including its locations, boundaries, shares, legal status, and any rights the owner claims.</w:t>
      </w:r>
    </w:p>
    <w:p w14:paraId="00000083" w14:textId="77777777" w:rsidR="009B2197" w:rsidRDefault="009B2197">
      <w:pPr>
        <w:spacing w:after="160"/>
        <w:ind w:left="1440"/>
        <w:jc w:val="both"/>
      </w:pPr>
    </w:p>
    <w:p w14:paraId="00000084" w14:textId="77777777" w:rsidR="009B2197" w:rsidRDefault="00000000">
      <w:pPr>
        <w:numPr>
          <w:ilvl w:val="0"/>
          <w:numId w:val="6"/>
        </w:numPr>
        <w:jc w:val="both"/>
      </w:pPr>
      <w:r>
        <w:t xml:space="preserve">Under Article 4, the governor establishes a committee responsible for categorising damaged buildings and verifying ownership. The committee comprises five members, including a real estate judge, the head of the survey department in the Land Registry, a real estate expert, a representative from Cadastral Affairs, and a representative of residents. Their duties involve surveying damaged buildings, verifying ownership, and creating a </w:t>
      </w:r>
      <w:r>
        <w:rPr>
          <w:i/>
        </w:rPr>
        <w:t>table</w:t>
      </w:r>
      <w:r>
        <w:t xml:space="preserve"> containing essential information such as the real estate area, plot numbers, owners' names, building conditions, the extent of damage, structural safety, and recommendations for demolition, rehabilitation, or preservation. </w:t>
      </w:r>
    </w:p>
    <w:p w14:paraId="00000085" w14:textId="77777777" w:rsidR="009B2197" w:rsidRDefault="009B2197">
      <w:pPr>
        <w:spacing w:after="160"/>
        <w:ind w:left="1440"/>
        <w:jc w:val="both"/>
      </w:pPr>
    </w:p>
    <w:p w14:paraId="00000086" w14:textId="33F15290" w:rsidR="009B2197" w:rsidRDefault="00000000">
      <w:pPr>
        <w:numPr>
          <w:ilvl w:val="0"/>
          <w:numId w:val="6"/>
        </w:numPr>
        <w:jc w:val="both"/>
      </w:pPr>
      <w:r>
        <w:t xml:space="preserve">The owners of rights are entitled to lodge an appeal against </w:t>
      </w:r>
      <w:r w:rsidR="00734483">
        <w:t xml:space="preserve">the </w:t>
      </w:r>
      <w:r w:rsidR="00734483">
        <w:rPr>
          <w:i/>
        </w:rPr>
        <w:t>table’s</w:t>
      </w:r>
      <w:r>
        <w:t xml:space="preserve"> contents before the Civil Court of Appeals within 30 days following the publication of the table in the Official Gazette (Article 6). However, appeals are only permitted concerning errors in the list of rights holders' names prepared by the committee. Owners cannot object to the committee's decisions regarding the</w:t>
      </w:r>
      <w:r w:rsidR="00734483">
        <w:t>ir properties' condition and potential demolition</w:t>
      </w:r>
      <w:r>
        <w:t xml:space="preserve"> despite possible mistakes in classifying the building's condition or determining its suitability for demolition, habitation, or rehabilitation. Also, the administrative units may proceed with demolitions before the objection is resolved in court. Therefore, the right to object does not effectively halt the demolition and can only be used </w:t>
      </w:r>
      <w:r w:rsidR="00734483">
        <w:t>to prove</w:t>
      </w:r>
      <w:r>
        <w:t xml:space="preserve"> real estate ownership.</w:t>
      </w:r>
    </w:p>
    <w:p w14:paraId="00000087" w14:textId="77777777" w:rsidR="009B2197" w:rsidRDefault="009B2197">
      <w:pPr>
        <w:spacing w:after="160"/>
        <w:ind w:left="1440"/>
        <w:jc w:val="both"/>
      </w:pPr>
    </w:p>
    <w:p w14:paraId="00000088" w14:textId="04C05DF2" w:rsidR="009B2197" w:rsidRDefault="00000000">
      <w:pPr>
        <w:numPr>
          <w:ilvl w:val="0"/>
          <w:numId w:val="6"/>
        </w:numPr>
        <w:jc w:val="both"/>
      </w:pPr>
      <w:r>
        <w:t xml:space="preserve">While Law No. 3 explicitly acknowledges the real estate owner's right to own the rubble of their demolished buildings, it does not address the legal status of lands where demolished or at-risk buildings are situated. Moreover, the law </w:t>
      </w:r>
      <w:r>
        <w:lastRenderedPageBreak/>
        <w:t xml:space="preserve">does not clarify whether owners can construct new buildings, receive compensation, or if their land may be subject to </w:t>
      </w:r>
      <w:r w:rsidR="00734483">
        <w:t>ap</w:t>
      </w:r>
      <w:r>
        <w:t>propriation. It is also unclear if the owners would receive allowances or alternative housing as compensation. More importantly, Law No. 3 did not adequately address the situation of refugees and displaced Syrians, as the provided deadlines (30 days) for owners to complete necessary procedures and prove ownership is often insufficient. Many owners may face obstacles in proving ownership due to concerns about security persecution and other risks that hinder their access to legal representation.</w:t>
      </w:r>
    </w:p>
    <w:p w14:paraId="00000089" w14:textId="77777777" w:rsidR="009B2197" w:rsidRDefault="009B2197">
      <w:pPr>
        <w:spacing w:after="160"/>
        <w:ind w:left="1440"/>
        <w:jc w:val="both"/>
      </w:pPr>
    </w:p>
    <w:p w14:paraId="0000008A" w14:textId="4BF92ABD" w:rsidR="009B2197" w:rsidRDefault="00000000">
      <w:pPr>
        <w:numPr>
          <w:ilvl w:val="0"/>
          <w:numId w:val="6"/>
        </w:numPr>
        <w:jc w:val="both"/>
      </w:pPr>
      <w:r>
        <w:t>In sum, this law is one of several laws introduced after 2011 that violate the housing rights of Syrians to serve as a pathway for the implementation of Law 15/2008 and Law No. 10 of 2018 (mentio</w:t>
      </w:r>
      <w:r w:rsidR="00734483">
        <w:t>n</w:t>
      </w:r>
      <w:r>
        <w:t>ed below). Under this law, the governor is granted the authority to demolish any real estate area, irrespective of its condition, by simply issuing a decision to subject it to the provisions of this law (Article 2). Once the rubble is cleared and the area becomes empty land with no remnants, Law 15/2008 and Law No. 10 come into effect, establishing redevelopment zones with the objective of expropriating ownership from the original owners to bring about demographic changes. Ultimately, the ownership of all properties is transferred to the new legal entity known as the "Redevelopment Zone," and citizens' ownership is reduced to mere shares within the redevelopment zone, granting the government control over it through mechanisms like compulsory sales or mandatory partnerships.</w:t>
      </w:r>
    </w:p>
    <w:p w14:paraId="0000008B" w14:textId="77777777" w:rsidR="009B2197" w:rsidRDefault="009B2197">
      <w:pPr>
        <w:rPr>
          <w:b/>
        </w:rPr>
      </w:pPr>
    </w:p>
    <w:p w14:paraId="0000008C" w14:textId="77777777" w:rsidR="009B2197" w:rsidRDefault="00000000">
      <w:pPr>
        <w:rPr>
          <w:b/>
        </w:rPr>
      </w:pPr>
      <w:r>
        <w:rPr>
          <w:b/>
        </w:rPr>
        <w:t>IV. Law No. 10 of 2018 and Decree 66 of 2012 on the Establishment of Development Zones in Syria</w:t>
      </w:r>
    </w:p>
    <w:p w14:paraId="0000008D" w14:textId="77777777" w:rsidR="009B2197" w:rsidRDefault="009B2197">
      <w:pPr>
        <w:rPr>
          <w:b/>
        </w:rPr>
      </w:pPr>
    </w:p>
    <w:p w14:paraId="0000008E" w14:textId="07D36412" w:rsidR="009B2197" w:rsidRDefault="00000000">
      <w:pPr>
        <w:numPr>
          <w:ilvl w:val="0"/>
          <w:numId w:val="6"/>
        </w:numPr>
        <w:jc w:val="both"/>
        <w:rPr>
          <w:rFonts w:ascii="Calibri" w:eastAsia="Calibri" w:hAnsi="Calibri" w:cs="Calibri"/>
        </w:rPr>
      </w:pPr>
      <w:r>
        <w:t>Law No. 10 of 2018 is an amended and extended version of prior legislation, Decree 66 of 2012.</w:t>
      </w:r>
      <w:r>
        <w:rPr>
          <w:b/>
          <w:vertAlign w:val="superscript"/>
        </w:rPr>
        <w:footnoteReference w:id="26"/>
      </w:r>
      <w:r>
        <w:t xml:space="preserve"> Decree 66 of 2012 aims to redevelop two specific zones of unauthorised housing and informal settlements in the Damascus </w:t>
      </w:r>
      <w:r>
        <w:lastRenderedPageBreak/>
        <w:t>governorate.</w:t>
      </w:r>
      <w:r>
        <w:rPr>
          <w:vertAlign w:val="superscript"/>
        </w:rPr>
        <w:footnoteReference w:id="27"/>
      </w:r>
      <w:r>
        <w:t xml:space="preserve"> The first zone includes the southeastern zone of Mazzeh and Kafr Sousseh areas, </w:t>
      </w:r>
      <w:r w:rsidR="00734483">
        <w:t>which will</w:t>
      </w:r>
      <w:r>
        <w:t xml:space="preserve"> be turned into the new real estate project, Marota City. The second zone covers the area in the south of the southern ring, from the real estate zones of Mazzeh, Kafr Sousseh, Qanawat Basatin, Daraya, and Qadam, to be turned into the real estate project named Basilia City. Law No.10/2018 grants the Syrian government the authority to establish redevelopment zones by decrees throughout the country, effectively extending the framework established by Decree 66/2012 to cover all of Syria. </w:t>
      </w:r>
    </w:p>
    <w:p w14:paraId="0000008F" w14:textId="77777777" w:rsidR="009B2197" w:rsidRDefault="009B2197">
      <w:pPr>
        <w:spacing w:after="160"/>
        <w:jc w:val="both"/>
      </w:pPr>
    </w:p>
    <w:p w14:paraId="00000090" w14:textId="77777777" w:rsidR="009B2197" w:rsidRDefault="00000000">
      <w:pPr>
        <w:numPr>
          <w:ilvl w:val="0"/>
          <w:numId w:val="6"/>
        </w:numPr>
        <w:jc w:val="both"/>
      </w:pPr>
      <w:r>
        <w:t xml:space="preserve">According to Article 1 of Law 10, a decree will be issued, prompted by a proposal from the Minister of Local Administration and Environment, and based on approved comprehensive and detailed studies and plans, as well as an economic feasibility study, to establish one or more development zones within the larger zoning plan for administrative units. (Article 1). In legal terms, this article grants the executive authority extensive powers to designate areas previously regulated and settled by existing laws for reconstruction, lacking clear criteria for their designation. </w:t>
      </w:r>
    </w:p>
    <w:p w14:paraId="00000091" w14:textId="77777777" w:rsidR="009B2197" w:rsidRDefault="009B2197">
      <w:pPr>
        <w:spacing w:after="160"/>
        <w:ind w:left="1440"/>
        <w:jc w:val="both"/>
      </w:pPr>
    </w:p>
    <w:p w14:paraId="00000092" w14:textId="77777777" w:rsidR="009B2197" w:rsidRDefault="00000000">
      <w:pPr>
        <w:numPr>
          <w:ilvl w:val="0"/>
          <w:numId w:val="6"/>
        </w:numPr>
        <w:jc w:val="both"/>
      </w:pPr>
      <w:r>
        <w:t xml:space="preserve">Within one month of the decree, the administrative unit establishes one or more committees to conduct surveys, record area details, and perform a social survey using satellite imagery and aerial photos. Moreover, the administrative unit is obliged to publish notices on its official website and through various media channels within one month of the decree to inform individuals whose ownership rights are not recorded in the Real Estate registry about the opportunity to declare their interests and prove their rights in the designated area (Article 2(2)). Property owners and right holders whose rights are not registered in the real estate registry must declare their interests and provide all necessary supporting documents to prove their rights within 30 days of the notice publication (Article 2(2)). This period was later extended to one year by Decree 42/2018. In case of missing documents, owners should provide relevant details, including property </w:t>
      </w:r>
      <w:r>
        <w:lastRenderedPageBreak/>
        <w:t xml:space="preserve">location, borders, shares, legal type, and any ongoing property-related lawsuits, whether filed by the owner or against them. </w:t>
      </w:r>
    </w:p>
    <w:p w14:paraId="00000093" w14:textId="77777777" w:rsidR="009B2197" w:rsidRDefault="009B2197">
      <w:pPr>
        <w:spacing w:after="160"/>
        <w:ind w:left="1440"/>
        <w:jc w:val="both"/>
      </w:pPr>
    </w:p>
    <w:p w14:paraId="00000094" w14:textId="11E73535" w:rsidR="009B2197" w:rsidRDefault="00000000">
      <w:pPr>
        <w:numPr>
          <w:ilvl w:val="0"/>
          <w:numId w:val="6"/>
        </w:numPr>
        <w:jc w:val="both"/>
      </w:pPr>
      <w:r>
        <w:t>If property owners are unable to make a claim personally, their family members, up to the fourth degree or legal counsel with official power of attorney, can represent them. However, relatives must provide evidence of their relationship with the owner and demonstrate that the owner is unable to make the claim themselves. Also, legally recognised agents must be appointed by the property owners and obtain a security clearance from the relevant security authorities. In most areas, a substantial number of inhabitants have been internally displaced or have fled the country</w:t>
      </w:r>
      <w:r w:rsidR="00C16362">
        <w:t>;</w:t>
      </w:r>
      <w:r>
        <w:t xml:space="preserve"> it is extremely challenging, if not impossible, for them to provide proof of ownership. In addition, many displaced have been stripped of their property deeds and personal identification, making substantiating their ownership of the properties impracticable.</w:t>
      </w:r>
      <w:r>
        <w:rPr>
          <w:vertAlign w:val="superscript"/>
        </w:rPr>
        <w:footnoteReference w:id="28"/>
      </w:r>
    </w:p>
    <w:p w14:paraId="00000095" w14:textId="77777777" w:rsidR="009B2197" w:rsidRDefault="009B2197">
      <w:pPr>
        <w:ind w:left="720"/>
      </w:pPr>
    </w:p>
    <w:p w14:paraId="00000096" w14:textId="7A44AEDF" w:rsidR="009B2197" w:rsidRDefault="00000000">
      <w:pPr>
        <w:numPr>
          <w:ilvl w:val="0"/>
          <w:numId w:val="6"/>
        </w:numPr>
        <w:jc w:val="both"/>
      </w:pPr>
      <w:r>
        <w:t>Furthermore, Law 10 grants the government the power to take over portions of privately</w:t>
      </w:r>
      <w:r w:rsidR="00C16362">
        <w:t xml:space="preserve"> </w:t>
      </w:r>
      <w:r>
        <w:t xml:space="preserve">owned property in redevelopment zones for public purposes without compensating the owners. According to Article 2(11), the government can allocate lands to construct various public facilities, such as roads, parks, government buildings, schools, hospitals, housing for those displaced by demolitions, low-income individuals, and social housing, without compensating the original property owners. </w:t>
      </w:r>
    </w:p>
    <w:p w14:paraId="00000097" w14:textId="77777777" w:rsidR="009B2197" w:rsidRDefault="009B2197">
      <w:pPr>
        <w:ind w:left="720"/>
      </w:pPr>
    </w:p>
    <w:p w14:paraId="00000098" w14:textId="1FA01753" w:rsidR="009B2197" w:rsidRDefault="00000000">
      <w:pPr>
        <w:numPr>
          <w:ilvl w:val="0"/>
          <w:numId w:val="6"/>
        </w:numPr>
        <w:jc w:val="both"/>
      </w:pPr>
      <w:r>
        <w:t xml:space="preserve">Another concern regarding Law 10 is that it explicitly removes jurisdiction from the judiciary to resolve real estate disputes. Article 14 of Decree 66 (this article has not been amended by Law 10) provides that one or more committees with judicial powers are formed within the Damascus governorate. These committees are responsible for considering all objections and claims related to ownership or property disputes within the designated area. All similar lawsuits </w:t>
      </w:r>
      <w:r>
        <w:lastRenderedPageBreak/>
        <w:t>related to the designated area, pending before the courts without a final judgment, are referred to these committees. These committees are established by a decision by the Governor and include three members</w:t>
      </w:r>
      <w:r w:rsidR="00C16362">
        <w:t>:</w:t>
      </w:r>
      <w:r>
        <w:t xml:space="preserve"> a judge with the rank of a counsellor as the chairman appointed by the Minister of Justice, a representative from the Directorate of Real Estate Registry in the governorate and a representative from the Damascus governorate (Article 15 Decree 66). The committees have jurisdiction to adjudicate the claims or disputes submitted or referred to them, with all the powers and authorities afforded to the original competent court to handle the dispute (Article 16 Decree 66). </w:t>
      </w:r>
    </w:p>
    <w:p w14:paraId="00000099" w14:textId="77777777" w:rsidR="009B2197" w:rsidRDefault="009B2197">
      <w:pPr>
        <w:spacing w:after="160"/>
        <w:ind w:left="1440"/>
        <w:jc w:val="both"/>
      </w:pPr>
    </w:p>
    <w:p w14:paraId="0000009A" w14:textId="72A06C01" w:rsidR="009B2197" w:rsidRDefault="00000000">
      <w:pPr>
        <w:numPr>
          <w:ilvl w:val="0"/>
          <w:numId w:val="6"/>
        </w:numPr>
        <w:jc w:val="both"/>
      </w:pPr>
      <w:r>
        <w:t xml:space="preserve">These committees, composed of members appointed by the executive authority and including non-judges, function as administrative bodies rather than judicial ones. While the committee's final decisions can be challenged before the Court of Appeal, the appeal process has certain limitations. The Court of Appeal is required to issue a final decision within a maximum timeframe of thirty days from the date of appeal registration. The Court's decision is delivered in closed deliberation without inviting the parties to public sessions or hearings. It should be noted that the appeal does not halt the </w:t>
      </w:r>
      <w:r w:rsidR="00C16362">
        <w:t>committee's implementation procedures</w:t>
      </w:r>
      <w:r>
        <w:t xml:space="preserve">, as stated in Article 2(6) of Law 10. Accordingly, the decisions made by these committees do not adhere to the same rules and procedures as judicial decisions. As a result, the right of property owners to defend their rights in a court of law, as protected by the Syrian constitution and international standards, is not fully ensured by Law No. 10 and Decree 66. </w:t>
      </w:r>
    </w:p>
    <w:p w14:paraId="0000009B" w14:textId="77777777" w:rsidR="009B2197" w:rsidRDefault="009B2197">
      <w:pPr>
        <w:ind w:left="720"/>
      </w:pPr>
    </w:p>
    <w:p w14:paraId="0000009C" w14:textId="6213B653" w:rsidR="009B2197" w:rsidRDefault="00000000">
      <w:pPr>
        <w:numPr>
          <w:ilvl w:val="0"/>
          <w:numId w:val="6"/>
        </w:numPr>
        <w:jc w:val="both"/>
      </w:pPr>
      <w:r>
        <w:t xml:space="preserve">Moreover, Law 10 imposes restrictions on the owners' rights to dispose of their shares in the redevelopment area. Owners of shares in common zoning plots have the right to transfer their ownership either fully or partially among themselves or to other parties within only one year from the announcement of the final distribution list. These transfers must be </w:t>
      </w:r>
      <w:r w:rsidR="00C16362">
        <w:t>appropriate</w:t>
      </w:r>
      <w:r>
        <w:t xml:space="preserve">ly recorded in the registry, as stated in Article 2(16). Moreover, the ownership of plots can be transferred and registered in the Real Estate Registry through three options only. These options include allocating plots, establishing a joint-stock company for building, selling, and investing in plots according to applicable laws, or selling </w:t>
      </w:r>
      <w:r>
        <w:lastRenderedPageBreak/>
        <w:t>shares through a public auction. Owners are required to select one of these options and submit an application within six months of the issuance of share certificates (Article 2(17)). These provisions blatantly disregard the right to property, which the Constitution safeguards (Article 15), the Syrian Civil Code (Article 768), and international law (as discussed earlier).</w:t>
      </w:r>
    </w:p>
    <w:p w14:paraId="0000009D" w14:textId="77777777" w:rsidR="009B2197" w:rsidRDefault="009B2197">
      <w:pPr>
        <w:ind w:left="720"/>
      </w:pPr>
    </w:p>
    <w:p w14:paraId="0000009E" w14:textId="77777777" w:rsidR="009B2197" w:rsidRDefault="00000000">
      <w:pPr>
        <w:numPr>
          <w:ilvl w:val="0"/>
          <w:numId w:val="6"/>
        </w:numPr>
        <w:jc w:val="both"/>
      </w:pPr>
      <w:r>
        <w:t>The procedural requirement to prove ownership combined with the circumstances surrounding the law's issuance suggests that it is utilised as a means to facilitate the expropriation of private property from those perceived as government opponents. Ultimately, this law contributes to rendering the displacement of civilians brought about by human rights violations and international crimes permanent.</w:t>
      </w:r>
    </w:p>
    <w:p w14:paraId="0000009F" w14:textId="77777777" w:rsidR="009B2197" w:rsidRDefault="009B2197">
      <w:pPr>
        <w:ind w:left="720"/>
      </w:pPr>
    </w:p>
    <w:p w14:paraId="000000A0" w14:textId="2946884A" w:rsidR="009B2197" w:rsidRDefault="00000000">
      <w:pPr>
        <w:numPr>
          <w:ilvl w:val="0"/>
          <w:numId w:val="6"/>
        </w:numPr>
        <w:jc w:val="both"/>
      </w:pPr>
      <w:r>
        <w:t xml:space="preserve">Many displaced individuals lack family members in Syria to assist with property ownership claims and face challenges in complying with the law's deadline. The danger of arrest or forced conscription makes it impossible for them to travel back to Syria to claim their properties. The provision allowing family members up to the fourth degree to make ownership claims on behalf of absent property owners becomes irrelevant due to the widespread forced displacement that has uprooted entire families and neighbourhoods. Moreover, the security clearance requirement prevents many Syrians inside and outside the country from registering their properties, particularly those with arrest warrants or who may be seen as government opponents based on their political views or geographic origin. This requirement and associated risks violate the principle of equal protection before the law and the non-discrimination outlined above. </w:t>
      </w:r>
    </w:p>
    <w:p w14:paraId="000000A1" w14:textId="77777777" w:rsidR="009B2197" w:rsidRDefault="009B2197">
      <w:pPr>
        <w:pBdr>
          <w:top w:val="nil"/>
          <w:left w:val="nil"/>
          <w:bottom w:val="nil"/>
          <w:right w:val="nil"/>
          <w:between w:val="nil"/>
        </w:pBdr>
        <w:ind w:left="720"/>
        <w:jc w:val="both"/>
      </w:pPr>
    </w:p>
    <w:p w14:paraId="000000A2" w14:textId="77777777" w:rsidR="009B2197" w:rsidRDefault="009B2197">
      <w:pPr>
        <w:pBdr>
          <w:top w:val="nil"/>
          <w:left w:val="nil"/>
          <w:bottom w:val="nil"/>
          <w:right w:val="nil"/>
          <w:between w:val="nil"/>
        </w:pBdr>
        <w:ind w:left="720"/>
        <w:jc w:val="both"/>
      </w:pPr>
    </w:p>
    <w:p w14:paraId="000000A3" w14:textId="77777777" w:rsidR="009B2197" w:rsidRDefault="009B2197"/>
    <w:p w14:paraId="000000A4" w14:textId="77777777" w:rsidR="009B2197" w:rsidRDefault="009B2197"/>
    <w:sectPr w:rsidR="009B2197">
      <w:pgSz w:w="11900" w:h="16820"/>
      <w:pgMar w:top="1440"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05911" w14:textId="77777777" w:rsidR="00D17F6B" w:rsidRDefault="00D17F6B">
      <w:pPr>
        <w:spacing w:line="240" w:lineRule="auto"/>
      </w:pPr>
      <w:r>
        <w:separator/>
      </w:r>
    </w:p>
  </w:endnote>
  <w:endnote w:type="continuationSeparator" w:id="0">
    <w:p w14:paraId="3C93EC67" w14:textId="77777777" w:rsidR="00D17F6B" w:rsidRDefault="00D17F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1" w14:textId="1BDA6687" w:rsidR="009B2197" w:rsidRDefault="00000000">
    <w:pPr>
      <w:jc w:val="center"/>
    </w:pPr>
    <w:r>
      <w:fldChar w:fldCharType="begin"/>
    </w:r>
    <w:r>
      <w:instrText>PAGE</w:instrText>
    </w:r>
    <w:r>
      <w:fldChar w:fldCharType="separate"/>
    </w:r>
    <w:r w:rsidR="00EF7FBB">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2" w14:textId="028EF3C6" w:rsidR="009B2197" w:rsidRDefault="00000000">
    <w:pPr>
      <w:jc w:val="center"/>
    </w:pPr>
    <w:r>
      <w:fldChar w:fldCharType="begin"/>
    </w:r>
    <w:r>
      <w:instrText>PAGE</w:instrText>
    </w:r>
    <w:r>
      <w:fldChar w:fldCharType="separate"/>
    </w:r>
    <w:r w:rsidR="00EF7FB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3E0B2" w14:textId="77777777" w:rsidR="00D17F6B" w:rsidRDefault="00D17F6B">
      <w:pPr>
        <w:spacing w:line="240" w:lineRule="auto"/>
      </w:pPr>
      <w:r>
        <w:separator/>
      </w:r>
    </w:p>
  </w:footnote>
  <w:footnote w:type="continuationSeparator" w:id="0">
    <w:p w14:paraId="4FF87053" w14:textId="77777777" w:rsidR="00D17F6B" w:rsidRDefault="00D17F6B">
      <w:pPr>
        <w:spacing w:line="240" w:lineRule="auto"/>
      </w:pPr>
      <w:r>
        <w:continuationSeparator/>
      </w:r>
    </w:p>
  </w:footnote>
  <w:footnote w:id="1">
    <w:p w14:paraId="000000BD" w14:textId="77777777" w:rsidR="009B2197" w:rsidRPr="00A57B0E" w:rsidRDefault="00000000" w:rsidP="00A57B0E">
      <w:pPr>
        <w:spacing w:line="240" w:lineRule="auto"/>
        <w:jc w:val="both"/>
        <w:rPr>
          <w:rFonts w:asciiTheme="majorBidi" w:hAnsiTheme="majorBidi" w:cstheme="majorBidi"/>
          <w:sz w:val="20"/>
          <w:szCs w:val="20"/>
        </w:rPr>
      </w:pPr>
      <w:r w:rsidRPr="00A57B0E">
        <w:rPr>
          <w:rStyle w:val="FootnoteReference"/>
          <w:rFonts w:asciiTheme="majorBidi" w:hAnsiTheme="majorBidi" w:cstheme="majorBidi"/>
          <w:sz w:val="20"/>
          <w:szCs w:val="20"/>
        </w:rPr>
        <w:footnoteRef/>
      </w:r>
      <w:r w:rsidRPr="00A57B0E">
        <w:rPr>
          <w:rFonts w:asciiTheme="majorBidi" w:hAnsiTheme="majorBidi" w:cstheme="majorBidi"/>
          <w:sz w:val="20"/>
          <w:szCs w:val="20"/>
        </w:rPr>
        <w:t xml:space="preserve"> The Syria Report, Security Clearance: A Violation of the Right to property, available at: </w:t>
      </w:r>
      <w:hyperlink r:id="rId1">
        <w:r w:rsidRPr="00A57B0E">
          <w:rPr>
            <w:rFonts w:asciiTheme="majorBidi" w:hAnsiTheme="majorBidi" w:cstheme="majorBidi"/>
            <w:color w:val="1155CC"/>
            <w:sz w:val="20"/>
            <w:szCs w:val="20"/>
            <w:u w:val="single"/>
          </w:rPr>
          <w:t>https://hlp.syria-report.com/%D8%AD%D9%82%D9%88%D9%82-%D8%A7%D9%84%D8%B3%D9%83%D9%86-%D9%88%D8%A7%D9%84%D8%A3%D8%B1%D8%A7%D8%B6%D9%8A-%D9%88%D8%A7%D9%84%D9%85%D9%85%D8%AA%D9%84%D9%83%D8%A7%D8%AA/%D9%85%D9%81%D8%AA%D8%A7%D8%AD-%D8%A7%D9%84%D8%AA%D8%B9%D9%85%D9%8A%D9%85%D8%A7%D8%AA-%D9%88%D8%A7%D9%84%D9%85%D9%88%D8%A7%D9%81%D9%82%D8%A7%D8%AA-%D8%A7%D9%84%D8%A3%D9%85%D9%86%D9%8A%D8%A9-%D8%A7/</w:t>
        </w:r>
      </w:hyperlink>
      <w:r w:rsidRPr="00A57B0E">
        <w:rPr>
          <w:rFonts w:asciiTheme="majorBidi" w:hAnsiTheme="majorBidi" w:cstheme="majorBidi"/>
          <w:sz w:val="20"/>
          <w:szCs w:val="20"/>
        </w:rPr>
        <w:t xml:space="preserve"> (Accessed 30 May 2023).</w:t>
      </w:r>
    </w:p>
  </w:footnote>
  <w:footnote w:id="2">
    <w:p w14:paraId="000000BE" w14:textId="77777777" w:rsidR="009B2197" w:rsidRPr="00A57B0E" w:rsidRDefault="00000000" w:rsidP="00A57B0E">
      <w:pPr>
        <w:spacing w:line="240" w:lineRule="auto"/>
        <w:jc w:val="both"/>
        <w:rPr>
          <w:rFonts w:asciiTheme="majorBidi" w:hAnsiTheme="majorBidi" w:cstheme="majorBidi"/>
          <w:sz w:val="20"/>
          <w:szCs w:val="20"/>
        </w:rPr>
      </w:pPr>
      <w:r w:rsidRPr="00A57B0E">
        <w:rPr>
          <w:rStyle w:val="FootnoteReference"/>
          <w:rFonts w:asciiTheme="majorBidi" w:hAnsiTheme="majorBidi" w:cstheme="majorBidi"/>
          <w:sz w:val="20"/>
          <w:szCs w:val="20"/>
        </w:rPr>
        <w:footnoteRef/>
      </w:r>
      <w:r w:rsidRPr="00A57B0E">
        <w:rPr>
          <w:rFonts w:asciiTheme="majorBidi" w:hAnsiTheme="majorBidi" w:cstheme="majorBidi"/>
          <w:sz w:val="20"/>
          <w:szCs w:val="20"/>
        </w:rPr>
        <w:t xml:space="preserve"> Ibid.</w:t>
      </w:r>
    </w:p>
  </w:footnote>
  <w:footnote w:id="3">
    <w:p w14:paraId="000000A5" w14:textId="77777777" w:rsidR="009B2197" w:rsidRPr="00A57B0E" w:rsidRDefault="00000000" w:rsidP="00A57B0E">
      <w:pPr>
        <w:pBdr>
          <w:top w:val="nil"/>
          <w:left w:val="nil"/>
          <w:bottom w:val="nil"/>
          <w:right w:val="nil"/>
          <w:between w:val="nil"/>
        </w:pBdr>
        <w:spacing w:line="240" w:lineRule="auto"/>
        <w:jc w:val="both"/>
        <w:rPr>
          <w:rFonts w:asciiTheme="majorBidi" w:hAnsiTheme="majorBidi" w:cstheme="majorBidi"/>
          <w:color w:val="000000"/>
          <w:sz w:val="20"/>
          <w:szCs w:val="20"/>
        </w:rPr>
      </w:pPr>
      <w:r w:rsidRPr="00A57B0E">
        <w:rPr>
          <w:rStyle w:val="FootnoteReference"/>
          <w:rFonts w:asciiTheme="majorBidi" w:hAnsiTheme="majorBidi" w:cstheme="majorBidi"/>
          <w:sz w:val="20"/>
          <w:szCs w:val="20"/>
        </w:rPr>
        <w:footnoteRef/>
      </w:r>
      <w:r w:rsidRPr="00A57B0E">
        <w:rPr>
          <w:rFonts w:asciiTheme="majorBidi" w:hAnsiTheme="majorBidi" w:cstheme="majorBidi"/>
          <w:color w:val="000000"/>
          <w:sz w:val="20"/>
          <w:szCs w:val="20"/>
        </w:rPr>
        <w:t xml:space="preserve"> Circular 30, September 2021, available at: </w:t>
      </w:r>
      <w:hyperlink r:id="rId2">
        <w:r w:rsidRPr="00A57B0E">
          <w:rPr>
            <w:rFonts w:asciiTheme="majorBidi" w:hAnsiTheme="majorBidi" w:cstheme="majorBidi"/>
            <w:color w:val="0563C1"/>
            <w:sz w:val="20"/>
            <w:szCs w:val="20"/>
            <w:u w:val="single"/>
          </w:rPr>
          <w:t>https://www.facebook.com/MOJ.SYR/posts/2646250975681744</w:t>
        </w:r>
      </w:hyperlink>
      <w:r w:rsidRPr="00A57B0E">
        <w:rPr>
          <w:rFonts w:asciiTheme="majorBidi" w:hAnsiTheme="majorBidi" w:cstheme="majorBidi"/>
          <w:color w:val="000000"/>
          <w:sz w:val="20"/>
          <w:szCs w:val="20"/>
        </w:rPr>
        <w:t>, (Accessed 30 May 2023).</w:t>
      </w:r>
    </w:p>
  </w:footnote>
  <w:footnote w:id="4">
    <w:p w14:paraId="000000A6" w14:textId="77777777" w:rsidR="009B2197" w:rsidRPr="00A57B0E" w:rsidRDefault="00000000" w:rsidP="00A57B0E">
      <w:pPr>
        <w:pBdr>
          <w:top w:val="nil"/>
          <w:left w:val="nil"/>
          <w:bottom w:val="nil"/>
          <w:right w:val="nil"/>
          <w:between w:val="nil"/>
        </w:pBdr>
        <w:spacing w:line="240" w:lineRule="auto"/>
        <w:jc w:val="both"/>
        <w:rPr>
          <w:rFonts w:asciiTheme="majorBidi" w:hAnsiTheme="majorBidi" w:cstheme="majorBidi"/>
          <w:color w:val="000000"/>
          <w:sz w:val="20"/>
          <w:szCs w:val="20"/>
        </w:rPr>
      </w:pPr>
      <w:r w:rsidRPr="00A57B0E">
        <w:rPr>
          <w:rStyle w:val="FootnoteReference"/>
          <w:rFonts w:asciiTheme="majorBidi" w:hAnsiTheme="majorBidi" w:cstheme="majorBidi"/>
          <w:sz w:val="20"/>
          <w:szCs w:val="20"/>
        </w:rPr>
        <w:footnoteRef/>
      </w:r>
      <w:r w:rsidRPr="00A57B0E">
        <w:rPr>
          <w:rFonts w:asciiTheme="majorBidi" w:hAnsiTheme="majorBidi" w:cstheme="majorBidi"/>
          <w:color w:val="000000"/>
          <w:sz w:val="20"/>
          <w:szCs w:val="20"/>
        </w:rPr>
        <w:t xml:space="preserve"> Circular No. 22, August 2022, available at: </w:t>
      </w:r>
      <w:hyperlink r:id="rId3">
        <w:r w:rsidRPr="00A57B0E">
          <w:rPr>
            <w:rFonts w:asciiTheme="majorBidi" w:hAnsiTheme="majorBidi" w:cstheme="majorBidi"/>
            <w:color w:val="0563C1"/>
            <w:sz w:val="20"/>
            <w:szCs w:val="20"/>
            <w:u w:val="single"/>
          </w:rPr>
          <w:t>https</w:t>
        </w:r>
      </w:hyperlink>
      <w:hyperlink r:id="rId4">
        <w:r w:rsidRPr="00A57B0E">
          <w:rPr>
            <w:rFonts w:asciiTheme="majorBidi" w:hAnsiTheme="majorBidi" w:cstheme="majorBidi"/>
            <w:color w:val="0563C1"/>
            <w:sz w:val="20"/>
            <w:szCs w:val="20"/>
            <w:u w:val="single"/>
          </w:rPr>
          <w:t>://</w:t>
        </w:r>
      </w:hyperlink>
      <w:hyperlink r:id="rId5">
        <w:r w:rsidRPr="00A57B0E">
          <w:rPr>
            <w:rFonts w:asciiTheme="majorBidi" w:hAnsiTheme="majorBidi" w:cstheme="majorBidi"/>
            <w:color w:val="0563C1"/>
            <w:sz w:val="20"/>
            <w:szCs w:val="20"/>
            <w:u w:val="single"/>
          </w:rPr>
          <w:t>www</w:t>
        </w:r>
      </w:hyperlink>
      <w:hyperlink r:id="rId6">
        <w:r w:rsidRPr="00A57B0E">
          <w:rPr>
            <w:rFonts w:asciiTheme="majorBidi" w:hAnsiTheme="majorBidi" w:cstheme="majorBidi"/>
            <w:color w:val="0563C1"/>
            <w:sz w:val="20"/>
            <w:szCs w:val="20"/>
            <w:u w:val="single"/>
          </w:rPr>
          <w:t>.</w:t>
        </w:r>
      </w:hyperlink>
      <w:hyperlink r:id="rId7">
        <w:r w:rsidRPr="00A57B0E">
          <w:rPr>
            <w:rFonts w:asciiTheme="majorBidi" w:hAnsiTheme="majorBidi" w:cstheme="majorBidi"/>
            <w:color w:val="0563C1"/>
            <w:sz w:val="20"/>
            <w:szCs w:val="20"/>
            <w:u w:val="single"/>
          </w:rPr>
          <w:t>enabbaladi</w:t>
        </w:r>
      </w:hyperlink>
      <w:hyperlink r:id="rId8">
        <w:r w:rsidRPr="00A57B0E">
          <w:rPr>
            <w:rFonts w:asciiTheme="majorBidi" w:hAnsiTheme="majorBidi" w:cstheme="majorBidi"/>
            <w:color w:val="0563C1"/>
            <w:sz w:val="20"/>
            <w:szCs w:val="20"/>
            <w:u w:val="single"/>
          </w:rPr>
          <w:t>.</w:t>
        </w:r>
      </w:hyperlink>
      <w:hyperlink r:id="rId9">
        <w:r w:rsidRPr="00A57B0E">
          <w:rPr>
            <w:rFonts w:asciiTheme="majorBidi" w:hAnsiTheme="majorBidi" w:cstheme="majorBidi"/>
            <w:color w:val="0563C1"/>
            <w:sz w:val="20"/>
            <w:szCs w:val="20"/>
            <w:u w:val="single"/>
          </w:rPr>
          <w:t>net</w:t>
        </w:r>
      </w:hyperlink>
      <w:hyperlink r:id="rId10">
        <w:r w:rsidRPr="00A57B0E">
          <w:rPr>
            <w:rFonts w:asciiTheme="majorBidi" w:hAnsiTheme="majorBidi" w:cstheme="majorBidi"/>
            <w:color w:val="0563C1"/>
            <w:sz w:val="20"/>
            <w:szCs w:val="20"/>
            <w:u w:val="single"/>
          </w:rPr>
          <w:t>/598537/</w:t>
        </w:r>
      </w:hyperlink>
      <w:hyperlink r:id="rId11">
        <w:r w:rsidRPr="00A57B0E">
          <w:rPr>
            <w:rFonts w:asciiTheme="majorBidi" w:hAnsiTheme="majorBidi" w:cstheme="majorBidi"/>
            <w:color w:val="0563C1"/>
            <w:sz w:val="20"/>
            <w:szCs w:val="20"/>
            <w:u w:val="single"/>
            <w:rtl/>
          </w:rPr>
          <w:t>العدل</w:t>
        </w:r>
      </w:hyperlink>
      <w:hyperlink r:id="rId12">
        <w:r w:rsidRPr="00A57B0E">
          <w:rPr>
            <w:rFonts w:asciiTheme="majorBidi" w:hAnsiTheme="majorBidi" w:cstheme="majorBidi"/>
            <w:color w:val="0563C1"/>
            <w:sz w:val="20"/>
            <w:szCs w:val="20"/>
            <w:u w:val="single"/>
            <w:rtl/>
          </w:rPr>
          <w:t>-</w:t>
        </w:r>
      </w:hyperlink>
      <w:hyperlink r:id="rId13">
        <w:r w:rsidRPr="00A57B0E">
          <w:rPr>
            <w:rFonts w:asciiTheme="majorBidi" w:hAnsiTheme="majorBidi" w:cstheme="majorBidi"/>
            <w:color w:val="0563C1"/>
            <w:sz w:val="20"/>
            <w:szCs w:val="20"/>
            <w:u w:val="single"/>
            <w:rtl/>
          </w:rPr>
          <w:t>السورية</w:t>
        </w:r>
      </w:hyperlink>
      <w:hyperlink r:id="rId14">
        <w:r w:rsidRPr="00A57B0E">
          <w:rPr>
            <w:rFonts w:asciiTheme="majorBidi" w:hAnsiTheme="majorBidi" w:cstheme="majorBidi"/>
            <w:color w:val="0563C1"/>
            <w:sz w:val="20"/>
            <w:szCs w:val="20"/>
            <w:u w:val="single"/>
            <w:rtl/>
          </w:rPr>
          <w:t>-</w:t>
        </w:r>
      </w:hyperlink>
      <w:hyperlink r:id="rId15">
        <w:r w:rsidRPr="00A57B0E">
          <w:rPr>
            <w:rFonts w:asciiTheme="majorBidi" w:hAnsiTheme="majorBidi" w:cstheme="majorBidi"/>
            <w:color w:val="0563C1"/>
            <w:sz w:val="20"/>
            <w:szCs w:val="20"/>
            <w:u w:val="single"/>
            <w:rtl/>
          </w:rPr>
          <w:t>تقي</w:t>
        </w:r>
      </w:hyperlink>
      <w:hyperlink r:id="rId16">
        <w:r w:rsidRPr="00A57B0E">
          <w:rPr>
            <w:rFonts w:asciiTheme="majorBidi" w:hAnsiTheme="majorBidi" w:cstheme="majorBidi"/>
            <w:color w:val="0563C1"/>
            <w:sz w:val="20"/>
            <w:szCs w:val="20"/>
            <w:u w:val="single"/>
            <w:rtl/>
          </w:rPr>
          <w:t>ّ</w:t>
        </w:r>
      </w:hyperlink>
      <w:hyperlink r:id="rId17">
        <w:r w:rsidRPr="00A57B0E">
          <w:rPr>
            <w:rFonts w:asciiTheme="majorBidi" w:hAnsiTheme="majorBidi" w:cstheme="majorBidi"/>
            <w:color w:val="0563C1"/>
            <w:sz w:val="20"/>
            <w:szCs w:val="20"/>
            <w:u w:val="single"/>
            <w:rtl/>
          </w:rPr>
          <w:t>د</w:t>
        </w:r>
      </w:hyperlink>
      <w:hyperlink r:id="rId18">
        <w:r w:rsidRPr="00A57B0E">
          <w:rPr>
            <w:rFonts w:asciiTheme="majorBidi" w:hAnsiTheme="majorBidi" w:cstheme="majorBidi"/>
            <w:color w:val="0563C1"/>
            <w:sz w:val="20"/>
            <w:szCs w:val="20"/>
            <w:u w:val="single"/>
            <w:rtl/>
          </w:rPr>
          <w:t>-</w:t>
        </w:r>
      </w:hyperlink>
      <w:hyperlink r:id="rId19">
        <w:r w:rsidRPr="00A57B0E">
          <w:rPr>
            <w:rFonts w:asciiTheme="majorBidi" w:hAnsiTheme="majorBidi" w:cstheme="majorBidi"/>
            <w:color w:val="0563C1"/>
            <w:sz w:val="20"/>
            <w:szCs w:val="20"/>
            <w:u w:val="single"/>
            <w:rtl/>
          </w:rPr>
          <w:t>تثبيت</w:t>
        </w:r>
      </w:hyperlink>
      <w:hyperlink r:id="rId20">
        <w:r w:rsidRPr="00A57B0E">
          <w:rPr>
            <w:rFonts w:asciiTheme="majorBidi" w:hAnsiTheme="majorBidi" w:cstheme="majorBidi"/>
            <w:color w:val="0563C1"/>
            <w:sz w:val="20"/>
            <w:szCs w:val="20"/>
            <w:u w:val="single"/>
            <w:rtl/>
          </w:rPr>
          <w:t>-</w:t>
        </w:r>
      </w:hyperlink>
      <w:hyperlink r:id="rId21">
        <w:r w:rsidRPr="00A57B0E">
          <w:rPr>
            <w:rFonts w:asciiTheme="majorBidi" w:hAnsiTheme="majorBidi" w:cstheme="majorBidi"/>
            <w:color w:val="0563C1"/>
            <w:sz w:val="20"/>
            <w:szCs w:val="20"/>
            <w:u w:val="single"/>
            <w:rtl/>
          </w:rPr>
          <w:t>المتوفى</w:t>
        </w:r>
      </w:hyperlink>
      <w:hyperlink r:id="rId22">
        <w:r w:rsidRPr="00A57B0E">
          <w:rPr>
            <w:rFonts w:asciiTheme="majorBidi" w:hAnsiTheme="majorBidi" w:cstheme="majorBidi"/>
            <w:color w:val="0563C1"/>
            <w:sz w:val="20"/>
            <w:szCs w:val="20"/>
            <w:u w:val="single"/>
            <w:rtl/>
          </w:rPr>
          <w:t>-</w:t>
        </w:r>
        <w:proofErr w:type="spellStart"/>
      </w:hyperlink>
      <w:hyperlink r:id="rId23">
        <w:r w:rsidRPr="00A57B0E">
          <w:rPr>
            <w:rFonts w:asciiTheme="majorBidi" w:hAnsiTheme="majorBidi" w:cstheme="majorBidi"/>
            <w:color w:val="0563C1"/>
            <w:sz w:val="20"/>
            <w:szCs w:val="20"/>
            <w:u w:val="single"/>
            <w:rtl/>
          </w:rPr>
          <w:t>وت</w:t>
        </w:r>
        <w:proofErr w:type="spellEnd"/>
      </w:hyperlink>
      <w:hyperlink r:id="rId24">
        <w:r w:rsidRPr="00A57B0E">
          <w:rPr>
            <w:rFonts w:asciiTheme="majorBidi" w:hAnsiTheme="majorBidi" w:cstheme="majorBidi"/>
            <w:color w:val="0563C1"/>
            <w:sz w:val="20"/>
            <w:szCs w:val="20"/>
            <w:u w:val="single"/>
          </w:rPr>
          <w:t>/</w:t>
        </w:r>
      </w:hyperlink>
      <w:r w:rsidRPr="00A57B0E">
        <w:rPr>
          <w:rFonts w:asciiTheme="majorBidi" w:hAnsiTheme="majorBidi" w:cstheme="majorBidi"/>
          <w:color w:val="000000"/>
          <w:sz w:val="20"/>
          <w:szCs w:val="20"/>
        </w:rPr>
        <w:t>, (Accessed 30 May 2023).</w:t>
      </w:r>
    </w:p>
  </w:footnote>
  <w:footnote w:id="5">
    <w:p w14:paraId="000000BF" w14:textId="77777777" w:rsidR="009B2197" w:rsidRPr="00A57B0E" w:rsidRDefault="00000000" w:rsidP="00A57B0E">
      <w:pPr>
        <w:spacing w:line="240" w:lineRule="auto"/>
        <w:jc w:val="both"/>
        <w:rPr>
          <w:rFonts w:asciiTheme="majorBidi" w:hAnsiTheme="majorBidi" w:cstheme="majorBidi"/>
          <w:sz w:val="20"/>
          <w:szCs w:val="20"/>
        </w:rPr>
      </w:pPr>
      <w:r w:rsidRPr="00A57B0E">
        <w:rPr>
          <w:rStyle w:val="FootnoteReference"/>
          <w:rFonts w:asciiTheme="majorBidi" w:hAnsiTheme="majorBidi" w:cstheme="majorBidi"/>
          <w:sz w:val="20"/>
          <w:szCs w:val="20"/>
        </w:rPr>
        <w:footnoteRef/>
      </w:r>
      <w:r w:rsidRPr="00A57B0E">
        <w:rPr>
          <w:rFonts w:asciiTheme="majorBidi" w:hAnsiTheme="majorBidi" w:cstheme="majorBidi"/>
          <w:sz w:val="20"/>
          <w:szCs w:val="20"/>
        </w:rPr>
        <w:t xml:space="preserve"> Law 53 of 1953 and its amendment, </w:t>
      </w:r>
      <w:r w:rsidRPr="00A57B0E">
        <w:rPr>
          <w:rFonts w:asciiTheme="majorBidi" w:hAnsiTheme="majorBidi" w:cstheme="majorBidi"/>
          <w:color w:val="0D0D0D"/>
          <w:sz w:val="20"/>
          <w:szCs w:val="20"/>
          <w:highlight w:val="white"/>
        </w:rPr>
        <w:t xml:space="preserve">Personal Status Law, Article 205, available </w:t>
      </w:r>
      <w:proofErr w:type="spellStart"/>
      <w:r w:rsidRPr="00A57B0E">
        <w:rPr>
          <w:rFonts w:asciiTheme="majorBidi" w:hAnsiTheme="majorBidi" w:cstheme="majorBidi"/>
          <w:color w:val="0D0D0D"/>
          <w:sz w:val="20"/>
          <w:szCs w:val="20"/>
          <w:highlight w:val="white"/>
        </w:rPr>
        <w:t>iun</w:t>
      </w:r>
      <w:proofErr w:type="spellEnd"/>
      <w:r w:rsidRPr="00A57B0E">
        <w:rPr>
          <w:rFonts w:asciiTheme="majorBidi" w:hAnsiTheme="majorBidi" w:cstheme="majorBidi"/>
          <w:color w:val="0D0D0D"/>
          <w:sz w:val="20"/>
          <w:szCs w:val="20"/>
          <w:highlight w:val="white"/>
        </w:rPr>
        <w:t xml:space="preserve"> Arabic at: </w:t>
      </w:r>
      <w:hyperlink r:id="rId25">
        <w:r w:rsidRPr="00A57B0E">
          <w:rPr>
            <w:rFonts w:asciiTheme="majorBidi" w:hAnsiTheme="majorBidi" w:cstheme="majorBidi"/>
            <w:color w:val="1155CC"/>
            <w:sz w:val="20"/>
            <w:szCs w:val="20"/>
            <w:highlight w:val="white"/>
            <w:u w:val="single"/>
          </w:rPr>
          <w:t>http://parliament.gov.sy/arabic/index.php?node=201&amp;nid=11333&amp;ref=tree&amp;</w:t>
        </w:r>
      </w:hyperlink>
      <w:r w:rsidRPr="00A57B0E">
        <w:rPr>
          <w:rFonts w:asciiTheme="majorBidi" w:hAnsiTheme="majorBidi" w:cstheme="majorBidi"/>
          <w:sz w:val="20"/>
          <w:szCs w:val="20"/>
        </w:rPr>
        <w:t xml:space="preserve"> </w:t>
      </w:r>
    </w:p>
  </w:footnote>
  <w:footnote w:id="6">
    <w:p w14:paraId="000000A7" w14:textId="77777777" w:rsidR="009B2197" w:rsidRPr="00A57B0E" w:rsidRDefault="00000000" w:rsidP="00A57B0E">
      <w:pPr>
        <w:pBdr>
          <w:top w:val="nil"/>
          <w:left w:val="nil"/>
          <w:bottom w:val="nil"/>
          <w:right w:val="nil"/>
          <w:between w:val="nil"/>
        </w:pBdr>
        <w:spacing w:line="240" w:lineRule="auto"/>
        <w:jc w:val="both"/>
        <w:rPr>
          <w:rFonts w:asciiTheme="majorBidi" w:hAnsiTheme="majorBidi" w:cstheme="majorBidi"/>
          <w:color w:val="000000"/>
          <w:sz w:val="20"/>
          <w:szCs w:val="20"/>
        </w:rPr>
      </w:pPr>
      <w:r w:rsidRPr="00A57B0E">
        <w:rPr>
          <w:rStyle w:val="FootnoteReference"/>
          <w:rFonts w:asciiTheme="majorBidi" w:hAnsiTheme="majorBidi" w:cstheme="majorBidi"/>
          <w:sz w:val="20"/>
          <w:szCs w:val="20"/>
        </w:rPr>
        <w:footnoteRef/>
      </w:r>
      <w:r w:rsidRPr="00A57B0E">
        <w:rPr>
          <w:rFonts w:asciiTheme="majorBidi" w:hAnsiTheme="majorBidi" w:cstheme="majorBidi"/>
          <w:color w:val="000000"/>
          <w:sz w:val="20"/>
          <w:szCs w:val="20"/>
        </w:rPr>
        <w:t xml:space="preserve"> Circular</w:t>
      </w:r>
      <w:r w:rsidRPr="00A57B0E">
        <w:rPr>
          <w:rFonts w:asciiTheme="majorBidi" w:hAnsiTheme="majorBidi" w:cstheme="majorBidi"/>
          <w:color w:val="0D0D0D"/>
          <w:sz w:val="20"/>
          <w:szCs w:val="20"/>
          <w:highlight w:val="white"/>
        </w:rPr>
        <w:t xml:space="preserve"> No. 1/3039, June 2023, </w:t>
      </w:r>
      <w:r w:rsidRPr="00A57B0E">
        <w:rPr>
          <w:rFonts w:asciiTheme="majorBidi" w:hAnsiTheme="majorBidi" w:cstheme="majorBidi"/>
          <w:color w:val="000000"/>
          <w:sz w:val="20"/>
          <w:szCs w:val="20"/>
        </w:rPr>
        <w:t xml:space="preserve">available at: </w:t>
      </w:r>
      <w:hyperlink r:id="rId26">
        <w:r w:rsidRPr="00A57B0E">
          <w:rPr>
            <w:rFonts w:asciiTheme="majorBidi" w:hAnsiTheme="majorBidi" w:cstheme="majorBidi"/>
            <w:color w:val="0563C1"/>
            <w:sz w:val="20"/>
            <w:szCs w:val="20"/>
            <w:u w:val="single"/>
          </w:rPr>
          <w:t>https</w:t>
        </w:r>
      </w:hyperlink>
      <w:hyperlink r:id="rId27">
        <w:r w:rsidRPr="00A57B0E">
          <w:rPr>
            <w:rFonts w:asciiTheme="majorBidi" w:hAnsiTheme="majorBidi" w:cstheme="majorBidi"/>
            <w:color w:val="0563C1"/>
            <w:sz w:val="20"/>
            <w:szCs w:val="20"/>
            <w:u w:val="single"/>
          </w:rPr>
          <w:t>://</w:t>
        </w:r>
      </w:hyperlink>
      <w:hyperlink r:id="rId28">
        <w:r w:rsidRPr="00A57B0E">
          <w:rPr>
            <w:rFonts w:asciiTheme="majorBidi" w:hAnsiTheme="majorBidi" w:cstheme="majorBidi"/>
            <w:color w:val="0563C1"/>
            <w:sz w:val="20"/>
            <w:szCs w:val="20"/>
            <w:u w:val="single"/>
          </w:rPr>
          <w:t>www</w:t>
        </w:r>
      </w:hyperlink>
      <w:hyperlink r:id="rId29">
        <w:r w:rsidRPr="00A57B0E">
          <w:rPr>
            <w:rFonts w:asciiTheme="majorBidi" w:hAnsiTheme="majorBidi" w:cstheme="majorBidi"/>
            <w:color w:val="0563C1"/>
            <w:sz w:val="20"/>
            <w:szCs w:val="20"/>
            <w:u w:val="single"/>
          </w:rPr>
          <w:t>.</w:t>
        </w:r>
      </w:hyperlink>
      <w:hyperlink r:id="rId30">
        <w:r w:rsidRPr="00A57B0E">
          <w:rPr>
            <w:rFonts w:asciiTheme="majorBidi" w:hAnsiTheme="majorBidi" w:cstheme="majorBidi"/>
            <w:color w:val="0563C1"/>
            <w:sz w:val="20"/>
            <w:szCs w:val="20"/>
            <w:u w:val="single"/>
          </w:rPr>
          <w:t>syria</w:t>
        </w:r>
      </w:hyperlink>
      <w:hyperlink r:id="rId31">
        <w:r w:rsidRPr="00A57B0E">
          <w:rPr>
            <w:rFonts w:asciiTheme="majorBidi" w:hAnsiTheme="majorBidi" w:cstheme="majorBidi"/>
            <w:color w:val="0563C1"/>
            <w:sz w:val="20"/>
            <w:szCs w:val="20"/>
            <w:u w:val="single"/>
          </w:rPr>
          <w:t>.</w:t>
        </w:r>
      </w:hyperlink>
      <w:hyperlink r:id="rId32">
        <w:r w:rsidRPr="00A57B0E">
          <w:rPr>
            <w:rFonts w:asciiTheme="majorBidi" w:hAnsiTheme="majorBidi" w:cstheme="majorBidi"/>
            <w:color w:val="0563C1"/>
            <w:sz w:val="20"/>
            <w:szCs w:val="20"/>
            <w:u w:val="single"/>
          </w:rPr>
          <w:t>tv</w:t>
        </w:r>
      </w:hyperlink>
      <w:hyperlink r:id="rId33">
        <w:r w:rsidRPr="00A57B0E">
          <w:rPr>
            <w:rFonts w:asciiTheme="majorBidi" w:hAnsiTheme="majorBidi" w:cstheme="majorBidi"/>
            <w:color w:val="0563C1"/>
            <w:sz w:val="20"/>
            <w:szCs w:val="20"/>
            <w:u w:val="single"/>
          </w:rPr>
          <w:t>/</w:t>
        </w:r>
      </w:hyperlink>
      <w:hyperlink r:id="rId34">
        <w:r w:rsidRPr="00A57B0E">
          <w:rPr>
            <w:rFonts w:asciiTheme="majorBidi" w:hAnsiTheme="majorBidi" w:cstheme="majorBidi"/>
            <w:color w:val="0563C1"/>
            <w:sz w:val="20"/>
            <w:szCs w:val="20"/>
            <w:u w:val="single"/>
            <w:rtl/>
          </w:rPr>
          <w:t>تعليمات</w:t>
        </w:r>
      </w:hyperlink>
      <w:hyperlink r:id="rId35">
        <w:r w:rsidRPr="00A57B0E">
          <w:rPr>
            <w:rFonts w:asciiTheme="majorBidi" w:hAnsiTheme="majorBidi" w:cstheme="majorBidi"/>
            <w:color w:val="0563C1"/>
            <w:sz w:val="20"/>
            <w:szCs w:val="20"/>
            <w:u w:val="single"/>
            <w:rtl/>
          </w:rPr>
          <w:t>-</w:t>
        </w:r>
      </w:hyperlink>
      <w:hyperlink r:id="rId36">
        <w:r w:rsidRPr="00A57B0E">
          <w:rPr>
            <w:rFonts w:asciiTheme="majorBidi" w:hAnsiTheme="majorBidi" w:cstheme="majorBidi"/>
            <w:color w:val="0563C1"/>
            <w:sz w:val="20"/>
            <w:szCs w:val="20"/>
            <w:u w:val="single"/>
            <w:rtl/>
          </w:rPr>
          <w:t>جديدة</w:t>
        </w:r>
      </w:hyperlink>
      <w:hyperlink r:id="rId37">
        <w:r w:rsidRPr="00A57B0E">
          <w:rPr>
            <w:rFonts w:asciiTheme="majorBidi" w:hAnsiTheme="majorBidi" w:cstheme="majorBidi"/>
            <w:color w:val="0563C1"/>
            <w:sz w:val="20"/>
            <w:szCs w:val="20"/>
            <w:u w:val="single"/>
            <w:rtl/>
          </w:rPr>
          <w:t>-</w:t>
        </w:r>
      </w:hyperlink>
      <w:hyperlink r:id="rId38">
        <w:r w:rsidRPr="00A57B0E">
          <w:rPr>
            <w:rFonts w:asciiTheme="majorBidi" w:hAnsiTheme="majorBidi" w:cstheme="majorBidi"/>
            <w:color w:val="0563C1"/>
            <w:sz w:val="20"/>
            <w:szCs w:val="20"/>
            <w:u w:val="single"/>
            <w:rtl/>
          </w:rPr>
          <w:t>بشأن</w:t>
        </w:r>
      </w:hyperlink>
      <w:hyperlink r:id="rId39">
        <w:r w:rsidRPr="00A57B0E">
          <w:rPr>
            <w:rFonts w:asciiTheme="majorBidi" w:hAnsiTheme="majorBidi" w:cstheme="majorBidi"/>
            <w:color w:val="0563C1"/>
            <w:sz w:val="20"/>
            <w:szCs w:val="20"/>
            <w:u w:val="single"/>
            <w:rtl/>
          </w:rPr>
          <w:t>-</w:t>
        </w:r>
      </w:hyperlink>
      <w:hyperlink r:id="rId40">
        <w:r w:rsidRPr="00A57B0E">
          <w:rPr>
            <w:rFonts w:asciiTheme="majorBidi" w:hAnsiTheme="majorBidi" w:cstheme="majorBidi"/>
            <w:color w:val="0563C1"/>
            <w:sz w:val="20"/>
            <w:szCs w:val="20"/>
            <w:u w:val="single"/>
            <w:rtl/>
          </w:rPr>
          <w:t>إصدار</w:t>
        </w:r>
      </w:hyperlink>
      <w:hyperlink r:id="rId41">
        <w:r w:rsidRPr="00A57B0E">
          <w:rPr>
            <w:rFonts w:asciiTheme="majorBidi" w:hAnsiTheme="majorBidi" w:cstheme="majorBidi"/>
            <w:color w:val="0563C1"/>
            <w:sz w:val="20"/>
            <w:szCs w:val="20"/>
            <w:u w:val="single"/>
            <w:rtl/>
          </w:rPr>
          <w:t>-</w:t>
        </w:r>
      </w:hyperlink>
      <w:hyperlink r:id="rId42">
        <w:r w:rsidRPr="00A57B0E">
          <w:rPr>
            <w:rFonts w:asciiTheme="majorBidi" w:hAnsiTheme="majorBidi" w:cstheme="majorBidi"/>
            <w:color w:val="0563C1"/>
            <w:sz w:val="20"/>
            <w:szCs w:val="20"/>
            <w:u w:val="single"/>
            <w:rtl/>
          </w:rPr>
          <w:t>الموافقات</w:t>
        </w:r>
      </w:hyperlink>
      <w:hyperlink r:id="rId43">
        <w:r w:rsidRPr="00A57B0E">
          <w:rPr>
            <w:rFonts w:asciiTheme="majorBidi" w:hAnsiTheme="majorBidi" w:cstheme="majorBidi"/>
            <w:color w:val="0563C1"/>
            <w:sz w:val="20"/>
            <w:szCs w:val="20"/>
            <w:u w:val="single"/>
            <w:rtl/>
          </w:rPr>
          <w:t>-</w:t>
        </w:r>
      </w:hyperlink>
      <w:hyperlink r:id="rId44">
        <w:r w:rsidRPr="00A57B0E">
          <w:rPr>
            <w:rFonts w:asciiTheme="majorBidi" w:hAnsiTheme="majorBidi" w:cstheme="majorBidi"/>
            <w:color w:val="0563C1"/>
            <w:sz w:val="20"/>
            <w:szCs w:val="20"/>
            <w:u w:val="single"/>
            <w:rtl/>
          </w:rPr>
          <w:t>الأمنية</w:t>
        </w:r>
      </w:hyperlink>
      <w:hyperlink r:id="rId45">
        <w:r w:rsidRPr="00A57B0E">
          <w:rPr>
            <w:rFonts w:asciiTheme="majorBidi" w:hAnsiTheme="majorBidi" w:cstheme="majorBidi"/>
            <w:color w:val="0563C1"/>
            <w:sz w:val="20"/>
            <w:szCs w:val="20"/>
            <w:u w:val="single"/>
            <w:rtl/>
          </w:rPr>
          <w:t>-</w:t>
        </w:r>
      </w:hyperlink>
      <w:hyperlink r:id="rId46">
        <w:r w:rsidRPr="00A57B0E">
          <w:rPr>
            <w:rFonts w:asciiTheme="majorBidi" w:hAnsiTheme="majorBidi" w:cstheme="majorBidi"/>
            <w:color w:val="0563C1"/>
            <w:sz w:val="20"/>
            <w:szCs w:val="20"/>
            <w:u w:val="single"/>
            <w:rtl/>
          </w:rPr>
          <w:t>للبيوع</w:t>
        </w:r>
      </w:hyperlink>
      <w:hyperlink r:id="rId47">
        <w:r w:rsidRPr="00A57B0E">
          <w:rPr>
            <w:rFonts w:asciiTheme="majorBidi" w:hAnsiTheme="majorBidi" w:cstheme="majorBidi"/>
            <w:color w:val="0563C1"/>
            <w:sz w:val="20"/>
            <w:szCs w:val="20"/>
            <w:u w:val="single"/>
            <w:rtl/>
          </w:rPr>
          <w:t>-</w:t>
        </w:r>
      </w:hyperlink>
      <w:hyperlink r:id="rId48">
        <w:r w:rsidRPr="00A57B0E">
          <w:rPr>
            <w:rFonts w:asciiTheme="majorBidi" w:hAnsiTheme="majorBidi" w:cstheme="majorBidi"/>
            <w:color w:val="0563C1"/>
            <w:sz w:val="20"/>
            <w:szCs w:val="20"/>
            <w:u w:val="single"/>
            <w:rtl/>
          </w:rPr>
          <w:t>العقارية</w:t>
        </w:r>
      </w:hyperlink>
      <w:hyperlink r:id="rId49">
        <w:r w:rsidRPr="00A57B0E">
          <w:rPr>
            <w:rFonts w:asciiTheme="majorBidi" w:hAnsiTheme="majorBidi" w:cstheme="majorBidi"/>
            <w:color w:val="0563C1"/>
            <w:sz w:val="20"/>
            <w:szCs w:val="20"/>
            <w:u w:val="single"/>
            <w:rtl/>
          </w:rPr>
          <w:t>-</w:t>
        </w:r>
      </w:hyperlink>
      <w:hyperlink r:id="rId50">
        <w:r w:rsidRPr="00A57B0E">
          <w:rPr>
            <w:rFonts w:asciiTheme="majorBidi" w:hAnsiTheme="majorBidi" w:cstheme="majorBidi"/>
            <w:color w:val="0563C1"/>
            <w:sz w:val="20"/>
            <w:szCs w:val="20"/>
            <w:u w:val="single"/>
            <w:rtl/>
          </w:rPr>
          <w:t>في</w:t>
        </w:r>
      </w:hyperlink>
      <w:hyperlink r:id="rId51">
        <w:r w:rsidRPr="00A57B0E">
          <w:rPr>
            <w:rFonts w:asciiTheme="majorBidi" w:hAnsiTheme="majorBidi" w:cstheme="majorBidi"/>
            <w:color w:val="0563C1"/>
            <w:sz w:val="20"/>
            <w:szCs w:val="20"/>
            <w:u w:val="single"/>
            <w:rtl/>
          </w:rPr>
          <w:t>-</w:t>
        </w:r>
      </w:hyperlink>
      <w:hyperlink r:id="rId52">
        <w:r w:rsidRPr="00A57B0E">
          <w:rPr>
            <w:rFonts w:asciiTheme="majorBidi" w:hAnsiTheme="majorBidi" w:cstheme="majorBidi"/>
            <w:color w:val="0563C1"/>
            <w:sz w:val="20"/>
            <w:szCs w:val="20"/>
            <w:u w:val="single"/>
            <w:rtl/>
          </w:rPr>
          <w:t>سوريا</w:t>
        </w:r>
      </w:hyperlink>
      <w:r w:rsidRPr="00A57B0E">
        <w:rPr>
          <w:rFonts w:asciiTheme="majorBidi" w:hAnsiTheme="majorBidi" w:cstheme="majorBidi"/>
          <w:color w:val="000000"/>
          <w:sz w:val="20"/>
          <w:szCs w:val="20"/>
        </w:rPr>
        <w:t xml:space="preserve"> (Accessed 30 May 2023).</w:t>
      </w:r>
    </w:p>
  </w:footnote>
  <w:footnote w:id="7">
    <w:p w14:paraId="000000A8" w14:textId="77777777" w:rsidR="009B2197" w:rsidRPr="00A57B0E" w:rsidRDefault="00000000" w:rsidP="00A57B0E">
      <w:pPr>
        <w:pBdr>
          <w:top w:val="nil"/>
          <w:left w:val="nil"/>
          <w:bottom w:val="nil"/>
          <w:right w:val="nil"/>
          <w:between w:val="nil"/>
        </w:pBdr>
        <w:spacing w:line="240" w:lineRule="auto"/>
        <w:jc w:val="both"/>
        <w:rPr>
          <w:rFonts w:asciiTheme="majorBidi" w:hAnsiTheme="majorBidi" w:cstheme="majorBidi"/>
          <w:color w:val="000000"/>
          <w:sz w:val="20"/>
          <w:szCs w:val="20"/>
        </w:rPr>
      </w:pPr>
      <w:r w:rsidRPr="00A57B0E">
        <w:rPr>
          <w:rStyle w:val="FootnoteReference"/>
          <w:rFonts w:asciiTheme="majorBidi" w:hAnsiTheme="majorBidi" w:cstheme="majorBidi"/>
          <w:sz w:val="20"/>
          <w:szCs w:val="20"/>
        </w:rPr>
        <w:footnoteRef/>
      </w:r>
      <w:r w:rsidRPr="00A57B0E">
        <w:rPr>
          <w:rFonts w:asciiTheme="majorBidi" w:hAnsiTheme="majorBidi" w:cstheme="majorBidi"/>
          <w:color w:val="000000"/>
          <w:sz w:val="20"/>
          <w:szCs w:val="20"/>
        </w:rPr>
        <w:t xml:space="preserve"> General Secretariat of the Council of Ministers, letter regarding the implementation of judicial decisions involving real estate and compensation for damages, May 2017, available at: </w:t>
      </w:r>
      <w:hyperlink r:id="rId53">
        <w:r w:rsidRPr="00A57B0E">
          <w:rPr>
            <w:rFonts w:asciiTheme="majorBidi" w:hAnsiTheme="majorBidi" w:cstheme="majorBidi"/>
            <w:color w:val="0563C1"/>
            <w:sz w:val="20"/>
            <w:szCs w:val="20"/>
            <w:u w:val="single"/>
          </w:rPr>
          <w:t>https</w:t>
        </w:r>
      </w:hyperlink>
      <w:hyperlink r:id="rId54">
        <w:r w:rsidRPr="00A57B0E">
          <w:rPr>
            <w:rFonts w:asciiTheme="majorBidi" w:hAnsiTheme="majorBidi" w:cstheme="majorBidi"/>
            <w:color w:val="0563C1"/>
            <w:sz w:val="20"/>
            <w:szCs w:val="20"/>
            <w:u w:val="single"/>
          </w:rPr>
          <w:t>://</w:t>
        </w:r>
      </w:hyperlink>
      <w:hyperlink r:id="rId55">
        <w:r w:rsidRPr="00A57B0E">
          <w:rPr>
            <w:rFonts w:asciiTheme="majorBidi" w:hAnsiTheme="majorBidi" w:cstheme="majorBidi"/>
            <w:color w:val="0563C1"/>
            <w:sz w:val="20"/>
            <w:szCs w:val="20"/>
            <w:u w:val="single"/>
          </w:rPr>
          <w:t>jisrtv</w:t>
        </w:r>
      </w:hyperlink>
      <w:hyperlink r:id="rId56">
        <w:r w:rsidRPr="00A57B0E">
          <w:rPr>
            <w:rFonts w:asciiTheme="majorBidi" w:hAnsiTheme="majorBidi" w:cstheme="majorBidi"/>
            <w:color w:val="0563C1"/>
            <w:sz w:val="20"/>
            <w:szCs w:val="20"/>
            <w:u w:val="single"/>
          </w:rPr>
          <w:t>.</w:t>
        </w:r>
      </w:hyperlink>
      <w:hyperlink r:id="rId57">
        <w:r w:rsidRPr="00A57B0E">
          <w:rPr>
            <w:rFonts w:asciiTheme="majorBidi" w:hAnsiTheme="majorBidi" w:cstheme="majorBidi"/>
            <w:color w:val="0563C1"/>
            <w:sz w:val="20"/>
            <w:szCs w:val="20"/>
            <w:u w:val="single"/>
          </w:rPr>
          <w:t>com</w:t>
        </w:r>
      </w:hyperlink>
      <w:hyperlink r:id="rId58">
        <w:r w:rsidRPr="00A57B0E">
          <w:rPr>
            <w:rFonts w:asciiTheme="majorBidi" w:hAnsiTheme="majorBidi" w:cstheme="majorBidi"/>
            <w:color w:val="0563C1"/>
            <w:sz w:val="20"/>
            <w:szCs w:val="20"/>
            <w:u w:val="single"/>
          </w:rPr>
          <w:t>/</w:t>
        </w:r>
      </w:hyperlink>
      <w:hyperlink r:id="rId59">
        <w:r w:rsidRPr="00A57B0E">
          <w:rPr>
            <w:rFonts w:asciiTheme="majorBidi" w:hAnsiTheme="majorBidi" w:cstheme="majorBidi"/>
            <w:color w:val="0563C1"/>
            <w:sz w:val="20"/>
            <w:szCs w:val="20"/>
            <w:u w:val="single"/>
            <w:rtl/>
          </w:rPr>
          <w:t>أخبار</w:t>
        </w:r>
      </w:hyperlink>
      <w:hyperlink r:id="rId60">
        <w:r w:rsidRPr="00A57B0E">
          <w:rPr>
            <w:rFonts w:asciiTheme="majorBidi" w:hAnsiTheme="majorBidi" w:cstheme="majorBidi"/>
            <w:color w:val="0563C1"/>
            <w:sz w:val="20"/>
            <w:szCs w:val="20"/>
            <w:u w:val="single"/>
            <w:rtl/>
          </w:rPr>
          <w:t>-</w:t>
        </w:r>
      </w:hyperlink>
      <w:hyperlink r:id="rId61">
        <w:r w:rsidRPr="00A57B0E">
          <w:rPr>
            <w:rFonts w:asciiTheme="majorBidi" w:hAnsiTheme="majorBidi" w:cstheme="majorBidi"/>
            <w:color w:val="0563C1"/>
            <w:sz w:val="20"/>
            <w:szCs w:val="20"/>
            <w:u w:val="single"/>
            <w:rtl/>
          </w:rPr>
          <w:t>الجسر</w:t>
        </w:r>
      </w:hyperlink>
      <w:hyperlink r:id="rId62">
        <w:r w:rsidRPr="00A57B0E">
          <w:rPr>
            <w:rFonts w:asciiTheme="majorBidi" w:hAnsiTheme="majorBidi" w:cstheme="majorBidi"/>
            <w:color w:val="0563C1"/>
            <w:sz w:val="20"/>
            <w:szCs w:val="20"/>
            <w:u w:val="single"/>
            <w:rtl/>
          </w:rPr>
          <w:t>/</w:t>
        </w:r>
      </w:hyperlink>
      <w:hyperlink r:id="rId63">
        <w:r w:rsidRPr="00A57B0E">
          <w:rPr>
            <w:rFonts w:asciiTheme="majorBidi" w:hAnsiTheme="majorBidi" w:cstheme="majorBidi"/>
            <w:color w:val="0563C1"/>
            <w:sz w:val="20"/>
            <w:szCs w:val="20"/>
            <w:u w:val="single"/>
            <w:rtl/>
          </w:rPr>
          <w:t>الأخبار</w:t>
        </w:r>
      </w:hyperlink>
      <w:hyperlink r:id="rId64">
        <w:r w:rsidRPr="00A57B0E">
          <w:rPr>
            <w:rFonts w:asciiTheme="majorBidi" w:hAnsiTheme="majorBidi" w:cstheme="majorBidi"/>
            <w:color w:val="0563C1"/>
            <w:sz w:val="20"/>
            <w:szCs w:val="20"/>
            <w:u w:val="single"/>
            <w:rtl/>
          </w:rPr>
          <w:t>-</w:t>
        </w:r>
      </w:hyperlink>
      <w:hyperlink r:id="rId65">
        <w:r w:rsidRPr="00A57B0E">
          <w:rPr>
            <w:rFonts w:asciiTheme="majorBidi" w:hAnsiTheme="majorBidi" w:cstheme="majorBidi"/>
            <w:color w:val="0563C1"/>
            <w:sz w:val="20"/>
            <w:szCs w:val="20"/>
            <w:u w:val="single"/>
            <w:rtl/>
          </w:rPr>
          <w:t>السورية</w:t>
        </w:r>
      </w:hyperlink>
      <w:hyperlink r:id="rId66">
        <w:r w:rsidRPr="00A57B0E">
          <w:rPr>
            <w:rFonts w:asciiTheme="majorBidi" w:hAnsiTheme="majorBidi" w:cstheme="majorBidi"/>
            <w:color w:val="0563C1"/>
            <w:sz w:val="20"/>
            <w:szCs w:val="20"/>
            <w:u w:val="single"/>
            <w:rtl/>
          </w:rPr>
          <w:t>/</w:t>
        </w:r>
      </w:hyperlink>
      <w:hyperlink r:id="rId67">
        <w:r w:rsidRPr="00A57B0E">
          <w:rPr>
            <w:rFonts w:asciiTheme="majorBidi" w:hAnsiTheme="majorBidi" w:cstheme="majorBidi"/>
            <w:color w:val="0563C1"/>
            <w:sz w:val="20"/>
            <w:szCs w:val="20"/>
            <w:u w:val="single"/>
            <w:rtl/>
          </w:rPr>
          <w:t>قرار</w:t>
        </w:r>
      </w:hyperlink>
      <w:hyperlink r:id="rId68">
        <w:r w:rsidRPr="00A57B0E">
          <w:rPr>
            <w:rFonts w:asciiTheme="majorBidi" w:hAnsiTheme="majorBidi" w:cstheme="majorBidi"/>
            <w:color w:val="0563C1"/>
            <w:sz w:val="20"/>
            <w:szCs w:val="20"/>
            <w:u w:val="single"/>
            <w:rtl/>
          </w:rPr>
          <w:t>-</w:t>
        </w:r>
      </w:hyperlink>
      <w:hyperlink r:id="rId69">
        <w:r w:rsidRPr="00A57B0E">
          <w:rPr>
            <w:rFonts w:asciiTheme="majorBidi" w:hAnsiTheme="majorBidi" w:cstheme="majorBidi"/>
            <w:color w:val="0563C1"/>
            <w:sz w:val="20"/>
            <w:szCs w:val="20"/>
            <w:u w:val="single"/>
            <w:rtl/>
          </w:rPr>
          <w:t>من</w:t>
        </w:r>
      </w:hyperlink>
      <w:hyperlink r:id="rId70">
        <w:r w:rsidRPr="00A57B0E">
          <w:rPr>
            <w:rFonts w:asciiTheme="majorBidi" w:hAnsiTheme="majorBidi" w:cstheme="majorBidi"/>
            <w:color w:val="0563C1"/>
            <w:sz w:val="20"/>
            <w:szCs w:val="20"/>
            <w:u w:val="single"/>
            <w:rtl/>
          </w:rPr>
          <w:t>-</w:t>
        </w:r>
      </w:hyperlink>
      <w:hyperlink r:id="rId71">
        <w:r w:rsidRPr="00A57B0E">
          <w:rPr>
            <w:rFonts w:asciiTheme="majorBidi" w:hAnsiTheme="majorBidi" w:cstheme="majorBidi"/>
            <w:color w:val="0563C1"/>
            <w:sz w:val="20"/>
            <w:szCs w:val="20"/>
            <w:u w:val="single"/>
            <w:rtl/>
          </w:rPr>
          <w:t>علي</w:t>
        </w:r>
      </w:hyperlink>
      <w:hyperlink r:id="rId72">
        <w:r w:rsidRPr="00A57B0E">
          <w:rPr>
            <w:rFonts w:asciiTheme="majorBidi" w:hAnsiTheme="majorBidi" w:cstheme="majorBidi"/>
            <w:color w:val="0563C1"/>
            <w:sz w:val="20"/>
            <w:szCs w:val="20"/>
            <w:u w:val="single"/>
            <w:rtl/>
          </w:rPr>
          <w:t>-</w:t>
        </w:r>
      </w:hyperlink>
      <w:hyperlink r:id="rId73">
        <w:r w:rsidRPr="00A57B0E">
          <w:rPr>
            <w:rFonts w:asciiTheme="majorBidi" w:hAnsiTheme="majorBidi" w:cstheme="majorBidi"/>
            <w:color w:val="0563C1"/>
            <w:sz w:val="20"/>
            <w:szCs w:val="20"/>
            <w:u w:val="single"/>
            <w:rtl/>
          </w:rPr>
          <w:t>مملوك</w:t>
        </w:r>
      </w:hyperlink>
      <w:hyperlink r:id="rId74">
        <w:r w:rsidRPr="00A57B0E">
          <w:rPr>
            <w:rFonts w:asciiTheme="majorBidi" w:hAnsiTheme="majorBidi" w:cstheme="majorBidi"/>
            <w:color w:val="0563C1"/>
            <w:sz w:val="20"/>
            <w:szCs w:val="20"/>
            <w:u w:val="single"/>
            <w:rtl/>
          </w:rPr>
          <w:t>-</w:t>
        </w:r>
      </w:hyperlink>
      <w:hyperlink r:id="rId75">
        <w:r w:rsidRPr="00A57B0E">
          <w:rPr>
            <w:rFonts w:asciiTheme="majorBidi" w:hAnsiTheme="majorBidi" w:cstheme="majorBidi"/>
            <w:color w:val="0563C1"/>
            <w:sz w:val="20"/>
            <w:szCs w:val="20"/>
            <w:u w:val="single"/>
            <w:rtl/>
          </w:rPr>
          <w:t>يتسلط</w:t>
        </w:r>
      </w:hyperlink>
      <w:hyperlink r:id="rId76">
        <w:r w:rsidRPr="00A57B0E">
          <w:rPr>
            <w:rFonts w:asciiTheme="majorBidi" w:hAnsiTheme="majorBidi" w:cstheme="majorBidi"/>
            <w:color w:val="0563C1"/>
            <w:sz w:val="20"/>
            <w:szCs w:val="20"/>
            <w:u w:val="single"/>
            <w:rtl/>
          </w:rPr>
          <w:t>-</w:t>
        </w:r>
      </w:hyperlink>
      <w:hyperlink r:id="rId77">
        <w:r w:rsidRPr="00A57B0E">
          <w:rPr>
            <w:rFonts w:asciiTheme="majorBidi" w:hAnsiTheme="majorBidi" w:cstheme="majorBidi"/>
            <w:color w:val="0563C1"/>
            <w:sz w:val="20"/>
            <w:szCs w:val="20"/>
            <w:u w:val="single"/>
            <w:rtl/>
          </w:rPr>
          <w:t>فيه</w:t>
        </w:r>
      </w:hyperlink>
      <w:hyperlink r:id="rId78">
        <w:r w:rsidRPr="00A57B0E">
          <w:rPr>
            <w:rFonts w:asciiTheme="majorBidi" w:hAnsiTheme="majorBidi" w:cstheme="majorBidi"/>
            <w:color w:val="0563C1"/>
            <w:sz w:val="20"/>
            <w:szCs w:val="20"/>
            <w:u w:val="single"/>
            <w:rtl/>
          </w:rPr>
          <w:t>-</w:t>
        </w:r>
      </w:hyperlink>
      <w:hyperlink r:id="rId79">
        <w:r w:rsidRPr="00A57B0E">
          <w:rPr>
            <w:rFonts w:asciiTheme="majorBidi" w:hAnsiTheme="majorBidi" w:cstheme="majorBidi"/>
            <w:color w:val="0563C1"/>
            <w:sz w:val="20"/>
            <w:szCs w:val="20"/>
            <w:u w:val="single"/>
            <w:rtl/>
          </w:rPr>
          <w:t>على</w:t>
        </w:r>
      </w:hyperlink>
      <w:hyperlink r:id="rId80">
        <w:r w:rsidRPr="00A57B0E">
          <w:rPr>
            <w:rFonts w:asciiTheme="majorBidi" w:hAnsiTheme="majorBidi" w:cstheme="majorBidi"/>
            <w:color w:val="0563C1"/>
            <w:sz w:val="20"/>
            <w:szCs w:val="20"/>
            <w:u w:val="single"/>
            <w:rtl/>
          </w:rPr>
          <w:t>-</w:t>
        </w:r>
      </w:hyperlink>
      <w:hyperlink r:id="rId81">
        <w:r w:rsidRPr="00A57B0E">
          <w:rPr>
            <w:rFonts w:asciiTheme="majorBidi" w:hAnsiTheme="majorBidi" w:cstheme="majorBidi"/>
            <w:color w:val="0563C1"/>
            <w:sz w:val="20"/>
            <w:szCs w:val="20"/>
            <w:u w:val="single"/>
            <w:rtl/>
          </w:rPr>
          <w:t>ممتلكات</w:t>
        </w:r>
      </w:hyperlink>
      <w:hyperlink r:id="rId82">
        <w:r w:rsidRPr="00A57B0E">
          <w:rPr>
            <w:rFonts w:asciiTheme="majorBidi" w:hAnsiTheme="majorBidi" w:cstheme="majorBidi"/>
            <w:color w:val="0563C1"/>
            <w:sz w:val="20"/>
            <w:szCs w:val="20"/>
            <w:u w:val="single"/>
            <w:rtl/>
          </w:rPr>
          <w:t>-</w:t>
        </w:r>
      </w:hyperlink>
      <w:hyperlink r:id="rId83">
        <w:r w:rsidRPr="00A57B0E">
          <w:rPr>
            <w:rFonts w:asciiTheme="majorBidi" w:hAnsiTheme="majorBidi" w:cstheme="majorBidi"/>
            <w:color w:val="0563C1"/>
            <w:sz w:val="20"/>
            <w:szCs w:val="20"/>
            <w:u w:val="single"/>
            <w:rtl/>
          </w:rPr>
          <w:t>السوريين</w:t>
        </w:r>
      </w:hyperlink>
      <w:hyperlink r:id="rId84">
        <w:r w:rsidRPr="00A57B0E">
          <w:rPr>
            <w:rFonts w:asciiTheme="majorBidi" w:hAnsiTheme="majorBidi" w:cstheme="majorBidi"/>
            <w:color w:val="0563C1"/>
            <w:sz w:val="20"/>
            <w:szCs w:val="20"/>
            <w:u w:val="single"/>
            <w:rtl/>
          </w:rPr>
          <w:t>-</w:t>
        </w:r>
      </w:hyperlink>
      <w:hyperlink r:id="rId85">
        <w:r w:rsidRPr="00A57B0E">
          <w:rPr>
            <w:rFonts w:asciiTheme="majorBidi" w:hAnsiTheme="majorBidi" w:cstheme="majorBidi"/>
            <w:color w:val="0563C1"/>
            <w:sz w:val="20"/>
            <w:szCs w:val="20"/>
            <w:u w:val="single"/>
            <w:rtl/>
          </w:rPr>
          <w:t>وثائق</w:t>
        </w:r>
      </w:hyperlink>
      <w:hyperlink r:id="rId86">
        <w:r w:rsidRPr="00A57B0E">
          <w:rPr>
            <w:rFonts w:asciiTheme="majorBidi" w:hAnsiTheme="majorBidi" w:cstheme="majorBidi"/>
            <w:color w:val="0563C1"/>
            <w:sz w:val="20"/>
            <w:szCs w:val="20"/>
            <w:u w:val="single"/>
          </w:rPr>
          <w:t>/</w:t>
        </w:r>
      </w:hyperlink>
      <w:r w:rsidRPr="00A57B0E">
        <w:rPr>
          <w:rFonts w:asciiTheme="majorBidi" w:hAnsiTheme="majorBidi" w:cstheme="majorBidi"/>
          <w:color w:val="000000"/>
          <w:sz w:val="20"/>
          <w:szCs w:val="20"/>
        </w:rPr>
        <w:t>, (Accessed 30 May 2023).</w:t>
      </w:r>
    </w:p>
  </w:footnote>
  <w:footnote w:id="8">
    <w:p w14:paraId="000000A9" w14:textId="77777777" w:rsidR="009B2197" w:rsidRPr="00A57B0E" w:rsidRDefault="00000000" w:rsidP="00A57B0E">
      <w:pPr>
        <w:pBdr>
          <w:top w:val="nil"/>
          <w:left w:val="nil"/>
          <w:bottom w:val="nil"/>
          <w:right w:val="nil"/>
          <w:between w:val="nil"/>
        </w:pBdr>
        <w:spacing w:line="240" w:lineRule="auto"/>
        <w:jc w:val="both"/>
        <w:rPr>
          <w:rFonts w:asciiTheme="majorBidi" w:hAnsiTheme="majorBidi" w:cstheme="majorBidi"/>
          <w:color w:val="000000"/>
          <w:sz w:val="20"/>
          <w:szCs w:val="20"/>
        </w:rPr>
      </w:pPr>
      <w:r w:rsidRPr="00A57B0E">
        <w:rPr>
          <w:rStyle w:val="FootnoteReference"/>
          <w:rFonts w:asciiTheme="majorBidi" w:hAnsiTheme="majorBidi" w:cstheme="majorBidi"/>
          <w:sz w:val="20"/>
          <w:szCs w:val="20"/>
        </w:rPr>
        <w:footnoteRef/>
      </w:r>
      <w:r w:rsidRPr="00A57B0E">
        <w:rPr>
          <w:rFonts w:asciiTheme="majorBidi" w:hAnsiTheme="majorBidi" w:cstheme="majorBidi"/>
          <w:color w:val="000000"/>
          <w:sz w:val="20"/>
          <w:szCs w:val="20"/>
        </w:rPr>
        <w:t xml:space="preserve"> Circular from the Ministry of Interior regarding security clearance, available at: </w:t>
      </w:r>
      <w:hyperlink r:id="rId87">
        <w:r w:rsidRPr="00A57B0E">
          <w:rPr>
            <w:rFonts w:asciiTheme="majorBidi" w:hAnsiTheme="majorBidi" w:cstheme="majorBidi"/>
            <w:color w:val="0563C1"/>
            <w:sz w:val="20"/>
            <w:szCs w:val="20"/>
            <w:u w:val="single"/>
          </w:rPr>
          <w:t>https</w:t>
        </w:r>
      </w:hyperlink>
      <w:hyperlink r:id="rId88">
        <w:r w:rsidRPr="00A57B0E">
          <w:rPr>
            <w:rFonts w:asciiTheme="majorBidi" w:hAnsiTheme="majorBidi" w:cstheme="majorBidi"/>
            <w:color w:val="0563C1"/>
            <w:sz w:val="20"/>
            <w:szCs w:val="20"/>
            <w:u w:val="single"/>
          </w:rPr>
          <w:t>://</w:t>
        </w:r>
      </w:hyperlink>
      <w:hyperlink r:id="rId89">
        <w:r w:rsidRPr="00A57B0E">
          <w:rPr>
            <w:rFonts w:asciiTheme="majorBidi" w:hAnsiTheme="majorBidi" w:cstheme="majorBidi"/>
            <w:color w:val="0563C1"/>
            <w:sz w:val="20"/>
            <w:szCs w:val="20"/>
            <w:u w:val="single"/>
          </w:rPr>
          <w:t>snacksyrian</w:t>
        </w:r>
      </w:hyperlink>
      <w:hyperlink r:id="rId90">
        <w:r w:rsidRPr="00A57B0E">
          <w:rPr>
            <w:rFonts w:asciiTheme="majorBidi" w:hAnsiTheme="majorBidi" w:cstheme="majorBidi"/>
            <w:color w:val="0563C1"/>
            <w:sz w:val="20"/>
            <w:szCs w:val="20"/>
            <w:u w:val="single"/>
          </w:rPr>
          <w:t>.</w:t>
        </w:r>
      </w:hyperlink>
      <w:hyperlink r:id="rId91">
        <w:r w:rsidRPr="00A57B0E">
          <w:rPr>
            <w:rFonts w:asciiTheme="majorBidi" w:hAnsiTheme="majorBidi" w:cstheme="majorBidi"/>
            <w:color w:val="0563C1"/>
            <w:sz w:val="20"/>
            <w:szCs w:val="20"/>
            <w:u w:val="single"/>
          </w:rPr>
          <w:t>com</w:t>
        </w:r>
      </w:hyperlink>
      <w:hyperlink r:id="rId92">
        <w:r w:rsidRPr="00A57B0E">
          <w:rPr>
            <w:rFonts w:asciiTheme="majorBidi" w:hAnsiTheme="majorBidi" w:cstheme="majorBidi"/>
            <w:color w:val="0563C1"/>
            <w:sz w:val="20"/>
            <w:szCs w:val="20"/>
            <w:u w:val="single"/>
          </w:rPr>
          <w:t>/</w:t>
        </w:r>
      </w:hyperlink>
      <w:hyperlink r:id="rId93">
        <w:r w:rsidRPr="00A57B0E">
          <w:rPr>
            <w:rFonts w:asciiTheme="majorBidi" w:hAnsiTheme="majorBidi" w:cstheme="majorBidi"/>
            <w:color w:val="0563C1"/>
            <w:sz w:val="20"/>
            <w:szCs w:val="20"/>
            <w:u w:val="single"/>
            <w:rtl/>
          </w:rPr>
          <w:t>تعميم</w:t>
        </w:r>
      </w:hyperlink>
      <w:hyperlink r:id="rId94">
        <w:r w:rsidRPr="00A57B0E">
          <w:rPr>
            <w:rFonts w:asciiTheme="majorBidi" w:hAnsiTheme="majorBidi" w:cstheme="majorBidi"/>
            <w:color w:val="0563C1"/>
            <w:sz w:val="20"/>
            <w:szCs w:val="20"/>
            <w:u w:val="single"/>
            <w:rtl/>
          </w:rPr>
          <w:t>-</w:t>
        </w:r>
      </w:hyperlink>
      <w:hyperlink r:id="rId95">
        <w:r w:rsidRPr="00A57B0E">
          <w:rPr>
            <w:rFonts w:asciiTheme="majorBidi" w:hAnsiTheme="majorBidi" w:cstheme="majorBidi"/>
            <w:color w:val="0563C1"/>
            <w:sz w:val="20"/>
            <w:szCs w:val="20"/>
            <w:u w:val="single"/>
            <w:rtl/>
          </w:rPr>
          <w:t>جديد</w:t>
        </w:r>
      </w:hyperlink>
      <w:hyperlink r:id="rId96">
        <w:r w:rsidRPr="00A57B0E">
          <w:rPr>
            <w:rFonts w:asciiTheme="majorBidi" w:hAnsiTheme="majorBidi" w:cstheme="majorBidi"/>
            <w:color w:val="0563C1"/>
            <w:sz w:val="20"/>
            <w:szCs w:val="20"/>
            <w:u w:val="single"/>
            <w:rtl/>
          </w:rPr>
          <w:t>-</w:t>
        </w:r>
      </w:hyperlink>
      <w:hyperlink r:id="rId97">
        <w:r w:rsidRPr="00A57B0E">
          <w:rPr>
            <w:rFonts w:asciiTheme="majorBidi" w:hAnsiTheme="majorBidi" w:cstheme="majorBidi"/>
            <w:color w:val="0563C1"/>
            <w:sz w:val="20"/>
            <w:szCs w:val="20"/>
            <w:u w:val="single"/>
            <w:rtl/>
          </w:rPr>
          <w:t>للداخلية</w:t>
        </w:r>
      </w:hyperlink>
      <w:hyperlink r:id="rId98">
        <w:r w:rsidRPr="00A57B0E">
          <w:rPr>
            <w:rFonts w:asciiTheme="majorBidi" w:hAnsiTheme="majorBidi" w:cstheme="majorBidi"/>
            <w:color w:val="0563C1"/>
            <w:sz w:val="20"/>
            <w:szCs w:val="20"/>
            <w:u w:val="single"/>
            <w:rtl/>
          </w:rPr>
          <w:t>-</w:t>
        </w:r>
      </w:hyperlink>
      <w:hyperlink r:id="rId99">
        <w:r w:rsidRPr="00A57B0E">
          <w:rPr>
            <w:rFonts w:asciiTheme="majorBidi" w:hAnsiTheme="majorBidi" w:cstheme="majorBidi"/>
            <w:color w:val="0563C1"/>
            <w:sz w:val="20"/>
            <w:szCs w:val="20"/>
            <w:u w:val="single"/>
            <w:rtl/>
          </w:rPr>
          <w:t>حول</w:t>
        </w:r>
      </w:hyperlink>
      <w:hyperlink r:id="rId100">
        <w:r w:rsidRPr="00A57B0E">
          <w:rPr>
            <w:rFonts w:asciiTheme="majorBidi" w:hAnsiTheme="majorBidi" w:cstheme="majorBidi"/>
            <w:color w:val="0563C1"/>
            <w:sz w:val="20"/>
            <w:szCs w:val="20"/>
            <w:u w:val="single"/>
            <w:rtl/>
          </w:rPr>
          <w:t>-</w:t>
        </w:r>
      </w:hyperlink>
      <w:hyperlink r:id="rId101">
        <w:r w:rsidRPr="00A57B0E">
          <w:rPr>
            <w:rFonts w:asciiTheme="majorBidi" w:hAnsiTheme="majorBidi" w:cstheme="majorBidi"/>
            <w:color w:val="0563C1"/>
            <w:sz w:val="20"/>
            <w:szCs w:val="20"/>
            <w:u w:val="single"/>
            <w:rtl/>
          </w:rPr>
          <w:t>الموافقات</w:t>
        </w:r>
      </w:hyperlink>
      <w:hyperlink r:id="rId102">
        <w:r w:rsidRPr="00A57B0E">
          <w:rPr>
            <w:rFonts w:asciiTheme="majorBidi" w:hAnsiTheme="majorBidi" w:cstheme="majorBidi"/>
            <w:color w:val="0563C1"/>
            <w:sz w:val="20"/>
            <w:szCs w:val="20"/>
            <w:u w:val="single"/>
            <w:rtl/>
          </w:rPr>
          <w:t>-</w:t>
        </w:r>
      </w:hyperlink>
      <w:hyperlink r:id="rId103">
        <w:r w:rsidRPr="00A57B0E">
          <w:rPr>
            <w:rFonts w:asciiTheme="majorBidi" w:hAnsiTheme="majorBidi" w:cstheme="majorBidi"/>
            <w:color w:val="0563C1"/>
            <w:sz w:val="20"/>
            <w:szCs w:val="20"/>
            <w:u w:val="single"/>
            <w:rtl/>
          </w:rPr>
          <w:t>الأ</w:t>
        </w:r>
      </w:hyperlink>
      <w:hyperlink r:id="rId104">
        <w:r w:rsidRPr="00A57B0E">
          <w:rPr>
            <w:rFonts w:asciiTheme="majorBidi" w:hAnsiTheme="majorBidi" w:cstheme="majorBidi"/>
            <w:color w:val="0563C1"/>
            <w:sz w:val="20"/>
            <w:szCs w:val="20"/>
            <w:u w:val="single"/>
          </w:rPr>
          <w:t>/</w:t>
        </w:r>
      </w:hyperlink>
      <w:r w:rsidRPr="00A57B0E">
        <w:rPr>
          <w:rFonts w:asciiTheme="majorBidi" w:hAnsiTheme="majorBidi" w:cstheme="majorBidi"/>
          <w:color w:val="000000"/>
          <w:sz w:val="20"/>
          <w:szCs w:val="20"/>
        </w:rPr>
        <w:t xml:space="preserve">  (Accessed 30 May 2023)</w:t>
      </w:r>
    </w:p>
  </w:footnote>
  <w:footnote w:id="9">
    <w:p w14:paraId="4B153712" w14:textId="60797F61" w:rsidR="00980A67" w:rsidRPr="00A57B0E" w:rsidRDefault="00980A67" w:rsidP="00A57B0E">
      <w:pPr>
        <w:pStyle w:val="FootnoteText"/>
        <w:jc w:val="both"/>
        <w:rPr>
          <w:rFonts w:asciiTheme="majorBidi" w:hAnsiTheme="majorBidi" w:cstheme="majorBidi"/>
        </w:rPr>
      </w:pPr>
      <w:r w:rsidRPr="00A57B0E">
        <w:rPr>
          <w:rStyle w:val="FootnoteReference"/>
          <w:rFonts w:asciiTheme="majorBidi" w:hAnsiTheme="majorBidi" w:cstheme="majorBidi"/>
        </w:rPr>
        <w:footnoteRef/>
      </w:r>
      <w:r w:rsidRPr="00A57B0E">
        <w:rPr>
          <w:rFonts w:asciiTheme="majorBidi" w:hAnsiTheme="majorBidi" w:cstheme="majorBidi"/>
        </w:rPr>
        <w:t xml:space="preserve"> </w:t>
      </w:r>
      <w:r w:rsidR="0001535E" w:rsidRPr="00A57B0E">
        <w:rPr>
          <w:rFonts w:asciiTheme="majorBidi" w:hAnsiTheme="majorBidi" w:cstheme="majorBidi"/>
        </w:rPr>
        <w:t xml:space="preserve">The majority of precautionary seizure rulings made by the Minister of Finance suggest that the National Office, operating through the General Intelligence Department, is responsible for identifying those subject to such seizures. See, for example, Syria TV, </w:t>
      </w:r>
      <w:r w:rsidR="0001535E" w:rsidRPr="00A57B0E">
        <w:rPr>
          <w:rFonts w:asciiTheme="majorBidi" w:hAnsiTheme="majorBidi" w:cstheme="majorBidi"/>
          <w:i/>
          <w:iCs/>
        </w:rPr>
        <w:t>"According to documents, 750 thousand Syrians are at risk of losing their properties in Syria</w:t>
      </w:r>
      <w:r w:rsidR="0001535E" w:rsidRPr="00A57B0E">
        <w:rPr>
          <w:rFonts w:asciiTheme="majorBidi" w:hAnsiTheme="majorBidi" w:cstheme="majorBidi"/>
        </w:rPr>
        <w:t xml:space="preserve">." </w:t>
      </w:r>
      <w:hyperlink r:id="rId105" w:history="1">
        <w:r w:rsidR="0001535E" w:rsidRPr="00A57B0E">
          <w:rPr>
            <w:rStyle w:val="Hyperlink"/>
            <w:rFonts w:asciiTheme="majorBidi" w:hAnsiTheme="majorBidi" w:cstheme="majorBidi"/>
          </w:rPr>
          <w:t>https://www.syria.tv/</w:t>
        </w:r>
        <w:r w:rsidR="0001535E" w:rsidRPr="00A57B0E">
          <w:rPr>
            <w:rStyle w:val="Hyperlink"/>
            <w:rFonts w:asciiTheme="majorBidi" w:hAnsiTheme="majorBidi" w:cstheme="majorBidi"/>
            <w:rtl/>
          </w:rPr>
          <w:t>بالوثائق-750-ألف-سوري-مهدّدون-بفقدان-ممتلكاتهم-في-سوريا</w:t>
        </w:r>
      </w:hyperlink>
      <w:r w:rsidR="0001535E" w:rsidRPr="00A57B0E">
        <w:rPr>
          <w:rFonts w:asciiTheme="majorBidi" w:hAnsiTheme="majorBidi" w:cstheme="majorBidi"/>
        </w:rPr>
        <w:t xml:space="preserve"> ((accessed 01 June 2024)</w:t>
      </w:r>
    </w:p>
  </w:footnote>
  <w:footnote w:id="10">
    <w:p w14:paraId="213B65BF" w14:textId="77777777" w:rsidR="00962939" w:rsidRPr="00A57B0E" w:rsidRDefault="00962939" w:rsidP="00A57B0E">
      <w:pPr>
        <w:spacing w:line="240" w:lineRule="auto"/>
        <w:jc w:val="both"/>
        <w:rPr>
          <w:rFonts w:asciiTheme="majorBidi" w:hAnsiTheme="majorBidi" w:cstheme="majorBidi"/>
          <w:sz w:val="20"/>
          <w:szCs w:val="20"/>
        </w:rPr>
      </w:pPr>
      <w:r w:rsidRPr="00A57B0E">
        <w:rPr>
          <w:rStyle w:val="FootnoteReference"/>
          <w:rFonts w:asciiTheme="majorBidi" w:hAnsiTheme="majorBidi" w:cstheme="majorBidi"/>
          <w:sz w:val="20"/>
          <w:szCs w:val="20"/>
        </w:rPr>
        <w:footnoteRef/>
      </w:r>
      <w:r w:rsidRPr="00A57B0E">
        <w:rPr>
          <w:rFonts w:asciiTheme="majorBidi" w:hAnsiTheme="majorBidi" w:cstheme="majorBidi"/>
          <w:sz w:val="20"/>
          <w:szCs w:val="20"/>
        </w:rPr>
        <w:t xml:space="preserve"> Article 7 of Law 30/2010 provides:</w:t>
      </w:r>
      <w:r w:rsidRPr="00A57B0E">
        <w:rPr>
          <w:rFonts w:asciiTheme="majorBidi" w:hAnsiTheme="majorBidi" w:cstheme="majorBidi"/>
          <w:color w:val="0D0D0D"/>
          <w:sz w:val="20"/>
          <w:szCs w:val="20"/>
          <w:shd w:val="clear" w:color="auto" w:fill="FFFFFF"/>
        </w:rPr>
        <w:t xml:space="preserve"> “Under no circumstances may precautionary seizures be imposed on the accounts and assets of depositors in financial institutions, except in cases where precautionary seizure decisions are issued in accordance with the laws and regulations aimed at protecting public funds or those related to combating money laundering and terrorist financing”. In practice, this Article grants the executive branch, represented by the Minister of Finance, the authority to issue precautionary seizures without the need to obtain a judicial decision.</w:t>
      </w:r>
    </w:p>
  </w:footnote>
  <w:footnote w:id="11">
    <w:p w14:paraId="379FAF24" w14:textId="04CC8CF8" w:rsidR="00075E68" w:rsidRPr="00A57B0E" w:rsidRDefault="00075E68" w:rsidP="00A57B0E">
      <w:pPr>
        <w:pStyle w:val="FootnoteText"/>
        <w:jc w:val="both"/>
        <w:rPr>
          <w:rFonts w:asciiTheme="majorBidi" w:hAnsiTheme="majorBidi" w:cstheme="majorBidi"/>
          <w:lang w:val="en-US"/>
        </w:rPr>
      </w:pPr>
      <w:r w:rsidRPr="00A57B0E">
        <w:rPr>
          <w:rStyle w:val="FootnoteReference"/>
          <w:rFonts w:asciiTheme="majorBidi" w:hAnsiTheme="majorBidi" w:cstheme="majorBidi"/>
        </w:rPr>
        <w:footnoteRef/>
      </w:r>
      <w:r w:rsidRPr="00A57B0E">
        <w:rPr>
          <w:rFonts w:asciiTheme="majorBidi" w:hAnsiTheme="majorBidi" w:cstheme="majorBidi"/>
        </w:rPr>
        <w:t xml:space="preserve"> </w:t>
      </w:r>
      <w:r w:rsidRPr="00A57B0E">
        <w:rPr>
          <w:rFonts w:asciiTheme="majorBidi" w:hAnsiTheme="majorBidi" w:cstheme="majorBidi"/>
          <w:lang w:val="en-US"/>
        </w:rPr>
        <w:t>Ministry of Finance</w:t>
      </w:r>
      <w:r w:rsidR="00AD0D7A" w:rsidRPr="00A57B0E">
        <w:rPr>
          <w:rFonts w:asciiTheme="majorBidi" w:hAnsiTheme="majorBidi" w:cstheme="majorBidi"/>
          <w:lang w:val="en-US"/>
        </w:rPr>
        <w:t xml:space="preserve"> official Website</w:t>
      </w:r>
      <w:r w:rsidRPr="00A57B0E">
        <w:rPr>
          <w:rFonts w:asciiTheme="majorBidi" w:hAnsiTheme="majorBidi" w:cstheme="majorBidi"/>
          <w:lang w:val="en-US"/>
        </w:rPr>
        <w:t xml:space="preserve">, January 2021, available at: </w:t>
      </w:r>
      <w:hyperlink r:id="rId106">
        <w:r w:rsidRPr="00A57B0E">
          <w:rPr>
            <w:rFonts w:asciiTheme="majorBidi" w:hAnsiTheme="majorBidi" w:cstheme="majorBidi"/>
            <w:color w:val="1155CC"/>
            <w:u w:val="single"/>
          </w:rPr>
          <w:t>https</w:t>
        </w:r>
      </w:hyperlink>
      <w:hyperlink r:id="rId107">
        <w:r w:rsidRPr="00A57B0E">
          <w:rPr>
            <w:rFonts w:asciiTheme="majorBidi" w:hAnsiTheme="majorBidi" w:cstheme="majorBidi"/>
            <w:color w:val="1155CC"/>
            <w:u w:val="single"/>
          </w:rPr>
          <w:t>://</w:t>
        </w:r>
      </w:hyperlink>
      <w:hyperlink r:id="rId108">
        <w:r w:rsidRPr="00A57B0E">
          <w:rPr>
            <w:rFonts w:asciiTheme="majorBidi" w:hAnsiTheme="majorBidi" w:cstheme="majorBidi"/>
            <w:color w:val="1155CC"/>
            <w:u w:val="single"/>
          </w:rPr>
          <w:t>syrianfinance</w:t>
        </w:r>
      </w:hyperlink>
      <w:hyperlink r:id="rId109">
        <w:r w:rsidRPr="00A57B0E">
          <w:rPr>
            <w:rFonts w:asciiTheme="majorBidi" w:hAnsiTheme="majorBidi" w:cstheme="majorBidi"/>
            <w:color w:val="1155CC"/>
            <w:u w:val="single"/>
          </w:rPr>
          <w:t>.</w:t>
        </w:r>
      </w:hyperlink>
      <w:hyperlink r:id="rId110">
        <w:r w:rsidRPr="00A57B0E">
          <w:rPr>
            <w:rFonts w:asciiTheme="majorBidi" w:hAnsiTheme="majorBidi" w:cstheme="majorBidi"/>
            <w:color w:val="1155CC"/>
            <w:u w:val="single"/>
          </w:rPr>
          <w:t>gov</w:t>
        </w:r>
      </w:hyperlink>
      <w:hyperlink r:id="rId111">
        <w:r w:rsidRPr="00A57B0E">
          <w:rPr>
            <w:rFonts w:asciiTheme="majorBidi" w:hAnsiTheme="majorBidi" w:cstheme="majorBidi"/>
            <w:color w:val="1155CC"/>
            <w:u w:val="single"/>
          </w:rPr>
          <w:t>.</w:t>
        </w:r>
      </w:hyperlink>
      <w:hyperlink r:id="rId112">
        <w:r w:rsidRPr="00A57B0E">
          <w:rPr>
            <w:rFonts w:asciiTheme="majorBidi" w:hAnsiTheme="majorBidi" w:cstheme="majorBidi"/>
            <w:color w:val="1155CC"/>
            <w:u w:val="single"/>
          </w:rPr>
          <w:t>sy</w:t>
        </w:r>
      </w:hyperlink>
      <w:hyperlink r:id="rId113">
        <w:r w:rsidRPr="00A57B0E">
          <w:rPr>
            <w:rFonts w:asciiTheme="majorBidi" w:hAnsiTheme="majorBidi" w:cstheme="majorBidi"/>
            <w:color w:val="1155CC"/>
            <w:u w:val="single"/>
          </w:rPr>
          <w:t>/</w:t>
        </w:r>
      </w:hyperlink>
      <w:hyperlink r:id="rId114">
        <w:r w:rsidRPr="00A57B0E">
          <w:rPr>
            <w:rFonts w:asciiTheme="majorBidi" w:hAnsiTheme="majorBidi" w:cstheme="majorBidi"/>
            <w:color w:val="1155CC"/>
            <w:u w:val="single"/>
          </w:rPr>
          <w:t>ar</w:t>
        </w:r>
      </w:hyperlink>
      <w:hyperlink r:id="rId115">
        <w:r w:rsidRPr="00A57B0E">
          <w:rPr>
            <w:rFonts w:asciiTheme="majorBidi" w:hAnsiTheme="majorBidi" w:cstheme="majorBidi"/>
            <w:color w:val="1155CC"/>
            <w:u w:val="single"/>
          </w:rPr>
          <w:t>/</w:t>
        </w:r>
      </w:hyperlink>
      <w:hyperlink r:id="rId116">
        <w:r w:rsidRPr="00A57B0E">
          <w:rPr>
            <w:rFonts w:asciiTheme="majorBidi" w:hAnsiTheme="majorBidi" w:cstheme="majorBidi"/>
            <w:color w:val="1155CC"/>
            <w:u w:val="single"/>
          </w:rPr>
          <w:t>page</w:t>
        </w:r>
      </w:hyperlink>
      <w:hyperlink r:id="rId117">
        <w:r w:rsidRPr="00A57B0E">
          <w:rPr>
            <w:rFonts w:asciiTheme="majorBidi" w:hAnsiTheme="majorBidi" w:cstheme="majorBidi"/>
            <w:color w:val="1155CC"/>
            <w:u w:val="single"/>
          </w:rPr>
          <w:t>/</w:t>
        </w:r>
      </w:hyperlink>
      <w:hyperlink r:id="rId118">
        <w:r w:rsidRPr="00A57B0E">
          <w:rPr>
            <w:rFonts w:asciiTheme="majorBidi" w:hAnsiTheme="majorBidi" w:cstheme="majorBidi"/>
            <w:color w:val="1155CC"/>
            <w:u w:val="single"/>
            <w:rtl/>
          </w:rPr>
          <w:t>حالات</w:t>
        </w:r>
      </w:hyperlink>
      <w:hyperlink r:id="rId119">
        <w:r w:rsidRPr="00A57B0E">
          <w:rPr>
            <w:rFonts w:asciiTheme="majorBidi" w:hAnsiTheme="majorBidi" w:cstheme="majorBidi"/>
            <w:color w:val="1155CC"/>
            <w:u w:val="single"/>
            <w:rtl/>
          </w:rPr>
          <w:t>-</w:t>
        </w:r>
      </w:hyperlink>
      <w:hyperlink r:id="rId120">
        <w:r w:rsidRPr="00A57B0E">
          <w:rPr>
            <w:rFonts w:asciiTheme="majorBidi" w:hAnsiTheme="majorBidi" w:cstheme="majorBidi"/>
            <w:color w:val="1155CC"/>
            <w:u w:val="single"/>
            <w:rtl/>
          </w:rPr>
          <w:t>إلقاء</w:t>
        </w:r>
      </w:hyperlink>
      <w:hyperlink r:id="rId121">
        <w:r w:rsidRPr="00A57B0E">
          <w:rPr>
            <w:rFonts w:asciiTheme="majorBidi" w:hAnsiTheme="majorBidi" w:cstheme="majorBidi"/>
            <w:color w:val="1155CC"/>
            <w:u w:val="single"/>
            <w:rtl/>
          </w:rPr>
          <w:t>-</w:t>
        </w:r>
      </w:hyperlink>
      <w:hyperlink r:id="rId122">
        <w:r w:rsidRPr="00A57B0E">
          <w:rPr>
            <w:rFonts w:asciiTheme="majorBidi" w:hAnsiTheme="majorBidi" w:cstheme="majorBidi"/>
            <w:color w:val="1155CC"/>
            <w:u w:val="single"/>
            <w:rtl/>
          </w:rPr>
          <w:t>الحجز</w:t>
        </w:r>
      </w:hyperlink>
      <w:hyperlink r:id="rId123">
        <w:r w:rsidRPr="00A57B0E">
          <w:rPr>
            <w:rFonts w:asciiTheme="majorBidi" w:hAnsiTheme="majorBidi" w:cstheme="majorBidi"/>
            <w:color w:val="1155CC"/>
            <w:u w:val="single"/>
            <w:rtl/>
          </w:rPr>
          <w:t>-</w:t>
        </w:r>
      </w:hyperlink>
      <w:hyperlink r:id="rId124">
        <w:r w:rsidRPr="00A57B0E">
          <w:rPr>
            <w:rFonts w:asciiTheme="majorBidi" w:hAnsiTheme="majorBidi" w:cstheme="majorBidi"/>
            <w:color w:val="1155CC"/>
            <w:u w:val="single"/>
            <w:rtl/>
          </w:rPr>
          <w:t>الاحتياطي</w:t>
        </w:r>
      </w:hyperlink>
      <w:hyperlink r:id="rId125">
        <w:r w:rsidRPr="00A57B0E">
          <w:rPr>
            <w:rFonts w:asciiTheme="majorBidi" w:hAnsiTheme="majorBidi" w:cstheme="majorBidi"/>
            <w:color w:val="1155CC"/>
            <w:u w:val="single"/>
            <w:rtl/>
          </w:rPr>
          <w:t>-</w:t>
        </w:r>
      </w:hyperlink>
      <w:hyperlink r:id="rId126">
        <w:r w:rsidRPr="00A57B0E">
          <w:rPr>
            <w:rFonts w:asciiTheme="majorBidi" w:hAnsiTheme="majorBidi" w:cstheme="majorBidi"/>
            <w:color w:val="1155CC"/>
            <w:u w:val="single"/>
            <w:rtl/>
          </w:rPr>
          <w:t>على</w:t>
        </w:r>
      </w:hyperlink>
      <w:hyperlink r:id="rId127">
        <w:r w:rsidRPr="00A57B0E">
          <w:rPr>
            <w:rFonts w:asciiTheme="majorBidi" w:hAnsiTheme="majorBidi" w:cstheme="majorBidi"/>
            <w:color w:val="1155CC"/>
            <w:u w:val="single"/>
            <w:rtl/>
          </w:rPr>
          <w:t>-</w:t>
        </w:r>
      </w:hyperlink>
      <w:hyperlink r:id="rId128">
        <w:r w:rsidRPr="00A57B0E">
          <w:rPr>
            <w:rFonts w:asciiTheme="majorBidi" w:hAnsiTheme="majorBidi" w:cstheme="majorBidi"/>
            <w:color w:val="1155CC"/>
            <w:u w:val="single"/>
            <w:rtl/>
          </w:rPr>
          <w:t>حسابات</w:t>
        </w:r>
      </w:hyperlink>
      <w:hyperlink r:id="rId129">
        <w:r w:rsidRPr="00A57B0E">
          <w:rPr>
            <w:rFonts w:asciiTheme="majorBidi" w:hAnsiTheme="majorBidi" w:cstheme="majorBidi"/>
            <w:color w:val="1155CC"/>
            <w:u w:val="single"/>
            <w:rtl/>
          </w:rPr>
          <w:t>-</w:t>
        </w:r>
      </w:hyperlink>
      <w:hyperlink r:id="rId130">
        <w:r w:rsidRPr="00A57B0E">
          <w:rPr>
            <w:rFonts w:asciiTheme="majorBidi" w:hAnsiTheme="majorBidi" w:cstheme="majorBidi"/>
            <w:color w:val="1155CC"/>
            <w:u w:val="single"/>
            <w:rtl/>
          </w:rPr>
          <w:t>و</w:t>
        </w:r>
      </w:hyperlink>
      <w:hyperlink r:id="rId131">
        <w:r w:rsidRPr="00A57B0E">
          <w:rPr>
            <w:rFonts w:asciiTheme="majorBidi" w:hAnsiTheme="majorBidi" w:cstheme="majorBidi"/>
            <w:color w:val="1155CC"/>
            <w:u w:val="single"/>
            <w:rtl/>
          </w:rPr>
          <w:t>-</w:t>
        </w:r>
      </w:hyperlink>
      <w:hyperlink r:id="rId132">
        <w:r w:rsidRPr="00A57B0E">
          <w:rPr>
            <w:rFonts w:asciiTheme="majorBidi" w:hAnsiTheme="majorBidi" w:cstheme="majorBidi"/>
            <w:color w:val="1155CC"/>
            <w:u w:val="single"/>
            <w:rtl/>
          </w:rPr>
          <w:t>موجودات</w:t>
        </w:r>
      </w:hyperlink>
      <w:hyperlink r:id="rId133">
        <w:r w:rsidRPr="00A57B0E">
          <w:rPr>
            <w:rFonts w:asciiTheme="majorBidi" w:hAnsiTheme="majorBidi" w:cstheme="majorBidi"/>
            <w:color w:val="1155CC"/>
            <w:u w:val="single"/>
            <w:rtl/>
          </w:rPr>
          <w:t>-</w:t>
        </w:r>
      </w:hyperlink>
      <w:hyperlink r:id="rId134">
        <w:r w:rsidRPr="00A57B0E">
          <w:rPr>
            <w:rFonts w:asciiTheme="majorBidi" w:hAnsiTheme="majorBidi" w:cstheme="majorBidi"/>
            <w:color w:val="1155CC"/>
            <w:u w:val="single"/>
            <w:rtl/>
          </w:rPr>
          <w:t>المودعين</w:t>
        </w:r>
      </w:hyperlink>
      <w:hyperlink r:id="rId135">
        <w:r w:rsidRPr="00A57B0E">
          <w:rPr>
            <w:rFonts w:asciiTheme="majorBidi" w:hAnsiTheme="majorBidi" w:cstheme="majorBidi"/>
            <w:color w:val="1155CC"/>
            <w:u w:val="single"/>
            <w:rtl/>
          </w:rPr>
          <w:t>-</w:t>
        </w:r>
      </w:hyperlink>
      <w:hyperlink r:id="rId136">
        <w:r w:rsidRPr="00A57B0E">
          <w:rPr>
            <w:rFonts w:asciiTheme="majorBidi" w:hAnsiTheme="majorBidi" w:cstheme="majorBidi"/>
            <w:color w:val="1155CC"/>
            <w:u w:val="single"/>
            <w:rtl/>
          </w:rPr>
          <w:t>لدى</w:t>
        </w:r>
      </w:hyperlink>
      <w:hyperlink r:id="rId137">
        <w:r w:rsidRPr="00A57B0E">
          <w:rPr>
            <w:rFonts w:asciiTheme="majorBidi" w:hAnsiTheme="majorBidi" w:cstheme="majorBidi"/>
            <w:color w:val="1155CC"/>
            <w:u w:val="single"/>
            <w:rtl/>
          </w:rPr>
          <w:t>-</w:t>
        </w:r>
      </w:hyperlink>
      <w:hyperlink r:id="rId138">
        <w:r w:rsidRPr="00A57B0E">
          <w:rPr>
            <w:rFonts w:asciiTheme="majorBidi" w:hAnsiTheme="majorBidi" w:cstheme="majorBidi"/>
            <w:color w:val="1155CC"/>
            <w:u w:val="single"/>
            <w:rtl/>
          </w:rPr>
          <w:t>المؤسسات</w:t>
        </w:r>
      </w:hyperlink>
      <w:hyperlink r:id="rId139">
        <w:r w:rsidRPr="00A57B0E">
          <w:rPr>
            <w:rFonts w:asciiTheme="majorBidi" w:hAnsiTheme="majorBidi" w:cstheme="majorBidi"/>
            <w:color w:val="1155CC"/>
            <w:u w:val="single"/>
            <w:rtl/>
          </w:rPr>
          <w:t>-</w:t>
        </w:r>
      </w:hyperlink>
      <w:hyperlink r:id="rId140">
        <w:r w:rsidRPr="00A57B0E">
          <w:rPr>
            <w:rFonts w:asciiTheme="majorBidi" w:hAnsiTheme="majorBidi" w:cstheme="majorBidi"/>
            <w:color w:val="1155CC"/>
            <w:u w:val="single"/>
            <w:rtl/>
          </w:rPr>
          <w:t>المالية</w:t>
        </w:r>
      </w:hyperlink>
      <w:r w:rsidRPr="00A57B0E">
        <w:rPr>
          <w:rFonts w:asciiTheme="majorBidi" w:hAnsiTheme="majorBidi" w:cstheme="majorBidi"/>
        </w:rPr>
        <w:t xml:space="preserve"> (accessed 31 May 2024)</w:t>
      </w:r>
    </w:p>
  </w:footnote>
  <w:footnote w:id="12">
    <w:p w14:paraId="000000B0" w14:textId="77777777" w:rsidR="009B2197" w:rsidRPr="00A57B0E" w:rsidRDefault="00000000" w:rsidP="00A57B0E">
      <w:pPr>
        <w:spacing w:line="240" w:lineRule="auto"/>
        <w:jc w:val="both"/>
        <w:rPr>
          <w:rFonts w:asciiTheme="majorBidi" w:eastAsia="Calibri" w:hAnsiTheme="majorBidi" w:cstheme="majorBidi"/>
          <w:sz w:val="20"/>
          <w:szCs w:val="20"/>
        </w:rPr>
      </w:pPr>
      <w:r w:rsidRPr="00A57B0E">
        <w:rPr>
          <w:rStyle w:val="FootnoteReference"/>
          <w:rFonts w:asciiTheme="majorBidi" w:hAnsiTheme="majorBidi" w:cstheme="majorBidi"/>
          <w:sz w:val="20"/>
          <w:szCs w:val="20"/>
        </w:rPr>
        <w:footnoteRef/>
      </w:r>
      <w:r w:rsidRPr="00A57B0E">
        <w:rPr>
          <w:rFonts w:asciiTheme="majorBidi" w:eastAsia="Calibri" w:hAnsiTheme="majorBidi" w:cstheme="majorBidi"/>
          <w:sz w:val="20"/>
          <w:szCs w:val="20"/>
        </w:rPr>
        <w:t xml:space="preserve"> Committee on the Protection of the Rights of All Migrant Workers, 26 September 2023, available at: </w:t>
      </w:r>
      <w:hyperlink r:id="rId141">
        <w:r w:rsidRPr="00A57B0E">
          <w:rPr>
            <w:rFonts w:asciiTheme="majorBidi" w:eastAsia="Calibri" w:hAnsiTheme="majorBidi" w:cstheme="majorBidi"/>
            <w:color w:val="0000FF"/>
            <w:sz w:val="20"/>
            <w:szCs w:val="20"/>
            <w:u w:val="single"/>
          </w:rPr>
          <w:t>https://www.ohchr.org/en/press-releases/2022/09/committee-rights-migrant-workers-commends-syria-progress-legislation-last</w:t>
        </w:r>
      </w:hyperlink>
      <w:r w:rsidRPr="00A57B0E">
        <w:rPr>
          <w:rFonts w:asciiTheme="majorBidi" w:eastAsia="Calibri" w:hAnsiTheme="majorBidi" w:cstheme="majorBidi"/>
          <w:color w:val="4A4A4A"/>
          <w:sz w:val="20"/>
          <w:szCs w:val="20"/>
        </w:rPr>
        <w:t xml:space="preserve"> </w:t>
      </w:r>
      <w:r w:rsidRPr="00A57B0E">
        <w:rPr>
          <w:rFonts w:asciiTheme="majorBidi" w:eastAsia="Calibri" w:hAnsiTheme="majorBidi" w:cstheme="majorBidi"/>
          <w:sz w:val="20"/>
          <w:szCs w:val="20"/>
        </w:rPr>
        <w:t>(accessed 4 April 2024)</w:t>
      </w:r>
    </w:p>
  </w:footnote>
  <w:footnote w:id="13">
    <w:p w14:paraId="000000AB" w14:textId="77777777" w:rsidR="009B2197" w:rsidRPr="00A57B0E" w:rsidRDefault="00000000" w:rsidP="00A57B0E">
      <w:pPr>
        <w:spacing w:line="240" w:lineRule="auto"/>
        <w:jc w:val="both"/>
        <w:rPr>
          <w:rFonts w:asciiTheme="majorBidi" w:hAnsiTheme="majorBidi" w:cstheme="majorBidi"/>
          <w:b/>
          <w:sz w:val="20"/>
          <w:szCs w:val="20"/>
        </w:rPr>
      </w:pPr>
      <w:r w:rsidRPr="00A57B0E">
        <w:rPr>
          <w:rStyle w:val="FootnoteReference"/>
          <w:rFonts w:asciiTheme="majorBidi" w:hAnsiTheme="majorBidi" w:cstheme="majorBidi"/>
          <w:sz w:val="20"/>
          <w:szCs w:val="20"/>
        </w:rPr>
        <w:footnoteRef/>
      </w:r>
      <w:r w:rsidRPr="00A57B0E">
        <w:rPr>
          <w:rFonts w:asciiTheme="majorBidi" w:hAnsiTheme="majorBidi" w:cstheme="majorBidi"/>
          <w:sz w:val="20"/>
          <w:szCs w:val="20"/>
        </w:rPr>
        <w:t>A/HRC/52/69, paras. 63-64</w:t>
      </w:r>
    </w:p>
  </w:footnote>
  <w:footnote w:id="14">
    <w:p w14:paraId="000000AA" w14:textId="77777777" w:rsidR="009B2197" w:rsidRPr="00A57B0E" w:rsidRDefault="00000000" w:rsidP="00A57B0E">
      <w:pPr>
        <w:spacing w:line="240" w:lineRule="auto"/>
        <w:jc w:val="both"/>
        <w:rPr>
          <w:rFonts w:asciiTheme="majorBidi" w:eastAsia="Calibri" w:hAnsiTheme="majorBidi" w:cstheme="majorBidi"/>
          <w:sz w:val="20"/>
          <w:szCs w:val="20"/>
        </w:rPr>
      </w:pPr>
      <w:r w:rsidRPr="00A57B0E">
        <w:rPr>
          <w:rStyle w:val="FootnoteReference"/>
          <w:rFonts w:asciiTheme="majorBidi" w:hAnsiTheme="majorBidi" w:cstheme="majorBidi"/>
          <w:sz w:val="20"/>
          <w:szCs w:val="20"/>
        </w:rPr>
        <w:footnoteRef/>
      </w:r>
      <w:r w:rsidRPr="00A57B0E">
        <w:rPr>
          <w:rFonts w:asciiTheme="majorBidi" w:eastAsia="Calibri" w:hAnsiTheme="majorBidi" w:cstheme="majorBidi"/>
          <w:sz w:val="20"/>
          <w:szCs w:val="20"/>
        </w:rPr>
        <w:t xml:space="preserve"> Ibid., Paras. 62-72.</w:t>
      </w:r>
    </w:p>
  </w:footnote>
  <w:footnote w:id="15">
    <w:p w14:paraId="000000AC" w14:textId="77777777" w:rsidR="009B2197" w:rsidRPr="00A57B0E" w:rsidRDefault="00000000" w:rsidP="00A57B0E">
      <w:pPr>
        <w:spacing w:line="240" w:lineRule="auto"/>
        <w:jc w:val="both"/>
        <w:rPr>
          <w:rFonts w:asciiTheme="majorBidi" w:eastAsia="Calibri" w:hAnsiTheme="majorBidi" w:cstheme="majorBidi"/>
          <w:sz w:val="20"/>
          <w:szCs w:val="20"/>
        </w:rPr>
      </w:pPr>
      <w:r w:rsidRPr="00A57B0E">
        <w:rPr>
          <w:rStyle w:val="FootnoteReference"/>
          <w:rFonts w:asciiTheme="majorBidi" w:hAnsiTheme="majorBidi" w:cstheme="majorBidi"/>
          <w:sz w:val="20"/>
          <w:szCs w:val="20"/>
        </w:rPr>
        <w:footnoteRef/>
      </w:r>
      <w:r w:rsidRPr="00A57B0E">
        <w:rPr>
          <w:rFonts w:asciiTheme="majorBidi" w:eastAsia="Calibri" w:hAnsiTheme="majorBidi" w:cstheme="majorBidi"/>
          <w:sz w:val="20"/>
          <w:szCs w:val="20"/>
        </w:rPr>
        <w:t xml:space="preserve"> A/HRC/54/58, Paras. 40-42.</w:t>
      </w:r>
    </w:p>
  </w:footnote>
  <w:footnote w:id="16">
    <w:p w14:paraId="000000AD" w14:textId="77777777" w:rsidR="009B2197" w:rsidRPr="00A57B0E" w:rsidRDefault="00000000" w:rsidP="00A57B0E">
      <w:pPr>
        <w:spacing w:line="240" w:lineRule="auto"/>
        <w:jc w:val="both"/>
        <w:rPr>
          <w:rFonts w:asciiTheme="majorBidi" w:eastAsia="Calibri" w:hAnsiTheme="majorBidi" w:cstheme="majorBidi"/>
          <w:sz w:val="20"/>
          <w:szCs w:val="20"/>
        </w:rPr>
      </w:pPr>
      <w:r w:rsidRPr="00A57B0E">
        <w:rPr>
          <w:rStyle w:val="FootnoteReference"/>
          <w:rFonts w:asciiTheme="majorBidi" w:hAnsiTheme="majorBidi" w:cstheme="majorBidi"/>
          <w:sz w:val="20"/>
          <w:szCs w:val="20"/>
        </w:rPr>
        <w:footnoteRef/>
      </w:r>
      <w:r w:rsidRPr="00A57B0E">
        <w:rPr>
          <w:rFonts w:asciiTheme="majorBidi" w:eastAsia="Calibri" w:hAnsiTheme="majorBidi" w:cstheme="majorBidi"/>
          <w:sz w:val="20"/>
          <w:szCs w:val="20"/>
        </w:rPr>
        <w:t xml:space="preserve"> Ibid.</w:t>
      </w:r>
    </w:p>
  </w:footnote>
  <w:footnote w:id="17">
    <w:p w14:paraId="000000AE" w14:textId="77777777" w:rsidR="009B2197" w:rsidRPr="00A57B0E" w:rsidRDefault="00000000" w:rsidP="00A57B0E">
      <w:pPr>
        <w:spacing w:line="240" w:lineRule="auto"/>
        <w:jc w:val="both"/>
        <w:rPr>
          <w:rFonts w:asciiTheme="majorBidi" w:eastAsia="Calibri" w:hAnsiTheme="majorBidi" w:cstheme="majorBidi"/>
          <w:sz w:val="20"/>
          <w:szCs w:val="20"/>
        </w:rPr>
      </w:pPr>
      <w:r w:rsidRPr="00A57B0E">
        <w:rPr>
          <w:rStyle w:val="FootnoteReference"/>
          <w:rFonts w:asciiTheme="majorBidi" w:hAnsiTheme="majorBidi" w:cstheme="majorBidi"/>
          <w:sz w:val="20"/>
          <w:szCs w:val="20"/>
        </w:rPr>
        <w:footnoteRef/>
      </w:r>
      <w:r w:rsidRPr="00A57B0E">
        <w:rPr>
          <w:rFonts w:asciiTheme="majorBidi" w:eastAsia="Calibri" w:hAnsiTheme="majorBidi" w:cstheme="majorBidi"/>
          <w:sz w:val="20"/>
          <w:szCs w:val="20"/>
        </w:rPr>
        <w:t xml:space="preserve"> OHCHR, </w:t>
      </w:r>
      <w:r w:rsidRPr="00A57B0E">
        <w:rPr>
          <w:rFonts w:asciiTheme="majorBidi" w:eastAsia="Calibri" w:hAnsiTheme="majorBidi" w:cstheme="majorBidi"/>
          <w:i/>
          <w:sz w:val="20"/>
          <w:szCs w:val="20"/>
        </w:rPr>
        <w:t xml:space="preserve">"We did not fear death but the life there", </w:t>
      </w:r>
      <w:r w:rsidRPr="00A57B0E">
        <w:rPr>
          <w:rFonts w:asciiTheme="majorBidi" w:eastAsia="Calibri" w:hAnsiTheme="majorBidi" w:cstheme="majorBidi"/>
          <w:sz w:val="20"/>
          <w:szCs w:val="20"/>
        </w:rPr>
        <w:t xml:space="preserve">(February 2024),  paras. 10-16. </w:t>
      </w:r>
    </w:p>
  </w:footnote>
  <w:footnote w:id="18">
    <w:p w14:paraId="000000AF" w14:textId="77777777" w:rsidR="009B2197" w:rsidRPr="00A57B0E" w:rsidRDefault="00000000" w:rsidP="00A57B0E">
      <w:pPr>
        <w:spacing w:line="240" w:lineRule="auto"/>
        <w:jc w:val="both"/>
        <w:rPr>
          <w:rFonts w:asciiTheme="majorBidi" w:eastAsia="Calibri" w:hAnsiTheme="majorBidi" w:cstheme="majorBidi"/>
          <w:sz w:val="20"/>
          <w:szCs w:val="20"/>
        </w:rPr>
      </w:pPr>
      <w:r w:rsidRPr="00A57B0E">
        <w:rPr>
          <w:rStyle w:val="FootnoteReference"/>
          <w:rFonts w:asciiTheme="majorBidi" w:hAnsiTheme="majorBidi" w:cstheme="majorBidi"/>
          <w:sz w:val="20"/>
          <w:szCs w:val="20"/>
        </w:rPr>
        <w:footnoteRef/>
      </w:r>
      <w:r w:rsidRPr="00A57B0E">
        <w:rPr>
          <w:rFonts w:asciiTheme="majorBidi" w:eastAsia="Calibri" w:hAnsiTheme="majorBidi" w:cstheme="majorBidi"/>
          <w:sz w:val="20"/>
          <w:szCs w:val="20"/>
        </w:rPr>
        <w:t xml:space="preserve"> Ibid. Para. 88.</w:t>
      </w:r>
    </w:p>
  </w:footnote>
  <w:footnote w:id="19">
    <w:p w14:paraId="000000C0" w14:textId="77777777" w:rsidR="009B2197" w:rsidRPr="00A57B0E" w:rsidRDefault="00000000" w:rsidP="00A57B0E">
      <w:pPr>
        <w:spacing w:line="240" w:lineRule="auto"/>
        <w:jc w:val="both"/>
        <w:rPr>
          <w:rFonts w:asciiTheme="majorBidi" w:hAnsiTheme="majorBidi" w:cstheme="majorBidi"/>
          <w:sz w:val="20"/>
          <w:szCs w:val="20"/>
        </w:rPr>
      </w:pPr>
      <w:r w:rsidRPr="00A57B0E">
        <w:rPr>
          <w:rStyle w:val="FootnoteReference"/>
          <w:rFonts w:asciiTheme="majorBidi" w:hAnsiTheme="majorBidi" w:cstheme="majorBidi"/>
          <w:sz w:val="20"/>
          <w:szCs w:val="20"/>
        </w:rPr>
        <w:footnoteRef/>
      </w:r>
      <w:r w:rsidRPr="00A57B0E">
        <w:rPr>
          <w:rFonts w:asciiTheme="majorBidi" w:hAnsiTheme="majorBidi" w:cstheme="majorBidi"/>
          <w:sz w:val="20"/>
          <w:szCs w:val="20"/>
        </w:rPr>
        <w:t xml:space="preserve"> The Day After, After the Trilogy of Siege, Destruction, and Displacement, January 2024, available at: </w:t>
      </w:r>
      <w:hyperlink r:id="rId142">
        <w:r w:rsidRPr="00A57B0E">
          <w:rPr>
            <w:rFonts w:asciiTheme="majorBidi" w:hAnsiTheme="majorBidi" w:cstheme="majorBidi"/>
            <w:color w:val="1155CC"/>
            <w:sz w:val="20"/>
            <w:szCs w:val="20"/>
            <w:u w:val="single"/>
          </w:rPr>
          <w:t>https://tda-sy.org/wp-content/uploads/HLP-Rights-Violations-in-Syria-Post-the-Trilogy-of-Siege.pdf</w:t>
        </w:r>
      </w:hyperlink>
    </w:p>
  </w:footnote>
  <w:footnote w:id="20">
    <w:p w14:paraId="038DB039" w14:textId="6109F550" w:rsidR="008E56F4" w:rsidRPr="00A57B0E" w:rsidRDefault="008E56F4" w:rsidP="00A57B0E">
      <w:pPr>
        <w:pStyle w:val="FootnoteText"/>
        <w:jc w:val="both"/>
        <w:rPr>
          <w:rFonts w:asciiTheme="majorBidi" w:hAnsiTheme="majorBidi" w:cstheme="majorBidi"/>
          <w:lang w:val="en-US"/>
        </w:rPr>
      </w:pPr>
      <w:r w:rsidRPr="00A57B0E">
        <w:rPr>
          <w:rStyle w:val="FootnoteReference"/>
          <w:rFonts w:asciiTheme="majorBidi" w:hAnsiTheme="majorBidi" w:cstheme="majorBidi"/>
        </w:rPr>
        <w:footnoteRef/>
      </w:r>
      <w:r w:rsidRPr="00A57B0E">
        <w:rPr>
          <w:rFonts w:asciiTheme="majorBidi" w:hAnsiTheme="majorBidi" w:cstheme="majorBidi"/>
        </w:rPr>
        <w:t xml:space="preserve"> </w:t>
      </w:r>
      <w:r w:rsidRPr="00A57B0E">
        <w:rPr>
          <w:rFonts w:asciiTheme="majorBidi" w:eastAsia="Arial" w:hAnsiTheme="majorBidi" w:cstheme="majorBidi"/>
        </w:rPr>
        <w:t xml:space="preserve">Real Estate Development and Investment Law No. 15 of 2008, available in English at: </w:t>
      </w:r>
      <w:hyperlink r:id="rId143">
        <w:r w:rsidRPr="00A57B0E">
          <w:rPr>
            <w:rFonts w:asciiTheme="majorBidi" w:eastAsia="Arial" w:hAnsiTheme="majorBidi" w:cstheme="majorBidi"/>
            <w:color w:val="0563C1"/>
            <w:u w:val="single"/>
          </w:rPr>
          <w:t>https://hlp.syria-report.com/hlp/real-estate-development-and-investment-law/</w:t>
        </w:r>
      </w:hyperlink>
    </w:p>
  </w:footnote>
  <w:footnote w:id="21">
    <w:p w14:paraId="000000B4" w14:textId="77777777" w:rsidR="009B2197" w:rsidRPr="00A57B0E" w:rsidRDefault="00000000" w:rsidP="00A57B0E">
      <w:pPr>
        <w:spacing w:line="240" w:lineRule="auto"/>
        <w:jc w:val="both"/>
        <w:rPr>
          <w:rFonts w:asciiTheme="majorBidi" w:eastAsia="Calibri" w:hAnsiTheme="majorBidi" w:cstheme="majorBidi"/>
          <w:sz w:val="20"/>
          <w:szCs w:val="20"/>
        </w:rPr>
      </w:pPr>
      <w:r w:rsidRPr="00A57B0E">
        <w:rPr>
          <w:rStyle w:val="FootnoteReference"/>
          <w:rFonts w:asciiTheme="majorBidi" w:hAnsiTheme="majorBidi" w:cstheme="majorBidi"/>
          <w:sz w:val="20"/>
          <w:szCs w:val="20"/>
        </w:rPr>
        <w:footnoteRef/>
      </w:r>
      <w:r w:rsidRPr="00A57B0E">
        <w:rPr>
          <w:rFonts w:asciiTheme="majorBidi" w:eastAsia="Calibri" w:hAnsiTheme="majorBidi" w:cstheme="majorBidi"/>
          <w:sz w:val="20"/>
          <w:szCs w:val="20"/>
        </w:rPr>
        <w:t xml:space="preserve"> The Day After, Reality of Housing, Land, and Property Rights in Syria (2020), p. 9, available at </w:t>
      </w:r>
      <w:hyperlink r:id="rId144">
        <w:r w:rsidRPr="00A57B0E">
          <w:rPr>
            <w:rFonts w:asciiTheme="majorBidi" w:eastAsia="Calibri" w:hAnsiTheme="majorBidi" w:cstheme="majorBidi"/>
            <w:color w:val="1155CC"/>
            <w:sz w:val="20"/>
            <w:szCs w:val="20"/>
            <w:u w:val="single"/>
          </w:rPr>
          <w:t>https://tda-sy.org/wp-content/uploads/2021/04/Syrian-Regime-Institutions-for-Real-Estate-Development-and-how-they-Operate-ENG-1.pdf</w:t>
        </w:r>
      </w:hyperlink>
      <w:r w:rsidRPr="00A57B0E">
        <w:rPr>
          <w:rFonts w:asciiTheme="majorBidi" w:eastAsia="Calibri" w:hAnsiTheme="majorBidi" w:cstheme="majorBidi"/>
          <w:sz w:val="20"/>
          <w:szCs w:val="20"/>
        </w:rPr>
        <w:t xml:space="preserve"> (accessed 6 July 2023)</w:t>
      </w:r>
    </w:p>
  </w:footnote>
  <w:footnote w:id="22">
    <w:p w14:paraId="25118EEA" w14:textId="513CC294" w:rsidR="004D5452" w:rsidRPr="00A57B0E" w:rsidRDefault="004D5452" w:rsidP="004D5452">
      <w:pPr>
        <w:spacing w:line="240" w:lineRule="auto"/>
        <w:jc w:val="both"/>
        <w:rPr>
          <w:rFonts w:asciiTheme="majorBidi" w:eastAsia="Arial" w:hAnsiTheme="majorBidi" w:cstheme="majorBidi"/>
          <w:sz w:val="20"/>
          <w:szCs w:val="20"/>
        </w:rPr>
      </w:pPr>
      <w:r w:rsidRPr="00A57B0E">
        <w:rPr>
          <w:rStyle w:val="FootnoteReference"/>
          <w:rFonts w:asciiTheme="majorBidi" w:hAnsiTheme="majorBidi" w:cstheme="majorBidi"/>
          <w:sz w:val="20"/>
          <w:szCs w:val="20"/>
        </w:rPr>
        <w:footnoteRef/>
      </w:r>
      <w:r w:rsidRPr="00A57B0E">
        <w:rPr>
          <w:rFonts w:asciiTheme="majorBidi" w:eastAsia="Arial" w:hAnsiTheme="majorBidi" w:cstheme="majorBidi"/>
          <w:sz w:val="20"/>
          <w:szCs w:val="20"/>
        </w:rPr>
        <w:t xml:space="preserve"> For a</w:t>
      </w:r>
      <w:r>
        <w:rPr>
          <w:rFonts w:asciiTheme="majorBidi" w:eastAsia="Arial" w:hAnsiTheme="majorBidi" w:cstheme="majorBidi"/>
          <w:sz w:val="20"/>
          <w:szCs w:val="20"/>
        </w:rPr>
        <w:t>n advanced</w:t>
      </w:r>
      <w:r w:rsidRPr="00A57B0E">
        <w:rPr>
          <w:rFonts w:asciiTheme="majorBidi" w:eastAsia="Arial" w:hAnsiTheme="majorBidi" w:cstheme="majorBidi"/>
          <w:sz w:val="20"/>
          <w:szCs w:val="20"/>
        </w:rPr>
        <w:t xml:space="preserve"> legal analysis of </w:t>
      </w:r>
      <w:r>
        <w:rPr>
          <w:rFonts w:asciiTheme="majorBidi" w:eastAsia="Arial" w:hAnsiTheme="majorBidi" w:cstheme="majorBidi"/>
          <w:sz w:val="20"/>
          <w:szCs w:val="20"/>
        </w:rPr>
        <w:t>L</w:t>
      </w:r>
      <w:r w:rsidRPr="00A57B0E">
        <w:rPr>
          <w:rFonts w:asciiTheme="majorBidi" w:eastAsia="Arial" w:hAnsiTheme="majorBidi" w:cstheme="majorBidi"/>
          <w:sz w:val="20"/>
          <w:szCs w:val="20"/>
        </w:rPr>
        <w:t>aw</w:t>
      </w:r>
      <w:r>
        <w:rPr>
          <w:rFonts w:asciiTheme="majorBidi" w:eastAsia="Arial" w:hAnsiTheme="majorBidi" w:cstheme="majorBidi"/>
          <w:sz w:val="20"/>
          <w:szCs w:val="20"/>
        </w:rPr>
        <w:t xml:space="preserve"> 2/2023</w:t>
      </w:r>
      <w:r w:rsidRPr="00A57B0E">
        <w:rPr>
          <w:rFonts w:asciiTheme="majorBidi" w:eastAsia="Arial" w:hAnsiTheme="majorBidi" w:cstheme="majorBidi"/>
          <w:sz w:val="20"/>
          <w:szCs w:val="20"/>
        </w:rPr>
        <w:t xml:space="preserve">, see The Day After, "Changes to Investment Law Unveil Potential Property Rights Violations", available at: </w:t>
      </w:r>
      <w:hyperlink r:id="rId145" w:history="1">
        <w:r w:rsidRPr="00A57B0E">
          <w:rPr>
            <w:rStyle w:val="Hyperlink"/>
            <w:rFonts w:asciiTheme="majorBidi" w:eastAsia="Arial" w:hAnsiTheme="majorBidi" w:cstheme="majorBidi"/>
            <w:sz w:val="20"/>
            <w:szCs w:val="20"/>
          </w:rPr>
          <w:t>https://tda-sy.org/wp-content/uploads/Changes-to-Investment-Law-EN-1.pdf</w:t>
        </w:r>
      </w:hyperlink>
      <w:r w:rsidRPr="00A57B0E">
        <w:rPr>
          <w:rFonts w:asciiTheme="majorBidi" w:eastAsia="Arial" w:hAnsiTheme="majorBidi" w:cstheme="majorBidi"/>
          <w:sz w:val="20"/>
          <w:szCs w:val="20"/>
        </w:rPr>
        <w:t xml:space="preserve"> (Accessed 31 May 2024)</w:t>
      </w:r>
    </w:p>
  </w:footnote>
  <w:footnote w:id="23">
    <w:p w14:paraId="000000BB" w14:textId="77777777" w:rsidR="009B2197" w:rsidRPr="00A57B0E" w:rsidRDefault="00000000" w:rsidP="00A57B0E">
      <w:pPr>
        <w:spacing w:line="240" w:lineRule="auto"/>
        <w:jc w:val="both"/>
        <w:rPr>
          <w:rFonts w:asciiTheme="majorBidi" w:hAnsiTheme="majorBidi" w:cstheme="majorBidi"/>
          <w:sz w:val="20"/>
          <w:szCs w:val="20"/>
        </w:rPr>
      </w:pPr>
      <w:r w:rsidRPr="00A57B0E">
        <w:rPr>
          <w:rStyle w:val="FootnoteReference"/>
          <w:rFonts w:asciiTheme="majorBidi" w:hAnsiTheme="majorBidi" w:cstheme="majorBidi"/>
          <w:sz w:val="20"/>
          <w:szCs w:val="20"/>
        </w:rPr>
        <w:footnoteRef/>
      </w:r>
      <w:r w:rsidRPr="00A57B0E">
        <w:rPr>
          <w:rFonts w:asciiTheme="majorBidi" w:hAnsiTheme="majorBidi" w:cstheme="majorBidi"/>
          <w:sz w:val="20"/>
          <w:szCs w:val="20"/>
        </w:rPr>
        <w:t xml:space="preserve"> Law 23 of 2015 on Planning and Urban Development، available in Arabic at: </w:t>
      </w:r>
      <w:hyperlink r:id="rId146">
        <w:r w:rsidRPr="00A57B0E">
          <w:rPr>
            <w:rFonts w:asciiTheme="majorBidi" w:hAnsiTheme="majorBidi" w:cstheme="majorBidi"/>
            <w:b/>
            <w:color w:val="1155CC"/>
            <w:sz w:val="20"/>
            <w:szCs w:val="20"/>
            <w:u w:val="single"/>
          </w:rPr>
          <w:t>https://pministry.gov.sy/contents/12504/%D8%A7%D9%84%D9%82%D8%A7%D9%86%D9%88%D9%86-%D8%B1%D9%82%D9%85-/23/-%D9%84%D8%B9%D8%A7%D9%85-2015-%D8%A7%D9%84%D8%AE%D8%A7%D8%B5-%D8%A8%D8%AA%D9%86%D9%81%D9%8A%D8%B0-%D8%A7%D9%84%D8%AA%D8%AE%D8%B7%D9%8A%D8%B7-%D9%88%D8%B9%D9%85%D8%B1%D8%A7%D9%86-%D8%A7%D9%84%D9%85%D8%AF%D9%86</w:t>
        </w:r>
      </w:hyperlink>
    </w:p>
  </w:footnote>
  <w:footnote w:id="24">
    <w:p w14:paraId="000000B5" w14:textId="77777777" w:rsidR="009B2197" w:rsidRPr="00A57B0E" w:rsidRDefault="00000000" w:rsidP="00A57B0E">
      <w:pPr>
        <w:spacing w:line="240" w:lineRule="auto"/>
        <w:jc w:val="both"/>
        <w:rPr>
          <w:rFonts w:asciiTheme="majorBidi" w:eastAsia="Arial" w:hAnsiTheme="majorBidi" w:cstheme="majorBidi"/>
          <w:sz w:val="20"/>
          <w:szCs w:val="20"/>
        </w:rPr>
      </w:pPr>
      <w:r w:rsidRPr="00A57B0E">
        <w:rPr>
          <w:rStyle w:val="FootnoteReference"/>
          <w:rFonts w:asciiTheme="majorBidi" w:hAnsiTheme="majorBidi" w:cstheme="majorBidi"/>
          <w:sz w:val="20"/>
          <w:szCs w:val="20"/>
        </w:rPr>
        <w:footnoteRef/>
      </w:r>
      <w:r w:rsidRPr="00A57B0E">
        <w:rPr>
          <w:rFonts w:asciiTheme="majorBidi" w:eastAsia="Arial" w:hAnsiTheme="majorBidi" w:cstheme="majorBidi"/>
          <w:sz w:val="20"/>
          <w:szCs w:val="20"/>
        </w:rPr>
        <w:t xml:space="preserve"> Article 15(2) of the Syrian Constitution states that “Private ownership shall not be removed except in the public interest by a decree and against fair compensation according to the law”; English version of the Syrian Constitution available at </w:t>
      </w:r>
      <w:hyperlink r:id="rId147">
        <w:r w:rsidRPr="00A57B0E">
          <w:rPr>
            <w:rFonts w:asciiTheme="majorBidi" w:eastAsia="Arial" w:hAnsiTheme="majorBidi" w:cstheme="majorBidi"/>
            <w:color w:val="0563C1"/>
            <w:sz w:val="20"/>
            <w:szCs w:val="20"/>
            <w:u w:val="single"/>
          </w:rPr>
          <w:t>https://www.ilo.org/dyn/natlex/docs/ELECTRONIC/91436/106031/F-931434246/constitution2.pdf</w:t>
        </w:r>
      </w:hyperlink>
      <w:r w:rsidRPr="00A57B0E">
        <w:rPr>
          <w:rFonts w:asciiTheme="majorBidi" w:eastAsia="Arial" w:hAnsiTheme="majorBidi" w:cstheme="majorBidi"/>
          <w:sz w:val="20"/>
          <w:szCs w:val="20"/>
        </w:rPr>
        <w:t xml:space="preserve"> </w:t>
      </w:r>
    </w:p>
  </w:footnote>
  <w:footnote w:id="25">
    <w:p w14:paraId="000000BC" w14:textId="77777777" w:rsidR="009B2197" w:rsidRPr="00A57B0E" w:rsidRDefault="00000000" w:rsidP="00A57B0E">
      <w:pPr>
        <w:spacing w:line="240" w:lineRule="auto"/>
        <w:jc w:val="both"/>
        <w:rPr>
          <w:rFonts w:asciiTheme="majorBidi" w:eastAsia="Calibri" w:hAnsiTheme="majorBidi" w:cstheme="majorBidi"/>
          <w:sz w:val="20"/>
          <w:szCs w:val="20"/>
        </w:rPr>
      </w:pPr>
      <w:r w:rsidRPr="00A57B0E">
        <w:rPr>
          <w:rStyle w:val="FootnoteReference"/>
          <w:rFonts w:asciiTheme="majorBidi" w:hAnsiTheme="majorBidi" w:cstheme="majorBidi"/>
          <w:sz w:val="20"/>
          <w:szCs w:val="20"/>
        </w:rPr>
        <w:footnoteRef/>
      </w:r>
      <w:r w:rsidRPr="00A57B0E">
        <w:rPr>
          <w:rFonts w:asciiTheme="majorBidi" w:eastAsia="Calibri" w:hAnsiTheme="majorBidi" w:cstheme="majorBidi"/>
          <w:sz w:val="20"/>
          <w:szCs w:val="20"/>
        </w:rPr>
        <w:t xml:space="preserve"> Law No.3 of 2018, English Version available at: </w:t>
      </w:r>
      <w:hyperlink r:id="rId148">
        <w:r w:rsidRPr="00A57B0E">
          <w:rPr>
            <w:rFonts w:asciiTheme="majorBidi" w:eastAsia="Calibri" w:hAnsiTheme="majorBidi" w:cstheme="majorBidi"/>
            <w:color w:val="1155CC"/>
            <w:sz w:val="20"/>
            <w:szCs w:val="20"/>
            <w:u w:val="single"/>
          </w:rPr>
          <w:t>https://hlp.syria-report.com/hlp/removal-of-rubble-of-damaged-buildings/</w:t>
        </w:r>
      </w:hyperlink>
      <w:r w:rsidRPr="00A57B0E">
        <w:rPr>
          <w:rFonts w:asciiTheme="majorBidi" w:eastAsia="Calibri" w:hAnsiTheme="majorBidi" w:cstheme="majorBidi"/>
          <w:sz w:val="20"/>
          <w:szCs w:val="20"/>
        </w:rPr>
        <w:t xml:space="preserve"> </w:t>
      </w:r>
    </w:p>
  </w:footnote>
  <w:footnote w:id="26">
    <w:p w14:paraId="000000B6" w14:textId="77777777" w:rsidR="009B2197" w:rsidRPr="00A57B0E" w:rsidRDefault="00000000" w:rsidP="00A57B0E">
      <w:pPr>
        <w:spacing w:line="240" w:lineRule="auto"/>
        <w:jc w:val="both"/>
        <w:rPr>
          <w:rFonts w:asciiTheme="majorBidi" w:eastAsia="Calibri" w:hAnsiTheme="majorBidi" w:cstheme="majorBidi"/>
          <w:sz w:val="20"/>
          <w:szCs w:val="20"/>
        </w:rPr>
      </w:pPr>
      <w:r w:rsidRPr="00A57B0E">
        <w:rPr>
          <w:rStyle w:val="FootnoteReference"/>
          <w:rFonts w:asciiTheme="majorBidi" w:hAnsiTheme="majorBidi" w:cstheme="majorBidi"/>
          <w:sz w:val="20"/>
          <w:szCs w:val="20"/>
        </w:rPr>
        <w:footnoteRef/>
      </w:r>
      <w:r w:rsidRPr="00A57B0E">
        <w:rPr>
          <w:rFonts w:asciiTheme="majorBidi" w:eastAsia="Calibri" w:hAnsiTheme="majorBidi" w:cstheme="majorBidi"/>
          <w:sz w:val="20"/>
          <w:szCs w:val="20"/>
        </w:rPr>
        <w:t xml:space="preserve">Law No.10 of 2018, Available in English at </w:t>
      </w:r>
      <w:hyperlink r:id="rId149">
        <w:r w:rsidRPr="00A57B0E">
          <w:rPr>
            <w:rFonts w:asciiTheme="majorBidi" w:eastAsia="Calibri" w:hAnsiTheme="majorBidi" w:cstheme="majorBidi"/>
            <w:color w:val="1155CC"/>
            <w:sz w:val="20"/>
            <w:szCs w:val="20"/>
            <w:u w:val="single"/>
          </w:rPr>
          <w:t>https://hlp.syria-report.com/hlp/law-no-10-of-2018-establishing-development-zones-within-administrative-units/</w:t>
        </w:r>
      </w:hyperlink>
      <w:r w:rsidRPr="00A57B0E">
        <w:rPr>
          <w:rFonts w:asciiTheme="majorBidi" w:eastAsia="Calibri" w:hAnsiTheme="majorBidi" w:cstheme="majorBidi"/>
          <w:sz w:val="20"/>
          <w:szCs w:val="20"/>
        </w:rPr>
        <w:t xml:space="preserve"> </w:t>
      </w:r>
    </w:p>
  </w:footnote>
  <w:footnote w:id="27">
    <w:p w14:paraId="000000B7" w14:textId="77777777" w:rsidR="009B2197" w:rsidRPr="00A57B0E" w:rsidRDefault="00000000" w:rsidP="00A57B0E">
      <w:pPr>
        <w:spacing w:line="240" w:lineRule="auto"/>
        <w:jc w:val="both"/>
        <w:rPr>
          <w:rFonts w:asciiTheme="majorBidi" w:eastAsia="Calibri" w:hAnsiTheme="majorBidi" w:cstheme="majorBidi"/>
          <w:sz w:val="20"/>
          <w:szCs w:val="20"/>
        </w:rPr>
      </w:pPr>
      <w:r w:rsidRPr="00A57B0E">
        <w:rPr>
          <w:rStyle w:val="FootnoteReference"/>
          <w:rFonts w:asciiTheme="majorBidi" w:hAnsiTheme="majorBidi" w:cstheme="majorBidi"/>
          <w:sz w:val="20"/>
          <w:szCs w:val="20"/>
        </w:rPr>
        <w:footnoteRef/>
      </w:r>
      <w:r w:rsidRPr="00A57B0E">
        <w:rPr>
          <w:rFonts w:asciiTheme="majorBidi" w:eastAsia="Calibri" w:hAnsiTheme="majorBidi" w:cstheme="majorBidi"/>
          <w:sz w:val="20"/>
          <w:szCs w:val="20"/>
        </w:rPr>
        <w:t xml:space="preserve"> Decree 66 of 2012, available in English at </w:t>
      </w:r>
      <w:hyperlink r:id="rId150">
        <w:r w:rsidRPr="00A57B0E">
          <w:rPr>
            <w:rFonts w:asciiTheme="majorBidi" w:eastAsia="Calibri" w:hAnsiTheme="majorBidi" w:cstheme="majorBidi"/>
            <w:color w:val="1155CC"/>
            <w:sz w:val="20"/>
            <w:szCs w:val="20"/>
            <w:u w:val="single"/>
          </w:rPr>
          <w:t>https://hlp.syria-report.com/hlp/decree-no-66-of-2012-on-the-establishment-of-two-development-zones-in-damascus/</w:t>
        </w:r>
      </w:hyperlink>
      <w:r w:rsidRPr="00A57B0E">
        <w:rPr>
          <w:rFonts w:asciiTheme="majorBidi" w:eastAsia="Calibri" w:hAnsiTheme="majorBidi" w:cstheme="majorBidi"/>
          <w:sz w:val="20"/>
          <w:szCs w:val="20"/>
        </w:rPr>
        <w:t xml:space="preserve"> </w:t>
      </w:r>
    </w:p>
  </w:footnote>
  <w:footnote w:id="28">
    <w:p w14:paraId="000000B8" w14:textId="77777777" w:rsidR="009B2197" w:rsidRPr="00A57B0E" w:rsidRDefault="00000000" w:rsidP="00A57B0E">
      <w:pPr>
        <w:spacing w:line="240" w:lineRule="auto"/>
        <w:jc w:val="both"/>
        <w:rPr>
          <w:rFonts w:asciiTheme="majorBidi" w:eastAsia="Calibri" w:hAnsiTheme="majorBidi" w:cstheme="majorBidi"/>
          <w:sz w:val="20"/>
          <w:szCs w:val="20"/>
        </w:rPr>
      </w:pPr>
      <w:r w:rsidRPr="00A57B0E">
        <w:rPr>
          <w:rStyle w:val="FootnoteReference"/>
          <w:rFonts w:asciiTheme="majorBidi" w:hAnsiTheme="majorBidi" w:cstheme="majorBidi"/>
          <w:sz w:val="20"/>
          <w:szCs w:val="20"/>
        </w:rPr>
        <w:footnoteRef/>
      </w:r>
      <w:r w:rsidRPr="00A57B0E">
        <w:rPr>
          <w:rFonts w:asciiTheme="majorBidi" w:eastAsia="Calibri" w:hAnsiTheme="majorBidi" w:cstheme="majorBidi"/>
          <w:sz w:val="20"/>
          <w:szCs w:val="20"/>
        </w:rPr>
        <w:t xml:space="preserve"> Human Rights Watch, Q&amp;A: Syria’s New Property Law, (2019), available at </w:t>
      </w:r>
      <w:hyperlink r:id="rId151" w:anchor="_What_barriers_would">
        <w:r w:rsidRPr="00A57B0E">
          <w:rPr>
            <w:rFonts w:asciiTheme="majorBidi" w:eastAsia="Calibri" w:hAnsiTheme="majorBidi" w:cstheme="majorBidi"/>
            <w:color w:val="1155CC"/>
            <w:sz w:val="20"/>
            <w:szCs w:val="20"/>
            <w:u w:val="single"/>
          </w:rPr>
          <w:t>https://www.hrw.org/news/2018/05/29/qa-syrias-new-property-law#_What_barriers_would</w:t>
        </w:r>
      </w:hyperlink>
      <w:r w:rsidRPr="00A57B0E">
        <w:rPr>
          <w:rFonts w:asciiTheme="majorBidi" w:eastAsia="Calibri" w:hAnsiTheme="majorBidi" w:cstheme="majorBidi"/>
          <w:sz w:val="20"/>
          <w:szCs w:val="20"/>
        </w:rPr>
        <w:t xml:space="preserve"> (Accessed on 4 July 2023) </w:t>
      </w:r>
    </w:p>
    <w:p w14:paraId="000000B9" w14:textId="77777777" w:rsidR="009B2197" w:rsidRPr="00A57B0E" w:rsidRDefault="009B2197" w:rsidP="00A57B0E">
      <w:pPr>
        <w:spacing w:line="240" w:lineRule="auto"/>
        <w:jc w:val="both"/>
        <w:rPr>
          <w:rFonts w:asciiTheme="majorBidi" w:eastAsia="Calibri" w:hAnsiTheme="majorBidi" w:cstheme="majorBidi"/>
          <w:sz w:val="20"/>
          <w:szCs w:val="20"/>
        </w:rPr>
      </w:pPr>
    </w:p>
    <w:p w14:paraId="000000BA" w14:textId="77777777" w:rsidR="009B2197" w:rsidRPr="00A57B0E" w:rsidRDefault="009B2197" w:rsidP="00A57B0E">
      <w:pPr>
        <w:spacing w:line="240" w:lineRule="auto"/>
        <w:jc w:val="both"/>
        <w:rPr>
          <w:rFonts w:asciiTheme="majorBidi" w:eastAsia="Calibri" w:hAnsiTheme="majorBidi" w:cstheme="majorBidi"/>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B4261A"/>
    <w:multiLevelType w:val="multilevel"/>
    <w:tmpl w:val="FC24B8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96F4438"/>
    <w:multiLevelType w:val="multilevel"/>
    <w:tmpl w:val="DB5032C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48314223"/>
    <w:multiLevelType w:val="multilevel"/>
    <w:tmpl w:val="DDB039EA"/>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F58257C"/>
    <w:multiLevelType w:val="multilevel"/>
    <w:tmpl w:val="63C01962"/>
    <w:lvl w:ilvl="0">
      <w:start w:val="1"/>
      <w:numFmt w:val="decimal"/>
      <w:pStyle w:val="Heading5"/>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5D926364"/>
    <w:multiLevelType w:val="multilevel"/>
    <w:tmpl w:val="8F867FC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1AF2F33"/>
    <w:multiLevelType w:val="multilevel"/>
    <w:tmpl w:val="C4544F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AAF55FB"/>
    <w:multiLevelType w:val="multilevel"/>
    <w:tmpl w:val="A4DAA8F6"/>
    <w:lvl w:ilvl="0">
      <w:start w:val="1"/>
      <w:numFmt w:val="decimal"/>
      <w:lvlText w:val="%1."/>
      <w:lvlJc w:val="right"/>
      <w:pPr>
        <w:ind w:left="1440" w:hanging="360"/>
      </w:pPr>
      <w:rPr>
        <w:b w:val="0"/>
        <w:u w:val="none"/>
      </w:rPr>
    </w:lvl>
    <w:lvl w:ilvl="1">
      <w:start w:val="1"/>
      <w:numFmt w:val="decimal"/>
      <w:lvlText w:val="%1.%2."/>
      <w:lvlJc w:val="right"/>
      <w:pPr>
        <w:ind w:left="2160" w:hanging="360"/>
      </w:pPr>
      <w:rPr>
        <w:u w:val="none"/>
      </w:rPr>
    </w:lvl>
    <w:lvl w:ilvl="2">
      <w:start w:val="1"/>
      <w:numFmt w:val="decimal"/>
      <w:lvlText w:val="%1.%2.%3."/>
      <w:lvlJc w:val="right"/>
      <w:pPr>
        <w:ind w:left="2880" w:hanging="360"/>
      </w:pPr>
      <w:rPr>
        <w:u w:val="none"/>
      </w:rPr>
    </w:lvl>
    <w:lvl w:ilvl="3">
      <w:start w:val="1"/>
      <w:numFmt w:val="decimal"/>
      <w:lvlText w:val="%1.%2.%3.%4."/>
      <w:lvlJc w:val="right"/>
      <w:pPr>
        <w:ind w:left="3600" w:hanging="360"/>
      </w:pPr>
      <w:rPr>
        <w:u w:val="none"/>
      </w:rPr>
    </w:lvl>
    <w:lvl w:ilvl="4">
      <w:start w:val="1"/>
      <w:numFmt w:val="decimal"/>
      <w:lvlText w:val="%1.%2.%3.%4.%5."/>
      <w:lvlJc w:val="right"/>
      <w:pPr>
        <w:ind w:left="4320" w:hanging="360"/>
      </w:pPr>
      <w:rPr>
        <w:u w:val="none"/>
      </w:rPr>
    </w:lvl>
    <w:lvl w:ilvl="5">
      <w:start w:val="1"/>
      <w:numFmt w:val="decimal"/>
      <w:lvlText w:val="%1.%2.%3.%4.%5.%6."/>
      <w:lvlJc w:val="right"/>
      <w:pPr>
        <w:ind w:left="5040" w:hanging="360"/>
      </w:pPr>
      <w:rPr>
        <w:u w:val="none"/>
      </w:rPr>
    </w:lvl>
    <w:lvl w:ilvl="6">
      <w:start w:val="1"/>
      <w:numFmt w:val="decimal"/>
      <w:lvlText w:val="%1.%2.%3.%4.%5.%6.%7."/>
      <w:lvlJc w:val="right"/>
      <w:pPr>
        <w:ind w:left="5760" w:hanging="360"/>
      </w:pPr>
      <w:rPr>
        <w:u w:val="none"/>
      </w:rPr>
    </w:lvl>
    <w:lvl w:ilvl="7">
      <w:start w:val="1"/>
      <w:numFmt w:val="decimal"/>
      <w:lvlText w:val="%1.%2.%3.%4.%5.%6.%7.%8."/>
      <w:lvlJc w:val="right"/>
      <w:pPr>
        <w:ind w:left="6480" w:hanging="360"/>
      </w:pPr>
      <w:rPr>
        <w:u w:val="none"/>
      </w:rPr>
    </w:lvl>
    <w:lvl w:ilvl="8">
      <w:start w:val="1"/>
      <w:numFmt w:val="decimal"/>
      <w:lvlText w:val="%1.%2.%3.%4.%5.%6.%7.%8.%9."/>
      <w:lvlJc w:val="right"/>
      <w:pPr>
        <w:ind w:left="7200" w:hanging="360"/>
      </w:pPr>
      <w:rPr>
        <w:u w:val="none"/>
      </w:rPr>
    </w:lvl>
  </w:abstractNum>
  <w:num w:numId="1" w16cid:durableId="850802217">
    <w:abstractNumId w:val="1"/>
  </w:num>
  <w:num w:numId="2" w16cid:durableId="1711108747">
    <w:abstractNumId w:val="2"/>
  </w:num>
  <w:num w:numId="3" w16cid:durableId="1058553946">
    <w:abstractNumId w:val="4"/>
  </w:num>
  <w:num w:numId="4" w16cid:durableId="775907499">
    <w:abstractNumId w:val="5"/>
  </w:num>
  <w:num w:numId="5" w16cid:durableId="935867031">
    <w:abstractNumId w:val="0"/>
  </w:num>
  <w:num w:numId="6" w16cid:durableId="1336572153">
    <w:abstractNumId w:val="6"/>
  </w:num>
  <w:num w:numId="7" w16cid:durableId="660936756">
    <w:abstractNumId w:val="3"/>
  </w:num>
  <w:num w:numId="8" w16cid:durableId="10428286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837976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933883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197"/>
    <w:rsid w:val="0001535E"/>
    <w:rsid w:val="00075E68"/>
    <w:rsid w:val="004D5452"/>
    <w:rsid w:val="00734483"/>
    <w:rsid w:val="008E56F4"/>
    <w:rsid w:val="00962939"/>
    <w:rsid w:val="00980A67"/>
    <w:rsid w:val="009B2197"/>
    <w:rsid w:val="00A02C74"/>
    <w:rsid w:val="00A57B0E"/>
    <w:rsid w:val="00AB13AA"/>
    <w:rsid w:val="00AD0D7A"/>
    <w:rsid w:val="00C16362"/>
    <w:rsid w:val="00CB37FB"/>
    <w:rsid w:val="00D17F6B"/>
    <w:rsid w:val="00E93904"/>
    <w:rsid w:val="00EF7FB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20020668"/>
  <w15:docId w15:val="{37348230-9EB5-7E45-8B3B-3D6F4EEBF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2D4"/>
  </w:style>
  <w:style w:type="paragraph" w:styleId="Heading1">
    <w:name w:val="heading 1"/>
    <w:basedOn w:val="Normal"/>
    <w:next w:val="Normal"/>
    <w:link w:val="Heading1Char"/>
    <w:uiPriority w:val="9"/>
    <w:qFormat/>
    <w:rsid w:val="00CB7A8A"/>
    <w:pPr>
      <w:widowControl w:val="0"/>
      <w:shd w:val="clear" w:color="auto" w:fill="FFFFFF"/>
      <w:ind w:left="1276"/>
      <w:jc w:val="both"/>
      <w:outlineLvl w:val="0"/>
    </w:pPr>
    <w:rPr>
      <w:rFonts w:eastAsia="Calibri" w:cstheme="majorBidi"/>
      <w:bCs/>
      <w:color w:val="000000"/>
      <w:lang w:bidi="ar-IQ"/>
    </w:rPr>
  </w:style>
  <w:style w:type="paragraph" w:styleId="Heading2">
    <w:name w:val="heading 2"/>
    <w:aliases w:val="2. Überschrift"/>
    <w:basedOn w:val="Normal"/>
    <w:next w:val="Normal"/>
    <w:link w:val="Heading2Char"/>
    <w:uiPriority w:val="9"/>
    <w:semiHidden/>
    <w:unhideWhenUsed/>
    <w:qFormat/>
    <w:rsid w:val="00C102D4"/>
    <w:pPr>
      <w:keepNext/>
      <w:keepLines/>
      <w:numPr>
        <w:ilvl w:val="1"/>
        <w:numId w:val="7"/>
      </w:numPr>
      <w:spacing w:before="40"/>
      <w:outlineLvl w:val="1"/>
    </w:pPr>
    <w:rPr>
      <w:rFonts w:eastAsiaTheme="majorEastAsia" w:cstheme="majorBidi"/>
      <w:color w:val="000000" w:themeColor="text1"/>
      <w:szCs w:val="26"/>
      <w:lang w:val="sv-SE"/>
    </w:rPr>
  </w:style>
  <w:style w:type="paragraph" w:styleId="Heading3">
    <w:name w:val="heading 3"/>
    <w:basedOn w:val="Normal"/>
    <w:next w:val="Normal"/>
    <w:link w:val="Heading3Char"/>
    <w:uiPriority w:val="9"/>
    <w:semiHidden/>
    <w:unhideWhenUsed/>
    <w:qFormat/>
    <w:rsid w:val="00B61E74"/>
    <w:pPr>
      <w:keepNext/>
      <w:keepLines/>
      <w:numPr>
        <w:ilvl w:val="2"/>
        <w:numId w:val="7"/>
      </w:numPr>
      <w:spacing w:before="40"/>
      <w:outlineLvl w:val="2"/>
    </w:pPr>
    <w:rPr>
      <w:rFonts w:asciiTheme="majorHAnsi" w:eastAsiaTheme="majorEastAsia" w:hAnsiTheme="majorHAnsi" w:cstheme="majorBidi"/>
      <w:b/>
      <w:color w:val="000000" w:themeColor="text1"/>
      <w:u w:val="single"/>
    </w:rPr>
  </w:style>
  <w:style w:type="paragraph" w:styleId="Heading4">
    <w:name w:val="heading 4"/>
    <w:basedOn w:val="Normal"/>
    <w:next w:val="Normal"/>
    <w:link w:val="Heading4Char"/>
    <w:uiPriority w:val="9"/>
    <w:semiHidden/>
    <w:unhideWhenUsed/>
    <w:qFormat/>
    <w:rsid w:val="00B61E74"/>
    <w:pPr>
      <w:keepNext/>
      <w:keepLines/>
      <w:numPr>
        <w:ilvl w:val="3"/>
        <w:numId w:val="7"/>
      </w:numPr>
      <w:spacing w:before="40"/>
      <w:outlineLvl w:val="3"/>
    </w:pPr>
    <w:rPr>
      <w:rFonts w:eastAsiaTheme="majorEastAsia" w:cstheme="majorBidi"/>
      <w:b/>
      <w:iCs/>
      <w:color w:val="000000" w:themeColor="text1"/>
    </w:rPr>
  </w:style>
  <w:style w:type="paragraph" w:styleId="Heading5">
    <w:name w:val="heading 5"/>
    <w:basedOn w:val="ListParagraph"/>
    <w:next w:val="Normal"/>
    <w:link w:val="Heading5Char"/>
    <w:uiPriority w:val="9"/>
    <w:semiHidden/>
    <w:unhideWhenUsed/>
    <w:qFormat/>
    <w:rsid w:val="00CB7A8A"/>
    <w:pPr>
      <w:numPr>
        <w:numId w:val="8"/>
      </w:numPr>
      <w:shd w:val="clear" w:color="auto" w:fill="FFFFFF" w:themeFill="background1"/>
      <w:autoSpaceDE w:val="0"/>
      <w:autoSpaceDN w:val="0"/>
      <w:adjustRightInd w:val="0"/>
      <w:ind w:hanging="180"/>
      <w:outlineLvl w:val="4"/>
    </w:pPr>
    <w:rPr>
      <w:rFonts w:cstheme="majorBidi"/>
      <w:b/>
      <w:lang w:val="fr-CH" w:bidi="ar-SY"/>
    </w:rPr>
  </w:style>
  <w:style w:type="paragraph" w:styleId="Heading6">
    <w:name w:val="heading 6"/>
    <w:basedOn w:val="Normal"/>
    <w:next w:val="Normal"/>
    <w:link w:val="Heading6Char"/>
    <w:uiPriority w:val="9"/>
    <w:semiHidden/>
    <w:unhideWhenUsed/>
    <w:qFormat/>
    <w:rsid w:val="00C102D4"/>
    <w:pPr>
      <w:keepNext/>
      <w:keepLines/>
      <w:numPr>
        <w:ilvl w:val="5"/>
        <w:numId w:val="7"/>
      </w:numPr>
      <w:spacing w:before="40" w:line="240" w:lineRule="auto"/>
      <w:outlineLvl w:val="5"/>
    </w:pPr>
    <w:rPr>
      <w:rFonts w:asciiTheme="majorHAnsi" w:eastAsiaTheme="majorEastAsia" w:hAnsiTheme="majorHAnsi" w:cstheme="majorBidi"/>
      <w:color w:val="000000" w:themeColor="text1"/>
    </w:rPr>
  </w:style>
  <w:style w:type="paragraph" w:styleId="Heading7">
    <w:name w:val="heading 7"/>
    <w:basedOn w:val="Normal"/>
    <w:next w:val="Normal"/>
    <w:link w:val="Heading7Char"/>
    <w:uiPriority w:val="9"/>
    <w:semiHidden/>
    <w:unhideWhenUsed/>
    <w:qFormat/>
    <w:rsid w:val="00ED5E1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D5E1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D5E1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D5E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B7A8A"/>
    <w:rPr>
      <w:rFonts w:asciiTheme="majorBidi" w:eastAsia="Calibri" w:hAnsiTheme="majorBidi" w:cstheme="majorBidi"/>
      <w:b/>
      <w:bCs/>
      <w:color w:val="000000"/>
      <w:sz w:val="28"/>
      <w:szCs w:val="28"/>
      <w:shd w:val="clear" w:color="auto" w:fill="FFFFFF"/>
      <w:lang w:val="en-CA" w:eastAsia="en-GB" w:bidi="ar-IQ"/>
    </w:rPr>
  </w:style>
  <w:style w:type="character" w:customStyle="1" w:styleId="Heading2Char">
    <w:name w:val="Heading 2 Char"/>
    <w:aliases w:val="2. Überschrift Char"/>
    <w:basedOn w:val="DefaultParagraphFont"/>
    <w:link w:val="Heading2"/>
    <w:uiPriority w:val="1"/>
    <w:rsid w:val="00C102D4"/>
    <w:rPr>
      <w:rFonts w:asciiTheme="majorBidi" w:eastAsiaTheme="majorEastAsia" w:hAnsiTheme="majorBidi" w:cstheme="majorBidi"/>
      <w:b/>
      <w:color w:val="000000" w:themeColor="text1"/>
      <w:szCs w:val="26"/>
      <w:lang w:val="sv-SE"/>
    </w:rPr>
  </w:style>
  <w:style w:type="character" w:customStyle="1" w:styleId="Heading3Char">
    <w:name w:val="Heading 3 Char"/>
    <w:basedOn w:val="DefaultParagraphFont"/>
    <w:link w:val="Heading3"/>
    <w:uiPriority w:val="9"/>
    <w:rsid w:val="00B61E74"/>
    <w:rPr>
      <w:rFonts w:asciiTheme="majorHAnsi" w:eastAsiaTheme="majorEastAsia" w:hAnsiTheme="majorHAnsi" w:cstheme="majorBidi"/>
      <w:color w:val="000000" w:themeColor="text1"/>
      <w:u w:val="single"/>
      <w:lang w:val="en-CA" w:bidi="ar-IQ"/>
    </w:rPr>
  </w:style>
  <w:style w:type="paragraph" w:styleId="Subtitle">
    <w:name w:val="Subtitle"/>
    <w:basedOn w:val="Normal"/>
    <w:next w:val="Normal"/>
    <w:link w:val="SubtitleChar"/>
    <w:uiPriority w:val="11"/>
    <w:qFormat/>
    <w:pPr>
      <w:spacing w:after="160"/>
      <w:ind w:left="720" w:hanging="360"/>
    </w:pPr>
    <w:rPr>
      <w:b/>
      <w:color w:val="000000"/>
    </w:rPr>
  </w:style>
  <w:style w:type="character" w:customStyle="1" w:styleId="SubtitleChar">
    <w:name w:val="Subtitle Char"/>
    <w:basedOn w:val="DefaultParagraphFont"/>
    <w:link w:val="Subtitle"/>
    <w:uiPriority w:val="11"/>
    <w:rsid w:val="00B61E74"/>
    <w:rPr>
      <w:rFonts w:asciiTheme="majorBidi" w:eastAsiaTheme="minorEastAsia" w:hAnsiTheme="majorBidi"/>
      <w:color w:val="000000" w:themeColor="text1"/>
      <w:spacing w:val="15"/>
      <w:szCs w:val="22"/>
      <w:lang w:val="en-CA" w:bidi="ar-IQ"/>
    </w:rPr>
  </w:style>
  <w:style w:type="character" w:customStyle="1" w:styleId="Heading4Char">
    <w:name w:val="Heading 4 Char"/>
    <w:basedOn w:val="DefaultParagraphFont"/>
    <w:link w:val="Heading4"/>
    <w:uiPriority w:val="9"/>
    <w:rsid w:val="00B61E74"/>
    <w:rPr>
      <w:rFonts w:asciiTheme="majorBidi" w:eastAsiaTheme="majorEastAsia" w:hAnsiTheme="majorBidi" w:cstheme="majorBidi"/>
      <w:iCs/>
      <w:color w:val="000000" w:themeColor="text1"/>
      <w:szCs w:val="28"/>
      <w:lang w:val="en-CA"/>
    </w:rPr>
  </w:style>
  <w:style w:type="character" w:customStyle="1" w:styleId="Heading5Char">
    <w:name w:val="Heading 5 Char"/>
    <w:basedOn w:val="DefaultParagraphFont"/>
    <w:link w:val="Heading5"/>
    <w:uiPriority w:val="9"/>
    <w:rsid w:val="00CB7A8A"/>
    <w:rPr>
      <w:rFonts w:asciiTheme="majorBidi" w:eastAsia="Times New Roman" w:hAnsiTheme="majorBidi" w:cstheme="majorBidi"/>
      <w:shd w:val="clear" w:color="auto" w:fill="FFFFFF" w:themeFill="background1"/>
      <w:lang w:val="fr-CH" w:bidi="ar-SY"/>
    </w:rPr>
  </w:style>
  <w:style w:type="paragraph" w:styleId="NoSpacing">
    <w:name w:val="No Spacing"/>
    <w:autoRedefine/>
    <w:uiPriority w:val="1"/>
    <w:qFormat/>
    <w:rsid w:val="00E9036B"/>
    <w:pPr>
      <w:tabs>
        <w:tab w:val="num" w:pos="720"/>
      </w:tabs>
      <w:bidi/>
      <w:ind w:left="720" w:hanging="720"/>
      <w:jc w:val="both"/>
    </w:pPr>
    <w:rPr>
      <w:rFonts w:cstheme="majorBidi"/>
      <w:b/>
      <w:szCs w:val="28"/>
      <w:lang w:val="en-CA" w:bidi="ar-IQ"/>
    </w:rPr>
  </w:style>
  <w:style w:type="character" w:customStyle="1" w:styleId="Heading6Char">
    <w:name w:val="Heading 6 Char"/>
    <w:basedOn w:val="DefaultParagraphFont"/>
    <w:link w:val="Heading6"/>
    <w:uiPriority w:val="9"/>
    <w:rsid w:val="00C102D4"/>
    <w:rPr>
      <w:rFonts w:asciiTheme="majorHAnsi" w:eastAsiaTheme="majorEastAsia" w:hAnsiTheme="majorHAnsi" w:cstheme="majorBidi"/>
      <w:b/>
      <w:color w:val="000000" w:themeColor="text1"/>
      <w:sz w:val="28"/>
      <w:szCs w:val="28"/>
      <w:lang w:val="en-CA"/>
    </w:rPr>
  </w:style>
  <w:style w:type="paragraph" w:customStyle="1" w:styleId="1Einrckung">
    <w:name w:val="1. Einrückung"/>
    <w:basedOn w:val="Normal"/>
    <w:autoRedefine/>
    <w:uiPriority w:val="2"/>
    <w:qFormat/>
    <w:rsid w:val="00E9036B"/>
    <w:pPr>
      <w:tabs>
        <w:tab w:val="left" w:pos="567"/>
        <w:tab w:val="num" w:pos="720"/>
      </w:tabs>
      <w:spacing w:line="240" w:lineRule="auto"/>
      <w:ind w:left="720" w:hanging="720"/>
    </w:pPr>
    <w:rPr>
      <w:rFonts w:eastAsia="Calibri" w:cstheme="majorBidi"/>
      <w:b/>
      <w:lang w:bidi="ar-LB"/>
    </w:rPr>
  </w:style>
  <w:style w:type="paragraph" w:styleId="ListParagraph">
    <w:name w:val="List Paragraph"/>
    <w:basedOn w:val="Normal"/>
    <w:uiPriority w:val="34"/>
    <w:qFormat/>
    <w:rsid w:val="00CB7A8A"/>
    <w:pPr>
      <w:ind w:left="720"/>
      <w:contextualSpacing/>
    </w:pPr>
  </w:style>
  <w:style w:type="character" w:customStyle="1" w:styleId="Heading7Char">
    <w:name w:val="Heading 7 Char"/>
    <w:basedOn w:val="DefaultParagraphFont"/>
    <w:link w:val="Heading7"/>
    <w:uiPriority w:val="9"/>
    <w:semiHidden/>
    <w:rsid w:val="00ED5E1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D5E1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D5E1F"/>
    <w:rPr>
      <w:rFonts w:asciiTheme="minorHAnsi" w:eastAsiaTheme="majorEastAsia" w:hAnsiTheme="minorHAnsi" w:cstheme="majorBidi"/>
      <w:color w:val="272727" w:themeColor="text1" w:themeTint="D8"/>
    </w:rPr>
  </w:style>
  <w:style w:type="character" w:customStyle="1" w:styleId="TitleChar">
    <w:name w:val="Title Char"/>
    <w:basedOn w:val="DefaultParagraphFont"/>
    <w:link w:val="Title"/>
    <w:uiPriority w:val="10"/>
    <w:rsid w:val="00ED5E1F"/>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ED5E1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D5E1F"/>
    <w:rPr>
      <w:i/>
      <w:iCs/>
      <w:color w:val="404040" w:themeColor="text1" w:themeTint="BF"/>
    </w:rPr>
  </w:style>
  <w:style w:type="character" w:styleId="IntenseEmphasis">
    <w:name w:val="Intense Emphasis"/>
    <w:basedOn w:val="DefaultParagraphFont"/>
    <w:uiPriority w:val="21"/>
    <w:qFormat/>
    <w:rsid w:val="00ED5E1F"/>
    <w:rPr>
      <w:i/>
      <w:iCs/>
      <w:color w:val="2F5496" w:themeColor="accent1" w:themeShade="BF"/>
    </w:rPr>
  </w:style>
  <w:style w:type="paragraph" w:styleId="IntenseQuote">
    <w:name w:val="Intense Quote"/>
    <w:basedOn w:val="Normal"/>
    <w:next w:val="Normal"/>
    <w:link w:val="IntenseQuoteChar"/>
    <w:uiPriority w:val="30"/>
    <w:qFormat/>
    <w:rsid w:val="00ED5E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D5E1F"/>
    <w:rPr>
      <w:i/>
      <w:iCs/>
      <w:color w:val="2F5496" w:themeColor="accent1" w:themeShade="BF"/>
    </w:rPr>
  </w:style>
  <w:style w:type="character" w:styleId="IntenseReference">
    <w:name w:val="Intense Reference"/>
    <w:basedOn w:val="DefaultParagraphFont"/>
    <w:uiPriority w:val="32"/>
    <w:qFormat/>
    <w:rsid w:val="00ED5E1F"/>
    <w:rPr>
      <w:b/>
      <w:bCs/>
      <w:smallCaps/>
      <w:color w:val="2F5496" w:themeColor="accent1" w:themeShade="BF"/>
      <w:spacing w:val="5"/>
    </w:rPr>
  </w:style>
  <w:style w:type="paragraph" w:styleId="NormalWeb">
    <w:name w:val="Normal (Web)"/>
    <w:basedOn w:val="Normal"/>
    <w:uiPriority w:val="99"/>
    <w:semiHidden/>
    <w:unhideWhenUsed/>
    <w:rsid w:val="00ED5E1F"/>
    <w:pPr>
      <w:spacing w:before="100" w:beforeAutospacing="1" w:after="100" w:afterAutospacing="1" w:line="240" w:lineRule="auto"/>
    </w:pPr>
  </w:style>
  <w:style w:type="paragraph" w:styleId="FootnoteText">
    <w:name w:val="footnote text"/>
    <w:basedOn w:val="Normal"/>
    <w:link w:val="FootnoteTextChar"/>
    <w:uiPriority w:val="99"/>
    <w:semiHidden/>
    <w:unhideWhenUsed/>
    <w:rsid w:val="00EA2E9E"/>
    <w:pPr>
      <w:spacing w:line="240" w:lineRule="auto"/>
    </w:pPr>
    <w:rPr>
      <w:sz w:val="20"/>
      <w:szCs w:val="20"/>
    </w:rPr>
  </w:style>
  <w:style w:type="character" w:customStyle="1" w:styleId="FootnoteTextChar">
    <w:name w:val="Footnote Text Char"/>
    <w:basedOn w:val="DefaultParagraphFont"/>
    <w:link w:val="FootnoteText"/>
    <w:uiPriority w:val="99"/>
    <w:semiHidden/>
    <w:rsid w:val="00EA2E9E"/>
    <w:rPr>
      <w:sz w:val="20"/>
      <w:szCs w:val="20"/>
    </w:rPr>
  </w:style>
  <w:style w:type="character" w:styleId="FootnoteReference">
    <w:name w:val="footnote reference"/>
    <w:basedOn w:val="DefaultParagraphFont"/>
    <w:uiPriority w:val="99"/>
    <w:semiHidden/>
    <w:unhideWhenUsed/>
    <w:rsid w:val="00EA2E9E"/>
    <w:rPr>
      <w:vertAlign w:val="superscript"/>
    </w:rPr>
  </w:style>
  <w:style w:type="character" w:styleId="Hyperlink">
    <w:name w:val="Hyperlink"/>
    <w:basedOn w:val="DefaultParagraphFont"/>
    <w:uiPriority w:val="99"/>
    <w:unhideWhenUsed/>
    <w:rsid w:val="00EA2E9E"/>
    <w:rPr>
      <w:color w:val="0563C1" w:themeColor="hyperlink"/>
      <w:u w:val="single"/>
    </w:rPr>
  </w:style>
  <w:style w:type="character" w:styleId="UnresolvedMention">
    <w:name w:val="Unresolved Mention"/>
    <w:basedOn w:val="DefaultParagraphFont"/>
    <w:uiPriority w:val="99"/>
    <w:semiHidden/>
    <w:unhideWhenUsed/>
    <w:rsid w:val="00EA2E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17"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21" Type="http://schemas.openxmlformats.org/officeDocument/2006/relationships/hyperlink" Target="https://www.enabbaladi.net/598537/%D8%A7%D9%84%D8%B9%D8%AF%D9%84-%D8%A7%D9%84%D8%B3%D9%88%D8%B1%D9%8A%D8%A9-%D8%AA%D9%82%D9%8A%D9%91%D8%AF-%D8%AA%D8%AB%D8%A8%D9%8A%D8%AA-%D8%A7%D9%84%D9%85%D8%AA%D9%88%D9%81%D9%89-%D9%88%D8%AA/" TargetMode="External"/><Relationship Id="rId42"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63"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84"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138"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07"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1" Type="http://schemas.openxmlformats.org/officeDocument/2006/relationships/hyperlink" Target="https://www.enabbaladi.net/598537/%D8%A7%D9%84%D8%B9%D8%AF%D9%84-%D8%A7%D9%84%D8%B3%D9%88%D8%B1%D9%8A%D8%A9-%D8%AA%D9%82%D9%8A%D9%91%D8%AF-%D8%AA%D8%AB%D8%A8%D9%8A%D8%AA-%D8%A7%D9%84%D9%85%D8%AA%D9%88%D9%81%D9%89-%D9%88%D8%AA/" TargetMode="External"/><Relationship Id="rId32"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53"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74"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128"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49" Type="http://schemas.openxmlformats.org/officeDocument/2006/relationships/hyperlink" Target="https://hlp.syria-report.com/hlp/law-no-10-of-2018-establishing-development-zones-within-administrative-units/" TargetMode="External"/><Relationship Id="rId5" Type="http://schemas.openxmlformats.org/officeDocument/2006/relationships/hyperlink" Target="https://www.enabbaladi.net/598537/%D8%A7%D9%84%D8%B9%D8%AF%D9%84-%D8%A7%D9%84%D8%B3%D9%88%D8%B1%D9%8A%D8%A9-%D8%AA%D9%82%D9%8A%D9%91%D8%AF-%D8%AA%D8%AB%D8%A8%D9%8A%D8%AA-%D8%A7%D9%84%D9%85%D8%AA%D9%88%D9%81%D9%89-%D9%88%D8%AA/" TargetMode="External"/><Relationship Id="rId95" Type="http://schemas.openxmlformats.org/officeDocument/2006/relationships/hyperlink" Target="https://snacksyrian.com/%D8%AA%D8%B9%D9%85%D9%8A%D9%85-%D8%AC%D8%AF%D9%8A%D8%AF-%D9%84%D9%84%D8%AF%D8%A7%D8%AE%D9%84%D9%8A%D8%A9-%D8%AD%D9%88%D9%84-%D8%A7%D9%84%D9%85%D9%88%D8%A7%D9%81%D9%82%D8%A7%D8%AA-%D8%A7%D9%84%D8%A3/" TargetMode="External"/><Relationship Id="rId22" Type="http://schemas.openxmlformats.org/officeDocument/2006/relationships/hyperlink" Target="https://www.enabbaladi.net/598537/%D8%A7%D9%84%D8%B9%D8%AF%D9%84-%D8%A7%D9%84%D8%B3%D9%88%D8%B1%D9%8A%D8%A9-%D8%AA%D9%82%D9%8A%D9%91%D8%AF-%D8%AA%D8%AB%D8%A8%D9%8A%D8%AA-%D8%A7%D9%84%D9%85%D8%AA%D9%88%D9%81%D9%89-%D9%88%D8%AA/" TargetMode="External"/><Relationship Id="rId27"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43"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48"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64"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69"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113"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18"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34"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39"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80"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85"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150" Type="http://schemas.openxmlformats.org/officeDocument/2006/relationships/hyperlink" Target="https://hlp.syria-report.com/hlp/decree-no-66-of-2012-on-the-establishment-of-two-development-zones-in-damascus/" TargetMode="External"/><Relationship Id="rId12" Type="http://schemas.openxmlformats.org/officeDocument/2006/relationships/hyperlink" Target="https://www.enabbaladi.net/598537/%D8%A7%D9%84%D8%B9%D8%AF%D9%84-%D8%A7%D9%84%D8%B3%D9%88%D8%B1%D9%8A%D8%A9-%D8%AA%D9%82%D9%8A%D9%91%D8%AF-%D8%AA%D8%AB%D8%A8%D9%8A%D8%AA-%D8%A7%D9%84%D9%85%D8%AA%D9%88%D9%81%D9%89-%D9%88%D8%AA/" TargetMode="External"/><Relationship Id="rId17" Type="http://schemas.openxmlformats.org/officeDocument/2006/relationships/hyperlink" Target="https://www.enabbaladi.net/598537/%D8%A7%D9%84%D8%B9%D8%AF%D9%84-%D8%A7%D9%84%D8%B3%D9%88%D8%B1%D9%8A%D8%A9-%D8%AA%D9%82%D9%8A%D9%91%D8%AF-%D8%AA%D8%AB%D8%A8%D9%8A%D8%AA-%D8%A7%D9%84%D9%85%D8%AA%D9%88%D9%81%D9%89-%D9%88%D8%AA/" TargetMode="External"/><Relationship Id="rId33"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38"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59"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103" Type="http://schemas.openxmlformats.org/officeDocument/2006/relationships/hyperlink" Target="https://snacksyrian.com/%D8%AA%D8%B9%D9%85%D9%8A%D9%85-%D8%AC%D8%AF%D9%8A%D8%AF-%D9%84%D9%84%D8%AF%D8%A7%D8%AE%D9%84%D9%8A%D8%A9-%D8%AD%D9%88%D9%84-%D8%A7%D9%84%D9%85%D9%88%D8%A7%D9%81%D9%82%D8%A7%D8%AA-%D8%A7%D9%84%D8%A3/" TargetMode="External"/><Relationship Id="rId108"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24"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29"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54"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70"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75"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91" Type="http://schemas.openxmlformats.org/officeDocument/2006/relationships/hyperlink" Target="https://snacksyrian.com/%D8%AA%D8%B9%D9%85%D9%8A%D9%85-%D8%AC%D8%AF%D9%8A%D8%AF-%D9%84%D9%84%D8%AF%D8%A7%D8%AE%D9%84%D9%8A%D8%A9-%D8%AD%D9%88%D9%84-%D8%A7%D9%84%D9%85%D9%88%D8%A7%D9%81%D9%82%D8%A7%D8%AA-%D8%A7%D9%84%D8%A3/" TargetMode="External"/><Relationship Id="rId96" Type="http://schemas.openxmlformats.org/officeDocument/2006/relationships/hyperlink" Target="https://snacksyrian.com/%D8%AA%D8%B9%D9%85%D9%8A%D9%85-%D8%AC%D8%AF%D9%8A%D8%AF-%D9%84%D9%84%D8%AF%D8%A7%D8%AE%D9%84%D9%8A%D8%A9-%D8%AD%D9%88%D9%84-%D8%A7%D9%84%D9%85%D9%88%D8%A7%D9%81%D9%82%D8%A7%D8%AA-%D8%A7%D9%84%D8%A3/" TargetMode="External"/><Relationship Id="rId140"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45" Type="http://schemas.openxmlformats.org/officeDocument/2006/relationships/hyperlink" Target="https://tda-sy.org/wp-content/uploads/Changes-to-Investment-Law-EN-1.pdf" TargetMode="External"/><Relationship Id="rId1" Type="http://schemas.openxmlformats.org/officeDocument/2006/relationships/hyperlink" Target="https://hlp.syria-report.com/%D8%AD%D9%82%D9%88%D9%82-%D8%A7%D9%84%D8%B3%D9%83%D9%86-%D9%88%D8%A7%D9%84%D8%A3%D8%B1%D8%A7%D8%B6%D9%8A-%D9%88%D8%A7%D9%84%D9%85%D9%85%D8%AA%D9%84%D9%83%D8%A7%D8%AA/%D9%85%D9%81%D8%AA%D8%A7%D8%AD-%D8%A7%D9%84%D8%AA%D8%B9%D9%85%D9%8A%D9%85%D8%A7%D8%AA-%D9%88%D8%A7%D9%84%D9%85%D9%88%D8%A7%D9%81%D9%82%D8%A7%D8%AA-%D8%A7%D9%84%D8%A3%D9%85%D9%86%D9%8A%D8%A9-%D8%A7/" TargetMode="External"/><Relationship Id="rId6" Type="http://schemas.openxmlformats.org/officeDocument/2006/relationships/hyperlink" Target="https://www.enabbaladi.net/598537/%D8%A7%D9%84%D8%B9%D8%AF%D9%84-%D8%A7%D9%84%D8%B3%D9%88%D8%B1%D9%8A%D8%A9-%D8%AA%D9%82%D9%8A%D9%91%D8%AF-%D8%AA%D8%AB%D8%A8%D9%8A%D8%AA-%D8%A7%D9%84%D9%85%D8%AA%D9%88%D9%81%D9%89-%D9%88%D8%AA/" TargetMode="External"/><Relationship Id="rId23" Type="http://schemas.openxmlformats.org/officeDocument/2006/relationships/hyperlink" Target="https://www.enabbaladi.net/598537/%D8%A7%D9%84%D8%B9%D8%AF%D9%84-%D8%A7%D9%84%D8%B3%D9%88%D8%B1%D9%8A%D8%A9-%D8%AA%D9%82%D9%8A%D9%91%D8%AF-%D8%AA%D8%AB%D8%A8%D9%8A%D8%AA-%D8%A7%D9%84%D9%85%D8%AA%D9%88%D9%81%D9%89-%D9%88%D8%AA/" TargetMode="External"/><Relationship Id="rId28"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49"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114"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19"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44"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60"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65"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81"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86"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130"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35"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51" Type="http://schemas.openxmlformats.org/officeDocument/2006/relationships/hyperlink" Target="https://www.hrw.org/news/2018/05/29/qa-syrias-new-property-law" TargetMode="External"/><Relationship Id="rId13" Type="http://schemas.openxmlformats.org/officeDocument/2006/relationships/hyperlink" Target="https://www.enabbaladi.net/598537/%D8%A7%D9%84%D8%B9%D8%AF%D9%84-%D8%A7%D9%84%D8%B3%D9%88%D8%B1%D9%8A%D8%A9-%D8%AA%D9%82%D9%8A%D9%91%D8%AF-%D8%AA%D8%AB%D8%A8%D9%8A%D8%AA-%D8%A7%D9%84%D9%85%D8%AA%D9%88%D9%81%D9%89-%D9%88%D8%AA/" TargetMode="External"/><Relationship Id="rId18" Type="http://schemas.openxmlformats.org/officeDocument/2006/relationships/hyperlink" Target="https://www.enabbaladi.net/598537/%D8%A7%D9%84%D8%B9%D8%AF%D9%84-%D8%A7%D9%84%D8%B3%D9%88%D8%B1%D9%8A%D8%A9-%D8%AA%D9%82%D9%8A%D9%91%D8%AF-%D8%AA%D8%AB%D8%A8%D9%8A%D8%AA-%D8%A7%D9%84%D9%85%D8%AA%D9%88%D9%81%D9%89-%D9%88%D8%AA/" TargetMode="External"/><Relationship Id="rId39"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109"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34"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50"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55"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76"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97" Type="http://schemas.openxmlformats.org/officeDocument/2006/relationships/hyperlink" Target="https://snacksyrian.com/%D8%AA%D8%B9%D9%85%D9%8A%D9%85-%D8%AC%D8%AF%D9%8A%D8%AF-%D9%84%D9%84%D8%AF%D8%A7%D8%AE%D9%84%D9%8A%D8%A9-%D8%AD%D9%88%D9%84-%D8%A7%D9%84%D9%85%D9%88%D8%A7%D9%81%D9%82%D8%A7%D8%AA-%D8%A7%D9%84%D8%A3/" TargetMode="External"/><Relationship Id="rId104" Type="http://schemas.openxmlformats.org/officeDocument/2006/relationships/hyperlink" Target="https://snacksyrian.com/%D8%AA%D8%B9%D9%85%D9%8A%D9%85-%D8%AC%D8%AF%D9%8A%D8%AF-%D9%84%D9%84%D8%AF%D8%A7%D8%AE%D9%84%D9%8A%D8%A9-%D8%AD%D9%88%D9%84-%D8%A7%D9%84%D9%85%D9%88%D8%A7%D9%81%D9%82%D8%A7%D8%AA-%D8%A7%D9%84%D8%A3/" TargetMode="External"/><Relationship Id="rId120"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25"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41" Type="http://schemas.openxmlformats.org/officeDocument/2006/relationships/hyperlink" Target="https://www.ohchr.org/en/press-releases/2022/09/committee-rights-migrant-workers-commends-syria-progress-legislation-last" TargetMode="External"/><Relationship Id="rId146" Type="http://schemas.openxmlformats.org/officeDocument/2006/relationships/hyperlink" Target="https://pministry.gov.sy/contents/12504/%D8%A7%D9%84%D9%82%D8%A7%D9%86%D9%88%D9%86-%D8%B1%D9%82%D9%85-/23/-%D9%84%D8%B9%D8%A7%D9%85-2015-%D8%A7%D9%84%D8%AE%D8%A7%D8%B5-%D8%A8%D8%AA%D9%86%D9%81%D9%8A%D8%B0-%D8%A7%D9%84%D8%AA%D8%AE%D8%B7%D9%8A%D8%B7-%D9%88%D8%B9%D9%85%D8%B1%D8%A7%D9%86-%D8%A7%D9%84%D9%85%D8%AF%D9%86" TargetMode="External"/><Relationship Id="rId7" Type="http://schemas.openxmlformats.org/officeDocument/2006/relationships/hyperlink" Target="https://www.enabbaladi.net/598537/%D8%A7%D9%84%D8%B9%D8%AF%D9%84-%D8%A7%D9%84%D8%B3%D9%88%D8%B1%D9%8A%D8%A9-%D8%AA%D9%82%D9%8A%D9%91%D8%AF-%D8%AA%D8%AB%D8%A8%D9%8A%D8%AA-%D8%A7%D9%84%D9%85%D8%AA%D9%88%D9%81%D9%89-%D9%88%D8%AA/" TargetMode="External"/><Relationship Id="rId71"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92" Type="http://schemas.openxmlformats.org/officeDocument/2006/relationships/hyperlink" Target="https://snacksyrian.com/%D8%AA%D8%B9%D9%85%D9%8A%D9%85-%D8%AC%D8%AF%D9%8A%D8%AF-%D9%84%D9%84%D8%AF%D8%A7%D8%AE%D9%84%D9%8A%D8%A9-%D8%AD%D9%88%D9%84-%D8%A7%D9%84%D9%85%D9%88%D8%A7%D9%81%D9%82%D8%A7%D8%AA-%D8%A7%D9%84%D8%A3/" TargetMode="External"/><Relationship Id="rId2" Type="http://schemas.openxmlformats.org/officeDocument/2006/relationships/hyperlink" Target="https://www.facebook.com/MOJ.SYR/posts/2646250975681744" TargetMode="External"/><Relationship Id="rId29"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24" Type="http://schemas.openxmlformats.org/officeDocument/2006/relationships/hyperlink" Target="https://www.enabbaladi.net/598537/%D8%A7%D9%84%D8%B9%D8%AF%D9%84-%D8%A7%D9%84%D8%B3%D9%88%D8%B1%D9%8A%D8%A9-%D8%AA%D9%82%D9%8A%D9%91%D8%AF-%D8%AA%D8%AB%D8%A8%D9%8A%D8%AA-%D8%A7%D9%84%D9%85%D8%AA%D9%88%D9%81%D9%89-%D9%88%D8%AA/" TargetMode="External"/><Relationship Id="rId40"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45"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66"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87" Type="http://schemas.openxmlformats.org/officeDocument/2006/relationships/hyperlink" Target="https://snacksyrian.com/%D8%AA%D8%B9%D9%85%D9%8A%D9%85-%D8%AC%D8%AF%D9%8A%D8%AF-%D9%84%D9%84%D8%AF%D8%A7%D8%AE%D9%84%D9%8A%D8%A9-%D8%AD%D9%88%D9%84-%D8%A7%D9%84%D9%85%D9%88%D8%A7%D9%81%D9%82%D8%A7%D8%AA-%D8%A7%D9%84%D8%A3/" TargetMode="External"/><Relationship Id="rId110"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15"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31"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36"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61"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82"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19" Type="http://schemas.openxmlformats.org/officeDocument/2006/relationships/hyperlink" Target="https://www.enabbaladi.net/598537/%D8%A7%D9%84%D8%B9%D8%AF%D9%84-%D8%A7%D9%84%D8%B3%D9%88%D8%B1%D9%8A%D8%A9-%D8%AA%D9%82%D9%8A%D9%91%D8%AF-%D8%AA%D8%AB%D8%A8%D9%8A%D8%AA-%D8%A7%D9%84%D9%85%D8%AA%D9%88%D9%81%D9%89-%D9%88%D8%AA/" TargetMode="External"/><Relationship Id="rId14" Type="http://schemas.openxmlformats.org/officeDocument/2006/relationships/hyperlink" Target="https://www.enabbaladi.net/598537/%D8%A7%D9%84%D8%B9%D8%AF%D9%84-%D8%A7%D9%84%D8%B3%D9%88%D8%B1%D9%8A%D8%A9-%D8%AA%D9%82%D9%8A%D9%91%D8%AF-%D8%AA%D8%AB%D8%A8%D9%8A%D8%AA-%D8%A7%D9%84%D9%85%D8%AA%D9%88%D9%81%D9%89-%D9%88%D8%AA/" TargetMode="External"/><Relationship Id="rId30"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35"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56"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77"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100" Type="http://schemas.openxmlformats.org/officeDocument/2006/relationships/hyperlink" Target="https://snacksyrian.com/%D8%AA%D8%B9%D9%85%D9%8A%D9%85-%D8%AC%D8%AF%D9%8A%D8%AF-%D9%84%D9%84%D8%AF%D8%A7%D8%AE%D9%84%D9%8A%D8%A9-%D8%AD%D9%88%D9%84-%D8%A7%D9%84%D9%85%D9%88%D8%A7%D9%81%D9%82%D8%A7%D8%AA-%D8%A7%D9%84%D8%A3/" TargetMode="External"/><Relationship Id="rId105" Type="http://schemas.openxmlformats.org/officeDocument/2006/relationships/hyperlink" Target="https://www.syria.tv/&#1576;&#1575;&#1604;&#1608;&#1579;&#1575;&#1574;&#1602;-750-&#1571;&#1604;&#1601;-&#1587;&#1608;&#1585;&#1610;-&#1605;&#1607;&#1583;&#1617;&#1583;&#1608;&#1606;-&#1576;&#1601;&#1602;&#1583;&#1575;&#1606;-&#1605;&#1605;&#1578;&#1604;&#1603;&#1575;&#1578;&#1607;&#1605;-&#1601;&#1610;-&#1587;&#1608;&#1585;&#1610;&#1575;" TargetMode="External"/><Relationship Id="rId126"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47" Type="http://schemas.openxmlformats.org/officeDocument/2006/relationships/hyperlink" Target="https://www.ilo.org/dyn/natlex/docs/ELECTRONIC/91436/106031/F-931434246/constitution2.pdf" TargetMode="External"/><Relationship Id="rId8" Type="http://schemas.openxmlformats.org/officeDocument/2006/relationships/hyperlink" Target="https://www.enabbaladi.net/598537/%D8%A7%D9%84%D8%B9%D8%AF%D9%84-%D8%A7%D9%84%D8%B3%D9%88%D8%B1%D9%8A%D8%A9-%D8%AA%D9%82%D9%8A%D9%91%D8%AF-%D8%AA%D8%AB%D8%A8%D9%8A%D8%AA-%D8%A7%D9%84%D9%85%D8%AA%D9%88%D9%81%D9%89-%D9%88%D8%AA/" TargetMode="External"/><Relationship Id="rId51"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72"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93" Type="http://schemas.openxmlformats.org/officeDocument/2006/relationships/hyperlink" Target="https://snacksyrian.com/%D8%AA%D8%B9%D9%85%D9%8A%D9%85-%D8%AC%D8%AF%D9%8A%D8%AF-%D9%84%D9%84%D8%AF%D8%A7%D8%AE%D9%84%D9%8A%D8%A9-%D8%AD%D9%88%D9%84-%D8%A7%D9%84%D9%85%D9%88%D8%A7%D9%81%D9%82%D8%A7%D8%AA-%D8%A7%D9%84%D8%A3/" TargetMode="External"/><Relationship Id="rId98" Type="http://schemas.openxmlformats.org/officeDocument/2006/relationships/hyperlink" Target="https://snacksyrian.com/%D8%AA%D8%B9%D9%85%D9%8A%D9%85-%D8%AC%D8%AF%D9%8A%D8%AF-%D9%84%D9%84%D8%AF%D8%A7%D8%AE%D9%84%D9%8A%D8%A9-%D8%AD%D9%88%D9%84-%D8%A7%D9%84%D9%85%D9%88%D8%A7%D9%81%D9%82%D8%A7%D8%AA-%D8%A7%D9%84%D8%A3/" TargetMode="External"/><Relationship Id="rId121"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42" Type="http://schemas.openxmlformats.org/officeDocument/2006/relationships/hyperlink" Target="https://tda-sy.org/wp-content/uploads/HLP-Rights-Violations-in-Syria-Post-the-Trilogy-of-Siege.pdf" TargetMode="External"/><Relationship Id="rId3" Type="http://schemas.openxmlformats.org/officeDocument/2006/relationships/hyperlink" Target="https://www.enabbaladi.net/598537/%D8%A7%D9%84%D8%B9%D8%AF%D9%84-%D8%A7%D9%84%D8%B3%D9%88%D8%B1%D9%8A%D8%A9-%D8%AA%D9%82%D9%8A%D9%91%D8%AF-%D8%AA%D8%AB%D8%A8%D9%8A%D8%AA-%D8%A7%D9%84%D9%85%D8%AA%D9%88%D9%81%D9%89-%D9%88%D8%AA/" TargetMode="External"/><Relationship Id="rId25" Type="http://schemas.openxmlformats.org/officeDocument/2006/relationships/hyperlink" Target="http://parliament.gov.sy/arabic/index.php?node=201&amp;nid=11333&amp;ref=tree&amp;" TargetMode="External"/><Relationship Id="rId46"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67"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116"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37"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20" Type="http://schemas.openxmlformats.org/officeDocument/2006/relationships/hyperlink" Target="https://www.enabbaladi.net/598537/%D8%A7%D9%84%D8%B9%D8%AF%D9%84-%D8%A7%D9%84%D8%B3%D9%88%D8%B1%D9%8A%D8%A9-%D8%AA%D9%82%D9%8A%D9%91%D8%AF-%D8%AA%D8%AB%D8%A8%D9%8A%D8%AA-%D8%A7%D9%84%D9%85%D8%AA%D9%88%D9%81%D9%89-%D9%88%D8%AA/" TargetMode="External"/><Relationship Id="rId41"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62"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83"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88" Type="http://schemas.openxmlformats.org/officeDocument/2006/relationships/hyperlink" Target="https://snacksyrian.com/%D8%AA%D8%B9%D9%85%D9%8A%D9%85-%D8%AC%D8%AF%D9%8A%D8%AF-%D9%84%D9%84%D8%AF%D8%A7%D8%AE%D9%84%D9%8A%D8%A9-%D8%AD%D9%88%D9%84-%D8%A7%D9%84%D9%85%D9%88%D8%A7%D9%81%D9%82%D8%A7%D8%AA-%D8%A7%D9%84%D8%A3/" TargetMode="External"/><Relationship Id="rId111"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32"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5" Type="http://schemas.openxmlformats.org/officeDocument/2006/relationships/hyperlink" Target="https://www.enabbaladi.net/598537/%D8%A7%D9%84%D8%B9%D8%AF%D9%84-%D8%A7%D9%84%D8%B3%D9%88%D8%B1%D9%8A%D8%A9-%D8%AA%D9%82%D9%8A%D9%91%D8%AF-%D8%AA%D8%AB%D8%A8%D9%8A%D8%AA-%D8%A7%D9%84%D9%85%D8%AA%D9%88%D9%81%D9%89-%D9%88%D8%AA/" TargetMode="External"/><Relationship Id="rId36"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57"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106"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27"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0" Type="http://schemas.openxmlformats.org/officeDocument/2006/relationships/hyperlink" Target="https://www.enabbaladi.net/598537/%D8%A7%D9%84%D8%B9%D8%AF%D9%84-%D8%A7%D9%84%D8%B3%D9%88%D8%B1%D9%8A%D8%A9-%D8%AA%D9%82%D9%8A%D9%91%D8%AF-%D8%AA%D8%AB%D8%A8%D9%8A%D8%AA-%D8%A7%D9%84%D9%85%D8%AA%D9%88%D9%81%D9%89-%D9%88%D8%AA/" TargetMode="External"/><Relationship Id="rId31"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52"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73"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78"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94" Type="http://schemas.openxmlformats.org/officeDocument/2006/relationships/hyperlink" Target="https://snacksyrian.com/%D8%AA%D8%B9%D9%85%D9%8A%D9%85-%D8%AC%D8%AF%D9%8A%D8%AF-%D9%84%D9%84%D8%AF%D8%A7%D8%AE%D9%84%D9%8A%D8%A9-%D8%AD%D9%88%D9%84-%D8%A7%D9%84%D9%85%D9%88%D8%A7%D9%81%D9%82%D8%A7%D8%AA-%D8%A7%D9%84%D8%A3/" TargetMode="External"/><Relationship Id="rId99" Type="http://schemas.openxmlformats.org/officeDocument/2006/relationships/hyperlink" Target="https://snacksyrian.com/%D8%AA%D8%B9%D9%85%D9%8A%D9%85-%D8%AC%D8%AF%D9%8A%D8%AF-%D9%84%D9%84%D8%AF%D8%A7%D8%AE%D9%84%D9%8A%D8%A9-%D8%AD%D9%88%D9%84-%D8%A7%D9%84%D9%85%D9%88%D8%A7%D9%81%D9%82%D8%A7%D8%AA-%D8%A7%D9%84%D8%A3/" TargetMode="External"/><Relationship Id="rId101" Type="http://schemas.openxmlformats.org/officeDocument/2006/relationships/hyperlink" Target="https://snacksyrian.com/%D8%AA%D8%B9%D9%85%D9%8A%D9%85-%D8%AC%D8%AF%D9%8A%D8%AF-%D9%84%D9%84%D8%AF%D8%A7%D8%AE%D9%84%D9%8A%D8%A9-%D8%AD%D9%88%D9%84-%D8%A7%D9%84%D9%85%D9%88%D8%A7%D9%81%D9%82%D8%A7%D8%AA-%D8%A7%D9%84%D8%A3/" TargetMode="External"/><Relationship Id="rId122"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43" Type="http://schemas.openxmlformats.org/officeDocument/2006/relationships/hyperlink" Target="https://hlp.syria-report.com/hlp/real-estate-development-and-investment-law/" TargetMode="External"/><Relationship Id="rId148" Type="http://schemas.openxmlformats.org/officeDocument/2006/relationships/hyperlink" Target="https://hlp.syria-report.com/hlp/removal-of-rubble-of-damaged-buildings/" TargetMode="External"/><Relationship Id="rId4" Type="http://schemas.openxmlformats.org/officeDocument/2006/relationships/hyperlink" Target="https://www.enabbaladi.net/598537/%D8%A7%D9%84%D8%B9%D8%AF%D9%84-%D8%A7%D9%84%D8%B3%D9%88%D8%B1%D9%8A%D8%A9-%D8%AA%D9%82%D9%8A%D9%91%D8%AF-%D8%AA%D8%AB%D8%A8%D9%8A%D8%AA-%D8%A7%D9%84%D9%85%D8%AA%D9%88%D9%81%D9%89-%D9%88%D8%AA/" TargetMode="External"/><Relationship Id="rId9" Type="http://schemas.openxmlformats.org/officeDocument/2006/relationships/hyperlink" Target="https://www.enabbaladi.net/598537/%D8%A7%D9%84%D8%B9%D8%AF%D9%84-%D8%A7%D9%84%D8%B3%D9%88%D8%B1%D9%8A%D8%A9-%D8%AA%D9%82%D9%8A%D9%91%D8%AF-%D8%AA%D8%AB%D8%A8%D9%8A%D8%AA-%D8%A7%D9%84%D9%85%D8%AA%D9%88%D9%81%D9%89-%D9%88%D8%AA/" TargetMode="External"/><Relationship Id="rId26"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47"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68"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89" Type="http://schemas.openxmlformats.org/officeDocument/2006/relationships/hyperlink" Target="https://snacksyrian.com/%D8%AA%D8%B9%D9%85%D9%8A%D9%85-%D8%AC%D8%AF%D9%8A%D8%AF-%D9%84%D9%84%D8%AF%D8%A7%D8%AE%D9%84%D9%8A%D8%A9-%D8%AD%D9%88%D9%84-%D8%A7%D9%84%D9%85%D9%88%D8%A7%D9%81%D9%82%D8%A7%D8%AA-%D8%A7%D9%84%D8%A3/" TargetMode="External"/><Relationship Id="rId112"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33"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6" Type="http://schemas.openxmlformats.org/officeDocument/2006/relationships/hyperlink" Target="https://www.enabbaladi.net/598537/%D8%A7%D9%84%D8%B9%D8%AF%D9%84-%D8%A7%D9%84%D8%B3%D9%88%D8%B1%D9%8A%D8%A9-%D8%AA%D9%82%D9%8A%D9%91%D8%AF-%D8%AA%D8%AB%D8%A8%D9%8A%D8%AA-%D8%A7%D9%84%D9%85%D8%AA%D9%88%D9%81%D9%89-%D9%88%D8%AA/" TargetMode="External"/><Relationship Id="rId37" Type="http://schemas.openxmlformats.org/officeDocument/2006/relationships/hyperlink" Target="https://www.syria.tv/%D8%AA%D8%B9%D9%84%D9%8A%D9%85%D8%A7%D8%AA-%D8%AC%D8%AF%D9%8A%D8%AF%D8%A9-%D8%A8%D8%B4%D8%A3%D9%86-%D8%A5%D8%B5%D8%AF%D8%A7%D8%B1-%D8%A7%D9%84%D9%85%D9%88%D8%A7%D9%81%D9%82%D8%A7%D8%AA-%D8%A7%D9%84%D8%A3%D9%85%D9%86%D9%8A%D8%A9-%D9%84%D9%84%D8%A8%D9%8A%D9%88%D8%B9-%D8%A7%D9%84%D8%B9%D9%82%D8%A7%D8%B1%D9%8A%D8%A9-%D9%81%D9%8A-%D8%B3%D9%88%D8%B1%D9%8A%D8%A7" TargetMode="External"/><Relationship Id="rId58"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79" Type="http://schemas.openxmlformats.org/officeDocument/2006/relationships/hyperlink" Target="https://jisrtv.com/%D8%A3%D8%AE%D8%A8%D8%A7%D8%B1-%D8%A7%D9%84%D8%AC%D8%B3%D8%B1/%D8%A7%D9%84%D8%A3%D8%AE%D8%A8%D8%A7%D8%B1-%D8%A7%D9%84%D8%B3%D9%88%D8%B1%D9%8A%D8%A9/%D9%82%D8%B1%D8%A7%D8%B1-%D9%85%D9%86-%D8%B9%D9%84%D9%8A-%D9%85%D9%85%D9%84%D9%88%D9%83-%D9%8A%D8%AA%D8%B3%D9%84%D8%B7-%D9%81%D9%8A%D9%87-%D8%B9%D9%84%D9%89-%D9%85%D9%85%D8%AA%D9%84%D9%83%D8%A7%D8%AA-%D8%A7%D9%84%D8%B3%D9%88%D8%B1%D9%8A%D9%8A%D9%86-%D9%88%D8%AB%D8%A7%D8%A6%D9%82/" TargetMode="External"/><Relationship Id="rId102" Type="http://schemas.openxmlformats.org/officeDocument/2006/relationships/hyperlink" Target="https://snacksyrian.com/%D8%AA%D8%B9%D9%85%D9%8A%D9%85-%D8%AC%D8%AF%D9%8A%D8%AF-%D9%84%D9%84%D8%AF%D8%A7%D8%AE%D9%84%D9%8A%D8%A9-%D8%AD%D9%88%D9%84-%D8%A7%D9%84%D9%85%D9%88%D8%A7%D9%81%D9%82%D8%A7%D8%AA-%D8%A7%D9%84%D8%A3/" TargetMode="External"/><Relationship Id="rId123" Type="http://schemas.openxmlformats.org/officeDocument/2006/relationships/hyperlink" Target="https://syrianfinance.gov.sy/ar/page/%D8%AD%D8%A7%D9%84%D8%A7%D8%AA-%D8%A5%D9%84%D9%82%D8%A7%D8%A1-%D8%A7%D9%84%D8%AD%D8%AC%D8%B2-%D8%A7%D9%84%D8%A7%D8%AD%D8%AA%D9%8A%D8%A7%D8%B7%D9%8A-%D8%B9%D9%84%D9%89-%D8%AD%D8%B3%D8%A7%D8%A8%D8%A7%D8%AA-%D9%88-%D9%85%D9%88%D8%AC%D9%88%D8%AF%D8%A7%D8%AA-%D8%A7%D9%84%D9%85%D9%88%D8%AF%D8%B9%D9%8A%D9%86-%D9%84%D8%AF%D9%89-%D8%A7%D9%84%D9%85%D8%A4%D8%B3%D8%B3%D8%A7%D8%AA-%D8%A7%D9%84%D9%85%D8%A7%D9%84%D9%8A%D8%A9" TargetMode="External"/><Relationship Id="rId144" Type="http://schemas.openxmlformats.org/officeDocument/2006/relationships/hyperlink" Target="https://tda-sy.org/wp-content/uploads/2021/04/Syrian-Regime-Institutions-for-Real-Estate-Development-and-how-they-Operate-ENG-1.pdf" TargetMode="External"/><Relationship Id="rId90" Type="http://schemas.openxmlformats.org/officeDocument/2006/relationships/hyperlink" Target="https://snacksyrian.com/%D8%AA%D8%B9%D9%85%D9%8A%D9%85-%D8%AC%D8%AF%D9%8A%D8%AF-%D9%84%D9%84%D8%AF%D8%A7%D8%AE%D9%84%D9%8A%D8%A9-%D8%AD%D9%88%D9%84-%D8%A7%D9%84%D9%85%D9%88%D8%A7%D9%81%D9%82%D8%A7%D8%AA-%D8%A7%D9%84%D8%A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8/2ttYi+xpaC4Fruez5x/FpebA==">CgMxLjAyDmguOWEwYWFiYnFvOGRtMg5oLjc4dHp4Ym5lZzBqdDIOaC40Z2h0bDR5NDhxN24yDmgud3lnM3ZhNzJvNmFvMg5oLmY4M3J5eXJrd3doNjIOaC4xYnM2bDF4cmp5YmY4AHIhMS1MVmJjdGQ5bG1oVkJrdW9kdXVrcnZQTlpfQ3FXcUtE</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75671B-3EDB-5048-8823-5F87DA1F7D0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08319126-EA61-4261-BF1B-6B7411F84DD5}"/>
</file>

<file path=customXml/itemProps4.xml><?xml version="1.0" encoding="utf-8"?>
<ds:datastoreItem xmlns:ds="http://schemas.openxmlformats.org/officeDocument/2006/customXml" ds:itemID="{5AAB7480-3316-4FCB-B6D1-A411DD9DC1CA}"/>
</file>

<file path=docProps/app.xml><?xml version="1.0" encoding="utf-8"?>
<Properties xmlns="http://schemas.openxmlformats.org/officeDocument/2006/extended-properties" xmlns:vt="http://schemas.openxmlformats.org/officeDocument/2006/docPropsVTypes">
  <Template>Normal.dotm</Template>
  <TotalTime>35</TotalTime>
  <Pages>24</Pages>
  <Words>6803</Words>
  <Characters>38779</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Mouhanad Sharabati</dc:creator>
  <cp:lastModifiedBy>Mouhanad Sharabati</cp:lastModifiedBy>
  <cp:revision>10</cp:revision>
  <cp:lastPrinted>2024-06-01T16:46:00Z</cp:lastPrinted>
  <dcterms:created xsi:type="dcterms:W3CDTF">2024-05-22T08:27:00Z</dcterms:created>
  <dcterms:modified xsi:type="dcterms:W3CDTF">2024-06-01T16:47:00Z</dcterms:modified>
</cp:coreProperties>
</file>