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C3E1B" w14:textId="77777777" w:rsidR="00702A21" w:rsidRDefault="00DD5C1A">
      <w:pPr>
        <w:pStyle w:val="Subtitle"/>
        <w:keepNext w:val="0"/>
        <w:keepLines w:val="0"/>
        <w:spacing w:before="200" w:after="0"/>
        <w:ind w:left="720" w:hanging="360"/>
        <w:jc w:val="center"/>
        <w:rPr>
          <w:b/>
          <w:sz w:val="22"/>
          <w:szCs w:val="22"/>
        </w:rPr>
      </w:pPr>
      <w:bookmarkStart w:id="0" w:name="_v587jptc5qfh" w:colFirst="0" w:colLast="0"/>
      <w:bookmarkEnd w:id="0"/>
      <w:r>
        <w:rPr>
          <w:rFonts w:ascii="Times New Roman" w:eastAsia="Times New Roman" w:hAnsi="Times New Roman" w:cs="Times New Roman"/>
          <w:noProof/>
          <w:color w:val="000000"/>
          <w:sz w:val="22"/>
          <w:szCs w:val="22"/>
        </w:rPr>
        <w:drawing>
          <wp:inline distT="114300" distB="114300" distL="114300" distR="114300" wp14:anchorId="3616D31D" wp14:editId="24ADDC00">
            <wp:extent cx="2501738" cy="115012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501738" cy="1150128"/>
                    </a:xfrm>
                    <a:prstGeom prst="rect">
                      <a:avLst/>
                    </a:prstGeom>
                    <a:ln/>
                  </pic:spPr>
                </pic:pic>
              </a:graphicData>
            </a:graphic>
          </wp:inline>
        </w:drawing>
      </w:r>
    </w:p>
    <w:p w14:paraId="7E377589" w14:textId="77777777" w:rsidR="00702A21" w:rsidRDefault="00DD5C1A">
      <w:pPr>
        <w:shd w:val="clear" w:color="auto" w:fill="FFFFFF"/>
        <w:jc w:val="center"/>
        <w:rPr>
          <w:b/>
          <w:sz w:val="22"/>
          <w:szCs w:val="22"/>
        </w:rPr>
      </w:pPr>
      <w:r>
        <w:rPr>
          <w:b/>
          <w:sz w:val="22"/>
          <w:szCs w:val="22"/>
        </w:rPr>
        <w:t>Convention on the Rights of the Child (CRC)</w:t>
      </w:r>
    </w:p>
    <w:p w14:paraId="30A4FFFB" w14:textId="77777777" w:rsidR="00702A21" w:rsidRDefault="00DD5C1A">
      <w:pPr>
        <w:shd w:val="clear" w:color="auto" w:fill="FFFFFF"/>
        <w:jc w:val="center"/>
        <w:rPr>
          <w:b/>
          <w:color w:val="980000"/>
          <w:sz w:val="22"/>
          <w:szCs w:val="22"/>
        </w:rPr>
      </w:pPr>
      <w:r>
        <w:rPr>
          <w:b/>
          <w:color w:val="980000"/>
          <w:sz w:val="22"/>
          <w:szCs w:val="22"/>
        </w:rPr>
        <w:t xml:space="preserve">Submission by the Bahrain Institute For Rights and Democracy (BIRD) </w:t>
      </w:r>
    </w:p>
    <w:p w14:paraId="44FD19B9" w14:textId="77777777" w:rsidR="00702A21" w:rsidRDefault="00DD5C1A">
      <w:pPr>
        <w:jc w:val="center"/>
        <w:rPr>
          <w:color w:val="434343"/>
          <w:sz w:val="22"/>
          <w:szCs w:val="22"/>
        </w:rPr>
      </w:pPr>
      <w:r>
        <w:rPr>
          <w:color w:val="434343"/>
          <w:sz w:val="22"/>
          <w:szCs w:val="22"/>
        </w:rPr>
        <w:t xml:space="preserve">Submission made ahead of the 96th Pre-Sessional Working Group </w:t>
      </w:r>
    </w:p>
    <w:p w14:paraId="3CD0AA5F" w14:textId="77777777" w:rsidR="00702A21" w:rsidRDefault="00DD5C1A">
      <w:pPr>
        <w:jc w:val="center"/>
        <w:rPr>
          <w:color w:val="434343"/>
          <w:sz w:val="22"/>
          <w:szCs w:val="22"/>
        </w:rPr>
      </w:pPr>
      <w:r>
        <w:rPr>
          <w:color w:val="434343"/>
          <w:sz w:val="22"/>
          <w:szCs w:val="22"/>
        </w:rPr>
        <w:t>(25 Sep 2023 - 29 Sep 2023)</w:t>
      </w:r>
    </w:p>
    <w:p w14:paraId="2C24C206" w14:textId="77777777" w:rsidR="00702A21" w:rsidRDefault="00DD5C1A">
      <w:pPr>
        <w:jc w:val="center"/>
        <w:rPr>
          <w:color w:val="434343"/>
          <w:sz w:val="22"/>
          <w:szCs w:val="22"/>
        </w:rPr>
      </w:pPr>
      <w:r>
        <w:rPr>
          <w:color w:val="434343"/>
          <w:sz w:val="22"/>
          <w:szCs w:val="22"/>
        </w:rPr>
        <w:t>June 2023</w:t>
      </w:r>
    </w:p>
    <w:p w14:paraId="19342CE9" w14:textId="77777777" w:rsidR="00702A21" w:rsidRDefault="00702A21">
      <w:pPr>
        <w:shd w:val="clear" w:color="auto" w:fill="FFFFFF"/>
        <w:rPr>
          <w:b/>
          <w:sz w:val="22"/>
          <w:szCs w:val="22"/>
        </w:rPr>
      </w:pPr>
    </w:p>
    <w:p w14:paraId="01AB9A20" w14:textId="77777777" w:rsidR="00702A21" w:rsidRDefault="00DD5C1A">
      <w:pPr>
        <w:shd w:val="clear" w:color="auto" w:fill="FFFFFF"/>
        <w:jc w:val="center"/>
        <w:rPr>
          <w:sz w:val="22"/>
          <w:szCs w:val="22"/>
        </w:rPr>
      </w:pPr>
      <w:r>
        <w:rPr>
          <w:b/>
          <w:sz w:val="22"/>
          <w:szCs w:val="22"/>
        </w:rPr>
        <w:t>Table of Contents</w:t>
      </w:r>
    </w:p>
    <w:sdt>
      <w:sdtPr>
        <w:id w:val="252241676"/>
        <w:docPartObj>
          <w:docPartGallery w:val="Table of Contents"/>
          <w:docPartUnique/>
        </w:docPartObj>
      </w:sdtPr>
      <w:sdtEndPr/>
      <w:sdtContent>
        <w:p w14:paraId="2F4468EF" w14:textId="77777777" w:rsidR="00702A21" w:rsidRDefault="00DD5C1A">
          <w:pPr>
            <w:widowControl w:val="0"/>
            <w:tabs>
              <w:tab w:val="right" w:pos="9025"/>
            </w:tabs>
            <w:spacing w:before="60"/>
            <w:jc w:val="left"/>
            <w:rPr>
              <w:b/>
              <w:color w:val="000000"/>
              <w:sz w:val="22"/>
              <w:szCs w:val="22"/>
            </w:rPr>
          </w:pPr>
          <w:r>
            <w:fldChar w:fldCharType="begin"/>
          </w:r>
          <w:r>
            <w:instrText xml:space="preserve"> TOC \h \u \z \t "Heading 1,1,Heading 2,2,Heading 3,3,Heading 4,4,Heading 5,5,Heading 6,6,"</w:instrText>
          </w:r>
          <w:r>
            <w:fldChar w:fldCharType="separate"/>
          </w:r>
          <w:hyperlink w:anchor="_wczmk9nq08rx">
            <w:r>
              <w:rPr>
                <w:b/>
                <w:color w:val="000000"/>
                <w:sz w:val="22"/>
                <w:szCs w:val="22"/>
              </w:rPr>
              <w:t>1. Introduction</w:t>
            </w:r>
            <w:r>
              <w:rPr>
                <w:b/>
                <w:color w:val="000000"/>
                <w:sz w:val="22"/>
                <w:szCs w:val="22"/>
              </w:rPr>
              <w:tab/>
            </w:r>
          </w:hyperlink>
          <w:r>
            <w:fldChar w:fldCharType="begin"/>
          </w:r>
          <w:r>
            <w:instrText xml:space="preserve"> PAGEREF _wczmk9nq08rx \h </w:instrText>
          </w:r>
          <w:r>
            <w:fldChar w:fldCharType="separate"/>
          </w:r>
          <w:r>
            <w:rPr>
              <w:b/>
              <w:sz w:val="22"/>
              <w:szCs w:val="22"/>
            </w:rPr>
            <w:t>1</w:t>
          </w:r>
          <w:r>
            <w:fldChar w:fldCharType="end"/>
          </w:r>
        </w:p>
        <w:p w14:paraId="6E7A7237" w14:textId="77777777" w:rsidR="00702A21" w:rsidRDefault="00DD5C1A">
          <w:pPr>
            <w:widowControl w:val="0"/>
            <w:tabs>
              <w:tab w:val="right" w:pos="9025"/>
            </w:tabs>
            <w:spacing w:before="60"/>
            <w:ind w:left="360"/>
            <w:jc w:val="left"/>
            <w:rPr>
              <w:color w:val="000000"/>
              <w:sz w:val="22"/>
              <w:szCs w:val="22"/>
            </w:rPr>
          </w:pPr>
          <w:hyperlink w:anchor="_nv35yd3owqo2">
            <w:r>
              <w:rPr>
                <w:color w:val="000000"/>
                <w:sz w:val="22"/>
                <w:szCs w:val="22"/>
              </w:rPr>
              <w:t>1.1. Summary</w:t>
            </w:r>
            <w:r>
              <w:rPr>
                <w:color w:val="000000"/>
                <w:sz w:val="22"/>
                <w:szCs w:val="22"/>
              </w:rPr>
              <w:tab/>
            </w:r>
          </w:hyperlink>
          <w:r>
            <w:fldChar w:fldCharType="begin"/>
          </w:r>
          <w:r>
            <w:instrText xml:space="preserve"> PAGEREF _nv35yd3owqo2 \h </w:instrText>
          </w:r>
          <w:r>
            <w:fldChar w:fldCharType="separate"/>
          </w:r>
          <w:r>
            <w:rPr>
              <w:sz w:val="22"/>
              <w:szCs w:val="22"/>
            </w:rPr>
            <w:t>2</w:t>
          </w:r>
          <w:r>
            <w:fldChar w:fldCharType="end"/>
          </w:r>
        </w:p>
        <w:p w14:paraId="6A7C8D35" w14:textId="77777777" w:rsidR="00702A21" w:rsidRDefault="00DD5C1A">
          <w:pPr>
            <w:widowControl w:val="0"/>
            <w:tabs>
              <w:tab w:val="right" w:pos="9025"/>
            </w:tabs>
            <w:spacing w:before="60"/>
            <w:ind w:left="360"/>
            <w:jc w:val="left"/>
            <w:rPr>
              <w:color w:val="000000"/>
              <w:sz w:val="22"/>
              <w:szCs w:val="22"/>
            </w:rPr>
          </w:pPr>
          <w:hyperlink w:anchor="_jy52lv41qfjv">
            <w:r>
              <w:rPr>
                <w:color w:val="000000"/>
                <w:sz w:val="22"/>
                <w:szCs w:val="22"/>
              </w:rPr>
              <w:t>1.2. Recommendations</w:t>
            </w:r>
            <w:r>
              <w:rPr>
                <w:color w:val="000000"/>
                <w:sz w:val="22"/>
                <w:szCs w:val="22"/>
              </w:rPr>
              <w:tab/>
            </w:r>
          </w:hyperlink>
          <w:r>
            <w:fldChar w:fldCharType="begin"/>
          </w:r>
          <w:r>
            <w:instrText xml:space="preserve"> PAGEREF _jy52lv41qfjv \h </w:instrText>
          </w:r>
          <w:r>
            <w:fldChar w:fldCharType="separate"/>
          </w:r>
          <w:r>
            <w:rPr>
              <w:sz w:val="22"/>
              <w:szCs w:val="22"/>
            </w:rPr>
            <w:t>3</w:t>
          </w:r>
          <w:r>
            <w:fldChar w:fldCharType="end"/>
          </w:r>
        </w:p>
        <w:p w14:paraId="47421361" w14:textId="77777777" w:rsidR="00702A21" w:rsidRDefault="00DD5C1A">
          <w:pPr>
            <w:widowControl w:val="0"/>
            <w:tabs>
              <w:tab w:val="right" w:pos="9025"/>
            </w:tabs>
            <w:spacing w:before="60"/>
            <w:jc w:val="left"/>
            <w:rPr>
              <w:b/>
              <w:color w:val="000000"/>
              <w:sz w:val="22"/>
              <w:szCs w:val="22"/>
            </w:rPr>
          </w:pPr>
          <w:hyperlink w:anchor="_4dy2uv2ptijo">
            <w:r>
              <w:rPr>
                <w:b/>
                <w:color w:val="000000"/>
                <w:sz w:val="22"/>
                <w:szCs w:val="22"/>
              </w:rPr>
              <w:t>2. Imprisonment, Torture and Trial of Children</w:t>
            </w:r>
            <w:r>
              <w:rPr>
                <w:b/>
                <w:color w:val="000000"/>
                <w:sz w:val="22"/>
                <w:szCs w:val="22"/>
              </w:rPr>
              <w:tab/>
            </w:r>
          </w:hyperlink>
          <w:r>
            <w:fldChar w:fldCharType="begin"/>
          </w:r>
          <w:r>
            <w:instrText xml:space="preserve"> PAGEREF _4dy2uv2ptijo \h </w:instrText>
          </w:r>
          <w:r>
            <w:fldChar w:fldCharType="separate"/>
          </w:r>
          <w:r>
            <w:rPr>
              <w:b/>
              <w:sz w:val="22"/>
              <w:szCs w:val="22"/>
            </w:rPr>
            <w:t>4</w:t>
          </w:r>
          <w:r>
            <w:fldChar w:fldCharType="end"/>
          </w:r>
        </w:p>
        <w:p w14:paraId="4CEE4402" w14:textId="77777777" w:rsidR="00702A21" w:rsidRDefault="00DD5C1A">
          <w:pPr>
            <w:widowControl w:val="0"/>
            <w:tabs>
              <w:tab w:val="right" w:pos="9025"/>
            </w:tabs>
            <w:spacing w:before="60"/>
            <w:ind w:left="360"/>
            <w:jc w:val="left"/>
            <w:rPr>
              <w:color w:val="000000"/>
              <w:sz w:val="22"/>
              <w:szCs w:val="22"/>
            </w:rPr>
          </w:pPr>
          <w:hyperlink w:anchor="_c8ixvmfa8ysx">
            <w:r>
              <w:rPr>
                <w:color w:val="000000"/>
                <w:sz w:val="22"/>
                <w:szCs w:val="22"/>
              </w:rPr>
              <w:t>2.1. Case study one: Physical assault and arrest of minors in February-March 2021</w:t>
            </w:r>
            <w:r>
              <w:rPr>
                <w:color w:val="000000"/>
                <w:sz w:val="22"/>
                <w:szCs w:val="22"/>
              </w:rPr>
              <w:tab/>
            </w:r>
          </w:hyperlink>
          <w:r>
            <w:fldChar w:fldCharType="begin"/>
          </w:r>
          <w:r>
            <w:instrText xml:space="preserve"> PAGEREF _c8ixvmfa8ysx \h </w:instrText>
          </w:r>
          <w:r>
            <w:fldChar w:fldCharType="separate"/>
          </w:r>
          <w:r>
            <w:rPr>
              <w:sz w:val="22"/>
              <w:szCs w:val="22"/>
            </w:rPr>
            <w:t>4</w:t>
          </w:r>
          <w:r>
            <w:fldChar w:fldCharType="end"/>
          </w:r>
        </w:p>
        <w:p w14:paraId="6BB3DD69" w14:textId="77777777" w:rsidR="00702A21" w:rsidRDefault="00DD5C1A">
          <w:pPr>
            <w:widowControl w:val="0"/>
            <w:tabs>
              <w:tab w:val="right" w:pos="9025"/>
            </w:tabs>
            <w:spacing w:before="60"/>
            <w:ind w:left="1080"/>
            <w:jc w:val="left"/>
            <w:rPr>
              <w:color w:val="000000"/>
              <w:sz w:val="22"/>
              <w:szCs w:val="22"/>
            </w:rPr>
          </w:pPr>
          <w:hyperlink w:anchor="_n638sj2irre4">
            <w:r>
              <w:rPr>
                <w:color w:val="000000"/>
                <w:sz w:val="22"/>
                <w:szCs w:val="22"/>
              </w:rPr>
              <w:t>Incident 1</w:t>
            </w:r>
            <w:r>
              <w:rPr>
                <w:color w:val="000000"/>
                <w:sz w:val="22"/>
                <w:szCs w:val="22"/>
              </w:rPr>
              <w:tab/>
            </w:r>
          </w:hyperlink>
          <w:r>
            <w:fldChar w:fldCharType="begin"/>
          </w:r>
          <w:r>
            <w:instrText xml:space="preserve"> PAGEREF</w:instrText>
          </w:r>
          <w:r>
            <w:instrText xml:space="preserve"> _n638sj2irre4 \h </w:instrText>
          </w:r>
          <w:r>
            <w:fldChar w:fldCharType="separate"/>
          </w:r>
          <w:r>
            <w:rPr>
              <w:sz w:val="22"/>
              <w:szCs w:val="22"/>
            </w:rPr>
            <w:t>6</w:t>
          </w:r>
          <w:r>
            <w:fldChar w:fldCharType="end"/>
          </w:r>
        </w:p>
        <w:p w14:paraId="6E41F96E" w14:textId="77777777" w:rsidR="00702A21" w:rsidRDefault="00DD5C1A">
          <w:pPr>
            <w:widowControl w:val="0"/>
            <w:tabs>
              <w:tab w:val="right" w:pos="9025"/>
            </w:tabs>
            <w:spacing w:before="60"/>
            <w:ind w:left="1080"/>
            <w:jc w:val="left"/>
            <w:rPr>
              <w:color w:val="000000"/>
              <w:sz w:val="22"/>
              <w:szCs w:val="22"/>
            </w:rPr>
          </w:pPr>
          <w:hyperlink w:anchor="_9gl2chltwau9">
            <w:r>
              <w:rPr>
                <w:color w:val="000000"/>
                <w:sz w:val="22"/>
                <w:szCs w:val="22"/>
              </w:rPr>
              <w:t>Incident 2</w:t>
            </w:r>
            <w:r>
              <w:rPr>
                <w:color w:val="000000"/>
                <w:sz w:val="22"/>
                <w:szCs w:val="22"/>
              </w:rPr>
              <w:tab/>
            </w:r>
          </w:hyperlink>
          <w:r>
            <w:fldChar w:fldCharType="begin"/>
          </w:r>
          <w:r>
            <w:instrText xml:space="preserve"> PAGEREF _9gl2chltwau9 \h </w:instrText>
          </w:r>
          <w:r>
            <w:fldChar w:fldCharType="separate"/>
          </w:r>
          <w:r>
            <w:rPr>
              <w:sz w:val="22"/>
              <w:szCs w:val="22"/>
            </w:rPr>
            <w:t>7</w:t>
          </w:r>
          <w:r>
            <w:fldChar w:fldCharType="end"/>
          </w:r>
        </w:p>
        <w:p w14:paraId="740AED90" w14:textId="77777777" w:rsidR="00702A21" w:rsidRDefault="00DD5C1A">
          <w:pPr>
            <w:widowControl w:val="0"/>
            <w:tabs>
              <w:tab w:val="right" w:pos="9025"/>
            </w:tabs>
            <w:spacing w:before="60"/>
            <w:ind w:left="1080"/>
            <w:jc w:val="left"/>
            <w:rPr>
              <w:color w:val="000000"/>
              <w:sz w:val="22"/>
              <w:szCs w:val="22"/>
            </w:rPr>
          </w:pPr>
          <w:hyperlink w:anchor="_ko7ct3uv6ie3">
            <w:r>
              <w:rPr>
                <w:color w:val="000000"/>
                <w:sz w:val="22"/>
                <w:szCs w:val="22"/>
              </w:rPr>
              <w:t>Incident 3</w:t>
            </w:r>
            <w:r>
              <w:rPr>
                <w:color w:val="000000"/>
                <w:sz w:val="22"/>
                <w:szCs w:val="22"/>
              </w:rPr>
              <w:tab/>
            </w:r>
          </w:hyperlink>
          <w:r>
            <w:fldChar w:fldCharType="begin"/>
          </w:r>
          <w:r>
            <w:instrText xml:space="preserve"> PAGEREF _ko7ct3uv6ie3 \h </w:instrText>
          </w:r>
          <w:r>
            <w:fldChar w:fldCharType="separate"/>
          </w:r>
          <w:r>
            <w:rPr>
              <w:sz w:val="22"/>
              <w:szCs w:val="22"/>
            </w:rPr>
            <w:t>7</w:t>
          </w:r>
          <w:r>
            <w:fldChar w:fldCharType="end"/>
          </w:r>
        </w:p>
        <w:p w14:paraId="6248B036" w14:textId="77777777" w:rsidR="00702A21" w:rsidRDefault="00DD5C1A">
          <w:pPr>
            <w:widowControl w:val="0"/>
            <w:tabs>
              <w:tab w:val="right" w:pos="9025"/>
            </w:tabs>
            <w:spacing w:before="60"/>
            <w:ind w:left="1080"/>
            <w:jc w:val="left"/>
            <w:rPr>
              <w:color w:val="000000"/>
              <w:sz w:val="22"/>
              <w:szCs w:val="22"/>
            </w:rPr>
          </w:pPr>
          <w:hyperlink w:anchor="_3vn29t3dnk1y">
            <w:r>
              <w:rPr>
                <w:color w:val="000000"/>
                <w:sz w:val="22"/>
                <w:szCs w:val="22"/>
              </w:rPr>
              <w:t>Incident 4</w:t>
            </w:r>
            <w:r>
              <w:rPr>
                <w:color w:val="000000"/>
                <w:sz w:val="22"/>
                <w:szCs w:val="22"/>
              </w:rPr>
              <w:tab/>
            </w:r>
          </w:hyperlink>
          <w:r>
            <w:fldChar w:fldCharType="begin"/>
          </w:r>
          <w:r>
            <w:instrText xml:space="preserve"> PAGEREF _3vn29t3dnk1y \h </w:instrText>
          </w:r>
          <w:r>
            <w:fldChar w:fldCharType="separate"/>
          </w:r>
          <w:r>
            <w:rPr>
              <w:sz w:val="22"/>
              <w:szCs w:val="22"/>
            </w:rPr>
            <w:t>8</w:t>
          </w:r>
          <w:r>
            <w:fldChar w:fldCharType="end"/>
          </w:r>
        </w:p>
        <w:p w14:paraId="199CEE0C" w14:textId="77777777" w:rsidR="00702A21" w:rsidRDefault="00DD5C1A">
          <w:pPr>
            <w:widowControl w:val="0"/>
            <w:tabs>
              <w:tab w:val="right" w:pos="9025"/>
            </w:tabs>
            <w:spacing w:before="60"/>
            <w:ind w:left="1080"/>
            <w:jc w:val="left"/>
            <w:rPr>
              <w:color w:val="000000"/>
              <w:sz w:val="22"/>
              <w:szCs w:val="22"/>
            </w:rPr>
          </w:pPr>
          <w:hyperlink w:anchor="_12z7ebko9j89">
            <w:r>
              <w:rPr>
                <w:color w:val="000000"/>
                <w:sz w:val="22"/>
                <w:szCs w:val="22"/>
              </w:rPr>
              <w:t>Incident 5</w:t>
            </w:r>
            <w:r>
              <w:rPr>
                <w:color w:val="000000"/>
                <w:sz w:val="22"/>
                <w:szCs w:val="22"/>
              </w:rPr>
              <w:tab/>
            </w:r>
          </w:hyperlink>
          <w:r>
            <w:fldChar w:fldCharType="begin"/>
          </w:r>
          <w:r>
            <w:instrText xml:space="preserve"> P</w:instrText>
          </w:r>
          <w:r>
            <w:instrText xml:space="preserve">AGEREF _12z7ebko9j89 \h </w:instrText>
          </w:r>
          <w:r>
            <w:fldChar w:fldCharType="separate"/>
          </w:r>
          <w:r>
            <w:rPr>
              <w:sz w:val="22"/>
              <w:szCs w:val="22"/>
            </w:rPr>
            <w:t>9</w:t>
          </w:r>
          <w:r>
            <w:fldChar w:fldCharType="end"/>
          </w:r>
        </w:p>
        <w:p w14:paraId="34650173" w14:textId="77777777" w:rsidR="00702A21" w:rsidRDefault="00DD5C1A">
          <w:pPr>
            <w:widowControl w:val="0"/>
            <w:tabs>
              <w:tab w:val="right" w:pos="9025"/>
            </w:tabs>
            <w:spacing w:before="60"/>
            <w:ind w:left="720"/>
            <w:jc w:val="left"/>
            <w:rPr>
              <w:color w:val="000000"/>
              <w:sz w:val="22"/>
              <w:szCs w:val="22"/>
            </w:rPr>
          </w:pPr>
          <w:hyperlink w:anchor="_1heil7rzn0sa">
            <w:r>
              <w:rPr>
                <w:color w:val="000000"/>
                <w:sz w:val="22"/>
                <w:szCs w:val="22"/>
              </w:rPr>
              <w:t>Authorities deny abuse: Update on case study 1, June 2021</w:t>
            </w:r>
            <w:r>
              <w:rPr>
                <w:color w:val="000000"/>
                <w:sz w:val="22"/>
                <w:szCs w:val="22"/>
              </w:rPr>
              <w:tab/>
            </w:r>
          </w:hyperlink>
          <w:r>
            <w:fldChar w:fldCharType="begin"/>
          </w:r>
          <w:r>
            <w:instrText xml:space="preserve"> PAGEREF _1heil7rzn0sa \h </w:instrText>
          </w:r>
          <w:r>
            <w:fldChar w:fldCharType="separate"/>
          </w:r>
          <w:r>
            <w:rPr>
              <w:sz w:val="22"/>
              <w:szCs w:val="22"/>
            </w:rPr>
            <w:t>10</w:t>
          </w:r>
          <w:r>
            <w:fldChar w:fldCharType="end"/>
          </w:r>
        </w:p>
        <w:p w14:paraId="21F5705F" w14:textId="77777777" w:rsidR="00702A21" w:rsidRDefault="00DD5C1A">
          <w:pPr>
            <w:widowControl w:val="0"/>
            <w:tabs>
              <w:tab w:val="right" w:pos="9025"/>
            </w:tabs>
            <w:spacing w:before="60"/>
            <w:ind w:left="360"/>
            <w:jc w:val="left"/>
            <w:rPr>
              <w:color w:val="000000"/>
              <w:sz w:val="22"/>
              <w:szCs w:val="22"/>
            </w:rPr>
          </w:pPr>
          <w:hyperlink w:anchor="_758arsjgey2k">
            <w:r>
              <w:rPr>
                <w:color w:val="000000"/>
                <w:sz w:val="22"/>
                <w:szCs w:val="22"/>
              </w:rPr>
              <w:t>2.2. Case study two: Boys arbitrarily detained in orphanage</w:t>
            </w:r>
            <w:r>
              <w:rPr>
                <w:color w:val="000000"/>
                <w:sz w:val="22"/>
                <w:szCs w:val="22"/>
              </w:rPr>
              <w:tab/>
            </w:r>
          </w:hyperlink>
          <w:r>
            <w:fldChar w:fldCharType="begin"/>
          </w:r>
          <w:r>
            <w:instrText xml:space="preserve"> PAGEREF _758arsjgey2k \h </w:instrText>
          </w:r>
          <w:r>
            <w:fldChar w:fldCharType="separate"/>
          </w:r>
          <w:r>
            <w:rPr>
              <w:sz w:val="22"/>
              <w:szCs w:val="22"/>
            </w:rPr>
            <w:t>13</w:t>
          </w:r>
          <w:r>
            <w:fldChar w:fldCharType="end"/>
          </w:r>
        </w:p>
        <w:p w14:paraId="5FE4ACF3" w14:textId="77777777" w:rsidR="00702A21" w:rsidRDefault="00DD5C1A">
          <w:pPr>
            <w:widowControl w:val="0"/>
            <w:tabs>
              <w:tab w:val="right" w:pos="9025"/>
            </w:tabs>
            <w:spacing w:before="60"/>
            <w:ind w:left="720"/>
            <w:jc w:val="left"/>
            <w:rPr>
              <w:color w:val="000000"/>
              <w:sz w:val="22"/>
              <w:szCs w:val="22"/>
            </w:rPr>
          </w:pPr>
          <w:hyperlink w:anchor="_bjz6up2v0nai">
            <w:r>
              <w:rPr>
                <w:color w:val="000000"/>
                <w:sz w:val="22"/>
                <w:szCs w:val="22"/>
              </w:rPr>
              <w:t>Update on Case Study 2: Unfair sentencing in March 2022.</w:t>
            </w:r>
            <w:r>
              <w:rPr>
                <w:color w:val="000000"/>
                <w:sz w:val="22"/>
                <w:szCs w:val="22"/>
              </w:rPr>
              <w:tab/>
            </w:r>
          </w:hyperlink>
          <w:r>
            <w:fldChar w:fldCharType="begin"/>
          </w:r>
          <w:r>
            <w:instrText xml:space="preserve"> PAGEREF _bjz6up2v0nai \h </w:instrText>
          </w:r>
          <w:r>
            <w:fldChar w:fldCharType="separate"/>
          </w:r>
          <w:r>
            <w:rPr>
              <w:sz w:val="22"/>
              <w:szCs w:val="22"/>
            </w:rPr>
            <w:t>16</w:t>
          </w:r>
          <w:r>
            <w:fldChar w:fldCharType="end"/>
          </w:r>
        </w:p>
        <w:p w14:paraId="62CBC835" w14:textId="77777777" w:rsidR="00702A21" w:rsidRDefault="00DD5C1A">
          <w:pPr>
            <w:widowControl w:val="0"/>
            <w:tabs>
              <w:tab w:val="right" w:pos="9025"/>
            </w:tabs>
            <w:spacing w:before="60"/>
            <w:jc w:val="left"/>
            <w:rPr>
              <w:b/>
              <w:color w:val="000000"/>
              <w:sz w:val="22"/>
              <w:szCs w:val="22"/>
            </w:rPr>
          </w:pPr>
          <w:hyperlink w:anchor="_dv4flbdwk2d9">
            <w:r>
              <w:rPr>
                <w:b/>
                <w:color w:val="000000"/>
                <w:sz w:val="22"/>
                <w:szCs w:val="22"/>
              </w:rPr>
              <w:t>3. Extrajudicial Killing of M</w:t>
            </w:r>
            <w:r>
              <w:rPr>
                <w:b/>
                <w:color w:val="000000"/>
                <w:sz w:val="22"/>
                <w:szCs w:val="22"/>
              </w:rPr>
              <w:t>inors by Bahraini Authorities</w:t>
            </w:r>
            <w:r>
              <w:rPr>
                <w:b/>
                <w:color w:val="000000"/>
                <w:sz w:val="22"/>
                <w:szCs w:val="22"/>
              </w:rPr>
              <w:tab/>
            </w:r>
          </w:hyperlink>
          <w:r>
            <w:fldChar w:fldCharType="begin"/>
          </w:r>
          <w:r>
            <w:instrText xml:space="preserve"> PAGEREF _dv4flbdwk2d9 \h </w:instrText>
          </w:r>
          <w:r>
            <w:fldChar w:fldCharType="separate"/>
          </w:r>
          <w:r>
            <w:rPr>
              <w:b/>
              <w:sz w:val="22"/>
              <w:szCs w:val="22"/>
            </w:rPr>
            <w:t>17</w:t>
          </w:r>
          <w:r>
            <w:fldChar w:fldCharType="end"/>
          </w:r>
        </w:p>
        <w:p w14:paraId="3ECC829A" w14:textId="77777777" w:rsidR="00702A21" w:rsidRDefault="00DD5C1A">
          <w:pPr>
            <w:widowControl w:val="0"/>
            <w:tabs>
              <w:tab w:val="right" w:pos="9025"/>
            </w:tabs>
            <w:spacing w:before="60"/>
            <w:jc w:val="left"/>
            <w:rPr>
              <w:b/>
              <w:color w:val="000000"/>
              <w:sz w:val="22"/>
              <w:szCs w:val="22"/>
            </w:rPr>
          </w:pPr>
          <w:hyperlink w:anchor="_d832t68yds6i">
            <w:r>
              <w:rPr>
                <w:b/>
                <w:color w:val="000000"/>
                <w:sz w:val="22"/>
                <w:szCs w:val="22"/>
              </w:rPr>
              <w:t>4. Analysis of Law No. 4/2021</w:t>
            </w:r>
            <w:r>
              <w:rPr>
                <w:b/>
                <w:color w:val="000000"/>
                <w:sz w:val="22"/>
                <w:szCs w:val="22"/>
              </w:rPr>
              <w:tab/>
            </w:r>
          </w:hyperlink>
          <w:r>
            <w:fldChar w:fldCharType="begin"/>
          </w:r>
          <w:r>
            <w:instrText xml:space="preserve"> PAGEREF _d832t68yds6i \h </w:instrText>
          </w:r>
          <w:r>
            <w:fldChar w:fldCharType="separate"/>
          </w:r>
          <w:r>
            <w:rPr>
              <w:b/>
              <w:sz w:val="22"/>
              <w:szCs w:val="22"/>
            </w:rPr>
            <w:t>19</w:t>
          </w:r>
          <w:r>
            <w:fldChar w:fldCharType="end"/>
          </w:r>
        </w:p>
        <w:p w14:paraId="46BB369F" w14:textId="77777777" w:rsidR="00702A21" w:rsidRDefault="00DD5C1A">
          <w:pPr>
            <w:widowControl w:val="0"/>
            <w:tabs>
              <w:tab w:val="right" w:pos="9025"/>
            </w:tabs>
            <w:spacing w:before="60"/>
            <w:ind w:left="720"/>
            <w:jc w:val="left"/>
            <w:rPr>
              <w:color w:val="000000"/>
              <w:sz w:val="22"/>
              <w:szCs w:val="22"/>
            </w:rPr>
          </w:pPr>
          <w:hyperlink w:anchor="_pzhui0axx7qx">
            <w:r>
              <w:rPr>
                <w:color w:val="000000"/>
                <w:sz w:val="22"/>
                <w:szCs w:val="22"/>
              </w:rPr>
              <w:t>4.1 Legislative analysis</w:t>
            </w:r>
            <w:r>
              <w:rPr>
                <w:color w:val="000000"/>
                <w:sz w:val="22"/>
                <w:szCs w:val="22"/>
              </w:rPr>
              <w:tab/>
            </w:r>
          </w:hyperlink>
          <w:r>
            <w:fldChar w:fldCharType="begin"/>
          </w:r>
          <w:r>
            <w:instrText xml:space="preserve"> PAGEREF _pzhui0axx7qx \h </w:instrText>
          </w:r>
          <w:r>
            <w:fldChar w:fldCharType="separate"/>
          </w:r>
          <w:r>
            <w:rPr>
              <w:sz w:val="22"/>
              <w:szCs w:val="22"/>
            </w:rPr>
            <w:t>19</w:t>
          </w:r>
          <w:r>
            <w:fldChar w:fldCharType="end"/>
          </w:r>
        </w:p>
        <w:p w14:paraId="172B4216" w14:textId="77777777" w:rsidR="00702A21" w:rsidRDefault="00DD5C1A">
          <w:pPr>
            <w:widowControl w:val="0"/>
            <w:tabs>
              <w:tab w:val="right" w:pos="9025"/>
            </w:tabs>
            <w:spacing w:before="60"/>
            <w:ind w:left="720"/>
            <w:jc w:val="left"/>
            <w:rPr>
              <w:color w:val="000000"/>
              <w:sz w:val="22"/>
              <w:szCs w:val="22"/>
            </w:rPr>
          </w:pPr>
          <w:hyperlink w:anchor="_qrubj92utoep">
            <w:r>
              <w:rPr>
                <w:color w:val="000000"/>
                <w:sz w:val="22"/>
                <w:szCs w:val="22"/>
              </w:rPr>
              <w:t>4.2 Failure to review cases of minors prosecuted as adults prior to the implementation of L</w:t>
            </w:r>
            <w:r>
              <w:rPr>
                <w:color w:val="000000"/>
                <w:sz w:val="22"/>
                <w:szCs w:val="22"/>
              </w:rPr>
              <w:t>aw No.4/2021</w:t>
            </w:r>
            <w:r>
              <w:rPr>
                <w:color w:val="000000"/>
                <w:sz w:val="22"/>
                <w:szCs w:val="22"/>
              </w:rPr>
              <w:tab/>
            </w:r>
          </w:hyperlink>
          <w:r>
            <w:fldChar w:fldCharType="begin"/>
          </w:r>
          <w:r>
            <w:instrText xml:space="preserve"> PAGEREF _qrubj92utoep \h </w:instrText>
          </w:r>
          <w:r>
            <w:fldChar w:fldCharType="separate"/>
          </w:r>
          <w:r>
            <w:rPr>
              <w:sz w:val="22"/>
              <w:szCs w:val="22"/>
            </w:rPr>
            <w:t>20</w:t>
          </w:r>
          <w:r>
            <w:fldChar w:fldCharType="end"/>
          </w:r>
        </w:p>
        <w:p w14:paraId="7193150A" w14:textId="77777777" w:rsidR="00702A21" w:rsidRDefault="00DD5C1A">
          <w:pPr>
            <w:widowControl w:val="0"/>
            <w:tabs>
              <w:tab w:val="right" w:pos="9025"/>
            </w:tabs>
            <w:spacing w:before="60"/>
            <w:jc w:val="left"/>
            <w:rPr>
              <w:b/>
              <w:color w:val="000000"/>
              <w:sz w:val="22"/>
              <w:szCs w:val="22"/>
            </w:rPr>
          </w:pPr>
          <w:hyperlink w:anchor="_gx7q91lyksms">
            <w:r>
              <w:rPr>
                <w:b/>
                <w:color w:val="000000"/>
                <w:sz w:val="22"/>
                <w:szCs w:val="22"/>
              </w:rPr>
              <w:t>5. Ongoing Imprisonment of Individuals Committing Crimes as Children</w:t>
            </w:r>
            <w:r>
              <w:rPr>
                <w:b/>
                <w:color w:val="000000"/>
                <w:sz w:val="22"/>
                <w:szCs w:val="22"/>
              </w:rPr>
              <w:tab/>
            </w:r>
          </w:hyperlink>
          <w:r>
            <w:fldChar w:fldCharType="begin"/>
          </w:r>
          <w:r>
            <w:instrText xml:space="preserve"> PAGEREF _gx7q91lyksms \h </w:instrText>
          </w:r>
          <w:r>
            <w:fldChar w:fldCharType="separate"/>
          </w:r>
          <w:r>
            <w:rPr>
              <w:b/>
              <w:sz w:val="22"/>
              <w:szCs w:val="22"/>
            </w:rPr>
            <w:t>21</w:t>
          </w:r>
          <w:r>
            <w:fldChar w:fldCharType="end"/>
          </w:r>
        </w:p>
        <w:p w14:paraId="329B12AD" w14:textId="77777777" w:rsidR="00702A21" w:rsidRDefault="00DD5C1A">
          <w:pPr>
            <w:widowControl w:val="0"/>
            <w:tabs>
              <w:tab w:val="right" w:pos="9025"/>
            </w:tabs>
            <w:spacing w:before="60"/>
            <w:jc w:val="left"/>
            <w:rPr>
              <w:b/>
              <w:color w:val="000000"/>
              <w:sz w:val="22"/>
              <w:szCs w:val="22"/>
            </w:rPr>
          </w:pPr>
          <w:hyperlink w:anchor="_ddjewh4duawb">
            <w:r>
              <w:rPr>
                <w:b/>
                <w:color w:val="000000"/>
                <w:sz w:val="22"/>
                <w:szCs w:val="22"/>
              </w:rPr>
              <w:t>6. Deprivation of Citizenship Rights to Children</w:t>
            </w:r>
            <w:r>
              <w:rPr>
                <w:b/>
                <w:color w:val="000000"/>
                <w:sz w:val="22"/>
                <w:szCs w:val="22"/>
              </w:rPr>
              <w:tab/>
            </w:r>
          </w:hyperlink>
          <w:r>
            <w:fldChar w:fldCharType="begin"/>
          </w:r>
          <w:r>
            <w:instrText xml:space="preserve"> PAGEREF _ddjewh4duawb \h </w:instrText>
          </w:r>
          <w:r>
            <w:fldChar w:fldCharType="separate"/>
          </w:r>
          <w:r>
            <w:rPr>
              <w:b/>
              <w:sz w:val="22"/>
              <w:szCs w:val="22"/>
            </w:rPr>
            <w:t>22</w:t>
          </w:r>
          <w:r>
            <w:fldChar w:fldCharType="end"/>
          </w:r>
        </w:p>
        <w:p w14:paraId="02283C03" w14:textId="77777777" w:rsidR="00702A21" w:rsidRDefault="00DD5C1A">
          <w:pPr>
            <w:widowControl w:val="0"/>
            <w:tabs>
              <w:tab w:val="right" w:pos="9025"/>
            </w:tabs>
            <w:spacing w:before="60"/>
            <w:ind w:left="360"/>
            <w:jc w:val="left"/>
            <w:rPr>
              <w:color w:val="000000"/>
              <w:sz w:val="22"/>
              <w:szCs w:val="22"/>
            </w:rPr>
          </w:pPr>
          <w:hyperlink w:anchor="_rzdxduhan3su">
            <w:r>
              <w:rPr>
                <w:color w:val="000000"/>
                <w:sz w:val="22"/>
                <w:szCs w:val="22"/>
              </w:rPr>
              <w:t>3.1. Legal framework</w:t>
            </w:r>
            <w:r>
              <w:rPr>
                <w:color w:val="000000"/>
                <w:sz w:val="22"/>
                <w:szCs w:val="22"/>
              </w:rPr>
              <w:tab/>
            </w:r>
          </w:hyperlink>
          <w:r>
            <w:fldChar w:fldCharType="begin"/>
          </w:r>
          <w:r>
            <w:instrText xml:space="preserve"> PAGEREF _rzdxduhan3su \h </w:instrText>
          </w:r>
          <w:r>
            <w:fldChar w:fldCharType="separate"/>
          </w:r>
          <w:r>
            <w:rPr>
              <w:sz w:val="22"/>
              <w:szCs w:val="22"/>
            </w:rPr>
            <w:t>22</w:t>
          </w:r>
          <w:r>
            <w:fldChar w:fldCharType="end"/>
          </w:r>
        </w:p>
        <w:p w14:paraId="5C92E54D" w14:textId="77777777" w:rsidR="00702A21" w:rsidRDefault="00DD5C1A">
          <w:pPr>
            <w:widowControl w:val="0"/>
            <w:tabs>
              <w:tab w:val="right" w:pos="9025"/>
            </w:tabs>
            <w:spacing w:before="60"/>
            <w:ind w:left="360"/>
            <w:jc w:val="left"/>
            <w:rPr>
              <w:color w:val="000000"/>
              <w:sz w:val="22"/>
              <w:szCs w:val="22"/>
            </w:rPr>
          </w:pPr>
          <w:hyperlink w:anchor="_7sm04mcqtyud">
            <w:r>
              <w:rPr>
                <w:color w:val="000000"/>
                <w:sz w:val="22"/>
                <w:szCs w:val="22"/>
              </w:rPr>
              <w:t>3.2. Case studies of individuals and their children impacted</w:t>
            </w:r>
            <w:r>
              <w:rPr>
                <w:color w:val="000000"/>
                <w:sz w:val="22"/>
                <w:szCs w:val="22"/>
              </w:rPr>
              <w:tab/>
            </w:r>
          </w:hyperlink>
          <w:r>
            <w:fldChar w:fldCharType="begin"/>
          </w:r>
          <w:r>
            <w:instrText xml:space="preserve"> PAGEREF _7sm04mcqtyud \h </w:instrText>
          </w:r>
          <w:r>
            <w:fldChar w:fldCharType="separate"/>
          </w:r>
          <w:r>
            <w:rPr>
              <w:sz w:val="22"/>
              <w:szCs w:val="22"/>
            </w:rPr>
            <w:t>25</w:t>
          </w:r>
          <w:r>
            <w:fldChar w:fldCharType="end"/>
          </w:r>
        </w:p>
        <w:p w14:paraId="0A73AD3F" w14:textId="77777777" w:rsidR="00702A21" w:rsidRDefault="00DD5C1A">
          <w:pPr>
            <w:widowControl w:val="0"/>
            <w:tabs>
              <w:tab w:val="right" w:pos="9025"/>
            </w:tabs>
            <w:spacing w:before="60"/>
            <w:ind w:left="360"/>
            <w:jc w:val="left"/>
            <w:rPr>
              <w:color w:val="000000"/>
              <w:sz w:val="22"/>
              <w:szCs w:val="22"/>
            </w:rPr>
          </w:pPr>
          <w:hyperlink w:anchor="_irj7frqkkhhx">
            <w:r>
              <w:rPr>
                <w:color w:val="000000"/>
                <w:sz w:val="22"/>
                <w:szCs w:val="22"/>
              </w:rPr>
              <w:t>3.3. UPR recommendations</w:t>
            </w:r>
            <w:r>
              <w:rPr>
                <w:color w:val="000000"/>
                <w:sz w:val="22"/>
                <w:szCs w:val="22"/>
              </w:rPr>
              <w:tab/>
            </w:r>
          </w:hyperlink>
          <w:r>
            <w:fldChar w:fldCharType="begin"/>
          </w:r>
          <w:r>
            <w:instrText xml:space="preserve"> PAGEREF _irj7frqkkhhx \h </w:instrText>
          </w:r>
          <w:r>
            <w:fldChar w:fldCharType="separate"/>
          </w:r>
          <w:r>
            <w:rPr>
              <w:sz w:val="22"/>
              <w:szCs w:val="22"/>
            </w:rPr>
            <w:t>28</w:t>
          </w:r>
          <w:r>
            <w:fldChar w:fldCharType="end"/>
          </w:r>
          <w:r>
            <w:fldChar w:fldCharType="end"/>
          </w:r>
        </w:p>
      </w:sdtContent>
    </w:sdt>
    <w:p w14:paraId="12C9EE15" w14:textId="77777777" w:rsidR="00702A21" w:rsidRDefault="00702A21">
      <w:pPr>
        <w:rPr>
          <w:i/>
          <w:sz w:val="22"/>
          <w:szCs w:val="22"/>
        </w:rPr>
      </w:pPr>
    </w:p>
    <w:p w14:paraId="67BF44D6" w14:textId="77777777" w:rsidR="00702A21" w:rsidRDefault="00DD5C1A">
      <w:pPr>
        <w:rPr>
          <w:i/>
          <w:sz w:val="22"/>
          <w:szCs w:val="22"/>
        </w:rPr>
      </w:pPr>
      <w:r>
        <w:br w:type="page"/>
      </w:r>
    </w:p>
    <w:p w14:paraId="2FC0C233" w14:textId="77777777" w:rsidR="00702A21" w:rsidRDefault="00702A21">
      <w:pPr>
        <w:rPr>
          <w:i/>
          <w:sz w:val="22"/>
          <w:szCs w:val="22"/>
        </w:rPr>
      </w:pPr>
    </w:p>
    <w:p w14:paraId="10E6ED0E" w14:textId="77777777" w:rsidR="00702A21" w:rsidRDefault="00DD5C1A">
      <w:pPr>
        <w:pStyle w:val="Heading1"/>
        <w:jc w:val="center"/>
        <w:rPr>
          <w:sz w:val="22"/>
          <w:szCs w:val="22"/>
        </w:rPr>
      </w:pPr>
      <w:bookmarkStart w:id="1" w:name="_wczmk9nq08rx" w:colFirst="0" w:colLast="0"/>
      <w:bookmarkEnd w:id="1"/>
      <w:r>
        <w:rPr>
          <w:rFonts w:ascii="Arial" w:eastAsia="Arial" w:hAnsi="Arial" w:cs="Arial"/>
          <w:b/>
          <w:sz w:val="22"/>
          <w:szCs w:val="22"/>
        </w:rPr>
        <w:t>1. Introduction</w:t>
      </w:r>
    </w:p>
    <w:p w14:paraId="0620F35A" w14:textId="77777777" w:rsidR="00702A21" w:rsidRDefault="00DD5C1A">
      <w:pPr>
        <w:pStyle w:val="Heading2"/>
        <w:jc w:val="left"/>
        <w:rPr>
          <w:rFonts w:ascii="Arial" w:eastAsia="Arial" w:hAnsi="Arial" w:cs="Arial"/>
          <w:b/>
          <w:sz w:val="22"/>
          <w:szCs w:val="22"/>
          <w:u w:val="single"/>
        </w:rPr>
      </w:pPr>
      <w:bookmarkStart w:id="2" w:name="_nv35yd3owqo2" w:colFirst="0" w:colLast="0"/>
      <w:bookmarkEnd w:id="2"/>
      <w:r>
        <w:rPr>
          <w:rFonts w:ascii="Arial" w:eastAsia="Arial" w:hAnsi="Arial" w:cs="Arial"/>
          <w:b/>
          <w:sz w:val="22"/>
          <w:szCs w:val="22"/>
          <w:u w:val="single"/>
        </w:rPr>
        <w:t>1.1. Summary</w:t>
      </w:r>
    </w:p>
    <w:p w14:paraId="39247F30" w14:textId="77777777" w:rsidR="00702A21" w:rsidRDefault="00DD5C1A">
      <w:pPr>
        <w:rPr>
          <w:i/>
          <w:sz w:val="22"/>
          <w:szCs w:val="22"/>
        </w:rPr>
      </w:pPr>
      <w:r>
        <w:rPr>
          <w:i/>
          <w:sz w:val="22"/>
          <w:szCs w:val="22"/>
        </w:rPr>
        <w:t>The Bahrain Institute for Rights and Democracy (BIRD), es</w:t>
      </w:r>
      <w:r>
        <w:rPr>
          <w:i/>
          <w:sz w:val="22"/>
          <w:szCs w:val="22"/>
        </w:rPr>
        <w:t>tablished in 2013, investigates human rights abuses in Bahrain and advocates for the protection of human rights, effective accountability, and democratic reform in Bahrain.</w:t>
      </w:r>
    </w:p>
    <w:p w14:paraId="483036D1" w14:textId="77777777" w:rsidR="00702A21" w:rsidRDefault="00702A21">
      <w:pPr>
        <w:rPr>
          <w:i/>
          <w:sz w:val="22"/>
          <w:szCs w:val="22"/>
        </w:rPr>
      </w:pPr>
    </w:p>
    <w:p w14:paraId="7CB3DCB8" w14:textId="77777777" w:rsidR="00702A21" w:rsidRDefault="00DD5C1A">
      <w:pPr>
        <w:rPr>
          <w:sz w:val="22"/>
          <w:szCs w:val="22"/>
        </w:rPr>
      </w:pPr>
      <w:r>
        <w:rPr>
          <w:sz w:val="22"/>
          <w:szCs w:val="22"/>
        </w:rPr>
        <w:t>This submission compiles case studies and reports undertaken by BIRD in collaborat</w:t>
      </w:r>
      <w:r>
        <w:rPr>
          <w:sz w:val="22"/>
          <w:szCs w:val="22"/>
        </w:rPr>
        <w:t xml:space="preserve">ion with other human rights groups over the past years and provides an overview of key challenges faced by Bahraini children and the failures of the Bahraini government to protect minors in line with their international commitments to the UN Convention on </w:t>
      </w:r>
      <w:r>
        <w:rPr>
          <w:sz w:val="22"/>
          <w:szCs w:val="22"/>
        </w:rPr>
        <w:t>the Rights of the Child and international human rights law.</w:t>
      </w:r>
      <w:r>
        <w:rPr>
          <w:sz w:val="22"/>
          <w:szCs w:val="22"/>
          <w:vertAlign w:val="superscript"/>
        </w:rPr>
        <w:footnoteReference w:id="1"/>
      </w:r>
      <w:r>
        <w:rPr>
          <w:sz w:val="22"/>
          <w:szCs w:val="22"/>
        </w:rPr>
        <w:t xml:space="preserve"> </w:t>
      </w:r>
    </w:p>
    <w:p w14:paraId="1B277528" w14:textId="77777777" w:rsidR="00702A21" w:rsidRDefault="00702A21">
      <w:pPr>
        <w:rPr>
          <w:sz w:val="22"/>
          <w:szCs w:val="22"/>
        </w:rPr>
      </w:pPr>
    </w:p>
    <w:p w14:paraId="53C6522D" w14:textId="77777777" w:rsidR="00702A21" w:rsidRDefault="00DD5C1A">
      <w:pPr>
        <w:rPr>
          <w:sz w:val="22"/>
          <w:szCs w:val="22"/>
        </w:rPr>
      </w:pPr>
      <w:r>
        <w:rPr>
          <w:sz w:val="22"/>
          <w:szCs w:val="22"/>
        </w:rPr>
        <w:t xml:space="preserve">We identify five significant areas of concern with regard to the rights of children in Bahrain: </w:t>
      </w:r>
      <w:r>
        <w:rPr>
          <w:b/>
          <w:sz w:val="22"/>
          <w:szCs w:val="22"/>
        </w:rPr>
        <w:t>the imprisonment, torture and trial of children</w:t>
      </w:r>
      <w:r>
        <w:rPr>
          <w:sz w:val="22"/>
          <w:szCs w:val="22"/>
        </w:rPr>
        <w:t xml:space="preserve">; </w:t>
      </w:r>
      <w:r>
        <w:rPr>
          <w:b/>
          <w:sz w:val="22"/>
          <w:szCs w:val="22"/>
        </w:rPr>
        <w:t>the extrajudicial killing of minors</w:t>
      </w:r>
      <w:r>
        <w:rPr>
          <w:sz w:val="22"/>
          <w:szCs w:val="22"/>
        </w:rPr>
        <w:t xml:space="preserve">; </w:t>
      </w:r>
      <w:r>
        <w:rPr>
          <w:b/>
          <w:sz w:val="22"/>
          <w:szCs w:val="22"/>
        </w:rPr>
        <w:t>the legal loopholes in Law 4 of 2021</w:t>
      </w:r>
      <w:r>
        <w:rPr>
          <w:sz w:val="22"/>
          <w:szCs w:val="22"/>
        </w:rPr>
        <w:t xml:space="preserve">; </w:t>
      </w:r>
      <w:r>
        <w:rPr>
          <w:b/>
          <w:sz w:val="22"/>
          <w:szCs w:val="22"/>
        </w:rPr>
        <w:t>the ongoing imprisonment of individuals committing crimes as children</w:t>
      </w:r>
      <w:r>
        <w:rPr>
          <w:sz w:val="22"/>
          <w:szCs w:val="22"/>
        </w:rPr>
        <w:t xml:space="preserve">; and </w:t>
      </w:r>
      <w:r>
        <w:rPr>
          <w:b/>
          <w:sz w:val="22"/>
          <w:szCs w:val="22"/>
        </w:rPr>
        <w:t>the impact of deprivation of citizenship rights on newborn children</w:t>
      </w:r>
      <w:r>
        <w:rPr>
          <w:sz w:val="22"/>
          <w:szCs w:val="22"/>
        </w:rPr>
        <w:t xml:space="preserve">. </w:t>
      </w:r>
    </w:p>
    <w:p w14:paraId="7A4B6F98" w14:textId="77777777" w:rsidR="00702A21" w:rsidRDefault="00702A21">
      <w:pPr>
        <w:rPr>
          <w:sz w:val="22"/>
          <w:szCs w:val="22"/>
        </w:rPr>
      </w:pPr>
    </w:p>
    <w:p w14:paraId="3B0525F6" w14:textId="77777777" w:rsidR="00702A21" w:rsidRDefault="00DD5C1A">
      <w:pPr>
        <w:rPr>
          <w:sz w:val="22"/>
          <w:szCs w:val="22"/>
        </w:rPr>
      </w:pPr>
      <w:r>
        <w:rPr>
          <w:sz w:val="22"/>
          <w:szCs w:val="22"/>
        </w:rPr>
        <w:t>State violence against children has escalated since the events of February 2011. The government has carried out extrajudicial killings of children in protests following the 2011 pro-democracy uprising. Child protesters have died as a result of birdshot pel</w:t>
      </w:r>
      <w:r>
        <w:rPr>
          <w:sz w:val="22"/>
          <w:szCs w:val="22"/>
        </w:rPr>
        <w:t>lets, broken necks from teargas canisters thrown at close range, and being run over by police vehicles. Instead of holding the perpetrators accountable and launching credible investigations, the Bahraini government has denied credible allegations and punis</w:t>
      </w:r>
      <w:r>
        <w:rPr>
          <w:sz w:val="22"/>
          <w:szCs w:val="22"/>
        </w:rPr>
        <w:t>hed family members who speak out to demand accountability.</w:t>
      </w:r>
    </w:p>
    <w:p w14:paraId="4F8E1F10" w14:textId="77777777" w:rsidR="00702A21" w:rsidRDefault="00702A21">
      <w:pPr>
        <w:rPr>
          <w:sz w:val="22"/>
          <w:szCs w:val="22"/>
        </w:rPr>
      </w:pPr>
    </w:p>
    <w:p w14:paraId="1A4A9AB5" w14:textId="77777777" w:rsidR="00702A21" w:rsidRDefault="00DD5C1A">
      <w:pPr>
        <w:rPr>
          <w:sz w:val="22"/>
          <w:szCs w:val="22"/>
        </w:rPr>
      </w:pPr>
      <w:r>
        <w:rPr>
          <w:sz w:val="22"/>
          <w:szCs w:val="22"/>
        </w:rPr>
        <w:t xml:space="preserve">The introduction of Law 4/2021, which defines </w:t>
      </w:r>
      <w:r>
        <w:rPr>
          <w:sz w:val="22"/>
          <w:szCs w:val="22"/>
          <w:highlight w:val="white"/>
        </w:rPr>
        <w:t>all individuals under the age of 18 as children, establishes special courts and detention facilities for children, and increases the age of criminal r</w:t>
      </w:r>
      <w:r>
        <w:rPr>
          <w:sz w:val="22"/>
          <w:szCs w:val="22"/>
          <w:highlight w:val="white"/>
        </w:rPr>
        <w:t xml:space="preserve">esponsibility from 7 to 15, marks an important step and welcome development in ensuring the protection of children’s rights. However, significant gaps remain within the law </w:t>
      </w:r>
      <w:r>
        <w:rPr>
          <w:color w:val="161719"/>
          <w:sz w:val="21"/>
          <w:szCs w:val="21"/>
          <w:highlight w:val="white"/>
        </w:rPr>
        <w:t>in creating and enforcing measures to safeguard children's rights.</w:t>
      </w:r>
    </w:p>
    <w:p w14:paraId="3B1DC8D4" w14:textId="77777777" w:rsidR="00702A21" w:rsidRDefault="00702A21">
      <w:pPr>
        <w:rPr>
          <w:sz w:val="22"/>
          <w:szCs w:val="22"/>
        </w:rPr>
      </w:pPr>
    </w:p>
    <w:p w14:paraId="00AE33E7" w14:textId="77777777" w:rsidR="00702A21" w:rsidRDefault="00DD5C1A">
      <w:pPr>
        <w:rPr>
          <w:sz w:val="22"/>
          <w:szCs w:val="22"/>
        </w:rPr>
      </w:pPr>
      <w:r>
        <w:rPr>
          <w:sz w:val="22"/>
          <w:szCs w:val="22"/>
        </w:rPr>
        <w:t>Within this sub</w:t>
      </w:r>
      <w:r>
        <w:rPr>
          <w:sz w:val="22"/>
          <w:szCs w:val="22"/>
        </w:rPr>
        <w:t xml:space="preserve">mission, we have provided case studies of children arrested and mistreated between 2021 and 2022. The cases demonstrate the failures of Law 4/2021 to protect the rights of children and the ongoing issues faced by children in Bahrain. </w:t>
      </w:r>
    </w:p>
    <w:p w14:paraId="3609D1F3" w14:textId="77777777" w:rsidR="00702A21" w:rsidRDefault="00702A21">
      <w:pPr>
        <w:rPr>
          <w:sz w:val="22"/>
          <w:szCs w:val="22"/>
        </w:rPr>
      </w:pPr>
    </w:p>
    <w:p w14:paraId="31C8377D" w14:textId="77777777" w:rsidR="00702A21" w:rsidRDefault="00DD5C1A">
      <w:pPr>
        <w:rPr>
          <w:sz w:val="22"/>
          <w:szCs w:val="22"/>
        </w:rPr>
      </w:pPr>
      <w:r>
        <w:rPr>
          <w:sz w:val="22"/>
          <w:szCs w:val="22"/>
        </w:rPr>
        <w:t>Between 2012 and 201</w:t>
      </w:r>
      <w:r>
        <w:rPr>
          <w:sz w:val="22"/>
          <w:szCs w:val="22"/>
        </w:rPr>
        <w:t>9, Bahraini authorities revoked the citizenship of 990 individuals. While many of these individuals had their citizenships restored, 300 remain deprived of Bahraini citizenship, many of whom still remain stateless. The submission highlights the difficultie</w:t>
      </w:r>
      <w:r>
        <w:rPr>
          <w:sz w:val="22"/>
          <w:szCs w:val="22"/>
        </w:rPr>
        <w:t>s related to revoking citizenship for minors and the consequences for children whose parents have their citizenship revoked, resulting in their children becoming stateless.</w:t>
      </w:r>
    </w:p>
    <w:p w14:paraId="69057E0A" w14:textId="77777777" w:rsidR="00702A21" w:rsidRDefault="00702A21">
      <w:pPr>
        <w:rPr>
          <w:sz w:val="22"/>
          <w:szCs w:val="22"/>
        </w:rPr>
      </w:pPr>
    </w:p>
    <w:p w14:paraId="12C1385A" w14:textId="77777777" w:rsidR="00702A21" w:rsidRDefault="00DD5C1A">
      <w:pPr>
        <w:rPr>
          <w:sz w:val="22"/>
          <w:szCs w:val="22"/>
        </w:rPr>
      </w:pPr>
      <w:r>
        <w:rPr>
          <w:sz w:val="22"/>
          <w:szCs w:val="22"/>
        </w:rPr>
        <w:t>As demonstrated, the broad and cruel impact of the act of citizenship revocation e</w:t>
      </w:r>
      <w:r>
        <w:rPr>
          <w:sz w:val="22"/>
          <w:szCs w:val="22"/>
        </w:rPr>
        <w:t>xtends not only to the individual rendered stateless but also adversely impacts their children who are born stateless in many cases. There are currently no studies about the number of stateless children impacted by their father’s citizenship revocation.</w:t>
      </w:r>
    </w:p>
    <w:p w14:paraId="199B8BB2" w14:textId="77777777" w:rsidR="00702A21" w:rsidRDefault="00702A21">
      <w:pPr>
        <w:jc w:val="left"/>
        <w:rPr>
          <w:sz w:val="22"/>
          <w:szCs w:val="22"/>
        </w:rPr>
      </w:pPr>
    </w:p>
    <w:p w14:paraId="7F4AEB93" w14:textId="77777777" w:rsidR="00702A21" w:rsidRDefault="00DD5C1A">
      <w:pPr>
        <w:pStyle w:val="Heading2"/>
        <w:jc w:val="left"/>
        <w:rPr>
          <w:rFonts w:ascii="Arial" w:eastAsia="Arial" w:hAnsi="Arial" w:cs="Arial"/>
          <w:b/>
          <w:sz w:val="22"/>
          <w:szCs w:val="22"/>
        </w:rPr>
      </w:pPr>
      <w:bookmarkStart w:id="3" w:name="_jy52lv41qfjv" w:colFirst="0" w:colLast="0"/>
      <w:bookmarkEnd w:id="3"/>
      <w:r>
        <w:rPr>
          <w:rFonts w:ascii="Arial" w:eastAsia="Arial" w:hAnsi="Arial" w:cs="Arial"/>
          <w:b/>
          <w:sz w:val="22"/>
          <w:szCs w:val="22"/>
          <w:u w:val="single"/>
        </w:rPr>
        <w:t>1</w:t>
      </w:r>
      <w:r>
        <w:rPr>
          <w:rFonts w:ascii="Arial" w:eastAsia="Arial" w:hAnsi="Arial" w:cs="Arial"/>
          <w:b/>
          <w:sz w:val="22"/>
          <w:szCs w:val="22"/>
          <w:u w:val="single"/>
        </w:rPr>
        <w:t>.2. Recommendations</w:t>
      </w:r>
      <w:r>
        <w:rPr>
          <w:rFonts w:ascii="Arial" w:eastAsia="Arial" w:hAnsi="Arial" w:cs="Arial"/>
          <w:b/>
          <w:sz w:val="22"/>
          <w:szCs w:val="22"/>
        </w:rPr>
        <w:t xml:space="preserve"> </w:t>
      </w:r>
    </w:p>
    <w:p w14:paraId="783C6447" w14:textId="77777777" w:rsidR="00702A21" w:rsidRDefault="00DD5C1A">
      <w:pPr>
        <w:numPr>
          <w:ilvl w:val="0"/>
          <w:numId w:val="2"/>
        </w:numPr>
        <w:rPr>
          <w:b/>
          <w:sz w:val="22"/>
          <w:szCs w:val="22"/>
        </w:rPr>
      </w:pPr>
      <w:r>
        <w:rPr>
          <w:b/>
          <w:sz w:val="22"/>
          <w:szCs w:val="22"/>
        </w:rPr>
        <w:t>To the Government of Bahrain</w:t>
      </w:r>
    </w:p>
    <w:p w14:paraId="3FDFFDFD" w14:textId="77777777" w:rsidR="00702A21" w:rsidRDefault="00702A21">
      <w:pPr>
        <w:ind w:left="720"/>
        <w:rPr>
          <w:b/>
          <w:sz w:val="22"/>
          <w:szCs w:val="22"/>
        </w:rPr>
      </w:pPr>
    </w:p>
    <w:p w14:paraId="0F1FB90A" w14:textId="77777777" w:rsidR="00702A21" w:rsidRDefault="00DD5C1A">
      <w:pPr>
        <w:numPr>
          <w:ilvl w:val="0"/>
          <w:numId w:val="4"/>
        </w:numPr>
        <w:rPr>
          <w:sz w:val="22"/>
          <w:szCs w:val="22"/>
        </w:rPr>
      </w:pPr>
      <w:r>
        <w:rPr>
          <w:sz w:val="22"/>
          <w:szCs w:val="22"/>
        </w:rPr>
        <w:t xml:space="preserve">The State party should amend its current legislation on children’s rights to address the following issues: </w:t>
      </w:r>
    </w:p>
    <w:p w14:paraId="4F0A7E36" w14:textId="77777777" w:rsidR="00702A21" w:rsidRDefault="00DD5C1A">
      <w:pPr>
        <w:numPr>
          <w:ilvl w:val="1"/>
          <w:numId w:val="4"/>
        </w:numPr>
        <w:rPr>
          <w:sz w:val="22"/>
          <w:szCs w:val="22"/>
        </w:rPr>
      </w:pPr>
      <w:r>
        <w:rPr>
          <w:sz w:val="22"/>
          <w:szCs w:val="22"/>
        </w:rPr>
        <w:t>Failure to guarantee due-process rights for children.</w:t>
      </w:r>
    </w:p>
    <w:p w14:paraId="6098C5B1" w14:textId="77777777" w:rsidR="00702A21" w:rsidRDefault="00DD5C1A">
      <w:pPr>
        <w:numPr>
          <w:ilvl w:val="1"/>
          <w:numId w:val="4"/>
        </w:numPr>
        <w:rPr>
          <w:sz w:val="22"/>
          <w:szCs w:val="22"/>
        </w:rPr>
      </w:pPr>
      <w:r>
        <w:rPr>
          <w:sz w:val="22"/>
          <w:szCs w:val="22"/>
        </w:rPr>
        <w:t>Enabling the continued detention of childre</w:t>
      </w:r>
      <w:r>
        <w:rPr>
          <w:sz w:val="22"/>
          <w:szCs w:val="22"/>
        </w:rPr>
        <w:t xml:space="preserve">n. </w:t>
      </w:r>
    </w:p>
    <w:p w14:paraId="5FE4FC9A" w14:textId="77777777" w:rsidR="00702A21" w:rsidRDefault="00DD5C1A">
      <w:pPr>
        <w:numPr>
          <w:ilvl w:val="1"/>
          <w:numId w:val="4"/>
        </w:numPr>
        <w:rPr>
          <w:sz w:val="22"/>
          <w:szCs w:val="22"/>
        </w:rPr>
      </w:pPr>
      <w:r>
        <w:rPr>
          <w:sz w:val="22"/>
          <w:szCs w:val="22"/>
        </w:rPr>
        <w:t>Allowing children to be prosecuted as adults in specific circumstances.</w:t>
      </w:r>
    </w:p>
    <w:p w14:paraId="6EBB8FF6" w14:textId="77777777" w:rsidR="00702A21" w:rsidRDefault="00DD5C1A">
      <w:pPr>
        <w:numPr>
          <w:ilvl w:val="0"/>
          <w:numId w:val="4"/>
        </w:numPr>
        <w:pBdr>
          <w:top w:val="none" w:sz="0" w:space="0" w:color="444444"/>
          <w:left w:val="none" w:sz="0" w:space="0" w:color="444444"/>
          <w:bottom w:val="none" w:sz="0" w:space="0" w:color="444444"/>
          <w:right w:val="none" w:sz="0" w:space="0" w:color="444444"/>
          <w:between w:val="none" w:sz="0" w:space="0" w:color="444444"/>
        </w:pBdr>
        <w:shd w:val="clear" w:color="auto" w:fill="FFFFFF"/>
        <w:rPr>
          <w:sz w:val="22"/>
          <w:szCs w:val="22"/>
        </w:rPr>
      </w:pPr>
      <w:r>
        <w:rPr>
          <w:sz w:val="22"/>
          <w:szCs w:val="22"/>
        </w:rPr>
        <w:t>In this regard, revise Law No. (4) of 2021 to clearly provide for a child’s right to have their parents and a lawyer present during interrogations and to challenge their deprivatio</w:t>
      </w:r>
      <w:r>
        <w:rPr>
          <w:sz w:val="22"/>
          <w:szCs w:val="22"/>
        </w:rPr>
        <w:t xml:space="preserve">n of liberty. </w:t>
      </w:r>
    </w:p>
    <w:p w14:paraId="2C8EBF6A" w14:textId="77777777" w:rsidR="00702A21" w:rsidRDefault="00DD5C1A">
      <w:pPr>
        <w:numPr>
          <w:ilvl w:val="0"/>
          <w:numId w:val="4"/>
        </w:numPr>
        <w:pBdr>
          <w:top w:val="none" w:sz="0" w:space="0" w:color="444444"/>
          <w:left w:val="none" w:sz="0" w:space="0" w:color="444444"/>
          <w:bottom w:val="none" w:sz="0" w:space="0" w:color="444444"/>
          <w:right w:val="none" w:sz="0" w:space="0" w:color="444444"/>
          <w:between w:val="none" w:sz="0" w:space="0" w:color="444444"/>
        </w:pBdr>
        <w:shd w:val="clear" w:color="auto" w:fill="FFFFFF"/>
        <w:rPr>
          <w:sz w:val="22"/>
          <w:szCs w:val="22"/>
        </w:rPr>
      </w:pPr>
      <w:r>
        <w:rPr>
          <w:sz w:val="22"/>
          <w:szCs w:val="22"/>
        </w:rPr>
        <w:t>Revoke the law’s</w:t>
      </w:r>
      <w:r>
        <w:rPr>
          <w:sz w:val="22"/>
          <w:szCs w:val="22"/>
        </w:rPr>
        <w:t xml:space="preserve"> determination that children who participate in unlicensed public assemblies may be considered “endangered” and deprived of their liberty. </w:t>
      </w:r>
    </w:p>
    <w:p w14:paraId="7B520079" w14:textId="77777777" w:rsidR="00702A21" w:rsidRDefault="00DD5C1A">
      <w:pPr>
        <w:numPr>
          <w:ilvl w:val="0"/>
          <w:numId w:val="4"/>
        </w:numPr>
        <w:rPr>
          <w:sz w:val="22"/>
          <w:szCs w:val="22"/>
        </w:rPr>
      </w:pPr>
      <w:r>
        <w:rPr>
          <w:sz w:val="22"/>
          <w:szCs w:val="22"/>
        </w:rPr>
        <w:t>Grant citizenship to those born as stateless children and investigate the impact of its policies of citizenship revo</w:t>
      </w:r>
      <w:r>
        <w:rPr>
          <w:sz w:val="22"/>
          <w:szCs w:val="22"/>
        </w:rPr>
        <w:t xml:space="preserve">cation. </w:t>
      </w:r>
    </w:p>
    <w:p w14:paraId="13E9204A" w14:textId="77777777" w:rsidR="00702A21" w:rsidRDefault="00DD5C1A">
      <w:pPr>
        <w:numPr>
          <w:ilvl w:val="0"/>
          <w:numId w:val="4"/>
        </w:numPr>
        <w:rPr>
          <w:sz w:val="22"/>
          <w:szCs w:val="22"/>
        </w:rPr>
      </w:pPr>
      <w:r>
        <w:rPr>
          <w:sz w:val="22"/>
          <w:szCs w:val="22"/>
        </w:rPr>
        <w:t xml:space="preserve">Allow Bahraini women to pass citizenship onto their children without restrictions and be subject to the same conditions as men. </w:t>
      </w:r>
    </w:p>
    <w:p w14:paraId="718873F2" w14:textId="77777777" w:rsidR="00702A21" w:rsidRDefault="00DD5C1A">
      <w:pPr>
        <w:numPr>
          <w:ilvl w:val="0"/>
          <w:numId w:val="4"/>
        </w:numPr>
        <w:rPr>
          <w:sz w:val="22"/>
          <w:szCs w:val="22"/>
        </w:rPr>
      </w:pPr>
      <w:r>
        <w:rPr>
          <w:sz w:val="22"/>
          <w:szCs w:val="22"/>
        </w:rPr>
        <w:t>Launch an independent inquiry into the killing of children between 2011-14.</w:t>
      </w:r>
    </w:p>
    <w:p w14:paraId="1AD50C8B" w14:textId="77777777" w:rsidR="00702A21" w:rsidRDefault="00DD5C1A">
      <w:pPr>
        <w:numPr>
          <w:ilvl w:val="0"/>
          <w:numId w:val="4"/>
        </w:numPr>
        <w:rPr>
          <w:sz w:val="22"/>
          <w:szCs w:val="22"/>
        </w:rPr>
      </w:pPr>
      <w:r>
        <w:rPr>
          <w:sz w:val="22"/>
          <w:szCs w:val="22"/>
        </w:rPr>
        <w:t>Hold accountable those security officers w</w:t>
      </w:r>
      <w:r>
        <w:rPr>
          <w:sz w:val="22"/>
          <w:szCs w:val="22"/>
        </w:rPr>
        <w:t xml:space="preserve">ho used excessive use of force against minors. </w:t>
      </w:r>
    </w:p>
    <w:p w14:paraId="7A4EED42" w14:textId="77777777" w:rsidR="00702A21" w:rsidRDefault="00DD5C1A">
      <w:pPr>
        <w:numPr>
          <w:ilvl w:val="0"/>
          <w:numId w:val="4"/>
        </w:numPr>
        <w:rPr>
          <w:sz w:val="22"/>
          <w:szCs w:val="22"/>
        </w:rPr>
      </w:pPr>
      <w:r>
        <w:rPr>
          <w:sz w:val="22"/>
          <w:szCs w:val="22"/>
        </w:rPr>
        <w:t xml:space="preserve">Refrain from the persecution of family members who speak out or demand justice on behalf of minors, and ensure fair compensation for those who have been unjustly punished. </w:t>
      </w:r>
    </w:p>
    <w:p w14:paraId="40F10918" w14:textId="77777777" w:rsidR="00702A21" w:rsidRDefault="00DD5C1A">
      <w:pPr>
        <w:numPr>
          <w:ilvl w:val="0"/>
          <w:numId w:val="4"/>
        </w:numPr>
        <w:rPr>
          <w:sz w:val="22"/>
          <w:szCs w:val="22"/>
        </w:rPr>
      </w:pPr>
      <w:r>
        <w:rPr>
          <w:sz w:val="22"/>
          <w:szCs w:val="22"/>
        </w:rPr>
        <w:t>Reveal how many current detainees w</w:t>
      </w:r>
      <w:r>
        <w:rPr>
          <w:sz w:val="22"/>
          <w:szCs w:val="22"/>
        </w:rPr>
        <w:t xml:space="preserve">ere tried as adults before turning 18 and ensure the application of Law No.4/2021 to all current prisoners, enabling the retrial or release of those currently imprisoned and tried as adults before 18. </w:t>
      </w:r>
    </w:p>
    <w:p w14:paraId="79F6AAF7" w14:textId="77777777" w:rsidR="00702A21" w:rsidRDefault="00DD5C1A">
      <w:pPr>
        <w:numPr>
          <w:ilvl w:val="0"/>
          <w:numId w:val="4"/>
        </w:numPr>
        <w:rPr>
          <w:sz w:val="22"/>
          <w:szCs w:val="22"/>
        </w:rPr>
      </w:pPr>
      <w:r>
        <w:rPr>
          <w:sz w:val="22"/>
          <w:szCs w:val="22"/>
        </w:rPr>
        <w:t xml:space="preserve">Revise Law No.4/2021 to clearly provide for a child’s </w:t>
      </w:r>
      <w:r>
        <w:rPr>
          <w:sz w:val="22"/>
          <w:szCs w:val="22"/>
        </w:rPr>
        <w:t xml:space="preserve">right to enable their parents and a lawyer to be present during interrogations and challenge their deprivation of liberty. </w:t>
      </w:r>
    </w:p>
    <w:p w14:paraId="0709D05A" w14:textId="77777777" w:rsidR="00702A21" w:rsidRDefault="00DD5C1A">
      <w:pPr>
        <w:numPr>
          <w:ilvl w:val="0"/>
          <w:numId w:val="4"/>
        </w:numPr>
        <w:rPr>
          <w:sz w:val="22"/>
          <w:szCs w:val="22"/>
        </w:rPr>
      </w:pPr>
      <w:r>
        <w:rPr>
          <w:sz w:val="22"/>
          <w:szCs w:val="22"/>
        </w:rPr>
        <w:t xml:space="preserve">Investigate minors’ unlawful arrest and torture in the previous years, especially those who are still imprisoned and were convicted </w:t>
      </w:r>
      <w:r>
        <w:rPr>
          <w:sz w:val="22"/>
          <w:szCs w:val="22"/>
        </w:rPr>
        <w:t>as minors, and provide adequate compensation.</w:t>
      </w:r>
    </w:p>
    <w:p w14:paraId="1E8AC1AC" w14:textId="77777777" w:rsidR="00702A21" w:rsidRDefault="00702A21">
      <w:pPr>
        <w:rPr>
          <w:sz w:val="22"/>
          <w:szCs w:val="22"/>
          <w:shd w:val="clear" w:color="auto" w:fill="F4CCCC"/>
        </w:rPr>
      </w:pPr>
    </w:p>
    <w:p w14:paraId="4C34A712" w14:textId="77777777" w:rsidR="00702A21" w:rsidRDefault="00DD5C1A">
      <w:pPr>
        <w:numPr>
          <w:ilvl w:val="0"/>
          <w:numId w:val="2"/>
        </w:numPr>
        <w:rPr>
          <w:b/>
          <w:sz w:val="22"/>
          <w:szCs w:val="22"/>
        </w:rPr>
      </w:pPr>
      <w:r>
        <w:rPr>
          <w:b/>
          <w:sz w:val="22"/>
          <w:szCs w:val="22"/>
        </w:rPr>
        <w:t>To the Committee on the Rights of Child</w:t>
      </w:r>
    </w:p>
    <w:p w14:paraId="1AFA313D" w14:textId="77777777" w:rsidR="00702A21" w:rsidRDefault="00DD5C1A">
      <w:pPr>
        <w:numPr>
          <w:ilvl w:val="0"/>
          <w:numId w:val="6"/>
        </w:numPr>
        <w:rPr>
          <w:sz w:val="22"/>
          <w:szCs w:val="22"/>
        </w:rPr>
      </w:pPr>
      <w:r>
        <w:rPr>
          <w:sz w:val="22"/>
          <w:szCs w:val="22"/>
        </w:rPr>
        <w:t xml:space="preserve">Urge the Bahraini government to launch independent enquiries into the extrajudicial killings, unfair imprisonment, and torture of children. </w:t>
      </w:r>
    </w:p>
    <w:p w14:paraId="0B3FA085" w14:textId="77777777" w:rsidR="00702A21" w:rsidRDefault="00DD5C1A">
      <w:pPr>
        <w:numPr>
          <w:ilvl w:val="0"/>
          <w:numId w:val="6"/>
        </w:numPr>
        <w:rPr>
          <w:sz w:val="22"/>
          <w:szCs w:val="22"/>
        </w:rPr>
      </w:pPr>
      <w:r>
        <w:rPr>
          <w:sz w:val="22"/>
          <w:szCs w:val="22"/>
        </w:rPr>
        <w:t>Ask the state to disclose the full list of prisoners convicted as children who are currently serving prison sentenc</w:t>
      </w:r>
      <w:r>
        <w:rPr>
          <w:sz w:val="22"/>
          <w:szCs w:val="22"/>
        </w:rPr>
        <w:t>es and the nature of their convictions.</w:t>
      </w:r>
    </w:p>
    <w:p w14:paraId="22FDBA00" w14:textId="77777777" w:rsidR="00702A21" w:rsidRDefault="00DD5C1A">
      <w:pPr>
        <w:numPr>
          <w:ilvl w:val="0"/>
          <w:numId w:val="6"/>
        </w:numPr>
        <w:rPr>
          <w:sz w:val="22"/>
          <w:szCs w:val="22"/>
        </w:rPr>
      </w:pPr>
      <w:r>
        <w:rPr>
          <w:sz w:val="22"/>
          <w:szCs w:val="22"/>
        </w:rPr>
        <w:t xml:space="preserve">Request the Bahraini government to provide access to United Nations Special Rapporteurs and independent experts for independently enquiring and monitoring the </w:t>
      </w:r>
      <w:r>
        <w:rPr>
          <w:sz w:val="22"/>
          <w:szCs w:val="22"/>
        </w:rPr>
        <w:lastRenderedPageBreak/>
        <w:t>situation of minors affected by imprisonment, torture, an</w:t>
      </w:r>
      <w:r>
        <w:rPr>
          <w:sz w:val="22"/>
          <w:szCs w:val="22"/>
        </w:rPr>
        <w:t xml:space="preserve">d extrajudicial executions, with a particular focus on those currently serving prison time. </w:t>
      </w:r>
    </w:p>
    <w:p w14:paraId="7AD567DD" w14:textId="77777777" w:rsidR="00702A21" w:rsidRDefault="00DD5C1A">
      <w:pPr>
        <w:numPr>
          <w:ilvl w:val="0"/>
          <w:numId w:val="6"/>
        </w:numPr>
        <w:rPr>
          <w:sz w:val="22"/>
          <w:szCs w:val="22"/>
        </w:rPr>
      </w:pPr>
      <w:r>
        <w:rPr>
          <w:sz w:val="22"/>
          <w:szCs w:val="22"/>
        </w:rPr>
        <w:t xml:space="preserve">Ask the government to provide a clear time frame for commitments to reform Law no 4 of 2021, the Bahraini Citizenship Act, and the Coutner-terrorism Act. </w:t>
      </w:r>
    </w:p>
    <w:p w14:paraId="67FE8FA1" w14:textId="77777777" w:rsidR="00702A21" w:rsidRDefault="00DD5C1A">
      <w:pPr>
        <w:pStyle w:val="Heading1"/>
        <w:jc w:val="center"/>
        <w:rPr>
          <w:rFonts w:ascii="Arial" w:eastAsia="Arial" w:hAnsi="Arial" w:cs="Arial"/>
          <w:b/>
          <w:sz w:val="22"/>
          <w:szCs w:val="22"/>
        </w:rPr>
      </w:pPr>
      <w:bookmarkStart w:id="4" w:name="_4dy2uv2ptijo" w:colFirst="0" w:colLast="0"/>
      <w:bookmarkEnd w:id="4"/>
      <w:r>
        <w:rPr>
          <w:rFonts w:ascii="Arial" w:eastAsia="Arial" w:hAnsi="Arial" w:cs="Arial"/>
          <w:b/>
          <w:sz w:val="22"/>
          <w:szCs w:val="22"/>
        </w:rPr>
        <w:t>2. Impri</w:t>
      </w:r>
      <w:r>
        <w:rPr>
          <w:rFonts w:ascii="Arial" w:eastAsia="Arial" w:hAnsi="Arial" w:cs="Arial"/>
          <w:b/>
          <w:sz w:val="22"/>
          <w:szCs w:val="22"/>
        </w:rPr>
        <w:t>sonment, Torture and Trial of Children</w:t>
      </w:r>
    </w:p>
    <w:p w14:paraId="2BD9078E" w14:textId="77777777" w:rsidR="00702A21" w:rsidRDefault="00702A21">
      <w:pPr>
        <w:rPr>
          <w:sz w:val="22"/>
          <w:szCs w:val="22"/>
        </w:rPr>
      </w:pPr>
    </w:p>
    <w:p w14:paraId="400393EC" w14:textId="77777777" w:rsidR="00702A21" w:rsidRDefault="00DD5C1A">
      <w:pPr>
        <w:rPr>
          <w:sz w:val="22"/>
          <w:szCs w:val="22"/>
        </w:rPr>
      </w:pPr>
      <w:r>
        <w:rPr>
          <w:sz w:val="22"/>
          <w:szCs w:val="22"/>
        </w:rPr>
        <w:t>The 2019 report on the UN Committee on the Rights of the Child expressed concerns “at the arbitrary detention of children, reports of the ill-treatment of children by police and in detention centres”.</w:t>
      </w:r>
      <w:r>
        <w:rPr>
          <w:sz w:val="22"/>
          <w:szCs w:val="22"/>
          <w:vertAlign w:val="superscript"/>
        </w:rPr>
        <w:footnoteReference w:id="2"/>
      </w:r>
      <w:r>
        <w:rPr>
          <w:sz w:val="22"/>
          <w:szCs w:val="22"/>
        </w:rPr>
        <w:t xml:space="preserve"> </w:t>
      </w:r>
    </w:p>
    <w:p w14:paraId="644EAD8F" w14:textId="77777777" w:rsidR="00702A21" w:rsidRDefault="00702A21">
      <w:pPr>
        <w:rPr>
          <w:sz w:val="22"/>
          <w:szCs w:val="22"/>
        </w:rPr>
      </w:pPr>
    </w:p>
    <w:p w14:paraId="39652536" w14:textId="77777777" w:rsidR="00702A21" w:rsidRDefault="00DD5C1A">
      <w:pPr>
        <w:rPr>
          <w:sz w:val="22"/>
          <w:szCs w:val="22"/>
        </w:rPr>
      </w:pPr>
      <w:r>
        <w:rPr>
          <w:sz w:val="22"/>
          <w:szCs w:val="22"/>
        </w:rPr>
        <w:t>Since the concluding observations to the previous report were published in 2019, several high-profile cases involving the arbitrary detention and ill-treatment of children by members of the police have been documented. BIRD and Human Rights Watch conducted</w:t>
      </w:r>
      <w:r>
        <w:rPr>
          <w:sz w:val="22"/>
          <w:szCs w:val="22"/>
        </w:rPr>
        <w:t xml:space="preserve"> an investigation in 2021 which revealed that detained children were beaten and threatened with rape by security officials at detention centres. </w:t>
      </w:r>
    </w:p>
    <w:p w14:paraId="78514F6C" w14:textId="77777777" w:rsidR="00702A21" w:rsidRDefault="00DD5C1A">
      <w:pPr>
        <w:pStyle w:val="Heading2"/>
        <w:rPr>
          <w:rFonts w:ascii="Arial" w:eastAsia="Arial" w:hAnsi="Arial" w:cs="Arial"/>
          <w:b/>
          <w:i/>
          <w:sz w:val="22"/>
          <w:szCs w:val="22"/>
          <w:u w:val="single"/>
        </w:rPr>
      </w:pPr>
      <w:bookmarkStart w:id="5" w:name="_c8ixvmfa8ysx" w:colFirst="0" w:colLast="0"/>
      <w:bookmarkEnd w:id="5"/>
      <w:r>
        <w:rPr>
          <w:rFonts w:ascii="Arial" w:eastAsia="Arial" w:hAnsi="Arial" w:cs="Arial"/>
          <w:b/>
          <w:sz w:val="22"/>
          <w:szCs w:val="22"/>
          <w:u w:val="single"/>
        </w:rPr>
        <w:t xml:space="preserve">2.1. </w:t>
      </w:r>
      <w:r>
        <w:rPr>
          <w:rFonts w:ascii="Arial" w:eastAsia="Arial" w:hAnsi="Arial" w:cs="Arial"/>
          <w:b/>
          <w:i/>
          <w:sz w:val="22"/>
          <w:szCs w:val="22"/>
          <w:u w:val="single"/>
        </w:rPr>
        <w:t>Case study one</w:t>
      </w:r>
      <w:r>
        <w:rPr>
          <w:rFonts w:ascii="Arial" w:eastAsia="Arial" w:hAnsi="Arial" w:cs="Arial"/>
          <w:b/>
          <w:sz w:val="22"/>
          <w:szCs w:val="22"/>
          <w:u w:val="single"/>
        </w:rPr>
        <w:t>: Physical assault and arrest of minors in February-March 2021</w:t>
      </w:r>
    </w:p>
    <w:p w14:paraId="6260D506" w14:textId="77777777" w:rsidR="00702A21" w:rsidRDefault="00702A21">
      <w:pPr>
        <w:rPr>
          <w:i/>
          <w:sz w:val="22"/>
          <w:szCs w:val="22"/>
        </w:rPr>
      </w:pPr>
    </w:p>
    <w:p w14:paraId="37D92B82" w14:textId="77777777" w:rsidR="00702A21" w:rsidRDefault="00DD5C1A">
      <w:pPr>
        <w:rPr>
          <w:i/>
          <w:sz w:val="22"/>
          <w:szCs w:val="22"/>
        </w:rPr>
      </w:pPr>
      <w:r>
        <w:rPr>
          <w:i/>
          <w:sz w:val="22"/>
          <w:szCs w:val="22"/>
        </w:rPr>
        <w:t>On March 10, 2021, BIRD and</w:t>
      </w:r>
      <w:r>
        <w:rPr>
          <w:i/>
          <w:sz w:val="22"/>
          <w:szCs w:val="22"/>
        </w:rPr>
        <w:t xml:space="preserve"> Human Rights Watch reported on the physical assault of eleven children following their arrest during protests in February 2021 to commemorate the tenth anniversary of Bahrain’s uprising.</w:t>
      </w:r>
      <w:r>
        <w:rPr>
          <w:i/>
          <w:sz w:val="22"/>
          <w:szCs w:val="22"/>
          <w:vertAlign w:val="superscript"/>
        </w:rPr>
        <w:footnoteReference w:id="3"/>
      </w:r>
      <w:r>
        <w:rPr>
          <w:i/>
          <w:sz w:val="22"/>
          <w:szCs w:val="22"/>
        </w:rPr>
        <w:t xml:space="preserve"> The following is an excerpt from the report. </w:t>
      </w:r>
    </w:p>
    <w:p w14:paraId="2166FC63" w14:textId="77777777" w:rsidR="00702A21" w:rsidRDefault="00702A21">
      <w:pPr>
        <w:rPr>
          <w:sz w:val="22"/>
          <w:szCs w:val="22"/>
        </w:rPr>
      </w:pPr>
    </w:p>
    <w:p w14:paraId="06ED137F" w14:textId="77777777" w:rsidR="00702A21" w:rsidRDefault="00DD5C1A">
      <w:pPr>
        <w:rPr>
          <w:sz w:val="22"/>
          <w:szCs w:val="22"/>
        </w:rPr>
      </w:pPr>
      <w:r>
        <w:rPr>
          <w:sz w:val="22"/>
          <w:szCs w:val="22"/>
        </w:rPr>
        <w:t>In February 2021, B</w:t>
      </w:r>
      <w:r>
        <w:rPr>
          <w:sz w:val="22"/>
          <w:szCs w:val="22"/>
        </w:rPr>
        <w:t>ahraini police beat children arrested in protest-related cases and threatened them with rape and electric shocks. Police and prosecutors refused to allow the parents or lawyers of the children to be present during their interrogations, and judges unnecessa</w:t>
      </w:r>
      <w:r>
        <w:rPr>
          <w:sz w:val="22"/>
          <w:szCs w:val="22"/>
        </w:rPr>
        <w:t>rily ordered their detention.</w:t>
      </w:r>
    </w:p>
    <w:p w14:paraId="5011A516" w14:textId="77777777" w:rsidR="00702A21" w:rsidRDefault="00702A21">
      <w:pPr>
        <w:rPr>
          <w:sz w:val="22"/>
          <w:szCs w:val="22"/>
        </w:rPr>
      </w:pPr>
    </w:p>
    <w:p w14:paraId="4FF70E70" w14:textId="77777777" w:rsidR="00702A21" w:rsidRDefault="00DD5C1A">
      <w:pPr>
        <w:rPr>
          <w:sz w:val="22"/>
          <w:szCs w:val="22"/>
        </w:rPr>
      </w:pPr>
      <w:r>
        <w:rPr>
          <w:sz w:val="22"/>
          <w:szCs w:val="22"/>
        </w:rPr>
        <w:t>According to information from family members and Ebtisam al-Saegh, a Bahraini rights advocate, police arrested and detained 13 children in early to mid-February. The two rights groups spoke to six of the children and the fami</w:t>
      </w:r>
      <w:r>
        <w:rPr>
          <w:sz w:val="22"/>
          <w:szCs w:val="22"/>
        </w:rPr>
        <w:t>lies of another five. In some cases, police arrested children for allegedly burning bicycle tires or a chair or blocking a road on the day of their arrest. Police also accused children of planting a fake bomb, vandalism, and throwing Molotov cocktails in N</w:t>
      </w:r>
      <w:r>
        <w:rPr>
          <w:sz w:val="22"/>
          <w:szCs w:val="22"/>
        </w:rPr>
        <w:t>ovember 2020, the children and their families said. If convicted, some of the children could face sentences of up to 20 years in prison.</w:t>
      </w:r>
      <w:r>
        <w:rPr>
          <w:sz w:val="22"/>
          <w:szCs w:val="22"/>
        </w:rPr>
        <w:tab/>
      </w:r>
    </w:p>
    <w:p w14:paraId="53F1C989" w14:textId="77777777" w:rsidR="00702A21" w:rsidRDefault="00702A21">
      <w:pPr>
        <w:rPr>
          <w:sz w:val="22"/>
          <w:szCs w:val="22"/>
        </w:rPr>
      </w:pPr>
    </w:p>
    <w:p w14:paraId="7DCD675B" w14:textId="77777777" w:rsidR="00702A21" w:rsidRDefault="00DD5C1A">
      <w:pPr>
        <w:rPr>
          <w:sz w:val="22"/>
          <w:szCs w:val="22"/>
        </w:rPr>
      </w:pPr>
      <w:r>
        <w:rPr>
          <w:sz w:val="22"/>
          <w:szCs w:val="22"/>
        </w:rPr>
        <w:t>The timing of the arrests indicates a heavy-handed government approach to protests on or around February 14, the tenth anniversary of the 2011 Arab uprising in Bahrain, to snuff out dissent and dissuade protesters from assembling to mark the anniversary, t</w:t>
      </w:r>
      <w:r>
        <w:rPr>
          <w:sz w:val="22"/>
          <w:szCs w:val="22"/>
        </w:rPr>
        <w:t xml:space="preserve">he rights groups said. Bahraini authorities have used pre-emptive or arbitrary arrests to deter people from protesting around other major events, like Formula One races. </w:t>
      </w:r>
      <w:r>
        <w:rPr>
          <w:sz w:val="22"/>
          <w:szCs w:val="22"/>
        </w:rPr>
        <w:tab/>
      </w:r>
      <w:r>
        <w:rPr>
          <w:sz w:val="22"/>
          <w:szCs w:val="22"/>
        </w:rPr>
        <w:tab/>
      </w:r>
    </w:p>
    <w:p w14:paraId="4C02FF0D" w14:textId="77777777" w:rsidR="00702A21" w:rsidRDefault="00DD5C1A">
      <w:pPr>
        <w:spacing w:before="240" w:after="240"/>
        <w:rPr>
          <w:sz w:val="22"/>
          <w:szCs w:val="22"/>
        </w:rPr>
      </w:pPr>
      <w:r>
        <w:rPr>
          <w:sz w:val="22"/>
          <w:szCs w:val="22"/>
        </w:rPr>
        <w:lastRenderedPageBreak/>
        <w:t>Most of the children’s cases involved abuses or due process violations at the Hamad</w:t>
      </w:r>
      <w:r>
        <w:rPr>
          <w:sz w:val="22"/>
          <w:szCs w:val="22"/>
        </w:rPr>
        <w:t xml:space="preserve"> Town police station. Five children, arrested on February 14 and 15, said that police from the station beat, insulted, and threatened them with electric shocks from a car battery. According to his father, an officer hit a 13-year-old on his head and threat</w:t>
      </w:r>
      <w:r>
        <w:rPr>
          <w:sz w:val="22"/>
          <w:szCs w:val="22"/>
        </w:rPr>
        <w:t>ened to rape him, give him electric shocks, and beat his genitals, and repeated the rape threat even after his father was allowed to join him.</w:t>
      </w:r>
    </w:p>
    <w:p w14:paraId="29FF6C44" w14:textId="77777777" w:rsidR="00702A21" w:rsidRDefault="00DD5C1A">
      <w:pPr>
        <w:spacing w:before="240" w:after="240"/>
        <w:rPr>
          <w:sz w:val="22"/>
          <w:szCs w:val="22"/>
        </w:rPr>
      </w:pPr>
      <w:r>
        <w:rPr>
          <w:sz w:val="22"/>
          <w:szCs w:val="22"/>
        </w:rPr>
        <w:t>Police did not allow parents or lawyers to be present during the children’s arrest and initial questioning, durin</w:t>
      </w:r>
      <w:r>
        <w:rPr>
          <w:sz w:val="22"/>
          <w:szCs w:val="22"/>
        </w:rPr>
        <w:t>g which abuses were also reported. Bahraini law provides that a lawyer may not be barred from seeing a client at any stage of a criminal proceeding. In five cases, parents were allowed to be present when police were taking the children’s statements, but on</w:t>
      </w:r>
      <w:r>
        <w:rPr>
          <w:sz w:val="22"/>
          <w:szCs w:val="22"/>
        </w:rPr>
        <w:t>ly after the children had already orally confessed, and the officers had threatened to detain them if they did not repeat their confession in their formal statement, the children and parents said.</w:t>
      </w:r>
    </w:p>
    <w:p w14:paraId="46E93EAD" w14:textId="77777777" w:rsidR="00702A21" w:rsidRDefault="00DD5C1A">
      <w:pPr>
        <w:spacing w:before="240" w:after="240"/>
        <w:rPr>
          <w:sz w:val="22"/>
          <w:szCs w:val="22"/>
        </w:rPr>
      </w:pPr>
      <w:r>
        <w:rPr>
          <w:sz w:val="22"/>
          <w:szCs w:val="22"/>
        </w:rPr>
        <w:t>Children were also questioned at the Public Prosecution off</w:t>
      </w:r>
      <w:r>
        <w:rPr>
          <w:sz w:val="22"/>
          <w:szCs w:val="22"/>
        </w:rPr>
        <w:t>ice in Manama. Prosecutors did not allow parents to be present when they took children’s statements, the children and their families said. Judges issued and renewed children’s detention orders without notifying parents or allowing them into hearings.</w:t>
      </w:r>
      <w:r>
        <w:rPr>
          <w:sz w:val="22"/>
          <w:szCs w:val="22"/>
        </w:rPr>
        <w:tab/>
      </w:r>
      <w:r>
        <w:rPr>
          <w:sz w:val="22"/>
          <w:szCs w:val="22"/>
        </w:rPr>
        <w:tab/>
      </w:r>
      <w:r>
        <w:rPr>
          <w:sz w:val="22"/>
          <w:szCs w:val="22"/>
        </w:rPr>
        <w:tab/>
      </w:r>
    </w:p>
    <w:p w14:paraId="7D1641BE" w14:textId="77777777" w:rsidR="00702A21" w:rsidRDefault="00DD5C1A">
      <w:pPr>
        <w:spacing w:before="240" w:after="240"/>
        <w:rPr>
          <w:i/>
          <w:sz w:val="22"/>
          <w:szCs w:val="22"/>
        </w:rPr>
      </w:pPr>
      <w:r>
        <w:rPr>
          <w:i/>
          <w:sz w:val="22"/>
          <w:szCs w:val="22"/>
        </w:rPr>
        <w:t>Af</w:t>
      </w:r>
      <w:r>
        <w:rPr>
          <w:i/>
          <w:sz w:val="22"/>
          <w:szCs w:val="22"/>
        </w:rPr>
        <w:t>ter international attention to their cases, six of the children detained in February were released, even though a judge had renewed their detention orders for seven days. On March 11, 2021, a judge sentenced Sayed Hasan Ameen and the three other children i</w:t>
      </w:r>
      <w:r>
        <w:rPr>
          <w:i/>
          <w:sz w:val="22"/>
          <w:szCs w:val="22"/>
        </w:rPr>
        <w:t>n the same case to six months in prison. But the judge granted a request by their lawyers for an alternative, non-custodial sentence, in the spirit of Law No. 4/2021 on Child Restorative Justice and Protection from Abuse, which will come into force in Augu</w:t>
      </w:r>
      <w:r>
        <w:rPr>
          <w:i/>
          <w:sz w:val="22"/>
          <w:szCs w:val="22"/>
        </w:rPr>
        <w:t xml:space="preserve">st. The children were released. </w:t>
      </w:r>
    </w:p>
    <w:p w14:paraId="59E5207D" w14:textId="77777777" w:rsidR="00702A21" w:rsidRDefault="00DD5C1A">
      <w:pPr>
        <w:jc w:val="center"/>
        <w:rPr>
          <w:color w:val="1155CC"/>
          <w:sz w:val="22"/>
          <w:szCs w:val="22"/>
          <w:u w:val="single"/>
        </w:rPr>
      </w:pPr>
      <w:r>
        <w:rPr>
          <w:noProof/>
          <w:sz w:val="22"/>
          <w:szCs w:val="22"/>
        </w:rPr>
        <w:drawing>
          <wp:inline distT="114300" distB="114300" distL="114300" distR="114300" wp14:anchorId="3CDDA505" wp14:editId="1E10936D">
            <wp:extent cx="5943600" cy="3962400"/>
            <wp:effectExtent l="0" t="0" r="0" b="0"/>
            <wp:docPr id="2" name="image2.jpg" descr="Hamad Town Police Station"/>
            <wp:cNvGraphicFramePr/>
            <a:graphic xmlns:a="http://schemas.openxmlformats.org/drawingml/2006/main">
              <a:graphicData uri="http://schemas.openxmlformats.org/drawingml/2006/picture">
                <pic:pic xmlns:pic="http://schemas.openxmlformats.org/drawingml/2006/picture">
                  <pic:nvPicPr>
                    <pic:cNvPr id="0" name="image2.jpg" descr="Hamad Town Police Station"/>
                    <pic:cNvPicPr preferRelativeResize="0"/>
                  </pic:nvPicPr>
                  <pic:blipFill>
                    <a:blip r:embed="rId8"/>
                    <a:srcRect/>
                    <a:stretch>
                      <a:fillRect/>
                    </a:stretch>
                  </pic:blipFill>
                  <pic:spPr>
                    <a:xfrm>
                      <a:off x="0" y="0"/>
                      <a:ext cx="5943600" cy="3962400"/>
                    </a:xfrm>
                    <a:prstGeom prst="rect">
                      <a:avLst/>
                    </a:prstGeom>
                    <a:ln/>
                  </pic:spPr>
                </pic:pic>
              </a:graphicData>
            </a:graphic>
          </wp:inline>
        </w:drawing>
      </w:r>
      <w:r>
        <w:fldChar w:fldCharType="begin"/>
      </w:r>
      <w:r>
        <w:instrText xml:space="preserve"> HYPERLINK "https://www.hrw.org/modal/85211" </w:instrText>
      </w:r>
      <w:r>
        <w:fldChar w:fldCharType="separate"/>
      </w:r>
    </w:p>
    <w:p w14:paraId="461C4F06" w14:textId="77777777" w:rsidR="00702A21" w:rsidRDefault="00DD5C1A">
      <w:pPr>
        <w:spacing w:before="240" w:after="240"/>
        <w:rPr>
          <w:i/>
          <w:sz w:val="22"/>
          <w:szCs w:val="22"/>
        </w:rPr>
      </w:pPr>
      <w:r>
        <w:lastRenderedPageBreak/>
        <w:fldChar w:fldCharType="end"/>
      </w:r>
      <w:r>
        <w:rPr>
          <w:i/>
          <w:sz w:val="22"/>
          <w:szCs w:val="22"/>
        </w:rPr>
        <w:t xml:space="preserve">In video interviews, three children identified the “cabin” at the Hamad Town Police Station where they said officers threatened them with electric shocks, in this satellite </w:t>
      </w:r>
      <w:r>
        <w:rPr>
          <w:i/>
          <w:sz w:val="22"/>
          <w:szCs w:val="22"/>
        </w:rPr>
        <w:t>image.  © 2021 CNES/Airbus, Maxar Technologies. Maps data: Google</w:t>
      </w:r>
    </w:p>
    <w:p w14:paraId="47107D6F" w14:textId="77777777" w:rsidR="00702A21" w:rsidRDefault="00DD5C1A">
      <w:pPr>
        <w:spacing w:before="360"/>
        <w:rPr>
          <w:i/>
          <w:sz w:val="22"/>
          <w:szCs w:val="22"/>
        </w:rPr>
      </w:pPr>
      <w:r>
        <w:rPr>
          <w:i/>
          <w:sz w:val="22"/>
          <w:szCs w:val="22"/>
        </w:rPr>
        <w:t xml:space="preserve">Note: All names with initials are pseudonyms used to protect the identity of underage defendants. </w:t>
      </w:r>
    </w:p>
    <w:p w14:paraId="5EA8E683" w14:textId="77777777" w:rsidR="00702A21" w:rsidRDefault="00702A21">
      <w:pPr>
        <w:rPr>
          <w:b/>
          <w:sz w:val="22"/>
          <w:szCs w:val="22"/>
          <w:u w:val="single"/>
        </w:rPr>
      </w:pPr>
    </w:p>
    <w:p w14:paraId="10A00B9B" w14:textId="77777777" w:rsidR="00702A21" w:rsidRDefault="00DD5C1A">
      <w:pPr>
        <w:pStyle w:val="Heading4"/>
        <w:rPr>
          <w:sz w:val="22"/>
          <w:szCs w:val="22"/>
        </w:rPr>
      </w:pPr>
      <w:bookmarkStart w:id="6" w:name="_n638sj2irre4" w:colFirst="0" w:colLast="0"/>
      <w:bookmarkEnd w:id="6"/>
      <w:r>
        <w:rPr>
          <w:sz w:val="22"/>
          <w:szCs w:val="22"/>
        </w:rPr>
        <w:t>Incident 1</w:t>
      </w:r>
    </w:p>
    <w:p w14:paraId="66E9EEE1" w14:textId="77777777" w:rsidR="00702A21" w:rsidRDefault="00DD5C1A">
      <w:pPr>
        <w:rPr>
          <w:sz w:val="22"/>
          <w:szCs w:val="22"/>
        </w:rPr>
      </w:pPr>
      <w:r>
        <w:rPr>
          <w:sz w:val="22"/>
          <w:szCs w:val="22"/>
        </w:rPr>
        <w:br/>
        <w:t>Bahrain police detained Mahmoud M., 13, and Ahmad A., 13, on December 21 and a</w:t>
      </w:r>
      <w:r>
        <w:rPr>
          <w:sz w:val="22"/>
          <w:szCs w:val="22"/>
        </w:rPr>
        <w:t>gain from February 7 until February 15 at Isa Town Juvenile Center on allegations of burning tires and a water tank in their village, Abu Quwwa, in 2020.</w:t>
      </w:r>
      <w:r>
        <w:rPr>
          <w:sz w:val="22"/>
          <w:szCs w:val="22"/>
        </w:rPr>
        <w:br/>
      </w:r>
      <w:r>
        <w:rPr>
          <w:sz w:val="22"/>
          <w:szCs w:val="22"/>
        </w:rPr>
        <w:br/>
        <w:t>Police questioned them, without a parent or a lawyer, at the Hamad Town police station on December 21</w:t>
      </w:r>
      <w:r>
        <w:rPr>
          <w:sz w:val="22"/>
          <w:szCs w:val="22"/>
        </w:rPr>
        <w:t>. Officers threatened to beat them to confess to the arson, the boys said. Mahmoud was questioned from midnight to 5:30 a.m., and Ahmad was summoned at 1:30 a.m. “I was scared, and I was tired,” he said. “The interrogator threatened to beat me, and said, ‘</w:t>
      </w:r>
      <w:r>
        <w:rPr>
          <w:sz w:val="22"/>
          <w:szCs w:val="22"/>
        </w:rPr>
        <w:t>Unless you confess, you won’t leave.’” The two boys were released without charge that day.</w:t>
      </w:r>
      <w:r>
        <w:rPr>
          <w:sz w:val="22"/>
          <w:szCs w:val="22"/>
        </w:rPr>
        <w:br/>
      </w:r>
      <w:r>
        <w:rPr>
          <w:sz w:val="22"/>
          <w:szCs w:val="22"/>
        </w:rPr>
        <w:br/>
        <w:t xml:space="preserve">On February 7, the boys were summoned for questioning at the public prosecution office. Mahmoud was questioned alone, even though his mother and his lawyer were in </w:t>
      </w:r>
      <w:r>
        <w:rPr>
          <w:sz w:val="22"/>
          <w:szCs w:val="22"/>
        </w:rPr>
        <w:t>the building. “They were yelling at me, ‘You have to confess!’,” Mahmoud said. “I heard them yelling at [Ahmad] in a different room.” Ahmad said that his lawyer was present during his questioning by the prosecution on February 7, “but then they called me b</w:t>
      </w:r>
      <w:r>
        <w:rPr>
          <w:sz w:val="22"/>
          <w:szCs w:val="22"/>
        </w:rPr>
        <w:t>ack in without the lawyer and told me I’m lying.”</w:t>
      </w:r>
      <w:r>
        <w:rPr>
          <w:sz w:val="22"/>
          <w:szCs w:val="22"/>
        </w:rPr>
        <w:br/>
      </w:r>
      <w:r>
        <w:rPr>
          <w:sz w:val="22"/>
          <w:szCs w:val="22"/>
        </w:rPr>
        <w:br/>
        <w:t>On the same day, a Juvenile Court judge ordered their detention for one week. A judge renewed both boys’ detentions for another seven days on February 14, but authorities released them the following day wi</w:t>
      </w:r>
      <w:r>
        <w:rPr>
          <w:sz w:val="22"/>
          <w:szCs w:val="22"/>
        </w:rPr>
        <w:t>thout explanation, the boys said. They face sentences of up to 20 years in prison.</w:t>
      </w:r>
      <w:r>
        <w:rPr>
          <w:sz w:val="22"/>
          <w:szCs w:val="22"/>
          <w:vertAlign w:val="superscript"/>
        </w:rPr>
        <w:footnoteReference w:id="4"/>
      </w:r>
    </w:p>
    <w:p w14:paraId="377E2912" w14:textId="77777777" w:rsidR="00702A21" w:rsidRDefault="00702A21">
      <w:pPr>
        <w:rPr>
          <w:sz w:val="22"/>
          <w:szCs w:val="22"/>
        </w:rPr>
      </w:pPr>
    </w:p>
    <w:p w14:paraId="7DFA70A0" w14:textId="77777777" w:rsidR="00702A21" w:rsidRDefault="00DD5C1A">
      <w:pPr>
        <w:pStyle w:val="Heading4"/>
        <w:rPr>
          <w:sz w:val="22"/>
          <w:szCs w:val="22"/>
        </w:rPr>
      </w:pPr>
      <w:bookmarkStart w:id="7" w:name="_9gl2chltwau9" w:colFirst="0" w:colLast="0"/>
      <w:bookmarkEnd w:id="7"/>
      <w:r>
        <w:rPr>
          <w:sz w:val="22"/>
          <w:szCs w:val="22"/>
        </w:rPr>
        <w:t>Incident 2</w:t>
      </w:r>
    </w:p>
    <w:p w14:paraId="0BBFA935" w14:textId="77777777" w:rsidR="00702A21" w:rsidRDefault="00DD5C1A">
      <w:pPr>
        <w:rPr>
          <w:sz w:val="22"/>
          <w:szCs w:val="22"/>
        </w:rPr>
      </w:pPr>
      <w:r>
        <w:rPr>
          <w:sz w:val="22"/>
          <w:szCs w:val="22"/>
        </w:rPr>
        <w:br/>
        <w:t>Saleh S., 15, and Adam A., 12, were summoned for questioning at the public prosecution office on February 8 and detained until February 17, at the Isa Town Ju</w:t>
      </w:r>
      <w:r>
        <w:rPr>
          <w:sz w:val="22"/>
          <w:szCs w:val="22"/>
        </w:rPr>
        <w:t>venile Detention Center for allegedly burning a chair during a protest in their town, Malikiyya, during the Bahrain Formula One car race on November 29, relatives said.</w:t>
      </w:r>
      <w:r>
        <w:rPr>
          <w:sz w:val="22"/>
          <w:szCs w:val="22"/>
        </w:rPr>
        <w:br/>
      </w:r>
      <w:r>
        <w:rPr>
          <w:sz w:val="22"/>
          <w:szCs w:val="22"/>
        </w:rPr>
        <w:br/>
        <w:t>The boys had previously been interrogated at Hamad Town police station about the alleg</w:t>
      </w:r>
      <w:r>
        <w:rPr>
          <w:sz w:val="22"/>
          <w:szCs w:val="22"/>
        </w:rPr>
        <w:t>ed incident on December 6, without a lawyer or parent. Saleh’s father repeatedly asked to accompany his son during the interrogation, but police refused, he said. The director of the station called them back on December 8 and threatened Saleh with 15 years</w:t>
      </w:r>
      <w:r>
        <w:rPr>
          <w:sz w:val="22"/>
          <w:szCs w:val="22"/>
        </w:rPr>
        <w:t xml:space="preserve"> in prison “if </w:t>
      </w:r>
      <w:r>
        <w:rPr>
          <w:sz w:val="22"/>
          <w:szCs w:val="22"/>
        </w:rPr>
        <w:lastRenderedPageBreak/>
        <w:t>anything else happens in Malikiyya” and told Saleh’s father, “Your kids are vandals,” the father said. “He [the director] was humiliating us.”</w:t>
      </w:r>
      <w:r>
        <w:rPr>
          <w:sz w:val="22"/>
          <w:szCs w:val="22"/>
        </w:rPr>
        <w:br/>
      </w:r>
      <w:r>
        <w:rPr>
          <w:sz w:val="22"/>
          <w:szCs w:val="22"/>
        </w:rPr>
        <w:br/>
        <w:t>On February 8, 2021, the prosecutor interrogated the children alone, and a Juvenile Court judge o</w:t>
      </w:r>
      <w:r>
        <w:rPr>
          <w:sz w:val="22"/>
          <w:szCs w:val="22"/>
        </w:rPr>
        <w:t>rdered their detention for seven days at Isa Town Juvenile Detention Center, at a hearing to which their parents were denied entry. “They didn’t even give us time to hire a lawyer,” a relative of Saleh’s said. The detention order was renewed for seven days</w:t>
      </w:r>
      <w:r>
        <w:rPr>
          <w:sz w:val="22"/>
          <w:szCs w:val="22"/>
        </w:rPr>
        <w:t xml:space="preserve"> on February 15, but the two boys were released on February 17 without explanation.</w:t>
      </w:r>
      <w:r>
        <w:rPr>
          <w:sz w:val="22"/>
          <w:szCs w:val="22"/>
        </w:rPr>
        <w:br/>
      </w:r>
      <w:r>
        <w:rPr>
          <w:sz w:val="22"/>
          <w:szCs w:val="22"/>
        </w:rPr>
        <w:br/>
        <w:t xml:space="preserve">Officials at the detention facility refused to allow either boy’s family to visit. Adam was allowed a single brief phone call and “was crying the entire time,” a relative </w:t>
      </w:r>
      <w:r>
        <w:rPr>
          <w:sz w:val="22"/>
          <w:szCs w:val="22"/>
        </w:rPr>
        <w:t>said. Adam spent his 12th birthday in detention.</w:t>
      </w:r>
    </w:p>
    <w:p w14:paraId="52CB0C20" w14:textId="77777777" w:rsidR="00702A21" w:rsidRDefault="00DD5C1A">
      <w:pPr>
        <w:pStyle w:val="Heading4"/>
        <w:rPr>
          <w:sz w:val="22"/>
          <w:szCs w:val="22"/>
        </w:rPr>
      </w:pPr>
      <w:bookmarkStart w:id="8" w:name="_ko7ct3uv6ie3" w:colFirst="0" w:colLast="0"/>
      <w:bookmarkEnd w:id="8"/>
      <w:r>
        <w:rPr>
          <w:sz w:val="22"/>
          <w:szCs w:val="22"/>
        </w:rPr>
        <w:br/>
        <w:t>Incident 3</w:t>
      </w:r>
    </w:p>
    <w:p w14:paraId="529D1877" w14:textId="77777777" w:rsidR="00702A21" w:rsidRDefault="00DD5C1A">
      <w:pPr>
        <w:rPr>
          <w:sz w:val="22"/>
          <w:szCs w:val="22"/>
        </w:rPr>
      </w:pPr>
      <w:r>
        <w:rPr>
          <w:sz w:val="22"/>
          <w:szCs w:val="22"/>
        </w:rPr>
        <w:br/>
        <w:t>Sayed Hasan Ameen, 16, and two other boys, aged 16 and 17, were arrested and ordered detained on February 11 at a hearing before the Fourth High Criminal Court for allegedly throwing Molotov coc</w:t>
      </w:r>
      <w:r>
        <w:rPr>
          <w:sz w:val="22"/>
          <w:szCs w:val="22"/>
        </w:rPr>
        <w:t>ktails. A lawyer was present, but family members were not permitted. Ameen’s family said that he and the other boys were taken to the Criminal Investigations Directorate and then to Dry Dock Detention Center. A fourth child has been detained since November</w:t>
      </w:r>
      <w:r>
        <w:rPr>
          <w:sz w:val="22"/>
          <w:szCs w:val="22"/>
        </w:rPr>
        <w:t xml:space="preserve"> 30, 2020, in the same case.</w:t>
      </w:r>
      <w:r>
        <w:rPr>
          <w:sz w:val="22"/>
          <w:szCs w:val="22"/>
        </w:rPr>
        <w:br/>
      </w:r>
      <w:r>
        <w:rPr>
          <w:sz w:val="22"/>
          <w:szCs w:val="22"/>
        </w:rPr>
        <w:br/>
        <w:t>Ameen has medical complications due to sickle cell anaemia, including a kidney infection, a lung infection, and heart problems. The authorities refused to allow his family to bring his medication, which he needs to take daily,</w:t>
      </w:r>
      <w:r>
        <w:rPr>
          <w:sz w:val="22"/>
          <w:szCs w:val="22"/>
        </w:rPr>
        <w:t xml:space="preserve"> until February 15, after his family submitted information about his medical condition to the court. Prison authorities failed to deliver the medicine until February 18, the family said. His medications included anti-convulsant drugs and antibiotics, both </w:t>
      </w:r>
      <w:r>
        <w:rPr>
          <w:sz w:val="22"/>
          <w:szCs w:val="22"/>
        </w:rPr>
        <w:t>of which can have severe adverse health consequences if interrupted.</w:t>
      </w:r>
      <w:r>
        <w:rPr>
          <w:sz w:val="22"/>
          <w:szCs w:val="22"/>
        </w:rPr>
        <w:br/>
      </w:r>
      <w:r>
        <w:rPr>
          <w:sz w:val="22"/>
          <w:szCs w:val="22"/>
        </w:rPr>
        <w:br/>
        <w:t>According to medical records shared by his family, Ameen was hospitalized for 26 days in October and November, including 7 days in intensive care, after suffering seizures and reduced he</w:t>
      </w:r>
      <w:r>
        <w:rPr>
          <w:sz w:val="22"/>
          <w:szCs w:val="22"/>
        </w:rPr>
        <w:t>art function linked to sickle cell anaemia. Ameen’s underlying conditions make him highly at risk of severe illness from Covid-19.</w:t>
      </w:r>
      <w:r>
        <w:rPr>
          <w:sz w:val="22"/>
          <w:szCs w:val="22"/>
          <w:vertAlign w:val="superscript"/>
        </w:rPr>
        <w:footnoteReference w:id="5"/>
      </w:r>
      <w:r>
        <w:rPr>
          <w:sz w:val="22"/>
          <w:szCs w:val="22"/>
        </w:rPr>
        <w:t xml:space="preserve"> The Interior Ministry has confirmed</w:t>
      </w:r>
      <w:r>
        <w:rPr>
          <w:sz w:val="22"/>
          <w:szCs w:val="22"/>
        </w:rPr>
        <w:t xml:space="preserve"> at least one positive Covid-19 case at the Dry Dock facility.</w:t>
      </w:r>
      <w:r>
        <w:rPr>
          <w:sz w:val="22"/>
          <w:szCs w:val="22"/>
          <w:vertAlign w:val="superscript"/>
        </w:rPr>
        <w:footnoteReference w:id="6"/>
      </w:r>
      <w:r>
        <w:rPr>
          <w:sz w:val="22"/>
          <w:szCs w:val="22"/>
        </w:rPr>
        <w:br/>
      </w:r>
      <w:r>
        <w:rPr>
          <w:sz w:val="22"/>
          <w:szCs w:val="22"/>
        </w:rPr>
        <w:br/>
        <w:t>Ameen was also questioned at the Hamad Town police station in early 2020 about an alleged tire-burning incident in 2019 and released without charge.</w:t>
      </w:r>
    </w:p>
    <w:p w14:paraId="6FC07C32" w14:textId="77777777" w:rsidR="00702A21" w:rsidRDefault="00702A21">
      <w:pPr>
        <w:rPr>
          <w:sz w:val="22"/>
          <w:szCs w:val="22"/>
        </w:rPr>
      </w:pPr>
    </w:p>
    <w:p w14:paraId="46698ABE" w14:textId="77777777" w:rsidR="00702A21" w:rsidRDefault="00DD5C1A">
      <w:pPr>
        <w:pStyle w:val="Heading4"/>
        <w:rPr>
          <w:sz w:val="22"/>
          <w:szCs w:val="22"/>
        </w:rPr>
      </w:pPr>
      <w:bookmarkStart w:id="9" w:name="_3vn29t3dnk1y" w:colFirst="0" w:colLast="0"/>
      <w:bookmarkEnd w:id="9"/>
      <w:r>
        <w:rPr>
          <w:sz w:val="22"/>
          <w:szCs w:val="22"/>
        </w:rPr>
        <w:t>Incident 4</w:t>
      </w:r>
    </w:p>
    <w:p w14:paraId="59FC692C" w14:textId="77777777" w:rsidR="00702A21" w:rsidRDefault="00702A21">
      <w:pPr>
        <w:rPr>
          <w:sz w:val="22"/>
          <w:szCs w:val="22"/>
        </w:rPr>
      </w:pPr>
    </w:p>
    <w:p w14:paraId="435BA822" w14:textId="77777777" w:rsidR="00702A21" w:rsidRDefault="00DD5C1A">
      <w:pPr>
        <w:rPr>
          <w:sz w:val="22"/>
          <w:szCs w:val="22"/>
        </w:rPr>
      </w:pPr>
      <w:r>
        <w:rPr>
          <w:sz w:val="22"/>
          <w:szCs w:val="22"/>
        </w:rPr>
        <w:lastRenderedPageBreak/>
        <w:t>On February 14, Abdulaziz A.</w:t>
      </w:r>
      <w:r>
        <w:rPr>
          <w:sz w:val="22"/>
          <w:szCs w:val="22"/>
        </w:rPr>
        <w:t>, 13, and another 13-year-old boy were arrested and questioned at Hamad Town Police Station, without a lawyer or parent, on allegations of blocking a road and vandalism, the boys and their relatives said. They said police took them to a cabin or outbuildin</w:t>
      </w:r>
      <w:r>
        <w:rPr>
          <w:sz w:val="22"/>
          <w:szCs w:val="22"/>
        </w:rPr>
        <w:t>g at the station where an officer hit Abdulaziz on his head, threatened to rape him and hit his genitals, and threatened to shock both boys with electricity.</w:t>
      </w:r>
      <w:r>
        <w:rPr>
          <w:sz w:val="22"/>
          <w:szCs w:val="22"/>
        </w:rPr>
        <w:br/>
      </w:r>
      <w:r>
        <w:rPr>
          <w:sz w:val="22"/>
          <w:szCs w:val="22"/>
        </w:rPr>
        <w:br/>
        <w:t>A family member joined Abdulaziz as an officer was writing out his statement. A man in black civi</w:t>
      </w:r>
      <w:r>
        <w:rPr>
          <w:sz w:val="22"/>
          <w:szCs w:val="22"/>
        </w:rPr>
        <w:t>lian clothing “threatened [Abdulaziz] with rape in front of me,” the family member said.</w:t>
      </w:r>
      <w:r>
        <w:rPr>
          <w:sz w:val="22"/>
          <w:szCs w:val="22"/>
        </w:rPr>
        <w:br/>
      </w:r>
      <w:r>
        <w:rPr>
          <w:sz w:val="22"/>
          <w:szCs w:val="22"/>
        </w:rPr>
        <w:br/>
        <w:t>On February 16, they were summoned to the Hamad Town station, and without their parents or a lawyer, were questioned by a prosecutor, presented before a judge, and tr</w:t>
      </w:r>
      <w:r>
        <w:rPr>
          <w:sz w:val="22"/>
          <w:szCs w:val="22"/>
        </w:rPr>
        <w:t xml:space="preserve">ansferred to the Isa Town Juvenile Detention Center, family members said. One family member said, “I asked [the police] if I can bring a lawyer, but they said no, a lawyer is not allowed in the first session [with the prosecution], not even in the court.” </w:t>
      </w:r>
      <w:r>
        <w:rPr>
          <w:sz w:val="22"/>
          <w:szCs w:val="22"/>
        </w:rPr>
        <w:t xml:space="preserve"> </w:t>
      </w:r>
      <w:r>
        <w:rPr>
          <w:sz w:val="22"/>
          <w:szCs w:val="22"/>
        </w:rPr>
        <w:br/>
      </w:r>
      <w:r>
        <w:rPr>
          <w:sz w:val="22"/>
          <w:szCs w:val="22"/>
        </w:rPr>
        <w:br/>
        <w:t>On February 17, a judge ordered their detention for seven days, but they were released that night. On February 18, the police station informed the families that the case would be closed due to the children’s ages, they said.</w:t>
      </w:r>
      <w:r>
        <w:rPr>
          <w:sz w:val="22"/>
          <w:szCs w:val="22"/>
        </w:rPr>
        <w:br/>
      </w:r>
      <w:r>
        <w:rPr>
          <w:sz w:val="22"/>
          <w:szCs w:val="22"/>
        </w:rPr>
        <w:br/>
        <w:t xml:space="preserve">The authorities questioned </w:t>
      </w:r>
      <w:r>
        <w:rPr>
          <w:sz w:val="22"/>
          <w:szCs w:val="22"/>
        </w:rPr>
        <w:t>two other boys in the same case, including Haidar H., 14. They were summoned to the prosecution on February 18, where a relative of Haidar’s was repeatedly refused permission to be present during the interrogation.</w:t>
      </w:r>
      <w:r>
        <w:rPr>
          <w:sz w:val="22"/>
          <w:szCs w:val="22"/>
        </w:rPr>
        <w:br/>
      </w:r>
      <w:r>
        <w:rPr>
          <w:sz w:val="22"/>
          <w:szCs w:val="22"/>
        </w:rPr>
        <w:br/>
        <w:t>Abdulaziz had previously been detained f</w:t>
      </w:r>
      <w:r>
        <w:rPr>
          <w:sz w:val="22"/>
          <w:szCs w:val="22"/>
        </w:rPr>
        <w:t>or eight days on February 14, 2020, and charged with participating in an illegal gathering, but the case was dropped due to Covid-19 restrictions, his family said.</w:t>
      </w:r>
    </w:p>
    <w:p w14:paraId="2E4DF074" w14:textId="77777777" w:rsidR="00702A21" w:rsidRDefault="00702A21">
      <w:pPr>
        <w:rPr>
          <w:sz w:val="22"/>
          <w:szCs w:val="22"/>
        </w:rPr>
      </w:pPr>
    </w:p>
    <w:p w14:paraId="7F0E4C48" w14:textId="77777777" w:rsidR="00702A21" w:rsidRDefault="00DD5C1A">
      <w:pPr>
        <w:pStyle w:val="Heading4"/>
        <w:rPr>
          <w:sz w:val="22"/>
          <w:szCs w:val="22"/>
        </w:rPr>
      </w:pPr>
      <w:bookmarkStart w:id="10" w:name="_12z7ebko9j89" w:colFirst="0" w:colLast="0"/>
      <w:bookmarkEnd w:id="10"/>
      <w:r>
        <w:rPr>
          <w:sz w:val="22"/>
          <w:szCs w:val="22"/>
        </w:rPr>
        <w:t xml:space="preserve">Incident 5 </w:t>
      </w:r>
    </w:p>
    <w:p w14:paraId="6291648F" w14:textId="77777777" w:rsidR="00702A21" w:rsidRDefault="00DD5C1A">
      <w:pPr>
        <w:rPr>
          <w:sz w:val="22"/>
          <w:szCs w:val="22"/>
        </w:rPr>
      </w:pPr>
      <w:r>
        <w:rPr>
          <w:sz w:val="22"/>
          <w:szCs w:val="22"/>
        </w:rPr>
        <w:br/>
        <w:t>Akram A., 14, and Fadi F., 13, said police arrested them outside a bakery in t</w:t>
      </w:r>
      <w:r>
        <w:rPr>
          <w:sz w:val="22"/>
          <w:szCs w:val="22"/>
        </w:rPr>
        <w:t>he town of Shahrakan at around 5:30 p.m. on February 15, 2021 after a group of boys had set fire to bicycle tires at a traffic roundabout, the children and their families said. As they were being driven in a civilian car to Hamad Town Police Station, an of</w:t>
      </w:r>
      <w:r>
        <w:rPr>
          <w:sz w:val="22"/>
          <w:szCs w:val="22"/>
        </w:rPr>
        <w:t>ficer painfully twisted Akram’s arm and “told me to confess or I would be imprisoned,” he said.</w:t>
      </w:r>
      <w:r>
        <w:rPr>
          <w:sz w:val="22"/>
          <w:szCs w:val="22"/>
        </w:rPr>
        <w:br/>
      </w:r>
      <w:r>
        <w:rPr>
          <w:sz w:val="22"/>
          <w:szCs w:val="22"/>
        </w:rPr>
        <w:br/>
        <w:t>Another boy, Qasem Q., 13, said police arrested him at his home around 8:30 p.m. and “beat me on the head with slaps and punches” while they were driving to th</w:t>
      </w:r>
      <w:r>
        <w:rPr>
          <w:sz w:val="22"/>
          <w:szCs w:val="22"/>
        </w:rPr>
        <w:t>e same police station and told him to confess. Police also arrested another child in the case.</w:t>
      </w:r>
      <w:r>
        <w:rPr>
          <w:sz w:val="22"/>
          <w:szCs w:val="22"/>
        </w:rPr>
        <w:br/>
      </w:r>
      <w:r>
        <w:rPr>
          <w:sz w:val="22"/>
          <w:szCs w:val="22"/>
        </w:rPr>
        <w:br/>
        <w:t>At the police station an officer hit Qasem: “He said, ‘Confess that you planted a fake bomb...’ I said no, so he beat me. He said, ‘I will electrocute you and t</w:t>
      </w:r>
      <w:r>
        <w:rPr>
          <w:sz w:val="22"/>
          <w:szCs w:val="22"/>
        </w:rPr>
        <w:t>hen you will confess.’” Akram and Fadi were subjected to similar abuse and bomb accusations, Akram said. “The officer was screaming at me … [Another officer] pinned my arm behind my back [painfully] and said, ‘Say it, say it.’” Fadi said the officer scream</w:t>
      </w:r>
      <w:r>
        <w:rPr>
          <w:sz w:val="22"/>
          <w:szCs w:val="22"/>
        </w:rPr>
        <w:t>ed at him, called him a “bastard,” and threw a ruler at him.</w:t>
      </w:r>
      <w:r>
        <w:rPr>
          <w:sz w:val="22"/>
          <w:szCs w:val="22"/>
        </w:rPr>
        <w:br/>
      </w:r>
      <w:r>
        <w:rPr>
          <w:sz w:val="22"/>
          <w:szCs w:val="22"/>
        </w:rPr>
        <w:br/>
      </w:r>
      <w:r>
        <w:rPr>
          <w:sz w:val="22"/>
          <w:szCs w:val="22"/>
        </w:rPr>
        <w:lastRenderedPageBreak/>
        <w:t xml:space="preserve">The three boys each said they were taken from the main building to a cabin, or outbuilding, with a corrugated metal roof, where a police officer showed them a car battery with jumper cables and </w:t>
      </w:r>
      <w:r>
        <w:rPr>
          <w:sz w:val="22"/>
          <w:szCs w:val="22"/>
        </w:rPr>
        <w:t>threatened to give them electric shocks. The officer told Akram “he would electrocute both of us one by one,” and that he would “throw water on me and then connect the wire to the battery and put it on me.” Fadi said an officer “pushed the ends of the wire</w:t>
      </w:r>
      <w:r>
        <w:rPr>
          <w:sz w:val="22"/>
          <w:szCs w:val="22"/>
        </w:rPr>
        <w:t xml:space="preserve"> together and [I saw] the sparks. He told me to confess or he would electrocute me.”</w:t>
      </w:r>
      <w:r>
        <w:rPr>
          <w:sz w:val="22"/>
          <w:szCs w:val="22"/>
        </w:rPr>
        <w:br/>
      </w:r>
      <w:r>
        <w:rPr>
          <w:sz w:val="22"/>
          <w:szCs w:val="22"/>
        </w:rPr>
        <w:br/>
        <w:t xml:space="preserve">He said an officer beat Qasem on the head and threatened him with electric shocks. “I confessed so he would stop hitting me, but he was angry, and he hit me more. He was </w:t>
      </w:r>
      <w:r>
        <w:rPr>
          <w:sz w:val="22"/>
          <w:szCs w:val="22"/>
        </w:rPr>
        <w:t>also insulting me.” All three boys identified the same outbuilding in a satellite image of the police station.</w:t>
      </w:r>
      <w:r>
        <w:rPr>
          <w:sz w:val="22"/>
          <w:szCs w:val="22"/>
        </w:rPr>
        <w:br/>
      </w:r>
      <w:r>
        <w:rPr>
          <w:sz w:val="22"/>
          <w:szCs w:val="22"/>
        </w:rPr>
        <w:br/>
        <w:t>The boys’ fathers were allowed to join them while the boys provided statements to police attesting their confessions under threat of torture. Th</w:t>
      </w:r>
      <w:r>
        <w:rPr>
          <w:sz w:val="22"/>
          <w:szCs w:val="22"/>
        </w:rPr>
        <w:t>ey were then released.</w:t>
      </w:r>
      <w:r>
        <w:rPr>
          <w:sz w:val="22"/>
          <w:szCs w:val="22"/>
        </w:rPr>
        <w:br/>
      </w:r>
      <w:r>
        <w:rPr>
          <w:sz w:val="22"/>
          <w:szCs w:val="22"/>
        </w:rPr>
        <w:br/>
        <w:t>The prosecutor’s office summoned the boys for questioning again on February 17. Fadi’s lawyer was present, but Akram was questioned alone and said that the prosecutor “didn’t permit us to read” his confession: “She said just sign it</w:t>
      </w:r>
      <w:r>
        <w:rPr>
          <w:sz w:val="22"/>
          <w:szCs w:val="22"/>
        </w:rPr>
        <w:t>.” He did so “because of fear. The day I was arrested, the police told me, ‘If you say anything [to the prosecution] other than what you said in the police station, we will detain you.’”</w:t>
      </w:r>
    </w:p>
    <w:p w14:paraId="7ECBAC45" w14:textId="77777777" w:rsidR="00702A21" w:rsidRDefault="00702A21">
      <w:pPr>
        <w:rPr>
          <w:sz w:val="22"/>
          <w:szCs w:val="22"/>
        </w:rPr>
      </w:pPr>
    </w:p>
    <w:p w14:paraId="669CC99A" w14:textId="77777777" w:rsidR="00702A21" w:rsidRDefault="00DD5C1A">
      <w:pPr>
        <w:pStyle w:val="Heading3"/>
        <w:spacing w:line="276" w:lineRule="auto"/>
        <w:rPr>
          <w:i/>
          <w:sz w:val="22"/>
          <w:szCs w:val="22"/>
        </w:rPr>
      </w:pPr>
      <w:bookmarkStart w:id="11" w:name="_1heil7rzn0sa" w:colFirst="0" w:colLast="0"/>
      <w:bookmarkEnd w:id="11"/>
      <w:r>
        <w:rPr>
          <w:i/>
          <w:sz w:val="22"/>
          <w:szCs w:val="22"/>
        </w:rPr>
        <w:t xml:space="preserve">Authorities deny abuse: Update on case study 1, June 2021 </w:t>
      </w:r>
    </w:p>
    <w:p w14:paraId="27EF0093"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i/>
          <w:color w:val="444444"/>
          <w:sz w:val="22"/>
          <w:szCs w:val="22"/>
        </w:rPr>
      </w:pPr>
      <w:r>
        <w:rPr>
          <w:i/>
          <w:color w:val="444444"/>
          <w:sz w:val="22"/>
          <w:szCs w:val="22"/>
        </w:rPr>
        <w:t>This upda</w:t>
      </w:r>
      <w:r>
        <w:rPr>
          <w:i/>
          <w:color w:val="444444"/>
          <w:sz w:val="22"/>
          <w:szCs w:val="22"/>
        </w:rPr>
        <w:t>te was published by the Bahrain Institute for Rights and Democracy and Human Rights Watch on June 7, 2021.</w:t>
      </w:r>
      <w:r>
        <w:rPr>
          <w:i/>
          <w:color w:val="434343"/>
          <w:sz w:val="22"/>
          <w:szCs w:val="22"/>
          <w:vertAlign w:val="superscript"/>
        </w:rPr>
        <w:footnoteReference w:id="7"/>
      </w:r>
      <w:r>
        <w:rPr>
          <w:i/>
          <w:color w:val="434343"/>
          <w:sz w:val="22"/>
          <w:szCs w:val="22"/>
        </w:rPr>
        <w:t xml:space="preserve"> The following are the relevant excerpts. </w:t>
      </w:r>
    </w:p>
    <w:p w14:paraId="16F5C2E6"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 xml:space="preserve">A Bahrain government report denying that police and detention-center officers beat, insulted, and threatened to rape four boys, ages 15 to 17, in detention in late 2020 and 2021 is a blatant effort to whitewash serious human rights violations. </w:t>
      </w:r>
    </w:p>
    <w:p w14:paraId="6D42AD92"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The boys’ s</w:t>
      </w:r>
      <w:r>
        <w:rPr>
          <w:color w:val="444444"/>
          <w:sz w:val="22"/>
          <w:szCs w:val="22"/>
        </w:rPr>
        <w:t>tatements and corroborating information contradict the March 14 report by the ombudsman of Bahrain’s Interior Ministry that said none of the boys were abused in custody. The UK government, an ally of Bahrain, approvingly cited the misleading ombudsman’s re</w:t>
      </w:r>
      <w:r>
        <w:rPr>
          <w:color w:val="444444"/>
          <w:sz w:val="22"/>
          <w:szCs w:val="22"/>
        </w:rPr>
        <w:t>port.</w:t>
      </w:r>
      <w:r>
        <w:rPr>
          <w:color w:val="444444"/>
          <w:sz w:val="22"/>
          <w:szCs w:val="22"/>
          <w:vertAlign w:val="superscript"/>
        </w:rPr>
        <w:footnoteReference w:id="8"/>
      </w:r>
    </w:p>
    <w:p w14:paraId="3209A6D6"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On June 7, Human Rights Watch and BIRD wrote to the UK government about the children’s mistreatment, urging it to press Bahrain for accountability, the groups said.</w:t>
      </w:r>
      <w:r>
        <w:rPr>
          <w:color w:val="444444"/>
          <w:sz w:val="22"/>
          <w:szCs w:val="22"/>
          <w:vertAlign w:val="superscript"/>
        </w:rPr>
        <w:footnoteReference w:id="9"/>
      </w:r>
      <w:r>
        <w:rPr>
          <w:color w:val="444444"/>
          <w:sz w:val="22"/>
          <w:szCs w:val="22"/>
        </w:rPr>
        <w:t xml:space="preserve"> The UK has </w:t>
      </w:r>
      <w:r>
        <w:rPr>
          <w:color w:val="444444"/>
          <w:sz w:val="22"/>
          <w:szCs w:val="22"/>
        </w:rPr>
        <w:lastRenderedPageBreak/>
        <w:t>supported Bahrain’s Interior Ministry with £6.5 million since 2012.</w:t>
      </w:r>
      <w:r>
        <w:rPr>
          <w:color w:val="444444"/>
          <w:sz w:val="22"/>
          <w:szCs w:val="22"/>
          <w:vertAlign w:val="superscript"/>
        </w:rPr>
        <w:footnoteReference w:id="10"/>
      </w:r>
      <w:r>
        <w:rPr>
          <w:color w:val="444444"/>
          <w:sz w:val="22"/>
          <w:szCs w:val="22"/>
        </w:rPr>
        <w:t xml:space="preserve"> </w:t>
      </w:r>
      <w:r>
        <w:rPr>
          <w:color w:val="444444"/>
          <w:sz w:val="22"/>
          <w:szCs w:val="22"/>
        </w:rPr>
        <w:t>The US is the main supplier of weapons used by Interior Ministry forces.</w:t>
      </w:r>
    </w:p>
    <w:p w14:paraId="37522FB1"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highlight w:val="white"/>
        </w:rPr>
      </w:pPr>
      <w:r>
        <w:rPr>
          <w:color w:val="444444"/>
          <w:sz w:val="22"/>
          <w:szCs w:val="22"/>
        </w:rPr>
        <w:t xml:space="preserve">Human Rights Watch and BIRD spoke with the four boys and reviewed the verdict in their case, the prosecution dossier, the ombudsman’s report, and other materials. </w:t>
      </w:r>
    </w:p>
    <w:p w14:paraId="66FC6BDF"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Police in Hamad Tow</w:t>
      </w:r>
      <w:r>
        <w:rPr>
          <w:color w:val="444444"/>
          <w:sz w:val="22"/>
          <w:szCs w:val="22"/>
        </w:rPr>
        <w:t>n summoned Jameel J., 14, whose name, as with the others, is being withheld because they are children, in April 2020 for questioning about his actions on February 14, the anniversary of Bahrain’s Arab Spring uprising. One officer threatened to hit him, and</w:t>
      </w:r>
      <w:r>
        <w:rPr>
          <w:color w:val="444444"/>
          <w:sz w:val="22"/>
          <w:szCs w:val="22"/>
        </w:rPr>
        <w:t xml:space="preserve"> another threatened to “put you in the jail cell and let all the officers rape you,” he said. He was released and interrogated again on November 30, then age 15, by two police officers at the Criminal Investigations Directorate (CID) in Manama.</w:t>
      </w:r>
    </w:p>
    <w:p w14:paraId="7CC32A4B"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They slappe</w:t>
      </w:r>
      <w:r>
        <w:rPr>
          <w:color w:val="444444"/>
          <w:sz w:val="22"/>
          <w:szCs w:val="22"/>
        </w:rPr>
        <w:t xml:space="preserve">d him repeatedly, he said and threatened to beat him severely and to arrest his father. One officer said, “Will you confess, or would you like me to treat you like a man?” He confessed to throwing a Molotov cocktail and burning tires and gave the names of </w:t>
      </w:r>
      <w:r>
        <w:rPr>
          <w:color w:val="444444"/>
          <w:sz w:val="22"/>
          <w:szCs w:val="22"/>
        </w:rPr>
        <w:t>other boys. Jameel J. said police put him in a cell with adults, then allowed him to call his parents briefly and transferred him to a small, windowless solitary cell for two days.</w:t>
      </w:r>
    </w:p>
    <w:p w14:paraId="663A68BE"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On December 2, police took Jameel J. before the public prosecutor without a</w:t>
      </w:r>
      <w:r>
        <w:rPr>
          <w:color w:val="444444"/>
          <w:sz w:val="22"/>
          <w:szCs w:val="22"/>
        </w:rPr>
        <w:t xml:space="preserve"> lawyer. “Everything [the prosecutor] told me, I just responded yes, yes. I was desperate not to return to the CID because I was afraid they would beat me again,” he said. After confessing, he was transferred to the Dry Dock Detention Center.</w:t>
      </w:r>
    </w:p>
    <w:p w14:paraId="69D137A2"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The three other boys in the case, Ahmad A., Hasan H., and Sayed Hasan Ameen, were summoned to the Fourth Criminal Court in Manama on February 11, 2021, where a judge ordered their arrests. The children were taken from the court for Covid-19 tests in an Int</w:t>
      </w:r>
      <w:r>
        <w:rPr>
          <w:color w:val="444444"/>
          <w:sz w:val="22"/>
          <w:szCs w:val="22"/>
        </w:rPr>
        <w:t>erior Ministry facility in Manama’s Qalaa neighbourhood and then to the CID. Police fingerprinted and photographed the boys, took DNA samples, handcuffed and blindfolded them, and made them wait in a corridor from around 1:30 p.m. to 1:30 a.m.</w:t>
      </w:r>
    </w:p>
    <w:p w14:paraId="1A50304C"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The boys sai</w:t>
      </w:r>
      <w:r>
        <w:rPr>
          <w:color w:val="444444"/>
          <w:sz w:val="22"/>
          <w:szCs w:val="22"/>
        </w:rPr>
        <w:t>d the police insulted, slapped, and threatened them. “I’m too embarrassed to tell you the insults they said to me,” said Ahmad A., age 17. Hasan H., 16, said, “The first thing, they slapped me, blindfolded and handcuffed me.” He remained handcuffed when “t</w:t>
      </w:r>
      <w:r>
        <w:rPr>
          <w:color w:val="444444"/>
          <w:sz w:val="22"/>
          <w:szCs w:val="22"/>
        </w:rPr>
        <w:t>hey brought us lunch, and even when I went to the bathroom.” Police did not question them but told them to sign documents that they did not read. “I wasn’t sure what was on the papers,” Hasan H. said.</w:t>
      </w:r>
    </w:p>
    <w:p w14:paraId="1159A369"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At 1:30 a.m., they said, they were moved into small iso</w:t>
      </w:r>
      <w:r>
        <w:rPr>
          <w:color w:val="444444"/>
          <w:sz w:val="22"/>
          <w:szCs w:val="22"/>
        </w:rPr>
        <w:t>lation cells at the CID. At 4:30 a.m., police handcuffed and transferred the boys by bus to the Dry Dock detention facility, slapping and insulting them. At the jail, Ahmad A. said, “We were made to stand facing the wall, and after about 15 minutes, I aske</w:t>
      </w:r>
      <w:r>
        <w:rPr>
          <w:color w:val="444444"/>
          <w:sz w:val="22"/>
          <w:szCs w:val="22"/>
        </w:rPr>
        <w:t xml:space="preserve">d to sit down. An officer said, ‘You think jail is a playground?’ </w:t>
      </w:r>
      <w:r>
        <w:rPr>
          <w:color w:val="444444"/>
          <w:sz w:val="22"/>
          <w:szCs w:val="22"/>
        </w:rPr>
        <w:lastRenderedPageBreak/>
        <w:t>and slapped my head. They cut my hair. I was scared. He threatened to rape my father.” Hasan H. said an officer “said they would rape my mother and father.”</w:t>
      </w:r>
    </w:p>
    <w:p w14:paraId="36DEB7C8"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 xml:space="preserve">Officials told the boys to strip </w:t>
      </w:r>
      <w:r>
        <w:rPr>
          <w:color w:val="444444"/>
          <w:sz w:val="22"/>
          <w:szCs w:val="22"/>
        </w:rPr>
        <w:t>off their clothes and, for two of them, to put on a loincloth (</w:t>
      </w:r>
      <w:r>
        <w:rPr>
          <w:i/>
          <w:color w:val="444444"/>
          <w:sz w:val="22"/>
          <w:szCs w:val="22"/>
        </w:rPr>
        <w:t>wizar</w:t>
      </w:r>
      <w:r>
        <w:rPr>
          <w:color w:val="444444"/>
          <w:sz w:val="22"/>
          <w:szCs w:val="22"/>
        </w:rPr>
        <w:t xml:space="preserve">). One of the boys told us that officers told him to strip completely without giving him a </w:t>
      </w:r>
      <w:r>
        <w:rPr>
          <w:i/>
          <w:color w:val="444444"/>
          <w:sz w:val="22"/>
          <w:szCs w:val="22"/>
        </w:rPr>
        <w:t>wizar,</w:t>
      </w:r>
      <w:r>
        <w:rPr>
          <w:color w:val="444444"/>
          <w:sz w:val="22"/>
          <w:szCs w:val="22"/>
        </w:rPr>
        <w:t xml:space="preserve"> to humiliate him. Police searched them and ordered them to carry mattresses, which they sa</w:t>
      </w:r>
      <w:r>
        <w:rPr>
          <w:color w:val="444444"/>
          <w:sz w:val="22"/>
          <w:szCs w:val="22"/>
        </w:rPr>
        <w:t>id were damp and dirty, to the same cell where Jameel J. was detained.</w:t>
      </w:r>
    </w:p>
    <w:p w14:paraId="193D35D2"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The four boys were detained until March 11. Up to nine other children, ages 15 to 17, were in the cell. They went to the prison yard for an hour a day, where they mixed with adult detai</w:t>
      </w:r>
      <w:r>
        <w:rPr>
          <w:color w:val="444444"/>
          <w:sz w:val="22"/>
          <w:szCs w:val="22"/>
        </w:rPr>
        <w:t>nees, the boys said. Officials monitored the cell with a CCTV camera, and an official sometimes summoned the boys and hit them for infractions like writing on the cell wall. They said a guard regularly entered the cell and kicked or stepped on the boys.</w:t>
      </w:r>
    </w:p>
    <w:p w14:paraId="5C467BAD"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In</w:t>
      </w:r>
      <w:r>
        <w:rPr>
          <w:color w:val="444444"/>
          <w:sz w:val="22"/>
          <w:szCs w:val="22"/>
        </w:rPr>
        <w:t xml:space="preserve"> one incident, a guard entered the cell and demanded that two of the children stand up. When one boy “smiled at him,” the guard appeared to interpret it as insolence and pepper-sprayed them, the boys said. “He said, ‘I will crucify you,’ and he sprayed pep</w:t>
      </w:r>
      <w:r>
        <w:rPr>
          <w:color w:val="444444"/>
          <w:sz w:val="22"/>
          <w:szCs w:val="22"/>
        </w:rPr>
        <w:t>per spray into the cell at two guys, suffocating everyone” in the cell, Hasan H. said.</w:t>
      </w:r>
    </w:p>
    <w:p w14:paraId="17037324"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After about six days, they said, everyone in their cell fell ill, but guards refused them medical care. Ahmad A. said, “I was sick for three or four days, I needed a cli</w:t>
      </w:r>
      <w:r>
        <w:rPr>
          <w:color w:val="444444"/>
          <w:sz w:val="22"/>
          <w:szCs w:val="22"/>
        </w:rPr>
        <w:t>nic, I had a fever, a headache, diarrhoea, and pain in my body, but they didn’t take me. They didn’t even give me Panadol or test me” for Covid-19, he said. An Egyptian boy in the cell was “very sick, with a headache, fever, stomachache, and we kept knocki</w:t>
      </w:r>
      <w:r>
        <w:rPr>
          <w:color w:val="444444"/>
          <w:sz w:val="22"/>
          <w:szCs w:val="22"/>
        </w:rPr>
        <w:t>ng at the door” for help, but Sayed Hasan Ameen said the guard told them to stop.</w:t>
      </w:r>
    </w:p>
    <w:p w14:paraId="7A64F701"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 xml:space="preserve">Ameen, 16, has medical complications from sickle cell anaemia, but officials refused to allow him his prescribed medications for eight days. Then “an officer told me to take </w:t>
      </w:r>
      <w:r>
        <w:rPr>
          <w:color w:val="444444"/>
          <w:sz w:val="22"/>
          <w:szCs w:val="22"/>
        </w:rPr>
        <w:t xml:space="preserve">my medication in front of him,” but it should be taken at specified times so he refused. “He got mad, so he handcuffed me very tightly for two hours,” causing lasting pain. Adult prisoners learned he had medications and “came to the cell to ask for drugs, </w:t>
      </w:r>
      <w:r>
        <w:rPr>
          <w:color w:val="444444"/>
          <w:sz w:val="22"/>
          <w:szCs w:val="22"/>
        </w:rPr>
        <w:t>and offered me money, but I refused,” said Ameen. He was able to keep his medications.</w:t>
      </w:r>
    </w:p>
    <w:p w14:paraId="0E64D3C8"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On March 11, the court in Manama convicted Jameel J. on the basis of his coerced confession and fingerprints on a Molotov cocktail, and convicted the other three boys so</w:t>
      </w:r>
      <w:r>
        <w:rPr>
          <w:color w:val="444444"/>
          <w:sz w:val="22"/>
          <w:szCs w:val="22"/>
        </w:rPr>
        <w:t>lely on the basis of Jameel J.’s confession. Bahraini criminal laws treat children ages 16 and older as adults, but the court released the boys on six-month suspended sentences, applying a new law not yet in force that defines a child as anyone under 18.</w:t>
      </w:r>
      <w:r>
        <w:rPr>
          <w:color w:val="444444"/>
          <w:sz w:val="22"/>
          <w:szCs w:val="22"/>
          <w:vertAlign w:val="superscript"/>
        </w:rPr>
        <w:footnoteReference w:id="11"/>
      </w:r>
      <w:r>
        <w:rPr>
          <w:color w:val="444444"/>
          <w:sz w:val="22"/>
          <w:szCs w:val="22"/>
        </w:rPr>
        <w:t xml:space="preserve"> The releases followed international news coverage of abuses against other children arrested in the same case.</w:t>
      </w:r>
      <w:r>
        <w:rPr>
          <w:color w:val="444444"/>
          <w:sz w:val="22"/>
          <w:szCs w:val="22"/>
          <w:vertAlign w:val="superscript"/>
        </w:rPr>
        <w:footnoteReference w:id="12"/>
      </w:r>
    </w:p>
    <w:p w14:paraId="4D1D6138"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lastRenderedPageBreak/>
        <w:t>On March 12, the Interior Ministry ombudsman’s office summoned and interviewed two of the four boys, who said they felt compelled to attend. Th</w:t>
      </w:r>
      <w:r>
        <w:rPr>
          <w:color w:val="444444"/>
          <w:sz w:val="22"/>
          <w:szCs w:val="22"/>
        </w:rPr>
        <w:t>e boys said officials asked about their police interrogations at the CID but not the abuses in jail. The officials refused the boys’ repeated requests to have lawyers present and to give them copies of their statements, they said.</w:t>
      </w:r>
    </w:p>
    <w:p w14:paraId="7B2778B5"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color w:val="444444"/>
          <w:sz w:val="22"/>
          <w:szCs w:val="22"/>
        </w:rPr>
      </w:pPr>
      <w:r>
        <w:rPr>
          <w:color w:val="444444"/>
          <w:sz w:val="22"/>
          <w:szCs w:val="22"/>
        </w:rPr>
        <w:t>On March 14, the Ombudsma</w:t>
      </w:r>
      <w:r>
        <w:rPr>
          <w:color w:val="444444"/>
          <w:sz w:val="22"/>
          <w:szCs w:val="22"/>
        </w:rPr>
        <w:t>n stated that the boys were not abused during interrogation, and claimed that Sayed Hasan Ameen had received his medication in detention.</w:t>
      </w:r>
      <w:r>
        <w:rPr>
          <w:color w:val="444444"/>
          <w:sz w:val="22"/>
          <w:szCs w:val="22"/>
          <w:vertAlign w:val="superscript"/>
        </w:rPr>
        <w:footnoteReference w:id="13"/>
      </w:r>
      <w:r>
        <w:rPr>
          <w:color w:val="444444"/>
          <w:sz w:val="22"/>
          <w:szCs w:val="22"/>
        </w:rPr>
        <w:t xml:space="preserve"> Bahrain’s Special Investigations Unit also summoned the boys, but they refused to participate due to their “really b</w:t>
      </w:r>
      <w:r>
        <w:rPr>
          <w:color w:val="444444"/>
          <w:sz w:val="22"/>
          <w:szCs w:val="22"/>
        </w:rPr>
        <w:t>ad experience with the ombudsman,” Ahmad A. said.</w:t>
      </w:r>
      <w:r>
        <w:rPr>
          <w:color w:val="444444"/>
          <w:sz w:val="22"/>
          <w:szCs w:val="22"/>
          <w:vertAlign w:val="superscript"/>
        </w:rPr>
        <w:footnoteReference w:id="14"/>
      </w:r>
    </w:p>
    <w:p w14:paraId="344EB004"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pacing w:before="360" w:after="360"/>
        <w:rPr>
          <w:b/>
          <w:color w:val="000000"/>
          <w:sz w:val="22"/>
          <w:szCs w:val="22"/>
        </w:rPr>
      </w:pPr>
      <w:r>
        <w:rPr>
          <w:color w:val="444444"/>
          <w:sz w:val="22"/>
          <w:szCs w:val="22"/>
        </w:rPr>
        <w:t>The ombudsman asked Human Rights Watch on March 10 to share the names of other children interviewed who said they were abused in custody. Human Rights Watch declined to ask the children to share their information with an office whose practices children hav</w:t>
      </w:r>
      <w:r>
        <w:rPr>
          <w:color w:val="444444"/>
          <w:sz w:val="22"/>
          <w:szCs w:val="22"/>
        </w:rPr>
        <w:t>e found distressing and unfair and whose conclusions do not appear credible. The United Nations Committee Against Torture has raised concerns that Bahrain’s ombudsman and Special Investigations Unit are not independent or effective.</w:t>
      </w:r>
      <w:r>
        <w:rPr>
          <w:color w:val="444444"/>
          <w:sz w:val="22"/>
          <w:szCs w:val="22"/>
          <w:vertAlign w:val="superscript"/>
        </w:rPr>
        <w:footnoteReference w:id="15"/>
      </w:r>
      <w:r>
        <w:rPr>
          <w:color w:val="444444"/>
          <w:sz w:val="22"/>
          <w:szCs w:val="22"/>
        </w:rPr>
        <w:t xml:space="preserve"> They have failed to i</w:t>
      </w:r>
      <w:r>
        <w:rPr>
          <w:color w:val="444444"/>
          <w:sz w:val="22"/>
          <w:szCs w:val="22"/>
        </w:rPr>
        <w:t>nvestigate credible allegations of torture or to hold officials accountable.</w:t>
      </w:r>
      <w:r>
        <w:rPr>
          <w:color w:val="444444"/>
          <w:sz w:val="22"/>
          <w:szCs w:val="22"/>
          <w:vertAlign w:val="superscript"/>
        </w:rPr>
        <w:footnoteReference w:id="16"/>
      </w:r>
    </w:p>
    <w:p w14:paraId="49C35175" w14:textId="77777777" w:rsidR="00702A21" w:rsidRDefault="00DD5C1A">
      <w:pPr>
        <w:pStyle w:val="Heading2"/>
        <w:shd w:val="clear" w:color="auto" w:fill="FFFFFF"/>
        <w:rPr>
          <w:rFonts w:ascii="Arial" w:eastAsia="Arial" w:hAnsi="Arial" w:cs="Arial"/>
          <w:b/>
          <w:sz w:val="22"/>
          <w:szCs w:val="22"/>
          <w:u w:val="single"/>
        </w:rPr>
      </w:pPr>
      <w:bookmarkStart w:id="12" w:name="_758arsjgey2k" w:colFirst="0" w:colLast="0"/>
      <w:bookmarkEnd w:id="12"/>
      <w:r>
        <w:rPr>
          <w:rFonts w:ascii="Arial" w:eastAsia="Arial" w:hAnsi="Arial" w:cs="Arial"/>
          <w:b/>
          <w:sz w:val="22"/>
          <w:szCs w:val="22"/>
          <w:u w:val="single"/>
        </w:rPr>
        <w:t xml:space="preserve">2.2. Case study two: Boys arbitrarily detained in orphanage </w:t>
      </w:r>
    </w:p>
    <w:p w14:paraId="6518E4B2" w14:textId="77777777" w:rsidR="00702A21" w:rsidRDefault="00DD5C1A">
      <w:pPr>
        <w:shd w:val="clear" w:color="auto" w:fill="FFFFFF"/>
        <w:rPr>
          <w:sz w:val="22"/>
          <w:szCs w:val="22"/>
        </w:rPr>
      </w:pPr>
      <w:r>
        <w:rPr>
          <w:i/>
          <w:sz w:val="22"/>
          <w:szCs w:val="22"/>
        </w:rPr>
        <w:t>On February 7, 2022, research from BIRD and Human Rights Watch found that six boys were being detained in spite of t</w:t>
      </w:r>
      <w:r>
        <w:rPr>
          <w:i/>
          <w:sz w:val="22"/>
          <w:szCs w:val="22"/>
        </w:rPr>
        <w:t>he coming into law of Restorative Justice Law for Children which came into force in August 2021.</w:t>
      </w:r>
      <w:r>
        <w:rPr>
          <w:i/>
          <w:sz w:val="22"/>
          <w:szCs w:val="22"/>
          <w:vertAlign w:val="superscript"/>
        </w:rPr>
        <w:footnoteReference w:id="17"/>
      </w:r>
      <w:r>
        <w:rPr>
          <w:i/>
          <w:sz w:val="22"/>
          <w:szCs w:val="22"/>
        </w:rPr>
        <w:t xml:space="preserve"> </w:t>
      </w:r>
    </w:p>
    <w:p w14:paraId="070A6FC9"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Bahrain</w:t>
      </w:r>
      <w:r>
        <w:rPr>
          <w:sz w:val="22"/>
          <w:szCs w:val="22"/>
        </w:rPr>
        <w:t xml:space="preserve"> authorities are detaining six boys, ages 14 and 15, in a child welfare facility. The authorities have not provided the boys or their families with any written justification for their weeks-long detention and have denied parents’ requests to be present dur</w:t>
      </w:r>
      <w:r>
        <w:rPr>
          <w:sz w:val="22"/>
          <w:szCs w:val="22"/>
        </w:rPr>
        <w:t>ing their interrogations and to visit their sons.</w:t>
      </w:r>
    </w:p>
    <w:p w14:paraId="366F33CF"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The boys, from the Sitra area, are being held on the orders of the public prosecutor’s office at the Beit Batelco facility in Seef district, which a government website describes as an “institution … for chi</w:t>
      </w:r>
      <w:r>
        <w:rPr>
          <w:sz w:val="22"/>
          <w:szCs w:val="22"/>
        </w:rPr>
        <w:t>ldren of unknown parentage, orphans and children of broken families up to the age of 15.” Based on the boys ‘ recollections of their interrogations, the children’s alleged offences appear to have occurred in December 2020 or January 2021, when they were 13</w:t>
      </w:r>
      <w:r>
        <w:rPr>
          <w:sz w:val="22"/>
          <w:szCs w:val="22"/>
        </w:rPr>
        <w:t xml:space="preserve"> and 14. A </w:t>
      </w:r>
      <w:r>
        <w:rPr>
          <w:sz w:val="22"/>
          <w:szCs w:val="22"/>
        </w:rPr>
        <w:lastRenderedPageBreak/>
        <w:t>statement by the Office of the Public Prosecution alleges they threw Molotov cocktails that damaged a car near a police station.</w:t>
      </w:r>
      <w:r>
        <w:rPr>
          <w:sz w:val="22"/>
          <w:szCs w:val="22"/>
          <w:vertAlign w:val="superscript"/>
        </w:rPr>
        <w:footnoteReference w:id="18"/>
      </w:r>
    </w:p>
    <w:p w14:paraId="6323521B"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highlight w:val="white"/>
        </w:rPr>
      </w:pPr>
      <w:r>
        <w:rPr>
          <w:sz w:val="22"/>
          <w:szCs w:val="22"/>
        </w:rPr>
        <w:t>The children, from three families, were first summoned by the public prosecutor for questioning in June 2021. Some</w:t>
      </w:r>
      <w:r>
        <w:rPr>
          <w:sz w:val="22"/>
          <w:szCs w:val="22"/>
        </w:rPr>
        <w:t xml:space="preserve"> were questioned at least eight times and sometimes detained overnight at a police station, parents from two families said before their arrests. “We received a call from Sitra police station to bring them, and then from there, they took them to the Office </w:t>
      </w:r>
      <w:r>
        <w:rPr>
          <w:sz w:val="22"/>
          <w:szCs w:val="22"/>
        </w:rPr>
        <w:t>of the Public Prosecutor without letting me go with them,” one family member said. “I was never allowed to be present in the interrogations. They said I needed to have permission from the prosecutor. We didn’t even know what the [alleged] crimes were.”</w:t>
      </w:r>
    </w:p>
    <w:p w14:paraId="5D11C1B4"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Ano</w:t>
      </w:r>
      <w:r>
        <w:rPr>
          <w:sz w:val="22"/>
          <w:szCs w:val="22"/>
        </w:rPr>
        <w:t>ther boy’s father said the allegations changed over the course of the interrogations, based on what his son told him: “First it was about burning a tire, then it was attacking a police station, and then it was throwing a Molotov cocktail. My son told me th</w:t>
      </w:r>
      <w:r>
        <w:rPr>
          <w:sz w:val="22"/>
          <w:szCs w:val="22"/>
        </w:rPr>
        <w:t>at when they asked him a question, they screamed at him not to lie. The father said he told the director of the Sitra police station, “‘These are kids, don’t destroy their future,’ but the director said, ‘Your son is a vandal.’”</w:t>
      </w:r>
    </w:p>
    <w:p w14:paraId="0D4105D0"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 xml:space="preserve">On December 27, the Public </w:t>
      </w:r>
      <w:r>
        <w:rPr>
          <w:sz w:val="22"/>
          <w:szCs w:val="22"/>
        </w:rPr>
        <w:t>Prosecution summoned five of the boys and arrested them. The sixth boy was arrested on January 9.</w:t>
      </w:r>
    </w:p>
    <w:p w14:paraId="1288B3DD"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The children were first transferred from the police station to Dar Al Karama, which a government website describes as a “care home for beggars and the homeles</w:t>
      </w:r>
      <w:r>
        <w:rPr>
          <w:sz w:val="22"/>
          <w:szCs w:val="22"/>
        </w:rPr>
        <w:t>s,” then transferred on January 5, to Beit Batelco.</w:t>
      </w:r>
      <w:r>
        <w:rPr>
          <w:sz w:val="22"/>
          <w:szCs w:val="22"/>
          <w:vertAlign w:val="superscript"/>
        </w:rPr>
        <w:footnoteReference w:id="19"/>
      </w:r>
      <w:r>
        <w:rPr>
          <w:sz w:val="22"/>
          <w:szCs w:val="22"/>
        </w:rPr>
        <w:t xml:space="preserve"> Their detention has been renewed by the prosecutor weekly, most recently on February 2. “Every time they renew their detentions, we feel shocked,” another family member said in a televised interview. “W</w:t>
      </w:r>
      <w:r>
        <w:rPr>
          <w:sz w:val="22"/>
          <w:szCs w:val="22"/>
        </w:rPr>
        <w:t>e are not able to offer a life with freedom and peace to our children.”</w:t>
      </w:r>
      <w:r>
        <w:rPr>
          <w:sz w:val="22"/>
          <w:szCs w:val="22"/>
          <w:vertAlign w:val="superscript"/>
        </w:rPr>
        <w:footnoteReference w:id="20"/>
      </w:r>
    </w:p>
    <w:p w14:paraId="2168DAB6"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One boy’s father travelled to both locations and asked to see his son but was refused without explanation. He appealed to the prosecutor and the attorney general’s office for his son</w:t>
      </w:r>
      <w:r>
        <w:rPr>
          <w:sz w:val="22"/>
          <w:szCs w:val="22"/>
        </w:rPr>
        <w:t>’s release, “but they ignored it,” he said. “They say, ‘Look, they are in a care centre,’ but they allow him only one telephone call [per week], they don’t give him any [family] visits. Effectively he’s a detainee, the doors are shut on him.”</w:t>
      </w:r>
    </w:p>
    <w:p w14:paraId="4E9B3F26"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lastRenderedPageBreak/>
        <w:t>Another man s</w:t>
      </w:r>
      <w:r>
        <w:rPr>
          <w:sz w:val="22"/>
          <w:szCs w:val="22"/>
        </w:rPr>
        <w:t>aid the authorities at the two facilities told him that family visits were prohibited “because of orders from the Office of the Public Prosecutor.” The children are allowed one 10-minute phone call each Monday.</w:t>
      </w:r>
    </w:p>
    <w:p w14:paraId="34D27623"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A defence lawyer for five of the boys said th</w:t>
      </w:r>
      <w:r>
        <w:rPr>
          <w:sz w:val="22"/>
          <w:szCs w:val="22"/>
        </w:rPr>
        <w:t>ey “are accused of obtaining and manufacturing Molotovs, but it is unclear if there is a specific incident attributed to them, or [if] they [are accused of having] used them.” The lawyer has not been informed of the legal basis for detaining the children o</w:t>
      </w:r>
      <w:r>
        <w:rPr>
          <w:sz w:val="22"/>
          <w:szCs w:val="22"/>
        </w:rPr>
        <w:t>r why they are being detained at the Beit Betelco orphanage. At their hearing on January 24, he said, the boys were taken to court wearing t-shirts and were visibly cold, but a social worker and a judge did not respond to concerns that they needed warmer c</w:t>
      </w:r>
      <w:r>
        <w:rPr>
          <w:sz w:val="22"/>
          <w:szCs w:val="22"/>
        </w:rPr>
        <w:t>lothing.</w:t>
      </w:r>
    </w:p>
    <w:p w14:paraId="090AF4AF"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On February 1, the Office of the Public Prosecution released a statement</w:t>
      </w:r>
      <w:r>
        <w:rPr>
          <w:color w:val="1155CC"/>
          <w:sz w:val="22"/>
          <w:szCs w:val="22"/>
        </w:rPr>
        <w:t xml:space="preserve"> </w:t>
      </w:r>
      <w:r>
        <w:rPr>
          <w:sz w:val="22"/>
          <w:szCs w:val="22"/>
        </w:rPr>
        <w:t>saying that the prosecutors had ordered the children detained for allegedly throwing Molotov cocktails at Sitra police station, which damaged a civilian car, and that their d</w:t>
      </w:r>
      <w:r>
        <w:rPr>
          <w:sz w:val="22"/>
          <w:szCs w:val="22"/>
        </w:rPr>
        <w:t>etention had been extended pending their referral to the Child Correctional Court. One boy’s father contacted the two rights groups to share the statement, which he said provided more information about the case than the families have received.</w:t>
      </w:r>
    </w:p>
    <w:p w14:paraId="04599A7F"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after="360"/>
        <w:rPr>
          <w:sz w:val="22"/>
          <w:szCs w:val="22"/>
        </w:rPr>
      </w:pPr>
      <w:r>
        <w:rPr>
          <w:sz w:val="22"/>
          <w:szCs w:val="22"/>
        </w:rPr>
        <w:t>Internationa</w:t>
      </w:r>
      <w:r>
        <w:rPr>
          <w:sz w:val="22"/>
          <w:szCs w:val="22"/>
        </w:rPr>
        <w:t>l law prohibits detaining children except if necessary as a last resort and for the shortest appropriate period due to the inherent harm and risks of abuse. The authorities have not explained why it was necessary to detain children who had repeatedly appea</w:t>
      </w:r>
      <w:r>
        <w:rPr>
          <w:sz w:val="22"/>
          <w:szCs w:val="22"/>
        </w:rPr>
        <w:t>red when summoned. Their detention also contradicts guidance from UNICEF for governments to impose a moratorium on detaining children during the Covid-19 pandemic.</w:t>
      </w:r>
    </w:p>
    <w:p w14:paraId="7C88A119"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rPr>
          <w:sz w:val="22"/>
          <w:szCs w:val="22"/>
          <w:u w:val="single"/>
        </w:rPr>
      </w:pPr>
      <w:r>
        <w:rPr>
          <w:sz w:val="22"/>
          <w:szCs w:val="22"/>
        </w:rPr>
        <w:t xml:space="preserve">“The reality is that if the government of Bahrain doesn’t like your children, they can be taken away and locked up, and you won’t even be told why,” said Sayed Ahmed Alwadaei, advocacy director at the Bahrain Institute for Rights and Democracy. “Bahrain’s </w:t>
      </w:r>
      <w:r>
        <w:rPr>
          <w:sz w:val="22"/>
          <w:szCs w:val="22"/>
        </w:rPr>
        <w:t>allies should demand the release of these six boys – even if they’d prefer not to discuss human rights, harming children undermines Bahrain’s stability.”</w:t>
      </w:r>
      <w:r>
        <w:rPr>
          <w:sz w:val="22"/>
          <w:szCs w:val="22"/>
          <w:u w:val="single"/>
        </w:rPr>
        <w:t xml:space="preserve"> </w:t>
      </w:r>
    </w:p>
    <w:p w14:paraId="2099274F" w14:textId="77777777" w:rsidR="00702A21" w:rsidRDefault="00DD5C1A">
      <w:pPr>
        <w:pStyle w:val="Heading3"/>
        <w:spacing w:line="276" w:lineRule="auto"/>
        <w:rPr>
          <w:i/>
          <w:sz w:val="22"/>
          <w:szCs w:val="22"/>
        </w:rPr>
      </w:pPr>
      <w:bookmarkStart w:id="13" w:name="_bjz6up2v0nai" w:colFirst="0" w:colLast="0"/>
      <w:bookmarkEnd w:id="13"/>
      <w:r>
        <w:rPr>
          <w:i/>
          <w:sz w:val="22"/>
          <w:szCs w:val="22"/>
        </w:rPr>
        <w:t>Update on Case Study 2: Unfair sentencing in March 2022.</w:t>
      </w:r>
    </w:p>
    <w:p w14:paraId="2E85B27B"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rPr>
          <w:i/>
          <w:sz w:val="22"/>
          <w:szCs w:val="22"/>
        </w:rPr>
      </w:pPr>
      <w:r>
        <w:rPr>
          <w:i/>
          <w:sz w:val="22"/>
          <w:szCs w:val="22"/>
        </w:rPr>
        <w:t>On March 13, 2022, BIRD published the following update.</w:t>
      </w:r>
      <w:r>
        <w:rPr>
          <w:i/>
          <w:sz w:val="22"/>
          <w:szCs w:val="22"/>
          <w:vertAlign w:val="superscript"/>
        </w:rPr>
        <w:footnoteReference w:id="21"/>
      </w:r>
      <w:r>
        <w:rPr>
          <w:sz w:val="22"/>
          <w:szCs w:val="22"/>
        </w:rPr>
        <w:t xml:space="preserve"> </w:t>
      </w:r>
    </w:p>
    <w:p w14:paraId="5A1CD5AD"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before="360"/>
        <w:rPr>
          <w:color w:val="050300"/>
          <w:sz w:val="22"/>
          <w:szCs w:val="22"/>
        </w:rPr>
      </w:pPr>
      <w:r>
        <w:rPr>
          <w:color w:val="050300"/>
          <w:sz w:val="22"/>
          <w:szCs w:val="22"/>
        </w:rPr>
        <w:t>A Bahraini judge today convicted six boys, aged between 14 and 15, to one year in detention in a child welfare facility, in flagrant violati</w:t>
      </w:r>
      <w:r>
        <w:rPr>
          <w:color w:val="050300"/>
          <w:sz w:val="22"/>
          <w:szCs w:val="22"/>
        </w:rPr>
        <w:t>on of their rights. The verdict by Judge Omar Alsaidi was based on confessions the boys gave during their interrogations when they were denied access to a lawyer or their parents.</w:t>
      </w:r>
    </w:p>
    <w:p w14:paraId="1F3E2225"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The children were sentenced under Bahrain’s Restorative Justice Law for Chil</w:t>
      </w:r>
      <w:r>
        <w:rPr>
          <w:color w:val="050300"/>
          <w:sz w:val="22"/>
          <w:szCs w:val="22"/>
        </w:rPr>
        <w:t>dren, which sets 15 as the minimum age of criminal responsibility. They were ages 13 and 14 at the time of the alleged offence.</w:t>
      </w:r>
    </w:p>
    <w:p w14:paraId="2DB0A62E"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lastRenderedPageBreak/>
        <w:t>Five of them were arrested on 27 December 2021, and the sixth on January 9, but they were not brought before a court or informed</w:t>
      </w:r>
      <w:r>
        <w:rPr>
          <w:color w:val="050300"/>
          <w:sz w:val="22"/>
          <w:szCs w:val="22"/>
        </w:rPr>
        <w:t xml:space="preserve"> of the charges against them until February 20.</w:t>
      </w:r>
    </w:p>
    <w:p w14:paraId="6CE40A26"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All six boys denied the charges.</w:t>
      </w:r>
    </w:p>
    <w:p w14:paraId="03665309"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 xml:space="preserve">Sayed Ahmed Alwadaei, director of advocacy at Bahrain Institute for Rights &amp; Democracy said: “This unjust conviction against children shows the brutality of Bahrain’s corrupt </w:t>
      </w:r>
      <w:r>
        <w:rPr>
          <w:color w:val="050300"/>
          <w:sz w:val="22"/>
          <w:szCs w:val="22"/>
        </w:rPr>
        <w:t>judiciary.  It also reveals how shallow Bahrain’s promise of reforming the children’s law is. This was enabled by the cheering received from the US and UK over fake reforms.”</w:t>
      </w:r>
    </w:p>
    <w:p w14:paraId="078C443C"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The authorities denied the boys’ family visitations for weeks and have so far den</w:t>
      </w:r>
      <w:r>
        <w:rPr>
          <w:color w:val="050300"/>
          <w:sz w:val="22"/>
          <w:szCs w:val="22"/>
        </w:rPr>
        <w:t>ied their access to education in detention.</w:t>
      </w:r>
    </w:p>
    <w:p w14:paraId="2B225B9C"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 xml:space="preserve">The children were convicted of throwing Molotov cocktails at a car near Sitra police station in January 2021 and participating in an unlicensed gathering of five or more people, which Bahraini law prohibits. The </w:t>
      </w:r>
      <w:r>
        <w:rPr>
          <w:color w:val="050300"/>
          <w:sz w:val="22"/>
          <w:szCs w:val="22"/>
        </w:rPr>
        <w:t>owner of the car said the damage was superficial and did not claim any damages, according to the prosecution case file.</w:t>
      </w:r>
    </w:p>
    <w:p w14:paraId="602130C8" w14:textId="77777777" w:rsidR="00702A21" w:rsidRDefault="00DD5C1A">
      <w:pPr>
        <w:pBdr>
          <w:top w:val="none" w:sz="0" w:space="0" w:color="444444"/>
          <w:left w:val="none" w:sz="0" w:space="0" w:color="444444"/>
          <w:bottom w:val="none" w:sz="0" w:space="0" w:color="444444"/>
          <w:right w:val="none" w:sz="0" w:space="0" w:color="444444"/>
          <w:between w:val="none" w:sz="0" w:space="0" w:color="444444"/>
        </w:pBdr>
        <w:shd w:val="clear" w:color="auto" w:fill="FFFFFF"/>
        <w:spacing w:after="400"/>
        <w:rPr>
          <w:color w:val="050300"/>
          <w:sz w:val="22"/>
          <w:szCs w:val="22"/>
        </w:rPr>
      </w:pPr>
      <w:r>
        <w:rPr>
          <w:color w:val="050300"/>
          <w:sz w:val="22"/>
          <w:szCs w:val="22"/>
        </w:rPr>
        <w:t>The groups also wrote to the government of the United Kingdom and called for its retraction and correction of statements that appeared t</w:t>
      </w:r>
      <w:r>
        <w:rPr>
          <w:color w:val="050300"/>
          <w:sz w:val="22"/>
          <w:szCs w:val="22"/>
        </w:rPr>
        <w:t>o support Bahrain’s prosecutions of the six children.</w:t>
      </w:r>
      <w:r>
        <w:rPr>
          <w:color w:val="050300"/>
          <w:sz w:val="22"/>
          <w:szCs w:val="22"/>
          <w:vertAlign w:val="superscript"/>
        </w:rPr>
        <w:footnoteReference w:id="22"/>
      </w:r>
    </w:p>
    <w:p w14:paraId="745962F0" w14:textId="77777777" w:rsidR="00702A21" w:rsidRDefault="00DD5C1A">
      <w:pPr>
        <w:pStyle w:val="Heading1"/>
        <w:jc w:val="center"/>
        <w:rPr>
          <w:rFonts w:ascii="Arial" w:eastAsia="Arial" w:hAnsi="Arial" w:cs="Arial"/>
          <w:b/>
          <w:sz w:val="22"/>
          <w:szCs w:val="22"/>
        </w:rPr>
      </w:pPr>
      <w:bookmarkStart w:id="14" w:name="_dv4flbdwk2d9" w:colFirst="0" w:colLast="0"/>
      <w:bookmarkEnd w:id="14"/>
      <w:r>
        <w:rPr>
          <w:rFonts w:ascii="Arial" w:eastAsia="Arial" w:hAnsi="Arial" w:cs="Arial"/>
          <w:b/>
          <w:sz w:val="22"/>
          <w:szCs w:val="22"/>
        </w:rPr>
        <w:t>3. Extrajudicial Killing of Minors by Bahraini Authorities</w:t>
      </w:r>
    </w:p>
    <w:p w14:paraId="24357BD0" w14:textId="77777777" w:rsidR="00702A21" w:rsidRDefault="00702A21">
      <w:pPr>
        <w:rPr>
          <w:sz w:val="22"/>
          <w:szCs w:val="22"/>
        </w:rPr>
      </w:pPr>
    </w:p>
    <w:p w14:paraId="32DBA052" w14:textId="77777777" w:rsidR="00702A21" w:rsidRDefault="00DD5C1A">
      <w:pPr>
        <w:rPr>
          <w:sz w:val="22"/>
          <w:szCs w:val="22"/>
        </w:rPr>
      </w:pPr>
      <w:r>
        <w:rPr>
          <w:sz w:val="22"/>
          <w:szCs w:val="22"/>
        </w:rPr>
        <w:t>During protests that have taken place in Bahrain since 2011, authorities have not only killed minors, they have failed to adequately investi</w:t>
      </w:r>
      <w:r>
        <w:rPr>
          <w:sz w:val="22"/>
          <w:szCs w:val="22"/>
        </w:rPr>
        <w:t>gate the use of excessive force that resulted in their deaths. In many of the cases documented, the government has denied its role in the killing even when there has been evidence to the contrary, and refused to conduct further investigations into the deat</w:t>
      </w:r>
      <w:r>
        <w:rPr>
          <w:sz w:val="22"/>
          <w:szCs w:val="22"/>
        </w:rPr>
        <w:t xml:space="preserve">h of the minors at the hands of security forces. </w:t>
      </w:r>
    </w:p>
    <w:p w14:paraId="2EA247C0" w14:textId="77777777" w:rsidR="00702A21" w:rsidRDefault="00702A21">
      <w:pPr>
        <w:rPr>
          <w:sz w:val="22"/>
          <w:szCs w:val="22"/>
        </w:rPr>
      </w:pPr>
    </w:p>
    <w:p w14:paraId="22A7620D" w14:textId="77777777" w:rsidR="00702A21" w:rsidRDefault="00DD5C1A">
      <w:pPr>
        <w:rPr>
          <w:sz w:val="22"/>
          <w:szCs w:val="22"/>
        </w:rPr>
      </w:pPr>
      <w:r>
        <w:rPr>
          <w:sz w:val="22"/>
          <w:szCs w:val="22"/>
        </w:rPr>
        <w:t>The Bahraini government has an obligation to investigate the death of these minors. In many of the cases, no credible investigations have been conducted and their families have had no recourse to any forms of accountability or compensation. Many of the rel</w:t>
      </w:r>
      <w:r>
        <w:rPr>
          <w:sz w:val="22"/>
          <w:szCs w:val="22"/>
        </w:rPr>
        <w:t>atives of minors who were killed by Bahraini authorities have faced repercussions for speaking out and pursuing accountability and justice for their deaths.</w:t>
      </w:r>
    </w:p>
    <w:p w14:paraId="0A694346" w14:textId="77777777" w:rsidR="00702A21" w:rsidRDefault="00702A21">
      <w:pPr>
        <w:jc w:val="left"/>
        <w:rPr>
          <w:sz w:val="22"/>
          <w:szCs w:val="22"/>
        </w:rPr>
      </w:pPr>
    </w:p>
    <w:p w14:paraId="034690E7" w14:textId="77777777" w:rsidR="00702A21" w:rsidRDefault="00DD5C1A">
      <w:pPr>
        <w:rPr>
          <w:sz w:val="22"/>
          <w:szCs w:val="22"/>
        </w:rPr>
      </w:pPr>
      <w:r>
        <w:rPr>
          <w:sz w:val="22"/>
          <w:szCs w:val="22"/>
        </w:rPr>
        <w:t xml:space="preserve">The following are minors who have reportedly been killed by Bahraini authorities since 2011: </w:t>
      </w:r>
    </w:p>
    <w:p w14:paraId="4531916F" w14:textId="77777777" w:rsidR="00702A21" w:rsidRDefault="00702A21">
      <w:pPr>
        <w:rPr>
          <w:sz w:val="22"/>
          <w:szCs w:val="22"/>
        </w:rPr>
      </w:pPr>
    </w:p>
    <w:p w14:paraId="19A52CEA" w14:textId="77777777" w:rsidR="00702A21" w:rsidRDefault="00DD5C1A">
      <w:pPr>
        <w:numPr>
          <w:ilvl w:val="0"/>
          <w:numId w:val="5"/>
        </w:numPr>
        <w:rPr>
          <w:sz w:val="22"/>
          <w:szCs w:val="22"/>
        </w:rPr>
      </w:pPr>
      <w:r>
        <w:rPr>
          <w:b/>
          <w:sz w:val="22"/>
          <w:szCs w:val="22"/>
        </w:rPr>
        <w:t>Say</w:t>
      </w:r>
      <w:r>
        <w:rPr>
          <w:b/>
          <w:sz w:val="22"/>
          <w:szCs w:val="22"/>
        </w:rPr>
        <w:t>ed Ahmed Shams</w:t>
      </w:r>
      <w:r>
        <w:rPr>
          <w:sz w:val="22"/>
          <w:szCs w:val="22"/>
        </w:rPr>
        <w:t>, 15, killed March 30, 2011</w:t>
      </w:r>
    </w:p>
    <w:p w14:paraId="70B8D277" w14:textId="77777777" w:rsidR="00702A21" w:rsidRDefault="00DD5C1A">
      <w:pPr>
        <w:rPr>
          <w:sz w:val="22"/>
          <w:szCs w:val="22"/>
        </w:rPr>
      </w:pPr>
      <w:r>
        <w:rPr>
          <w:sz w:val="22"/>
          <w:szCs w:val="22"/>
        </w:rPr>
        <w:lastRenderedPageBreak/>
        <w:t>According to witnesses, Shams was shot in the head by a police shell and his skull was broken.</w:t>
      </w:r>
      <w:r>
        <w:rPr>
          <w:sz w:val="22"/>
          <w:szCs w:val="22"/>
          <w:vertAlign w:val="superscript"/>
        </w:rPr>
        <w:footnoteReference w:id="23"/>
      </w:r>
      <w:r>
        <w:rPr>
          <w:sz w:val="22"/>
          <w:szCs w:val="22"/>
        </w:rPr>
        <w:t xml:space="preserve"> According to his father, his cause of death was diagnosed as a broken neck. However, no autopsy was conducted and no </w:t>
      </w:r>
      <w:r>
        <w:rPr>
          <w:sz w:val="22"/>
          <w:szCs w:val="22"/>
        </w:rPr>
        <w:t>cause of death has been recorded.</w:t>
      </w:r>
      <w:r>
        <w:rPr>
          <w:sz w:val="22"/>
          <w:szCs w:val="22"/>
          <w:vertAlign w:val="superscript"/>
        </w:rPr>
        <w:footnoteReference w:id="24"/>
      </w:r>
      <w:r>
        <w:rPr>
          <w:sz w:val="22"/>
          <w:szCs w:val="22"/>
        </w:rPr>
        <w:t xml:space="preserve"> </w:t>
      </w:r>
    </w:p>
    <w:p w14:paraId="7D6F07AD" w14:textId="77777777" w:rsidR="00702A21" w:rsidRDefault="00702A21">
      <w:pPr>
        <w:rPr>
          <w:sz w:val="22"/>
          <w:szCs w:val="22"/>
        </w:rPr>
      </w:pPr>
    </w:p>
    <w:p w14:paraId="27868025" w14:textId="77777777" w:rsidR="00702A21" w:rsidRDefault="00DD5C1A">
      <w:pPr>
        <w:numPr>
          <w:ilvl w:val="0"/>
          <w:numId w:val="5"/>
        </w:numPr>
        <w:rPr>
          <w:sz w:val="22"/>
          <w:szCs w:val="22"/>
        </w:rPr>
      </w:pPr>
      <w:r>
        <w:rPr>
          <w:b/>
          <w:sz w:val="22"/>
          <w:szCs w:val="22"/>
        </w:rPr>
        <w:t>Ali Jawad Alsheikh</w:t>
      </w:r>
      <w:r>
        <w:rPr>
          <w:sz w:val="22"/>
          <w:szCs w:val="22"/>
        </w:rPr>
        <w:t>, 14, killed August 31, 2011</w:t>
      </w:r>
    </w:p>
    <w:p w14:paraId="6DEECE80" w14:textId="77777777" w:rsidR="00702A21" w:rsidRDefault="00DD5C1A">
      <w:pPr>
        <w:rPr>
          <w:sz w:val="22"/>
          <w:szCs w:val="22"/>
        </w:rPr>
      </w:pPr>
      <w:r>
        <w:rPr>
          <w:sz w:val="22"/>
          <w:szCs w:val="22"/>
        </w:rPr>
        <w:t>Al-Sheikh was killed by the riot police and witnesses said they saw the boy collapse after a tear-gas canister was fired directly at him by riot police who were chasing al-Sheikh and other protesters.</w:t>
      </w:r>
      <w:r>
        <w:rPr>
          <w:sz w:val="22"/>
          <w:szCs w:val="22"/>
          <w:vertAlign w:val="superscript"/>
        </w:rPr>
        <w:footnoteReference w:id="25"/>
      </w:r>
      <w:r>
        <w:rPr>
          <w:sz w:val="22"/>
          <w:szCs w:val="22"/>
        </w:rPr>
        <w:t xml:space="preserve">  The Ministry of Interior claimed that Ali was dead b</w:t>
      </w:r>
      <w:r>
        <w:rPr>
          <w:sz w:val="22"/>
          <w:szCs w:val="22"/>
        </w:rPr>
        <w:t>efore reaching the hospital and denied any police action in the area without giving any further explanations.</w:t>
      </w:r>
    </w:p>
    <w:p w14:paraId="7D74F424" w14:textId="77777777" w:rsidR="00702A21" w:rsidRDefault="00DD5C1A">
      <w:pPr>
        <w:rPr>
          <w:sz w:val="22"/>
          <w:szCs w:val="22"/>
        </w:rPr>
      </w:pPr>
      <w:r>
        <w:rPr>
          <w:sz w:val="22"/>
          <w:szCs w:val="22"/>
        </w:rPr>
        <w:t>His father, Jawad Alsheikh, was convicted to three years in prison and served time in prison from April 2017 to December 2019 on charges of illega</w:t>
      </w:r>
      <w:r>
        <w:rPr>
          <w:sz w:val="22"/>
          <w:szCs w:val="22"/>
        </w:rPr>
        <w:t>l gathering</w:t>
      </w:r>
      <w:r>
        <w:rPr>
          <w:sz w:val="22"/>
          <w:szCs w:val="22"/>
          <w:vertAlign w:val="superscript"/>
        </w:rPr>
        <w:footnoteReference w:id="26"/>
      </w:r>
      <w:r>
        <w:rPr>
          <w:sz w:val="22"/>
          <w:szCs w:val="22"/>
        </w:rPr>
        <w:t xml:space="preserve"> </w:t>
      </w:r>
      <w:r>
        <w:rPr>
          <w:sz w:val="22"/>
          <w:szCs w:val="22"/>
          <w:vertAlign w:val="superscript"/>
        </w:rPr>
        <w:footnoteReference w:id="27"/>
      </w:r>
      <w:r>
        <w:rPr>
          <w:sz w:val="22"/>
          <w:szCs w:val="22"/>
        </w:rPr>
        <w:t xml:space="preserve"> </w:t>
      </w:r>
      <w:r>
        <w:rPr>
          <w:sz w:val="22"/>
          <w:szCs w:val="22"/>
          <w:vertAlign w:val="superscript"/>
        </w:rPr>
        <w:footnoteReference w:id="28"/>
      </w:r>
      <w:r>
        <w:rPr>
          <w:sz w:val="22"/>
          <w:szCs w:val="22"/>
        </w:rPr>
        <w:t xml:space="preserve">. </w:t>
      </w:r>
    </w:p>
    <w:p w14:paraId="0AC6FBCC" w14:textId="77777777" w:rsidR="00702A21" w:rsidRDefault="00702A21">
      <w:pPr>
        <w:jc w:val="left"/>
        <w:rPr>
          <w:sz w:val="22"/>
          <w:szCs w:val="22"/>
        </w:rPr>
      </w:pPr>
    </w:p>
    <w:p w14:paraId="0EB6782F" w14:textId="77777777" w:rsidR="00702A21" w:rsidRDefault="00DD5C1A">
      <w:pPr>
        <w:numPr>
          <w:ilvl w:val="0"/>
          <w:numId w:val="5"/>
        </w:numPr>
        <w:rPr>
          <w:sz w:val="22"/>
          <w:szCs w:val="22"/>
        </w:rPr>
      </w:pPr>
      <w:r>
        <w:rPr>
          <w:b/>
          <w:sz w:val="22"/>
          <w:szCs w:val="22"/>
        </w:rPr>
        <w:t>Ahmed Jaber Ali al-Qattan</w:t>
      </w:r>
      <w:r>
        <w:rPr>
          <w:sz w:val="22"/>
          <w:szCs w:val="22"/>
        </w:rPr>
        <w:t>, 16, killed October 6, 2011</w:t>
      </w:r>
    </w:p>
    <w:p w14:paraId="092D69F6" w14:textId="77777777" w:rsidR="00702A21" w:rsidRDefault="00DD5C1A">
      <w:pPr>
        <w:rPr>
          <w:sz w:val="22"/>
          <w:szCs w:val="22"/>
        </w:rPr>
      </w:pPr>
      <w:r>
        <w:rPr>
          <w:sz w:val="22"/>
          <w:szCs w:val="22"/>
        </w:rPr>
        <w:t>Ahmed Jaber was killed as a result of bird-shot pellets, and activists distributed a photo of his body in a morgue.</w:t>
      </w:r>
      <w:r>
        <w:rPr>
          <w:sz w:val="22"/>
          <w:szCs w:val="22"/>
          <w:vertAlign w:val="superscript"/>
        </w:rPr>
        <w:footnoteReference w:id="29"/>
      </w:r>
      <w:r>
        <w:rPr>
          <w:sz w:val="22"/>
          <w:szCs w:val="22"/>
        </w:rPr>
        <w:t xml:space="preserve"> According to the official interior ministry statement, Jaber </w:t>
      </w:r>
      <w:r>
        <w:rPr>
          <w:sz w:val="22"/>
          <w:szCs w:val="22"/>
        </w:rPr>
        <w:t>died from severe respiratory and blood flow problems after he was received in the hospital, without identifying the cause of this death. The interior ministry acknowledged in a statement that a medical examination by the public prosecutor found that Qattan</w:t>
      </w:r>
      <w:r>
        <w:rPr>
          <w:sz w:val="22"/>
          <w:szCs w:val="22"/>
        </w:rPr>
        <w:t xml:space="preserve"> died of blood loss resulting from a birdshot injury, but the statement did not say who shot the teenager. </w:t>
      </w:r>
    </w:p>
    <w:p w14:paraId="2E46AF67" w14:textId="77777777" w:rsidR="00702A21" w:rsidRDefault="00702A21"/>
    <w:p w14:paraId="68C3BC43" w14:textId="77777777" w:rsidR="00702A21" w:rsidRDefault="00DD5C1A">
      <w:pPr>
        <w:numPr>
          <w:ilvl w:val="0"/>
          <w:numId w:val="5"/>
        </w:numPr>
        <w:rPr>
          <w:sz w:val="22"/>
          <w:szCs w:val="22"/>
        </w:rPr>
      </w:pPr>
      <w:r>
        <w:rPr>
          <w:b/>
          <w:sz w:val="22"/>
          <w:szCs w:val="22"/>
        </w:rPr>
        <w:t>Ali Yousif Baddah</w:t>
      </w:r>
      <w:r>
        <w:rPr>
          <w:sz w:val="22"/>
          <w:szCs w:val="22"/>
        </w:rPr>
        <w:t>, 16, killed November 19, 2011</w:t>
      </w:r>
    </w:p>
    <w:p w14:paraId="381A38DF" w14:textId="77777777" w:rsidR="00702A21" w:rsidRDefault="00DD5C1A">
      <w:pPr>
        <w:rPr>
          <w:sz w:val="22"/>
          <w:szCs w:val="22"/>
        </w:rPr>
      </w:pPr>
      <w:r>
        <w:rPr>
          <w:sz w:val="22"/>
          <w:szCs w:val="22"/>
        </w:rPr>
        <w:t>Baddah was killed by a speeding police vehicle squeezing him into a wall in Juffair, confirmed by t</w:t>
      </w:r>
      <w:r>
        <w:rPr>
          <w:sz w:val="22"/>
          <w:szCs w:val="22"/>
        </w:rPr>
        <w:t>he Ministry of Interior.</w:t>
      </w:r>
      <w:r>
        <w:rPr>
          <w:sz w:val="22"/>
          <w:szCs w:val="22"/>
          <w:vertAlign w:val="superscript"/>
        </w:rPr>
        <w:footnoteReference w:id="30"/>
      </w:r>
      <w:r>
        <w:rPr>
          <w:sz w:val="22"/>
          <w:szCs w:val="22"/>
        </w:rPr>
        <w:t xml:space="preserve"> On the third anniversary of his son's death, Yousif Baddah and others held a vigil for Ali Yousef Baddah where the police attacked the attendees. As his father attempted to flee from the attack, he was struck in the face by a tea</w:t>
      </w:r>
      <w:r>
        <w:rPr>
          <w:sz w:val="22"/>
          <w:szCs w:val="22"/>
        </w:rPr>
        <w:t>r gas canister which fractured his cheekbone and caused extensive damage to his face. Lacking the resources to treat him, doctors at Sitra Medical Clinic transferred him to Salmaniya Medical Hospital, where a medical consultation discovered that the collis</w:t>
      </w:r>
      <w:r>
        <w:rPr>
          <w:sz w:val="22"/>
          <w:szCs w:val="22"/>
        </w:rPr>
        <w:t xml:space="preserve">ion had caused irreparable damage when it completely removed Yousif’s left eye from its socket. Yousif Baddah was also held in custody and interrogated despite his injuries. </w:t>
      </w:r>
    </w:p>
    <w:p w14:paraId="61049761" w14:textId="77777777" w:rsidR="00702A21" w:rsidRDefault="00702A21">
      <w:pPr>
        <w:jc w:val="left"/>
        <w:rPr>
          <w:sz w:val="22"/>
          <w:szCs w:val="22"/>
        </w:rPr>
      </w:pPr>
    </w:p>
    <w:p w14:paraId="08305250" w14:textId="77777777" w:rsidR="00702A21" w:rsidRDefault="00DD5C1A">
      <w:pPr>
        <w:numPr>
          <w:ilvl w:val="0"/>
          <w:numId w:val="5"/>
        </w:numPr>
        <w:rPr>
          <w:sz w:val="22"/>
          <w:szCs w:val="22"/>
        </w:rPr>
      </w:pPr>
      <w:r>
        <w:rPr>
          <w:b/>
          <w:sz w:val="22"/>
          <w:szCs w:val="22"/>
        </w:rPr>
        <w:t>Sayed Hashim Saeed</w:t>
      </w:r>
      <w:r>
        <w:rPr>
          <w:sz w:val="22"/>
          <w:szCs w:val="22"/>
        </w:rPr>
        <w:t>, 15, killed December 31, 2011</w:t>
      </w:r>
    </w:p>
    <w:p w14:paraId="40D27405" w14:textId="77777777" w:rsidR="00702A21" w:rsidRDefault="00DD5C1A">
      <w:pPr>
        <w:rPr>
          <w:sz w:val="22"/>
          <w:szCs w:val="22"/>
          <w:shd w:val="clear" w:color="auto" w:fill="F4CCCC"/>
        </w:rPr>
      </w:pPr>
      <w:r>
        <w:rPr>
          <w:sz w:val="22"/>
          <w:szCs w:val="22"/>
        </w:rPr>
        <w:lastRenderedPageBreak/>
        <w:t>Police allegedly fired two tear</w:t>
      </w:r>
      <w:r>
        <w:rPr>
          <w:sz w:val="22"/>
          <w:szCs w:val="22"/>
        </w:rPr>
        <w:t xml:space="preserve"> gas canisters at his chest and neck from close range which killed Saeed.</w:t>
      </w:r>
      <w:r>
        <w:rPr>
          <w:sz w:val="22"/>
          <w:szCs w:val="22"/>
          <w:vertAlign w:val="superscript"/>
        </w:rPr>
        <w:footnoteReference w:id="31"/>
      </w:r>
      <w:r>
        <w:rPr>
          <w:sz w:val="22"/>
          <w:szCs w:val="22"/>
        </w:rPr>
        <w:t xml:space="preserve"> A medical report gave the cause of death as hematomas and bleeding as a result of a neck injury, and noted burns on the bottom-left of his chest and his left forearm. Saeed Hashim’s father has been detained and imprisoned on multiple occasions</w:t>
      </w:r>
      <w:r>
        <w:rPr>
          <w:sz w:val="22"/>
          <w:szCs w:val="22"/>
          <w:vertAlign w:val="superscript"/>
        </w:rPr>
        <w:footnoteReference w:id="32"/>
      </w:r>
      <w:r>
        <w:rPr>
          <w:sz w:val="22"/>
          <w:szCs w:val="22"/>
        </w:rPr>
        <w:t xml:space="preserve"> </w:t>
      </w:r>
      <w:r>
        <w:rPr>
          <w:sz w:val="22"/>
          <w:szCs w:val="22"/>
          <w:vertAlign w:val="superscript"/>
        </w:rPr>
        <w:footnoteReference w:id="33"/>
      </w:r>
      <w:r>
        <w:rPr>
          <w:sz w:val="22"/>
          <w:szCs w:val="22"/>
        </w:rPr>
        <w:t xml:space="preserve">. </w:t>
      </w:r>
    </w:p>
    <w:p w14:paraId="64B9BD0E" w14:textId="77777777" w:rsidR="00702A21" w:rsidRDefault="00702A21">
      <w:pPr>
        <w:jc w:val="left"/>
        <w:rPr>
          <w:sz w:val="22"/>
          <w:szCs w:val="22"/>
        </w:rPr>
      </w:pPr>
    </w:p>
    <w:p w14:paraId="4496A8BD" w14:textId="77777777" w:rsidR="00702A21" w:rsidRDefault="00DD5C1A">
      <w:pPr>
        <w:numPr>
          <w:ilvl w:val="0"/>
          <w:numId w:val="5"/>
        </w:numPr>
        <w:rPr>
          <w:sz w:val="22"/>
          <w:szCs w:val="22"/>
        </w:rPr>
      </w:pPr>
      <w:r>
        <w:rPr>
          <w:b/>
          <w:sz w:val="22"/>
          <w:szCs w:val="22"/>
        </w:rPr>
        <w:t>Yas</w:t>
      </w:r>
      <w:r>
        <w:rPr>
          <w:b/>
          <w:sz w:val="22"/>
          <w:szCs w:val="22"/>
        </w:rPr>
        <w:t>een Jassim Al-Asfoor</w:t>
      </w:r>
      <w:r>
        <w:rPr>
          <w:sz w:val="22"/>
          <w:szCs w:val="22"/>
        </w:rPr>
        <w:t>, 14, killed January 20, 2012</w:t>
      </w:r>
    </w:p>
    <w:p w14:paraId="62D42EA7" w14:textId="77777777" w:rsidR="00702A21" w:rsidRDefault="00DD5C1A">
      <w:pPr>
        <w:jc w:val="left"/>
        <w:rPr>
          <w:sz w:val="22"/>
          <w:szCs w:val="22"/>
        </w:rPr>
      </w:pPr>
      <w:r>
        <w:rPr>
          <w:sz w:val="22"/>
          <w:szCs w:val="22"/>
        </w:rPr>
        <w:t>Al-Asfoor died from tear gas inhalation after security forces threw three tear gas canisters into his home.</w:t>
      </w:r>
      <w:r>
        <w:rPr>
          <w:sz w:val="22"/>
          <w:szCs w:val="22"/>
          <w:vertAlign w:val="superscript"/>
        </w:rPr>
        <w:footnoteReference w:id="34"/>
      </w:r>
      <w:r>
        <w:rPr>
          <w:sz w:val="22"/>
          <w:szCs w:val="22"/>
        </w:rPr>
        <w:t xml:space="preserve"> </w:t>
      </w:r>
    </w:p>
    <w:p w14:paraId="010EAE43" w14:textId="77777777" w:rsidR="00702A21" w:rsidRDefault="00702A21">
      <w:pPr>
        <w:jc w:val="left"/>
        <w:rPr>
          <w:sz w:val="22"/>
          <w:szCs w:val="22"/>
        </w:rPr>
      </w:pPr>
    </w:p>
    <w:p w14:paraId="2B4001E7" w14:textId="77777777" w:rsidR="00702A21" w:rsidRDefault="00DD5C1A">
      <w:pPr>
        <w:numPr>
          <w:ilvl w:val="0"/>
          <w:numId w:val="5"/>
        </w:numPr>
        <w:rPr>
          <w:sz w:val="22"/>
          <w:szCs w:val="22"/>
        </w:rPr>
      </w:pPr>
      <w:r>
        <w:rPr>
          <w:b/>
          <w:sz w:val="22"/>
          <w:szCs w:val="22"/>
        </w:rPr>
        <w:t>Husam al-Haddad</w:t>
      </w:r>
      <w:r>
        <w:rPr>
          <w:sz w:val="22"/>
          <w:szCs w:val="22"/>
        </w:rPr>
        <w:t>, 16, killed August 17, 2012</w:t>
      </w:r>
    </w:p>
    <w:p w14:paraId="5195D249" w14:textId="77777777" w:rsidR="00702A21" w:rsidRDefault="00DD5C1A">
      <w:pPr>
        <w:rPr>
          <w:sz w:val="22"/>
          <w:szCs w:val="22"/>
        </w:rPr>
      </w:pPr>
      <w:r>
        <w:rPr>
          <w:sz w:val="22"/>
          <w:szCs w:val="22"/>
        </w:rPr>
        <w:t>Al-Haddad died in hospital as a result of injuries</w:t>
      </w:r>
      <w:r>
        <w:rPr>
          <w:sz w:val="22"/>
          <w:szCs w:val="22"/>
        </w:rPr>
        <w:t xml:space="preserve"> sustained by security forces on August 17, 2012. Witnesses said al-Haddad was soaked in blood when a family member retrieved him. Images said to be for al-Haddad body posted by opposition activists showed what appeared to be severe bruises and dozens of b</w:t>
      </w:r>
      <w:r>
        <w:rPr>
          <w:sz w:val="22"/>
          <w:szCs w:val="22"/>
        </w:rPr>
        <w:t>irdshot wounds especially to the back and right hand.</w:t>
      </w:r>
      <w:r>
        <w:rPr>
          <w:sz w:val="22"/>
          <w:szCs w:val="22"/>
          <w:vertAlign w:val="superscript"/>
        </w:rPr>
        <w:footnoteReference w:id="35"/>
      </w:r>
    </w:p>
    <w:p w14:paraId="7BB117EA" w14:textId="77777777" w:rsidR="00702A21" w:rsidRDefault="00702A21">
      <w:pPr>
        <w:rPr>
          <w:sz w:val="22"/>
          <w:szCs w:val="22"/>
        </w:rPr>
      </w:pPr>
    </w:p>
    <w:p w14:paraId="53EF68FD" w14:textId="77777777" w:rsidR="00702A21" w:rsidRDefault="00DD5C1A">
      <w:pPr>
        <w:numPr>
          <w:ilvl w:val="0"/>
          <w:numId w:val="5"/>
        </w:numPr>
        <w:rPr>
          <w:sz w:val="22"/>
          <w:szCs w:val="22"/>
        </w:rPr>
      </w:pPr>
      <w:r>
        <w:rPr>
          <w:b/>
          <w:sz w:val="22"/>
          <w:szCs w:val="22"/>
        </w:rPr>
        <w:t>Ali Ahmed Ibrahim Al Jazeeri,</w:t>
      </w:r>
      <w:r>
        <w:rPr>
          <w:sz w:val="22"/>
          <w:szCs w:val="22"/>
        </w:rPr>
        <w:t xml:space="preserve"> 16, killed February 14, 2013</w:t>
      </w:r>
    </w:p>
    <w:p w14:paraId="229B8ADA" w14:textId="77777777" w:rsidR="00702A21" w:rsidRDefault="00DD5C1A">
      <w:pPr>
        <w:rPr>
          <w:sz w:val="22"/>
          <w:szCs w:val="22"/>
        </w:rPr>
      </w:pPr>
      <w:r>
        <w:rPr>
          <w:sz w:val="22"/>
          <w:szCs w:val="22"/>
        </w:rPr>
        <w:t>Al-Jazeeri was shot with shotgun pellets from a close range during clashes.</w:t>
      </w:r>
      <w:r>
        <w:rPr>
          <w:sz w:val="22"/>
          <w:szCs w:val="22"/>
          <w:vertAlign w:val="superscript"/>
        </w:rPr>
        <w:footnoteReference w:id="36"/>
      </w:r>
    </w:p>
    <w:p w14:paraId="442A97F9" w14:textId="77777777" w:rsidR="00702A21" w:rsidRDefault="00702A21">
      <w:pPr>
        <w:rPr>
          <w:sz w:val="22"/>
          <w:szCs w:val="22"/>
        </w:rPr>
      </w:pPr>
    </w:p>
    <w:p w14:paraId="31150FF0" w14:textId="77777777" w:rsidR="00702A21" w:rsidRDefault="00DD5C1A">
      <w:pPr>
        <w:numPr>
          <w:ilvl w:val="0"/>
          <w:numId w:val="5"/>
        </w:numPr>
        <w:rPr>
          <w:sz w:val="22"/>
          <w:szCs w:val="22"/>
        </w:rPr>
      </w:pPr>
      <w:r>
        <w:rPr>
          <w:b/>
          <w:sz w:val="22"/>
          <w:szCs w:val="22"/>
        </w:rPr>
        <w:t>Sayed Mahmood Mohsen</w:t>
      </w:r>
      <w:r>
        <w:rPr>
          <w:sz w:val="22"/>
          <w:szCs w:val="22"/>
        </w:rPr>
        <w:t>, 14, killed May 22, 2014</w:t>
      </w:r>
    </w:p>
    <w:p w14:paraId="101133EC" w14:textId="77777777" w:rsidR="00702A21" w:rsidRDefault="00DD5C1A">
      <w:pPr>
        <w:rPr>
          <w:sz w:val="22"/>
          <w:szCs w:val="22"/>
        </w:rPr>
      </w:pPr>
      <w:r>
        <w:rPr>
          <w:sz w:val="22"/>
          <w:szCs w:val="22"/>
        </w:rPr>
        <w:t>Despite a hospi</w:t>
      </w:r>
      <w:r>
        <w:rPr>
          <w:sz w:val="22"/>
          <w:szCs w:val="22"/>
        </w:rPr>
        <w:t>tal death certificate, three witness accounts, images of the fatal wound, and a forensic pathologist’s expert opinion indicating that Mahmood’s death was the result of unlawful use of excessive lethal force.</w:t>
      </w:r>
      <w:r>
        <w:rPr>
          <w:sz w:val="22"/>
          <w:szCs w:val="22"/>
          <w:vertAlign w:val="superscript"/>
        </w:rPr>
        <w:footnoteReference w:id="37"/>
      </w:r>
      <w:r>
        <w:rPr>
          <w:sz w:val="22"/>
          <w:szCs w:val="22"/>
        </w:rPr>
        <w:t xml:space="preserve"> Despite all the evidence, The government did not conduct a fair enquiry into the incident, and his family did not receive any compensation or justice. </w:t>
      </w:r>
    </w:p>
    <w:p w14:paraId="7F018E04" w14:textId="77777777" w:rsidR="00702A21" w:rsidRDefault="00DD5C1A">
      <w:pPr>
        <w:pStyle w:val="Heading1"/>
        <w:rPr>
          <w:rFonts w:ascii="Arial" w:eastAsia="Arial" w:hAnsi="Arial" w:cs="Arial"/>
          <w:b/>
          <w:sz w:val="22"/>
          <w:szCs w:val="22"/>
        </w:rPr>
      </w:pPr>
      <w:bookmarkStart w:id="15" w:name="_d832t68yds6i" w:colFirst="0" w:colLast="0"/>
      <w:bookmarkEnd w:id="15"/>
      <w:r>
        <w:rPr>
          <w:rFonts w:ascii="Arial" w:eastAsia="Arial" w:hAnsi="Arial" w:cs="Arial"/>
          <w:b/>
          <w:sz w:val="22"/>
          <w:szCs w:val="22"/>
        </w:rPr>
        <w:t>4. Analysis of Law No. 4/2021</w:t>
      </w:r>
    </w:p>
    <w:p w14:paraId="79B232E0" w14:textId="77777777" w:rsidR="00702A21" w:rsidRDefault="00DD5C1A">
      <w:pPr>
        <w:rPr>
          <w:sz w:val="22"/>
          <w:szCs w:val="22"/>
          <w:highlight w:val="white"/>
        </w:rPr>
      </w:pPr>
      <w:r>
        <w:rPr>
          <w:i/>
          <w:sz w:val="22"/>
          <w:szCs w:val="22"/>
        </w:rPr>
        <w:t>Law No. 4/2021: The Law on Restorative Justice for Children and Their Pro</w:t>
      </w:r>
      <w:r>
        <w:rPr>
          <w:i/>
          <w:sz w:val="22"/>
          <w:szCs w:val="22"/>
        </w:rPr>
        <w:t xml:space="preserve">tection from Maltreatment </w:t>
      </w:r>
      <w:r>
        <w:rPr>
          <w:i/>
          <w:sz w:val="22"/>
          <w:szCs w:val="22"/>
          <w:highlight w:val="white"/>
        </w:rPr>
        <w:t>was passed on 15 February 2021 and came into force on 18 August 2021</w:t>
      </w:r>
      <w:r>
        <w:rPr>
          <w:i/>
          <w:sz w:val="22"/>
          <w:szCs w:val="22"/>
          <w:highlight w:val="white"/>
          <w:vertAlign w:val="superscript"/>
        </w:rPr>
        <w:footnoteReference w:id="38"/>
      </w:r>
      <w:r>
        <w:rPr>
          <w:i/>
          <w:sz w:val="22"/>
          <w:szCs w:val="22"/>
          <w:highlight w:val="white"/>
        </w:rPr>
        <w:t>.</w:t>
      </w:r>
      <w:r>
        <w:rPr>
          <w:i/>
          <w:sz w:val="22"/>
          <w:szCs w:val="22"/>
          <w:highlight w:val="white"/>
          <w:vertAlign w:val="superscript"/>
        </w:rPr>
        <w:footnoteReference w:id="39"/>
      </w:r>
      <w:r>
        <w:rPr>
          <w:sz w:val="22"/>
          <w:szCs w:val="22"/>
          <w:highlight w:val="white"/>
        </w:rPr>
        <w:t xml:space="preserve"> </w:t>
      </w:r>
    </w:p>
    <w:p w14:paraId="4456AC4B" w14:textId="77777777" w:rsidR="00702A21" w:rsidRDefault="00702A21">
      <w:pPr>
        <w:rPr>
          <w:sz w:val="22"/>
          <w:szCs w:val="22"/>
        </w:rPr>
      </w:pPr>
    </w:p>
    <w:p w14:paraId="4C1C88E5" w14:textId="77777777" w:rsidR="00702A21" w:rsidRDefault="00DD5C1A">
      <w:pPr>
        <w:rPr>
          <w:sz w:val="22"/>
          <w:szCs w:val="22"/>
        </w:rPr>
      </w:pPr>
      <w:r>
        <w:rPr>
          <w:sz w:val="22"/>
          <w:szCs w:val="22"/>
        </w:rPr>
        <w:t>The law raises the age of criminal responsibility from 7 to 15, defines a child as anyone under 18, and provides for special child courts and separate det</w:t>
      </w:r>
      <w:r>
        <w:rPr>
          <w:sz w:val="22"/>
          <w:szCs w:val="22"/>
        </w:rPr>
        <w:t>ention facilities for children.</w:t>
      </w:r>
      <w:r>
        <w:rPr>
          <w:sz w:val="22"/>
          <w:szCs w:val="22"/>
          <w:vertAlign w:val="superscript"/>
        </w:rPr>
        <w:footnoteReference w:id="40"/>
      </w:r>
      <w:r>
        <w:rPr>
          <w:sz w:val="22"/>
          <w:szCs w:val="22"/>
        </w:rPr>
        <w:t xml:space="preserve"> This law is an important development for the status of children’s rights in Bahrain, however, the law </w:t>
      </w:r>
      <w:r>
        <w:rPr>
          <w:sz w:val="22"/>
          <w:szCs w:val="22"/>
        </w:rPr>
        <w:lastRenderedPageBreak/>
        <w:t xml:space="preserve">contains significant loopholes which fail to guarantee children’s rights in line with international standards. </w:t>
      </w:r>
    </w:p>
    <w:p w14:paraId="7DBC9640" w14:textId="77777777" w:rsidR="00702A21" w:rsidRDefault="00702A21">
      <w:pPr>
        <w:rPr>
          <w:i/>
          <w:sz w:val="22"/>
          <w:szCs w:val="22"/>
          <w:highlight w:val="white"/>
        </w:rPr>
      </w:pPr>
    </w:p>
    <w:p w14:paraId="46DD0604" w14:textId="77777777" w:rsidR="00702A21" w:rsidRDefault="00DD5C1A">
      <w:pPr>
        <w:pStyle w:val="Heading3"/>
        <w:spacing w:line="276" w:lineRule="auto"/>
        <w:rPr>
          <w:sz w:val="22"/>
          <w:szCs w:val="22"/>
        </w:rPr>
      </w:pPr>
      <w:bookmarkStart w:id="16" w:name="_pzhui0axx7qx" w:colFirst="0" w:colLast="0"/>
      <w:bookmarkEnd w:id="16"/>
      <w:r>
        <w:rPr>
          <w:sz w:val="22"/>
          <w:szCs w:val="22"/>
        </w:rPr>
        <w:t xml:space="preserve">4.1 Legislative analysis </w:t>
      </w:r>
    </w:p>
    <w:p w14:paraId="283CAF88" w14:textId="77777777" w:rsidR="00702A21" w:rsidRDefault="00DD5C1A">
      <w:pPr>
        <w:numPr>
          <w:ilvl w:val="0"/>
          <w:numId w:val="8"/>
        </w:numPr>
        <w:spacing w:before="360"/>
        <w:rPr>
          <w:sz w:val="22"/>
          <w:szCs w:val="22"/>
          <w:highlight w:val="white"/>
        </w:rPr>
      </w:pPr>
      <w:r>
        <w:rPr>
          <w:sz w:val="22"/>
          <w:szCs w:val="22"/>
          <w:highlight w:val="white"/>
        </w:rPr>
        <w:t xml:space="preserve">The law specifically permits the “Judicial Committee for Childhood” </w:t>
      </w:r>
      <w:r>
        <w:rPr>
          <w:b/>
          <w:sz w:val="22"/>
          <w:szCs w:val="22"/>
          <w:highlight w:val="white"/>
        </w:rPr>
        <w:t>to detain and place children in an institution for participating in unlicensed public gatherings</w:t>
      </w:r>
      <w:r>
        <w:rPr>
          <w:sz w:val="22"/>
          <w:szCs w:val="22"/>
          <w:highlight w:val="white"/>
        </w:rPr>
        <w:t xml:space="preserve"> on the grounds that they are “endangered” (articles 12.5, 13, 22)</w:t>
      </w:r>
      <w:r>
        <w:rPr>
          <w:sz w:val="22"/>
          <w:szCs w:val="22"/>
          <w:highlight w:val="white"/>
        </w:rPr>
        <w:t>. Since any unlicensed gathering of more than five people is illegal in Bahrain, this provision places children at risk of detention merely for exercising their right to peaceful assembly (CRC article 15).</w:t>
      </w:r>
      <w:r>
        <w:rPr>
          <w:sz w:val="22"/>
          <w:szCs w:val="22"/>
          <w:highlight w:val="white"/>
        </w:rPr>
        <w:br/>
      </w:r>
    </w:p>
    <w:p w14:paraId="3B26B359" w14:textId="77777777" w:rsidR="00702A21" w:rsidRDefault="00DD5C1A">
      <w:pPr>
        <w:numPr>
          <w:ilvl w:val="0"/>
          <w:numId w:val="8"/>
        </w:numPr>
        <w:rPr>
          <w:sz w:val="22"/>
          <w:szCs w:val="22"/>
          <w:highlight w:val="white"/>
        </w:rPr>
      </w:pPr>
      <w:r>
        <w:rPr>
          <w:b/>
          <w:sz w:val="22"/>
          <w:szCs w:val="22"/>
          <w:highlight w:val="white"/>
        </w:rPr>
        <w:t>The law fails to guarantee the right to due proce</w:t>
      </w:r>
      <w:r>
        <w:rPr>
          <w:b/>
          <w:sz w:val="22"/>
          <w:szCs w:val="22"/>
          <w:highlight w:val="white"/>
        </w:rPr>
        <w:t>ss for children.</w:t>
      </w:r>
      <w:r>
        <w:rPr>
          <w:sz w:val="22"/>
          <w:szCs w:val="22"/>
          <w:highlight w:val="white"/>
        </w:rPr>
        <w:t xml:space="preserve"> The law does not prohibit questioning or interrogating children without the presence of a lawyer or their parents. Article 66 states that “accused children” shall be provided with “health, social, legal, [and] rehabilitation services,” at </w:t>
      </w:r>
      <w:r>
        <w:rPr>
          <w:sz w:val="22"/>
          <w:szCs w:val="22"/>
          <w:highlight w:val="white"/>
        </w:rPr>
        <w:t>“all stages” including during “arrest [and] investigation.” However, Article 67 states that the child has the right to a lawyer only once the child’s case reaches trial. The law also fails to clearly provide for the child’s right to challenge their depriva</w:t>
      </w:r>
      <w:r>
        <w:rPr>
          <w:sz w:val="22"/>
          <w:szCs w:val="22"/>
          <w:highlight w:val="white"/>
        </w:rPr>
        <w:t>tion of liberty.</w:t>
      </w:r>
      <w:r>
        <w:rPr>
          <w:sz w:val="22"/>
          <w:szCs w:val="22"/>
          <w:highlight w:val="white"/>
        </w:rPr>
        <w:br/>
      </w:r>
    </w:p>
    <w:p w14:paraId="56BB26FC" w14:textId="77777777" w:rsidR="00702A21" w:rsidRDefault="00DD5C1A">
      <w:pPr>
        <w:numPr>
          <w:ilvl w:val="0"/>
          <w:numId w:val="8"/>
        </w:numPr>
        <w:rPr>
          <w:sz w:val="22"/>
          <w:szCs w:val="22"/>
          <w:highlight w:val="white"/>
        </w:rPr>
      </w:pPr>
      <w:r>
        <w:rPr>
          <w:b/>
          <w:sz w:val="22"/>
          <w:szCs w:val="22"/>
          <w:highlight w:val="white"/>
        </w:rPr>
        <w:t xml:space="preserve">The law enables the continued detention of children. </w:t>
      </w:r>
      <w:r>
        <w:rPr>
          <w:sz w:val="22"/>
          <w:szCs w:val="22"/>
          <w:highlight w:val="white"/>
        </w:rPr>
        <w:t xml:space="preserve">The law </w:t>
      </w:r>
      <w:r>
        <w:rPr>
          <w:sz w:val="22"/>
          <w:szCs w:val="22"/>
        </w:rPr>
        <w:t>permits authorities to “place the child in a social welfare institution” for renewable weekly periods “if the circumstances require.” Those detained within social welfare instit</w:t>
      </w:r>
      <w:r>
        <w:rPr>
          <w:sz w:val="22"/>
          <w:szCs w:val="22"/>
        </w:rPr>
        <w:t xml:space="preserve">utions have no access to the right of appeal. </w:t>
      </w:r>
      <w:r>
        <w:rPr>
          <w:sz w:val="22"/>
          <w:szCs w:val="22"/>
        </w:rPr>
        <w:br/>
      </w:r>
    </w:p>
    <w:p w14:paraId="64D38097" w14:textId="77777777" w:rsidR="00702A21" w:rsidRDefault="00DD5C1A">
      <w:pPr>
        <w:numPr>
          <w:ilvl w:val="0"/>
          <w:numId w:val="8"/>
        </w:numPr>
        <w:spacing w:after="360"/>
        <w:rPr>
          <w:sz w:val="22"/>
          <w:szCs w:val="22"/>
          <w:highlight w:val="white"/>
        </w:rPr>
      </w:pPr>
      <w:r>
        <w:rPr>
          <w:b/>
          <w:sz w:val="22"/>
          <w:szCs w:val="22"/>
        </w:rPr>
        <w:t xml:space="preserve">The law enables children to be prosecuted as adults in specific circumstances. </w:t>
      </w:r>
      <w:r>
        <w:rPr>
          <w:sz w:val="22"/>
          <w:szCs w:val="22"/>
        </w:rPr>
        <w:t xml:space="preserve">Article (73) stipulates a provision wherein the Higher Criminal Court is competent to hear felony cases in children over the age </w:t>
      </w:r>
      <w:r>
        <w:rPr>
          <w:sz w:val="22"/>
          <w:szCs w:val="22"/>
        </w:rPr>
        <w:t xml:space="preserve">of fifteen when an adult or more participates in the commission of the crime. </w:t>
      </w:r>
    </w:p>
    <w:p w14:paraId="20F9020A" w14:textId="77777777" w:rsidR="00702A21" w:rsidRDefault="00DD5C1A">
      <w:pPr>
        <w:pStyle w:val="Heading3"/>
        <w:spacing w:line="276" w:lineRule="auto"/>
        <w:rPr>
          <w:sz w:val="22"/>
          <w:szCs w:val="22"/>
        </w:rPr>
      </w:pPr>
      <w:bookmarkStart w:id="17" w:name="_qrubj92utoep" w:colFirst="0" w:colLast="0"/>
      <w:bookmarkEnd w:id="17"/>
      <w:r>
        <w:rPr>
          <w:sz w:val="22"/>
          <w:szCs w:val="22"/>
        </w:rPr>
        <w:t xml:space="preserve">4.2 Failure to review </w:t>
      </w:r>
      <w:r>
        <w:rPr>
          <w:color w:val="161719"/>
          <w:sz w:val="22"/>
          <w:szCs w:val="22"/>
          <w:highlight w:val="white"/>
        </w:rPr>
        <w:t>cases of minors prosecuted as adults prior to the implementation of Law No.4/2021</w:t>
      </w:r>
    </w:p>
    <w:p w14:paraId="0BD003AA" w14:textId="77777777" w:rsidR="00702A21" w:rsidRDefault="00DD5C1A">
      <w:pPr>
        <w:rPr>
          <w:sz w:val="22"/>
          <w:szCs w:val="22"/>
        </w:rPr>
      </w:pPr>
      <w:r>
        <w:rPr>
          <w:sz w:val="22"/>
          <w:szCs w:val="22"/>
        </w:rPr>
        <w:t>Despite a clear provision in Law 4/2021 which allows for the review of ca</w:t>
      </w:r>
      <w:r>
        <w:rPr>
          <w:sz w:val="22"/>
          <w:szCs w:val="22"/>
        </w:rPr>
        <w:t>ses of minors sentenced before the entry of this law into force, the Bahraini government has failed to do so</w:t>
      </w:r>
      <w:r>
        <w:rPr>
          <w:sz w:val="22"/>
          <w:szCs w:val="22"/>
          <w:vertAlign w:val="superscript"/>
        </w:rPr>
        <w:footnoteReference w:id="41"/>
      </w:r>
      <w:r>
        <w:rPr>
          <w:sz w:val="22"/>
          <w:szCs w:val="22"/>
        </w:rPr>
        <w:t xml:space="preserve">.  </w:t>
      </w:r>
    </w:p>
    <w:p w14:paraId="462955EB" w14:textId="77777777" w:rsidR="00702A21" w:rsidRDefault="00702A21">
      <w:pPr>
        <w:rPr>
          <w:sz w:val="22"/>
          <w:szCs w:val="22"/>
        </w:rPr>
      </w:pPr>
    </w:p>
    <w:p w14:paraId="3AD1E4F3" w14:textId="77777777" w:rsidR="00702A21" w:rsidRDefault="00DD5C1A">
      <w:pPr>
        <w:rPr>
          <w:sz w:val="22"/>
          <w:szCs w:val="22"/>
        </w:rPr>
      </w:pPr>
      <w:r>
        <w:rPr>
          <w:sz w:val="22"/>
          <w:szCs w:val="22"/>
        </w:rPr>
        <w:t xml:space="preserve">Under </w:t>
      </w:r>
      <w:r>
        <w:rPr>
          <w:b/>
          <w:sz w:val="22"/>
          <w:szCs w:val="22"/>
        </w:rPr>
        <w:t xml:space="preserve">Article 87 </w:t>
      </w:r>
      <w:r>
        <w:rPr>
          <w:sz w:val="22"/>
          <w:szCs w:val="22"/>
        </w:rPr>
        <w:t>of this law, a judicial committee is authorised to receive requests for the “replacement of sanctions ruled before the entry into force of this Law based on a report from the Reform and Rehabilitation [the Prison authorities] Institute submitted by the Pub</w:t>
      </w:r>
      <w:r>
        <w:rPr>
          <w:sz w:val="22"/>
          <w:szCs w:val="22"/>
        </w:rPr>
        <w:t>lic Prosecution.</w:t>
      </w:r>
    </w:p>
    <w:p w14:paraId="21490A2F" w14:textId="77777777" w:rsidR="00702A21" w:rsidRDefault="00702A21">
      <w:pPr>
        <w:rPr>
          <w:sz w:val="22"/>
          <w:szCs w:val="22"/>
        </w:rPr>
      </w:pPr>
    </w:p>
    <w:p w14:paraId="0A1860A1" w14:textId="77777777" w:rsidR="00702A21" w:rsidRDefault="00702A21">
      <w:pPr>
        <w:rPr>
          <w:sz w:val="22"/>
          <w:szCs w:val="22"/>
        </w:rPr>
      </w:pPr>
    </w:p>
    <w:p w14:paraId="643FB2C3" w14:textId="77777777" w:rsidR="00702A21" w:rsidRDefault="00DD5C1A">
      <w:pPr>
        <w:numPr>
          <w:ilvl w:val="0"/>
          <w:numId w:val="3"/>
        </w:numPr>
        <w:rPr>
          <w:sz w:val="22"/>
          <w:szCs w:val="22"/>
        </w:rPr>
      </w:pPr>
      <w:r>
        <w:rPr>
          <w:b/>
          <w:sz w:val="22"/>
          <w:szCs w:val="22"/>
        </w:rPr>
        <w:lastRenderedPageBreak/>
        <w:t xml:space="preserve">The law lacks a clear process for the implementation of case reviews.  </w:t>
      </w:r>
      <w:r>
        <w:rPr>
          <w:sz w:val="22"/>
          <w:szCs w:val="22"/>
        </w:rPr>
        <w:t>There is no clear mechanism for the implementation of the law, the law only permits prison authorities to initiate a review, but there is no clear procedure for affec</w:t>
      </w:r>
      <w:r>
        <w:rPr>
          <w:sz w:val="22"/>
          <w:szCs w:val="22"/>
        </w:rPr>
        <w:t xml:space="preserve">ted individuals to request a review or dispute decisions made by authorities who refuse to review cases. </w:t>
      </w:r>
      <w:r>
        <w:rPr>
          <w:sz w:val="22"/>
          <w:szCs w:val="22"/>
        </w:rPr>
        <w:br/>
      </w:r>
    </w:p>
    <w:p w14:paraId="7AB9DE78" w14:textId="77777777" w:rsidR="00702A21" w:rsidRDefault="00DD5C1A">
      <w:pPr>
        <w:numPr>
          <w:ilvl w:val="0"/>
          <w:numId w:val="3"/>
        </w:numPr>
        <w:rPr>
          <w:sz w:val="22"/>
          <w:szCs w:val="22"/>
        </w:rPr>
      </w:pPr>
      <w:r>
        <w:rPr>
          <w:sz w:val="22"/>
          <w:szCs w:val="22"/>
        </w:rPr>
        <w:t>According to research from BIRD, we verified at least 42 prisoners currently detained who were tried as adults despite being under 18 years of age at</w:t>
      </w:r>
      <w:r>
        <w:rPr>
          <w:sz w:val="22"/>
          <w:szCs w:val="22"/>
        </w:rPr>
        <w:t xml:space="preserve"> the time of their arrest.</w:t>
      </w:r>
    </w:p>
    <w:p w14:paraId="4798968F" w14:textId="77777777" w:rsidR="00702A21" w:rsidRDefault="00DD5C1A">
      <w:pPr>
        <w:ind w:left="720"/>
        <w:rPr>
          <w:sz w:val="22"/>
          <w:szCs w:val="22"/>
        </w:rPr>
      </w:pPr>
      <w:r>
        <w:rPr>
          <w:sz w:val="22"/>
          <w:szCs w:val="22"/>
        </w:rPr>
        <w:t xml:space="preserve"> </w:t>
      </w:r>
    </w:p>
    <w:p w14:paraId="43D4B441" w14:textId="77777777" w:rsidR="00702A21" w:rsidRDefault="00DD5C1A">
      <w:pPr>
        <w:pStyle w:val="Heading1"/>
        <w:rPr>
          <w:rFonts w:ascii="Arial" w:eastAsia="Arial" w:hAnsi="Arial" w:cs="Arial"/>
          <w:b/>
          <w:sz w:val="22"/>
          <w:szCs w:val="22"/>
        </w:rPr>
      </w:pPr>
      <w:bookmarkStart w:id="18" w:name="_gx7q91lyksms" w:colFirst="0" w:colLast="0"/>
      <w:bookmarkEnd w:id="18"/>
      <w:r>
        <w:rPr>
          <w:rFonts w:ascii="Arial" w:eastAsia="Arial" w:hAnsi="Arial" w:cs="Arial"/>
          <w:b/>
          <w:sz w:val="22"/>
          <w:szCs w:val="22"/>
        </w:rPr>
        <w:t>5. Ongoing Imprisonment of Individuals Committing Crimes as Children</w:t>
      </w:r>
    </w:p>
    <w:p w14:paraId="52140651" w14:textId="77777777" w:rsidR="00702A21" w:rsidRDefault="00DD5C1A">
      <w:pPr>
        <w:rPr>
          <w:sz w:val="22"/>
          <w:szCs w:val="22"/>
        </w:rPr>
      </w:pPr>
      <w:r>
        <w:rPr>
          <w:sz w:val="22"/>
          <w:szCs w:val="22"/>
        </w:rPr>
        <w:t xml:space="preserve">In August 2021, Bahrain’s new Child Restorative Justice law came into law, raising the age of criminal responsibility to the age of 15; however, this was not </w:t>
      </w:r>
      <w:r>
        <w:rPr>
          <w:sz w:val="22"/>
          <w:szCs w:val="22"/>
        </w:rPr>
        <w:t xml:space="preserve">retrospectively applied to current prisoners. Therefore, defendants who were tried as adults before the age of 15 prior to the implementation of the aforementioned legislation remain in prison. </w:t>
      </w:r>
    </w:p>
    <w:p w14:paraId="6543300F" w14:textId="77777777" w:rsidR="00702A21" w:rsidRDefault="00702A21">
      <w:pPr>
        <w:rPr>
          <w:sz w:val="22"/>
          <w:szCs w:val="22"/>
        </w:rPr>
      </w:pPr>
    </w:p>
    <w:p w14:paraId="5D979919" w14:textId="77777777" w:rsidR="00702A21" w:rsidRDefault="00DD5C1A">
      <w:pPr>
        <w:rPr>
          <w:sz w:val="22"/>
          <w:szCs w:val="22"/>
        </w:rPr>
      </w:pPr>
      <w:r>
        <w:rPr>
          <w:sz w:val="22"/>
          <w:szCs w:val="22"/>
        </w:rPr>
        <w:t>According to research from BIRD, there are an estimated more</w:t>
      </w:r>
      <w:r>
        <w:rPr>
          <w:sz w:val="22"/>
          <w:szCs w:val="22"/>
        </w:rPr>
        <w:t xml:space="preserve"> than 27 prisoners currently detained who were tried as adults despite being under 18 years of age at the time of their convictions. </w:t>
      </w:r>
    </w:p>
    <w:p w14:paraId="1BD93245" w14:textId="77777777" w:rsidR="00702A21" w:rsidRDefault="00DD5C1A">
      <w:pPr>
        <w:rPr>
          <w:sz w:val="22"/>
          <w:szCs w:val="22"/>
        </w:rPr>
      </w:pPr>
      <w:r>
        <w:rPr>
          <w:sz w:val="22"/>
          <w:szCs w:val="22"/>
        </w:rPr>
        <w:t>​​</w:t>
      </w:r>
    </w:p>
    <w:p w14:paraId="766A40E7" w14:textId="77777777" w:rsidR="00702A21" w:rsidRDefault="00DD5C1A">
      <w:pPr>
        <w:rPr>
          <w:i/>
          <w:sz w:val="22"/>
          <w:szCs w:val="22"/>
          <w:u w:val="single"/>
        </w:rPr>
      </w:pPr>
      <w:r>
        <w:rPr>
          <w:sz w:val="22"/>
          <w:szCs w:val="22"/>
        </w:rPr>
        <w:t xml:space="preserve">Case Study: </w:t>
      </w:r>
      <w:r>
        <w:rPr>
          <w:b/>
          <w:i/>
          <w:sz w:val="22"/>
          <w:szCs w:val="22"/>
          <w:u w:val="single"/>
        </w:rPr>
        <w:t xml:space="preserve">Haider Ebrahim Mulla Ahmed Ali Hasan </w:t>
      </w:r>
      <w:r>
        <w:rPr>
          <w:i/>
          <w:sz w:val="22"/>
          <w:szCs w:val="22"/>
          <w:u w:val="single"/>
        </w:rPr>
        <w:t>(CPR: 991108086), DoB: November 1999, Location: Jau Prison</w:t>
      </w:r>
    </w:p>
    <w:p w14:paraId="6548D4D4" w14:textId="77777777" w:rsidR="00702A21" w:rsidRDefault="00702A21">
      <w:pPr>
        <w:rPr>
          <w:i/>
          <w:sz w:val="22"/>
          <w:szCs w:val="22"/>
          <w:u w:val="single"/>
        </w:rPr>
      </w:pPr>
    </w:p>
    <w:p w14:paraId="3619AD0C" w14:textId="77777777" w:rsidR="00702A21" w:rsidRDefault="00DD5C1A">
      <w:pPr>
        <w:rPr>
          <w:sz w:val="22"/>
          <w:szCs w:val="22"/>
        </w:rPr>
      </w:pPr>
      <w:r>
        <w:rPr>
          <w:sz w:val="22"/>
          <w:szCs w:val="22"/>
        </w:rPr>
        <w:t>Haider was</w:t>
      </w:r>
      <w:r>
        <w:rPr>
          <w:sz w:val="22"/>
          <w:szCs w:val="22"/>
        </w:rPr>
        <w:t xml:space="preserve"> a child (only 16 years old) when he was arrested in 2015 and charged and subsequently convicted to 23 years in 3 different cases. BIRD submitted a request to the National Institute for Human Rights and the Ministry of Interior Ombudsman’s office to consid</w:t>
      </w:r>
      <w:r>
        <w:rPr>
          <w:sz w:val="22"/>
          <w:szCs w:val="22"/>
        </w:rPr>
        <w:t>er his case under the Restorative Justice Law for Children and take his case forward for consideration with the relevant authorities for children.</w:t>
      </w:r>
    </w:p>
    <w:p w14:paraId="12106BA5" w14:textId="77777777" w:rsidR="00702A21" w:rsidRDefault="00702A21">
      <w:pPr>
        <w:rPr>
          <w:sz w:val="22"/>
          <w:szCs w:val="22"/>
        </w:rPr>
      </w:pPr>
    </w:p>
    <w:p w14:paraId="1AFE5AF5" w14:textId="77777777" w:rsidR="00702A21" w:rsidRDefault="00DD5C1A">
      <w:pPr>
        <w:rPr>
          <w:i/>
          <w:sz w:val="22"/>
          <w:szCs w:val="22"/>
          <w:u w:val="single"/>
        </w:rPr>
      </w:pPr>
      <w:r>
        <w:rPr>
          <w:sz w:val="22"/>
          <w:szCs w:val="22"/>
        </w:rPr>
        <w:t>Haider has endured years of imprisonment since he was a minor, the systematic medical negligence has resulte</w:t>
      </w:r>
      <w:r>
        <w:rPr>
          <w:sz w:val="22"/>
          <w:szCs w:val="22"/>
        </w:rPr>
        <w:t xml:space="preserve">d in his health deteriorating significantly. </w:t>
      </w:r>
    </w:p>
    <w:p w14:paraId="2AF41D75" w14:textId="77777777" w:rsidR="00702A21" w:rsidRDefault="00702A21">
      <w:pPr>
        <w:rPr>
          <w:i/>
          <w:sz w:val="22"/>
          <w:szCs w:val="22"/>
          <w:u w:val="single"/>
        </w:rPr>
      </w:pPr>
    </w:p>
    <w:p w14:paraId="721ACAAC" w14:textId="77777777" w:rsidR="00702A21" w:rsidRDefault="00DD5C1A">
      <w:pPr>
        <w:rPr>
          <w:i/>
          <w:sz w:val="22"/>
          <w:szCs w:val="22"/>
          <w:u w:val="single"/>
        </w:rPr>
      </w:pPr>
      <w:r>
        <w:rPr>
          <w:i/>
          <w:sz w:val="22"/>
          <w:szCs w:val="22"/>
          <w:u w:val="single"/>
        </w:rPr>
        <w:t>Here are updates about this current situation</w:t>
      </w:r>
      <w:r>
        <w:rPr>
          <w:i/>
          <w:sz w:val="22"/>
          <w:szCs w:val="22"/>
        </w:rPr>
        <w:t xml:space="preserve">: </w:t>
      </w:r>
    </w:p>
    <w:p w14:paraId="08DE1908" w14:textId="77777777" w:rsidR="00702A21" w:rsidRDefault="00702A21">
      <w:pPr>
        <w:rPr>
          <w:i/>
          <w:sz w:val="22"/>
          <w:szCs w:val="22"/>
          <w:u w:val="single"/>
        </w:rPr>
      </w:pPr>
    </w:p>
    <w:p w14:paraId="4B72F4CA" w14:textId="77777777" w:rsidR="00702A21" w:rsidRDefault="00DD5C1A">
      <w:pPr>
        <w:rPr>
          <w:sz w:val="22"/>
          <w:szCs w:val="22"/>
        </w:rPr>
      </w:pPr>
      <w:r>
        <w:rPr>
          <w:sz w:val="22"/>
          <w:szCs w:val="22"/>
        </w:rPr>
        <w:t>According to a call BIRD received from Haider on 25 December 2022, Haider has been suffering from an internal medical problem and is yet to know whether it is due to a problem in his stomach or colon due to medical negligence. As of today, 26 January 2023,</w:t>
      </w:r>
      <w:r>
        <w:rPr>
          <w:sz w:val="22"/>
          <w:szCs w:val="22"/>
        </w:rPr>
        <w:t xml:space="preserve"> we have spoken to his family and confirmed that he continues to be ignored without any medical treatment, according to a call they received from him today.</w:t>
      </w:r>
    </w:p>
    <w:p w14:paraId="1425BBA8" w14:textId="77777777" w:rsidR="00702A21" w:rsidRDefault="00702A21">
      <w:pPr>
        <w:rPr>
          <w:sz w:val="22"/>
          <w:szCs w:val="22"/>
        </w:rPr>
      </w:pPr>
    </w:p>
    <w:p w14:paraId="069CE072" w14:textId="77777777" w:rsidR="00702A21" w:rsidRDefault="00DD5C1A">
      <w:pPr>
        <w:rPr>
          <w:sz w:val="22"/>
          <w:szCs w:val="22"/>
        </w:rPr>
      </w:pPr>
      <w:r>
        <w:rPr>
          <w:sz w:val="22"/>
          <w:szCs w:val="22"/>
        </w:rPr>
        <w:t xml:space="preserve">Haider informed us that he vomits blood and has blood in his stool at least 3-4 times a month. He </w:t>
      </w:r>
      <w:r>
        <w:rPr>
          <w:sz w:val="22"/>
          <w:szCs w:val="22"/>
        </w:rPr>
        <w:t>is not able to eat and is having severe pain in his head and difficulty breathing.</w:t>
      </w:r>
    </w:p>
    <w:p w14:paraId="4B5B22AC" w14:textId="77777777" w:rsidR="00702A21" w:rsidRDefault="00702A21">
      <w:pPr>
        <w:rPr>
          <w:sz w:val="22"/>
          <w:szCs w:val="22"/>
        </w:rPr>
      </w:pPr>
    </w:p>
    <w:p w14:paraId="024DEF3D" w14:textId="77777777" w:rsidR="00702A21" w:rsidRDefault="00DD5C1A">
      <w:pPr>
        <w:rPr>
          <w:sz w:val="22"/>
          <w:szCs w:val="22"/>
        </w:rPr>
      </w:pPr>
      <w:r>
        <w:rPr>
          <w:sz w:val="22"/>
          <w:szCs w:val="22"/>
        </w:rPr>
        <w:t>When he goes to the prison clinic, he is only given painkillers in the form of pills or injections, and they are refusing to diagnose or treat the problem.</w:t>
      </w:r>
    </w:p>
    <w:p w14:paraId="02DFA6F8" w14:textId="77777777" w:rsidR="00702A21" w:rsidRDefault="00702A21">
      <w:pPr>
        <w:rPr>
          <w:sz w:val="22"/>
          <w:szCs w:val="22"/>
        </w:rPr>
      </w:pPr>
    </w:p>
    <w:p w14:paraId="5915273A" w14:textId="77777777" w:rsidR="00702A21" w:rsidRDefault="00DD5C1A">
      <w:pPr>
        <w:rPr>
          <w:sz w:val="22"/>
          <w:szCs w:val="22"/>
        </w:rPr>
      </w:pPr>
      <w:r>
        <w:rPr>
          <w:sz w:val="22"/>
          <w:szCs w:val="22"/>
        </w:rPr>
        <w:lastRenderedPageBreak/>
        <w:t>He last saw a s</w:t>
      </w:r>
      <w:r>
        <w:rPr>
          <w:sz w:val="22"/>
          <w:szCs w:val="22"/>
        </w:rPr>
        <w:t>pecialist doctor in June or July 2022 in Salmaniya. The doctor transferred him for endoscopy in November 2022, but the prison administration did not transfer him.</w:t>
      </w:r>
    </w:p>
    <w:p w14:paraId="1B8EB036" w14:textId="77777777" w:rsidR="00702A21" w:rsidRDefault="00702A21">
      <w:pPr>
        <w:rPr>
          <w:sz w:val="22"/>
          <w:szCs w:val="22"/>
        </w:rPr>
      </w:pPr>
    </w:p>
    <w:p w14:paraId="4C0AD924" w14:textId="77777777" w:rsidR="00702A21" w:rsidRDefault="00DD5C1A">
      <w:pPr>
        <w:rPr>
          <w:sz w:val="22"/>
          <w:szCs w:val="22"/>
        </w:rPr>
      </w:pPr>
      <w:r>
        <w:rPr>
          <w:sz w:val="22"/>
          <w:szCs w:val="22"/>
        </w:rPr>
        <w:t>Haider also suffers from a problem with his teeth. They removed 7-8 of his teeth and kept hi</w:t>
      </w:r>
      <w:r>
        <w:rPr>
          <w:sz w:val="22"/>
          <w:szCs w:val="22"/>
        </w:rPr>
        <w:t>m without the replacements they promised, hindering his ability to chew his food. Haider had an appointment on 2 November 2022 but was again not transferred.</w:t>
      </w:r>
    </w:p>
    <w:p w14:paraId="57390588" w14:textId="77777777" w:rsidR="00702A21" w:rsidRDefault="00702A21">
      <w:pPr>
        <w:rPr>
          <w:sz w:val="22"/>
          <w:szCs w:val="22"/>
        </w:rPr>
      </w:pPr>
    </w:p>
    <w:p w14:paraId="419608E0" w14:textId="77777777" w:rsidR="00702A21" w:rsidRDefault="00DD5C1A">
      <w:pPr>
        <w:rPr>
          <w:b/>
          <w:sz w:val="22"/>
          <w:szCs w:val="22"/>
        </w:rPr>
      </w:pPr>
      <w:r>
        <w:rPr>
          <w:sz w:val="22"/>
          <w:szCs w:val="22"/>
        </w:rPr>
        <w:t xml:space="preserve">There is a clear failure by the prison authorities to transfer him for his internal medicine and </w:t>
      </w:r>
      <w:r>
        <w:rPr>
          <w:sz w:val="22"/>
          <w:szCs w:val="22"/>
        </w:rPr>
        <w:t>dental care appointments where he continues to suffer from the abovementioned problems. We urge you to follow up on his case and ensure he receives the medical diagnosis and dental treatment.</w:t>
      </w:r>
    </w:p>
    <w:p w14:paraId="33DF4461" w14:textId="77777777" w:rsidR="00702A21" w:rsidRDefault="00702A21">
      <w:pPr>
        <w:rPr>
          <w:b/>
          <w:sz w:val="22"/>
          <w:szCs w:val="22"/>
        </w:rPr>
      </w:pPr>
    </w:p>
    <w:p w14:paraId="174F1043" w14:textId="77777777" w:rsidR="00702A21" w:rsidRDefault="00DD5C1A">
      <w:pPr>
        <w:pStyle w:val="Heading1"/>
        <w:rPr>
          <w:rFonts w:ascii="Arial" w:eastAsia="Arial" w:hAnsi="Arial" w:cs="Arial"/>
          <w:b/>
          <w:sz w:val="22"/>
          <w:szCs w:val="22"/>
        </w:rPr>
      </w:pPr>
      <w:bookmarkStart w:id="19" w:name="_ddjewh4duawb" w:colFirst="0" w:colLast="0"/>
      <w:bookmarkEnd w:id="19"/>
      <w:r>
        <w:rPr>
          <w:rFonts w:ascii="Arial" w:eastAsia="Arial" w:hAnsi="Arial" w:cs="Arial"/>
          <w:b/>
          <w:sz w:val="22"/>
          <w:szCs w:val="22"/>
        </w:rPr>
        <w:t xml:space="preserve">6. Deprivation of Citizenship Rights to Children </w:t>
      </w:r>
    </w:p>
    <w:p w14:paraId="4F2F97B5" w14:textId="77777777" w:rsidR="00702A21" w:rsidRDefault="00DD5C1A">
      <w:pPr>
        <w:jc w:val="left"/>
        <w:rPr>
          <w:i/>
          <w:sz w:val="22"/>
          <w:szCs w:val="22"/>
        </w:rPr>
      </w:pPr>
      <w:r>
        <w:rPr>
          <w:i/>
          <w:sz w:val="22"/>
          <w:szCs w:val="22"/>
        </w:rPr>
        <w:t>The informati</w:t>
      </w:r>
      <w:r>
        <w:rPr>
          <w:i/>
          <w:sz w:val="22"/>
          <w:szCs w:val="22"/>
        </w:rPr>
        <w:t>on below is based on a previous submission by BIRD to select UN Special Procedure Offices in June 2023.</w:t>
      </w:r>
    </w:p>
    <w:p w14:paraId="6FDBCB86" w14:textId="77777777" w:rsidR="00702A21" w:rsidRDefault="00702A21">
      <w:pPr>
        <w:jc w:val="left"/>
        <w:rPr>
          <w:sz w:val="22"/>
          <w:szCs w:val="22"/>
        </w:rPr>
      </w:pPr>
    </w:p>
    <w:p w14:paraId="5E1BCC8A" w14:textId="77777777" w:rsidR="00702A21" w:rsidRDefault="00DD5C1A">
      <w:pPr>
        <w:jc w:val="left"/>
        <w:rPr>
          <w:sz w:val="22"/>
          <w:szCs w:val="22"/>
          <w:vertAlign w:val="superscript"/>
        </w:rPr>
      </w:pPr>
      <w:r>
        <w:rPr>
          <w:sz w:val="22"/>
          <w:szCs w:val="22"/>
        </w:rPr>
        <w:t xml:space="preserve">Revocation of citizenship remains a pressing issue in Bahrain against peaceful political dissidents and human rights activists. Between 2012 and 2019, </w:t>
      </w:r>
      <w:r>
        <w:rPr>
          <w:sz w:val="22"/>
          <w:szCs w:val="22"/>
        </w:rPr>
        <w:t>at least 990 individuals had their citizenship revoked.</w:t>
      </w:r>
      <w:r>
        <w:rPr>
          <w:sz w:val="22"/>
          <w:szCs w:val="22"/>
          <w:vertAlign w:val="superscript"/>
        </w:rPr>
        <w:footnoteReference w:id="42"/>
      </w:r>
      <w:r>
        <w:rPr>
          <w:sz w:val="22"/>
          <w:szCs w:val="22"/>
        </w:rPr>
        <w:t xml:space="preserve"> Advocacy on this issue has yielded some results, with 551 people having their citizenship reinstated in 2019 via a royal decree, while courts restored the nationality of another 147 individuals.</w:t>
      </w:r>
      <w:r>
        <w:rPr>
          <w:sz w:val="22"/>
          <w:szCs w:val="22"/>
          <w:vertAlign w:val="superscript"/>
        </w:rPr>
        <w:footnoteReference w:id="43"/>
      </w:r>
      <w:r>
        <w:rPr>
          <w:sz w:val="22"/>
          <w:szCs w:val="22"/>
        </w:rPr>
        <w:t xml:space="preserve"> About 300 persons, all male, remain stripped of their citi</w:t>
      </w:r>
      <w:r>
        <w:rPr>
          <w:sz w:val="22"/>
          <w:szCs w:val="22"/>
        </w:rPr>
        <w:t xml:space="preserve">zenship by authorities in recent years, rendering them stateless. </w:t>
      </w:r>
    </w:p>
    <w:p w14:paraId="6B82A385" w14:textId="77777777" w:rsidR="00702A21" w:rsidRDefault="00DD5C1A">
      <w:pPr>
        <w:pStyle w:val="Heading2"/>
        <w:jc w:val="left"/>
        <w:rPr>
          <w:rFonts w:ascii="Arial" w:eastAsia="Arial" w:hAnsi="Arial" w:cs="Arial"/>
          <w:b/>
          <w:sz w:val="22"/>
          <w:szCs w:val="22"/>
        </w:rPr>
      </w:pPr>
      <w:bookmarkStart w:id="20" w:name="_rzdxduhan3su" w:colFirst="0" w:colLast="0"/>
      <w:bookmarkEnd w:id="20"/>
      <w:r>
        <w:rPr>
          <w:rFonts w:ascii="Arial" w:eastAsia="Arial" w:hAnsi="Arial" w:cs="Arial"/>
          <w:b/>
          <w:sz w:val="22"/>
          <w:szCs w:val="22"/>
        </w:rPr>
        <w:t>3.1. Legal framework</w:t>
      </w:r>
    </w:p>
    <w:p w14:paraId="0DC819E9" w14:textId="77777777" w:rsidR="00702A21" w:rsidRDefault="00702A21">
      <w:pPr>
        <w:jc w:val="left"/>
        <w:rPr>
          <w:sz w:val="22"/>
          <w:szCs w:val="22"/>
        </w:rPr>
      </w:pPr>
    </w:p>
    <w:p w14:paraId="5096A508" w14:textId="77777777" w:rsidR="00702A21" w:rsidRDefault="00DD5C1A">
      <w:pPr>
        <w:jc w:val="left"/>
        <w:rPr>
          <w:sz w:val="22"/>
          <w:szCs w:val="22"/>
        </w:rPr>
      </w:pPr>
      <w:r>
        <w:rPr>
          <w:sz w:val="22"/>
          <w:szCs w:val="22"/>
        </w:rPr>
        <w:t>Two laws govern the revocation of citizenship in Bahrain: The Bahraini Citizenship Act of 1963 (Citizenship Act) and Law No (58) of 2006 with Respect to Protecting the</w:t>
      </w:r>
      <w:r>
        <w:rPr>
          <w:sz w:val="22"/>
          <w:szCs w:val="22"/>
        </w:rPr>
        <w:t xml:space="preserve"> Society from Terrorist Acts (Counter-Terrorism Law). </w:t>
      </w:r>
    </w:p>
    <w:p w14:paraId="3E46163F" w14:textId="77777777" w:rsidR="00702A21" w:rsidRDefault="00702A21">
      <w:pPr>
        <w:jc w:val="left"/>
        <w:rPr>
          <w:sz w:val="22"/>
          <w:szCs w:val="22"/>
        </w:rPr>
      </w:pPr>
    </w:p>
    <w:p w14:paraId="21D04FC5" w14:textId="77777777" w:rsidR="00702A21" w:rsidRDefault="00DD5C1A">
      <w:pPr>
        <w:jc w:val="left"/>
        <w:rPr>
          <w:sz w:val="22"/>
          <w:szCs w:val="22"/>
        </w:rPr>
      </w:pPr>
      <w:r>
        <w:rPr>
          <w:sz w:val="22"/>
          <w:szCs w:val="22"/>
        </w:rPr>
        <w:t>Citizenship revocations since 2012 had been handed down by order of the royal decree or Bahraini courts. The courts were to decide on the deprivation of citizenship based on terrorism-related charges.</w:t>
      </w:r>
      <w:r>
        <w:rPr>
          <w:sz w:val="22"/>
          <w:szCs w:val="22"/>
        </w:rPr>
        <w:t xml:space="preserve"> Most, if not all, denaturalisation cases from the last decade are based on these regulations. According to Bahrain’s Counter-Terrorism Law, terrorism is defined as a “…criminal undertaking with the aim of disturbing the public order, endangering the Kingd</w:t>
      </w:r>
      <w:r>
        <w:rPr>
          <w:sz w:val="22"/>
          <w:szCs w:val="22"/>
        </w:rPr>
        <w:t xml:space="preserve">om's safety and security, or prejudicing national unity…”, amongst other things. Those whose citizenships were revoked on terrorism-related offences were often sentenced in mass trials, and accused of forming or being part of terrorist groups. </w:t>
      </w:r>
    </w:p>
    <w:p w14:paraId="4F910D16" w14:textId="77777777" w:rsidR="00702A21" w:rsidRDefault="00702A21">
      <w:pPr>
        <w:jc w:val="left"/>
        <w:rPr>
          <w:sz w:val="22"/>
          <w:szCs w:val="22"/>
        </w:rPr>
      </w:pPr>
    </w:p>
    <w:p w14:paraId="0AAFDAA4" w14:textId="77777777" w:rsidR="00702A21" w:rsidRDefault="00DD5C1A">
      <w:pPr>
        <w:jc w:val="left"/>
        <w:rPr>
          <w:b/>
          <w:sz w:val="22"/>
          <w:szCs w:val="22"/>
          <w:u w:val="single"/>
        </w:rPr>
      </w:pPr>
      <w:r>
        <w:rPr>
          <w:b/>
          <w:sz w:val="22"/>
          <w:szCs w:val="22"/>
          <w:u w:val="single"/>
        </w:rPr>
        <w:t>A. Expandi</w:t>
      </w:r>
      <w:r>
        <w:rPr>
          <w:b/>
          <w:sz w:val="22"/>
          <w:szCs w:val="22"/>
          <w:u w:val="single"/>
        </w:rPr>
        <w:t xml:space="preserve">ng the mandate </w:t>
      </w:r>
    </w:p>
    <w:p w14:paraId="17636A4C" w14:textId="77777777" w:rsidR="00702A21" w:rsidRDefault="00702A21">
      <w:pPr>
        <w:jc w:val="left"/>
        <w:rPr>
          <w:sz w:val="22"/>
          <w:szCs w:val="22"/>
        </w:rPr>
      </w:pPr>
    </w:p>
    <w:p w14:paraId="5BF1993C" w14:textId="77777777" w:rsidR="00702A21" w:rsidRDefault="00DD5C1A">
      <w:pPr>
        <w:jc w:val="left"/>
        <w:rPr>
          <w:sz w:val="22"/>
          <w:szCs w:val="22"/>
        </w:rPr>
      </w:pPr>
      <w:r>
        <w:rPr>
          <w:sz w:val="22"/>
          <w:szCs w:val="22"/>
        </w:rPr>
        <w:lastRenderedPageBreak/>
        <w:t>Article 24 of the Counter-Terrorism Law was amended in July 2013 to state that:</w:t>
      </w:r>
    </w:p>
    <w:p w14:paraId="5E907267" w14:textId="77777777" w:rsidR="00702A21" w:rsidRDefault="00DD5C1A">
      <w:pPr>
        <w:ind w:left="720"/>
        <w:jc w:val="left"/>
        <w:rPr>
          <w:sz w:val="22"/>
          <w:szCs w:val="22"/>
        </w:rPr>
      </w:pPr>
      <w:r>
        <w:rPr>
          <w:sz w:val="22"/>
          <w:szCs w:val="22"/>
        </w:rPr>
        <w:t>“In addition to the prescribed punishment, the convicted person in the crimes specified in Articles 5 to 9, 12, and 17 of this law shall have their citizenship revoked. The sentence of revoking citizenship shall not be executed except with the consent of t</w:t>
      </w:r>
      <w:r>
        <w:rPr>
          <w:sz w:val="22"/>
          <w:szCs w:val="22"/>
        </w:rPr>
        <w:t>he country's monarch.”</w:t>
      </w:r>
      <w:r>
        <w:rPr>
          <w:sz w:val="22"/>
          <w:szCs w:val="22"/>
          <w:vertAlign w:val="superscript"/>
        </w:rPr>
        <w:footnoteReference w:id="44"/>
      </w:r>
      <w:r>
        <w:rPr>
          <w:sz w:val="22"/>
          <w:szCs w:val="22"/>
        </w:rPr>
        <w:t xml:space="preserve"> </w:t>
      </w:r>
    </w:p>
    <w:p w14:paraId="6681D0ED" w14:textId="77777777" w:rsidR="00702A21" w:rsidRDefault="00DD5C1A">
      <w:pPr>
        <w:jc w:val="left"/>
        <w:rPr>
          <w:sz w:val="22"/>
          <w:szCs w:val="22"/>
        </w:rPr>
      </w:pPr>
      <w:r>
        <w:rPr>
          <w:sz w:val="22"/>
          <w:szCs w:val="22"/>
        </w:rPr>
        <w:t>This was the first time when an explicit connection was made between certain clauses of the Counter-Terrorism Law in the Citizenship Act. It was then reaffirmed in 2019 amendments to the Citizenship Act by the addition of Provisio</w:t>
      </w:r>
      <w:r>
        <w:rPr>
          <w:sz w:val="22"/>
          <w:szCs w:val="22"/>
        </w:rPr>
        <w:t>n 4 to Article 10.</w:t>
      </w:r>
      <w:r>
        <w:rPr>
          <w:sz w:val="22"/>
          <w:szCs w:val="22"/>
          <w:vertAlign w:val="superscript"/>
        </w:rPr>
        <w:footnoteReference w:id="45"/>
      </w:r>
      <w:r>
        <w:rPr>
          <w:sz w:val="22"/>
          <w:szCs w:val="22"/>
        </w:rPr>
        <w:t xml:space="preserve"> </w:t>
      </w:r>
    </w:p>
    <w:p w14:paraId="1D390970" w14:textId="77777777" w:rsidR="00702A21" w:rsidRDefault="00702A21">
      <w:pPr>
        <w:jc w:val="left"/>
        <w:rPr>
          <w:sz w:val="22"/>
          <w:szCs w:val="22"/>
        </w:rPr>
      </w:pPr>
    </w:p>
    <w:p w14:paraId="302BD266" w14:textId="77777777" w:rsidR="00702A21" w:rsidRDefault="00DD5C1A">
      <w:pPr>
        <w:jc w:val="left"/>
        <w:rPr>
          <w:sz w:val="22"/>
          <w:szCs w:val="22"/>
        </w:rPr>
      </w:pPr>
      <w:r>
        <w:rPr>
          <w:sz w:val="22"/>
          <w:szCs w:val="22"/>
        </w:rPr>
        <w:t xml:space="preserve">Furthermore, through amendments in July 2014 to Article 10 (Provision C) of 2014 to the Citizenship Act, the revocation of citizenship was reformulated to: </w:t>
      </w:r>
    </w:p>
    <w:p w14:paraId="1C335C30" w14:textId="77777777" w:rsidR="00702A21" w:rsidRDefault="00DD5C1A">
      <w:pPr>
        <w:ind w:left="720"/>
        <w:jc w:val="left"/>
        <w:rPr>
          <w:sz w:val="22"/>
          <w:szCs w:val="22"/>
        </w:rPr>
      </w:pPr>
      <w:r>
        <w:rPr>
          <w:sz w:val="22"/>
          <w:szCs w:val="22"/>
        </w:rPr>
        <w:t>“if he causes harm to the interests of the Kingdom or acts contrary to the d</w:t>
      </w:r>
      <w:r>
        <w:rPr>
          <w:sz w:val="22"/>
          <w:szCs w:val="22"/>
        </w:rPr>
        <w:t>uty of loyalty to it.”</w:t>
      </w:r>
      <w:r>
        <w:rPr>
          <w:sz w:val="22"/>
          <w:szCs w:val="22"/>
          <w:vertAlign w:val="superscript"/>
        </w:rPr>
        <w:footnoteReference w:id="46"/>
      </w:r>
      <w:r>
        <w:rPr>
          <w:sz w:val="22"/>
          <w:szCs w:val="22"/>
        </w:rPr>
        <w:t xml:space="preserve"> </w:t>
      </w:r>
    </w:p>
    <w:p w14:paraId="79645BB3" w14:textId="77777777" w:rsidR="00702A21" w:rsidRDefault="00DD5C1A">
      <w:pPr>
        <w:jc w:val="left"/>
        <w:rPr>
          <w:sz w:val="22"/>
          <w:szCs w:val="22"/>
        </w:rPr>
      </w:pPr>
      <w:r>
        <w:rPr>
          <w:sz w:val="22"/>
          <w:szCs w:val="22"/>
        </w:rPr>
        <w:t>Originally, the clause stated that citizenship would be revoked if a person “cause harm to the security of the state”. However, this was changed to “harm the interests of the kingdom” and included the stipulation of “duty of loyal</w:t>
      </w:r>
      <w:r>
        <w:rPr>
          <w:sz w:val="22"/>
          <w:szCs w:val="22"/>
        </w:rPr>
        <w:t xml:space="preserve">ty”. This means that anything the authorities regard as being against their interests or an act of disloyalty would justify the revocation of citizenship. There is no clear reason provided for this change. Thus, this clause provides a much broader mandate </w:t>
      </w:r>
      <w:r>
        <w:rPr>
          <w:sz w:val="22"/>
          <w:szCs w:val="22"/>
        </w:rPr>
        <w:t xml:space="preserve">for the authorities to persecute anyone it </w:t>
      </w:r>
      <w:r>
        <w:rPr>
          <w:sz w:val="22"/>
          <w:szCs w:val="22"/>
          <w:u w:val="single"/>
        </w:rPr>
        <w:t>perceives</w:t>
      </w:r>
      <w:r>
        <w:rPr>
          <w:sz w:val="22"/>
          <w:szCs w:val="22"/>
        </w:rPr>
        <w:t xml:space="preserve"> as “disloyal” to the monarchy.  </w:t>
      </w:r>
    </w:p>
    <w:p w14:paraId="1A1EE00F" w14:textId="77777777" w:rsidR="00702A21" w:rsidRDefault="00702A21">
      <w:pPr>
        <w:jc w:val="left"/>
        <w:rPr>
          <w:sz w:val="22"/>
          <w:szCs w:val="22"/>
        </w:rPr>
      </w:pPr>
    </w:p>
    <w:p w14:paraId="2D866702" w14:textId="77777777" w:rsidR="00702A21" w:rsidRDefault="00DD5C1A">
      <w:pPr>
        <w:jc w:val="left"/>
        <w:rPr>
          <w:b/>
          <w:sz w:val="22"/>
          <w:szCs w:val="22"/>
          <w:u w:val="single"/>
        </w:rPr>
      </w:pPr>
      <w:r>
        <w:rPr>
          <w:b/>
          <w:sz w:val="22"/>
          <w:szCs w:val="22"/>
          <w:u w:val="single"/>
        </w:rPr>
        <w:t>B. Changing the responsibility from King to Cabinet in June 2019</w:t>
      </w:r>
    </w:p>
    <w:p w14:paraId="182A7D1D" w14:textId="77777777" w:rsidR="00702A21" w:rsidRDefault="00702A21">
      <w:pPr>
        <w:jc w:val="left"/>
        <w:rPr>
          <w:sz w:val="22"/>
          <w:szCs w:val="22"/>
        </w:rPr>
      </w:pPr>
    </w:p>
    <w:p w14:paraId="310E7CA8" w14:textId="77777777" w:rsidR="00702A21" w:rsidRDefault="00DD5C1A">
      <w:pPr>
        <w:jc w:val="left"/>
        <w:rPr>
          <w:sz w:val="22"/>
          <w:szCs w:val="22"/>
        </w:rPr>
      </w:pPr>
      <w:r>
        <w:rPr>
          <w:sz w:val="22"/>
          <w:szCs w:val="22"/>
        </w:rPr>
        <w:t>The responsibility for the legal decision surrounding the revocation of citizenship has been amended ov</w:t>
      </w:r>
      <w:r>
        <w:rPr>
          <w:sz w:val="22"/>
          <w:szCs w:val="22"/>
        </w:rPr>
        <w:t xml:space="preserve">er time, and in each successive iteration, the role of the King has been distanced from the issue. </w:t>
      </w:r>
    </w:p>
    <w:p w14:paraId="13D0F893" w14:textId="77777777" w:rsidR="00702A21" w:rsidRDefault="00702A21">
      <w:pPr>
        <w:jc w:val="left"/>
        <w:rPr>
          <w:sz w:val="22"/>
          <w:szCs w:val="22"/>
        </w:rPr>
      </w:pPr>
    </w:p>
    <w:p w14:paraId="52DCD413" w14:textId="77777777" w:rsidR="00702A21" w:rsidRDefault="00DD5C1A">
      <w:pPr>
        <w:jc w:val="left"/>
        <w:rPr>
          <w:sz w:val="22"/>
          <w:szCs w:val="22"/>
        </w:rPr>
      </w:pPr>
      <w:r>
        <w:rPr>
          <w:sz w:val="22"/>
          <w:szCs w:val="22"/>
        </w:rPr>
        <w:t>The original law of 1963 had read that “The Bahraini citizenship may be revoked by the order of the Supreme Ruler”, which was changed to “By a decree, base</w:t>
      </w:r>
      <w:r>
        <w:rPr>
          <w:sz w:val="22"/>
          <w:szCs w:val="22"/>
        </w:rPr>
        <w:t>d on the proposal of the Minister of Interior and after the approval of the Council of Ministers, it is permissible to revoke Bahraini citizenship” in 2014 amendments. The amendments in 2019 then tweaked this further to say, “Bahraini citizenship can be re</w:t>
      </w:r>
      <w:r>
        <w:rPr>
          <w:sz w:val="22"/>
          <w:szCs w:val="22"/>
        </w:rPr>
        <w:t>voked by a causative decision of the Cabinet, based on the recommendation of the Minister of Interior.” The 2019 amendments make clear that it is the decision of the cabinet—which distances the King himself from the act of revoking citizenships. However, i</w:t>
      </w:r>
      <w:r>
        <w:rPr>
          <w:sz w:val="22"/>
          <w:szCs w:val="22"/>
        </w:rPr>
        <w:t xml:space="preserve">t is important to note that the cabinet in Bahrain is appointed by the King, with whom rests the final authority in Bahrain. </w:t>
      </w:r>
    </w:p>
    <w:p w14:paraId="7CC0D156" w14:textId="77777777" w:rsidR="00702A21" w:rsidRDefault="00702A21">
      <w:pPr>
        <w:jc w:val="left"/>
        <w:rPr>
          <w:sz w:val="22"/>
          <w:szCs w:val="22"/>
        </w:rPr>
      </w:pPr>
    </w:p>
    <w:p w14:paraId="0C2BDACA" w14:textId="77777777" w:rsidR="00702A21" w:rsidRDefault="00DD5C1A">
      <w:pPr>
        <w:jc w:val="left"/>
        <w:rPr>
          <w:sz w:val="22"/>
          <w:szCs w:val="22"/>
        </w:rPr>
      </w:pPr>
      <w:r>
        <w:rPr>
          <w:sz w:val="22"/>
          <w:szCs w:val="22"/>
        </w:rPr>
        <w:t>Thus, the final rendering of Article 10 in the Citizenship Act with all the amendments reads as:</w:t>
      </w:r>
    </w:p>
    <w:p w14:paraId="09752551" w14:textId="77777777" w:rsidR="00702A21" w:rsidRDefault="00DD5C1A">
      <w:pPr>
        <w:ind w:left="720"/>
        <w:jc w:val="left"/>
        <w:rPr>
          <w:sz w:val="22"/>
          <w:szCs w:val="22"/>
        </w:rPr>
      </w:pPr>
      <w:r>
        <w:rPr>
          <w:sz w:val="22"/>
          <w:szCs w:val="22"/>
        </w:rPr>
        <w:t xml:space="preserve">“By a decision from the Council </w:t>
      </w:r>
      <w:r>
        <w:rPr>
          <w:sz w:val="22"/>
          <w:szCs w:val="22"/>
        </w:rPr>
        <w:t>of Ministers, based on a proposal from the Minister of Interior, the Bahraini nationality can be revoked from anyone who possesses it in any of the following cases:</w:t>
      </w:r>
    </w:p>
    <w:p w14:paraId="6E255529" w14:textId="77777777" w:rsidR="00702A21" w:rsidRDefault="00DD5C1A">
      <w:pPr>
        <w:numPr>
          <w:ilvl w:val="0"/>
          <w:numId w:val="9"/>
        </w:numPr>
        <w:jc w:val="left"/>
        <w:rPr>
          <w:sz w:val="22"/>
          <w:szCs w:val="22"/>
        </w:rPr>
      </w:pPr>
      <w:r>
        <w:rPr>
          <w:sz w:val="22"/>
          <w:szCs w:val="22"/>
        </w:rPr>
        <w:t>If he joins the military service of a foreign country and remains in it despite the order i</w:t>
      </w:r>
      <w:r>
        <w:rPr>
          <w:sz w:val="22"/>
          <w:szCs w:val="22"/>
        </w:rPr>
        <w:t>ssued to him by the government of the Kingdom of Bahrain to leave.</w:t>
      </w:r>
    </w:p>
    <w:p w14:paraId="294103B3" w14:textId="77777777" w:rsidR="00702A21" w:rsidRDefault="00DD5C1A">
      <w:pPr>
        <w:numPr>
          <w:ilvl w:val="0"/>
          <w:numId w:val="9"/>
        </w:numPr>
        <w:jc w:val="left"/>
        <w:rPr>
          <w:sz w:val="22"/>
          <w:szCs w:val="22"/>
        </w:rPr>
      </w:pPr>
      <w:r>
        <w:rPr>
          <w:sz w:val="22"/>
          <w:szCs w:val="22"/>
        </w:rPr>
        <w:lastRenderedPageBreak/>
        <w:t>If he aids or enlists in the service of an enemy state.</w:t>
      </w:r>
    </w:p>
    <w:p w14:paraId="3E37C2F8" w14:textId="77777777" w:rsidR="00702A21" w:rsidRDefault="00DD5C1A">
      <w:pPr>
        <w:numPr>
          <w:ilvl w:val="0"/>
          <w:numId w:val="9"/>
        </w:numPr>
        <w:jc w:val="left"/>
        <w:rPr>
          <w:sz w:val="22"/>
          <w:szCs w:val="22"/>
        </w:rPr>
      </w:pPr>
      <w:r>
        <w:rPr>
          <w:sz w:val="22"/>
          <w:szCs w:val="22"/>
        </w:rPr>
        <w:t>If he causes harm to the interests of the Kingdom or acts in a manner contrary to his loyalty to it.</w:t>
      </w:r>
    </w:p>
    <w:p w14:paraId="7C3F6EDE" w14:textId="77777777" w:rsidR="00702A21" w:rsidRDefault="00DD5C1A">
      <w:pPr>
        <w:numPr>
          <w:ilvl w:val="0"/>
          <w:numId w:val="9"/>
        </w:numPr>
        <w:jc w:val="left"/>
        <w:rPr>
          <w:sz w:val="22"/>
          <w:szCs w:val="22"/>
        </w:rPr>
      </w:pPr>
      <w:r>
        <w:rPr>
          <w:sz w:val="22"/>
          <w:szCs w:val="22"/>
        </w:rPr>
        <w:t>If he is convicted of a crime sp</w:t>
      </w:r>
      <w:r>
        <w:rPr>
          <w:sz w:val="22"/>
          <w:szCs w:val="22"/>
        </w:rPr>
        <w:t>ecified in Articles (5) to (9), (12), and (17) of Law No. (58) of 2006 regarding the protection of society from terrorist acts.”</w:t>
      </w:r>
    </w:p>
    <w:p w14:paraId="288D457E" w14:textId="77777777" w:rsidR="00702A21" w:rsidRDefault="00702A21">
      <w:pPr>
        <w:jc w:val="left"/>
        <w:rPr>
          <w:sz w:val="22"/>
          <w:szCs w:val="22"/>
        </w:rPr>
      </w:pPr>
    </w:p>
    <w:p w14:paraId="4EAFBC94" w14:textId="77777777" w:rsidR="00702A21" w:rsidRDefault="00DD5C1A">
      <w:pPr>
        <w:jc w:val="left"/>
        <w:rPr>
          <w:b/>
          <w:sz w:val="22"/>
          <w:szCs w:val="22"/>
          <w:u w:val="single"/>
        </w:rPr>
      </w:pPr>
      <w:r>
        <w:rPr>
          <w:b/>
          <w:sz w:val="22"/>
          <w:szCs w:val="22"/>
          <w:u w:val="single"/>
        </w:rPr>
        <w:t>C. Women’s ability to pass on citizenship to their children</w:t>
      </w:r>
    </w:p>
    <w:p w14:paraId="46E25062" w14:textId="77777777" w:rsidR="00702A21" w:rsidRDefault="00702A21">
      <w:pPr>
        <w:jc w:val="left"/>
        <w:rPr>
          <w:sz w:val="22"/>
          <w:szCs w:val="22"/>
        </w:rPr>
      </w:pPr>
    </w:p>
    <w:p w14:paraId="7332988A" w14:textId="77777777" w:rsidR="00702A21" w:rsidRDefault="00DD5C1A">
      <w:pPr>
        <w:jc w:val="left"/>
        <w:rPr>
          <w:sz w:val="22"/>
          <w:szCs w:val="22"/>
        </w:rPr>
      </w:pPr>
      <w:r>
        <w:rPr>
          <w:sz w:val="22"/>
          <w:szCs w:val="22"/>
        </w:rPr>
        <w:t>The Citizenship Act allows Bahraini mothers to only pass on their citizenship to their children under certain conditions, which are not applicable to Bahraini fathers. According to Article 4 Provision C, a person shall be deemed a Bahraini national if</w:t>
      </w:r>
    </w:p>
    <w:p w14:paraId="7712D746" w14:textId="77777777" w:rsidR="00702A21" w:rsidRDefault="00DD5C1A">
      <w:pPr>
        <w:ind w:left="720"/>
        <w:jc w:val="left"/>
        <w:rPr>
          <w:sz w:val="22"/>
          <w:szCs w:val="22"/>
        </w:rPr>
      </w:pPr>
      <w:r>
        <w:rPr>
          <w:sz w:val="22"/>
          <w:szCs w:val="22"/>
        </w:rPr>
        <w:t>“the</w:t>
      </w:r>
      <w:r>
        <w:rPr>
          <w:sz w:val="22"/>
          <w:szCs w:val="22"/>
        </w:rPr>
        <w:t>ir mother was Bahraini at the time of their birth, and the person's paternity is unknown or has not been legally established, or their father has no nationality, then they are considered Bahraini.”</w:t>
      </w:r>
      <w:r>
        <w:rPr>
          <w:sz w:val="22"/>
          <w:szCs w:val="22"/>
          <w:vertAlign w:val="superscript"/>
        </w:rPr>
        <w:footnoteReference w:id="47"/>
      </w:r>
    </w:p>
    <w:p w14:paraId="28D97D0F" w14:textId="77777777" w:rsidR="00702A21" w:rsidRDefault="00DD5C1A">
      <w:pPr>
        <w:jc w:val="left"/>
        <w:rPr>
          <w:sz w:val="22"/>
          <w:szCs w:val="22"/>
        </w:rPr>
      </w:pPr>
      <w:r>
        <w:rPr>
          <w:sz w:val="22"/>
          <w:szCs w:val="22"/>
        </w:rPr>
        <w:t>Thus, if the father were to have another nationality whi</w:t>
      </w:r>
      <w:r>
        <w:rPr>
          <w:sz w:val="22"/>
          <w:szCs w:val="22"/>
        </w:rPr>
        <w:t>le the mother held the Bahraini nationality, the child would not inherit Bahraini citizenship.</w:t>
      </w:r>
      <w:r>
        <w:rPr>
          <w:sz w:val="22"/>
          <w:szCs w:val="22"/>
          <w:vertAlign w:val="superscript"/>
        </w:rPr>
        <w:footnoteReference w:id="48"/>
      </w:r>
      <w:r>
        <w:rPr>
          <w:sz w:val="22"/>
          <w:szCs w:val="22"/>
        </w:rPr>
        <w:t xml:space="preserve"> As Bahraini society is centred on marriage, and being pregnant with or giving birth to a child whose father is unknown is socially unaccepted, this provision can be said to be rarely applicable in practice.</w:t>
      </w:r>
    </w:p>
    <w:p w14:paraId="3A9F8031" w14:textId="77777777" w:rsidR="00702A21" w:rsidRDefault="00702A21">
      <w:pPr>
        <w:jc w:val="left"/>
        <w:rPr>
          <w:sz w:val="22"/>
          <w:szCs w:val="22"/>
        </w:rPr>
      </w:pPr>
    </w:p>
    <w:p w14:paraId="1405A62E" w14:textId="77777777" w:rsidR="00702A21" w:rsidRDefault="00DD5C1A">
      <w:pPr>
        <w:jc w:val="left"/>
        <w:rPr>
          <w:sz w:val="22"/>
          <w:szCs w:val="22"/>
        </w:rPr>
      </w:pPr>
      <w:r>
        <w:rPr>
          <w:sz w:val="22"/>
          <w:szCs w:val="22"/>
        </w:rPr>
        <w:t xml:space="preserve">It must be noted that even though Bahraini Law </w:t>
      </w:r>
      <w:r>
        <w:rPr>
          <w:sz w:val="22"/>
          <w:szCs w:val="22"/>
        </w:rPr>
        <w:t xml:space="preserve">stipulates that when the father of the child is stateless, the woman has the ability to pass on her citizenship, this has never been used to grant citizenship to any of the children of individuals who have been stripped of their citizenship. </w:t>
      </w:r>
    </w:p>
    <w:p w14:paraId="37C4E60A" w14:textId="77777777" w:rsidR="00702A21" w:rsidRDefault="00702A21">
      <w:pPr>
        <w:jc w:val="left"/>
        <w:rPr>
          <w:sz w:val="22"/>
          <w:szCs w:val="22"/>
        </w:rPr>
      </w:pPr>
    </w:p>
    <w:p w14:paraId="17B9D15F" w14:textId="77777777" w:rsidR="00702A21" w:rsidRDefault="00DD5C1A">
      <w:pPr>
        <w:pStyle w:val="Heading2"/>
        <w:jc w:val="left"/>
        <w:rPr>
          <w:rFonts w:ascii="Arial" w:eastAsia="Arial" w:hAnsi="Arial" w:cs="Arial"/>
          <w:b/>
          <w:sz w:val="22"/>
          <w:szCs w:val="22"/>
        </w:rPr>
      </w:pPr>
      <w:bookmarkStart w:id="21" w:name="_7sm04mcqtyud" w:colFirst="0" w:colLast="0"/>
      <w:bookmarkEnd w:id="21"/>
      <w:r>
        <w:rPr>
          <w:rFonts w:ascii="Arial" w:eastAsia="Arial" w:hAnsi="Arial" w:cs="Arial"/>
          <w:b/>
          <w:sz w:val="22"/>
          <w:szCs w:val="22"/>
        </w:rPr>
        <w:t>3.2. Case st</w:t>
      </w:r>
      <w:r>
        <w:rPr>
          <w:rFonts w:ascii="Arial" w:eastAsia="Arial" w:hAnsi="Arial" w:cs="Arial"/>
          <w:b/>
          <w:sz w:val="22"/>
          <w:szCs w:val="22"/>
        </w:rPr>
        <w:t>udies of individuals and their children impacted</w:t>
      </w:r>
    </w:p>
    <w:p w14:paraId="4EA1E4C8" w14:textId="77777777" w:rsidR="00702A21" w:rsidRDefault="00702A21">
      <w:pPr>
        <w:jc w:val="left"/>
        <w:rPr>
          <w:sz w:val="22"/>
          <w:szCs w:val="22"/>
        </w:rPr>
      </w:pPr>
    </w:p>
    <w:p w14:paraId="33D29A22" w14:textId="77777777" w:rsidR="00702A21" w:rsidRDefault="00DD5C1A">
      <w:pPr>
        <w:jc w:val="left"/>
        <w:rPr>
          <w:b/>
          <w:sz w:val="22"/>
          <w:szCs w:val="22"/>
          <w:u w:val="single"/>
        </w:rPr>
      </w:pPr>
      <w:r>
        <w:rPr>
          <w:b/>
          <w:sz w:val="22"/>
          <w:szCs w:val="22"/>
          <w:u w:val="single"/>
        </w:rPr>
        <w:t>A.  Sayed Ahmed Alwadaei, 36 (DoB 3 July 1986), residing in the UK</w:t>
      </w:r>
    </w:p>
    <w:p w14:paraId="316FDD26" w14:textId="77777777" w:rsidR="00702A21" w:rsidRDefault="00702A21">
      <w:pPr>
        <w:jc w:val="left"/>
        <w:rPr>
          <w:sz w:val="22"/>
          <w:szCs w:val="22"/>
        </w:rPr>
      </w:pPr>
    </w:p>
    <w:p w14:paraId="2B83C9A1" w14:textId="77777777" w:rsidR="00702A21" w:rsidRDefault="00DD5C1A">
      <w:pPr>
        <w:jc w:val="left"/>
        <w:rPr>
          <w:sz w:val="22"/>
          <w:szCs w:val="22"/>
        </w:rPr>
      </w:pPr>
      <w:r>
        <w:rPr>
          <w:sz w:val="22"/>
          <w:szCs w:val="22"/>
        </w:rPr>
        <w:t>Sayed Ahmed Alwadaei was stripped of his citizenship through a royal decree signed by the King of Bahrain.</w:t>
      </w:r>
      <w:r>
        <w:rPr>
          <w:sz w:val="22"/>
          <w:szCs w:val="22"/>
          <w:vertAlign w:val="superscript"/>
        </w:rPr>
        <w:footnoteReference w:id="49"/>
      </w:r>
      <w:r>
        <w:rPr>
          <w:sz w:val="22"/>
          <w:szCs w:val="22"/>
        </w:rPr>
        <w:t xml:space="preserve"> Since 2012, Sayed has been gr</w:t>
      </w:r>
      <w:r>
        <w:rPr>
          <w:sz w:val="22"/>
          <w:szCs w:val="22"/>
        </w:rPr>
        <w:t xml:space="preserve">anted a recognised refugee status, in light </w:t>
      </w:r>
      <w:r>
        <w:rPr>
          <w:sz w:val="22"/>
          <w:szCs w:val="22"/>
        </w:rPr>
        <w:lastRenderedPageBreak/>
        <w:t xml:space="preserve">of which his ability to travel was not impacted. However, between 2017 and 2019, his change in immigration status prevented him from travelling for two years. </w:t>
      </w:r>
    </w:p>
    <w:p w14:paraId="79DB029F" w14:textId="77777777" w:rsidR="00702A21" w:rsidRDefault="00702A21">
      <w:pPr>
        <w:jc w:val="left"/>
        <w:rPr>
          <w:sz w:val="22"/>
          <w:szCs w:val="22"/>
        </w:rPr>
      </w:pPr>
    </w:p>
    <w:p w14:paraId="6200857F" w14:textId="77777777" w:rsidR="00702A21" w:rsidRDefault="00DD5C1A">
      <w:pPr>
        <w:jc w:val="left"/>
        <w:rPr>
          <w:sz w:val="22"/>
          <w:szCs w:val="22"/>
        </w:rPr>
      </w:pPr>
      <w:r>
        <w:rPr>
          <w:sz w:val="22"/>
          <w:szCs w:val="22"/>
        </w:rPr>
        <w:t>In November 2017, Sayed’s daughter was born statele</w:t>
      </w:r>
      <w:r>
        <w:rPr>
          <w:sz w:val="22"/>
          <w:szCs w:val="22"/>
        </w:rPr>
        <w:t>ss, despite the fact that her mother is a Bahraini citizen.</w:t>
      </w:r>
      <w:r>
        <w:rPr>
          <w:sz w:val="22"/>
          <w:szCs w:val="22"/>
          <w:vertAlign w:val="superscript"/>
        </w:rPr>
        <w:footnoteReference w:id="50"/>
      </w:r>
      <w:r>
        <w:rPr>
          <w:sz w:val="22"/>
          <w:szCs w:val="22"/>
        </w:rPr>
        <w:t xml:space="preserve"> For three years and ten months, Sayed’s daughter remained stateless until she was granted citizenship in the UK in September 2021. During this time, the child did not have a travel document or p</w:t>
      </w:r>
      <w:r>
        <w:rPr>
          <w:sz w:val="22"/>
          <w:szCs w:val="22"/>
        </w:rPr>
        <w:t xml:space="preserve">assport and was not able to leave Britain. </w:t>
      </w:r>
    </w:p>
    <w:p w14:paraId="490E3D2A" w14:textId="77777777" w:rsidR="00702A21" w:rsidRDefault="00702A21">
      <w:pPr>
        <w:jc w:val="left"/>
        <w:rPr>
          <w:sz w:val="22"/>
          <w:szCs w:val="22"/>
        </w:rPr>
      </w:pPr>
    </w:p>
    <w:p w14:paraId="424D60E7" w14:textId="77777777" w:rsidR="00702A21" w:rsidRDefault="00702A21">
      <w:pPr>
        <w:jc w:val="left"/>
        <w:rPr>
          <w:sz w:val="22"/>
          <w:szCs w:val="22"/>
        </w:rPr>
      </w:pPr>
    </w:p>
    <w:p w14:paraId="2D8B664B" w14:textId="77777777" w:rsidR="00702A21" w:rsidRDefault="00DD5C1A">
      <w:pPr>
        <w:jc w:val="left"/>
        <w:rPr>
          <w:b/>
          <w:sz w:val="22"/>
          <w:szCs w:val="22"/>
          <w:u w:val="single"/>
        </w:rPr>
      </w:pPr>
      <w:r>
        <w:rPr>
          <w:b/>
          <w:sz w:val="22"/>
          <w:szCs w:val="22"/>
          <w:u w:val="single"/>
        </w:rPr>
        <w:t>B. Saber Ali Ahmed Manssor Alsalatena, 46 (DoB 17 January 1976), residing in the UK</w:t>
      </w:r>
    </w:p>
    <w:p w14:paraId="57E0260F" w14:textId="77777777" w:rsidR="00702A21" w:rsidRDefault="00702A21">
      <w:pPr>
        <w:jc w:val="left"/>
        <w:rPr>
          <w:b/>
          <w:sz w:val="22"/>
          <w:szCs w:val="22"/>
          <w:u w:val="single"/>
        </w:rPr>
      </w:pPr>
    </w:p>
    <w:p w14:paraId="4D20ECFB" w14:textId="77777777" w:rsidR="00702A21" w:rsidRDefault="00DD5C1A">
      <w:pPr>
        <w:jc w:val="left"/>
        <w:rPr>
          <w:sz w:val="22"/>
          <w:szCs w:val="22"/>
        </w:rPr>
      </w:pPr>
      <w:r>
        <w:rPr>
          <w:sz w:val="22"/>
          <w:szCs w:val="22"/>
        </w:rPr>
        <w:t>Saber is a political and human rights activist who was granted asylum in the United Kingdom in 2012. On September 29, 2013, S</w:t>
      </w:r>
      <w:r>
        <w:rPr>
          <w:sz w:val="22"/>
          <w:szCs w:val="22"/>
        </w:rPr>
        <w:t>aber was convicted in absentia in an unfair trial that was internationally criticized, involving 50 defendants on terrorism-related charges and sentenced to 15 years in prison.</w:t>
      </w:r>
      <w:r>
        <w:rPr>
          <w:sz w:val="22"/>
          <w:szCs w:val="22"/>
          <w:vertAlign w:val="superscript"/>
        </w:rPr>
        <w:footnoteReference w:id="51"/>
      </w:r>
      <w:r>
        <w:rPr>
          <w:sz w:val="22"/>
          <w:szCs w:val="22"/>
        </w:rPr>
        <w:t xml:space="preserve"> </w:t>
      </w:r>
    </w:p>
    <w:p w14:paraId="033049BB" w14:textId="77777777" w:rsidR="00702A21" w:rsidRDefault="00702A21">
      <w:pPr>
        <w:jc w:val="left"/>
        <w:rPr>
          <w:sz w:val="22"/>
          <w:szCs w:val="22"/>
        </w:rPr>
      </w:pPr>
    </w:p>
    <w:p w14:paraId="6E8937AA" w14:textId="77777777" w:rsidR="00702A21" w:rsidRDefault="00DD5C1A">
      <w:pPr>
        <w:jc w:val="left"/>
        <w:rPr>
          <w:sz w:val="22"/>
          <w:szCs w:val="22"/>
        </w:rPr>
      </w:pPr>
      <w:r>
        <w:rPr>
          <w:sz w:val="22"/>
          <w:szCs w:val="22"/>
        </w:rPr>
        <w:t>On January 29, 2015, he was stripped of his citizenship through the royal d</w:t>
      </w:r>
      <w:r>
        <w:rPr>
          <w:sz w:val="22"/>
          <w:szCs w:val="22"/>
        </w:rPr>
        <w:t>ecree mentioned above, revoking the citizenship of 72 individuals. A few days before his citizenship revocation, Saber’s daughter Zahra Saber Ali Alsalatena was born on January 10, 2015. However, she was not granted the Bahraini citizenship, and since then</w:t>
      </w:r>
      <w:r>
        <w:rPr>
          <w:sz w:val="22"/>
          <w:szCs w:val="22"/>
        </w:rPr>
        <w:t xml:space="preserve"> has remained a stateless child. </w:t>
      </w:r>
    </w:p>
    <w:p w14:paraId="21295F76" w14:textId="77777777" w:rsidR="00702A21" w:rsidRDefault="00702A21">
      <w:pPr>
        <w:jc w:val="left"/>
        <w:rPr>
          <w:sz w:val="22"/>
          <w:szCs w:val="22"/>
        </w:rPr>
      </w:pPr>
    </w:p>
    <w:p w14:paraId="4B3FEF3C" w14:textId="77777777" w:rsidR="00702A21" w:rsidRDefault="00DD5C1A">
      <w:pPr>
        <w:jc w:val="left"/>
        <w:rPr>
          <w:sz w:val="22"/>
          <w:szCs w:val="22"/>
        </w:rPr>
      </w:pPr>
      <w:r>
        <w:rPr>
          <w:sz w:val="22"/>
          <w:szCs w:val="22"/>
        </w:rPr>
        <w:t xml:space="preserve">Saber and his 8-year-old daughter Zahra both remain stateless at the time of this submission. </w:t>
      </w:r>
    </w:p>
    <w:p w14:paraId="6EC9A191" w14:textId="77777777" w:rsidR="00702A21" w:rsidRDefault="00702A21">
      <w:pPr>
        <w:jc w:val="left"/>
        <w:rPr>
          <w:sz w:val="22"/>
          <w:szCs w:val="22"/>
        </w:rPr>
      </w:pPr>
    </w:p>
    <w:p w14:paraId="48483089" w14:textId="77777777" w:rsidR="00702A21" w:rsidRDefault="00702A21">
      <w:pPr>
        <w:jc w:val="left"/>
        <w:rPr>
          <w:sz w:val="22"/>
          <w:szCs w:val="22"/>
        </w:rPr>
      </w:pPr>
    </w:p>
    <w:p w14:paraId="147AD129" w14:textId="77777777" w:rsidR="00702A21" w:rsidRDefault="00DD5C1A">
      <w:pPr>
        <w:jc w:val="left"/>
        <w:rPr>
          <w:b/>
          <w:sz w:val="22"/>
          <w:szCs w:val="22"/>
          <w:u w:val="single"/>
        </w:rPr>
      </w:pPr>
      <w:r>
        <w:rPr>
          <w:b/>
          <w:sz w:val="22"/>
          <w:szCs w:val="22"/>
          <w:u w:val="single"/>
        </w:rPr>
        <w:t>C. Mahmood Naser Juma Mushaima, 39 (DoB 10 April 1984), residing in Iran</w:t>
      </w:r>
    </w:p>
    <w:p w14:paraId="46B6E01F" w14:textId="77777777" w:rsidR="00702A21" w:rsidRDefault="00702A21">
      <w:pPr>
        <w:jc w:val="left"/>
        <w:rPr>
          <w:b/>
          <w:sz w:val="22"/>
          <w:szCs w:val="22"/>
          <w:u w:val="single"/>
        </w:rPr>
      </w:pPr>
    </w:p>
    <w:p w14:paraId="70C0D103" w14:textId="77777777" w:rsidR="00702A21" w:rsidRDefault="00DD5C1A">
      <w:pPr>
        <w:jc w:val="left"/>
        <w:rPr>
          <w:sz w:val="22"/>
          <w:szCs w:val="22"/>
        </w:rPr>
      </w:pPr>
      <w:r>
        <w:rPr>
          <w:sz w:val="22"/>
          <w:szCs w:val="22"/>
        </w:rPr>
        <w:t xml:space="preserve">Mahmood Mushaima, currently residing in the Islamic Republic of Iran, was initially stripped of his citizenship in January 2015. He was tried in absentia on multiple cases including </w:t>
      </w:r>
      <w:r>
        <w:rPr>
          <w:sz w:val="22"/>
          <w:szCs w:val="22"/>
        </w:rPr>
        <w:t xml:space="preserve">a case where he was sentenced to life imprisonment on April 25, 2017. As part of this case, his citizenship was revoked by the court.  </w:t>
      </w:r>
    </w:p>
    <w:p w14:paraId="301F526F" w14:textId="77777777" w:rsidR="00702A21" w:rsidRDefault="00702A21">
      <w:pPr>
        <w:jc w:val="left"/>
        <w:rPr>
          <w:sz w:val="22"/>
          <w:szCs w:val="22"/>
          <w:shd w:val="clear" w:color="auto" w:fill="FCE5CD"/>
        </w:rPr>
      </w:pPr>
    </w:p>
    <w:p w14:paraId="3CAA26FE" w14:textId="77777777" w:rsidR="00702A21" w:rsidRDefault="00DD5C1A">
      <w:pPr>
        <w:jc w:val="left"/>
        <w:rPr>
          <w:sz w:val="22"/>
          <w:szCs w:val="22"/>
        </w:rPr>
      </w:pPr>
      <w:r>
        <w:rPr>
          <w:sz w:val="22"/>
          <w:szCs w:val="22"/>
        </w:rPr>
        <w:t xml:space="preserve">Mahmood’s son, Mujtaba was born on August 15, 2016, as a stateless child. He is now 6 years and 10 months old. He does </w:t>
      </w:r>
      <w:r>
        <w:rPr>
          <w:sz w:val="22"/>
          <w:szCs w:val="22"/>
        </w:rPr>
        <w:t>not have a passport or a travel document that would allow him to leave Iran, where he is currently residing. There is no legal route for Mujtaba to obtain Iranian citizenship and he remains stranded as a stateless minor in Iran. Although his mother is a Ba</w:t>
      </w:r>
      <w:r>
        <w:rPr>
          <w:sz w:val="22"/>
          <w:szCs w:val="22"/>
        </w:rPr>
        <w:t xml:space="preserve">hraini national, she is unable to pass on her citizenship to him directly. </w:t>
      </w:r>
    </w:p>
    <w:p w14:paraId="66A6C0BA" w14:textId="77777777" w:rsidR="00702A21" w:rsidRDefault="00702A21">
      <w:pPr>
        <w:jc w:val="left"/>
        <w:rPr>
          <w:sz w:val="22"/>
          <w:szCs w:val="22"/>
          <w:shd w:val="clear" w:color="auto" w:fill="FCE5CD"/>
        </w:rPr>
      </w:pPr>
    </w:p>
    <w:p w14:paraId="263C9356" w14:textId="77777777" w:rsidR="00702A21" w:rsidRDefault="00DD5C1A">
      <w:pPr>
        <w:jc w:val="left"/>
        <w:rPr>
          <w:sz w:val="22"/>
          <w:szCs w:val="22"/>
        </w:rPr>
      </w:pPr>
      <w:r>
        <w:rPr>
          <w:sz w:val="22"/>
          <w:szCs w:val="22"/>
        </w:rPr>
        <w:t>Mahmoud’s daughter, Fatema Mahmood Naser Jaafar Naser Mushaima, aged 16 (DoB: 23 May, 2007), has faced numerous challenges in renewing her passport and residency documents followi</w:t>
      </w:r>
      <w:r>
        <w:rPr>
          <w:sz w:val="22"/>
          <w:szCs w:val="22"/>
        </w:rPr>
        <w:t xml:space="preserve">ng Mahmoud’s citizenship revocation. In 2016, Fatema first interacted with </w:t>
      </w:r>
      <w:r>
        <w:rPr>
          <w:sz w:val="22"/>
          <w:szCs w:val="22"/>
        </w:rPr>
        <w:lastRenderedPageBreak/>
        <w:t>the authorities to renew her National ID card during a visit to the country. She was informed that her information was not found in the central information system. She was then told</w:t>
      </w:r>
      <w:r>
        <w:rPr>
          <w:sz w:val="22"/>
          <w:szCs w:val="22"/>
        </w:rPr>
        <w:t xml:space="preserve"> that this was a result of her father’s revocation of citizenship. After several inquiries, her information was restored and her national ID was renewed.</w:t>
      </w:r>
    </w:p>
    <w:p w14:paraId="7CED1611" w14:textId="77777777" w:rsidR="00702A21" w:rsidRDefault="00702A21">
      <w:pPr>
        <w:jc w:val="left"/>
        <w:rPr>
          <w:sz w:val="22"/>
          <w:szCs w:val="22"/>
          <w:shd w:val="clear" w:color="auto" w:fill="FCE5CD"/>
        </w:rPr>
      </w:pPr>
    </w:p>
    <w:p w14:paraId="2E74837C" w14:textId="77777777" w:rsidR="00702A21" w:rsidRDefault="00DD5C1A">
      <w:pPr>
        <w:jc w:val="left"/>
        <w:rPr>
          <w:sz w:val="22"/>
          <w:szCs w:val="22"/>
        </w:rPr>
      </w:pPr>
      <w:r>
        <w:rPr>
          <w:sz w:val="22"/>
          <w:szCs w:val="22"/>
        </w:rPr>
        <w:t>In the summer of 2017, Fatema returned to Bahrain with a relative to renew her passport. Mahmood lear</w:t>
      </w:r>
      <w:r>
        <w:rPr>
          <w:sz w:val="22"/>
          <w:szCs w:val="22"/>
        </w:rPr>
        <w:t>ned from a hired passport renewal agent (</w:t>
      </w:r>
      <w:r>
        <w:rPr>
          <w:sz w:val="22"/>
          <w:szCs w:val="22"/>
          <w:rtl/>
        </w:rPr>
        <w:t>مخلص معاملات</w:t>
      </w:r>
      <w:r>
        <w:rPr>
          <w:sz w:val="22"/>
          <w:szCs w:val="22"/>
        </w:rPr>
        <w:t>) that if Fatema was to submit her passport, it would be confiscated by the authorities because there was a note on the system ordering the confiscation. Fearing the possibility of being stranded in Bahr</w:t>
      </w:r>
      <w:r>
        <w:rPr>
          <w:sz w:val="22"/>
          <w:szCs w:val="22"/>
        </w:rPr>
        <w:t xml:space="preserve">ain while her family was in Iran, Fatema fled to Iran immediately.  </w:t>
      </w:r>
    </w:p>
    <w:p w14:paraId="46E508E2" w14:textId="77777777" w:rsidR="00702A21" w:rsidRDefault="00702A21">
      <w:pPr>
        <w:jc w:val="left"/>
        <w:rPr>
          <w:sz w:val="22"/>
          <w:szCs w:val="22"/>
        </w:rPr>
      </w:pPr>
    </w:p>
    <w:p w14:paraId="5B92A1F6" w14:textId="77777777" w:rsidR="00702A21" w:rsidRDefault="00DD5C1A">
      <w:pPr>
        <w:jc w:val="left"/>
        <w:rPr>
          <w:sz w:val="22"/>
          <w:szCs w:val="22"/>
        </w:rPr>
      </w:pPr>
      <w:r>
        <w:rPr>
          <w:sz w:val="22"/>
          <w:szCs w:val="22"/>
        </w:rPr>
        <w:t xml:space="preserve">On January 6, 2018, Fatema’s passport expired. Furthermore, on 14 September 2020, her Bahraini ID expired as well, since which time she has had no valid official Bahraini documents. </w:t>
      </w:r>
    </w:p>
    <w:p w14:paraId="235C4EBC" w14:textId="77777777" w:rsidR="00702A21" w:rsidRDefault="00702A21">
      <w:pPr>
        <w:jc w:val="left"/>
        <w:rPr>
          <w:sz w:val="22"/>
          <w:szCs w:val="22"/>
        </w:rPr>
      </w:pPr>
    </w:p>
    <w:p w14:paraId="27453925" w14:textId="77777777" w:rsidR="00702A21" w:rsidRDefault="00DD5C1A">
      <w:pPr>
        <w:jc w:val="left"/>
        <w:rPr>
          <w:sz w:val="22"/>
          <w:szCs w:val="22"/>
        </w:rPr>
      </w:pPr>
      <w:r>
        <w:rPr>
          <w:sz w:val="22"/>
          <w:szCs w:val="22"/>
        </w:rPr>
        <w:t>Ma</w:t>
      </w:r>
      <w:r>
        <w:rPr>
          <w:sz w:val="22"/>
          <w:szCs w:val="22"/>
        </w:rPr>
        <w:t xml:space="preserve">hmood’s entire family suffers the consequences of this continued persecution. Fearing the repercussion of being stranded if they returned to Bahrain, the family has had no way to obtain documents for their children. </w:t>
      </w:r>
    </w:p>
    <w:p w14:paraId="25AE18C9" w14:textId="77777777" w:rsidR="00702A21" w:rsidRDefault="00702A21">
      <w:pPr>
        <w:jc w:val="left"/>
        <w:rPr>
          <w:sz w:val="22"/>
          <w:szCs w:val="22"/>
        </w:rPr>
      </w:pPr>
    </w:p>
    <w:p w14:paraId="22F9906B" w14:textId="77777777" w:rsidR="00702A21" w:rsidRDefault="00702A21">
      <w:pPr>
        <w:jc w:val="left"/>
        <w:rPr>
          <w:sz w:val="22"/>
          <w:szCs w:val="22"/>
        </w:rPr>
      </w:pPr>
    </w:p>
    <w:p w14:paraId="5B261197" w14:textId="77777777" w:rsidR="00702A21" w:rsidRDefault="00DD5C1A">
      <w:pPr>
        <w:jc w:val="left"/>
        <w:rPr>
          <w:b/>
          <w:sz w:val="22"/>
          <w:szCs w:val="22"/>
          <w:u w:val="single"/>
        </w:rPr>
      </w:pPr>
      <w:r>
        <w:rPr>
          <w:b/>
          <w:sz w:val="22"/>
          <w:szCs w:val="22"/>
          <w:u w:val="single"/>
        </w:rPr>
        <w:t xml:space="preserve">D. Ahmed Jaafar Mohamad Ali, 49 (DoB </w:t>
      </w:r>
      <w:r>
        <w:rPr>
          <w:b/>
          <w:sz w:val="22"/>
          <w:szCs w:val="22"/>
          <w:u w:val="single"/>
        </w:rPr>
        <w:t>19 December 1973), imprisoned in Jau Prison (Bahrain)</w:t>
      </w:r>
    </w:p>
    <w:p w14:paraId="5E7DBAF3" w14:textId="77777777" w:rsidR="00702A21" w:rsidRDefault="00702A21">
      <w:pPr>
        <w:jc w:val="left"/>
        <w:rPr>
          <w:sz w:val="22"/>
          <w:szCs w:val="22"/>
          <w:shd w:val="clear" w:color="auto" w:fill="F4CCCC"/>
        </w:rPr>
      </w:pPr>
    </w:p>
    <w:p w14:paraId="1879E81A" w14:textId="77777777" w:rsidR="00702A21" w:rsidRDefault="00DD5C1A">
      <w:pPr>
        <w:jc w:val="left"/>
        <w:rPr>
          <w:sz w:val="22"/>
          <w:szCs w:val="22"/>
        </w:rPr>
      </w:pPr>
      <w:r>
        <w:rPr>
          <w:sz w:val="22"/>
          <w:szCs w:val="22"/>
        </w:rPr>
        <w:t>On January 24, 2022, Ahmed Jaafar was unlawfully extradited from Serbia to Bahrain. Ahmed had been tried in absentia in multiple cases dating back to 2015. In two of these cases, pertaining to February and June 2015 respectively, Ahmed’s citizenship had be</w:t>
      </w:r>
      <w:r>
        <w:rPr>
          <w:sz w:val="22"/>
          <w:szCs w:val="22"/>
        </w:rPr>
        <w:t xml:space="preserve">en revoked by the Bahraini court.  However, following his forced return and subsequent retrial of these cases, his citizenship was reinstated in 2022 by a Bahraini judge. A breakdown of his convictions and retrial outcome is </w:t>
      </w:r>
      <w:hyperlink r:id="rId9">
        <w:r>
          <w:rPr>
            <w:sz w:val="22"/>
            <w:szCs w:val="22"/>
            <w:u w:val="single"/>
          </w:rPr>
          <w:t>here</w:t>
        </w:r>
      </w:hyperlink>
      <w:r>
        <w:rPr>
          <w:sz w:val="22"/>
          <w:szCs w:val="22"/>
        </w:rPr>
        <w:t>.</w:t>
      </w:r>
    </w:p>
    <w:p w14:paraId="17C9EF89" w14:textId="77777777" w:rsidR="00702A21" w:rsidRDefault="00702A21">
      <w:pPr>
        <w:jc w:val="left"/>
        <w:rPr>
          <w:sz w:val="22"/>
          <w:szCs w:val="22"/>
        </w:rPr>
      </w:pPr>
    </w:p>
    <w:p w14:paraId="38F71630" w14:textId="77777777" w:rsidR="00702A21" w:rsidRDefault="00DD5C1A">
      <w:pPr>
        <w:jc w:val="left"/>
        <w:rPr>
          <w:sz w:val="22"/>
          <w:szCs w:val="22"/>
        </w:rPr>
      </w:pPr>
      <w:r>
        <w:rPr>
          <w:sz w:val="22"/>
          <w:szCs w:val="22"/>
        </w:rPr>
        <w:t>Although his case appears to have concluded in Bahraini courts with the completion of the retrial, and his citizenship has been reinstated in the two cases pert</w:t>
      </w:r>
      <w:r>
        <w:rPr>
          <w:sz w:val="22"/>
          <w:szCs w:val="22"/>
        </w:rPr>
        <w:t>aining to the court revocations, his status remains unknown. This is because Ahmed’s citizenship was also stripped by royal decree in January 2015. Seeing as none of the other 71 individuals have had their citizenship reinstated, Ahmed’s fate remains unkno</w:t>
      </w:r>
      <w:r>
        <w:rPr>
          <w:sz w:val="22"/>
          <w:szCs w:val="22"/>
        </w:rPr>
        <w:t xml:space="preserve">wn. </w:t>
      </w:r>
    </w:p>
    <w:p w14:paraId="7A1B0AD9" w14:textId="77777777" w:rsidR="00702A21" w:rsidRDefault="00702A21">
      <w:pPr>
        <w:jc w:val="left"/>
        <w:rPr>
          <w:sz w:val="22"/>
          <w:szCs w:val="22"/>
        </w:rPr>
      </w:pPr>
    </w:p>
    <w:p w14:paraId="7A7C17BF" w14:textId="77777777" w:rsidR="00702A21" w:rsidRDefault="00DD5C1A">
      <w:pPr>
        <w:jc w:val="left"/>
        <w:rPr>
          <w:sz w:val="22"/>
          <w:szCs w:val="22"/>
        </w:rPr>
      </w:pPr>
      <w:r>
        <w:rPr>
          <w:sz w:val="22"/>
          <w:szCs w:val="22"/>
        </w:rPr>
        <w:t>In February 2022, the UN Special Procedures raised the issue of citizenship revocation with the Bahraini authorities.</w:t>
      </w:r>
      <w:r>
        <w:rPr>
          <w:sz w:val="22"/>
          <w:szCs w:val="22"/>
          <w:vertAlign w:val="superscript"/>
        </w:rPr>
        <w:footnoteReference w:id="52"/>
      </w:r>
      <w:r>
        <w:rPr>
          <w:sz w:val="22"/>
          <w:szCs w:val="22"/>
        </w:rPr>
        <w:t xml:space="preserve"> In a response on 16 May 2022, the Bahraini authorities claimed that “the said person’s legal status following the withdrawal of hi</w:t>
      </w:r>
      <w:r>
        <w:rPr>
          <w:sz w:val="22"/>
          <w:szCs w:val="22"/>
        </w:rPr>
        <w:t>s citizenship is in line with the applicable national legislation. Accordingly, he enjoys all civil rights but is unable to exercise political rights.”</w:t>
      </w:r>
      <w:r>
        <w:rPr>
          <w:sz w:val="22"/>
          <w:szCs w:val="22"/>
          <w:vertAlign w:val="superscript"/>
        </w:rPr>
        <w:footnoteReference w:id="53"/>
      </w:r>
      <w:r>
        <w:rPr>
          <w:sz w:val="22"/>
          <w:szCs w:val="22"/>
        </w:rPr>
        <w:t xml:space="preserve"> </w:t>
      </w:r>
    </w:p>
    <w:p w14:paraId="05A7F067" w14:textId="77777777" w:rsidR="00702A21" w:rsidRDefault="00702A21">
      <w:pPr>
        <w:jc w:val="left"/>
        <w:rPr>
          <w:sz w:val="22"/>
          <w:szCs w:val="22"/>
        </w:rPr>
      </w:pPr>
    </w:p>
    <w:p w14:paraId="16BE5632" w14:textId="77777777" w:rsidR="00702A21" w:rsidRDefault="00DD5C1A">
      <w:pPr>
        <w:jc w:val="left"/>
        <w:rPr>
          <w:sz w:val="22"/>
          <w:szCs w:val="22"/>
        </w:rPr>
      </w:pPr>
      <w:r>
        <w:rPr>
          <w:sz w:val="22"/>
          <w:szCs w:val="22"/>
        </w:rPr>
        <w:t>Ahmed Jaafar’s family is suffering from the consequences of the nationality revocation. Despite the government’s claims that his civil rights are not impacted, Ahmed’s application for a housing unit can only be made by the husband under Bahrain’s system. T</w:t>
      </w:r>
      <w:r>
        <w:rPr>
          <w:sz w:val="22"/>
          <w:szCs w:val="22"/>
        </w:rPr>
        <w:t xml:space="preserve">his situation </w:t>
      </w:r>
      <w:r>
        <w:rPr>
          <w:sz w:val="22"/>
          <w:szCs w:val="22"/>
        </w:rPr>
        <w:lastRenderedPageBreak/>
        <w:t xml:space="preserve">has resulted in the loss of 18 years spent on a waiting list to receive a government-provided house or for his family to be provided with housing compensation for renting which is 100 dinar per month. Ahmed had submitted a housing request in </w:t>
      </w:r>
      <w:r>
        <w:rPr>
          <w:sz w:val="22"/>
          <w:szCs w:val="22"/>
        </w:rPr>
        <w:t>2000, and his family stated that citizens who applied in the same year had already received the housing unit.</w:t>
      </w:r>
    </w:p>
    <w:p w14:paraId="1EFD672D" w14:textId="77777777" w:rsidR="00702A21" w:rsidRDefault="00702A21">
      <w:pPr>
        <w:jc w:val="left"/>
        <w:rPr>
          <w:sz w:val="22"/>
          <w:szCs w:val="22"/>
        </w:rPr>
      </w:pPr>
    </w:p>
    <w:p w14:paraId="7A6BE6DC" w14:textId="77777777" w:rsidR="00702A21" w:rsidRDefault="00DD5C1A">
      <w:pPr>
        <w:jc w:val="left"/>
        <w:rPr>
          <w:sz w:val="22"/>
          <w:szCs w:val="22"/>
        </w:rPr>
      </w:pPr>
      <w:r>
        <w:rPr>
          <w:sz w:val="22"/>
          <w:szCs w:val="22"/>
        </w:rPr>
        <w:t>Ahmed has four children, including two under the age of 14. His son Jaafar, 13, is autistic. Jaafar attends a specialized institute for individua</w:t>
      </w:r>
      <w:r>
        <w:rPr>
          <w:sz w:val="22"/>
          <w:szCs w:val="22"/>
        </w:rPr>
        <w:t>ls with special educational needs and autism. The monthly tuition fee is 220 dinars, and transportation costs 50 dinars, totalling 270 dinars. Additionally, Jaafar requires extra afternoon sessions to work on behaviour modification, which costs 80 dinars p</w:t>
      </w:r>
      <w:r>
        <w:rPr>
          <w:sz w:val="22"/>
          <w:szCs w:val="22"/>
        </w:rPr>
        <w:t xml:space="preserve">er month, bringing the total to 350 dinars. His family said they are only allowed 100 dinars of support for Jaafar’s condition (disability allowance) from the government. </w:t>
      </w:r>
    </w:p>
    <w:p w14:paraId="18848AFF" w14:textId="77777777" w:rsidR="00702A21" w:rsidRDefault="00702A21">
      <w:pPr>
        <w:jc w:val="left"/>
        <w:rPr>
          <w:sz w:val="22"/>
          <w:szCs w:val="22"/>
        </w:rPr>
      </w:pPr>
    </w:p>
    <w:p w14:paraId="2FD522E4" w14:textId="77777777" w:rsidR="00702A21" w:rsidRDefault="00DD5C1A">
      <w:pPr>
        <w:jc w:val="left"/>
        <w:rPr>
          <w:strike/>
          <w:sz w:val="22"/>
          <w:szCs w:val="22"/>
        </w:rPr>
      </w:pPr>
      <w:r>
        <w:rPr>
          <w:sz w:val="22"/>
          <w:szCs w:val="22"/>
        </w:rPr>
        <w:t>The government disability allowance doesn’t cover the additional education costs, i</w:t>
      </w:r>
      <w:r>
        <w:rPr>
          <w:sz w:val="22"/>
          <w:szCs w:val="22"/>
        </w:rPr>
        <w:t xml:space="preserve">ncluding transportation. The government’s actions on Jaafar’s case are not consistent with their promise to provide citizens with disabilities with “Free care, rehabilitation, treatment, and education” </w:t>
      </w:r>
      <w:r>
        <w:rPr>
          <w:sz w:val="22"/>
          <w:szCs w:val="22"/>
          <w:vertAlign w:val="superscript"/>
        </w:rPr>
        <w:footnoteReference w:id="54"/>
      </w:r>
      <w:r>
        <w:rPr>
          <w:sz w:val="22"/>
          <w:szCs w:val="22"/>
        </w:rPr>
        <w:t xml:space="preserve"> In summary, Ahmed’s family suffers from financial d</w:t>
      </w:r>
      <w:r>
        <w:rPr>
          <w:sz w:val="22"/>
          <w:szCs w:val="22"/>
        </w:rPr>
        <w:t xml:space="preserve">ifficulties in accessing government’s financial support and housing, despite needing further support due to his son’s diagnosis.  </w:t>
      </w:r>
    </w:p>
    <w:p w14:paraId="1EA85EE5" w14:textId="77777777" w:rsidR="00702A21" w:rsidRDefault="00702A21">
      <w:pPr>
        <w:jc w:val="left"/>
        <w:rPr>
          <w:sz w:val="22"/>
          <w:szCs w:val="22"/>
        </w:rPr>
      </w:pPr>
    </w:p>
    <w:p w14:paraId="3C4D3768" w14:textId="77777777" w:rsidR="00702A21" w:rsidRDefault="00DD5C1A">
      <w:pPr>
        <w:pStyle w:val="Heading2"/>
        <w:jc w:val="left"/>
        <w:rPr>
          <w:rFonts w:ascii="Arial" w:eastAsia="Arial" w:hAnsi="Arial" w:cs="Arial"/>
          <w:sz w:val="22"/>
          <w:szCs w:val="22"/>
        </w:rPr>
      </w:pPr>
      <w:bookmarkStart w:id="22" w:name="_irj7frqkkhhx" w:colFirst="0" w:colLast="0"/>
      <w:bookmarkEnd w:id="22"/>
      <w:r>
        <w:rPr>
          <w:rFonts w:ascii="Arial" w:eastAsia="Arial" w:hAnsi="Arial" w:cs="Arial"/>
          <w:sz w:val="22"/>
          <w:szCs w:val="22"/>
        </w:rPr>
        <w:t>3.3. UPR recommendations</w:t>
      </w:r>
    </w:p>
    <w:p w14:paraId="79535DCE" w14:textId="77777777" w:rsidR="00702A21" w:rsidRDefault="00702A21">
      <w:pPr>
        <w:jc w:val="left"/>
        <w:rPr>
          <w:sz w:val="22"/>
          <w:szCs w:val="22"/>
        </w:rPr>
      </w:pPr>
    </w:p>
    <w:p w14:paraId="0E429D8D" w14:textId="77777777" w:rsidR="00702A21" w:rsidRDefault="00DD5C1A">
      <w:pPr>
        <w:jc w:val="left"/>
        <w:rPr>
          <w:sz w:val="22"/>
          <w:szCs w:val="22"/>
        </w:rPr>
      </w:pPr>
      <w:r>
        <w:rPr>
          <w:sz w:val="22"/>
          <w:szCs w:val="22"/>
        </w:rPr>
        <w:t>In the UPR Fourth Cycle, Bahrain received recommendations concerning the issue of revocation of ci</w:t>
      </w:r>
      <w:r>
        <w:rPr>
          <w:sz w:val="22"/>
          <w:szCs w:val="22"/>
        </w:rPr>
        <w:t xml:space="preserve">tizenship by Norway and Iran, respectively. In its official response, “The Kingdom of Bahrain also emphasises that there are no stateless individuals in the Kingdom of Bahrain”—a statement which is clearly untrue. </w:t>
      </w:r>
    </w:p>
    <w:p w14:paraId="2CA2EB7D" w14:textId="77777777" w:rsidR="00702A21" w:rsidRDefault="00DD5C1A">
      <w:pPr>
        <w:numPr>
          <w:ilvl w:val="0"/>
          <w:numId w:val="7"/>
        </w:numPr>
        <w:jc w:val="left"/>
        <w:rPr>
          <w:sz w:val="22"/>
          <w:szCs w:val="22"/>
        </w:rPr>
      </w:pPr>
      <w:r>
        <w:rPr>
          <w:sz w:val="22"/>
          <w:szCs w:val="22"/>
        </w:rPr>
        <w:t>Norway demanded that the government immed</w:t>
      </w:r>
      <w:r>
        <w:rPr>
          <w:sz w:val="22"/>
          <w:szCs w:val="22"/>
        </w:rPr>
        <w:t xml:space="preserve">iately reinstate Bahraini citizenship to all individuals whose citizenship has been revoked as a reprisal for human rights activities (124.126). This recommendation was noted by Bahrain. </w:t>
      </w:r>
    </w:p>
    <w:p w14:paraId="0130D5E8" w14:textId="77777777" w:rsidR="00702A21" w:rsidRDefault="00702A21">
      <w:pPr>
        <w:jc w:val="left"/>
        <w:rPr>
          <w:sz w:val="22"/>
          <w:szCs w:val="22"/>
        </w:rPr>
      </w:pPr>
    </w:p>
    <w:p w14:paraId="498AE14C" w14:textId="77777777" w:rsidR="00702A21" w:rsidRDefault="00DD5C1A">
      <w:pPr>
        <w:jc w:val="left"/>
        <w:rPr>
          <w:sz w:val="22"/>
          <w:szCs w:val="22"/>
        </w:rPr>
      </w:pPr>
      <w:r>
        <w:rPr>
          <w:sz w:val="22"/>
          <w:szCs w:val="22"/>
        </w:rPr>
        <w:t>The issue of nationality was raised 13 times in the recommendations</w:t>
      </w:r>
      <w:r>
        <w:rPr>
          <w:sz w:val="22"/>
          <w:szCs w:val="22"/>
        </w:rPr>
        <w:t xml:space="preserve">, a full list of which can be found </w:t>
      </w:r>
      <w:hyperlink r:id="rId10" w:anchor="gid=0">
        <w:r>
          <w:rPr>
            <w:sz w:val="22"/>
            <w:szCs w:val="22"/>
            <w:u w:val="single"/>
          </w:rPr>
          <w:t>here</w:t>
        </w:r>
      </w:hyperlink>
      <w:r>
        <w:rPr>
          <w:sz w:val="22"/>
          <w:szCs w:val="22"/>
        </w:rPr>
        <w:t>. The call for Bahrain to take steps to end discrimination against women by allowing Bahraini wom</w:t>
      </w:r>
      <w:r>
        <w:rPr>
          <w:sz w:val="22"/>
          <w:szCs w:val="22"/>
        </w:rPr>
        <w:t xml:space="preserve">en to transfer their Bahraini citizenship to their children was echoed by many countries, including Norway, Sierra Leone, Brazil, the USA, Slovenia, Belgium, Thailand, Canada and the UK. </w:t>
      </w:r>
    </w:p>
    <w:p w14:paraId="6FF20D67" w14:textId="77777777" w:rsidR="00702A21" w:rsidRDefault="00702A21">
      <w:pPr>
        <w:jc w:val="left"/>
        <w:rPr>
          <w:sz w:val="22"/>
          <w:szCs w:val="22"/>
        </w:rPr>
      </w:pPr>
    </w:p>
    <w:p w14:paraId="33F92A32" w14:textId="77777777" w:rsidR="00702A21" w:rsidRDefault="00DD5C1A">
      <w:pPr>
        <w:numPr>
          <w:ilvl w:val="0"/>
          <w:numId w:val="1"/>
        </w:numPr>
        <w:jc w:val="left"/>
        <w:rPr>
          <w:sz w:val="22"/>
          <w:szCs w:val="22"/>
        </w:rPr>
      </w:pPr>
      <w:r>
        <w:rPr>
          <w:sz w:val="22"/>
          <w:szCs w:val="22"/>
        </w:rPr>
        <w:t>While Bahrain adopted most of the recommended changes to the Citize</w:t>
      </w:r>
      <w:r>
        <w:rPr>
          <w:sz w:val="22"/>
          <w:szCs w:val="22"/>
        </w:rPr>
        <w:t xml:space="preserve">nship Law concerning women transferring citizenship to their children, Canada and Lithuania’s recommendations which specified the change of the law to be amended to be “on the same basis as men”, was noted by Bahrain rather than adopted. </w:t>
      </w:r>
    </w:p>
    <w:p w14:paraId="78D48AB7" w14:textId="77777777" w:rsidR="00702A21" w:rsidRDefault="00702A21">
      <w:pPr>
        <w:rPr>
          <w:b/>
          <w:sz w:val="22"/>
          <w:szCs w:val="22"/>
        </w:rPr>
      </w:pPr>
    </w:p>
    <w:p w14:paraId="0CDA846C" w14:textId="77777777" w:rsidR="00702A21" w:rsidRDefault="00702A21">
      <w:pPr>
        <w:rPr>
          <w:b/>
          <w:sz w:val="22"/>
          <w:szCs w:val="22"/>
        </w:rPr>
      </w:pPr>
    </w:p>
    <w:sectPr w:rsidR="00702A21">
      <w:headerReference w:type="default" r:id="rId11"/>
      <w:footerReference w:type="default" r:id="rId12"/>
      <w:headerReference w:type="first" r:id="rId13"/>
      <w:footerReference w:type="first" r:id="rId1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91A60" w14:textId="77777777" w:rsidR="00000000" w:rsidRDefault="00DD5C1A">
      <w:pPr>
        <w:spacing w:line="240" w:lineRule="auto"/>
      </w:pPr>
      <w:r>
        <w:separator/>
      </w:r>
    </w:p>
  </w:endnote>
  <w:endnote w:type="continuationSeparator" w:id="0">
    <w:p w14:paraId="06F3943B" w14:textId="77777777" w:rsidR="00000000" w:rsidRDefault="00DD5C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E47A0" w14:textId="77777777" w:rsidR="00702A21" w:rsidRDefault="00DD5C1A">
    <w:pPr>
      <w:jc w:val="right"/>
      <w:rPr>
        <w:sz w:val="22"/>
        <w:szCs w:val="22"/>
      </w:rPr>
    </w:pPr>
    <w:r>
      <w:rPr>
        <w:sz w:val="22"/>
        <w:szCs w:val="22"/>
      </w:rPr>
      <w:fldChar w:fldCharType="begin"/>
    </w:r>
    <w:r>
      <w:rPr>
        <w:sz w:val="22"/>
        <w:szCs w:val="22"/>
      </w:rPr>
      <w:instrText>PAGE</w:instrText>
    </w:r>
    <w:r>
      <w:rPr>
        <w:sz w:val="22"/>
        <w:szCs w:val="22"/>
      </w:rPr>
      <w:fldChar w:fldCharType="separate"/>
    </w:r>
    <w:r>
      <w:rPr>
        <w:noProof/>
        <w:sz w:val="22"/>
        <w:szCs w:val="22"/>
      </w:rPr>
      <w:t>1</w:t>
    </w:r>
    <w:r>
      <w:rPr>
        <w:sz w:val="22"/>
        <w:szCs w:val="22"/>
      </w:rPr>
      <w:fldChar w:fldCharType="end"/>
    </w:r>
  </w:p>
  <w:p w14:paraId="0E3EA1D1" w14:textId="77777777" w:rsidR="00702A21" w:rsidRDefault="00702A21">
    <w:pPr>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96F5F" w14:textId="77777777" w:rsidR="00702A21" w:rsidRDefault="00702A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47192" w14:textId="77777777" w:rsidR="00000000" w:rsidRDefault="00DD5C1A">
      <w:pPr>
        <w:spacing w:line="240" w:lineRule="auto"/>
      </w:pPr>
      <w:r>
        <w:separator/>
      </w:r>
    </w:p>
  </w:footnote>
  <w:footnote w:type="continuationSeparator" w:id="0">
    <w:p w14:paraId="032BD8C2" w14:textId="77777777" w:rsidR="00000000" w:rsidRDefault="00DD5C1A">
      <w:pPr>
        <w:spacing w:line="240" w:lineRule="auto"/>
      </w:pPr>
      <w:r>
        <w:continuationSeparator/>
      </w:r>
    </w:p>
  </w:footnote>
  <w:footnote w:id="1">
    <w:p w14:paraId="06F51BC0" w14:textId="77777777" w:rsidR="00702A21" w:rsidRDefault="00DD5C1A">
      <w:pPr>
        <w:spacing w:line="240" w:lineRule="auto"/>
        <w:rPr>
          <w:sz w:val="20"/>
          <w:szCs w:val="20"/>
        </w:rPr>
      </w:pPr>
      <w:r>
        <w:rPr>
          <w:vertAlign w:val="superscript"/>
        </w:rPr>
        <w:footnoteRef/>
      </w:r>
      <w:r>
        <w:rPr>
          <w:sz w:val="20"/>
          <w:szCs w:val="20"/>
        </w:rPr>
        <w:t xml:space="preserve">It also draws on publicly available reports, news </w:t>
      </w:r>
      <w:r>
        <w:rPr>
          <w:sz w:val="20"/>
          <w:szCs w:val="20"/>
        </w:rPr>
        <w:t>articles, and social media posts, which have been footnoted throughout the document.</w:t>
      </w:r>
    </w:p>
  </w:footnote>
  <w:footnote w:id="2">
    <w:p w14:paraId="04364216" w14:textId="77777777" w:rsidR="00702A21" w:rsidRDefault="00DD5C1A">
      <w:pPr>
        <w:spacing w:line="240" w:lineRule="auto"/>
        <w:rPr>
          <w:sz w:val="20"/>
          <w:szCs w:val="20"/>
        </w:rPr>
      </w:pPr>
      <w:r>
        <w:rPr>
          <w:vertAlign w:val="superscript"/>
        </w:rPr>
        <w:footnoteRef/>
      </w:r>
      <w:hyperlink r:id="rId1">
        <w:r>
          <w:rPr>
            <w:color w:val="1155CC"/>
            <w:sz w:val="20"/>
            <w:szCs w:val="20"/>
            <w:u w:val="single"/>
          </w:rPr>
          <w:t>https://tbinternet.ohchr.org/_layouts/15/treatybodyexternal/Download.aspx?symbolno=CRC/C/BHR/CO/4-6&amp;Lang=En</w:t>
        </w:r>
      </w:hyperlink>
      <w:r>
        <w:rPr>
          <w:sz w:val="20"/>
          <w:szCs w:val="20"/>
        </w:rPr>
        <w:t xml:space="preserve"> </w:t>
      </w:r>
    </w:p>
  </w:footnote>
  <w:footnote w:id="3">
    <w:p w14:paraId="3091F559" w14:textId="77777777" w:rsidR="00702A21" w:rsidRDefault="00DD5C1A">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https://www.hrw.org/news/2021/03/10/bahrain-police-beat-threaten-children</w:t>
        </w:r>
      </w:hyperlink>
      <w:r>
        <w:rPr>
          <w:sz w:val="20"/>
          <w:szCs w:val="20"/>
        </w:rPr>
        <w:t xml:space="preserve"> </w:t>
      </w:r>
    </w:p>
  </w:footnote>
  <w:footnote w:id="4">
    <w:p w14:paraId="6A7E2960" w14:textId="77777777" w:rsidR="00702A21" w:rsidRDefault="00DD5C1A">
      <w:pPr>
        <w:spacing w:line="240" w:lineRule="auto"/>
        <w:rPr>
          <w:sz w:val="20"/>
          <w:szCs w:val="20"/>
        </w:rPr>
      </w:pPr>
      <w:r>
        <w:rPr>
          <w:vertAlign w:val="superscript"/>
        </w:rPr>
        <w:footnoteRef/>
      </w:r>
      <w:hyperlink r:id="rId3">
        <w:r>
          <w:rPr>
            <w:color w:val="1155CC"/>
            <w:sz w:val="20"/>
            <w:szCs w:val="20"/>
            <w:u w:val="single"/>
          </w:rPr>
          <w:t>https://menarights.org/sites/default/files/2016-12/BHR_PenalCode_1976.EN_.pdf</w:t>
        </w:r>
      </w:hyperlink>
      <w:r>
        <w:rPr>
          <w:sz w:val="20"/>
          <w:szCs w:val="20"/>
        </w:rPr>
        <w:t xml:space="preserve"> </w:t>
      </w:r>
    </w:p>
  </w:footnote>
  <w:footnote w:id="5">
    <w:p w14:paraId="0506441C" w14:textId="77777777" w:rsidR="00702A21" w:rsidRDefault="00DD5C1A">
      <w:pPr>
        <w:spacing w:line="240" w:lineRule="auto"/>
        <w:rPr>
          <w:sz w:val="20"/>
          <w:szCs w:val="20"/>
        </w:rPr>
      </w:pPr>
      <w:r>
        <w:rPr>
          <w:vertAlign w:val="superscript"/>
        </w:rPr>
        <w:footnoteRef/>
      </w:r>
      <w:r>
        <w:rPr>
          <w:sz w:val="20"/>
          <w:szCs w:val="20"/>
        </w:rPr>
        <w:t xml:space="preserve"> https://www.cdc.gov/coronavirus/2019-ncov/need-extra-precautions/people-with-medical-conditions.html</w:t>
      </w:r>
    </w:p>
  </w:footnote>
  <w:footnote w:id="6">
    <w:p w14:paraId="5C6F9FCA" w14:textId="77777777" w:rsidR="00702A21" w:rsidRDefault="00DD5C1A">
      <w:pPr>
        <w:spacing w:line="240" w:lineRule="auto"/>
        <w:rPr>
          <w:sz w:val="20"/>
          <w:szCs w:val="20"/>
        </w:rPr>
      </w:pPr>
      <w:r>
        <w:rPr>
          <w:vertAlign w:val="superscript"/>
        </w:rPr>
        <w:footnoteRef/>
      </w:r>
      <w:r>
        <w:rPr>
          <w:sz w:val="20"/>
          <w:szCs w:val="20"/>
        </w:rPr>
        <w:t xml:space="preserve"> https://twitter.com/moi_bahrain/status/1363541957243334657</w:t>
      </w:r>
    </w:p>
  </w:footnote>
  <w:footnote w:id="7">
    <w:p w14:paraId="4151FC5F" w14:textId="77777777" w:rsidR="00702A21" w:rsidRDefault="00DD5C1A">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https://www.hrw.org/news/2021/06/07/bahrain-stop-denying-abuse-detained-chi</w:t>
        </w:r>
        <w:r>
          <w:rPr>
            <w:color w:val="1155CC"/>
            <w:sz w:val="20"/>
            <w:szCs w:val="20"/>
            <w:u w:val="single"/>
          </w:rPr>
          <w:t>ldren</w:t>
        </w:r>
      </w:hyperlink>
      <w:r>
        <w:rPr>
          <w:sz w:val="20"/>
          <w:szCs w:val="20"/>
        </w:rPr>
        <w:t xml:space="preserve"> </w:t>
      </w:r>
    </w:p>
  </w:footnote>
  <w:footnote w:id="8">
    <w:p w14:paraId="014BA940" w14:textId="77777777" w:rsidR="00702A21" w:rsidRDefault="00DD5C1A">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https://questions-statements.parliament.uk/written-questions/detail/2021-03-11/hl14137</w:t>
        </w:r>
      </w:hyperlink>
    </w:p>
  </w:footnote>
  <w:footnote w:id="9">
    <w:p w14:paraId="4EA89C78" w14:textId="77777777" w:rsidR="00702A21" w:rsidRDefault="00DD5C1A">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https://www.hrw.org/news/2021/06/07/letter-re-uk-response-abuses-against-children-bahrain-authorities</w:t>
        </w:r>
      </w:hyperlink>
    </w:p>
    <w:p w14:paraId="3587857B" w14:textId="77777777" w:rsidR="00702A21" w:rsidRDefault="00DD5C1A">
      <w:pPr>
        <w:spacing w:line="240" w:lineRule="auto"/>
        <w:rPr>
          <w:sz w:val="20"/>
          <w:szCs w:val="20"/>
        </w:rPr>
      </w:pPr>
      <w:hyperlink r:id="rId7">
        <w:r>
          <w:rPr>
            <w:color w:val="1155CC"/>
            <w:sz w:val="20"/>
            <w:szCs w:val="20"/>
            <w:u w:val="single"/>
          </w:rPr>
          <w:t>https://www.hrw.org/news/2020/02/25/nine-years-after-bahrains-uprising-its-human-rights-crisis-has-only-worsened</w:t>
        </w:r>
      </w:hyperlink>
      <w:r>
        <w:rPr>
          <w:sz w:val="20"/>
          <w:szCs w:val="20"/>
        </w:rPr>
        <w:t xml:space="preserve"> </w:t>
      </w:r>
    </w:p>
  </w:footnote>
  <w:footnote w:id="10">
    <w:p w14:paraId="2B18957A" w14:textId="77777777" w:rsidR="00702A21" w:rsidRDefault="00DD5C1A">
      <w:pPr>
        <w:spacing w:line="240" w:lineRule="auto"/>
        <w:rPr>
          <w:sz w:val="20"/>
          <w:szCs w:val="20"/>
        </w:rPr>
      </w:pPr>
      <w:r>
        <w:rPr>
          <w:vertAlign w:val="superscript"/>
        </w:rPr>
        <w:footnoteRef/>
      </w:r>
      <w:r>
        <w:rPr>
          <w:sz w:val="20"/>
          <w:szCs w:val="20"/>
        </w:rPr>
        <w:t xml:space="preserve"> https://www.adhrb.org/2019/04/anatomy-of-a-police-state-systematic-repression-brutality-and-bahrains-minis</w:t>
      </w:r>
      <w:r>
        <w:rPr>
          <w:sz w:val="20"/>
          <w:szCs w:val="20"/>
        </w:rPr>
        <w:t>try-of-interior/</w:t>
      </w:r>
    </w:p>
  </w:footnote>
  <w:footnote w:id="11">
    <w:p w14:paraId="692B4255" w14:textId="77777777" w:rsidR="00702A21" w:rsidRDefault="00DD5C1A">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https://questions-statements.parliament.uk/written-questions/detail/2020-09-28/96201</w:t>
        </w:r>
      </w:hyperlink>
    </w:p>
    <w:p w14:paraId="3B9CAEFD" w14:textId="77777777" w:rsidR="00702A21" w:rsidRDefault="00DD5C1A">
      <w:pPr>
        <w:spacing w:line="240" w:lineRule="auto"/>
        <w:rPr>
          <w:sz w:val="20"/>
          <w:szCs w:val="20"/>
        </w:rPr>
      </w:pPr>
      <w:r>
        <w:rPr>
          <w:sz w:val="20"/>
          <w:szCs w:val="20"/>
        </w:rPr>
        <w:t>https://www.bna.bh/en/CorrectiveJusticeLawforChildrentostrengthBahrainshumanrightsstatussaysLabourMinister.aspx?cms=q8FmFJgiscL2fwIzON1%2bDp31HhZjNC3C04ShHxHkFqc%3d</w:t>
      </w:r>
    </w:p>
  </w:footnote>
  <w:footnote w:id="12">
    <w:p w14:paraId="04F20046" w14:textId="77777777" w:rsidR="00702A21" w:rsidRDefault="00DD5C1A">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https://www.reuters.com/</w:t>
        </w:r>
        <w:r>
          <w:rPr>
            <w:color w:val="1155CC"/>
            <w:sz w:val="20"/>
            <w:szCs w:val="20"/>
            <w:u w:val="single"/>
          </w:rPr>
          <w:t>article/idUSKBN2B21N4</w:t>
        </w:r>
      </w:hyperlink>
    </w:p>
    <w:p w14:paraId="5301212B" w14:textId="77777777" w:rsidR="00702A21" w:rsidRDefault="00DD5C1A">
      <w:pPr>
        <w:spacing w:line="240" w:lineRule="auto"/>
        <w:rPr>
          <w:sz w:val="20"/>
          <w:szCs w:val="20"/>
        </w:rPr>
      </w:pPr>
      <w:r>
        <w:rPr>
          <w:sz w:val="20"/>
          <w:szCs w:val="20"/>
        </w:rPr>
        <w:t>https://www.hrw.org/news/2021/03/10/bahrain-police-beat-threaten-children</w:t>
      </w:r>
    </w:p>
  </w:footnote>
  <w:footnote w:id="13">
    <w:p w14:paraId="6D62611C" w14:textId="77777777" w:rsidR="00702A21" w:rsidRDefault="00DD5C1A">
      <w:pPr>
        <w:spacing w:line="240" w:lineRule="auto"/>
        <w:rPr>
          <w:sz w:val="20"/>
          <w:szCs w:val="20"/>
        </w:rPr>
      </w:pPr>
      <w:r>
        <w:rPr>
          <w:vertAlign w:val="superscript"/>
        </w:rPr>
        <w:footnoteRef/>
      </w:r>
      <w:r>
        <w:rPr>
          <w:sz w:val="20"/>
          <w:szCs w:val="20"/>
        </w:rPr>
        <w:t xml:space="preserve"> https://bna.bh/.aspx?cms=q8FmFJgiscL2fwIzON1%2BDkpFKNos5QIsiGTrm5qyzpE%3D#.YE5tPD9-DLs.hootsuite</w:t>
      </w:r>
    </w:p>
  </w:footnote>
  <w:footnote w:id="14">
    <w:p w14:paraId="72345DFD" w14:textId="77777777" w:rsidR="00702A21" w:rsidRDefault="00DD5C1A">
      <w:pPr>
        <w:spacing w:line="240" w:lineRule="auto"/>
        <w:rPr>
          <w:sz w:val="20"/>
          <w:szCs w:val="20"/>
        </w:rPr>
      </w:pPr>
      <w:r>
        <w:rPr>
          <w:vertAlign w:val="superscript"/>
        </w:rPr>
        <w:footnoteRef/>
      </w:r>
      <w:r>
        <w:rPr>
          <w:sz w:val="20"/>
          <w:szCs w:val="20"/>
        </w:rPr>
        <w:t xml:space="preserve"> https://www.bna.bh/.aspx?cms=q8FmFJgiscL2fwIzON1%2BDpRZTXJM</w:t>
      </w:r>
      <w:r>
        <w:rPr>
          <w:sz w:val="20"/>
          <w:szCs w:val="20"/>
        </w:rPr>
        <w:t>StbQrRA6nAZfecs%3D</w:t>
      </w:r>
    </w:p>
  </w:footnote>
  <w:footnote w:id="15">
    <w:p w14:paraId="5E06A5A0" w14:textId="77777777" w:rsidR="00702A21" w:rsidRDefault="00DD5C1A">
      <w:pPr>
        <w:spacing w:line="240" w:lineRule="auto"/>
        <w:rPr>
          <w:sz w:val="20"/>
          <w:szCs w:val="20"/>
        </w:rPr>
      </w:pPr>
      <w:r>
        <w:rPr>
          <w:vertAlign w:val="superscript"/>
        </w:rPr>
        <w:footnoteRef/>
      </w:r>
      <w:r>
        <w:rPr>
          <w:sz w:val="20"/>
          <w:szCs w:val="20"/>
        </w:rPr>
        <w:t xml:space="preserve"> http://docstore.ohchr.org/SelfServices/FilesHandler.ashx?enc=6QkG1d%2FPPRiCAqhKb7yhsqYPuFZC34VM6MoD0MvS%2BS%2BhcJl3TUrOvvF%2FGuWWUtDMNTj4lYASRqLw7nbC8IcS25V04LGI8FMQttufqvlxyVSqBsgx3LVglkkCx%2BAgXg%2BL</w:t>
      </w:r>
    </w:p>
  </w:footnote>
  <w:footnote w:id="16">
    <w:p w14:paraId="400CC890" w14:textId="77777777" w:rsidR="00702A21" w:rsidRDefault="00DD5C1A">
      <w:pPr>
        <w:spacing w:line="240" w:lineRule="auto"/>
        <w:rPr>
          <w:sz w:val="20"/>
          <w:szCs w:val="20"/>
        </w:rPr>
      </w:pPr>
      <w:r>
        <w:rPr>
          <w:vertAlign w:val="superscript"/>
        </w:rPr>
        <w:footnoteRef/>
      </w:r>
      <w:r>
        <w:rPr>
          <w:sz w:val="20"/>
          <w:szCs w:val="20"/>
        </w:rPr>
        <w:t xml:space="preserve"> https://www.hrw.org/news/2016/0</w:t>
      </w:r>
      <w:r>
        <w:rPr>
          <w:sz w:val="20"/>
          <w:szCs w:val="20"/>
        </w:rPr>
        <w:t>6/13/bahrain-lagging-efforts-end-torture</w:t>
      </w:r>
    </w:p>
  </w:footnote>
  <w:footnote w:id="17">
    <w:p w14:paraId="45770332" w14:textId="77777777" w:rsidR="00702A21" w:rsidRDefault="00DD5C1A">
      <w:pPr>
        <w:spacing w:line="240" w:lineRule="auto"/>
        <w:rPr>
          <w:sz w:val="20"/>
          <w:szCs w:val="20"/>
        </w:rPr>
      </w:pPr>
      <w:r>
        <w:rPr>
          <w:vertAlign w:val="superscript"/>
        </w:rPr>
        <w:footnoteRef/>
      </w:r>
      <w:r>
        <w:rPr>
          <w:sz w:val="20"/>
          <w:szCs w:val="20"/>
        </w:rPr>
        <w:t xml:space="preserve"> </w:t>
      </w:r>
      <w:hyperlink r:id="rId10">
        <w:r>
          <w:rPr>
            <w:color w:val="1155CC"/>
            <w:sz w:val="20"/>
            <w:szCs w:val="20"/>
            <w:u w:val="single"/>
          </w:rPr>
          <w:t>https://www.hrw.org/news/2022/02/08/bahrain-boys-arbitrarily-detained-orphanage</w:t>
        </w:r>
      </w:hyperlink>
      <w:r>
        <w:rPr>
          <w:sz w:val="20"/>
          <w:szCs w:val="20"/>
        </w:rPr>
        <w:t xml:space="preserve"> </w:t>
      </w:r>
    </w:p>
    <w:p w14:paraId="01C26890" w14:textId="77777777" w:rsidR="00702A21" w:rsidRDefault="00DD5C1A">
      <w:pPr>
        <w:spacing w:line="240" w:lineRule="auto"/>
        <w:rPr>
          <w:sz w:val="20"/>
          <w:szCs w:val="20"/>
        </w:rPr>
      </w:pPr>
      <w:hyperlink r:id="rId11">
        <w:r>
          <w:rPr>
            <w:color w:val="1155CC"/>
            <w:sz w:val="20"/>
            <w:szCs w:val="20"/>
            <w:u w:val="single"/>
          </w:rPr>
          <w:t>https://bahrain.bh/wps/wcm/connect/c7f883db-d1c5-4b92-88c2-40d5fc61dcdd/LAW+NO.+%284%29+OF+2021.pdf?MOD=AJPERES</w:t>
        </w:r>
      </w:hyperlink>
      <w:r>
        <w:rPr>
          <w:sz w:val="20"/>
          <w:szCs w:val="20"/>
        </w:rPr>
        <w:t xml:space="preserve"> </w:t>
      </w:r>
    </w:p>
  </w:footnote>
  <w:footnote w:id="18">
    <w:p w14:paraId="1A321629" w14:textId="77777777" w:rsidR="00702A21" w:rsidRDefault="00DD5C1A">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https://www.ppb.gov.bh/arabic/news-details.aspx?id=64zWF4xUcbw=</w:t>
        </w:r>
      </w:hyperlink>
      <w:r>
        <w:rPr>
          <w:sz w:val="20"/>
          <w:szCs w:val="20"/>
        </w:rPr>
        <w:t xml:space="preserve"> </w:t>
      </w:r>
    </w:p>
  </w:footnote>
  <w:footnote w:id="19">
    <w:p w14:paraId="0E88DF11" w14:textId="77777777" w:rsidR="00702A21" w:rsidRDefault="00DD5C1A">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https://www.bahrain.bh/wps/portal/!ut/p/a1/lZFNT8MwDIZ_C4ce06Tpxwq3HkZHNQlNRWzNBaWZ-4HSpkvDyvj1ZIwLEts0HyzZ</w:t>
        </w:r>
        <w:r>
          <w:rPr>
            <w:color w:val="1155CC"/>
            <w:sz w:val="20"/>
            <w:szCs w:val="20"/>
            <w:u w:val="single"/>
          </w:rPr>
          <w:t>em0_tjHDG8x6vm9rblrVc3mMWfS2eCaRR2OapeHcJ6s0zZcrupw_vQZ4jRlmojeDaXDRKekQGjlENK3coglkxTWgRnWASjAghToFI-h9K-BYO4h2i4t78GglQg8JQTwUzKwrOaeIklhAKKLKo4GFKSwMOWMJucaac33ivSB7DH8FF8YUlmN2rkMS-Di_cbHsGrndvH3f7Vhib616A58Gb24-tp1SS1X-fLVI-tKPa8w0VKBBux_aphtjhvHBIQ6Z</w:t>
        </w:r>
        <w:r>
          <w:rPr>
            <w:color w:val="1155CC"/>
            <w:sz w:val="20"/>
            <w:szCs w:val="20"/>
            <w:u w:val="single"/>
          </w:rPr>
          <w:t>psmtlaoluEJ1DvmvpFGjxfirxEPXxf4BZYuvl6pbI1YeprtvgKkv9g!!/dl5/d5/L2dBISEvZ0FBIS9nQSEh/</w:t>
        </w:r>
      </w:hyperlink>
      <w:r>
        <w:rPr>
          <w:sz w:val="20"/>
          <w:szCs w:val="20"/>
        </w:rPr>
        <w:t xml:space="preserve"> </w:t>
      </w:r>
    </w:p>
  </w:footnote>
  <w:footnote w:id="20">
    <w:p w14:paraId="33E25430" w14:textId="77777777" w:rsidR="00702A21" w:rsidRDefault="00DD5C1A">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https://twitter.com/alyaradhi/status/1488113463209693187?s=24</w:t>
        </w:r>
      </w:hyperlink>
      <w:r>
        <w:rPr>
          <w:sz w:val="20"/>
          <w:szCs w:val="20"/>
        </w:rPr>
        <w:t xml:space="preserve"> </w:t>
      </w:r>
    </w:p>
  </w:footnote>
  <w:footnote w:id="21">
    <w:p w14:paraId="0CC47415" w14:textId="77777777" w:rsidR="00702A21" w:rsidRDefault="00DD5C1A">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https://birdbh.org/2022/03/one-week-before-bahrain-grand-prix-6-boys-unfairly-sentenced-to-one-year-in-detention/</w:t>
        </w:r>
      </w:hyperlink>
      <w:r>
        <w:rPr>
          <w:sz w:val="20"/>
          <w:szCs w:val="20"/>
        </w:rPr>
        <w:t xml:space="preserve"> </w:t>
      </w:r>
    </w:p>
  </w:footnote>
  <w:footnote w:id="22">
    <w:p w14:paraId="67A5F768" w14:textId="77777777" w:rsidR="00702A21" w:rsidRDefault="00DD5C1A">
      <w:pPr>
        <w:spacing w:line="240" w:lineRule="auto"/>
        <w:rPr>
          <w:sz w:val="20"/>
          <w:szCs w:val="20"/>
        </w:rPr>
      </w:pPr>
      <w:r>
        <w:rPr>
          <w:vertAlign w:val="superscript"/>
        </w:rPr>
        <w:footnoteRef/>
      </w:r>
      <w:r>
        <w:rPr>
          <w:sz w:val="20"/>
          <w:szCs w:val="20"/>
        </w:rPr>
        <w:t>https://www.hrw.org/news/2022/03/04/uk-sees-no-evil-bahrains-detention-children</w:t>
      </w:r>
    </w:p>
  </w:footnote>
  <w:footnote w:id="23">
    <w:p w14:paraId="6511504F"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16">
        <w:r>
          <w:rPr>
            <w:color w:val="1155CC"/>
            <w:sz w:val="20"/>
            <w:szCs w:val="20"/>
            <w:u w:val="single"/>
          </w:rPr>
          <w:t>https://archive.crin.org/en/library/news-archive/bahrain-child-abuse-continues-without-accountability.html</w:t>
        </w:r>
      </w:hyperlink>
      <w:r>
        <w:rPr>
          <w:sz w:val="20"/>
          <w:szCs w:val="20"/>
        </w:rPr>
        <w:t xml:space="preserve"> </w:t>
      </w:r>
    </w:p>
  </w:footnote>
  <w:footnote w:id="24">
    <w:p w14:paraId="6442C661" w14:textId="77777777" w:rsidR="00702A21" w:rsidRDefault="00DD5C1A">
      <w:pPr>
        <w:spacing w:line="240" w:lineRule="auto"/>
        <w:jc w:val="left"/>
        <w:rPr>
          <w:sz w:val="20"/>
          <w:szCs w:val="20"/>
        </w:rPr>
      </w:pPr>
      <w:r>
        <w:rPr>
          <w:vertAlign w:val="superscript"/>
        </w:rPr>
        <w:footnoteRef/>
      </w:r>
      <w:hyperlink r:id="rId17">
        <w:r>
          <w:rPr>
            <w:color w:val="1155CC"/>
            <w:sz w:val="20"/>
            <w:szCs w:val="20"/>
            <w:u w:val="single"/>
          </w:rPr>
          <w:t>https://www.alamy.com/a-mourner-cries-at-the-funeral-of-sayed-ahmed-shams-15-on-thursday-march-31-2011-in-saar-bahrain-west-of-the-ca</w:t>
        </w:r>
        <w:r>
          <w:rPr>
            <w:color w:val="1155CC"/>
            <w:sz w:val="20"/>
            <w:szCs w:val="20"/>
            <w:u w:val="single"/>
          </w:rPr>
          <w:t>pital-of-manama-witnesses-said-the-boy-was-shot-in-the-head-by-a-police-shell-and-his-skull-was-broken-a-charge-the-government-denies-the-sunni-government-supported-by-saudi-led-forces-is-carrying-out-a-crackdown-in-shiite-areas-nationwide-in-the-wake-of-a</w:t>
        </w:r>
        <w:r>
          <w:rPr>
            <w:color w:val="1155CC"/>
            <w:sz w:val="20"/>
            <w:szCs w:val="20"/>
            <w:u w:val="single"/>
          </w:rPr>
          <w:t>nti-government-protests-ap-photohasan-jamali-image523732794.html</w:t>
        </w:r>
      </w:hyperlink>
      <w:r>
        <w:rPr>
          <w:sz w:val="20"/>
          <w:szCs w:val="20"/>
        </w:rPr>
        <w:t xml:space="preserve"> </w:t>
      </w:r>
    </w:p>
  </w:footnote>
  <w:footnote w:id="25">
    <w:p w14:paraId="70C175B7"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18">
        <w:r>
          <w:rPr>
            <w:color w:val="1155CC"/>
            <w:sz w:val="20"/>
            <w:szCs w:val="20"/>
            <w:u w:val="single"/>
          </w:rPr>
          <w:t>http://edition.cnn.com/2011/WORLD/meast/08/31/bahrain.death/index.html</w:t>
        </w:r>
      </w:hyperlink>
    </w:p>
    <w:p w14:paraId="48CDDEB2" w14:textId="77777777" w:rsidR="00702A21" w:rsidRDefault="00DD5C1A">
      <w:pPr>
        <w:spacing w:line="240" w:lineRule="auto"/>
        <w:jc w:val="left"/>
        <w:rPr>
          <w:sz w:val="20"/>
          <w:szCs w:val="20"/>
        </w:rPr>
      </w:pPr>
      <w:hyperlink r:id="rId19">
        <w:r>
          <w:rPr>
            <w:color w:val="1155CC"/>
            <w:sz w:val="20"/>
            <w:szCs w:val="20"/>
            <w:u w:val="single"/>
          </w:rPr>
          <w:t>https://web.archive.org/web/20180723115748/http://bahrainrights.org/en/node/4936</w:t>
        </w:r>
      </w:hyperlink>
      <w:r>
        <w:rPr>
          <w:sz w:val="20"/>
          <w:szCs w:val="20"/>
        </w:rPr>
        <w:t xml:space="preserve"> </w:t>
      </w:r>
    </w:p>
    <w:p w14:paraId="1CE53E30" w14:textId="77777777" w:rsidR="00702A21" w:rsidRDefault="00DD5C1A">
      <w:pPr>
        <w:spacing w:line="240" w:lineRule="auto"/>
        <w:jc w:val="left"/>
        <w:rPr>
          <w:sz w:val="20"/>
          <w:szCs w:val="20"/>
        </w:rPr>
      </w:pPr>
      <w:hyperlink r:id="rId20">
        <w:r>
          <w:rPr>
            <w:color w:val="1155CC"/>
            <w:sz w:val="20"/>
            <w:szCs w:val="20"/>
            <w:u w:val="single"/>
          </w:rPr>
          <w:t>https://www.nyt</w:t>
        </w:r>
        <w:r>
          <w:rPr>
            <w:color w:val="1155CC"/>
            <w:sz w:val="20"/>
            <w:szCs w:val="20"/>
            <w:u w:val="single"/>
          </w:rPr>
          <w:t>imes.com/2011/09/01/world/middleeast/01bahrain.html</w:t>
        </w:r>
      </w:hyperlink>
      <w:r>
        <w:rPr>
          <w:sz w:val="20"/>
          <w:szCs w:val="20"/>
        </w:rPr>
        <w:t xml:space="preserve"> </w:t>
      </w:r>
    </w:p>
  </w:footnote>
  <w:footnote w:id="26">
    <w:p w14:paraId="218F8404" w14:textId="77777777" w:rsidR="00702A21" w:rsidRDefault="00DD5C1A">
      <w:pPr>
        <w:spacing w:line="240" w:lineRule="auto"/>
        <w:rPr>
          <w:sz w:val="20"/>
          <w:szCs w:val="20"/>
        </w:rPr>
      </w:pPr>
      <w:r>
        <w:rPr>
          <w:vertAlign w:val="superscript"/>
        </w:rPr>
        <w:footnoteRef/>
      </w:r>
      <w:r>
        <w:rPr>
          <w:sz w:val="20"/>
          <w:szCs w:val="20"/>
        </w:rPr>
        <w:t xml:space="preserve"> </w:t>
      </w:r>
      <w:hyperlink r:id="rId21">
        <w:r>
          <w:rPr>
            <w:color w:val="1155CC"/>
            <w:sz w:val="20"/>
            <w:szCs w:val="20"/>
            <w:u w:val="single"/>
          </w:rPr>
          <w:t>http://bhmapi.servehttp.com/news/37590.html</w:t>
        </w:r>
      </w:hyperlink>
      <w:r>
        <w:rPr>
          <w:sz w:val="20"/>
          <w:szCs w:val="20"/>
        </w:rPr>
        <w:t xml:space="preserve"> </w:t>
      </w:r>
    </w:p>
  </w:footnote>
  <w:footnote w:id="27">
    <w:p w14:paraId="19C8595C" w14:textId="77777777" w:rsidR="00702A21" w:rsidRDefault="00DD5C1A">
      <w:pPr>
        <w:spacing w:line="240" w:lineRule="auto"/>
        <w:rPr>
          <w:sz w:val="20"/>
          <w:szCs w:val="20"/>
        </w:rPr>
      </w:pPr>
      <w:r>
        <w:rPr>
          <w:vertAlign w:val="superscript"/>
        </w:rPr>
        <w:footnoteRef/>
      </w:r>
      <w:r>
        <w:rPr>
          <w:sz w:val="20"/>
          <w:szCs w:val="20"/>
        </w:rPr>
        <w:t xml:space="preserve"> </w:t>
      </w:r>
      <w:hyperlink r:id="rId22">
        <w:r>
          <w:rPr>
            <w:color w:val="1155CC"/>
            <w:sz w:val="20"/>
            <w:szCs w:val="20"/>
            <w:u w:val="single"/>
          </w:rPr>
          <w:t>https://twitter.com/DurazYouth/status/1205008664844787712</w:t>
        </w:r>
      </w:hyperlink>
    </w:p>
  </w:footnote>
  <w:footnote w:id="28">
    <w:p w14:paraId="3618D1F9" w14:textId="77777777" w:rsidR="00702A21" w:rsidRDefault="00DD5C1A">
      <w:pPr>
        <w:spacing w:line="240" w:lineRule="auto"/>
        <w:rPr>
          <w:sz w:val="20"/>
          <w:szCs w:val="20"/>
        </w:rPr>
      </w:pPr>
      <w:r>
        <w:rPr>
          <w:vertAlign w:val="superscript"/>
        </w:rPr>
        <w:footnoteRef/>
      </w:r>
      <w:r>
        <w:rPr>
          <w:sz w:val="20"/>
          <w:szCs w:val="20"/>
        </w:rPr>
        <w:t xml:space="preserve"> </w:t>
      </w:r>
      <w:hyperlink r:id="rId23">
        <w:r>
          <w:rPr>
            <w:color w:val="1155CC"/>
            <w:sz w:val="20"/>
            <w:szCs w:val="20"/>
            <w:u w:val="single"/>
          </w:rPr>
          <w:t>https://twitter.com/BuHSN/status/848924419770785792?s=20</w:t>
        </w:r>
      </w:hyperlink>
      <w:r>
        <w:rPr>
          <w:sz w:val="20"/>
          <w:szCs w:val="20"/>
        </w:rPr>
        <w:t xml:space="preserve"> </w:t>
      </w:r>
    </w:p>
  </w:footnote>
  <w:footnote w:id="29">
    <w:p w14:paraId="713C1618" w14:textId="77777777" w:rsidR="00702A21" w:rsidRDefault="00DD5C1A">
      <w:pPr>
        <w:spacing w:line="240" w:lineRule="auto"/>
        <w:rPr>
          <w:sz w:val="20"/>
          <w:szCs w:val="20"/>
        </w:rPr>
      </w:pPr>
      <w:r>
        <w:rPr>
          <w:vertAlign w:val="superscript"/>
        </w:rPr>
        <w:footnoteRef/>
      </w:r>
      <w:r>
        <w:rPr>
          <w:sz w:val="20"/>
          <w:szCs w:val="20"/>
        </w:rPr>
        <w:t xml:space="preserve"> </w:t>
      </w:r>
      <w:hyperlink r:id="rId24">
        <w:r>
          <w:rPr>
            <w:color w:val="1155CC"/>
            <w:sz w:val="20"/>
            <w:szCs w:val="20"/>
            <w:u w:val="single"/>
          </w:rPr>
          <w:t>https://www.aljazeera.com/news/2011/10/8/police-clash-with-mourners-in-</w:t>
        </w:r>
        <w:r>
          <w:rPr>
            <w:color w:val="1155CC"/>
            <w:sz w:val="20"/>
            <w:szCs w:val="20"/>
            <w:u w:val="single"/>
          </w:rPr>
          <w:t>bahrain</w:t>
        </w:r>
      </w:hyperlink>
      <w:r>
        <w:rPr>
          <w:sz w:val="20"/>
          <w:szCs w:val="20"/>
        </w:rPr>
        <w:t xml:space="preserve"> </w:t>
      </w:r>
    </w:p>
  </w:footnote>
  <w:footnote w:id="30">
    <w:p w14:paraId="2928925A"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25">
        <w:r>
          <w:rPr>
            <w:color w:val="1155CC"/>
            <w:sz w:val="20"/>
            <w:szCs w:val="20"/>
            <w:u w:val="single"/>
          </w:rPr>
          <w:t>https://bahrainrights.net/?p=6784</w:t>
        </w:r>
      </w:hyperlink>
      <w:r>
        <w:rPr>
          <w:sz w:val="20"/>
          <w:szCs w:val="20"/>
        </w:rPr>
        <w:t xml:space="preserve"> </w:t>
      </w:r>
    </w:p>
    <w:p w14:paraId="14835573" w14:textId="77777777" w:rsidR="00702A21" w:rsidRDefault="00DD5C1A">
      <w:pPr>
        <w:spacing w:line="240" w:lineRule="auto"/>
        <w:jc w:val="left"/>
        <w:rPr>
          <w:sz w:val="20"/>
          <w:szCs w:val="20"/>
        </w:rPr>
      </w:pPr>
      <w:hyperlink r:id="rId26">
        <w:r>
          <w:rPr>
            <w:color w:val="1155CC"/>
            <w:sz w:val="20"/>
            <w:szCs w:val="20"/>
            <w:u w:val="single"/>
          </w:rPr>
          <w:t>https://www.youtube.com/watch?v=9fVF0qQU3kc</w:t>
        </w:r>
      </w:hyperlink>
      <w:r>
        <w:rPr>
          <w:sz w:val="20"/>
          <w:szCs w:val="20"/>
        </w:rPr>
        <w:t xml:space="preserve"> </w:t>
      </w:r>
    </w:p>
  </w:footnote>
  <w:footnote w:id="31">
    <w:p w14:paraId="0D71CC96"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27">
        <w:r>
          <w:rPr>
            <w:color w:val="1155CC"/>
            <w:sz w:val="20"/>
            <w:szCs w:val="20"/>
            <w:u w:val="single"/>
          </w:rPr>
          <w:t>http://www.alwasatnews.com/news/618157.html</w:t>
        </w:r>
      </w:hyperlink>
      <w:r>
        <w:rPr>
          <w:sz w:val="20"/>
          <w:szCs w:val="20"/>
        </w:rPr>
        <w:t xml:space="preserve"> </w:t>
      </w:r>
    </w:p>
    <w:p w14:paraId="61C2459F" w14:textId="77777777" w:rsidR="00702A21" w:rsidRDefault="00DD5C1A">
      <w:pPr>
        <w:spacing w:line="240" w:lineRule="auto"/>
        <w:jc w:val="left"/>
        <w:rPr>
          <w:sz w:val="20"/>
          <w:szCs w:val="20"/>
        </w:rPr>
      </w:pPr>
      <w:hyperlink r:id="rId28">
        <w:r>
          <w:rPr>
            <w:color w:val="1155CC"/>
            <w:sz w:val="20"/>
            <w:szCs w:val="20"/>
            <w:u w:val="single"/>
          </w:rPr>
          <w:t>https://www.middleeasteye.net/news/uk-bahraini-boys-arbitrarily-detained-orphanage-endangering</w:t>
        </w:r>
      </w:hyperlink>
      <w:r>
        <w:rPr>
          <w:sz w:val="20"/>
          <w:szCs w:val="20"/>
        </w:rPr>
        <w:t xml:space="preserve"> </w:t>
      </w:r>
    </w:p>
  </w:footnote>
  <w:footnote w:id="32">
    <w:p w14:paraId="74F5C843" w14:textId="77777777" w:rsidR="00702A21" w:rsidRDefault="00DD5C1A">
      <w:pPr>
        <w:spacing w:line="240" w:lineRule="auto"/>
        <w:rPr>
          <w:sz w:val="20"/>
          <w:szCs w:val="20"/>
        </w:rPr>
      </w:pPr>
      <w:r>
        <w:rPr>
          <w:vertAlign w:val="superscript"/>
        </w:rPr>
        <w:footnoteRef/>
      </w:r>
      <w:r>
        <w:rPr>
          <w:sz w:val="20"/>
          <w:szCs w:val="20"/>
        </w:rPr>
        <w:t xml:space="preserve"> </w:t>
      </w:r>
      <w:hyperlink r:id="rId29">
        <w:r>
          <w:rPr>
            <w:color w:val="1155CC"/>
            <w:sz w:val="20"/>
            <w:szCs w:val="20"/>
            <w:u w:val="single"/>
          </w:rPr>
          <w:t>https://twitter.com/AdelAlmarzooq/status/581719481791045632</w:t>
        </w:r>
      </w:hyperlink>
      <w:r>
        <w:rPr>
          <w:sz w:val="20"/>
          <w:szCs w:val="20"/>
        </w:rPr>
        <w:t xml:space="preserve"> </w:t>
      </w:r>
    </w:p>
  </w:footnote>
  <w:footnote w:id="33">
    <w:p w14:paraId="1410BAF0" w14:textId="77777777" w:rsidR="00702A21" w:rsidRDefault="00DD5C1A">
      <w:pPr>
        <w:spacing w:line="240" w:lineRule="auto"/>
        <w:rPr>
          <w:sz w:val="20"/>
          <w:szCs w:val="20"/>
        </w:rPr>
      </w:pPr>
      <w:r>
        <w:rPr>
          <w:vertAlign w:val="superscript"/>
        </w:rPr>
        <w:footnoteRef/>
      </w:r>
      <w:r>
        <w:rPr>
          <w:sz w:val="20"/>
          <w:szCs w:val="20"/>
        </w:rPr>
        <w:t xml:space="preserve"> </w:t>
      </w:r>
      <w:hyperlink r:id="rId30">
        <w:r>
          <w:rPr>
            <w:color w:val="1155CC"/>
            <w:sz w:val="20"/>
            <w:szCs w:val="20"/>
            <w:u w:val="single"/>
          </w:rPr>
          <w:t>https://twitter.com/BahrainMirror/status/1092988739402506240</w:t>
        </w:r>
      </w:hyperlink>
      <w:r>
        <w:rPr>
          <w:sz w:val="20"/>
          <w:szCs w:val="20"/>
        </w:rPr>
        <w:t xml:space="preserve"> </w:t>
      </w:r>
    </w:p>
  </w:footnote>
  <w:footnote w:id="34">
    <w:p w14:paraId="60E041C2"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31">
        <w:r>
          <w:rPr>
            <w:color w:val="1155CC"/>
            <w:sz w:val="20"/>
            <w:szCs w:val="20"/>
            <w:u w:val="single"/>
          </w:rPr>
          <w:t>https://phr.org/our-work/resources/tear-gas-or-</w:t>
        </w:r>
        <w:r>
          <w:rPr>
            <w:color w:val="1155CC"/>
            <w:sz w:val="20"/>
            <w:szCs w:val="20"/>
            <w:u w:val="single"/>
          </w:rPr>
          <w:t>lethal-gas-bahrains-death-toll-mounts-to-34/</w:t>
        </w:r>
      </w:hyperlink>
      <w:r>
        <w:rPr>
          <w:sz w:val="20"/>
          <w:szCs w:val="20"/>
        </w:rPr>
        <w:t xml:space="preserve"> </w:t>
      </w:r>
    </w:p>
  </w:footnote>
  <w:footnote w:id="35">
    <w:p w14:paraId="16478EA3" w14:textId="77777777" w:rsidR="00702A21" w:rsidRDefault="00DD5C1A">
      <w:pPr>
        <w:spacing w:line="240" w:lineRule="auto"/>
        <w:jc w:val="left"/>
        <w:rPr>
          <w:sz w:val="20"/>
          <w:szCs w:val="20"/>
        </w:rPr>
      </w:pPr>
      <w:r>
        <w:rPr>
          <w:vertAlign w:val="superscript"/>
        </w:rPr>
        <w:footnoteRef/>
      </w:r>
      <w:r>
        <w:rPr>
          <w:sz w:val="20"/>
          <w:szCs w:val="20"/>
        </w:rPr>
        <w:t xml:space="preserve"> </w:t>
      </w:r>
      <w:hyperlink r:id="rId32">
        <w:r>
          <w:rPr>
            <w:color w:val="1155CC"/>
            <w:sz w:val="20"/>
            <w:szCs w:val="20"/>
            <w:u w:val="single"/>
          </w:rPr>
          <w:t>http://www.aljazeera.com/news/middleeast/2012/08/201281815816901795.html</w:t>
        </w:r>
      </w:hyperlink>
      <w:r>
        <w:rPr>
          <w:sz w:val="20"/>
          <w:szCs w:val="20"/>
        </w:rPr>
        <w:t xml:space="preserve"> </w:t>
      </w:r>
    </w:p>
  </w:footnote>
  <w:footnote w:id="36">
    <w:p w14:paraId="5237D0EA" w14:textId="77777777" w:rsidR="00702A21" w:rsidRDefault="00DD5C1A">
      <w:pPr>
        <w:bidi/>
        <w:spacing w:line="240" w:lineRule="auto"/>
        <w:jc w:val="left"/>
        <w:rPr>
          <w:sz w:val="20"/>
          <w:szCs w:val="20"/>
        </w:rPr>
      </w:pPr>
      <w:r>
        <w:rPr>
          <w:vertAlign w:val="superscript"/>
        </w:rPr>
        <w:footnoteRef/>
      </w:r>
      <w:r>
        <w:rPr>
          <w:sz w:val="20"/>
          <w:szCs w:val="20"/>
        </w:rPr>
        <w:t xml:space="preserve"> </w:t>
      </w:r>
      <w:hyperlink r:id="rId33">
        <w:r>
          <w:rPr>
            <w:color w:val="1155CC"/>
            <w:sz w:val="20"/>
            <w:szCs w:val="20"/>
            <w:u w:val="single"/>
          </w:rPr>
          <w:t>https://www.reuters.com/article/us-bahrain-violence-idUSBRE91D0CK20130214</w:t>
        </w:r>
      </w:hyperlink>
      <w:r>
        <w:rPr>
          <w:sz w:val="20"/>
          <w:szCs w:val="20"/>
        </w:rPr>
        <w:t xml:space="preserve"> </w:t>
      </w:r>
    </w:p>
  </w:footnote>
  <w:footnote w:id="37">
    <w:p w14:paraId="425688B5" w14:textId="77777777" w:rsidR="00702A21" w:rsidRDefault="00DD5C1A">
      <w:pPr>
        <w:spacing w:line="240" w:lineRule="auto"/>
        <w:jc w:val="left"/>
        <w:rPr>
          <w:rFonts w:ascii="Times New Roman" w:eastAsia="Times New Roman" w:hAnsi="Times New Roman" w:cs="Times New Roman"/>
          <w:sz w:val="22"/>
          <w:szCs w:val="22"/>
        </w:rPr>
      </w:pPr>
      <w:r>
        <w:rPr>
          <w:vertAlign w:val="superscript"/>
        </w:rPr>
        <w:footnoteRef/>
      </w:r>
      <w:r>
        <w:rPr>
          <w:sz w:val="20"/>
          <w:szCs w:val="20"/>
        </w:rPr>
        <w:t xml:space="preserve">  </w:t>
      </w:r>
      <w:hyperlink r:id="rId34">
        <w:r>
          <w:rPr>
            <w:rFonts w:ascii="Times New Roman" w:eastAsia="Times New Roman" w:hAnsi="Times New Roman" w:cs="Times New Roman"/>
            <w:color w:val="1155CC"/>
            <w:sz w:val="22"/>
            <w:szCs w:val="22"/>
            <w:u w:val="single"/>
          </w:rPr>
          <w:t>https://www.hrw.org/news/2014/06/11/bahrain-gunshot-deaths-require-swift-investigation</w:t>
        </w:r>
      </w:hyperlink>
      <w:r>
        <w:rPr>
          <w:rFonts w:ascii="Times New Roman" w:eastAsia="Times New Roman" w:hAnsi="Times New Roman" w:cs="Times New Roman"/>
          <w:sz w:val="22"/>
          <w:szCs w:val="22"/>
        </w:rPr>
        <w:t xml:space="preserve"> </w:t>
      </w:r>
    </w:p>
    <w:p w14:paraId="0CC77095" w14:textId="77777777" w:rsidR="00702A21" w:rsidRDefault="00DD5C1A">
      <w:pPr>
        <w:spacing w:line="240" w:lineRule="auto"/>
        <w:jc w:val="left"/>
        <w:rPr>
          <w:sz w:val="20"/>
          <w:szCs w:val="20"/>
        </w:rPr>
      </w:pPr>
      <w:hyperlink r:id="rId35">
        <w:r>
          <w:rPr>
            <w:rFonts w:ascii="Times New Roman" w:eastAsia="Times New Roman" w:hAnsi="Times New Roman" w:cs="Times New Roman"/>
            <w:color w:val="1155CC"/>
            <w:sz w:val="22"/>
            <w:szCs w:val="22"/>
            <w:u w:val="single"/>
          </w:rPr>
          <w:t>https://observers.france24.com/en/20140526-bahrain-t</w:t>
        </w:r>
        <w:r>
          <w:rPr>
            <w:rFonts w:ascii="Times New Roman" w:eastAsia="Times New Roman" w:hAnsi="Times New Roman" w:cs="Times New Roman"/>
            <w:color w:val="1155CC"/>
            <w:sz w:val="22"/>
            <w:szCs w:val="22"/>
            <w:u w:val="single"/>
          </w:rPr>
          <w:t>eenage-boy-killed-clashes</w:t>
        </w:r>
      </w:hyperlink>
      <w:r>
        <w:rPr>
          <w:rFonts w:ascii="Times New Roman" w:eastAsia="Times New Roman" w:hAnsi="Times New Roman" w:cs="Times New Roman"/>
          <w:sz w:val="22"/>
          <w:szCs w:val="22"/>
        </w:rPr>
        <w:t xml:space="preserve"> </w:t>
      </w:r>
    </w:p>
  </w:footnote>
  <w:footnote w:id="38">
    <w:p w14:paraId="5A36BC06" w14:textId="77777777" w:rsidR="00702A21" w:rsidRDefault="00DD5C1A">
      <w:pPr>
        <w:spacing w:line="240" w:lineRule="auto"/>
        <w:rPr>
          <w:sz w:val="20"/>
          <w:szCs w:val="20"/>
        </w:rPr>
      </w:pPr>
      <w:r>
        <w:rPr>
          <w:vertAlign w:val="superscript"/>
        </w:rPr>
        <w:footnoteRef/>
      </w:r>
      <w:r>
        <w:rPr>
          <w:sz w:val="20"/>
          <w:szCs w:val="20"/>
        </w:rPr>
        <w:t xml:space="preserve"> </w:t>
      </w:r>
      <w:hyperlink r:id="rId36">
        <w:r>
          <w:rPr>
            <w:color w:val="1155CC"/>
            <w:sz w:val="20"/>
            <w:szCs w:val="20"/>
            <w:u w:val="single"/>
          </w:rPr>
          <w:t>https://www.bahrai</w:t>
        </w:r>
        <w:r>
          <w:rPr>
            <w:color w:val="1155CC"/>
            <w:sz w:val="20"/>
            <w:szCs w:val="20"/>
            <w:u w:val="single"/>
          </w:rPr>
          <w:t>n.bh/wps/wcm/connect/b024d7f9-de6d-415c-afa1-42e5a7cf8683/LAW%2BNO.%2B%284%29%2BOF%2B2021.pdf?MOD=AJPERES &amp;CVID=oaM6yXU</w:t>
        </w:r>
      </w:hyperlink>
      <w:r>
        <w:rPr>
          <w:sz w:val="20"/>
          <w:szCs w:val="20"/>
        </w:rPr>
        <w:t xml:space="preserve"> </w:t>
      </w:r>
    </w:p>
  </w:footnote>
  <w:footnote w:id="39">
    <w:p w14:paraId="00D81F5B" w14:textId="77777777" w:rsidR="00702A21" w:rsidRDefault="00DD5C1A">
      <w:pPr>
        <w:spacing w:line="240" w:lineRule="auto"/>
        <w:rPr>
          <w:sz w:val="20"/>
          <w:szCs w:val="20"/>
        </w:rPr>
      </w:pPr>
      <w:r>
        <w:rPr>
          <w:vertAlign w:val="superscript"/>
        </w:rPr>
        <w:footnoteRef/>
      </w:r>
      <w:r>
        <w:rPr>
          <w:sz w:val="20"/>
          <w:szCs w:val="20"/>
        </w:rPr>
        <w:t xml:space="preserve"> </w:t>
      </w:r>
      <w:hyperlink r:id="rId37">
        <w:r>
          <w:rPr>
            <w:color w:val="1155CC"/>
            <w:sz w:val="20"/>
            <w:szCs w:val="20"/>
            <w:u w:val="single"/>
          </w:rPr>
          <w:t>h</w:t>
        </w:r>
        <w:r>
          <w:rPr>
            <w:color w:val="1155CC"/>
            <w:sz w:val="20"/>
            <w:szCs w:val="20"/>
            <w:u w:val="single"/>
          </w:rPr>
          <w:t>ttps://www.bna.bh/news?cms=q8FmFJgiscL2fwIzON1%2BDin2tk9ryoW%2BSbfj6z4l380%3D</w:t>
        </w:r>
      </w:hyperlink>
      <w:r>
        <w:rPr>
          <w:sz w:val="20"/>
          <w:szCs w:val="20"/>
        </w:rPr>
        <w:t xml:space="preserve"> </w:t>
      </w:r>
    </w:p>
  </w:footnote>
  <w:footnote w:id="40">
    <w:p w14:paraId="7E378C1E" w14:textId="77777777" w:rsidR="00702A21" w:rsidRDefault="00DD5C1A">
      <w:pPr>
        <w:spacing w:line="240" w:lineRule="auto"/>
        <w:rPr>
          <w:sz w:val="20"/>
          <w:szCs w:val="20"/>
        </w:rPr>
      </w:pPr>
      <w:r>
        <w:rPr>
          <w:vertAlign w:val="superscript"/>
        </w:rPr>
        <w:footnoteRef/>
      </w:r>
      <w:r>
        <w:rPr>
          <w:sz w:val="20"/>
          <w:szCs w:val="20"/>
        </w:rPr>
        <w:t xml:space="preserve"> </w:t>
      </w:r>
      <w:hyperlink r:id="rId38">
        <w:r>
          <w:rPr>
            <w:color w:val="1155CC"/>
            <w:sz w:val="20"/>
            <w:szCs w:val="20"/>
            <w:u w:val="single"/>
          </w:rPr>
          <w:t>https://www.hrw.org/news/2021/03/10/bahr</w:t>
        </w:r>
        <w:r>
          <w:rPr>
            <w:color w:val="1155CC"/>
            <w:sz w:val="20"/>
            <w:szCs w:val="20"/>
            <w:u w:val="single"/>
          </w:rPr>
          <w:t>ain-police-beat-threaten-children</w:t>
        </w:r>
      </w:hyperlink>
    </w:p>
    <w:p w14:paraId="34076598" w14:textId="77777777" w:rsidR="00702A21" w:rsidRDefault="00702A21">
      <w:pPr>
        <w:spacing w:line="240" w:lineRule="auto"/>
        <w:rPr>
          <w:sz w:val="20"/>
          <w:szCs w:val="20"/>
        </w:rPr>
      </w:pPr>
    </w:p>
  </w:footnote>
  <w:footnote w:id="41">
    <w:p w14:paraId="1AD13FA1" w14:textId="77777777" w:rsidR="00702A21" w:rsidRDefault="00DD5C1A">
      <w:pPr>
        <w:spacing w:line="240" w:lineRule="auto"/>
        <w:rPr>
          <w:sz w:val="20"/>
          <w:szCs w:val="20"/>
        </w:rPr>
      </w:pPr>
      <w:r>
        <w:rPr>
          <w:vertAlign w:val="superscript"/>
        </w:rPr>
        <w:footnoteRef/>
      </w:r>
      <w:r>
        <w:rPr>
          <w:sz w:val="20"/>
          <w:szCs w:val="20"/>
        </w:rPr>
        <w:t xml:space="preserve"> </w:t>
      </w:r>
      <w:hyperlink r:id="rId39">
        <w:r>
          <w:rPr>
            <w:color w:val="1155CC"/>
            <w:u w:val="single"/>
          </w:rPr>
          <w:t>https://twitter.com/ebrahim_sarhan/status/1529091983830134787</w:t>
        </w:r>
      </w:hyperlink>
    </w:p>
    <w:p w14:paraId="6882BAEF" w14:textId="77777777" w:rsidR="00702A21" w:rsidRDefault="00702A21">
      <w:pPr>
        <w:spacing w:line="240" w:lineRule="auto"/>
        <w:rPr>
          <w:sz w:val="20"/>
          <w:szCs w:val="20"/>
        </w:rPr>
      </w:pPr>
    </w:p>
  </w:footnote>
  <w:footnote w:id="42">
    <w:p w14:paraId="7A4A4C8B"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hyperlink r:id="rId40">
        <w:r>
          <w:rPr>
            <w:rFonts w:ascii="Times New Roman" w:eastAsia="Times New Roman" w:hAnsi="Times New Roman" w:cs="Times New Roman"/>
            <w:color w:val="1155CC"/>
            <w:sz w:val="20"/>
            <w:szCs w:val="20"/>
            <w:u w:val="single"/>
          </w:rPr>
          <w:t>https://www.reuters.com/article/us-bahrain-security-idUSKCN1S50PC</w:t>
        </w:r>
      </w:hyperlink>
      <w:r>
        <w:rPr>
          <w:rFonts w:ascii="Times New Roman" w:eastAsia="Times New Roman" w:hAnsi="Times New Roman" w:cs="Times New Roman"/>
          <w:sz w:val="20"/>
          <w:szCs w:val="20"/>
        </w:rPr>
        <w:t xml:space="preserve"> </w:t>
      </w:r>
    </w:p>
  </w:footnote>
  <w:footnote w:id="43">
    <w:p w14:paraId="0F677C04"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1">
        <w:r>
          <w:rPr>
            <w:rFonts w:ascii="Times New Roman" w:eastAsia="Times New Roman" w:hAnsi="Times New Roman" w:cs="Times New Roman"/>
            <w:color w:val="1155CC"/>
            <w:sz w:val="20"/>
            <w:szCs w:val="20"/>
            <w:u w:val="single"/>
          </w:rPr>
          <w:t>https://www.reuters.com/article/us-bahrain-security-idUSKCN1RX0HW</w:t>
        </w:r>
      </w:hyperlink>
      <w:r>
        <w:rPr>
          <w:rFonts w:ascii="Times New Roman" w:eastAsia="Times New Roman" w:hAnsi="Times New Roman" w:cs="Times New Roman"/>
          <w:sz w:val="20"/>
          <w:szCs w:val="20"/>
        </w:rPr>
        <w:t xml:space="preserve"> </w:t>
      </w:r>
    </w:p>
    <w:p w14:paraId="100D6153" w14:textId="77777777" w:rsidR="00702A21" w:rsidRDefault="00DD5C1A">
      <w:pPr>
        <w:spacing w:line="240" w:lineRule="auto"/>
        <w:jc w:val="left"/>
        <w:rPr>
          <w:rFonts w:ascii="Times New Roman" w:eastAsia="Times New Roman" w:hAnsi="Times New Roman" w:cs="Times New Roman"/>
          <w:sz w:val="20"/>
          <w:szCs w:val="20"/>
        </w:rPr>
      </w:pPr>
      <w:hyperlink r:id="rId42">
        <w:r>
          <w:rPr>
            <w:rFonts w:ascii="Times New Roman" w:eastAsia="Times New Roman" w:hAnsi="Times New Roman" w:cs="Times New Roman"/>
            <w:color w:val="1155CC"/>
            <w:sz w:val="20"/>
            <w:szCs w:val="20"/>
            <w:u w:val="single"/>
          </w:rPr>
          <w:t>https://www.hrw.org/world-report/2020/country-chapters/bahrain</w:t>
        </w:r>
      </w:hyperlink>
      <w:r>
        <w:rPr>
          <w:rFonts w:ascii="Times New Roman" w:eastAsia="Times New Roman" w:hAnsi="Times New Roman" w:cs="Times New Roman"/>
          <w:sz w:val="20"/>
          <w:szCs w:val="20"/>
        </w:rPr>
        <w:t xml:space="preserve"> </w:t>
      </w:r>
    </w:p>
    <w:p w14:paraId="6C5B65A5" w14:textId="77777777" w:rsidR="00702A21" w:rsidRDefault="00DD5C1A">
      <w:pPr>
        <w:spacing w:line="240" w:lineRule="auto"/>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Full list of 551 individuals who had their citizenship reinstated: </w:t>
      </w:r>
      <w:hyperlink r:id="rId43">
        <w:r>
          <w:rPr>
            <w:rFonts w:ascii="Times New Roman" w:eastAsia="Times New Roman" w:hAnsi="Times New Roman" w:cs="Times New Roman"/>
            <w:color w:val="1155CC"/>
            <w:sz w:val="20"/>
            <w:szCs w:val="20"/>
            <w:u w:val="single"/>
          </w:rPr>
          <w:t>https://www.alayam.com/online/local/792292/News.html</w:t>
        </w:r>
      </w:hyperlink>
      <w:r>
        <w:rPr>
          <w:rFonts w:ascii="Times New Roman" w:eastAsia="Times New Roman" w:hAnsi="Times New Roman" w:cs="Times New Roman"/>
          <w:sz w:val="20"/>
          <w:szCs w:val="20"/>
        </w:rPr>
        <w:t xml:space="preserve"> </w:t>
      </w:r>
    </w:p>
  </w:footnote>
  <w:footnote w:id="44">
    <w:p w14:paraId="09576980"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2013 Amendment to Counterterrorism Law : </w:t>
      </w:r>
      <w:hyperlink r:id="rId44">
        <w:r>
          <w:rPr>
            <w:rFonts w:ascii="Times New Roman" w:eastAsia="Times New Roman" w:hAnsi="Times New Roman" w:cs="Times New Roman"/>
            <w:color w:val="1155CC"/>
            <w:sz w:val="20"/>
            <w:szCs w:val="20"/>
            <w:u w:val="single"/>
          </w:rPr>
          <w:t>https://www.lloc.gov.bh/HTM/L2013.htm</w:t>
        </w:r>
      </w:hyperlink>
      <w:r>
        <w:rPr>
          <w:rFonts w:ascii="Times New Roman" w:eastAsia="Times New Roman" w:hAnsi="Times New Roman" w:cs="Times New Roman"/>
          <w:sz w:val="20"/>
          <w:szCs w:val="20"/>
        </w:rPr>
        <w:t xml:space="preserve"> </w:t>
      </w:r>
    </w:p>
  </w:footnote>
  <w:footnote w:id="45">
    <w:p w14:paraId="7976FF08"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2019 Amendment to Citizenship Law: </w:t>
      </w:r>
      <w:hyperlink r:id="rId45">
        <w:r>
          <w:rPr>
            <w:rFonts w:ascii="Times New Roman" w:eastAsia="Times New Roman" w:hAnsi="Times New Roman" w:cs="Times New Roman"/>
            <w:color w:val="1155CC"/>
            <w:sz w:val="20"/>
            <w:szCs w:val="20"/>
            <w:u w:val="single"/>
          </w:rPr>
          <w:t>https://www.legalaffairs.gov.bh/HTM/L1619.htm</w:t>
        </w:r>
      </w:hyperlink>
      <w:r>
        <w:rPr>
          <w:rFonts w:ascii="Times New Roman" w:eastAsia="Times New Roman" w:hAnsi="Times New Roman" w:cs="Times New Roman"/>
          <w:sz w:val="20"/>
          <w:szCs w:val="20"/>
        </w:rPr>
        <w:t xml:space="preserve"> </w:t>
      </w:r>
    </w:p>
  </w:footnote>
  <w:footnote w:id="46">
    <w:p w14:paraId="6522C433"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2014 Amendment to Citizenship Law: </w:t>
      </w:r>
      <w:hyperlink r:id="rId46">
        <w:r>
          <w:rPr>
            <w:rFonts w:ascii="Times New Roman" w:eastAsia="Times New Roman" w:hAnsi="Times New Roman" w:cs="Times New Roman"/>
            <w:color w:val="1155CC"/>
            <w:sz w:val="20"/>
            <w:szCs w:val="20"/>
            <w:u w:val="single"/>
          </w:rPr>
          <w:t>https://www.legalaffairs.gov.bh/HTM/K2114.ht</w:t>
        </w:r>
        <w:r>
          <w:rPr>
            <w:rFonts w:ascii="Times New Roman" w:eastAsia="Times New Roman" w:hAnsi="Times New Roman" w:cs="Times New Roman"/>
            <w:color w:val="1155CC"/>
            <w:sz w:val="20"/>
            <w:szCs w:val="20"/>
            <w:u w:val="single"/>
          </w:rPr>
          <w:t>m</w:t>
        </w:r>
      </w:hyperlink>
      <w:r>
        <w:rPr>
          <w:rFonts w:ascii="Times New Roman" w:eastAsia="Times New Roman" w:hAnsi="Times New Roman" w:cs="Times New Roman"/>
          <w:sz w:val="20"/>
          <w:szCs w:val="20"/>
        </w:rPr>
        <w:t xml:space="preserve"> </w:t>
      </w:r>
    </w:p>
  </w:footnote>
  <w:footnote w:id="47">
    <w:p w14:paraId="01CDC0C2"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7"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https</w:t>
        </w:r>
      </w:hyperlink>
      <w:hyperlink r:id="rId48"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49"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www</w:t>
        </w:r>
      </w:hyperlink>
      <w:hyperlink r:id="rId50"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51"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legalaffairs</w:t>
        </w:r>
      </w:hyperlink>
      <w:hyperlink r:id="rId52"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53"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gov</w:t>
        </w:r>
      </w:hyperlink>
      <w:hyperlink r:id="rId54"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55"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bh</w:t>
        </w:r>
      </w:hyperlink>
      <w:hyperlink r:id="rId56"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57"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htm</w:t>
        </w:r>
      </w:hyperlink>
      <w:hyperlink r:id="rId58"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59"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K</w:t>
        </w:r>
      </w:hyperlink>
      <w:hyperlink r:id="rId60"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0863.</w:t>
        </w:r>
      </w:hyperlink>
      <w:hyperlink r:id="rId61"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htm</w:t>
        </w:r>
      </w:hyperlink>
      <w:hyperlink r:id="rId62"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63"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text</w:t>
        </w:r>
      </w:hyperlink>
      <w:hyperlink r:id="rId64"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w:t>
        </w:r>
      </w:hyperlink>
      <w:hyperlink r:id="rId65"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البحرينيون</w:t>
        </w:r>
      </w:hyperlink>
      <w:hyperlink r:id="rId66"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67"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بالتجنس</w:t>
        </w:r>
      </w:hyperlink>
      <w:hyperlink r:id="rId68"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&amp;</w:t>
        </w:r>
      </w:hyperlink>
      <w:hyperlink r:id="rId69"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text</w:t>
        </w:r>
      </w:hyperlink>
      <w:hyperlink r:id="rId70"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Pr>
          <w:t>=(%20</w:t>
        </w:r>
      </w:hyperlink>
      <w:hyperlink r:id="rId71"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أ</w:t>
        </w:r>
      </w:hyperlink>
      <w:hyperlink r:id="rId72"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%20)%20</w:t>
        </w:r>
      </w:hyperlink>
      <w:hyperlink r:id="rId73"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أن</w:t>
        </w:r>
      </w:hyperlink>
      <w:hyperlink r:id="rId74"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75"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يكون</w:t>
        </w:r>
      </w:hyperlink>
      <w:hyperlink r:id="rId76"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77"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قد</w:t>
        </w:r>
      </w:hyperlink>
      <w:hyperlink r:id="rId78"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79"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جعل</w:t>
        </w:r>
      </w:hyperlink>
      <w:hyperlink r:id="rId80"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w:t>
        </w:r>
      </w:hyperlink>
      <w:hyperlink r:id="rId81"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يعرف</w:t>
        </w:r>
      </w:hyperlink>
      <w:hyperlink r:id="rId82"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83"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اللغة</w:t>
        </w:r>
      </w:hyperlink>
      <w:hyperlink r:id="rId84"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85"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العربية</w:t>
        </w:r>
      </w:hyperlink>
      <w:hyperlink r:id="rId86"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87"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معرفة</w:t>
        </w:r>
      </w:hyperlink>
      <w:hyperlink r:id="rId88"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%20</w:t>
        </w:r>
      </w:hyperlink>
      <w:hyperlink r:id="rId89" w:anchor=":~:text=%D8%A7%D9%84%D8%A8%D8%AD%D8%B1%D9%8A%D9%86%D9%8A%D9%88%D9%86%20%D8%A8%D8%A7%D9%84%D8%AA%D8%AC%D9%86%D8%B3&amp;text=(%20%D8%A3%20)%20%D8%A3%D9%86%20%D9%8A%D9%83%D9%88%D9%86%20%D9%82%D8%AF%20%D8%AC%D8%B9%D9%84,%D9%8A%D8%B9%D8%B1%D9%81%20%D8%A7%D9%84%D9%84%D8%BA%D8%A9%20%D8%A7%D9%84%D8%B9%D8%B1%D8%A8%D9%8A%D8%A9%20%D9%85%D8%B9%D8%B1%D9%81%D8%A9%20%D9%83%D8%A7%D9%81%D9%8A%D8%A9">
        <w:r>
          <w:rPr>
            <w:rFonts w:ascii="Times New Roman" w:eastAsia="Times New Roman" w:hAnsi="Times New Roman" w:cs="Times New Roman"/>
            <w:color w:val="1155CC"/>
            <w:sz w:val="20"/>
            <w:szCs w:val="20"/>
            <w:u w:val="single"/>
            <w:rtl/>
          </w:rPr>
          <w:t>كافية</w:t>
        </w:r>
      </w:hyperlink>
      <w:r>
        <w:rPr>
          <w:rFonts w:ascii="Times New Roman" w:eastAsia="Times New Roman" w:hAnsi="Times New Roman" w:cs="Times New Roman"/>
          <w:sz w:val="20"/>
          <w:szCs w:val="20"/>
        </w:rPr>
        <w:t xml:space="preserve">. </w:t>
      </w:r>
    </w:p>
  </w:footnote>
  <w:footnote w:id="48">
    <w:p w14:paraId="4D6878FD" w14:textId="77777777" w:rsidR="00702A21" w:rsidRDefault="00DD5C1A">
      <w:pPr>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Article 4, Provision B on the other hand states that “If a person is born outside Bahrain after the effective date of this law, and their father was Bahraini at the time of their birth, and either</w:t>
      </w:r>
      <w:r>
        <w:rPr>
          <w:rFonts w:ascii="Times New Roman" w:eastAsia="Times New Roman" w:hAnsi="Times New Roman" w:cs="Times New Roman"/>
          <w:sz w:val="20"/>
          <w:szCs w:val="20"/>
        </w:rPr>
        <w:t xml:space="preserve"> this father or the person's paternal grandfather was born in Bahrain, then they are considered Bahraini.” Thus, there is no equivalent clause for men who can pass on the citizenship easily to their children.</w:t>
      </w:r>
    </w:p>
  </w:footnote>
  <w:footnote w:id="49">
    <w:p w14:paraId="3BF669B0" w14:textId="77777777" w:rsidR="00702A21" w:rsidRDefault="00DD5C1A">
      <w:pPr>
        <w:spacing w:line="240" w:lineRule="auto"/>
        <w:jc w:val="left"/>
        <w:rPr>
          <w:sz w:val="20"/>
          <w:szCs w:val="20"/>
        </w:rPr>
      </w:pPr>
      <w:r>
        <w:rPr>
          <w:vertAlign w:val="superscript"/>
        </w:rPr>
        <w:footnoteRef/>
      </w:r>
      <w:r>
        <w:rPr>
          <w:sz w:val="20"/>
          <w:szCs w:val="20"/>
        </w:rPr>
        <w:t xml:space="preserve"> On January 31, 2015, the Bahraini government </w:t>
      </w:r>
      <w:r>
        <w:rPr>
          <w:sz w:val="20"/>
          <w:szCs w:val="20"/>
        </w:rPr>
        <w:t>announced that they had stripped 72 Bahrainis, including journalists, human rights defenders, and peaceful dissidents of their nationality. Please find attached (Annex A) the official royal decree signed by King Hamad, Prime Minister, and Interior Minister</w:t>
      </w:r>
      <w:r>
        <w:rPr>
          <w:sz w:val="20"/>
          <w:szCs w:val="20"/>
        </w:rPr>
        <w:t>, on January 29, 2015. The decree states that King Hamad has taken “into consideration the recommendations of the National Council in its extraordinary session held on July 28, 2013, particularly the second recommendation that states ‘revoking Bahraini cit</w:t>
      </w:r>
      <w:r>
        <w:rPr>
          <w:sz w:val="20"/>
          <w:szCs w:val="20"/>
        </w:rPr>
        <w:t>izenship for all perpetrators of terrorist crimes and those inciting them,’ [and…] the report of the Ministry of Interior regarding the involvement of the individuals listed below in activities and behaviours that jeopardise the interests of the Kingdom an</w:t>
      </w:r>
      <w:r>
        <w:rPr>
          <w:sz w:val="20"/>
          <w:szCs w:val="20"/>
        </w:rPr>
        <w:t xml:space="preserve">d contradict their allegiance duty.” None of the 72 individuals have had their citizenship reinstated as of this submission, and have had no recourse to appeal or overturn this decision. </w:t>
      </w:r>
    </w:p>
    <w:p w14:paraId="7741655E" w14:textId="77777777" w:rsidR="00702A21" w:rsidRDefault="00702A21">
      <w:pPr>
        <w:spacing w:line="240" w:lineRule="auto"/>
        <w:jc w:val="left"/>
        <w:rPr>
          <w:sz w:val="20"/>
          <w:szCs w:val="20"/>
        </w:rPr>
      </w:pPr>
    </w:p>
  </w:footnote>
  <w:footnote w:id="50">
    <w:p w14:paraId="22DABE96"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0">
        <w:r>
          <w:rPr>
            <w:rFonts w:ascii="Times New Roman" w:eastAsia="Times New Roman" w:hAnsi="Times New Roman" w:cs="Times New Roman"/>
            <w:color w:val="1155CC"/>
            <w:sz w:val="20"/>
            <w:szCs w:val="20"/>
            <w:u w:val="single"/>
          </w:rPr>
          <w:t>https://www.theguardian.com/commentisfree/2021/may/20/bahrain-made-me-stateless-now-my-young-daughter-is-facing-a-similar-fate-in-the-uk</w:t>
        </w:r>
      </w:hyperlink>
      <w:r>
        <w:rPr>
          <w:rFonts w:ascii="Times New Roman" w:eastAsia="Times New Roman" w:hAnsi="Times New Roman" w:cs="Times New Roman"/>
          <w:sz w:val="20"/>
          <w:szCs w:val="20"/>
        </w:rPr>
        <w:t xml:space="preserve"> </w:t>
      </w:r>
    </w:p>
  </w:footnote>
  <w:footnote w:id="51">
    <w:p w14:paraId="3CCE48A6"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1" w:anchor="2963">
        <w:r>
          <w:rPr>
            <w:rFonts w:ascii="Times New Roman" w:eastAsia="Times New Roman" w:hAnsi="Times New Roman" w:cs="Times New Roman"/>
            <w:color w:val="1155CC"/>
            <w:sz w:val="20"/>
            <w:szCs w:val="20"/>
            <w:u w:val="single"/>
          </w:rPr>
          <w:t>https://www.hrw.org/report/2014/05/28/criminalizing-dissent-entrenching-impunity/persistent-failures-bahraini-justice#2963</w:t>
        </w:r>
      </w:hyperlink>
      <w:r>
        <w:rPr>
          <w:rFonts w:ascii="Times New Roman" w:eastAsia="Times New Roman" w:hAnsi="Times New Roman" w:cs="Times New Roman"/>
          <w:sz w:val="20"/>
          <w:szCs w:val="20"/>
        </w:rPr>
        <w:t xml:space="preserve"> </w:t>
      </w:r>
    </w:p>
  </w:footnote>
  <w:footnote w:id="52">
    <w:p w14:paraId="50C5DF12"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2">
        <w:r>
          <w:rPr>
            <w:rFonts w:ascii="Times New Roman" w:eastAsia="Times New Roman" w:hAnsi="Times New Roman" w:cs="Times New Roman"/>
            <w:color w:val="1155CC"/>
            <w:sz w:val="20"/>
            <w:szCs w:val="20"/>
            <w:u w:val="single"/>
          </w:rPr>
          <w:t>https://spcommreports.ohchr.org/TMResultsBase/DownLoadPublicCommunicationFile?gId=27094</w:t>
        </w:r>
      </w:hyperlink>
      <w:r>
        <w:rPr>
          <w:rFonts w:ascii="Times New Roman" w:eastAsia="Times New Roman" w:hAnsi="Times New Roman" w:cs="Times New Roman"/>
          <w:sz w:val="20"/>
          <w:szCs w:val="20"/>
        </w:rPr>
        <w:t xml:space="preserve"> </w:t>
      </w:r>
    </w:p>
  </w:footnote>
  <w:footnote w:id="53">
    <w:p w14:paraId="520B9C6A"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3">
        <w:r>
          <w:rPr>
            <w:rFonts w:ascii="Times New Roman" w:eastAsia="Times New Roman" w:hAnsi="Times New Roman" w:cs="Times New Roman"/>
            <w:color w:val="1155CC"/>
            <w:sz w:val="20"/>
            <w:szCs w:val="20"/>
            <w:u w:val="single"/>
          </w:rPr>
          <w:t>https://spcommreports.ohchr.org/TMResultsBase/DownLoadFile?gId=36953</w:t>
        </w:r>
      </w:hyperlink>
      <w:r>
        <w:rPr>
          <w:rFonts w:ascii="Times New Roman" w:eastAsia="Times New Roman" w:hAnsi="Times New Roman" w:cs="Times New Roman"/>
          <w:sz w:val="20"/>
          <w:szCs w:val="20"/>
        </w:rPr>
        <w:t xml:space="preserve">  </w:t>
      </w:r>
    </w:p>
  </w:footnote>
  <w:footnote w:id="54">
    <w:p w14:paraId="227C7769" w14:textId="77777777" w:rsidR="00702A21" w:rsidRDefault="00DD5C1A">
      <w:pPr>
        <w:spacing w:line="240" w:lineRule="auto"/>
        <w:jc w:val="left"/>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94">
        <w:r>
          <w:rPr>
            <w:rFonts w:ascii="Times New Roman" w:eastAsia="Times New Roman" w:hAnsi="Times New Roman" w:cs="Times New Roman"/>
            <w:color w:val="1155CC"/>
            <w:sz w:val="20"/>
            <w:szCs w:val="20"/>
            <w:u w:val="single"/>
          </w:rPr>
          <w:t>https://ww</w:t>
        </w:r>
        <w:r>
          <w:rPr>
            <w:rFonts w:ascii="Times New Roman" w:eastAsia="Times New Roman" w:hAnsi="Times New Roman" w:cs="Times New Roman"/>
            <w:color w:val="1155CC"/>
            <w:sz w:val="20"/>
            <w:szCs w:val="20"/>
            <w:u w:val="single"/>
          </w:rPr>
          <w:t>w.bahrain.bh/new/en/govsocialsupport-disabilities_en.html</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FEAE3" w14:textId="77777777" w:rsidR="00702A21" w:rsidRDefault="00DD5C1A">
    <w:r>
      <w:rPr>
        <w:rFonts w:ascii="Times New Roman" w:eastAsia="Times New Roman" w:hAnsi="Times New Roman" w:cs="Times New Roman"/>
        <w:color w:val="999999"/>
      </w:rPr>
      <w:t xml:space="preserve">Bahrain Institute for Rights and Democracy (BIRD)    </w:t>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86FA8" w14:textId="77777777" w:rsidR="00702A21" w:rsidRDefault="00702A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219A5"/>
    <w:multiLevelType w:val="multilevel"/>
    <w:tmpl w:val="251CFF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6EB6C86"/>
    <w:multiLevelType w:val="multilevel"/>
    <w:tmpl w:val="1A8E06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4C9127A"/>
    <w:multiLevelType w:val="multilevel"/>
    <w:tmpl w:val="2C226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65623BF"/>
    <w:multiLevelType w:val="multilevel"/>
    <w:tmpl w:val="4296D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4B69E4"/>
    <w:multiLevelType w:val="multilevel"/>
    <w:tmpl w:val="4564976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C322A72"/>
    <w:multiLevelType w:val="multilevel"/>
    <w:tmpl w:val="0B5E6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254D44"/>
    <w:multiLevelType w:val="multilevel"/>
    <w:tmpl w:val="DBCEF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2090441"/>
    <w:multiLevelType w:val="multilevel"/>
    <w:tmpl w:val="E2D0E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634048"/>
    <w:multiLevelType w:val="multilevel"/>
    <w:tmpl w:val="7AD83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1"/>
  </w:num>
  <w:num w:numId="4">
    <w:abstractNumId w:val="3"/>
  </w:num>
  <w:num w:numId="5">
    <w:abstractNumId w:val="6"/>
  </w:num>
  <w:num w:numId="6">
    <w:abstractNumId w:val="7"/>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A21"/>
    <w:rsid w:val="00702A21"/>
    <w:rsid w:val="00DD5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C617"/>
  <w15:docId w15:val="{2A9602AE-6010-4CB6-AD1B-C41CB279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sz w:val="32"/>
      <w:szCs w:val="32"/>
    </w:rPr>
  </w:style>
  <w:style w:type="paragraph" w:styleId="Heading2">
    <w:name w:val="heading 2"/>
    <w:basedOn w:val="Normal"/>
    <w:next w:val="Normal"/>
    <w:uiPriority w:val="9"/>
    <w:unhideWhenUsed/>
    <w:qFormat/>
    <w:pPr>
      <w:keepNext/>
      <w:keepLines/>
      <w:spacing w:before="360" w:after="120"/>
      <w:outlineLvl w:val="1"/>
    </w:pPr>
    <w:rPr>
      <w:rFonts w:ascii="Times New Roman" w:eastAsia="Times New Roman" w:hAnsi="Times New Roman" w:cs="Times New Roman"/>
      <w:sz w:val="28"/>
      <w:szCs w:val="28"/>
    </w:rPr>
  </w:style>
  <w:style w:type="paragraph" w:styleId="Heading3">
    <w:name w:val="heading 3"/>
    <w:basedOn w:val="Normal"/>
    <w:next w:val="Normal"/>
    <w:uiPriority w:val="9"/>
    <w:unhideWhenUsed/>
    <w:qFormat/>
    <w:pPr>
      <w:keepNext/>
      <w:keepLines/>
      <w:spacing w:before="240" w:after="240" w:line="240" w:lineRule="auto"/>
      <w:outlineLvl w:val="2"/>
    </w:pPr>
    <w:rPr>
      <w:b/>
      <w:color w:val="434343"/>
      <w:u w:val="single"/>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cs.google.com/spreadsheets/d/1umrOcg_u9SXfxBqBRzvUCRiG0wsMmGr_J-_29ZQfLgU/edit" TargetMode="External"/><Relationship Id="rId4" Type="http://schemas.openxmlformats.org/officeDocument/2006/relationships/webSettings" Target="webSettings.xml"/><Relationship Id="rId9" Type="http://schemas.openxmlformats.org/officeDocument/2006/relationships/hyperlink" Target="https://docs.google.com/spreadsheets/d/1Z0mdFt2xnlv8GOVMKiIV07VoZxf5FuMBgo9WauuOxr0/edit?usp=sharin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https://www.youtube.com/watch?v=9fVF0qQU3kc" TargetMode="External"/><Relationship Id="rId21" Type="http://schemas.openxmlformats.org/officeDocument/2006/relationships/hyperlink" Target="http://bhmapi.servehttp.com/news/37590.html" TargetMode="External"/><Relationship Id="rId42" Type="http://schemas.openxmlformats.org/officeDocument/2006/relationships/hyperlink" Target="https://www.hrw.org/world-report/2020/country-chapters/bahrain" TargetMode="External"/><Relationship Id="rId47" Type="http://schemas.openxmlformats.org/officeDocument/2006/relationships/hyperlink" Target="https://www.legalaffairs.gov.bh/htm/K0863.htm" TargetMode="External"/><Relationship Id="rId63" Type="http://schemas.openxmlformats.org/officeDocument/2006/relationships/hyperlink" Target="https://www.legalaffairs.gov.bh/htm/K0863.htm" TargetMode="External"/><Relationship Id="rId68" Type="http://schemas.openxmlformats.org/officeDocument/2006/relationships/hyperlink" Target="https://www.legalaffairs.gov.bh/htm/K0863.htm" TargetMode="External"/><Relationship Id="rId84" Type="http://schemas.openxmlformats.org/officeDocument/2006/relationships/hyperlink" Target="https://www.legalaffairs.gov.bh/htm/K0863.htm" TargetMode="External"/><Relationship Id="rId89" Type="http://schemas.openxmlformats.org/officeDocument/2006/relationships/hyperlink" Target="https://www.legalaffairs.gov.bh/htm/K0863.htm" TargetMode="External"/><Relationship Id="rId16" Type="http://schemas.openxmlformats.org/officeDocument/2006/relationships/hyperlink" Target="https://archive.crin.org/en/library/news-archive/bahrain-child-abuse-continues-without-accountability.html" TargetMode="External"/><Relationship Id="rId11" Type="http://schemas.openxmlformats.org/officeDocument/2006/relationships/hyperlink" Target="https://bahrain.bh/wps/wcm/connect/c7f883db-d1c5-4b92-88c2-40d5fc61dcdd/LAW+NO.+%284%29+OF+2021.pdf?MOD=AJPERES" TargetMode="External"/><Relationship Id="rId32" Type="http://schemas.openxmlformats.org/officeDocument/2006/relationships/hyperlink" Target="http://www.aljazeera.com/news/middleeast/2012/08/201281815816901795.html" TargetMode="External"/><Relationship Id="rId37" Type="http://schemas.openxmlformats.org/officeDocument/2006/relationships/hyperlink" Target="https://www.bna.bh/news?cms=q8FmFJgiscL2fwIzON1%2BDin2tk9ryoW%2BSbfj6z4l380%3D" TargetMode="External"/><Relationship Id="rId53" Type="http://schemas.openxmlformats.org/officeDocument/2006/relationships/hyperlink" Target="https://www.legalaffairs.gov.bh/htm/K0863.htm" TargetMode="External"/><Relationship Id="rId58" Type="http://schemas.openxmlformats.org/officeDocument/2006/relationships/hyperlink" Target="https://www.legalaffairs.gov.bh/htm/K0863.htm" TargetMode="External"/><Relationship Id="rId74" Type="http://schemas.openxmlformats.org/officeDocument/2006/relationships/hyperlink" Target="https://www.legalaffairs.gov.bh/htm/K0863.htm" TargetMode="External"/><Relationship Id="rId79" Type="http://schemas.openxmlformats.org/officeDocument/2006/relationships/hyperlink" Target="https://www.legalaffairs.gov.bh/htm/K0863.htm" TargetMode="External"/><Relationship Id="rId5" Type="http://schemas.openxmlformats.org/officeDocument/2006/relationships/hyperlink" Target="https://questions-statements.parliament.uk/written-questions/detail/2021-03-11/hl14137" TargetMode="External"/><Relationship Id="rId90" Type="http://schemas.openxmlformats.org/officeDocument/2006/relationships/hyperlink" Target="https://www.theguardian.com/commentisfree/2021/may/20/bahrain-made-me-stateless-now-my-young-daughter-is-facing-a-similar-fate-in-the-uk" TargetMode="External"/><Relationship Id="rId22" Type="http://schemas.openxmlformats.org/officeDocument/2006/relationships/hyperlink" Target="https://twitter.com/DurazYouth/status/1205008664844787712" TargetMode="External"/><Relationship Id="rId27" Type="http://schemas.openxmlformats.org/officeDocument/2006/relationships/hyperlink" Target="http://www.alwasatnews.com/news/618157.html" TargetMode="External"/><Relationship Id="rId43" Type="http://schemas.openxmlformats.org/officeDocument/2006/relationships/hyperlink" Target="https://www.alayam.com/online/local/792292/News.html" TargetMode="External"/><Relationship Id="rId48" Type="http://schemas.openxmlformats.org/officeDocument/2006/relationships/hyperlink" Target="https://www.legalaffairs.gov.bh/htm/K0863.htm" TargetMode="External"/><Relationship Id="rId64" Type="http://schemas.openxmlformats.org/officeDocument/2006/relationships/hyperlink" Target="https://www.legalaffairs.gov.bh/htm/K0863.htm" TargetMode="External"/><Relationship Id="rId69" Type="http://schemas.openxmlformats.org/officeDocument/2006/relationships/hyperlink" Target="https://www.legalaffairs.gov.bh/htm/K0863.htm" TargetMode="External"/><Relationship Id="rId8" Type="http://schemas.openxmlformats.org/officeDocument/2006/relationships/hyperlink" Target="https://questions-statements.parliament.uk/written-questions/detail/2020-09-28/96201" TargetMode="External"/><Relationship Id="rId51" Type="http://schemas.openxmlformats.org/officeDocument/2006/relationships/hyperlink" Target="https://www.legalaffairs.gov.bh/htm/K0863.htm" TargetMode="External"/><Relationship Id="rId72" Type="http://schemas.openxmlformats.org/officeDocument/2006/relationships/hyperlink" Target="https://www.legalaffairs.gov.bh/htm/K0863.htm" TargetMode="External"/><Relationship Id="rId80" Type="http://schemas.openxmlformats.org/officeDocument/2006/relationships/hyperlink" Target="https://www.legalaffairs.gov.bh/htm/K0863.htm" TargetMode="External"/><Relationship Id="rId85" Type="http://schemas.openxmlformats.org/officeDocument/2006/relationships/hyperlink" Target="https://www.legalaffairs.gov.bh/htm/K0863.htm" TargetMode="External"/><Relationship Id="rId93" Type="http://schemas.openxmlformats.org/officeDocument/2006/relationships/hyperlink" Target="https://spcommreports.ohchr.org/TMResultsBase/DownLoadFile?gId=36953" TargetMode="External"/><Relationship Id="rId3" Type="http://schemas.openxmlformats.org/officeDocument/2006/relationships/hyperlink" Target="https://menarights.org/sites/default/files/2016-12/BHR_PenalCode_1976.EN_.pdf" TargetMode="External"/><Relationship Id="rId12" Type="http://schemas.openxmlformats.org/officeDocument/2006/relationships/hyperlink" Target="https://www.ppb.gov.bh/arabic/news-details.aspx?id=64zWF4xUcbw=" TargetMode="External"/><Relationship Id="rId17" Type="http://schemas.openxmlformats.org/officeDocument/2006/relationships/hyperlink" Target="https://www.alamy.com/a-mourner-cries-at-the-funeral-of-sayed-ahmed-shams-15-on-thursday-march-31-2011-in-saar-bahrain-west-of-the-capital-of-manama-witnesses-said-the-boy-was-shot-in-the-head-by-a-police-shell-and-his-skull-was-broken-a-charge-the-government-denies-the-sunni-government-supported-by-saudi-led-forces-is-carrying-out-a-crackdown-in-shiite-areas-nationwide-in-the-wake-of-anti-government-protests-ap-photohasan-jamali-image523732794.html" TargetMode="External"/><Relationship Id="rId25" Type="http://schemas.openxmlformats.org/officeDocument/2006/relationships/hyperlink" Target="https://bahrainrights.net/?p=6784" TargetMode="External"/><Relationship Id="rId33" Type="http://schemas.openxmlformats.org/officeDocument/2006/relationships/hyperlink" Target="https://www.reuters.com/article/us-bahrain-violence-idUSBRE91D0CK20130214" TargetMode="External"/><Relationship Id="rId38" Type="http://schemas.openxmlformats.org/officeDocument/2006/relationships/hyperlink" Target="https://www.hrw.org/news/2021/03/10/bahrain-police-beat-threaten-children" TargetMode="External"/><Relationship Id="rId46" Type="http://schemas.openxmlformats.org/officeDocument/2006/relationships/hyperlink" Target="https://www.legalaffairs.gov.bh/HTM/K2114.htm" TargetMode="External"/><Relationship Id="rId59" Type="http://schemas.openxmlformats.org/officeDocument/2006/relationships/hyperlink" Target="https://www.legalaffairs.gov.bh/htm/K0863.htm" TargetMode="External"/><Relationship Id="rId67" Type="http://schemas.openxmlformats.org/officeDocument/2006/relationships/hyperlink" Target="https://www.legalaffairs.gov.bh/htm/K0863.htm" TargetMode="External"/><Relationship Id="rId20" Type="http://schemas.openxmlformats.org/officeDocument/2006/relationships/hyperlink" Target="https://www.nytimes.com/2011/09/01/world/middleeast/01bahrain.html" TargetMode="External"/><Relationship Id="rId41" Type="http://schemas.openxmlformats.org/officeDocument/2006/relationships/hyperlink" Target="https://www.reuters.com/article/us-bahrain-security-idUSKCN1RX0HW" TargetMode="External"/><Relationship Id="rId54" Type="http://schemas.openxmlformats.org/officeDocument/2006/relationships/hyperlink" Target="https://www.legalaffairs.gov.bh/htm/K0863.htm" TargetMode="External"/><Relationship Id="rId62" Type="http://schemas.openxmlformats.org/officeDocument/2006/relationships/hyperlink" Target="https://www.legalaffairs.gov.bh/htm/K0863.htm" TargetMode="External"/><Relationship Id="rId70" Type="http://schemas.openxmlformats.org/officeDocument/2006/relationships/hyperlink" Target="https://www.legalaffairs.gov.bh/htm/K0863.htm" TargetMode="External"/><Relationship Id="rId75" Type="http://schemas.openxmlformats.org/officeDocument/2006/relationships/hyperlink" Target="https://www.legalaffairs.gov.bh/htm/K0863.htm" TargetMode="External"/><Relationship Id="rId83" Type="http://schemas.openxmlformats.org/officeDocument/2006/relationships/hyperlink" Target="https://www.legalaffairs.gov.bh/htm/K0863.htm" TargetMode="External"/><Relationship Id="rId88" Type="http://schemas.openxmlformats.org/officeDocument/2006/relationships/hyperlink" Target="https://www.legalaffairs.gov.bh/htm/K0863.htm" TargetMode="External"/><Relationship Id="rId91" Type="http://schemas.openxmlformats.org/officeDocument/2006/relationships/hyperlink" Target="https://www.hrw.org/report/2014/05/28/criminalizing-dissent-entrenching-impunity/persistent-failures-bahraini-justice" TargetMode="External"/><Relationship Id="rId1" Type="http://schemas.openxmlformats.org/officeDocument/2006/relationships/hyperlink" Target="https://tbinternet.ohchr.org/_layouts/15/treatybodyexternal/Download.aspx?symbolno=CRC/C/BHR/CO/4-6&amp;Lang=En" TargetMode="External"/><Relationship Id="rId6" Type="http://schemas.openxmlformats.org/officeDocument/2006/relationships/hyperlink" Target="https://www.hrw.org/news/2021/06/07/letter-re-uk-response-abuses-against-children-bahrain-authorities" TargetMode="External"/><Relationship Id="rId15" Type="http://schemas.openxmlformats.org/officeDocument/2006/relationships/hyperlink" Target="https://birdbh.org/2022/03/one-week-before-bahrain-grand-prix-6-boys-unfairly-sentenced-to-one-year-in-detention/" TargetMode="External"/><Relationship Id="rId23" Type="http://schemas.openxmlformats.org/officeDocument/2006/relationships/hyperlink" Target="https://twitter.com/BuHSN/status/848924419770785792?s=20" TargetMode="External"/><Relationship Id="rId28" Type="http://schemas.openxmlformats.org/officeDocument/2006/relationships/hyperlink" Target="https://www.middleeasteye.net/news/uk-bahraini-boys-arbitrarily-detained-orphanage-endangering" TargetMode="External"/><Relationship Id="rId36" Type="http://schemas.openxmlformats.org/officeDocument/2006/relationships/hyperlink" Target="https://www.bahrain.bh/wps/wcm/connect/b024d7f9-de6d-415c-afa1-42e5a7cf8683/LAW%2BNO.%2B%284%29%2BOF%2B2021.pdf?MOD=AJPERES&amp;CVID=oaM6yXU" TargetMode="External"/><Relationship Id="rId49" Type="http://schemas.openxmlformats.org/officeDocument/2006/relationships/hyperlink" Target="https://www.legalaffairs.gov.bh/htm/K0863.htm" TargetMode="External"/><Relationship Id="rId57" Type="http://schemas.openxmlformats.org/officeDocument/2006/relationships/hyperlink" Target="https://www.legalaffairs.gov.bh/htm/K0863.htm" TargetMode="External"/><Relationship Id="rId10" Type="http://schemas.openxmlformats.org/officeDocument/2006/relationships/hyperlink" Target="https://www.hrw.org/news/2022/02/08/bahrain-boys-arbitrarily-detained-orphanage" TargetMode="External"/><Relationship Id="rId31" Type="http://schemas.openxmlformats.org/officeDocument/2006/relationships/hyperlink" Target="https://phr.org/our-work/resources/tear-gas-or-lethal-gas-bahrains-death-toll-mounts-to-34/" TargetMode="External"/><Relationship Id="rId44" Type="http://schemas.openxmlformats.org/officeDocument/2006/relationships/hyperlink" Target="https://www.lloc.gov.bh/HTM/L2013.htm" TargetMode="External"/><Relationship Id="rId52" Type="http://schemas.openxmlformats.org/officeDocument/2006/relationships/hyperlink" Target="https://www.legalaffairs.gov.bh/htm/K0863.htm" TargetMode="External"/><Relationship Id="rId60" Type="http://schemas.openxmlformats.org/officeDocument/2006/relationships/hyperlink" Target="https://www.legalaffairs.gov.bh/htm/K0863.htm" TargetMode="External"/><Relationship Id="rId65" Type="http://schemas.openxmlformats.org/officeDocument/2006/relationships/hyperlink" Target="https://www.legalaffairs.gov.bh/htm/K0863.htm" TargetMode="External"/><Relationship Id="rId73" Type="http://schemas.openxmlformats.org/officeDocument/2006/relationships/hyperlink" Target="https://www.legalaffairs.gov.bh/htm/K0863.htm" TargetMode="External"/><Relationship Id="rId78" Type="http://schemas.openxmlformats.org/officeDocument/2006/relationships/hyperlink" Target="https://www.legalaffairs.gov.bh/htm/K0863.htm" TargetMode="External"/><Relationship Id="rId81" Type="http://schemas.openxmlformats.org/officeDocument/2006/relationships/hyperlink" Target="https://www.legalaffairs.gov.bh/htm/K0863.htm" TargetMode="External"/><Relationship Id="rId86" Type="http://schemas.openxmlformats.org/officeDocument/2006/relationships/hyperlink" Target="https://www.legalaffairs.gov.bh/htm/K0863.htm" TargetMode="External"/><Relationship Id="rId94" Type="http://schemas.openxmlformats.org/officeDocument/2006/relationships/hyperlink" Target="https://www.bahrain.bh/new/en/govsocialsupport-disabilities_en.html" TargetMode="External"/><Relationship Id="rId4" Type="http://schemas.openxmlformats.org/officeDocument/2006/relationships/hyperlink" Target="https://www.hrw.org/news/2021/06/07/bahrain-stop-denying-abuse-detained-children" TargetMode="External"/><Relationship Id="rId9" Type="http://schemas.openxmlformats.org/officeDocument/2006/relationships/hyperlink" Target="https://www.reuters.com/article/idUSKBN2B21N4" TargetMode="External"/><Relationship Id="rId13" Type="http://schemas.openxmlformats.org/officeDocument/2006/relationships/hyperlink" Target="https://www.bahrain.bh/wps/portal/!ut/p/a1/lZFNT8MwDIZ_C4ce06Tpxwq3HkZHNQlNRWzNBaWZ-4HSpkvDyvj1ZIwLEts0HyzZem0_tjHDG8x6vm9rblrVc3mMWfS2eCaRR2OapeHcJ6s0zZcrupw_vQZ4jRlmojeDaXDRKekQGjlENK3coglkxTWgRnWASjAghToFI-h9K-BYO4h2i4t78GglQg8JQTwUzKwrOaeIklhAKKLKo4GFKSwMOWMJucaac33ivSB7DH8FF8YUlmN2rkMS-Di_cbHsGrndvH3f7Vhib616A58Gb24-tp1SS1X-fLVI-tKPa8w0VKBBux_aphtjhvHBIQ6ZpsmtlaoluEJ1DvmvpFGjxfirxEPXxf4BZYuvl6pbI1YeprtvgKkv9g!!/dl5/d5/L2dBISEvZ0FBIS9nQSEh/" TargetMode="External"/><Relationship Id="rId18" Type="http://schemas.openxmlformats.org/officeDocument/2006/relationships/hyperlink" Target="http://edition.cnn.com/2011/WORLD/meast/08/31/bahrain.death/index.html" TargetMode="External"/><Relationship Id="rId39" Type="http://schemas.openxmlformats.org/officeDocument/2006/relationships/hyperlink" Target="https://twitter.com/ebrahim_sarhan/status/1529091983830134787" TargetMode="External"/><Relationship Id="rId34" Type="http://schemas.openxmlformats.org/officeDocument/2006/relationships/hyperlink" Target="https://www.hrw.org/news/2014/06/11/bahrain-gunshot-deaths-require-swift-investigation" TargetMode="External"/><Relationship Id="rId50" Type="http://schemas.openxmlformats.org/officeDocument/2006/relationships/hyperlink" Target="https://www.legalaffairs.gov.bh/htm/K0863.htm" TargetMode="External"/><Relationship Id="rId55" Type="http://schemas.openxmlformats.org/officeDocument/2006/relationships/hyperlink" Target="https://www.legalaffairs.gov.bh/htm/K0863.htm" TargetMode="External"/><Relationship Id="rId76" Type="http://schemas.openxmlformats.org/officeDocument/2006/relationships/hyperlink" Target="https://www.legalaffairs.gov.bh/htm/K0863.htm" TargetMode="External"/><Relationship Id="rId7" Type="http://schemas.openxmlformats.org/officeDocument/2006/relationships/hyperlink" Target="https://www.hrw.org/news/2020/02/25/nine-years-after-bahrains-uprising-its-human-rights-crisis-has-only-worsened" TargetMode="External"/><Relationship Id="rId71" Type="http://schemas.openxmlformats.org/officeDocument/2006/relationships/hyperlink" Target="https://www.legalaffairs.gov.bh/htm/K0863.htm" TargetMode="External"/><Relationship Id="rId92" Type="http://schemas.openxmlformats.org/officeDocument/2006/relationships/hyperlink" Target="https://spcommreports.ohchr.org/TMResultsBase/DownLoadPublicCommunicationFile?gId=27094" TargetMode="External"/><Relationship Id="rId2" Type="http://schemas.openxmlformats.org/officeDocument/2006/relationships/hyperlink" Target="https://www.hrw.org/news/2021/03/10/bahrain-police-beat-threaten-children" TargetMode="External"/><Relationship Id="rId29" Type="http://schemas.openxmlformats.org/officeDocument/2006/relationships/hyperlink" Target="https://twitter.com/AdelAlmarzooq/status/581719481791045632" TargetMode="External"/><Relationship Id="rId24" Type="http://schemas.openxmlformats.org/officeDocument/2006/relationships/hyperlink" Target="https://www.aljazeera.com/news/2011/10/8/police-clash-with-mourners-in-bahrain" TargetMode="External"/><Relationship Id="rId40" Type="http://schemas.openxmlformats.org/officeDocument/2006/relationships/hyperlink" Target="https://www.reuters.com/article/us-bahrain-security-idUSKCN1S50PC" TargetMode="External"/><Relationship Id="rId45" Type="http://schemas.openxmlformats.org/officeDocument/2006/relationships/hyperlink" Target="https://www.legalaffairs.gov.bh/HTM/L1619.htm" TargetMode="External"/><Relationship Id="rId66" Type="http://schemas.openxmlformats.org/officeDocument/2006/relationships/hyperlink" Target="https://www.legalaffairs.gov.bh/htm/K0863.htm" TargetMode="External"/><Relationship Id="rId87" Type="http://schemas.openxmlformats.org/officeDocument/2006/relationships/hyperlink" Target="https://www.legalaffairs.gov.bh/htm/K0863.htm" TargetMode="External"/><Relationship Id="rId61" Type="http://schemas.openxmlformats.org/officeDocument/2006/relationships/hyperlink" Target="https://www.legalaffairs.gov.bh/htm/K0863.htm" TargetMode="External"/><Relationship Id="rId82" Type="http://schemas.openxmlformats.org/officeDocument/2006/relationships/hyperlink" Target="https://www.legalaffairs.gov.bh/htm/K0863.htm" TargetMode="External"/><Relationship Id="rId19" Type="http://schemas.openxmlformats.org/officeDocument/2006/relationships/hyperlink" Target="https://web.archive.org/web/20180723115748/http://bahrainrights.org/en/node/4936" TargetMode="External"/><Relationship Id="rId14" Type="http://schemas.openxmlformats.org/officeDocument/2006/relationships/hyperlink" Target="https://twitter.com/alyaradhi/status/1488113463209693187?s=24" TargetMode="External"/><Relationship Id="rId30" Type="http://schemas.openxmlformats.org/officeDocument/2006/relationships/hyperlink" Target="https://twitter.com/BahrainMirror/status/1092988739402506240" TargetMode="External"/><Relationship Id="rId35" Type="http://schemas.openxmlformats.org/officeDocument/2006/relationships/hyperlink" Target="https://observers.france24.com/en/20140526-bahrain-teenage-boy-killed-clashes" TargetMode="External"/><Relationship Id="rId56" Type="http://schemas.openxmlformats.org/officeDocument/2006/relationships/hyperlink" Target="https://www.legalaffairs.gov.bh/htm/K0863.htm" TargetMode="External"/><Relationship Id="rId77" Type="http://schemas.openxmlformats.org/officeDocument/2006/relationships/hyperlink" Target="https://www.legalaffairs.gov.bh/htm/K086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9394</Words>
  <Characters>53547</Characters>
  <Application>Microsoft Office Word</Application>
  <DocSecurity>0</DocSecurity>
  <Lines>446</Lines>
  <Paragraphs>125</Paragraphs>
  <ScaleCrop>false</ScaleCrop>
  <Company>OHCHR</Company>
  <LinksUpToDate>false</LinksUpToDate>
  <CharactersWithSpaces>62816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2023-07-20T08:02:00Z</dcterms:created>
  <dcterms:modified xsi:type="dcterms:W3CDTF">2023-07-20T08:02:00Z</dcterms:modified>
</cp:coreProperties>
</file>