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8E573" w14:textId="77777777" w:rsidR="00DB10FE" w:rsidRDefault="007F51F7" w:rsidP="00DB10FE">
      <w:pPr>
        <w:jc w:val="center"/>
        <w:rPr>
          <w:rFonts w:cstheme="minorHAnsi"/>
          <w:b/>
        </w:rPr>
      </w:pPr>
      <w:r w:rsidRPr="00DB10FE">
        <w:rPr>
          <w:rFonts w:ascii="Bahnschrift" w:hAnsi="Bahnschrift"/>
          <w:b/>
          <w:noProof/>
          <w:lang w:eastAsia="es-ES"/>
        </w:rPr>
        <w:drawing>
          <wp:anchor distT="0" distB="0" distL="114300" distR="114300" simplePos="0" relativeHeight="251658240" behindDoc="1" locked="0" layoutInCell="1" allowOverlap="1" wp14:anchorId="0D5F4793" wp14:editId="1A0BE889">
            <wp:simplePos x="0" y="0"/>
            <wp:positionH relativeFrom="column">
              <wp:posOffset>77470</wp:posOffset>
            </wp:positionH>
            <wp:positionV relativeFrom="paragraph">
              <wp:posOffset>0</wp:posOffset>
            </wp:positionV>
            <wp:extent cx="919480" cy="864870"/>
            <wp:effectExtent l="0" t="0" r="0" b="0"/>
            <wp:wrapTight wrapText="bothSides">
              <wp:wrapPolygon edited="0">
                <wp:start x="0" y="0"/>
                <wp:lineTo x="0" y="20934"/>
                <wp:lineTo x="21033" y="20934"/>
                <wp:lineTo x="21033" y="0"/>
                <wp:lineTo x="0" y="0"/>
              </wp:wrapPolygon>
            </wp:wrapTight>
            <wp:docPr id="16649498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9480" cy="864870"/>
                    </a:xfrm>
                    <a:prstGeom prst="rect">
                      <a:avLst/>
                    </a:prstGeom>
                    <a:noFill/>
                  </pic:spPr>
                </pic:pic>
              </a:graphicData>
            </a:graphic>
            <wp14:sizeRelH relativeFrom="margin">
              <wp14:pctWidth>0</wp14:pctWidth>
            </wp14:sizeRelH>
            <wp14:sizeRelV relativeFrom="margin">
              <wp14:pctHeight>0</wp14:pctHeight>
            </wp14:sizeRelV>
          </wp:anchor>
        </w:drawing>
      </w:r>
    </w:p>
    <w:p w14:paraId="3EA153A6" w14:textId="7C976BA1" w:rsidR="007F51F7" w:rsidRPr="00DB10FE" w:rsidRDefault="007F51F7" w:rsidP="00FC0A3C">
      <w:pPr>
        <w:spacing w:after="0" w:line="240" w:lineRule="auto"/>
        <w:rPr>
          <w:rFonts w:cstheme="minorHAnsi"/>
          <w:b/>
        </w:rPr>
      </w:pPr>
      <w:r w:rsidRPr="00DB10FE">
        <w:rPr>
          <w:rFonts w:cstheme="minorHAnsi"/>
          <w:bCs/>
        </w:rPr>
        <w:t>Organización: Federación de Mujeres Cubanas</w:t>
      </w:r>
    </w:p>
    <w:p w14:paraId="471C3E38" w14:textId="28B44AAD" w:rsidR="009F4B1E" w:rsidRPr="00DB10FE" w:rsidRDefault="009F4B1E" w:rsidP="00FC0A3C">
      <w:pPr>
        <w:spacing w:after="0" w:line="240" w:lineRule="auto"/>
        <w:rPr>
          <w:rFonts w:cstheme="minorHAnsi"/>
          <w:bCs/>
        </w:rPr>
      </w:pPr>
      <w:r w:rsidRPr="00DB10FE">
        <w:rPr>
          <w:rFonts w:cstheme="minorHAnsi"/>
          <w:bCs/>
        </w:rPr>
        <w:t>Acrónimo: FMC</w:t>
      </w:r>
    </w:p>
    <w:p w14:paraId="1A7BF14F" w14:textId="0AFD601D" w:rsidR="007F51F7" w:rsidRPr="00DB10FE" w:rsidRDefault="007F51F7" w:rsidP="00FC0A3C">
      <w:pPr>
        <w:snapToGrid w:val="0"/>
        <w:spacing w:after="0" w:line="240" w:lineRule="auto"/>
        <w:jc w:val="both"/>
        <w:rPr>
          <w:rFonts w:eastAsia="Times New Roman" w:cstheme="minorHAnsi"/>
          <w:bCs/>
          <w:lang w:val="pt-BR" w:eastAsia="es-ES_tradnl"/>
        </w:rPr>
      </w:pPr>
      <w:proofErr w:type="spellStart"/>
      <w:r w:rsidRPr="00DB10FE">
        <w:rPr>
          <w:rFonts w:eastAsia="Times New Roman" w:cstheme="minorHAnsi"/>
          <w:bCs/>
          <w:lang w:val="pt-BR" w:eastAsia="es-ES_tradnl"/>
        </w:rPr>
        <w:t>Teléfonos</w:t>
      </w:r>
      <w:proofErr w:type="spellEnd"/>
      <w:r w:rsidRPr="00DB10FE">
        <w:rPr>
          <w:rFonts w:eastAsia="Times New Roman" w:cstheme="minorHAnsi"/>
          <w:bCs/>
          <w:lang w:val="pt-BR" w:eastAsia="es-ES_tradnl"/>
        </w:rPr>
        <w:t>: +5378</w:t>
      </w:r>
      <w:r w:rsidR="009F4B1E" w:rsidRPr="00DB10FE">
        <w:rPr>
          <w:rFonts w:eastAsia="Times New Roman" w:cstheme="minorHAnsi"/>
          <w:bCs/>
          <w:lang w:val="pt-BR" w:eastAsia="es-ES_tradnl"/>
        </w:rPr>
        <w:t>382765</w:t>
      </w:r>
      <w:r w:rsidRPr="00DB10FE">
        <w:rPr>
          <w:rFonts w:eastAsia="Times New Roman" w:cstheme="minorHAnsi"/>
          <w:bCs/>
          <w:lang w:val="pt-BR" w:eastAsia="es-ES_tradnl"/>
        </w:rPr>
        <w:t>/+537</w:t>
      </w:r>
      <w:r w:rsidR="009F4B1E" w:rsidRPr="00DB10FE">
        <w:rPr>
          <w:rFonts w:eastAsia="Times New Roman" w:cstheme="minorHAnsi"/>
          <w:bCs/>
          <w:lang w:val="pt-BR" w:eastAsia="es-ES_tradnl"/>
        </w:rPr>
        <w:t>382780</w:t>
      </w:r>
    </w:p>
    <w:p w14:paraId="1FE51381" w14:textId="72931336" w:rsidR="007F51F7" w:rsidRPr="00DB10FE" w:rsidRDefault="007F51F7" w:rsidP="00FC0A3C">
      <w:pPr>
        <w:snapToGrid w:val="0"/>
        <w:spacing w:after="0" w:line="240" w:lineRule="auto"/>
        <w:jc w:val="both"/>
        <w:rPr>
          <w:rFonts w:eastAsia="Times New Roman" w:cstheme="minorHAnsi"/>
          <w:bCs/>
          <w:lang w:val="pt-BR" w:eastAsia="es-ES_tradnl"/>
        </w:rPr>
      </w:pPr>
      <w:r w:rsidRPr="00DB10FE">
        <w:rPr>
          <w:rFonts w:eastAsia="Times New Roman" w:cstheme="minorHAnsi"/>
          <w:bCs/>
          <w:lang w:val="pt-BR" w:eastAsia="es-ES_tradnl"/>
        </w:rPr>
        <w:t xml:space="preserve">E-mail: </w:t>
      </w:r>
      <w:r w:rsidRPr="00DB10FE">
        <w:rPr>
          <w:rFonts w:cstheme="minorHAnsi"/>
          <w:bCs/>
          <w:lang w:val="pt-BR"/>
        </w:rPr>
        <w:t>msecrre</w:t>
      </w:r>
      <w:r w:rsidR="009F4B1E" w:rsidRPr="00DB10FE">
        <w:rPr>
          <w:rFonts w:cstheme="minorHAnsi"/>
          <w:bCs/>
          <w:lang w:val="pt-BR"/>
        </w:rPr>
        <w:t xml:space="preserve">e@fmc.cu </w:t>
      </w:r>
    </w:p>
    <w:p w14:paraId="322A115C" w14:textId="3DE6E7C3" w:rsidR="007F51F7" w:rsidRPr="00DB10FE" w:rsidRDefault="007F51F7" w:rsidP="00FC0A3C">
      <w:pPr>
        <w:snapToGrid w:val="0"/>
        <w:spacing w:after="0" w:line="240" w:lineRule="auto"/>
        <w:jc w:val="both"/>
        <w:rPr>
          <w:rFonts w:eastAsia="Times New Roman" w:cstheme="minorHAnsi"/>
          <w:bCs/>
          <w:lang w:val="es-ES_tradnl" w:eastAsia="es-ES_tradnl"/>
        </w:rPr>
      </w:pPr>
      <w:r w:rsidRPr="00DB10FE">
        <w:rPr>
          <w:rFonts w:eastAsia="Times New Roman" w:cstheme="minorHAnsi"/>
          <w:bCs/>
          <w:lang w:val="es-ES_tradnl" w:eastAsia="es-ES_tradnl"/>
        </w:rPr>
        <w:t xml:space="preserve">Dirección: Calle </w:t>
      </w:r>
      <w:r w:rsidR="009F4B1E" w:rsidRPr="00DB10FE">
        <w:rPr>
          <w:rFonts w:eastAsia="Times New Roman" w:cstheme="minorHAnsi"/>
          <w:bCs/>
          <w:lang w:val="es-ES_tradnl" w:eastAsia="es-ES_tradnl"/>
        </w:rPr>
        <w:t xml:space="preserve">Paseo No 260 </w:t>
      </w:r>
      <w:r w:rsidRPr="00DB10FE">
        <w:rPr>
          <w:rFonts w:eastAsia="Times New Roman" w:cstheme="minorHAnsi"/>
          <w:bCs/>
          <w:lang w:val="es-ES_tradnl" w:eastAsia="es-ES_tradnl"/>
        </w:rPr>
        <w:t xml:space="preserve">Esquina </w:t>
      </w:r>
      <w:r w:rsidR="009F4B1E" w:rsidRPr="00DB10FE">
        <w:rPr>
          <w:rFonts w:eastAsia="Times New Roman" w:cstheme="minorHAnsi"/>
          <w:bCs/>
          <w:lang w:val="es-ES_tradnl" w:eastAsia="es-ES_tradnl"/>
        </w:rPr>
        <w:t>13</w:t>
      </w:r>
      <w:r w:rsidRPr="00DB10FE">
        <w:rPr>
          <w:rFonts w:eastAsia="Times New Roman" w:cstheme="minorHAnsi"/>
          <w:bCs/>
          <w:lang w:val="es-ES_tradnl" w:eastAsia="es-ES_tradnl"/>
        </w:rPr>
        <w:t>, Vedado, La Habana, Cuba, CP: 10400</w:t>
      </w:r>
    </w:p>
    <w:p w14:paraId="12E8B391" w14:textId="65E266B9" w:rsidR="007F51F7" w:rsidRPr="00DB10FE" w:rsidRDefault="007F51F7" w:rsidP="00FC0A3C">
      <w:pPr>
        <w:snapToGrid w:val="0"/>
        <w:spacing w:after="0" w:line="240" w:lineRule="auto"/>
        <w:jc w:val="both"/>
        <w:rPr>
          <w:rFonts w:eastAsia="Times New Roman" w:cstheme="minorHAnsi"/>
          <w:bCs/>
          <w:lang w:val="es-CU" w:eastAsia="es-ES_tradnl"/>
        </w:rPr>
      </w:pPr>
      <w:r w:rsidRPr="00DB10FE">
        <w:rPr>
          <w:rFonts w:eastAsia="Times New Roman" w:cstheme="minorHAnsi"/>
          <w:bCs/>
          <w:lang w:val="es-CU" w:eastAsia="es-ES_tradnl"/>
        </w:rPr>
        <w:t xml:space="preserve">Sitio web: </w:t>
      </w:r>
      <w:hyperlink r:id="rId9" w:history="1">
        <w:r w:rsidR="009F4B1E" w:rsidRPr="00DB10FE">
          <w:rPr>
            <w:rStyle w:val="Hipervnculo"/>
            <w:rFonts w:eastAsia="Times New Roman" w:cstheme="minorHAnsi"/>
            <w:bCs/>
            <w:lang w:val="es-CU" w:eastAsia="es-ES_tradnl"/>
          </w:rPr>
          <w:t>www.mujeres.cu</w:t>
        </w:r>
      </w:hyperlink>
    </w:p>
    <w:p w14:paraId="043D7D8C" w14:textId="5D8255B6" w:rsidR="007F51F7" w:rsidRPr="00DB10FE" w:rsidRDefault="007F51F7" w:rsidP="00FC0A3C">
      <w:pPr>
        <w:snapToGrid w:val="0"/>
        <w:spacing w:after="0" w:line="240" w:lineRule="auto"/>
        <w:jc w:val="both"/>
        <w:rPr>
          <w:rFonts w:eastAsia="Times New Roman" w:cstheme="minorHAnsi"/>
          <w:bCs/>
          <w:lang w:val="pt-BR" w:eastAsia="es-ES_tradnl"/>
        </w:rPr>
      </w:pPr>
      <w:r w:rsidRPr="00DB10FE">
        <w:rPr>
          <w:rFonts w:eastAsia="Times New Roman" w:cstheme="minorHAnsi"/>
          <w:bCs/>
          <w:lang w:val="pt-BR" w:eastAsia="es-ES_tradnl"/>
        </w:rPr>
        <w:t xml:space="preserve">Persona a contactar: </w:t>
      </w:r>
      <w:r w:rsidR="009F4B1E" w:rsidRPr="00DB10FE">
        <w:rPr>
          <w:rFonts w:eastAsia="Times New Roman" w:cstheme="minorHAnsi"/>
          <w:bCs/>
          <w:lang w:val="pt-BR" w:eastAsia="es-ES_tradnl"/>
        </w:rPr>
        <w:t xml:space="preserve">Teresa Maria </w:t>
      </w:r>
      <w:proofErr w:type="spellStart"/>
      <w:r w:rsidR="009F4B1E" w:rsidRPr="00DB10FE">
        <w:rPr>
          <w:rFonts w:eastAsia="Times New Roman" w:cstheme="minorHAnsi"/>
          <w:bCs/>
          <w:lang w:val="pt-BR" w:eastAsia="es-ES_tradnl"/>
        </w:rPr>
        <w:t>Amarelle</w:t>
      </w:r>
      <w:proofErr w:type="spellEnd"/>
      <w:r w:rsidR="009F4B1E" w:rsidRPr="00DB10FE">
        <w:rPr>
          <w:rFonts w:eastAsia="Times New Roman" w:cstheme="minorHAnsi"/>
          <w:bCs/>
          <w:lang w:val="pt-BR" w:eastAsia="es-ES_tradnl"/>
        </w:rPr>
        <w:t xml:space="preserve"> </w:t>
      </w:r>
      <w:proofErr w:type="spellStart"/>
      <w:r w:rsidR="009F4B1E" w:rsidRPr="00DB10FE">
        <w:rPr>
          <w:rFonts w:eastAsia="Times New Roman" w:cstheme="minorHAnsi"/>
          <w:bCs/>
          <w:lang w:val="pt-BR" w:eastAsia="es-ES_tradnl"/>
        </w:rPr>
        <w:t>Bou</w:t>
      </w:r>
      <w:r w:rsidR="008F2712" w:rsidRPr="00DB10FE">
        <w:rPr>
          <w:rFonts w:eastAsia="Times New Roman" w:cstheme="minorHAnsi"/>
          <w:bCs/>
          <w:lang w:val="pt-BR" w:eastAsia="es-ES_tradnl"/>
        </w:rPr>
        <w:t>é</w:t>
      </w:r>
      <w:proofErr w:type="spellEnd"/>
      <w:r w:rsidR="009F4B1E" w:rsidRPr="00DB10FE">
        <w:rPr>
          <w:rFonts w:eastAsia="Times New Roman" w:cstheme="minorHAnsi"/>
          <w:bCs/>
          <w:lang w:val="pt-BR" w:eastAsia="es-ES_tradnl"/>
        </w:rPr>
        <w:t>. Secretaria General</w:t>
      </w:r>
    </w:p>
    <w:p w14:paraId="4EFEA7E6" w14:textId="77777777" w:rsidR="007F51F7" w:rsidRPr="00DB10FE" w:rsidRDefault="007F51F7" w:rsidP="007F51F7">
      <w:pPr>
        <w:rPr>
          <w:rFonts w:cstheme="minorHAnsi"/>
          <w:b/>
          <w:sz w:val="28"/>
          <w:szCs w:val="28"/>
        </w:rPr>
      </w:pPr>
    </w:p>
    <w:p w14:paraId="76CD2DC1" w14:textId="304DE824" w:rsidR="009F4B1E" w:rsidRPr="00DB10FE" w:rsidRDefault="009F4B1E" w:rsidP="009F4B1E">
      <w:pPr>
        <w:snapToGrid w:val="0"/>
        <w:spacing w:after="0" w:line="240" w:lineRule="auto"/>
        <w:jc w:val="center"/>
        <w:rPr>
          <w:rFonts w:cstheme="minorHAnsi"/>
          <w:b/>
          <w:sz w:val="24"/>
          <w:szCs w:val="24"/>
          <w:lang w:val="es-ES_tradnl"/>
        </w:rPr>
      </w:pPr>
      <w:r w:rsidRPr="00DB10FE">
        <w:rPr>
          <w:rFonts w:cstheme="minorHAnsi"/>
          <w:b/>
          <w:sz w:val="24"/>
          <w:szCs w:val="24"/>
          <w:lang w:val="es-ES_tradnl"/>
        </w:rPr>
        <w:t>Contribución de la Federación de Mujeres Cubanas, (FMC) (Carácter consultivo especial), a la presentación del Informe de Cuba ante el Comité CEDAW.</w:t>
      </w:r>
    </w:p>
    <w:p w14:paraId="4277BEF9" w14:textId="77777777" w:rsidR="0032685B" w:rsidRPr="00DB10FE" w:rsidRDefault="0032685B" w:rsidP="0032685B">
      <w:pPr>
        <w:jc w:val="both"/>
        <w:rPr>
          <w:rFonts w:cstheme="minorHAnsi"/>
          <w:sz w:val="24"/>
          <w:szCs w:val="24"/>
        </w:rPr>
      </w:pPr>
    </w:p>
    <w:p w14:paraId="0039FC6C" w14:textId="77777777" w:rsidR="006B02DC" w:rsidRPr="00DB10FE" w:rsidRDefault="006B02DC" w:rsidP="006B02DC">
      <w:pPr>
        <w:pStyle w:val="Textoindependiente2"/>
        <w:numPr>
          <w:ilvl w:val="0"/>
          <w:numId w:val="8"/>
        </w:numPr>
        <w:ind w:right="-568"/>
        <w:jc w:val="both"/>
        <w:rPr>
          <w:rFonts w:asciiTheme="minorHAnsi" w:hAnsiTheme="minorHAnsi" w:cstheme="minorHAnsi"/>
          <w:lang w:val="es-CU"/>
        </w:rPr>
      </w:pPr>
      <w:r w:rsidRPr="00DB10FE">
        <w:rPr>
          <w:rFonts w:asciiTheme="minorHAnsi" w:hAnsiTheme="minorHAnsi" w:cstheme="minorHAnsi"/>
          <w:lang w:val="es-CU"/>
        </w:rPr>
        <w:t>Cuba tiene un firme compromiso con la protección de los derechos de las mujeres y las niñas, que se sostiene en un robusto marco legislativo y políticas públicas de avanzada.</w:t>
      </w:r>
    </w:p>
    <w:p w14:paraId="035C007A" w14:textId="31B6B343" w:rsidR="004B35EE" w:rsidRPr="00DB10FE" w:rsidRDefault="004B35EE" w:rsidP="006B02DC">
      <w:pPr>
        <w:pStyle w:val="Textoindependiente2"/>
        <w:numPr>
          <w:ilvl w:val="0"/>
          <w:numId w:val="8"/>
        </w:numPr>
        <w:ind w:right="-568"/>
        <w:jc w:val="both"/>
        <w:rPr>
          <w:rFonts w:asciiTheme="minorHAnsi" w:hAnsiTheme="minorHAnsi" w:cstheme="minorHAnsi"/>
          <w:sz w:val="22"/>
          <w:szCs w:val="22"/>
          <w:lang w:val="es-CU"/>
        </w:rPr>
      </w:pPr>
      <w:r w:rsidRPr="00DB10FE">
        <w:rPr>
          <w:rFonts w:asciiTheme="minorHAnsi" w:hAnsiTheme="minorHAnsi" w:cstheme="minorHAnsi"/>
        </w:rPr>
        <w:t xml:space="preserve">Entre los años 2020 y 2024, la legislación cubana relativa a la igualdad de género y al respeto a los derechos y la dignidad de las personas tuvo grandes avances. La aprobación de la actual </w:t>
      </w:r>
      <w:r w:rsidRPr="00DB10FE">
        <w:rPr>
          <w:rFonts w:asciiTheme="minorHAnsi" w:hAnsiTheme="minorHAnsi" w:cstheme="minorHAnsi"/>
          <w:b/>
          <w:bCs/>
        </w:rPr>
        <w:t>Constitución de la República de Cuba</w:t>
      </w:r>
      <w:r w:rsidRPr="00DB10FE">
        <w:rPr>
          <w:rFonts w:asciiTheme="minorHAnsi" w:hAnsiTheme="minorHAnsi" w:cstheme="minorHAnsi"/>
        </w:rPr>
        <w:t xml:space="preserve"> (2019)</w:t>
      </w:r>
      <w:r w:rsidR="00DB10FE" w:rsidRPr="00DB10FE">
        <w:rPr>
          <w:rFonts w:asciiTheme="minorHAnsi" w:hAnsiTheme="minorHAnsi" w:cstheme="minorHAnsi"/>
        </w:rPr>
        <w:t>,</w:t>
      </w:r>
      <w:r w:rsidRPr="00DB10FE">
        <w:rPr>
          <w:rFonts w:asciiTheme="minorHAnsi" w:hAnsiTheme="minorHAnsi" w:cstheme="minorHAnsi"/>
        </w:rPr>
        <w:t xml:space="preserve"> proporcionó el marco legal imprescindible para esa actualización legislativa. </w:t>
      </w:r>
    </w:p>
    <w:p w14:paraId="1E800C0F" w14:textId="21EE4716" w:rsidR="004B35EE" w:rsidRPr="00DB10FE" w:rsidRDefault="004B35EE" w:rsidP="006B02DC">
      <w:pPr>
        <w:pStyle w:val="Textoindependiente2"/>
        <w:numPr>
          <w:ilvl w:val="0"/>
          <w:numId w:val="8"/>
        </w:numPr>
        <w:ind w:right="-568"/>
        <w:jc w:val="both"/>
        <w:rPr>
          <w:rFonts w:asciiTheme="minorHAnsi" w:hAnsiTheme="minorHAnsi" w:cstheme="minorHAnsi"/>
          <w:sz w:val="22"/>
          <w:szCs w:val="22"/>
          <w:lang w:val="es-CU"/>
        </w:rPr>
      </w:pPr>
      <w:r w:rsidRPr="00DB10FE">
        <w:rPr>
          <w:rFonts w:asciiTheme="minorHAnsi" w:hAnsiTheme="minorHAnsi" w:cstheme="minorHAnsi"/>
        </w:rPr>
        <w:t xml:space="preserve">Normas de alto rango como el </w:t>
      </w:r>
      <w:r w:rsidRPr="00DB10FE">
        <w:rPr>
          <w:rFonts w:asciiTheme="minorHAnsi" w:hAnsiTheme="minorHAnsi" w:cstheme="minorHAnsi"/>
          <w:b/>
          <w:bCs/>
        </w:rPr>
        <w:t>Programa Nacional para el Adelanto de las Mujeres</w:t>
      </w:r>
      <w:r w:rsidRPr="00DB10FE">
        <w:rPr>
          <w:rFonts w:asciiTheme="minorHAnsi" w:hAnsiTheme="minorHAnsi" w:cstheme="minorHAnsi"/>
        </w:rPr>
        <w:t xml:space="preserve"> (PAM</w:t>
      </w:r>
      <w:r w:rsidR="00DB10FE" w:rsidRPr="00DB10FE">
        <w:rPr>
          <w:rFonts w:asciiTheme="minorHAnsi" w:hAnsiTheme="minorHAnsi" w:cstheme="minorHAnsi"/>
        </w:rPr>
        <w:t>), aprobado</w:t>
      </w:r>
      <w:r w:rsidRPr="00DB10FE">
        <w:rPr>
          <w:rFonts w:asciiTheme="minorHAnsi" w:hAnsiTheme="minorHAnsi" w:cstheme="minorHAnsi"/>
        </w:rPr>
        <w:t xml:space="preserve"> por Decreto Presidencial el 8 de marzo de 2021, y la </w:t>
      </w:r>
      <w:r w:rsidRPr="00DB10FE">
        <w:rPr>
          <w:rFonts w:asciiTheme="minorHAnsi" w:hAnsiTheme="minorHAnsi" w:cstheme="minorHAnsi"/>
          <w:b/>
          <w:bCs/>
        </w:rPr>
        <w:t>Estrategia integral de prevención y atención a la violencia de género y en el escenario familiar</w:t>
      </w:r>
      <w:r w:rsidR="00DB10FE" w:rsidRPr="00DB10FE">
        <w:rPr>
          <w:rFonts w:asciiTheme="minorHAnsi" w:hAnsiTheme="minorHAnsi" w:cstheme="minorHAnsi"/>
          <w:b/>
          <w:bCs/>
        </w:rPr>
        <w:t xml:space="preserve"> </w:t>
      </w:r>
      <w:r w:rsidRPr="00DB10FE">
        <w:rPr>
          <w:rFonts w:asciiTheme="minorHAnsi" w:hAnsiTheme="minorHAnsi" w:cstheme="minorHAnsi"/>
        </w:rPr>
        <w:t xml:space="preserve">(Estrategia), se articulan con otras legislaciones aprobadas durante la etapa como el </w:t>
      </w:r>
      <w:r w:rsidRPr="00DB10FE">
        <w:rPr>
          <w:rFonts w:asciiTheme="minorHAnsi" w:hAnsiTheme="minorHAnsi" w:cstheme="minorHAnsi"/>
          <w:b/>
          <w:bCs/>
        </w:rPr>
        <w:t>Código de las Familias</w:t>
      </w:r>
      <w:r w:rsidRPr="00DB10FE">
        <w:rPr>
          <w:rFonts w:asciiTheme="minorHAnsi" w:hAnsiTheme="minorHAnsi" w:cstheme="minorHAnsi"/>
        </w:rPr>
        <w:t xml:space="preserve">, </w:t>
      </w:r>
      <w:r w:rsidRPr="00DB10FE">
        <w:rPr>
          <w:rFonts w:asciiTheme="minorHAnsi" w:hAnsiTheme="minorHAnsi" w:cstheme="minorHAnsi"/>
          <w:b/>
          <w:bCs/>
        </w:rPr>
        <w:t>la Ley de Salud Pública y el Código Penal</w:t>
      </w:r>
      <w:r w:rsidR="00DB10FE" w:rsidRPr="00DB10FE">
        <w:rPr>
          <w:rFonts w:asciiTheme="minorHAnsi" w:hAnsiTheme="minorHAnsi" w:cstheme="minorHAnsi"/>
        </w:rPr>
        <w:t>.</w:t>
      </w:r>
      <w:r w:rsidRPr="00DB10FE">
        <w:rPr>
          <w:rFonts w:asciiTheme="minorHAnsi" w:hAnsiTheme="minorHAnsi" w:cstheme="minorHAnsi"/>
        </w:rPr>
        <w:t xml:space="preserve"> </w:t>
      </w:r>
    </w:p>
    <w:p w14:paraId="194590DF" w14:textId="77777777" w:rsidR="004B35EE" w:rsidRPr="00DB10FE" w:rsidRDefault="004B35EE" w:rsidP="006B02DC">
      <w:pPr>
        <w:pStyle w:val="Textoindependiente2"/>
        <w:numPr>
          <w:ilvl w:val="0"/>
          <w:numId w:val="8"/>
        </w:numPr>
        <w:ind w:right="-568"/>
        <w:jc w:val="both"/>
        <w:rPr>
          <w:rFonts w:asciiTheme="minorHAnsi" w:hAnsiTheme="minorHAnsi" w:cstheme="minorHAnsi"/>
          <w:sz w:val="22"/>
          <w:szCs w:val="22"/>
          <w:lang w:val="es-CU"/>
        </w:rPr>
      </w:pPr>
      <w:r w:rsidRPr="00DB10FE">
        <w:rPr>
          <w:rFonts w:asciiTheme="minorHAnsi" w:hAnsiTheme="minorHAnsi" w:cstheme="minorHAnsi"/>
        </w:rPr>
        <w:t xml:space="preserve">Un grupo de resoluciones del Ministerio de Trabajo y Seguridad Social y del Ministerio de Educación ampliaron la protección a la maternidad y regularon los servicios de cuidado en la primera infancia. </w:t>
      </w:r>
    </w:p>
    <w:p w14:paraId="79F71867" w14:textId="77777777" w:rsidR="004B35EE" w:rsidRPr="00DB10FE" w:rsidRDefault="004B35EE" w:rsidP="006B02DC">
      <w:pPr>
        <w:pStyle w:val="Textoindependiente2"/>
        <w:numPr>
          <w:ilvl w:val="0"/>
          <w:numId w:val="8"/>
        </w:numPr>
        <w:ind w:right="-568"/>
        <w:jc w:val="both"/>
        <w:rPr>
          <w:rFonts w:asciiTheme="minorHAnsi" w:hAnsiTheme="minorHAnsi" w:cstheme="minorHAnsi"/>
          <w:sz w:val="22"/>
          <w:szCs w:val="22"/>
          <w:lang w:val="es-CU"/>
        </w:rPr>
      </w:pPr>
      <w:r w:rsidRPr="00DB10FE">
        <w:rPr>
          <w:rFonts w:asciiTheme="minorHAnsi" w:hAnsiTheme="minorHAnsi" w:cstheme="minorHAnsi"/>
        </w:rPr>
        <w:t xml:space="preserve">Una importante experiencia constituyó la amplia consulta popular que condujo a la aprobación y puesta en vigor del Código de las Familias: más de 6,4 millones de personas participaron en las consultas del proyecto que fuera aprobado por el 66,85 % de las boletas válidas durante el referéndum realizado el 25 de septiembre de 2022. </w:t>
      </w:r>
    </w:p>
    <w:p w14:paraId="4B956E09" w14:textId="5B3CD8A9" w:rsidR="006B02DC" w:rsidRPr="00DB10FE" w:rsidRDefault="004B35EE" w:rsidP="006B02DC">
      <w:pPr>
        <w:pStyle w:val="Textoindependiente2"/>
        <w:numPr>
          <w:ilvl w:val="0"/>
          <w:numId w:val="8"/>
        </w:numPr>
        <w:ind w:right="-568"/>
        <w:jc w:val="both"/>
        <w:rPr>
          <w:rFonts w:asciiTheme="minorHAnsi" w:hAnsiTheme="minorHAnsi" w:cstheme="minorHAnsi"/>
          <w:lang w:val="es-CU"/>
        </w:rPr>
      </w:pPr>
      <w:r w:rsidRPr="00DB10FE">
        <w:rPr>
          <w:rFonts w:asciiTheme="minorHAnsi" w:hAnsiTheme="minorHAnsi" w:cstheme="minorHAnsi"/>
          <w:lang w:val="es-CU"/>
        </w:rPr>
        <w:t xml:space="preserve">La </w:t>
      </w:r>
      <w:r w:rsidR="006B02DC" w:rsidRPr="00DB10FE">
        <w:rPr>
          <w:rFonts w:asciiTheme="minorHAnsi" w:hAnsiTheme="minorHAnsi" w:cstheme="minorHAnsi"/>
          <w:b/>
          <w:bCs/>
          <w:lang w:val="es-CU"/>
        </w:rPr>
        <w:t>Constitución de la República de Cuba</w:t>
      </w:r>
      <w:r w:rsidRPr="00DB10FE">
        <w:rPr>
          <w:rFonts w:asciiTheme="minorHAnsi" w:hAnsiTheme="minorHAnsi" w:cstheme="minorHAnsi"/>
          <w:b/>
          <w:bCs/>
          <w:lang w:val="es-CU"/>
        </w:rPr>
        <w:t>,</w:t>
      </w:r>
      <w:r w:rsidRPr="00DB10FE">
        <w:rPr>
          <w:rFonts w:asciiTheme="minorHAnsi" w:hAnsiTheme="minorHAnsi" w:cstheme="minorHAnsi"/>
          <w:lang w:val="es-CU"/>
        </w:rPr>
        <w:t xml:space="preserve"> </w:t>
      </w:r>
      <w:r w:rsidR="006B02DC" w:rsidRPr="00DB10FE">
        <w:rPr>
          <w:rFonts w:asciiTheme="minorHAnsi" w:hAnsiTheme="minorHAnsi" w:cstheme="minorHAnsi"/>
          <w:lang w:val="es-CU"/>
        </w:rPr>
        <w:t xml:space="preserve">incorpora dentro de los fines del Estado, alcanzar la igualdad efectiva entre todas las personas y garantizar la dignidad humana (Arts. 13 y 40). El artículo 43 se centra en la igualdad entre mujeres y hombres, lo que complementa el pronunciamiento expreso del artículo 42 -sobre la no discriminación por razón de sexo, género, orientación sexual e identidad de género- y constituye un más acabado reflejo al expresar que fomentará el empoderamiento de las mujeres desde lo individual y social, así como asegurará el ejercicio de sus derechos sexuales y reproductivos y la protegerá de la violencia de género en cualquiera de sus manifestaciones y ámbitos, creando los mecanismos para ello.  </w:t>
      </w:r>
    </w:p>
    <w:p w14:paraId="32CB6C17" w14:textId="55A9E665" w:rsidR="006B02DC" w:rsidRPr="00DB10FE" w:rsidRDefault="004B35EE" w:rsidP="006B02DC">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lang w:val="es-CU"/>
        </w:rPr>
        <w:t>El</w:t>
      </w:r>
      <w:r w:rsidR="006B02DC" w:rsidRPr="00DB10FE">
        <w:rPr>
          <w:rFonts w:asciiTheme="minorHAnsi" w:hAnsiTheme="minorHAnsi" w:cstheme="minorHAnsi"/>
          <w:lang w:val="es-CU"/>
        </w:rPr>
        <w:t xml:space="preserve"> </w:t>
      </w:r>
      <w:r w:rsidR="006B02DC" w:rsidRPr="00DB10FE">
        <w:rPr>
          <w:rFonts w:asciiTheme="minorHAnsi" w:hAnsiTheme="minorHAnsi" w:cstheme="minorHAnsi"/>
          <w:b/>
          <w:lang w:val="es-CU"/>
        </w:rPr>
        <w:t>Programa Nacional para el adelanto de las mujeres</w:t>
      </w:r>
      <w:r w:rsidR="006B02DC" w:rsidRPr="00DB10FE">
        <w:rPr>
          <w:rFonts w:asciiTheme="minorHAnsi" w:hAnsiTheme="minorHAnsi" w:cstheme="minorHAnsi"/>
          <w:lang w:val="es-CU"/>
        </w:rPr>
        <w:t>, que tiene como objetivo general promover el avance de las mujeres y la igualdad de derechos, oportunidades y posibilidades, así como profundizar en los factores objetivos y subjetivos que, como expresiones de discriminación, persisten en la sociedad cubana y obstaculizan el desarrollo social.</w:t>
      </w:r>
    </w:p>
    <w:p w14:paraId="09764493" w14:textId="280D6BB9" w:rsidR="006B02DC" w:rsidRPr="00DB10FE" w:rsidRDefault="004B35EE" w:rsidP="006B02DC">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lang w:val="es-CU"/>
        </w:rPr>
        <w:lastRenderedPageBreak/>
        <w:t>La</w:t>
      </w:r>
      <w:r w:rsidR="006B02DC" w:rsidRPr="00DB10FE">
        <w:rPr>
          <w:rFonts w:asciiTheme="minorHAnsi" w:hAnsiTheme="minorHAnsi" w:cstheme="minorHAnsi"/>
          <w:lang w:val="es-CU"/>
        </w:rPr>
        <w:t xml:space="preserve"> </w:t>
      </w:r>
      <w:r w:rsidR="006B02DC" w:rsidRPr="00DB10FE">
        <w:rPr>
          <w:rFonts w:asciiTheme="minorHAnsi" w:hAnsiTheme="minorHAnsi" w:cstheme="minorHAnsi"/>
          <w:b/>
          <w:lang w:val="es-CU"/>
        </w:rPr>
        <w:t>Estrategia integral de prevención y atención a la violencia de género y en el escenario familiar</w:t>
      </w:r>
      <w:r w:rsidR="006B02DC" w:rsidRPr="00DB10FE">
        <w:rPr>
          <w:rFonts w:asciiTheme="minorHAnsi" w:hAnsiTheme="minorHAnsi" w:cstheme="minorHAnsi"/>
          <w:lang w:val="es-CU"/>
        </w:rPr>
        <w:t>, que establece las pautas para alcanzar una respuesta articulada y coordinada intra e intersectorial, agentes sociales en las comunidades y la amplia participación ciudadana, para alcanzar el objetivo de “…garantizar la respuesta integral e integrada para la prevención y atención efectiva a la violencia de género y en el escenario familiar”.</w:t>
      </w:r>
    </w:p>
    <w:p w14:paraId="6B061BEB" w14:textId="7253A778" w:rsidR="00DD5054" w:rsidRPr="00DB10FE" w:rsidRDefault="004B35EE" w:rsidP="00DD5054">
      <w:pPr>
        <w:pStyle w:val="Textoindependiente2"/>
        <w:numPr>
          <w:ilvl w:val="0"/>
          <w:numId w:val="9"/>
        </w:numPr>
        <w:ind w:right="-568"/>
        <w:jc w:val="both"/>
        <w:rPr>
          <w:rFonts w:asciiTheme="minorHAnsi" w:hAnsiTheme="minorHAnsi" w:cstheme="minorHAnsi"/>
        </w:rPr>
      </w:pPr>
      <w:r w:rsidRPr="00DB10FE">
        <w:rPr>
          <w:rFonts w:asciiTheme="minorHAnsi" w:eastAsia="Arial Unicode MS" w:hAnsiTheme="minorHAnsi" w:cstheme="minorHAnsi"/>
        </w:rPr>
        <w:t>S</w:t>
      </w:r>
      <w:r w:rsidR="00DD5054" w:rsidRPr="00DB10FE">
        <w:rPr>
          <w:rFonts w:asciiTheme="minorHAnsi" w:eastAsia="Arial Unicode MS" w:hAnsiTheme="minorHAnsi" w:cstheme="minorHAnsi"/>
        </w:rPr>
        <w:t xml:space="preserve">e sustenta en el trabajo cooperado entre los órganos y organismos de la Administración Central del Estado, los diferentes prestadores de servicios, los agentes sociales en las comunidades y la amplia participación ciudadana, que incluye las organizaciones de masas y sociales y las demás formas asociativas, servicios legales, de salud, educación, gobiernos locales, y otros que sean relevantes en cada contexto específico, a partir del rol protagónico de estos sujetos.  </w:t>
      </w:r>
    </w:p>
    <w:p w14:paraId="529F2651" w14:textId="77777777" w:rsidR="00DD5054" w:rsidRPr="00DB10FE" w:rsidRDefault="00DD5054" w:rsidP="00DD5054">
      <w:pPr>
        <w:pStyle w:val="Textoindependiente2"/>
        <w:numPr>
          <w:ilvl w:val="0"/>
          <w:numId w:val="9"/>
        </w:numPr>
        <w:ind w:right="-568"/>
        <w:jc w:val="both"/>
        <w:rPr>
          <w:rFonts w:asciiTheme="minorHAnsi" w:hAnsiTheme="minorHAnsi" w:cstheme="minorHAnsi"/>
        </w:rPr>
      </w:pPr>
      <w:r w:rsidRPr="00DB10FE">
        <w:rPr>
          <w:rFonts w:asciiTheme="minorHAnsi" w:eastAsia="Arial Unicode MS" w:hAnsiTheme="minorHAnsi" w:cstheme="minorHAnsi"/>
        </w:rPr>
        <w:t xml:space="preserve">Las acciones propuestas como parte de la Estrategia permiten, de manera coordinada y oportuna, la detección, identificación, prevención, atención, acompañamiento y reparación de los daños producidos a víctimas y sobrevivientes; así como el tratamiento a quienes ejercen la violencia, con el propósito de lograr una adecuada articulación de agentes e instituciones implicados en su prevención y atención. </w:t>
      </w:r>
    </w:p>
    <w:p w14:paraId="4B1B91A7" w14:textId="50FA80DB" w:rsidR="009F4B1E" w:rsidRPr="00DB10FE" w:rsidRDefault="007F51F7" w:rsidP="00DD5054">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 xml:space="preserve">El </w:t>
      </w:r>
      <w:r w:rsidR="00DF1A5D" w:rsidRPr="00DB10FE">
        <w:rPr>
          <w:rFonts w:asciiTheme="minorHAnsi" w:eastAsia="Arial Unicode MS" w:hAnsiTheme="minorHAnsi" w:cstheme="minorHAnsi"/>
          <w:b/>
          <w:bCs/>
        </w:rPr>
        <w:t>Código de las Familias</w:t>
      </w:r>
      <w:r w:rsidR="00DF1A5D" w:rsidRPr="00DB10FE">
        <w:rPr>
          <w:rFonts w:asciiTheme="minorHAnsi" w:eastAsia="Arial Unicode MS" w:hAnsiTheme="minorHAnsi" w:cstheme="minorHAnsi"/>
        </w:rPr>
        <w:t xml:space="preserve"> </w:t>
      </w:r>
      <w:r w:rsidR="006B02DC" w:rsidRPr="00DB10FE">
        <w:rPr>
          <w:rFonts w:asciiTheme="minorHAnsi" w:hAnsiTheme="minorHAnsi" w:cstheme="minorHAnsi"/>
          <w:b/>
        </w:rPr>
        <w:t>cubano (2022)</w:t>
      </w:r>
      <w:r w:rsidR="006B02DC" w:rsidRPr="00DB10FE">
        <w:rPr>
          <w:rFonts w:asciiTheme="minorHAnsi" w:hAnsiTheme="minorHAnsi" w:cstheme="minorHAnsi"/>
        </w:rPr>
        <w:t>,</w:t>
      </w:r>
      <w:r w:rsidR="006B02DC" w:rsidRPr="00DB10FE">
        <w:rPr>
          <w:rFonts w:ascii="Times New Roman" w:hAnsi="Times New Roman" w:cs="Times New Roman"/>
        </w:rPr>
        <w:t xml:space="preserve"> </w:t>
      </w:r>
      <w:r w:rsidR="00DF1A5D" w:rsidRPr="00DB10FE">
        <w:rPr>
          <w:rFonts w:asciiTheme="minorHAnsi" w:eastAsia="Arial Unicode MS" w:hAnsiTheme="minorHAnsi" w:cstheme="minorHAnsi"/>
        </w:rPr>
        <w:t>colocó la mirada en aquellas discriminaciones y violencias que se producen en el seno de la pareja y las familias, protegiendo especialmente a las niñas, niños y otras personas en condiciones de vulnerabilidad, el país toma medidas para prevenir y enfrentar el acoso en el ámbito laboral, realiza esfuerzos para eliminar la reproducción de estereotipos de género que sustentan y naturalizan las violencias en espacios socializadores como la escuela, la comunicación, la cultura y la publicidad, transversaliza la prevención de la violencia en múltiples programas de desarrollo visualizando el vínculo con el empoderamiento económico y la autonomía de las mujeres; impulsa un proyecto para la atención al parto respetuoso en instalaciones de salud y promueve paternidades responsables y masculinidades positivas.</w:t>
      </w:r>
    </w:p>
    <w:p w14:paraId="3F233FAA" w14:textId="77777777" w:rsidR="00A07831" w:rsidRPr="00DB10FE" w:rsidRDefault="00A07831"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 xml:space="preserve">Potencia el derecho al uso equilibrado del tiempo que permita cumplir con las responsabilidades y desarrollarse sin sobrecargas domésticas y de cuidado, lo que se complementa al reforzar el valor económico del trabajo en el hogar, asumido principalmente por mujeres, estableciendo la imposibilidad de que pueda generar efectos negativos para el miembro de la familia que lo desempeñe, lo que se expresa con el perfeccionamiento de la figura de la pensión al </w:t>
      </w:r>
      <w:proofErr w:type="spellStart"/>
      <w:r w:rsidRPr="00DB10FE">
        <w:rPr>
          <w:rFonts w:asciiTheme="minorHAnsi" w:hAnsiTheme="minorHAnsi" w:cstheme="minorHAnsi"/>
          <w:lang w:val="es-CU"/>
        </w:rPr>
        <w:t>ex-cónyuge</w:t>
      </w:r>
      <w:proofErr w:type="spellEnd"/>
      <w:r w:rsidRPr="00DB10FE">
        <w:rPr>
          <w:rFonts w:asciiTheme="minorHAnsi" w:hAnsiTheme="minorHAnsi" w:cstheme="minorHAnsi"/>
          <w:lang w:val="es-CU"/>
        </w:rPr>
        <w:t xml:space="preserve"> vulnerable y la introducción de la pensión compensatoria como figura jurídica.</w:t>
      </w:r>
    </w:p>
    <w:p w14:paraId="464E3ADE" w14:textId="77777777" w:rsidR="00A07831" w:rsidRPr="00DB10FE" w:rsidRDefault="00A07831"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 xml:space="preserve">Regula explícitamente el deber de cuidado familiar y protege jurídicamente a las personas, generalmente mujeres, que asumen a costa de su superación y desarrollo profesional y personal, los cuidados familiares que estaban desconocidos por el ordenamiento jurídico, desde una visión de derechos/deberes. </w:t>
      </w:r>
    </w:p>
    <w:p w14:paraId="423535E2" w14:textId="77777777" w:rsidR="00A07831" w:rsidRPr="00DB10FE" w:rsidRDefault="00A07831"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Brinda la posibilidad de acordar el orden de los apellidos.</w:t>
      </w:r>
    </w:p>
    <w:p w14:paraId="0E60F3C6" w14:textId="77777777" w:rsidR="00A07831" w:rsidRPr="00DB10FE" w:rsidRDefault="00A07831"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Autoriza la entrega de la hija o el hijo al momento de nacer, en la institución de salud, sin que sea considerado un delito de abandono.</w:t>
      </w:r>
    </w:p>
    <w:p w14:paraId="13FBD4E6" w14:textId="3B6C7D85" w:rsidR="00A07831" w:rsidRPr="00DB10FE" w:rsidRDefault="00A07831"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lastRenderedPageBreak/>
        <w:t xml:space="preserve">Autoriza la gestación solidaria con estrictos controles que impiden violar los principios de altruismo y solidaridad con los que se ha concebido y que alcanza la responsabilidad penal para quienes intenten explotar el cuerpo de las mujeres a través de su mercantilización. Estos mecanismos de control estrictos en todos los ámbitos tanto legales, médicos como judiciales y ello permite a Cuba estar a la vanguardia en la protección y ampliación de los derechos humanos en el ámbito reproductivo. La regulación de la gestación solidaria en el Código de las familias cubano está articulada y en sintonía con los derechos internacionalmente reconocidos de las mujeres; así como de las niñas y niños que nazcan producto de estas técnicas. Es consecuente con el enfoque de todos los derechos para todas las personas. </w:t>
      </w:r>
    </w:p>
    <w:p w14:paraId="4DC6E73E" w14:textId="77777777" w:rsidR="00DD5054" w:rsidRPr="00DB10FE" w:rsidRDefault="00DD5054" w:rsidP="00DD5054">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b/>
          <w:lang w:val="es-CU"/>
        </w:rPr>
        <w:t xml:space="preserve">La Ley de Salud Pública (2023) </w:t>
      </w:r>
      <w:r w:rsidRPr="00DB10FE">
        <w:rPr>
          <w:rFonts w:asciiTheme="minorHAnsi" w:hAnsiTheme="minorHAnsi" w:cstheme="minorHAnsi"/>
          <w:lang w:val="es-CU"/>
        </w:rPr>
        <w:t>en materia de género, prevención de la violencia y derechos sexuales y reproductivos.</w:t>
      </w:r>
    </w:p>
    <w:p w14:paraId="23463BEC" w14:textId="77777777" w:rsidR="00DD5054" w:rsidRPr="00DB10FE" w:rsidRDefault="00DD5054" w:rsidP="00DD5054">
      <w:pPr>
        <w:pStyle w:val="Textoindependiente2"/>
        <w:numPr>
          <w:ilvl w:val="0"/>
          <w:numId w:val="10"/>
        </w:numPr>
        <w:ind w:right="-568"/>
        <w:jc w:val="both"/>
        <w:rPr>
          <w:rFonts w:asciiTheme="minorHAnsi" w:hAnsiTheme="minorHAnsi" w:cstheme="minorHAnsi"/>
        </w:rPr>
      </w:pPr>
      <w:r w:rsidRPr="00DB10FE">
        <w:rPr>
          <w:rFonts w:asciiTheme="minorHAnsi" w:hAnsiTheme="minorHAnsi" w:cstheme="minorHAnsi"/>
          <w:lang w:val="es-CU"/>
        </w:rPr>
        <w:t>incorpora importantes novedades y reconoce expresamente que las mujeres, en ejercicio de sus derechos sexuales y reproductivos,</w:t>
      </w:r>
    </w:p>
    <w:p w14:paraId="48874990" w14:textId="77777777" w:rsidR="00DD5054" w:rsidRPr="00DB10FE" w:rsidRDefault="00DD5054" w:rsidP="00DD5054">
      <w:pPr>
        <w:pStyle w:val="Textoindependiente2"/>
        <w:numPr>
          <w:ilvl w:val="0"/>
          <w:numId w:val="10"/>
        </w:numPr>
        <w:ind w:right="-568"/>
        <w:jc w:val="both"/>
        <w:rPr>
          <w:rFonts w:asciiTheme="minorHAnsi" w:hAnsiTheme="minorHAnsi" w:cstheme="minorHAnsi"/>
        </w:rPr>
      </w:pPr>
      <w:r w:rsidRPr="00DB10FE">
        <w:rPr>
          <w:rFonts w:asciiTheme="minorHAnsi" w:hAnsiTheme="minorHAnsi" w:cstheme="minorHAnsi"/>
          <w:lang w:val="es-CU"/>
        </w:rPr>
        <w:t xml:space="preserve"> tienen el derecho de decidir sobre la terminación voluntaria del embarazo, mediante la realización de un proceder médico preventivo y terapéutico, en instituciones certificadas para esta atención y por personal calificado, cumpliendo las regulaciones técnicas, éticas y jurídicas aprobadas por el Ministerio de Salud Pública.</w:t>
      </w:r>
    </w:p>
    <w:p w14:paraId="29CDD7D6" w14:textId="14DB9F9F" w:rsidR="00DD5054" w:rsidRPr="00DB10FE" w:rsidRDefault="00DD5054" w:rsidP="00DD5054">
      <w:pPr>
        <w:pStyle w:val="Textoindependiente2"/>
        <w:numPr>
          <w:ilvl w:val="0"/>
          <w:numId w:val="10"/>
        </w:numPr>
        <w:ind w:right="-568"/>
        <w:jc w:val="both"/>
        <w:rPr>
          <w:rFonts w:asciiTheme="minorHAnsi" w:hAnsiTheme="minorHAnsi" w:cstheme="minorHAnsi"/>
        </w:rPr>
      </w:pPr>
      <w:r w:rsidRPr="00DB10FE">
        <w:rPr>
          <w:rFonts w:asciiTheme="minorHAnsi" w:hAnsiTheme="minorHAnsi" w:cstheme="minorHAnsi"/>
          <w:lang w:val="es-CU"/>
        </w:rPr>
        <w:t>Blinda el derecho de las mujeres a la interrupción voluntaria del embarazo; derecho que, aunque no había tenido una expresión legislativa de esta magnitud hasta ahora, sí ha estado asegurado de manera universal y gratuita desde el año 1965 en que se estableció la institucionalización hospitalaria de la práctica del aborto voluntario como una medida encaminada a la disminución de la muerte materna y como conquista en la lucha por la plena igualdad, basada en el libre derecho a decidir sobre la reproducción.</w:t>
      </w:r>
    </w:p>
    <w:p w14:paraId="15297EC0" w14:textId="40611388" w:rsidR="004B35EE" w:rsidRPr="00DB10FE" w:rsidRDefault="004B35EE" w:rsidP="004B35EE">
      <w:pPr>
        <w:pStyle w:val="Textoindependiente2"/>
        <w:numPr>
          <w:ilvl w:val="0"/>
          <w:numId w:val="8"/>
        </w:numPr>
        <w:ind w:right="-568"/>
        <w:jc w:val="both"/>
        <w:rPr>
          <w:rFonts w:asciiTheme="minorHAnsi" w:eastAsia="Arial Unicode MS" w:hAnsiTheme="minorHAnsi" w:cstheme="minorHAnsi"/>
        </w:rPr>
      </w:pPr>
      <w:r w:rsidRPr="00DB10FE">
        <w:rPr>
          <w:rFonts w:asciiTheme="minorHAnsi" w:eastAsia="Arial Unicode MS" w:hAnsiTheme="minorHAnsi" w:cstheme="minorHAnsi"/>
        </w:rPr>
        <w:t xml:space="preserve">El </w:t>
      </w:r>
      <w:r w:rsidRPr="00DB10FE">
        <w:rPr>
          <w:rFonts w:asciiTheme="minorHAnsi" w:eastAsia="Arial Unicode MS" w:hAnsiTheme="minorHAnsi" w:cstheme="minorHAnsi"/>
          <w:b/>
          <w:bCs/>
        </w:rPr>
        <w:t>Código Penal</w:t>
      </w:r>
      <w:r w:rsidRPr="00DB10FE">
        <w:rPr>
          <w:rFonts w:asciiTheme="minorHAnsi" w:eastAsia="Arial Unicode MS" w:hAnsiTheme="minorHAnsi" w:cstheme="minorHAnsi"/>
        </w:rPr>
        <w:t>, como salvaguardar los derechos reconocidos en la norma constitucional y las demás leyes (art. 1.1), dejando sentada la tutela reforzada que implica el Derecho Penal. La actual normativa define, mediante una interpretación auténtica contextual, qué entender por violencia de género, estableciendo los requisitos y las diferentes formas, en coincidencia con lo identificado por la doctrina y las normas internacionales.</w:t>
      </w:r>
    </w:p>
    <w:p w14:paraId="58DDF2B9" w14:textId="05D345CD" w:rsidR="00DD5054" w:rsidRPr="00DB10FE" w:rsidRDefault="004B35EE" w:rsidP="00DD5054">
      <w:pPr>
        <w:pStyle w:val="Textoindependiente2"/>
        <w:numPr>
          <w:ilvl w:val="0"/>
          <w:numId w:val="8"/>
        </w:numPr>
        <w:ind w:right="-568"/>
        <w:jc w:val="both"/>
        <w:rPr>
          <w:rFonts w:asciiTheme="minorHAnsi" w:eastAsia="Arial Unicode MS" w:hAnsiTheme="minorHAnsi" w:cstheme="minorHAnsi"/>
        </w:rPr>
      </w:pPr>
      <w:r w:rsidRPr="00DB10FE">
        <w:rPr>
          <w:rFonts w:asciiTheme="minorHAnsi" w:eastAsia="Arial Unicode MS" w:hAnsiTheme="minorHAnsi" w:cstheme="minorHAnsi"/>
        </w:rPr>
        <w:t xml:space="preserve">El </w:t>
      </w:r>
      <w:r w:rsidR="00DD5054" w:rsidRPr="00DB10FE">
        <w:rPr>
          <w:rFonts w:asciiTheme="minorHAnsi" w:eastAsia="Arial Unicode MS" w:hAnsiTheme="minorHAnsi" w:cstheme="minorHAnsi"/>
          <w:b/>
          <w:bCs/>
        </w:rPr>
        <w:t xml:space="preserve">Decreto-Ley 35 de Las Telecomunicaciones, las Tecnologías de la Información y las Comunicaciones </w:t>
      </w:r>
      <w:r w:rsidR="002C3B25" w:rsidRPr="00DB10FE">
        <w:rPr>
          <w:rFonts w:asciiTheme="minorHAnsi" w:eastAsia="Arial Unicode MS" w:hAnsiTheme="minorHAnsi" w:cstheme="minorHAnsi"/>
          <w:b/>
          <w:bCs/>
        </w:rPr>
        <w:t>(</w:t>
      </w:r>
      <w:r w:rsidR="002C3B25" w:rsidRPr="00DB10FE">
        <w:rPr>
          <w:rFonts w:asciiTheme="minorHAnsi" w:eastAsia="Arial Unicode MS" w:hAnsiTheme="minorHAnsi" w:cstheme="minorHAnsi"/>
        </w:rPr>
        <w:t>2021</w:t>
      </w:r>
      <w:r w:rsidR="00DD5054" w:rsidRPr="00DB10FE">
        <w:rPr>
          <w:rFonts w:asciiTheme="minorHAnsi" w:eastAsia="Arial Unicode MS" w:hAnsiTheme="minorHAnsi" w:cstheme="minorHAnsi"/>
        </w:rPr>
        <w:t xml:space="preserve">), con el objetivo de establecer el marco legal de las telecomunicaciones, las TIC asociadas a estas y del uso del espectro radioeléctrico en correspondencia con lo establecido en la Constitución. Por primera vez en el país una norma de rango superior sancionó hechos como el ciberacoso, el engaño pederasta o la difusión de pornografía a través de la tecnología. Con su puesta en vigor, el usuario de los servicios públicos de telecomunicaciones no puede usarlos para realizar acciones o transmitir información ofensiva o lesiva para la dignidad humana, de contenidos sexuales o discriminatorios, que puedan generar acoso. </w:t>
      </w:r>
    </w:p>
    <w:p w14:paraId="03AFBDDF" w14:textId="77777777" w:rsidR="00DD5054" w:rsidRPr="00DB10FE" w:rsidRDefault="00DD5054" w:rsidP="00DD5054">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bCs/>
          <w:lang w:val="es-CU"/>
        </w:rPr>
        <w:t>En materia laboral</w:t>
      </w:r>
      <w:r w:rsidRPr="00DB10FE">
        <w:rPr>
          <w:rFonts w:asciiTheme="minorHAnsi" w:hAnsiTheme="minorHAnsi" w:cstheme="minorHAnsi"/>
          <w:b/>
          <w:lang w:val="es-CU"/>
        </w:rPr>
        <w:t xml:space="preserve"> </w:t>
      </w:r>
      <w:r w:rsidRPr="00DB10FE">
        <w:rPr>
          <w:rFonts w:asciiTheme="minorHAnsi" w:hAnsiTheme="minorHAnsi" w:cstheme="minorHAnsi"/>
          <w:lang w:val="es-CU"/>
        </w:rPr>
        <w:t xml:space="preserve">se destaca el artículo 66 de la Constitución que establece como derecho inalienable la prohibición del trabajo de las niñas, los niños y los adolescentes, que ha constituido el marco propicio para el cumplimiento de los convenios internacionales sobre la protección de los adolescentes entre 15 y 16 años para garantizar que su inserción al trabajo por motivos de su formación profesional sea bajo </w:t>
      </w:r>
      <w:r w:rsidRPr="00DB10FE">
        <w:rPr>
          <w:rFonts w:asciiTheme="minorHAnsi" w:hAnsiTheme="minorHAnsi" w:cstheme="minorHAnsi"/>
          <w:lang w:val="es-CU"/>
        </w:rPr>
        <w:lastRenderedPageBreak/>
        <w:t xml:space="preserve">preceptos de protección complementaria y evitando el trabajo en sectores con peligrosidad y riesgos para su salud física y mental. En cuanto a la maternidad de la trabajadora se ha modificado en varias ocasiones el decreto ley 54 de la maternidad de la trabajadora y la responsabilidad de las familias, adoptado en 2021, con normas que equiparan, entre otros, el disfrute a los derechos de la maternidad a todos los sectores, con protección a la gestante solidaria trabajadora durante el embarazo, el descanso prenatal y la recuperación después del parto, y a las personas comitentes trabajadoras para el cuidado del niño o niña. </w:t>
      </w:r>
    </w:p>
    <w:p w14:paraId="5D99D92A" w14:textId="122A8151" w:rsidR="00DD5054" w:rsidRPr="00DB10FE" w:rsidRDefault="00DD5054" w:rsidP="00DD5054">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lang w:val="es-CU"/>
        </w:rPr>
        <w:t>De gran trascendencia se considera que la prestación social, terminada la licencia postnatal, se extienda hasta que el niño o niña arribe a los 15 meses de nacido y que se conceda el derecho a su disfrute a la abuela o el abuelo que sean personas trabajadoras al cuidado del niño o niña cuya madre es estudiante, y con ello se garantice la continuidad de estudios y su autonomía.</w:t>
      </w:r>
    </w:p>
    <w:p w14:paraId="4DDCCB1A" w14:textId="77777777" w:rsidR="00DB10FE" w:rsidRPr="00DB10FE" w:rsidRDefault="00DD5054" w:rsidP="00DD5054">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lang w:val="es-CU"/>
        </w:rPr>
        <w:t xml:space="preserve">Importante ha sido la adopción en septiembre de 2023 del </w:t>
      </w:r>
      <w:r w:rsidRPr="00DB10FE">
        <w:rPr>
          <w:rFonts w:asciiTheme="minorHAnsi" w:hAnsiTheme="minorHAnsi" w:cstheme="minorHAnsi"/>
          <w:b/>
          <w:bCs/>
          <w:lang w:val="es-CU"/>
        </w:rPr>
        <w:t>Decreto 96 “Protocolo de actuación ante situaciones de discriminación, violencia y acoso en el ámbito laboral”</w:t>
      </w:r>
      <w:r w:rsidRPr="00DB10FE">
        <w:rPr>
          <w:rFonts w:asciiTheme="minorHAnsi" w:hAnsiTheme="minorHAnsi" w:cstheme="minorHAnsi"/>
          <w:lang w:val="es-CU"/>
        </w:rPr>
        <w:t xml:space="preserve">, que favorece su identificación, prevención y control, la capacitación de trabajadores y empleadores; así como la asistencia a los afectados, de cualquier sector de actividad, mediante mecanismos legales de protección que garanticen condiciones de igualdad y equidad en el lugar de trabajo. </w:t>
      </w:r>
    </w:p>
    <w:p w14:paraId="3688666B" w14:textId="1066ABE3" w:rsidR="00DD5054" w:rsidRPr="00DB10FE" w:rsidRDefault="00DD5054" w:rsidP="00DD5054">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lang w:val="es-CU"/>
        </w:rPr>
        <w:t>No es específico para las mujeres trabajadoras; sin embargo, es un paso importante para que también el ámbito laboral se cierre a las situaciones de discriminación, violencia y acoso laboral. Recientemente, en las modificaciones de la legislación para las formas de gestión no estatal, se ha determinado que las relaciones laborales entre los trabajadores y sus empleadores se rigen por la legislación laboral vigente, que debe ser mediante contrato de trabajo para contribuir a la reducción del empleo informal y que los empleadores deben garantizar un entorno laboral de no tolerancia ante manifestaciones de discriminación, violencia y acoso a cualquier trabajador y, en particular, hacia las mujeres.</w:t>
      </w:r>
    </w:p>
    <w:p w14:paraId="0F512AA6" w14:textId="77777777" w:rsidR="004B35EE" w:rsidRPr="00DB10FE" w:rsidRDefault="004B35EE" w:rsidP="004B35EE">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rPr>
        <w:t xml:space="preserve">El Estado cubano asumió el compromiso de colocar los cuidados en el centro de un modelo de desarrollo que aspira a la sostenibilidad, la justicia y la equidad social: el </w:t>
      </w:r>
      <w:r w:rsidRPr="00DB10FE">
        <w:rPr>
          <w:rFonts w:asciiTheme="minorHAnsi" w:hAnsiTheme="minorHAnsi" w:cstheme="minorHAnsi"/>
          <w:b/>
          <w:bCs/>
        </w:rPr>
        <w:t>Sistema Nacional para el Cuidado Integral de la Vida,</w:t>
      </w:r>
      <w:r w:rsidRPr="00DB10FE">
        <w:rPr>
          <w:rFonts w:asciiTheme="minorHAnsi" w:hAnsiTheme="minorHAnsi" w:cstheme="minorHAnsi"/>
        </w:rPr>
        <w:t xml:space="preserve"> en proceso de puesta en práctica, es una herramienta que prevé la coordinación intersectorial, y el avance ordenado y flexible de los cuidados; está dirigido a infantes de cero a 12 años de edad, a las personas adultas mayores y en situación de discapacidad, a las que por enfermedad o accidente requieren de cuidados temporales, y a las personas que se dedican a cuidar.</w:t>
      </w:r>
    </w:p>
    <w:p w14:paraId="59588F22" w14:textId="66C78549" w:rsidR="004B35EE" w:rsidRPr="00DB10FE" w:rsidRDefault="004B35EE" w:rsidP="004B35EE">
      <w:pPr>
        <w:pStyle w:val="Textoindependiente2"/>
        <w:numPr>
          <w:ilvl w:val="0"/>
          <w:numId w:val="17"/>
        </w:numPr>
        <w:ind w:right="-568"/>
        <w:jc w:val="both"/>
        <w:rPr>
          <w:rFonts w:asciiTheme="minorHAnsi" w:hAnsiTheme="minorHAnsi" w:cstheme="minorHAnsi"/>
        </w:rPr>
      </w:pPr>
      <w:r w:rsidRPr="00DB10FE">
        <w:rPr>
          <w:rFonts w:asciiTheme="minorHAnsi" w:hAnsiTheme="minorHAnsi" w:cstheme="minorHAnsi"/>
        </w:rPr>
        <w:t xml:space="preserve">El reconocimiento público de los cuidados como necesidad y derecho, pero también como trabajo, se cuenta entre las ganancias del nuevo sistema de cuidado integral para la vida, cuya propuesta ha sido construida con Red Cubana de Estudios sobre Cuidados, la FMC con su Centro de Estudios y con el apoyo técnico de CEPAL y UNFPA. </w:t>
      </w:r>
    </w:p>
    <w:p w14:paraId="02E1FDE7" w14:textId="77777777" w:rsidR="004B35EE" w:rsidRPr="00DB10FE" w:rsidRDefault="004B35EE" w:rsidP="004B35EE">
      <w:pPr>
        <w:pStyle w:val="Textoindependiente2"/>
        <w:numPr>
          <w:ilvl w:val="0"/>
          <w:numId w:val="17"/>
        </w:numPr>
        <w:ind w:right="-568"/>
        <w:jc w:val="both"/>
        <w:rPr>
          <w:rFonts w:asciiTheme="minorHAnsi" w:hAnsiTheme="minorHAnsi" w:cstheme="minorHAnsi"/>
        </w:rPr>
      </w:pPr>
      <w:r w:rsidRPr="00DB10FE">
        <w:rPr>
          <w:rFonts w:asciiTheme="minorHAnsi" w:hAnsiTheme="minorHAnsi" w:cstheme="minorHAnsi"/>
        </w:rPr>
        <w:t xml:space="preserve">El diseño, implementación, seguimiento y evaluación de la Política de la Atención a la Dinámica Demográfica, coloca el tema de los cuidados como una prioridad y la cual responde a un enfoque de integralidad y </w:t>
      </w:r>
      <w:proofErr w:type="spellStart"/>
      <w:r w:rsidRPr="00DB10FE">
        <w:rPr>
          <w:rFonts w:asciiTheme="minorHAnsi" w:hAnsiTheme="minorHAnsi" w:cstheme="minorHAnsi"/>
        </w:rPr>
        <w:t>multisectorialidad</w:t>
      </w:r>
      <w:proofErr w:type="spellEnd"/>
      <w:r w:rsidRPr="00DB10FE">
        <w:rPr>
          <w:rFonts w:asciiTheme="minorHAnsi" w:hAnsiTheme="minorHAnsi" w:cstheme="minorHAnsi"/>
        </w:rPr>
        <w:t xml:space="preserve">. Presta, además, especial atención a uno de los principales desafíos en el ámbito de género y que son las altas tasas de embarazo en la adolescencia en un contexto de bajas tasas de fecundidad en otros grupos </w:t>
      </w:r>
      <w:proofErr w:type="spellStart"/>
      <w:r w:rsidRPr="00DB10FE">
        <w:rPr>
          <w:rFonts w:asciiTheme="minorHAnsi" w:hAnsiTheme="minorHAnsi" w:cstheme="minorHAnsi"/>
        </w:rPr>
        <w:t>etareos</w:t>
      </w:r>
      <w:proofErr w:type="spellEnd"/>
      <w:r w:rsidRPr="00DB10FE">
        <w:rPr>
          <w:rFonts w:asciiTheme="minorHAnsi" w:hAnsiTheme="minorHAnsi" w:cstheme="minorHAnsi"/>
        </w:rPr>
        <w:t xml:space="preserve">. </w:t>
      </w:r>
    </w:p>
    <w:p w14:paraId="382E77BD" w14:textId="1EBEE93E" w:rsidR="006B02DC" w:rsidRPr="00DB10FE" w:rsidRDefault="006B02DC" w:rsidP="006B02DC">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lastRenderedPageBreak/>
        <w:t>La FMC mant</w:t>
      </w:r>
      <w:r w:rsidR="004B35EE" w:rsidRPr="00DB10FE">
        <w:rPr>
          <w:rFonts w:asciiTheme="minorHAnsi" w:eastAsia="Arial Unicode MS" w:hAnsiTheme="minorHAnsi" w:cstheme="minorHAnsi"/>
        </w:rPr>
        <w:t>iene</w:t>
      </w:r>
      <w:r w:rsidRPr="00DB10FE">
        <w:rPr>
          <w:rFonts w:asciiTheme="minorHAnsi" w:eastAsia="Arial Unicode MS" w:hAnsiTheme="minorHAnsi" w:cstheme="minorHAnsi"/>
        </w:rPr>
        <w:t xml:space="preserve"> con su membrecía desde las bases, una activa participación, velando porque se incluy</w:t>
      </w:r>
      <w:r w:rsidR="004B35EE" w:rsidRPr="00DB10FE">
        <w:rPr>
          <w:rFonts w:asciiTheme="minorHAnsi" w:eastAsia="Arial Unicode MS" w:hAnsiTheme="minorHAnsi" w:cstheme="minorHAnsi"/>
        </w:rPr>
        <w:t xml:space="preserve">era </w:t>
      </w:r>
      <w:r w:rsidRPr="00DB10FE">
        <w:rPr>
          <w:rFonts w:asciiTheme="minorHAnsi" w:eastAsia="Arial Unicode MS" w:hAnsiTheme="minorHAnsi" w:cstheme="minorHAnsi"/>
        </w:rPr>
        <w:t>en dichas propuestas los intereses de las mujeres y una correcta perspectiva de género, entre otros. Asimismo, participó en las Consultas especializadas realizadas y su estructura profesional integró los diferentes Grupos de Trabajo constituidos al respecto.</w:t>
      </w:r>
    </w:p>
    <w:p w14:paraId="69B45FDB" w14:textId="77777777" w:rsidR="006B02DC" w:rsidRPr="00DB10FE" w:rsidRDefault="006B02DC" w:rsidP="006B02DC">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En las Casas de Orientación a las Mujeres y las Familias, se dedican turnos de Reflexión iníciales en los Programas de Adiestramiento, para desarrollar temáticas relacionadas con el género, se dan a conocer las diferentes aristas de la discriminación y las herramientas para desmontar dichos estereotipos.</w:t>
      </w:r>
    </w:p>
    <w:p w14:paraId="131207F0" w14:textId="5D190C0D" w:rsidR="006B02DC" w:rsidRPr="00DB10FE" w:rsidRDefault="006B02DC" w:rsidP="006B02DC">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El Centro de Estudios de la Mujer de la Federación de Mujeres Cubanas y el Comité de Género del Ministerio de Justicia, en colaboración con el Proyecto “Justicia en clave de género” de la Unión Nacional de Juristas de Cuba, diseñaron una Estrategia de género para el sistema jurídico en conexión con el Programa Nacional para el Adelanto de las Mujeres en Cuba que ha servido de guía para la elaboración de las Estrategias de género institucionales dentro del Sistema jurídico.</w:t>
      </w:r>
    </w:p>
    <w:p w14:paraId="228FF2F9" w14:textId="12EE02ED" w:rsidR="006B02DC" w:rsidRPr="00DB10FE" w:rsidRDefault="00DF1A5D" w:rsidP="00DD5054">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Premio ÚNETE del Sistema de las Naciones Unidas en Cuba por el trabajo sostenido durante décadas para prevenir y eliminar la violencia de género, la FMC impulsa espacios de sensibilización y concientización en línea con la Campaña Únete de la ONU para poner fin a la violencia hacia las mujeres y las niñas, y en articulación con una amplia diversidad de instituciones y organizaciones nacionales.  Así mismo, impulsa la Campaña Nacional Juntas Por la No Violencia de Género y desarrollan acciones sistemáticas con énfasis en la celebración mensual del Día Naranja. La iniciativa ha permitido movilizar al gobierno, organismos, ministerios, organizaciones de la sociedad civil cubana, y población en general, en acciones a favor de la cultura de paz y la no violencia.</w:t>
      </w:r>
    </w:p>
    <w:p w14:paraId="0F518945" w14:textId="77777777" w:rsidR="00DD5054" w:rsidRPr="00DB10FE" w:rsidRDefault="00DF1A5D" w:rsidP="00DF1A5D">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 xml:space="preserve">Entre las medidas priorizadas para el avance en la respuesta se encuentran también los </w:t>
      </w:r>
      <w:r w:rsidRPr="00DB10FE">
        <w:rPr>
          <w:rFonts w:asciiTheme="minorHAnsi" w:eastAsia="Arial Unicode MS" w:hAnsiTheme="minorHAnsi" w:cstheme="minorHAnsi"/>
          <w:b/>
          <w:bCs/>
        </w:rPr>
        <w:t>Servicios de atención y orientación</w:t>
      </w:r>
      <w:r w:rsidRPr="00DB10FE">
        <w:rPr>
          <w:rFonts w:asciiTheme="minorHAnsi" w:eastAsia="Arial Unicode MS" w:hAnsiTheme="minorHAnsi" w:cstheme="minorHAnsi"/>
        </w:rPr>
        <w:t>, en los que la FMC ha impulsado un proceso de fortalecimiento de las Casas de Orientación a la Mujer y la Familia, con infraestructura en todos los municipios del país, creando consejerías que garantizan la atención a las mujeres lo más cercano posible a la comunidad en que viven</w:t>
      </w:r>
      <w:r w:rsidR="00DD5054" w:rsidRPr="00DB10FE">
        <w:rPr>
          <w:rFonts w:asciiTheme="minorHAnsi" w:eastAsia="Arial Unicode MS" w:hAnsiTheme="minorHAnsi" w:cstheme="minorHAnsi"/>
        </w:rPr>
        <w:t>.</w:t>
      </w:r>
    </w:p>
    <w:p w14:paraId="27D4BFC3" w14:textId="77777777" w:rsidR="00DD5054" w:rsidRPr="00DB10FE" w:rsidRDefault="00DF1A5D" w:rsidP="00612CAB">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Constituyen buenas prácticas la realización de Diálogos por familias libres de violencia y Voces de Mujeres por la No violencia de género, en las comunidades, como principal escenario de prevención, que propiciaron la divulgación de la Estrategia y los procedimientos a seguir para la denuncia y atención a las víctimas. Estos procesos mostraron la necesidad de actualizar, de conjunto con el Ministerio de Trabajo y Seguridad Social, el número de familias que viven en situaciones de violencia, en función de transformar modos de actuación y eliminar las causas y condiciones que la generan. Se identificaron espacios que necesitan mayor organización y coherencia para el tratamiento al tema y la urgencia de concebir un sistema de registro y de atención integral desde los grupos intersectoriales, en articulación con los agentes socializadores que permita el tratamiento personalizado para cada una de las víctimas desde lo local – comunitario.</w:t>
      </w:r>
    </w:p>
    <w:p w14:paraId="6E24CC2B" w14:textId="77777777" w:rsidR="00DD5054" w:rsidRPr="00DB10FE" w:rsidRDefault="00612CAB" w:rsidP="00612CAB">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 xml:space="preserve">En cuanto a la </w:t>
      </w:r>
      <w:r w:rsidRPr="00DB10FE">
        <w:rPr>
          <w:rFonts w:asciiTheme="minorHAnsi" w:eastAsia="Arial Unicode MS" w:hAnsiTheme="minorHAnsi" w:cstheme="minorHAnsi"/>
          <w:b/>
          <w:bCs/>
        </w:rPr>
        <w:t>p</w:t>
      </w:r>
      <w:r w:rsidR="0032685B" w:rsidRPr="00DB10FE">
        <w:rPr>
          <w:rFonts w:asciiTheme="minorHAnsi" w:eastAsia="Arial Unicode MS" w:hAnsiTheme="minorHAnsi" w:cstheme="minorHAnsi"/>
          <w:b/>
          <w:bCs/>
        </w:rPr>
        <w:t>articipació</w:t>
      </w:r>
      <w:r w:rsidRPr="00DB10FE">
        <w:rPr>
          <w:rFonts w:asciiTheme="minorHAnsi" w:eastAsia="Arial Unicode MS" w:hAnsiTheme="minorHAnsi" w:cstheme="minorHAnsi"/>
          <w:b/>
          <w:bCs/>
        </w:rPr>
        <w:t>n en la vida política y pública</w:t>
      </w:r>
      <w:r w:rsidRPr="00DB10FE">
        <w:rPr>
          <w:rFonts w:asciiTheme="minorHAnsi" w:eastAsia="Arial Unicode MS" w:hAnsiTheme="minorHAnsi" w:cstheme="minorHAnsi"/>
        </w:rPr>
        <w:t>, d</w:t>
      </w:r>
      <w:r w:rsidR="0032685B" w:rsidRPr="00DB10FE">
        <w:rPr>
          <w:rFonts w:asciiTheme="minorHAnsi" w:eastAsia="Arial Unicode MS" w:hAnsiTheme="minorHAnsi" w:cstheme="minorHAnsi"/>
        </w:rPr>
        <w:t xml:space="preserve">esde la FMC, se realizan reconocimientos y estímulos a las mujeres que se destacan en sus actividades laborales, y como directivas se realizan encuentros con ellas y se ha continuado asesorando el proceso del diseño de las Estrategias de Genero y los Comités, que </w:t>
      </w:r>
      <w:r w:rsidR="0032685B" w:rsidRPr="00DB10FE">
        <w:rPr>
          <w:rFonts w:asciiTheme="minorHAnsi" w:eastAsia="Arial Unicode MS" w:hAnsiTheme="minorHAnsi" w:cstheme="minorHAnsi"/>
        </w:rPr>
        <w:lastRenderedPageBreak/>
        <w:t>entran en la etapa de perfeccionar su funcionamiento. La Organización realiza todos los años el Encuentro con mujeres que ocupan cargos decisorios de Primer Nivel.</w:t>
      </w:r>
    </w:p>
    <w:p w14:paraId="04402FAD" w14:textId="77777777" w:rsidR="00DD5054" w:rsidRPr="00DB10FE" w:rsidRDefault="0032685B" w:rsidP="00612CAB">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La FMC desarrolla los encuentros con mujeres trabajadoras de los diferentes sectores, priorizando los sectores económicos, en los que la presencia femenina es baja. Participa en los Consejos de Dirección de los ministerios y direcciones provinciales y municipales, sus Estrategias y Comités de género, con mayor énfasis en los sectores del transporte, la agricultura, sector minero, entre otros.</w:t>
      </w:r>
    </w:p>
    <w:p w14:paraId="34D0B0AF" w14:textId="77777777" w:rsidR="00DD5054" w:rsidRPr="00DB10FE" w:rsidRDefault="0032685B" w:rsidP="00612CAB">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La participación femenina en cargos directivos es ascendente. Fueron electas 5 mil 044 delegadas de circunscripciones para un 44, 11% y 262 quedaron diputadas al Parlamento, para el 55,7% que coloca al país en el segundo a nivel mundial.</w:t>
      </w:r>
    </w:p>
    <w:p w14:paraId="4CE251AF" w14:textId="77777777" w:rsidR="00DD5054" w:rsidRPr="00DB10FE" w:rsidRDefault="0032685B" w:rsidP="007F51F7">
      <w:pPr>
        <w:pStyle w:val="Textoindependiente2"/>
        <w:numPr>
          <w:ilvl w:val="0"/>
          <w:numId w:val="8"/>
        </w:numPr>
        <w:ind w:right="-568"/>
        <w:jc w:val="both"/>
        <w:rPr>
          <w:rFonts w:asciiTheme="minorHAnsi" w:hAnsiTheme="minorHAnsi" w:cstheme="minorHAnsi"/>
        </w:rPr>
      </w:pPr>
      <w:r w:rsidRPr="00DB10FE">
        <w:rPr>
          <w:rFonts w:asciiTheme="minorHAnsi" w:eastAsia="Arial Unicode MS" w:hAnsiTheme="minorHAnsi" w:cstheme="minorHAnsi"/>
        </w:rPr>
        <w:t xml:space="preserve">En la Ciencia e Innovación Tecnológica, laboran 14,8 miles de mujeres, el 48,5 % de todas las personas del sector. En la categoría ocupacional de Técnicos, que incluye lo/as profesionales, son mujeres el 66,1% y de los Doctores en Ciencias, representan el 34.1%; así como constituyen más de la mitad de los condecorados con la Orden Carlos Juan </w:t>
      </w:r>
      <w:proofErr w:type="spellStart"/>
      <w:r w:rsidRPr="00DB10FE">
        <w:rPr>
          <w:rFonts w:asciiTheme="minorHAnsi" w:eastAsia="Arial Unicode MS" w:hAnsiTheme="minorHAnsi" w:cstheme="minorHAnsi"/>
        </w:rPr>
        <w:t>Finlay</w:t>
      </w:r>
      <w:proofErr w:type="spellEnd"/>
      <w:r w:rsidRPr="00DB10FE">
        <w:rPr>
          <w:rFonts w:asciiTheme="minorHAnsi" w:eastAsia="Arial Unicode MS" w:hAnsiTheme="minorHAnsi" w:cstheme="minorHAnsi"/>
        </w:rPr>
        <w:t xml:space="preserve"> y de los Premios de la Academia de Ciencias de Cuba. </w:t>
      </w:r>
    </w:p>
    <w:p w14:paraId="0EF0D6EE" w14:textId="77777777" w:rsidR="00DD5054" w:rsidRPr="00DB10FE" w:rsidRDefault="0032685B" w:rsidP="007F51F7">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rPr>
        <w:t xml:space="preserve">El </w:t>
      </w:r>
      <w:r w:rsidRPr="00DB10FE">
        <w:rPr>
          <w:rFonts w:asciiTheme="minorHAnsi" w:eastAsia="Arial Unicode MS" w:hAnsiTheme="minorHAnsi" w:cstheme="minorHAnsi"/>
        </w:rPr>
        <w:t xml:space="preserve">69, 6% de los ocupados en el sector de la salud pública son mujeres, el 64,3% de los médicos y el 64,2% del personal que presta servicios de colaboración en varios países del mundo. </w:t>
      </w:r>
    </w:p>
    <w:p w14:paraId="33529F46" w14:textId="11874F10" w:rsidR="007F51F7" w:rsidRPr="00DB10FE" w:rsidRDefault="007F51F7" w:rsidP="007F51F7">
      <w:pPr>
        <w:pStyle w:val="Textoindependiente2"/>
        <w:numPr>
          <w:ilvl w:val="0"/>
          <w:numId w:val="8"/>
        </w:numPr>
        <w:ind w:right="-568"/>
        <w:jc w:val="both"/>
        <w:rPr>
          <w:rFonts w:asciiTheme="minorHAnsi" w:hAnsiTheme="minorHAnsi" w:cstheme="minorHAnsi"/>
        </w:rPr>
      </w:pPr>
      <w:r w:rsidRPr="00DB10FE">
        <w:rPr>
          <w:rFonts w:asciiTheme="minorHAnsi" w:hAnsiTheme="minorHAnsi" w:cstheme="minorHAnsi"/>
          <w:lang w:val="es-CU"/>
        </w:rPr>
        <w:t>Buenas prácticas relativas a la promoción y protección de los derechos de mujeres y niñas</w:t>
      </w:r>
    </w:p>
    <w:p w14:paraId="03B50345" w14:textId="70E2BD6E" w:rsidR="007F51F7" w:rsidRPr="00DB10FE" w:rsidRDefault="007F51F7"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Creación en 2023 del Observatorio de Cuba sobre igualdad de género, con información</w:t>
      </w:r>
      <w:r w:rsidR="00DD5054" w:rsidRPr="00DB10FE">
        <w:rPr>
          <w:rFonts w:asciiTheme="minorHAnsi" w:hAnsiTheme="minorHAnsi" w:cstheme="minorHAnsi"/>
          <w:lang w:val="es-CU"/>
        </w:rPr>
        <w:t xml:space="preserve"> </w:t>
      </w:r>
      <w:r w:rsidRPr="00DB10FE">
        <w:rPr>
          <w:rFonts w:asciiTheme="minorHAnsi" w:hAnsiTheme="minorHAnsi" w:cstheme="minorHAnsi"/>
          <w:lang w:val="es-CU"/>
        </w:rPr>
        <w:t>estadística actualizada, que contribuye a fortalecer el diseño de políticas públicas dirigidas a disminuir las brechas de género existentes.</w:t>
      </w:r>
    </w:p>
    <w:p w14:paraId="33DDC5F5" w14:textId="301E7AD3" w:rsidR="007F51F7" w:rsidRPr="00DB10FE" w:rsidRDefault="007F51F7"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 xml:space="preserve">En marcha el establecimiento de un Registro Administrativo Interoperable con información en tiempo real de las muertes violentas de mujeres y niñas por razones de género de la </w:t>
      </w:r>
      <w:r w:rsidR="008F2712" w:rsidRPr="00DB10FE">
        <w:rPr>
          <w:rFonts w:asciiTheme="minorHAnsi" w:hAnsiTheme="minorHAnsi" w:cstheme="minorHAnsi"/>
          <w:lang w:val="es-CU"/>
        </w:rPr>
        <w:t>fiscalía general</w:t>
      </w:r>
      <w:r w:rsidRPr="00DB10FE">
        <w:rPr>
          <w:rFonts w:asciiTheme="minorHAnsi" w:hAnsiTheme="minorHAnsi" w:cstheme="minorHAnsi"/>
          <w:lang w:val="es-CU"/>
        </w:rPr>
        <w:t xml:space="preserve"> de la República de Cuba. </w:t>
      </w:r>
    </w:p>
    <w:p w14:paraId="2C4BA211" w14:textId="3F308C7E" w:rsidR="007F51F7" w:rsidRPr="00DB10FE" w:rsidRDefault="007F51F7"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 xml:space="preserve">Elaboración Guía básica para personal que brinda servicios telefónicos de atención a la violencia basada en género, 2020. </w:t>
      </w:r>
    </w:p>
    <w:p w14:paraId="5893B69B" w14:textId="4F3272F3" w:rsidR="007F51F7" w:rsidRPr="00DB10FE" w:rsidRDefault="007F51F7" w:rsidP="00DD5054">
      <w:pPr>
        <w:pStyle w:val="Textoindependiente2"/>
        <w:numPr>
          <w:ilvl w:val="0"/>
          <w:numId w:val="8"/>
        </w:numPr>
        <w:ind w:right="-568"/>
        <w:jc w:val="both"/>
        <w:rPr>
          <w:rFonts w:asciiTheme="minorHAnsi" w:eastAsia="Arial Unicode MS" w:hAnsiTheme="minorHAnsi" w:cstheme="minorHAnsi"/>
        </w:rPr>
      </w:pPr>
      <w:r w:rsidRPr="00DB10FE">
        <w:rPr>
          <w:rFonts w:asciiTheme="minorHAnsi" w:eastAsia="Arial Unicode MS" w:hAnsiTheme="minorHAnsi" w:cstheme="minorHAnsi"/>
        </w:rPr>
        <w:t xml:space="preserve">Recomendaciones al Estado cubano: </w:t>
      </w:r>
    </w:p>
    <w:p w14:paraId="369D208B" w14:textId="77777777" w:rsidR="007F51F7" w:rsidRPr="00DB10FE" w:rsidRDefault="007F51F7"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 xml:space="preserve">Lograr mayor articulación entre las instituciones del Estado y el Gobierno, con la participación de las organizaciones de la sociedad civil para el cumplimiento de las medidas establecidas en el Programa Nacional para el Adelanto de las Mujeres y la Estrategia Integral de Prevención de la violencia basada en género y la que ocurre en el escenario familiar. </w:t>
      </w:r>
    </w:p>
    <w:p w14:paraId="44F657C7" w14:textId="77777777" w:rsidR="007F51F7" w:rsidRPr="00DB10FE" w:rsidRDefault="007F51F7"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Realizar sistemáticamente evaluaciones de impacto de la aplicación de la legislación. las políticas públicas, los protocolos de actuación institucionales y los procesos de capacitación, formación y comunicación, en particular en el ámbito de la protección a las víctimas de violencia basada en género y el tratamiento a las personas agresoras.</w:t>
      </w:r>
    </w:p>
    <w:p w14:paraId="39923A9F" w14:textId="77777777" w:rsidR="007F51F7" w:rsidRPr="00DB10FE" w:rsidRDefault="007F51F7" w:rsidP="00A07831">
      <w:pPr>
        <w:pStyle w:val="Textoindependiente2"/>
        <w:numPr>
          <w:ilvl w:val="0"/>
          <w:numId w:val="10"/>
        </w:numPr>
        <w:ind w:right="-568"/>
        <w:jc w:val="both"/>
        <w:rPr>
          <w:rFonts w:asciiTheme="minorHAnsi" w:hAnsiTheme="minorHAnsi" w:cstheme="minorHAnsi"/>
          <w:lang w:val="es-CU"/>
        </w:rPr>
      </w:pPr>
      <w:r w:rsidRPr="00DB10FE">
        <w:rPr>
          <w:rFonts w:asciiTheme="minorHAnsi" w:hAnsiTheme="minorHAnsi" w:cstheme="minorHAnsi"/>
          <w:lang w:val="es-CU"/>
        </w:rPr>
        <w:t xml:space="preserve">Continuar trabajando en </w:t>
      </w:r>
      <w:proofErr w:type="spellStart"/>
      <w:r w:rsidRPr="00DB10FE">
        <w:rPr>
          <w:rFonts w:asciiTheme="minorHAnsi" w:hAnsiTheme="minorHAnsi" w:cstheme="minorHAnsi"/>
          <w:lang w:val="es-CU"/>
        </w:rPr>
        <w:t>pos</w:t>
      </w:r>
      <w:proofErr w:type="spellEnd"/>
      <w:r w:rsidRPr="00DB10FE">
        <w:rPr>
          <w:rFonts w:asciiTheme="minorHAnsi" w:hAnsiTheme="minorHAnsi" w:cstheme="minorHAnsi"/>
          <w:lang w:val="es-CU"/>
        </w:rPr>
        <w:t xml:space="preserve"> de una cultura jurídica dirigida a la población, con enfoque de género e interseccional y de prevención de la violencia en aras de erradicar los estereotipos que existen en la sociedad y que constituyen obstáculos para el cumplimiento más efectivo de la legislación y las políticas públicas establecidas.</w:t>
      </w:r>
    </w:p>
    <w:p w14:paraId="39DFAA9F" w14:textId="77777777" w:rsidR="007F51F7" w:rsidRPr="00DB10FE" w:rsidRDefault="007F51F7" w:rsidP="00DD5054">
      <w:pPr>
        <w:pStyle w:val="Textoindependiente2"/>
        <w:ind w:left="720" w:right="-568"/>
        <w:jc w:val="both"/>
        <w:rPr>
          <w:rFonts w:asciiTheme="minorHAnsi" w:eastAsia="Arial Unicode MS" w:hAnsiTheme="minorHAnsi" w:cstheme="minorHAnsi"/>
        </w:rPr>
      </w:pPr>
    </w:p>
    <w:p w14:paraId="54A16CD4" w14:textId="77777777" w:rsidR="007F51F7" w:rsidRPr="00DB10FE" w:rsidRDefault="007F51F7" w:rsidP="007F51F7">
      <w:pPr>
        <w:snapToGrid w:val="0"/>
        <w:spacing w:after="0" w:line="240" w:lineRule="auto"/>
        <w:jc w:val="both"/>
        <w:rPr>
          <w:rFonts w:ascii="Times New Roman" w:hAnsi="Times New Roman" w:cs="Times New Roman"/>
          <w:sz w:val="24"/>
          <w:szCs w:val="24"/>
          <w:lang w:val="es-ES_tradnl"/>
        </w:rPr>
      </w:pPr>
    </w:p>
    <w:p w14:paraId="115077DC" w14:textId="77777777" w:rsidR="00A07831" w:rsidRPr="00DB10FE" w:rsidRDefault="00A07831" w:rsidP="00612CAB">
      <w:pPr>
        <w:pStyle w:val="Textoindependiente2"/>
        <w:ind w:right="-568"/>
        <w:jc w:val="both"/>
        <w:rPr>
          <w:rFonts w:asciiTheme="minorHAnsi" w:eastAsia="Arial Unicode MS" w:hAnsiTheme="minorHAnsi" w:cstheme="minorHAnsi"/>
          <w:b/>
          <w:bCs/>
          <w:lang w:val="es-ES_tradnl"/>
        </w:rPr>
      </w:pPr>
    </w:p>
    <w:p w14:paraId="0B8803F2" w14:textId="77777777" w:rsidR="00A07831" w:rsidRPr="00DB10FE" w:rsidRDefault="00A07831" w:rsidP="00612CAB">
      <w:pPr>
        <w:pStyle w:val="Textoindependiente2"/>
        <w:ind w:right="-568"/>
        <w:jc w:val="both"/>
        <w:rPr>
          <w:rFonts w:asciiTheme="minorHAnsi" w:eastAsia="Arial Unicode MS" w:hAnsiTheme="minorHAnsi" w:cstheme="minorHAnsi"/>
          <w:b/>
          <w:bCs/>
          <w:lang w:val="es-ES_tradnl"/>
        </w:rPr>
      </w:pPr>
    </w:p>
    <w:p w14:paraId="47556D65" w14:textId="5712E92B" w:rsidR="007F51F7" w:rsidRPr="00DB10FE" w:rsidRDefault="00DD5054" w:rsidP="00612CAB">
      <w:pPr>
        <w:pStyle w:val="Textoindependiente2"/>
        <w:ind w:right="-568"/>
        <w:jc w:val="both"/>
        <w:rPr>
          <w:rFonts w:asciiTheme="minorHAnsi" w:eastAsia="Arial Unicode MS" w:hAnsiTheme="minorHAnsi" w:cstheme="minorHAnsi"/>
          <w:b/>
          <w:bCs/>
          <w:lang w:val="es-ES_tradnl"/>
        </w:rPr>
      </w:pPr>
      <w:r w:rsidRPr="00DB10FE">
        <w:rPr>
          <w:rFonts w:asciiTheme="minorHAnsi" w:eastAsia="Arial Unicode MS" w:hAnsiTheme="minorHAnsi" w:cstheme="minorHAnsi"/>
          <w:b/>
          <w:bCs/>
          <w:lang w:val="es-ES_tradnl"/>
        </w:rPr>
        <w:t>Federación de Mujeres Cubanas</w:t>
      </w:r>
    </w:p>
    <w:p w14:paraId="11721011" w14:textId="77777777" w:rsidR="00DD5054" w:rsidRPr="00DB10FE" w:rsidRDefault="00DD5054">
      <w:pPr>
        <w:pStyle w:val="Textoindependiente2"/>
        <w:ind w:right="-568"/>
        <w:jc w:val="both"/>
        <w:rPr>
          <w:rFonts w:asciiTheme="minorHAnsi" w:eastAsia="Arial Unicode MS" w:hAnsiTheme="minorHAnsi" w:cstheme="minorHAnsi"/>
          <w:sz w:val="28"/>
          <w:szCs w:val="28"/>
          <w:lang w:val="es-ES_tradnl"/>
        </w:rPr>
      </w:pPr>
    </w:p>
    <w:sectPr w:rsidR="00DD5054" w:rsidRPr="00DB10FE" w:rsidSect="00493C10">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0BB83" w14:textId="77777777" w:rsidR="00AE0477" w:rsidRDefault="00AE0477" w:rsidP="00DF1A5D">
      <w:pPr>
        <w:spacing w:after="0" w:line="240" w:lineRule="auto"/>
      </w:pPr>
      <w:r>
        <w:separator/>
      </w:r>
    </w:p>
  </w:endnote>
  <w:endnote w:type="continuationSeparator" w:id="0">
    <w:p w14:paraId="3E10B5A8" w14:textId="77777777" w:rsidR="00AE0477" w:rsidRDefault="00AE0477" w:rsidP="00DF1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6166743"/>
      <w:docPartObj>
        <w:docPartGallery w:val="Page Numbers (Bottom of Page)"/>
        <w:docPartUnique/>
      </w:docPartObj>
    </w:sdtPr>
    <w:sdtContent>
      <w:p w14:paraId="5EE25421" w14:textId="77777777" w:rsidR="00493C10" w:rsidRDefault="00493C10">
        <w:pPr>
          <w:pStyle w:val="Piedepgina"/>
          <w:jc w:val="center"/>
        </w:pPr>
        <w:r>
          <w:fldChar w:fldCharType="begin"/>
        </w:r>
        <w:r>
          <w:instrText>PAGE   \* MERGEFORMAT</w:instrText>
        </w:r>
        <w:r>
          <w:fldChar w:fldCharType="separate"/>
        </w:r>
        <w:r>
          <w:rPr>
            <w:noProof/>
          </w:rPr>
          <w:t>5</w:t>
        </w:r>
        <w:r>
          <w:fldChar w:fldCharType="end"/>
        </w:r>
      </w:p>
    </w:sdtContent>
  </w:sdt>
  <w:p w14:paraId="2BC263AF" w14:textId="77777777" w:rsidR="00493C10" w:rsidRDefault="00493C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376F06" w14:textId="77777777" w:rsidR="00AE0477" w:rsidRDefault="00AE0477" w:rsidP="00DF1A5D">
      <w:pPr>
        <w:spacing w:after="0" w:line="240" w:lineRule="auto"/>
      </w:pPr>
      <w:r>
        <w:separator/>
      </w:r>
    </w:p>
  </w:footnote>
  <w:footnote w:type="continuationSeparator" w:id="0">
    <w:p w14:paraId="21F07FD8" w14:textId="77777777" w:rsidR="00AE0477" w:rsidRDefault="00AE0477" w:rsidP="00DF1A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hybridMultilevel"/>
    <w:tmpl w:val="11D46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5"/>
    <w:multiLevelType w:val="hybridMultilevel"/>
    <w:tmpl w:val="73421584"/>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2" w15:restartNumberingAfterBreak="0">
    <w:nsid w:val="00000009"/>
    <w:multiLevelType w:val="hybridMultilevel"/>
    <w:tmpl w:val="2F426C38"/>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3" w15:restartNumberingAfterBreak="0">
    <w:nsid w:val="00597E1C"/>
    <w:multiLevelType w:val="hybridMultilevel"/>
    <w:tmpl w:val="AA50438E"/>
    <w:lvl w:ilvl="0" w:tplc="57141C50">
      <w:start w:val="1"/>
      <w:numFmt w:val="decimal"/>
      <w:lvlText w:val="%1."/>
      <w:lvlJc w:val="left"/>
      <w:pPr>
        <w:ind w:left="720" w:hanging="360"/>
      </w:pPr>
      <w:rPr>
        <w:rFonts w:hint="default"/>
        <w:b/>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4" w15:restartNumberingAfterBreak="0">
    <w:nsid w:val="08780C14"/>
    <w:multiLevelType w:val="hybridMultilevel"/>
    <w:tmpl w:val="F2E6EA4E"/>
    <w:lvl w:ilvl="0" w:tplc="5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BE3505"/>
    <w:multiLevelType w:val="hybridMultilevel"/>
    <w:tmpl w:val="935E170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6" w15:restartNumberingAfterBreak="0">
    <w:nsid w:val="264145FE"/>
    <w:multiLevelType w:val="hybridMultilevel"/>
    <w:tmpl w:val="CD48BFA6"/>
    <w:lvl w:ilvl="0" w:tplc="5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2E65C8"/>
    <w:multiLevelType w:val="hybridMultilevel"/>
    <w:tmpl w:val="D08416E0"/>
    <w:lvl w:ilvl="0" w:tplc="5C0A000F">
      <w:start w:val="1"/>
      <w:numFmt w:val="decimal"/>
      <w:lvlText w:val="%1."/>
      <w:lvlJc w:val="left"/>
      <w:pPr>
        <w:ind w:left="720" w:hanging="360"/>
      </w:pPr>
    </w:lvl>
    <w:lvl w:ilvl="1" w:tplc="5C0A0019" w:tentative="1">
      <w:start w:val="1"/>
      <w:numFmt w:val="lowerLetter"/>
      <w:lvlText w:val="%2."/>
      <w:lvlJc w:val="left"/>
      <w:pPr>
        <w:ind w:left="1440" w:hanging="360"/>
      </w:pPr>
    </w:lvl>
    <w:lvl w:ilvl="2" w:tplc="5C0A001B" w:tentative="1">
      <w:start w:val="1"/>
      <w:numFmt w:val="lowerRoman"/>
      <w:lvlText w:val="%3."/>
      <w:lvlJc w:val="right"/>
      <w:pPr>
        <w:ind w:left="2160" w:hanging="180"/>
      </w:pPr>
    </w:lvl>
    <w:lvl w:ilvl="3" w:tplc="5C0A000F" w:tentative="1">
      <w:start w:val="1"/>
      <w:numFmt w:val="decimal"/>
      <w:lvlText w:val="%4."/>
      <w:lvlJc w:val="left"/>
      <w:pPr>
        <w:ind w:left="2880" w:hanging="360"/>
      </w:pPr>
    </w:lvl>
    <w:lvl w:ilvl="4" w:tplc="5C0A0019" w:tentative="1">
      <w:start w:val="1"/>
      <w:numFmt w:val="lowerLetter"/>
      <w:lvlText w:val="%5."/>
      <w:lvlJc w:val="left"/>
      <w:pPr>
        <w:ind w:left="3600" w:hanging="360"/>
      </w:pPr>
    </w:lvl>
    <w:lvl w:ilvl="5" w:tplc="5C0A001B" w:tentative="1">
      <w:start w:val="1"/>
      <w:numFmt w:val="lowerRoman"/>
      <w:lvlText w:val="%6."/>
      <w:lvlJc w:val="right"/>
      <w:pPr>
        <w:ind w:left="4320" w:hanging="180"/>
      </w:pPr>
    </w:lvl>
    <w:lvl w:ilvl="6" w:tplc="5C0A000F" w:tentative="1">
      <w:start w:val="1"/>
      <w:numFmt w:val="decimal"/>
      <w:lvlText w:val="%7."/>
      <w:lvlJc w:val="left"/>
      <w:pPr>
        <w:ind w:left="5040" w:hanging="360"/>
      </w:pPr>
    </w:lvl>
    <w:lvl w:ilvl="7" w:tplc="5C0A0019" w:tentative="1">
      <w:start w:val="1"/>
      <w:numFmt w:val="lowerLetter"/>
      <w:lvlText w:val="%8."/>
      <w:lvlJc w:val="left"/>
      <w:pPr>
        <w:ind w:left="5760" w:hanging="360"/>
      </w:pPr>
    </w:lvl>
    <w:lvl w:ilvl="8" w:tplc="5C0A001B" w:tentative="1">
      <w:start w:val="1"/>
      <w:numFmt w:val="lowerRoman"/>
      <w:lvlText w:val="%9."/>
      <w:lvlJc w:val="right"/>
      <w:pPr>
        <w:ind w:left="6480" w:hanging="180"/>
      </w:pPr>
    </w:lvl>
  </w:abstractNum>
  <w:abstractNum w:abstractNumId="8" w15:restartNumberingAfterBreak="0">
    <w:nsid w:val="3C3B520A"/>
    <w:multiLevelType w:val="hybridMultilevel"/>
    <w:tmpl w:val="16B6AD42"/>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9" w15:restartNumberingAfterBreak="0">
    <w:nsid w:val="45FE7711"/>
    <w:multiLevelType w:val="hybridMultilevel"/>
    <w:tmpl w:val="E2046CA0"/>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10" w15:restartNumberingAfterBreak="0">
    <w:nsid w:val="4CD83682"/>
    <w:multiLevelType w:val="hybridMultilevel"/>
    <w:tmpl w:val="C92C2BFE"/>
    <w:lvl w:ilvl="0" w:tplc="4ABCA09A">
      <w:start w:val="1"/>
      <w:numFmt w:val="bullet"/>
      <w:lvlText w:val="-"/>
      <w:lvlJc w:val="left"/>
      <w:pPr>
        <w:ind w:left="720" w:hanging="360"/>
      </w:pPr>
      <w:rPr>
        <w:rFonts w:ascii="Times New Roman" w:hAnsi="Times New Roman"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1" w15:restartNumberingAfterBreak="0">
    <w:nsid w:val="524024AA"/>
    <w:multiLevelType w:val="hybridMultilevel"/>
    <w:tmpl w:val="B3C644B8"/>
    <w:lvl w:ilvl="0" w:tplc="5C0A0001">
      <w:start w:val="1"/>
      <w:numFmt w:val="bullet"/>
      <w:lvlText w:val=""/>
      <w:lvlJc w:val="left"/>
      <w:pPr>
        <w:ind w:left="1080" w:hanging="360"/>
      </w:pPr>
      <w:rPr>
        <w:rFonts w:ascii="Symbol" w:hAnsi="Symbol" w:hint="default"/>
      </w:rPr>
    </w:lvl>
    <w:lvl w:ilvl="1" w:tplc="5C0A0003" w:tentative="1">
      <w:start w:val="1"/>
      <w:numFmt w:val="bullet"/>
      <w:lvlText w:val="o"/>
      <w:lvlJc w:val="left"/>
      <w:pPr>
        <w:ind w:left="1800" w:hanging="360"/>
      </w:pPr>
      <w:rPr>
        <w:rFonts w:ascii="Courier New" w:hAnsi="Courier New" w:cs="Courier New" w:hint="default"/>
      </w:rPr>
    </w:lvl>
    <w:lvl w:ilvl="2" w:tplc="5C0A0005" w:tentative="1">
      <w:start w:val="1"/>
      <w:numFmt w:val="bullet"/>
      <w:lvlText w:val=""/>
      <w:lvlJc w:val="left"/>
      <w:pPr>
        <w:ind w:left="2520" w:hanging="360"/>
      </w:pPr>
      <w:rPr>
        <w:rFonts w:ascii="Wingdings" w:hAnsi="Wingdings" w:hint="default"/>
      </w:rPr>
    </w:lvl>
    <w:lvl w:ilvl="3" w:tplc="5C0A0001" w:tentative="1">
      <w:start w:val="1"/>
      <w:numFmt w:val="bullet"/>
      <w:lvlText w:val=""/>
      <w:lvlJc w:val="left"/>
      <w:pPr>
        <w:ind w:left="3240" w:hanging="360"/>
      </w:pPr>
      <w:rPr>
        <w:rFonts w:ascii="Symbol" w:hAnsi="Symbol" w:hint="default"/>
      </w:rPr>
    </w:lvl>
    <w:lvl w:ilvl="4" w:tplc="5C0A0003" w:tentative="1">
      <w:start w:val="1"/>
      <w:numFmt w:val="bullet"/>
      <w:lvlText w:val="o"/>
      <w:lvlJc w:val="left"/>
      <w:pPr>
        <w:ind w:left="3960" w:hanging="360"/>
      </w:pPr>
      <w:rPr>
        <w:rFonts w:ascii="Courier New" w:hAnsi="Courier New" w:cs="Courier New" w:hint="default"/>
      </w:rPr>
    </w:lvl>
    <w:lvl w:ilvl="5" w:tplc="5C0A0005" w:tentative="1">
      <w:start w:val="1"/>
      <w:numFmt w:val="bullet"/>
      <w:lvlText w:val=""/>
      <w:lvlJc w:val="left"/>
      <w:pPr>
        <w:ind w:left="4680" w:hanging="360"/>
      </w:pPr>
      <w:rPr>
        <w:rFonts w:ascii="Wingdings" w:hAnsi="Wingdings" w:hint="default"/>
      </w:rPr>
    </w:lvl>
    <w:lvl w:ilvl="6" w:tplc="5C0A0001" w:tentative="1">
      <w:start w:val="1"/>
      <w:numFmt w:val="bullet"/>
      <w:lvlText w:val=""/>
      <w:lvlJc w:val="left"/>
      <w:pPr>
        <w:ind w:left="5400" w:hanging="360"/>
      </w:pPr>
      <w:rPr>
        <w:rFonts w:ascii="Symbol" w:hAnsi="Symbol" w:hint="default"/>
      </w:rPr>
    </w:lvl>
    <w:lvl w:ilvl="7" w:tplc="5C0A0003" w:tentative="1">
      <w:start w:val="1"/>
      <w:numFmt w:val="bullet"/>
      <w:lvlText w:val="o"/>
      <w:lvlJc w:val="left"/>
      <w:pPr>
        <w:ind w:left="6120" w:hanging="360"/>
      </w:pPr>
      <w:rPr>
        <w:rFonts w:ascii="Courier New" w:hAnsi="Courier New" w:cs="Courier New" w:hint="default"/>
      </w:rPr>
    </w:lvl>
    <w:lvl w:ilvl="8" w:tplc="5C0A0005" w:tentative="1">
      <w:start w:val="1"/>
      <w:numFmt w:val="bullet"/>
      <w:lvlText w:val=""/>
      <w:lvlJc w:val="left"/>
      <w:pPr>
        <w:ind w:left="6840" w:hanging="360"/>
      </w:pPr>
      <w:rPr>
        <w:rFonts w:ascii="Wingdings" w:hAnsi="Wingdings" w:hint="default"/>
      </w:rPr>
    </w:lvl>
  </w:abstractNum>
  <w:abstractNum w:abstractNumId="12" w15:restartNumberingAfterBreak="0">
    <w:nsid w:val="59165964"/>
    <w:multiLevelType w:val="hybridMultilevel"/>
    <w:tmpl w:val="23F258CE"/>
    <w:lvl w:ilvl="0" w:tplc="5C0A0001">
      <w:start w:val="1"/>
      <w:numFmt w:val="bullet"/>
      <w:lvlText w:val=""/>
      <w:lvlJc w:val="left"/>
      <w:pPr>
        <w:ind w:left="1440" w:hanging="360"/>
      </w:pPr>
      <w:rPr>
        <w:rFonts w:ascii="Symbol" w:hAnsi="Symbol" w:hint="default"/>
      </w:rPr>
    </w:lvl>
    <w:lvl w:ilvl="1" w:tplc="5C0A0003" w:tentative="1">
      <w:start w:val="1"/>
      <w:numFmt w:val="bullet"/>
      <w:lvlText w:val="o"/>
      <w:lvlJc w:val="left"/>
      <w:pPr>
        <w:ind w:left="2160" w:hanging="360"/>
      </w:pPr>
      <w:rPr>
        <w:rFonts w:ascii="Courier New" w:hAnsi="Courier New" w:cs="Courier New" w:hint="default"/>
      </w:rPr>
    </w:lvl>
    <w:lvl w:ilvl="2" w:tplc="5C0A0005" w:tentative="1">
      <w:start w:val="1"/>
      <w:numFmt w:val="bullet"/>
      <w:lvlText w:val=""/>
      <w:lvlJc w:val="left"/>
      <w:pPr>
        <w:ind w:left="2880" w:hanging="360"/>
      </w:pPr>
      <w:rPr>
        <w:rFonts w:ascii="Wingdings" w:hAnsi="Wingdings" w:hint="default"/>
      </w:rPr>
    </w:lvl>
    <w:lvl w:ilvl="3" w:tplc="5C0A0001" w:tentative="1">
      <w:start w:val="1"/>
      <w:numFmt w:val="bullet"/>
      <w:lvlText w:val=""/>
      <w:lvlJc w:val="left"/>
      <w:pPr>
        <w:ind w:left="3600" w:hanging="360"/>
      </w:pPr>
      <w:rPr>
        <w:rFonts w:ascii="Symbol" w:hAnsi="Symbol" w:hint="default"/>
      </w:rPr>
    </w:lvl>
    <w:lvl w:ilvl="4" w:tplc="5C0A0003" w:tentative="1">
      <w:start w:val="1"/>
      <w:numFmt w:val="bullet"/>
      <w:lvlText w:val="o"/>
      <w:lvlJc w:val="left"/>
      <w:pPr>
        <w:ind w:left="4320" w:hanging="360"/>
      </w:pPr>
      <w:rPr>
        <w:rFonts w:ascii="Courier New" w:hAnsi="Courier New" w:cs="Courier New" w:hint="default"/>
      </w:rPr>
    </w:lvl>
    <w:lvl w:ilvl="5" w:tplc="5C0A0005" w:tentative="1">
      <w:start w:val="1"/>
      <w:numFmt w:val="bullet"/>
      <w:lvlText w:val=""/>
      <w:lvlJc w:val="left"/>
      <w:pPr>
        <w:ind w:left="5040" w:hanging="360"/>
      </w:pPr>
      <w:rPr>
        <w:rFonts w:ascii="Wingdings" w:hAnsi="Wingdings" w:hint="default"/>
      </w:rPr>
    </w:lvl>
    <w:lvl w:ilvl="6" w:tplc="5C0A0001" w:tentative="1">
      <w:start w:val="1"/>
      <w:numFmt w:val="bullet"/>
      <w:lvlText w:val=""/>
      <w:lvlJc w:val="left"/>
      <w:pPr>
        <w:ind w:left="5760" w:hanging="360"/>
      </w:pPr>
      <w:rPr>
        <w:rFonts w:ascii="Symbol" w:hAnsi="Symbol" w:hint="default"/>
      </w:rPr>
    </w:lvl>
    <w:lvl w:ilvl="7" w:tplc="5C0A0003" w:tentative="1">
      <w:start w:val="1"/>
      <w:numFmt w:val="bullet"/>
      <w:lvlText w:val="o"/>
      <w:lvlJc w:val="left"/>
      <w:pPr>
        <w:ind w:left="6480" w:hanging="360"/>
      </w:pPr>
      <w:rPr>
        <w:rFonts w:ascii="Courier New" w:hAnsi="Courier New" w:cs="Courier New" w:hint="default"/>
      </w:rPr>
    </w:lvl>
    <w:lvl w:ilvl="8" w:tplc="5C0A0005" w:tentative="1">
      <w:start w:val="1"/>
      <w:numFmt w:val="bullet"/>
      <w:lvlText w:val=""/>
      <w:lvlJc w:val="left"/>
      <w:pPr>
        <w:ind w:left="7200" w:hanging="360"/>
      </w:pPr>
      <w:rPr>
        <w:rFonts w:ascii="Wingdings" w:hAnsi="Wingdings" w:hint="default"/>
      </w:rPr>
    </w:lvl>
  </w:abstractNum>
  <w:abstractNum w:abstractNumId="13" w15:restartNumberingAfterBreak="0">
    <w:nsid w:val="619B3E59"/>
    <w:multiLevelType w:val="hybridMultilevel"/>
    <w:tmpl w:val="2014144C"/>
    <w:lvl w:ilvl="0" w:tplc="5C0A0001">
      <w:start w:val="1"/>
      <w:numFmt w:val="bullet"/>
      <w:lvlText w:val=""/>
      <w:lvlJc w:val="left"/>
      <w:pPr>
        <w:ind w:left="1483" w:hanging="360"/>
      </w:pPr>
      <w:rPr>
        <w:rFonts w:ascii="Symbol" w:hAnsi="Symbol" w:hint="default"/>
      </w:rPr>
    </w:lvl>
    <w:lvl w:ilvl="1" w:tplc="5C0A0003" w:tentative="1">
      <w:start w:val="1"/>
      <w:numFmt w:val="bullet"/>
      <w:lvlText w:val="o"/>
      <w:lvlJc w:val="left"/>
      <w:pPr>
        <w:ind w:left="2203" w:hanging="360"/>
      </w:pPr>
      <w:rPr>
        <w:rFonts w:ascii="Courier New" w:hAnsi="Courier New" w:cs="Courier New" w:hint="default"/>
      </w:rPr>
    </w:lvl>
    <w:lvl w:ilvl="2" w:tplc="5C0A0005" w:tentative="1">
      <w:start w:val="1"/>
      <w:numFmt w:val="bullet"/>
      <w:lvlText w:val=""/>
      <w:lvlJc w:val="left"/>
      <w:pPr>
        <w:ind w:left="2923" w:hanging="360"/>
      </w:pPr>
      <w:rPr>
        <w:rFonts w:ascii="Wingdings" w:hAnsi="Wingdings" w:hint="default"/>
      </w:rPr>
    </w:lvl>
    <w:lvl w:ilvl="3" w:tplc="5C0A0001" w:tentative="1">
      <w:start w:val="1"/>
      <w:numFmt w:val="bullet"/>
      <w:lvlText w:val=""/>
      <w:lvlJc w:val="left"/>
      <w:pPr>
        <w:ind w:left="3643" w:hanging="360"/>
      </w:pPr>
      <w:rPr>
        <w:rFonts w:ascii="Symbol" w:hAnsi="Symbol" w:hint="default"/>
      </w:rPr>
    </w:lvl>
    <w:lvl w:ilvl="4" w:tplc="5C0A0003" w:tentative="1">
      <w:start w:val="1"/>
      <w:numFmt w:val="bullet"/>
      <w:lvlText w:val="o"/>
      <w:lvlJc w:val="left"/>
      <w:pPr>
        <w:ind w:left="4363" w:hanging="360"/>
      </w:pPr>
      <w:rPr>
        <w:rFonts w:ascii="Courier New" w:hAnsi="Courier New" w:cs="Courier New" w:hint="default"/>
      </w:rPr>
    </w:lvl>
    <w:lvl w:ilvl="5" w:tplc="5C0A0005" w:tentative="1">
      <w:start w:val="1"/>
      <w:numFmt w:val="bullet"/>
      <w:lvlText w:val=""/>
      <w:lvlJc w:val="left"/>
      <w:pPr>
        <w:ind w:left="5083" w:hanging="360"/>
      </w:pPr>
      <w:rPr>
        <w:rFonts w:ascii="Wingdings" w:hAnsi="Wingdings" w:hint="default"/>
      </w:rPr>
    </w:lvl>
    <w:lvl w:ilvl="6" w:tplc="5C0A0001" w:tentative="1">
      <w:start w:val="1"/>
      <w:numFmt w:val="bullet"/>
      <w:lvlText w:val=""/>
      <w:lvlJc w:val="left"/>
      <w:pPr>
        <w:ind w:left="5803" w:hanging="360"/>
      </w:pPr>
      <w:rPr>
        <w:rFonts w:ascii="Symbol" w:hAnsi="Symbol" w:hint="default"/>
      </w:rPr>
    </w:lvl>
    <w:lvl w:ilvl="7" w:tplc="5C0A0003" w:tentative="1">
      <w:start w:val="1"/>
      <w:numFmt w:val="bullet"/>
      <w:lvlText w:val="o"/>
      <w:lvlJc w:val="left"/>
      <w:pPr>
        <w:ind w:left="6523" w:hanging="360"/>
      </w:pPr>
      <w:rPr>
        <w:rFonts w:ascii="Courier New" w:hAnsi="Courier New" w:cs="Courier New" w:hint="default"/>
      </w:rPr>
    </w:lvl>
    <w:lvl w:ilvl="8" w:tplc="5C0A0005" w:tentative="1">
      <w:start w:val="1"/>
      <w:numFmt w:val="bullet"/>
      <w:lvlText w:val=""/>
      <w:lvlJc w:val="left"/>
      <w:pPr>
        <w:ind w:left="7243" w:hanging="360"/>
      </w:pPr>
      <w:rPr>
        <w:rFonts w:ascii="Wingdings" w:hAnsi="Wingdings" w:hint="default"/>
      </w:rPr>
    </w:lvl>
  </w:abstractNum>
  <w:abstractNum w:abstractNumId="14" w15:restartNumberingAfterBreak="0">
    <w:nsid w:val="639D44E9"/>
    <w:multiLevelType w:val="hybridMultilevel"/>
    <w:tmpl w:val="3BF200D8"/>
    <w:lvl w:ilvl="0" w:tplc="12628DA4">
      <w:start w:val="2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4FD0411"/>
    <w:multiLevelType w:val="hybridMultilevel"/>
    <w:tmpl w:val="1FBAA3FA"/>
    <w:lvl w:ilvl="0" w:tplc="5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A0B4638"/>
    <w:multiLevelType w:val="hybridMultilevel"/>
    <w:tmpl w:val="5972E808"/>
    <w:lvl w:ilvl="0" w:tplc="5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0319173">
    <w:abstractNumId w:val="0"/>
  </w:num>
  <w:num w:numId="2" w16cid:durableId="798496435">
    <w:abstractNumId w:val="1"/>
  </w:num>
  <w:num w:numId="3" w16cid:durableId="902957360">
    <w:abstractNumId w:val="2"/>
  </w:num>
  <w:num w:numId="4" w16cid:durableId="1991522077">
    <w:abstractNumId w:val="3"/>
  </w:num>
  <w:num w:numId="5" w16cid:durableId="1717075506">
    <w:abstractNumId w:val="14"/>
  </w:num>
  <w:num w:numId="6" w16cid:durableId="765807960">
    <w:abstractNumId w:val="10"/>
  </w:num>
  <w:num w:numId="7" w16cid:durableId="325867689">
    <w:abstractNumId w:val="9"/>
  </w:num>
  <w:num w:numId="8" w16cid:durableId="1910072858">
    <w:abstractNumId w:val="7"/>
  </w:num>
  <w:num w:numId="9" w16cid:durableId="206141950">
    <w:abstractNumId w:val="12"/>
  </w:num>
  <w:num w:numId="10" w16cid:durableId="673534680">
    <w:abstractNumId w:val="13"/>
  </w:num>
  <w:num w:numId="11" w16cid:durableId="799806366">
    <w:abstractNumId w:val="11"/>
  </w:num>
  <w:num w:numId="12" w16cid:durableId="1819150821">
    <w:abstractNumId w:val="8"/>
  </w:num>
  <w:num w:numId="13" w16cid:durableId="1005091531">
    <w:abstractNumId w:val="15"/>
  </w:num>
  <w:num w:numId="14" w16cid:durableId="1562793288">
    <w:abstractNumId w:val="6"/>
  </w:num>
  <w:num w:numId="15" w16cid:durableId="1491365829">
    <w:abstractNumId w:val="5"/>
  </w:num>
  <w:num w:numId="16" w16cid:durableId="533805926">
    <w:abstractNumId w:val="4"/>
  </w:num>
  <w:num w:numId="17" w16cid:durableId="1224314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ES" w:vendorID="64" w:dllVersion="6" w:nlCheck="1" w:checkStyle="0"/>
  <w:activeWritingStyle w:appName="MSWord" w:lang="es-ES" w:vendorID="64" w:dllVersion="4096" w:nlCheck="1" w:checkStyle="0"/>
  <w:activeWritingStyle w:appName="MSWord" w:lang="es-CU"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450"/>
    <w:rsid w:val="002C3B25"/>
    <w:rsid w:val="0032685B"/>
    <w:rsid w:val="00493C10"/>
    <w:rsid w:val="004B35EE"/>
    <w:rsid w:val="00523450"/>
    <w:rsid w:val="005E1450"/>
    <w:rsid w:val="00612CAB"/>
    <w:rsid w:val="006B02DC"/>
    <w:rsid w:val="007F51F7"/>
    <w:rsid w:val="008F2712"/>
    <w:rsid w:val="009F4B1E"/>
    <w:rsid w:val="00A07831"/>
    <w:rsid w:val="00A803F3"/>
    <w:rsid w:val="00AE0477"/>
    <w:rsid w:val="00B162C5"/>
    <w:rsid w:val="00B4365E"/>
    <w:rsid w:val="00DB10FE"/>
    <w:rsid w:val="00DD5054"/>
    <w:rsid w:val="00DF1A5D"/>
    <w:rsid w:val="00FC0A3C"/>
    <w:rsid w:val="00FC77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96007"/>
  <w15:chartTrackingRefBased/>
  <w15:docId w15:val="{914889EF-5661-463E-8E0F-F4A5414B2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2685B"/>
    <w:pPr>
      <w:spacing w:after="0" w:line="240" w:lineRule="auto"/>
    </w:pPr>
    <w:rPr>
      <w:rFonts w:ascii="Verdana" w:eastAsia="Times New Roman" w:hAnsi="Verdana" w:cs="Verdana"/>
      <w:sz w:val="24"/>
      <w:szCs w:val="24"/>
      <w:lang w:eastAsia="es-ES"/>
    </w:rPr>
  </w:style>
  <w:style w:type="character" w:customStyle="1" w:styleId="Textoindependiente2Car">
    <w:name w:val="Texto independiente 2 Car"/>
    <w:basedOn w:val="Fuentedeprrafopredeter"/>
    <w:link w:val="Textoindependiente2"/>
    <w:uiPriority w:val="99"/>
    <w:rsid w:val="0032685B"/>
    <w:rPr>
      <w:rFonts w:ascii="Verdana" w:eastAsia="Times New Roman" w:hAnsi="Verdana" w:cs="Verdana"/>
      <w:sz w:val="24"/>
      <w:szCs w:val="24"/>
      <w:lang w:eastAsia="es-ES"/>
    </w:rPr>
  </w:style>
  <w:style w:type="character" w:styleId="Hipervnculo">
    <w:name w:val="Hyperlink"/>
    <w:basedOn w:val="Fuentedeprrafopredeter"/>
    <w:uiPriority w:val="99"/>
    <w:rsid w:val="00DF1A5D"/>
    <w:rPr>
      <w:color w:val="0563C1"/>
      <w:u w:val="single"/>
    </w:rPr>
  </w:style>
  <w:style w:type="paragraph" w:styleId="Textonotapie">
    <w:name w:val="footnote text"/>
    <w:basedOn w:val="Normal"/>
    <w:link w:val="TextonotapieCar"/>
    <w:uiPriority w:val="99"/>
    <w:qFormat/>
    <w:rsid w:val="00DF1A5D"/>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DF1A5D"/>
    <w:rPr>
      <w:rFonts w:ascii="Times New Roman" w:eastAsia="Times New Roman" w:hAnsi="Times New Roman" w:cs="Times New Roman"/>
      <w:sz w:val="20"/>
      <w:szCs w:val="20"/>
      <w:lang w:eastAsia="es-ES"/>
    </w:rPr>
  </w:style>
  <w:style w:type="character" w:styleId="Refdenotaalpie">
    <w:name w:val="footnote reference"/>
    <w:uiPriority w:val="99"/>
    <w:qFormat/>
    <w:rsid w:val="00DF1A5D"/>
    <w:rPr>
      <w:rFonts w:ascii="Times New Roman" w:hAnsi="Times New Roman" w:cs="Times New Roman" w:hint="default"/>
      <w:vertAlign w:val="superscript"/>
    </w:rPr>
  </w:style>
  <w:style w:type="paragraph" w:styleId="Prrafodelista">
    <w:name w:val="List Paragraph"/>
    <w:basedOn w:val="Normal"/>
    <w:link w:val="PrrafodelistaCar"/>
    <w:uiPriority w:val="34"/>
    <w:qFormat/>
    <w:rsid w:val="00DF1A5D"/>
    <w:pPr>
      <w:spacing w:after="0" w:line="240" w:lineRule="auto"/>
      <w:ind w:left="720"/>
      <w:contextualSpacing/>
    </w:pPr>
    <w:rPr>
      <w:rFonts w:ascii="Calibri" w:eastAsia="SimSun" w:hAnsi="Calibri" w:cs="SimSun"/>
      <w:lang w:val="en-US"/>
    </w:rPr>
  </w:style>
  <w:style w:type="character" w:customStyle="1" w:styleId="PrrafodelistaCar">
    <w:name w:val="Párrafo de lista Car"/>
    <w:link w:val="Prrafodelista"/>
    <w:uiPriority w:val="34"/>
    <w:qFormat/>
    <w:rsid w:val="00DF1A5D"/>
    <w:rPr>
      <w:rFonts w:ascii="Calibri" w:eastAsia="SimSun" w:hAnsi="Calibri" w:cs="SimSun"/>
      <w:lang w:val="en-US"/>
    </w:rPr>
  </w:style>
  <w:style w:type="paragraph" w:styleId="Encabezado">
    <w:name w:val="header"/>
    <w:basedOn w:val="Normal"/>
    <w:link w:val="EncabezadoCar"/>
    <w:uiPriority w:val="99"/>
    <w:unhideWhenUsed/>
    <w:rsid w:val="00493C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93C10"/>
  </w:style>
  <w:style w:type="paragraph" w:styleId="Piedepgina">
    <w:name w:val="footer"/>
    <w:basedOn w:val="Normal"/>
    <w:link w:val="PiedepginaCar"/>
    <w:uiPriority w:val="99"/>
    <w:unhideWhenUsed/>
    <w:rsid w:val="00493C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93C10"/>
  </w:style>
  <w:style w:type="character" w:styleId="Mencinsinresolver">
    <w:name w:val="Unresolved Mention"/>
    <w:basedOn w:val="Fuentedeprrafopredeter"/>
    <w:uiPriority w:val="99"/>
    <w:semiHidden/>
    <w:unhideWhenUsed/>
    <w:rsid w:val="009F4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ujeres.cu" TargetMode="Externa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54E636-02F7-481D-9E84-258A98008FB4}">
  <ds:schemaRefs>
    <ds:schemaRef ds:uri="http://schemas.openxmlformats.org/officeDocument/2006/bibliography"/>
  </ds:schemaRefs>
</ds:datastoreItem>
</file>

<file path=customXml/itemProps2.xml><?xml version="1.0" encoding="utf-8"?>
<ds:datastoreItem xmlns:ds="http://schemas.openxmlformats.org/officeDocument/2006/customXml" ds:itemID="{DA84917F-E001-4E7D-BE64-C9C18AFB7839}"/>
</file>

<file path=customXml/itemProps3.xml><?xml version="1.0" encoding="utf-8"?>
<ds:datastoreItem xmlns:ds="http://schemas.openxmlformats.org/officeDocument/2006/customXml" ds:itemID="{B274EEB9-1A77-4941-9980-FD6F5FFDAF29}"/>
</file>

<file path=docProps/app.xml><?xml version="1.0" encoding="utf-8"?>
<Properties xmlns="http://schemas.openxmlformats.org/officeDocument/2006/extended-properties" xmlns:vt="http://schemas.openxmlformats.org/officeDocument/2006/docPropsVTypes">
  <Template>Normal</Template>
  <TotalTime>1</TotalTime>
  <Pages>7</Pages>
  <Words>3074</Words>
  <Characters>16908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RR.II</dc:creator>
  <cp:keywords/>
  <dc:description/>
  <cp:lastModifiedBy>Osmayda B. Hernandez</cp:lastModifiedBy>
  <cp:revision>3</cp:revision>
  <dcterms:created xsi:type="dcterms:W3CDTF">2024-10-04T12:54:00Z</dcterms:created>
  <dcterms:modified xsi:type="dcterms:W3CDTF">2024-10-04T12:55:00Z</dcterms:modified>
</cp:coreProperties>
</file>