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F93470" w14:textId="77777777" w:rsidR="00A026D7" w:rsidRDefault="00A026D7"/>
    <w:p w14:paraId="2B5D5D9E" w14:textId="77777777" w:rsidR="00A026D7" w:rsidRPr="00FF7D24" w:rsidRDefault="00A026D7" w:rsidP="005C50AE">
      <w:pPr>
        <w:pStyle w:val="Heading1"/>
        <w:jc w:val="center"/>
        <w:rPr>
          <w:b/>
          <w:color w:val="373545" w:themeColor="text2"/>
        </w:rPr>
      </w:pPr>
      <w:r w:rsidRPr="00FF7D24">
        <w:rPr>
          <w:b/>
          <w:color w:val="373545" w:themeColor="text2"/>
        </w:rPr>
        <w:t>Shadow Report for the CEDAW mid-term report for the eighth periodic report of New Zealand</w:t>
      </w:r>
    </w:p>
    <w:p w14:paraId="37DD4154" w14:textId="77777777" w:rsidR="00BD661C" w:rsidRPr="00FF7D24" w:rsidRDefault="00BD661C" w:rsidP="00A026D7">
      <w:pPr>
        <w:pStyle w:val="Heading2"/>
        <w:jc w:val="center"/>
        <w:rPr>
          <w:color w:val="373545" w:themeColor="text2"/>
        </w:rPr>
      </w:pPr>
    </w:p>
    <w:p w14:paraId="3E1FFF91" w14:textId="77777777" w:rsidR="00A026D7" w:rsidRPr="00FF7D24" w:rsidRDefault="00A026D7" w:rsidP="00A026D7">
      <w:pPr>
        <w:pStyle w:val="Heading2"/>
        <w:jc w:val="center"/>
        <w:rPr>
          <w:color w:val="373545" w:themeColor="text2"/>
        </w:rPr>
      </w:pPr>
      <w:r w:rsidRPr="00FF7D24">
        <w:rPr>
          <w:color w:val="373545" w:themeColor="text2"/>
        </w:rPr>
        <w:t>Prepared by The Backbone Collective</w:t>
      </w:r>
    </w:p>
    <w:p w14:paraId="6C9C4586" w14:textId="77777777" w:rsidR="00BD661C" w:rsidRPr="00FF7D24" w:rsidRDefault="00BD661C" w:rsidP="00BD661C">
      <w:pPr>
        <w:pStyle w:val="Heading3"/>
        <w:jc w:val="center"/>
        <w:rPr>
          <w:color w:val="373545" w:themeColor="text2"/>
        </w:rPr>
      </w:pPr>
      <w:r w:rsidRPr="00FF7D24">
        <w:rPr>
          <w:color w:val="373545" w:themeColor="text2"/>
        </w:rPr>
        <w:t>July 2020</w:t>
      </w:r>
    </w:p>
    <w:p w14:paraId="42241C71" w14:textId="77777777" w:rsidR="00BD661C" w:rsidRDefault="00BD661C" w:rsidP="005C50AE">
      <w:pPr>
        <w:pStyle w:val="Heading3"/>
        <w:jc w:val="center"/>
      </w:pPr>
    </w:p>
    <w:p w14:paraId="7E63F124" w14:textId="77777777" w:rsidR="00BD661C" w:rsidRDefault="00BD661C" w:rsidP="005C50AE">
      <w:pPr>
        <w:pStyle w:val="Heading3"/>
        <w:jc w:val="center"/>
      </w:pPr>
    </w:p>
    <w:p w14:paraId="5B26E6F7" w14:textId="77777777" w:rsidR="00BD661C" w:rsidRDefault="00BD661C" w:rsidP="005C50AE">
      <w:pPr>
        <w:pStyle w:val="Heading3"/>
        <w:jc w:val="center"/>
      </w:pPr>
    </w:p>
    <w:p w14:paraId="7E77795A" w14:textId="77777777" w:rsidR="00BD661C" w:rsidRDefault="00BD661C" w:rsidP="005C50AE">
      <w:pPr>
        <w:pStyle w:val="Heading3"/>
        <w:jc w:val="center"/>
      </w:pPr>
      <w:r>
        <w:rPr>
          <w:noProof/>
          <w:lang w:eastAsia="en-NZ"/>
        </w:rPr>
        <w:drawing>
          <wp:inline distT="0" distB="0" distL="0" distR="0" wp14:anchorId="7068E4AF" wp14:editId="0319F62E">
            <wp:extent cx="4310925" cy="4310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5484" cy="4315484"/>
                    </a:xfrm>
                    <a:prstGeom prst="rect">
                      <a:avLst/>
                    </a:prstGeom>
                    <a:noFill/>
                    <a:ln>
                      <a:noFill/>
                    </a:ln>
                  </pic:spPr>
                </pic:pic>
              </a:graphicData>
            </a:graphic>
          </wp:inline>
        </w:drawing>
      </w:r>
    </w:p>
    <w:p w14:paraId="487779EA" w14:textId="77777777" w:rsidR="00BD661C" w:rsidRDefault="00BD661C" w:rsidP="00BD661C">
      <w:r>
        <w:t xml:space="preserve">Image and artwork - ‘Untitled Woman’ by Sarah-Jayne Shine. From the </w:t>
      </w:r>
      <w:r>
        <w:rPr>
          <w:rStyle w:val="Emphasis"/>
        </w:rPr>
        <w:t>No Shame No Silence Exhibition</w:t>
      </w:r>
      <w:r>
        <w:t xml:space="preserve"> - mannequin with women’s voices inscribed delivered to parliament in November 2018.</w:t>
      </w:r>
    </w:p>
    <w:p w14:paraId="2A8CE88A" w14:textId="77777777" w:rsidR="00BD661C" w:rsidRDefault="00BD661C" w:rsidP="005C50AE">
      <w:pPr>
        <w:pStyle w:val="Heading3"/>
        <w:jc w:val="center"/>
      </w:pPr>
    </w:p>
    <w:p w14:paraId="7AC1CA80" w14:textId="77777777" w:rsidR="00BD661C" w:rsidRDefault="00BD661C" w:rsidP="005C50AE">
      <w:pPr>
        <w:pStyle w:val="Heading3"/>
        <w:jc w:val="center"/>
      </w:pPr>
    </w:p>
    <w:p w14:paraId="77827E91" w14:textId="77777777" w:rsidR="00BD661C" w:rsidRDefault="00BD661C" w:rsidP="005C50AE">
      <w:pPr>
        <w:pStyle w:val="Heading3"/>
        <w:jc w:val="center"/>
      </w:pPr>
    </w:p>
    <w:p w14:paraId="643E7A6F" w14:textId="77777777" w:rsidR="00BD661C" w:rsidRDefault="00BD661C" w:rsidP="005C50AE">
      <w:pPr>
        <w:pStyle w:val="Heading3"/>
        <w:jc w:val="center"/>
      </w:pPr>
    </w:p>
    <w:p w14:paraId="4BEBD49B" w14:textId="77777777" w:rsidR="00BD661C" w:rsidRDefault="00BD661C" w:rsidP="005C50AE">
      <w:pPr>
        <w:pStyle w:val="Heading3"/>
        <w:jc w:val="center"/>
      </w:pPr>
    </w:p>
    <w:p w14:paraId="314827CF" w14:textId="77777777" w:rsidR="00FA65E9" w:rsidRDefault="00FA65E9">
      <w:pPr>
        <w:spacing w:after="160" w:line="259" w:lineRule="auto"/>
        <w:rPr>
          <w:rFonts w:asciiTheme="majorHAnsi" w:eastAsiaTheme="majorEastAsia" w:hAnsiTheme="majorHAnsi" w:cstheme="majorBidi"/>
          <w:color w:val="26868B" w:themeColor="accent1" w:themeShade="7F"/>
          <w:sz w:val="24"/>
          <w:szCs w:val="24"/>
        </w:rPr>
      </w:pPr>
      <w:r>
        <w:br w:type="page"/>
      </w:r>
    </w:p>
    <w:p w14:paraId="382C0073" w14:textId="77777777" w:rsidR="00A026D7" w:rsidRDefault="00A026D7" w:rsidP="005C50AE">
      <w:pPr>
        <w:pStyle w:val="Heading3"/>
        <w:jc w:val="center"/>
      </w:pPr>
    </w:p>
    <w:p w14:paraId="0B1A03DD" w14:textId="77777777" w:rsidR="005C50AE" w:rsidRPr="00733C98" w:rsidRDefault="00BD661C" w:rsidP="00733C98">
      <w:pPr>
        <w:pStyle w:val="Heading2"/>
        <w:shd w:val="clear" w:color="auto" w:fill="DDF0F2" w:themeFill="accent2" w:themeFillTint="33"/>
        <w:rPr>
          <w:b/>
          <w:color w:val="000000" w:themeColor="text1"/>
        </w:rPr>
      </w:pPr>
      <w:r w:rsidRPr="00733C98">
        <w:rPr>
          <w:b/>
          <w:color w:val="000000" w:themeColor="text1"/>
        </w:rPr>
        <w:t>Introduction</w:t>
      </w:r>
    </w:p>
    <w:p w14:paraId="0012DEBA" w14:textId="74442547" w:rsidR="00987B91" w:rsidRDefault="00987B91" w:rsidP="00987B91">
      <w:r>
        <w:t xml:space="preserve">The following </w:t>
      </w:r>
      <w:r w:rsidR="00190B9D">
        <w:t>report</w:t>
      </w:r>
      <w:r>
        <w:t xml:space="preserve"> has been prepared by The Backbone Collective on behalf of our 1</w:t>
      </w:r>
      <w:r w:rsidR="0013248D">
        <w:t>7</w:t>
      </w:r>
      <w:r>
        <w:t xml:space="preserve">00 </w:t>
      </w:r>
      <w:r w:rsidR="006C068F">
        <w:t>+</w:t>
      </w:r>
      <w:r>
        <w:t>women members who are all victims</w:t>
      </w:r>
      <w:r w:rsidR="006735BF">
        <w:t>-</w:t>
      </w:r>
      <w:r>
        <w:t xml:space="preserve">survivors of violence and abuse.  This report is focused on </w:t>
      </w:r>
      <w:r w:rsidR="004C0F6B">
        <w:t>t</w:t>
      </w:r>
      <w:r>
        <w:t>he Committee’s recommendation in its eighth periodic report of New Zealand</w:t>
      </w:r>
      <w:r w:rsidR="00FF7D24">
        <w:t>,</w:t>
      </w:r>
      <w:r>
        <w:t xml:space="preserve"> re</w:t>
      </w:r>
      <w:r w:rsidR="00CF3426">
        <w:t>lea</w:t>
      </w:r>
      <w:r>
        <w:t>sed in June 2018.</w:t>
      </w:r>
    </w:p>
    <w:p w14:paraId="6EF723D7" w14:textId="77777777" w:rsidR="00987B91" w:rsidRPr="00376C62" w:rsidRDefault="00987B91" w:rsidP="00987B91">
      <w:pPr>
        <w:pStyle w:val="NormalWeb"/>
        <w:numPr>
          <w:ilvl w:val="0"/>
          <w:numId w:val="2"/>
        </w:numPr>
        <w:spacing w:after="0" w:afterAutospacing="0"/>
        <w:ind w:left="641" w:hanging="357"/>
        <w:rPr>
          <w:rFonts w:ascii="Calibri" w:hAnsi="Calibri"/>
          <w:b/>
          <w:sz w:val="22"/>
          <w:szCs w:val="22"/>
        </w:rPr>
      </w:pPr>
      <w:r w:rsidRPr="00376C62">
        <w:rPr>
          <w:rFonts w:ascii="Calibri" w:hAnsi="Calibri"/>
          <w:b/>
          <w:sz w:val="22"/>
          <w:szCs w:val="22"/>
        </w:rPr>
        <w:t>Para. 48 (a): Family Court system</w:t>
      </w:r>
    </w:p>
    <w:p w14:paraId="1A26D7A2" w14:textId="77777777" w:rsidR="00987B91" w:rsidRDefault="00987B91" w:rsidP="00987B91">
      <w:pPr>
        <w:pStyle w:val="NormalWeb"/>
        <w:spacing w:before="0" w:beforeAutospacing="0"/>
        <w:ind w:left="646"/>
        <w:rPr>
          <w:rFonts w:ascii="Calibri" w:hAnsi="Calibri"/>
          <w:i/>
          <w:sz w:val="22"/>
          <w:szCs w:val="22"/>
        </w:rPr>
      </w:pPr>
      <w:r w:rsidRPr="006755D7">
        <w:rPr>
          <w:rFonts w:ascii="Calibri" w:hAnsi="Calibri"/>
          <w:i/>
          <w:sz w:val="22"/>
          <w:szCs w:val="22"/>
        </w:rPr>
        <w:t>Establish a royal commission of inquiry with an independent mandate to engage in wide-ranging evaluation of the drawbacks for women, the obstruction of justice for women and the hindrances to their safety inherent in the family court system and to recommend the legislative and structural changes necessary to make the family courts safe and just for women and children, in particular in situations of domestic violence.</w:t>
      </w:r>
    </w:p>
    <w:p w14:paraId="5F2B31F3" w14:textId="77777777" w:rsidR="00224B6F" w:rsidRPr="005C50AE" w:rsidRDefault="00224B6F" w:rsidP="00A77ACA">
      <w:pPr>
        <w:pStyle w:val="NormalWeb"/>
        <w:shd w:val="clear" w:color="auto" w:fill="86DADE" w:themeFill="accent1"/>
        <w:spacing w:before="0" w:beforeAutospacing="0"/>
        <w:rPr>
          <w:rFonts w:ascii="Calibri" w:hAnsi="Calibri"/>
          <w:b/>
          <w:sz w:val="22"/>
          <w:szCs w:val="22"/>
        </w:rPr>
      </w:pPr>
      <w:r w:rsidRPr="005C50AE">
        <w:rPr>
          <w:rFonts w:ascii="Calibri" w:hAnsi="Calibri"/>
          <w:b/>
          <w:sz w:val="22"/>
          <w:szCs w:val="22"/>
        </w:rPr>
        <w:t xml:space="preserve">The New Zealand Government has </w:t>
      </w:r>
      <w:r w:rsidR="00190B9D">
        <w:rPr>
          <w:rFonts w:ascii="Calibri" w:hAnsi="Calibri"/>
          <w:b/>
          <w:sz w:val="22"/>
          <w:szCs w:val="22"/>
        </w:rPr>
        <w:t>failed</w:t>
      </w:r>
      <w:r w:rsidRPr="005C50AE">
        <w:rPr>
          <w:rFonts w:ascii="Calibri" w:hAnsi="Calibri"/>
          <w:b/>
          <w:sz w:val="22"/>
          <w:szCs w:val="22"/>
        </w:rPr>
        <w:t xml:space="preserve"> to implement Recommendation 48 (a)</w:t>
      </w:r>
      <w:r w:rsidR="005C50AE" w:rsidRPr="005C50AE">
        <w:rPr>
          <w:rFonts w:ascii="Calibri" w:hAnsi="Calibri"/>
          <w:b/>
          <w:sz w:val="22"/>
          <w:szCs w:val="22"/>
        </w:rPr>
        <w:t>.</w:t>
      </w:r>
      <w:r w:rsidR="00190B9D">
        <w:rPr>
          <w:rFonts w:ascii="Calibri" w:hAnsi="Calibri"/>
          <w:b/>
          <w:sz w:val="22"/>
          <w:szCs w:val="22"/>
        </w:rPr>
        <w:t xml:space="preserve"> This report will provide evidence of this failure. </w:t>
      </w:r>
    </w:p>
    <w:p w14:paraId="6067DABD" w14:textId="77777777" w:rsidR="00733C98" w:rsidRDefault="00733C98" w:rsidP="00733C98">
      <w:pPr>
        <w:pStyle w:val="Heading2"/>
        <w:rPr>
          <w:b/>
          <w:color w:val="000000" w:themeColor="text1"/>
        </w:rPr>
      </w:pPr>
    </w:p>
    <w:p w14:paraId="172817CA" w14:textId="052465F3" w:rsidR="00987B91" w:rsidRPr="00733C98" w:rsidRDefault="00987B91" w:rsidP="00733C98">
      <w:pPr>
        <w:pStyle w:val="Heading2"/>
        <w:shd w:val="clear" w:color="auto" w:fill="DDF0F2" w:themeFill="accent2" w:themeFillTint="33"/>
        <w:rPr>
          <w:b/>
          <w:color w:val="000000" w:themeColor="text1"/>
        </w:rPr>
      </w:pPr>
      <w:r w:rsidRPr="00733C98">
        <w:rPr>
          <w:b/>
          <w:color w:val="000000" w:themeColor="text1"/>
        </w:rPr>
        <w:t>About the Backbone Collective</w:t>
      </w:r>
    </w:p>
    <w:p w14:paraId="7825520F" w14:textId="410CA96B" w:rsidR="00987B91" w:rsidRDefault="00987B91" w:rsidP="00C40B19">
      <w:pPr>
        <w:jc w:val="both"/>
      </w:pPr>
      <w:r>
        <w:t xml:space="preserve">The Backbone Collective, a registered charity, was established in March 2017. Backbone’s primary purpose is to enable women to safely and anonymously tell the Government, others in authority, and the public about how the ‘system’ responded to them when they experienced violence and abuse, and how they need it to respond in order to be safe and rebuild their lives. Backbone’s mission is to help facilitate the continuous improvement of the system. </w:t>
      </w:r>
      <w:r w:rsidR="00C40B19">
        <w:t xml:space="preserve">We run online surveys for women victim-survivors and then write reports based on their responses making suggestions for system change. </w:t>
      </w:r>
      <w:r>
        <w:t xml:space="preserve">To date Backbone has conducted </w:t>
      </w:r>
      <w:r w:rsidR="00775BF3">
        <w:t>four</w:t>
      </w:r>
      <w:r>
        <w:t xml:space="preserve"> surveys and produced five substantial reports detailing what women have been telling us about the Family Court</w:t>
      </w:r>
      <w:r w:rsidR="00CF3426">
        <w:t>.</w:t>
      </w:r>
      <w:r w:rsidR="00CF3426">
        <w:rPr>
          <w:rStyle w:val="FootnoteReference"/>
        </w:rPr>
        <w:footnoteReference w:id="1"/>
      </w:r>
      <w:r>
        <w:t xml:space="preserve"> </w:t>
      </w:r>
    </w:p>
    <w:p w14:paraId="4AC9F3B2" w14:textId="61EE2B4C" w:rsidR="00C676ED" w:rsidRDefault="00C676ED" w:rsidP="00A026D7">
      <w:pPr>
        <w:pStyle w:val="ListParagraph"/>
        <w:spacing w:after="120"/>
        <w:ind w:left="0"/>
      </w:pPr>
      <w:r w:rsidRPr="00775BF3">
        <w:t xml:space="preserve">In </w:t>
      </w:r>
      <w:r w:rsidR="007060A7" w:rsidRPr="00775BF3">
        <w:t xml:space="preserve">June </w:t>
      </w:r>
      <w:r w:rsidRPr="00775BF3">
        <w:t>2018</w:t>
      </w:r>
      <w:r w:rsidR="00FF7D24">
        <w:t>,</w:t>
      </w:r>
      <w:r w:rsidRPr="00775BF3">
        <w:t xml:space="preserve"> Backbone </w:t>
      </w:r>
      <w:r w:rsidR="00DF6429" w:rsidRPr="00775BF3">
        <w:t xml:space="preserve">submitted </w:t>
      </w:r>
      <w:r w:rsidRPr="00775BF3">
        <w:t xml:space="preserve">a </w:t>
      </w:r>
      <w:r w:rsidR="00DF6429" w:rsidRPr="00775BF3">
        <w:t xml:space="preserve">shadow report to the UN CEDAW Committee providing information for 70th session, July 2018, </w:t>
      </w:r>
      <w:r w:rsidR="00CD779E" w:rsidRPr="00775BF3">
        <w:t>eighth</w:t>
      </w:r>
      <w:r w:rsidR="00DF6429" w:rsidRPr="00775BF3">
        <w:t xml:space="preserve"> periodic report of New </w:t>
      </w:r>
      <w:r w:rsidR="00DF6429" w:rsidRPr="006735BF">
        <w:t>Zealand</w:t>
      </w:r>
      <w:r w:rsidR="009B574D" w:rsidRPr="006735BF">
        <w:t xml:space="preserve"> </w:t>
      </w:r>
      <w:r w:rsidR="00C6034C" w:rsidRPr="006735BF">
        <w:t>to alert the</w:t>
      </w:r>
      <w:r w:rsidR="00C6034C" w:rsidRPr="00190B9D">
        <w:t xml:space="preserve"> UN of the extraordinary levels of discrimination and abuse that New Zealand women are suffering via the Family Court process when they are victims of violence and abuse.</w:t>
      </w:r>
      <w:r w:rsidRPr="007060A7">
        <w:t xml:space="preserve"> </w:t>
      </w:r>
      <w:r w:rsidR="007060A7">
        <w:t xml:space="preserve">We recommended that the United Nations send a special rapporteur to New Zealand to urgently investigate the way victims of violence and abuse are being responded to by the system (especially the Family Court).  </w:t>
      </w:r>
      <w:r w:rsidR="007060A7" w:rsidRPr="00775BF3">
        <w:t xml:space="preserve">We explained that </w:t>
      </w:r>
      <w:r w:rsidR="00775BF3" w:rsidRPr="00775BF3">
        <w:t>due to the serious and systemic issues that we had discovered we</w:t>
      </w:r>
      <w:r w:rsidR="007060A7" w:rsidRPr="00775BF3">
        <w:t xml:space="preserve"> had been asking for a Royal Commission of </w:t>
      </w:r>
      <w:r w:rsidR="0048463E" w:rsidRPr="00775BF3">
        <w:t>Inquiry</w:t>
      </w:r>
      <w:r w:rsidR="0048463E">
        <w:t>;</w:t>
      </w:r>
      <w:r w:rsidR="0048463E" w:rsidRPr="00775BF3">
        <w:t xml:space="preserve"> It’s</w:t>
      </w:r>
      <w:r w:rsidR="007060A7" w:rsidRPr="00775BF3">
        <w:t xml:space="preserve"> now been three and a half years since we </w:t>
      </w:r>
      <w:r w:rsidR="0048463E">
        <w:t>started that call.</w:t>
      </w:r>
      <w:r w:rsidR="007060A7" w:rsidRPr="00775BF3">
        <w:t xml:space="preserve"> </w:t>
      </w:r>
      <w:r w:rsidR="0048463E">
        <w:t>S</w:t>
      </w:r>
      <w:r w:rsidR="0048463E" w:rsidRPr="00775BF3">
        <w:t xml:space="preserve">ince our </w:t>
      </w:r>
      <w:r w:rsidR="0048463E">
        <w:t xml:space="preserve">previous </w:t>
      </w:r>
      <w:r w:rsidR="0048463E" w:rsidRPr="00775BF3">
        <w:t>submission to CEDAW</w:t>
      </w:r>
      <w:r w:rsidR="0048463E">
        <w:t xml:space="preserve"> c</w:t>
      </w:r>
      <w:r w:rsidR="007060A7" w:rsidRPr="00775BF3">
        <w:t>ountless more women and children have been harmed by the Family Court system</w:t>
      </w:r>
      <w:r w:rsidR="0048463E">
        <w:t>.</w:t>
      </w:r>
      <w:r w:rsidR="007060A7" w:rsidRPr="00775BF3">
        <w:t xml:space="preserve"> </w:t>
      </w:r>
    </w:p>
    <w:p w14:paraId="4096E362" w14:textId="787DD364" w:rsidR="005F468C" w:rsidRPr="00BE07BE" w:rsidRDefault="007060A7" w:rsidP="005F468C">
      <w:pPr>
        <w:jc w:val="both"/>
        <w:rPr>
          <w:rFonts w:ascii="Times New Roman" w:hAnsi="Times New Roman"/>
          <w:lang w:eastAsia="en-NZ"/>
        </w:rPr>
      </w:pPr>
      <w:r>
        <w:t>New Zealand women were elated when CEDAW</w:t>
      </w:r>
      <w:r w:rsidR="00190B9D">
        <w:t>’s</w:t>
      </w:r>
      <w:r>
        <w:t xml:space="preserve"> recommendation </w:t>
      </w:r>
      <w:r w:rsidR="00190B9D">
        <w:t>48(</w:t>
      </w:r>
      <w:r w:rsidR="002C0E5B">
        <w:t>a</w:t>
      </w:r>
      <w:r w:rsidR="00190B9D">
        <w:t xml:space="preserve">) </w:t>
      </w:r>
      <w:r>
        <w:t>w</w:t>
      </w:r>
      <w:r w:rsidR="00190B9D">
        <w:t>as</w:t>
      </w:r>
      <w:r>
        <w:t xml:space="preserve"> released</w:t>
      </w:r>
      <w:r w:rsidR="00190B9D">
        <w:t xml:space="preserve">. </w:t>
      </w:r>
      <w:r>
        <w:t>W</w:t>
      </w:r>
      <w:r w:rsidR="005F468C">
        <w:t>e</w:t>
      </w:r>
      <w:r>
        <w:t xml:space="preserve"> received many messages from women </w:t>
      </w:r>
      <w:r w:rsidR="00C40B19">
        <w:t>saying</w:t>
      </w:r>
      <w:r>
        <w:t xml:space="preserve"> they </w:t>
      </w:r>
      <w:r w:rsidR="00570C7B">
        <w:t xml:space="preserve">finally </w:t>
      </w:r>
      <w:r>
        <w:t xml:space="preserve">felt heard, validated and hopeful that at last some action would be taken to fully investigate the Family Court response to women and children who had experienced violence and abuse. That sense of optimism was </w:t>
      </w:r>
      <w:r w:rsidRPr="00C40B19">
        <w:rPr>
          <w:i/>
        </w:rPr>
        <w:t>very</w:t>
      </w:r>
      <w:r>
        <w:t xml:space="preserve"> short-lived!</w:t>
      </w:r>
      <w:r w:rsidR="005F468C">
        <w:t xml:space="preserve"> </w:t>
      </w:r>
    </w:p>
    <w:p w14:paraId="779DF9C5" w14:textId="77777777" w:rsidR="007060A7" w:rsidRPr="00733C98" w:rsidRDefault="007060A7" w:rsidP="00733C98">
      <w:pPr>
        <w:pStyle w:val="Heading2"/>
        <w:shd w:val="clear" w:color="auto" w:fill="DDF0F2" w:themeFill="accent2" w:themeFillTint="33"/>
        <w:rPr>
          <w:b/>
          <w:color w:val="000000" w:themeColor="text1"/>
        </w:rPr>
      </w:pPr>
      <w:r w:rsidRPr="00733C98">
        <w:rPr>
          <w:b/>
          <w:color w:val="000000" w:themeColor="text1"/>
        </w:rPr>
        <w:lastRenderedPageBreak/>
        <w:t>New Zealand</w:t>
      </w:r>
      <w:r w:rsidR="00FD1945" w:rsidRPr="00733C98">
        <w:rPr>
          <w:b/>
          <w:color w:val="000000" w:themeColor="text1"/>
        </w:rPr>
        <w:t xml:space="preserve"> Government</w:t>
      </w:r>
      <w:r w:rsidRPr="00733C98">
        <w:rPr>
          <w:b/>
          <w:color w:val="000000" w:themeColor="text1"/>
        </w:rPr>
        <w:t>’s response to recommendation</w:t>
      </w:r>
      <w:r w:rsidR="00BA48C3" w:rsidRPr="00733C98">
        <w:rPr>
          <w:b/>
          <w:color w:val="000000" w:themeColor="text1"/>
        </w:rPr>
        <w:t xml:space="preserve"> 48(a)</w:t>
      </w:r>
      <w:r w:rsidR="001C3016" w:rsidRPr="00733C98">
        <w:rPr>
          <w:b/>
          <w:color w:val="000000" w:themeColor="text1"/>
        </w:rPr>
        <w:t>; A Review not a Royal Commission of Inquiry</w:t>
      </w:r>
    </w:p>
    <w:p w14:paraId="0283EC3D" w14:textId="4BBBB3D7" w:rsidR="001C3016" w:rsidRDefault="00F92C5E" w:rsidP="00DF6429">
      <w:pPr>
        <w:pStyle w:val="NormalWeb"/>
        <w:spacing w:before="0" w:beforeAutospacing="0" w:line="276" w:lineRule="auto"/>
        <w:rPr>
          <w:rFonts w:ascii="Calibri" w:eastAsia="PMingLiU" w:hAnsi="Calibri"/>
          <w:b/>
          <w:sz w:val="22"/>
          <w:szCs w:val="22"/>
          <w:lang w:eastAsia="zh-TW"/>
        </w:rPr>
      </w:pPr>
      <w:r>
        <w:rPr>
          <w:rFonts w:ascii="Calibri" w:eastAsia="PMingLiU" w:hAnsi="Calibri"/>
          <w:sz w:val="22"/>
          <w:szCs w:val="22"/>
          <w:lang w:eastAsia="zh-TW"/>
        </w:rPr>
        <w:t>T</w:t>
      </w:r>
      <w:r w:rsidR="001C3016">
        <w:rPr>
          <w:rFonts w:ascii="Calibri" w:eastAsia="PMingLiU" w:hAnsi="Calibri"/>
          <w:sz w:val="22"/>
          <w:szCs w:val="22"/>
          <w:lang w:eastAsia="zh-TW"/>
        </w:rPr>
        <w:t xml:space="preserve">he New Zealand Government </w:t>
      </w:r>
      <w:r>
        <w:rPr>
          <w:rFonts w:ascii="Calibri" w:eastAsia="PMingLiU" w:hAnsi="Calibri"/>
          <w:sz w:val="22"/>
          <w:szCs w:val="22"/>
          <w:lang w:eastAsia="zh-TW"/>
        </w:rPr>
        <w:t xml:space="preserve">has submitted in </w:t>
      </w:r>
      <w:r w:rsidR="00D869AC">
        <w:rPr>
          <w:rFonts w:ascii="Calibri" w:eastAsia="PMingLiU" w:hAnsi="Calibri"/>
          <w:sz w:val="22"/>
          <w:szCs w:val="22"/>
          <w:lang w:eastAsia="zh-TW"/>
        </w:rPr>
        <w:t>its mid</w:t>
      </w:r>
      <w:r w:rsidR="001C3016">
        <w:rPr>
          <w:rFonts w:ascii="Calibri" w:eastAsia="PMingLiU" w:hAnsi="Calibri"/>
          <w:sz w:val="22"/>
          <w:szCs w:val="22"/>
          <w:lang w:eastAsia="zh-TW"/>
        </w:rPr>
        <w:t xml:space="preserve">-term report </w:t>
      </w:r>
      <w:r>
        <w:rPr>
          <w:rFonts w:ascii="Calibri" w:eastAsia="PMingLiU" w:hAnsi="Calibri"/>
          <w:sz w:val="22"/>
          <w:szCs w:val="22"/>
          <w:lang w:eastAsia="zh-TW"/>
        </w:rPr>
        <w:t xml:space="preserve">to the CEDAW Committee </w:t>
      </w:r>
      <w:r w:rsidR="001C3016">
        <w:rPr>
          <w:rFonts w:ascii="Calibri" w:eastAsia="PMingLiU" w:hAnsi="Calibri"/>
          <w:sz w:val="22"/>
          <w:szCs w:val="22"/>
          <w:lang w:eastAsia="zh-TW"/>
        </w:rPr>
        <w:t xml:space="preserve">that the </w:t>
      </w:r>
      <w:r w:rsidR="009A4E82">
        <w:rPr>
          <w:rFonts w:ascii="Calibri" w:eastAsia="PMingLiU" w:hAnsi="Calibri"/>
          <w:sz w:val="22"/>
          <w:szCs w:val="22"/>
          <w:lang w:eastAsia="zh-TW"/>
        </w:rPr>
        <w:t xml:space="preserve">Ministerial </w:t>
      </w:r>
      <w:r w:rsidR="001C3016">
        <w:rPr>
          <w:rFonts w:ascii="Calibri" w:eastAsia="PMingLiU" w:hAnsi="Calibri"/>
          <w:sz w:val="22"/>
          <w:szCs w:val="22"/>
          <w:lang w:eastAsia="zh-TW"/>
        </w:rPr>
        <w:t xml:space="preserve">Review into the 2014 Family Court Reforms was an adequate response to recommendation 48(a). </w:t>
      </w:r>
      <w:r w:rsidR="001C3016" w:rsidRPr="001C3016">
        <w:rPr>
          <w:rFonts w:ascii="Calibri" w:eastAsia="PMingLiU" w:hAnsi="Calibri"/>
          <w:b/>
          <w:sz w:val="22"/>
          <w:szCs w:val="22"/>
          <w:lang w:eastAsia="zh-TW"/>
        </w:rPr>
        <w:t>Backbone strongly opposes this assertion.</w:t>
      </w:r>
    </w:p>
    <w:p w14:paraId="1A0A8268" w14:textId="77777777" w:rsidR="00F84C11" w:rsidRPr="00F7415B" w:rsidRDefault="00CD3B92" w:rsidP="00C93ED1">
      <w:pPr>
        <w:rPr>
          <w:b/>
          <w:i/>
        </w:rPr>
      </w:pPr>
      <w:r>
        <w:t xml:space="preserve">CEDAW </w:t>
      </w:r>
      <w:r w:rsidR="00C93ED1">
        <w:t xml:space="preserve">included in </w:t>
      </w:r>
      <w:r>
        <w:t xml:space="preserve">its concluding observations </w:t>
      </w:r>
      <w:r w:rsidR="009A4E82">
        <w:t xml:space="preserve">for </w:t>
      </w:r>
      <w:r>
        <w:t>New Zealand</w:t>
      </w:r>
      <w:r w:rsidR="00C93ED1">
        <w:t xml:space="preserve"> </w:t>
      </w:r>
      <w:r w:rsidR="00362DEA">
        <w:t>(</w:t>
      </w:r>
      <w:r w:rsidR="00C93ED1">
        <w:t>i</w:t>
      </w:r>
      <w:r>
        <w:t>n para 47</w:t>
      </w:r>
      <w:r w:rsidR="00362DEA">
        <w:t>)</w:t>
      </w:r>
      <w:r>
        <w:t xml:space="preserve"> </w:t>
      </w:r>
      <w:r w:rsidR="00C93ED1">
        <w:t>concerns about the</w:t>
      </w:r>
      <w:r>
        <w:t xml:space="preserve"> Government’s</w:t>
      </w:r>
      <w:r w:rsidR="00C93ED1">
        <w:t xml:space="preserve"> </w:t>
      </w:r>
      <w:r>
        <w:t>planned Ministerial Review of</w:t>
      </w:r>
      <w:r w:rsidR="00C93ED1">
        <w:t xml:space="preserve"> t</w:t>
      </w:r>
      <w:r>
        <w:t xml:space="preserve">he 2014 family justice system. </w:t>
      </w:r>
      <w:r w:rsidRPr="00F7415B">
        <w:rPr>
          <w:i/>
        </w:rPr>
        <w:t>‘While welcoming the upcoming review of the Family Court announced by the Minister of Justice and Courts, the Committee is concerned that this review will be focused on the 2014 Family Court reforms alone, and will not examine the root causes of the systemic lack of trust and insensitivity to women victims of domestic violence apparently entrenched in the Family Court.’</w:t>
      </w:r>
    </w:p>
    <w:p w14:paraId="203983A3" w14:textId="77777777" w:rsidR="00F84C11" w:rsidRDefault="009A4E82" w:rsidP="00F84C11">
      <w:r>
        <w:t xml:space="preserve">In </w:t>
      </w:r>
      <w:r w:rsidR="00360FAF">
        <w:t>spite of</w:t>
      </w:r>
      <w:r>
        <w:t xml:space="preserve"> CEDAW</w:t>
      </w:r>
      <w:r w:rsidR="00360FAF">
        <w:t>’s warning and</w:t>
      </w:r>
      <w:r>
        <w:t xml:space="preserve"> recommendation</w:t>
      </w:r>
      <w:r w:rsidR="00360FAF">
        <w:t xml:space="preserve"> 48(a)</w:t>
      </w:r>
      <w:r>
        <w:t xml:space="preserve">, </w:t>
      </w:r>
      <w:r w:rsidR="00360FAF">
        <w:t>o</w:t>
      </w:r>
      <w:r>
        <w:t>n</w:t>
      </w:r>
      <w:r w:rsidR="00333857">
        <w:t xml:space="preserve"> </w:t>
      </w:r>
      <w:r w:rsidR="00333857" w:rsidRPr="000957F8">
        <w:t>the very day the recommendations were released</w:t>
      </w:r>
      <w:r w:rsidR="00333857">
        <w:t xml:space="preserve"> (24 </w:t>
      </w:r>
      <w:r w:rsidR="00333857" w:rsidRPr="0029201A">
        <w:t>July</w:t>
      </w:r>
      <w:r w:rsidR="00333857">
        <w:t xml:space="preserve"> 2018,)</w:t>
      </w:r>
      <w:r w:rsidR="00333857" w:rsidRPr="000957F8">
        <w:t xml:space="preserve"> </w:t>
      </w:r>
      <w:r w:rsidR="005F468C" w:rsidRPr="000957F8">
        <w:t>Minister Little announced</w:t>
      </w:r>
      <w:r w:rsidR="00BB0D28">
        <w:t xml:space="preserve"> in news media</w:t>
      </w:r>
      <w:r w:rsidR="000957F8">
        <w:t>,</w:t>
      </w:r>
      <w:r w:rsidR="005F468C" w:rsidRPr="000957F8">
        <w:t xml:space="preserve"> </w:t>
      </w:r>
      <w:r w:rsidR="000957F8">
        <w:t xml:space="preserve">in </w:t>
      </w:r>
      <w:r w:rsidR="005F468C" w:rsidRPr="000957F8">
        <w:t>what appeared to be a unilateral decision</w:t>
      </w:r>
      <w:r w:rsidR="006E5063" w:rsidRPr="000957F8">
        <w:t>,</w:t>
      </w:r>
      <w:r w:rsidR="005F468C" w:rsidRPr="000957F8">
        <w:t xml:space="preserve"> </w:t>
      </w:r>
      <w:r w:rsidR="000957F8">
        <w:t>that there would be no</w:t>
      </w:r>
      <w:r w:rsidR="005F468C" w:rsidRPr="000957F8">
        <w:t xml:space="preserve"> Royal Commission of Inquiry </w:t>
      </w:r>
      <w:r w:rsidR="006E5063" w:rsidRPr="000957F8">
        <w:t xml:space="preserve">into the Family Court </w:t>
      </w:r>
      <w:r w:rsidR="007C0AC3" w:rsidRPr="000957F8">
        <w:t>saying</w:t>
      </w:r>
      <w:r w:rsidR="00DF6429">
        <w:t>,</w:t>
      </w:r>
      <w:r w:rsidR="007C0AC3" w:rsidRPr="000957F8">
        <w:t xml:space="preserve"> ‘the Government already has a fair idea of what the problems are’.</w:t>
      </w:r>
      <w:r w:rsidR="001C3016">
        <w:rPr>
          <w:rStyle w:val="FootnoteReference"/>
        </w:rPr>
        <w:footnoteReference w:id="2"/>
      </w:r>
      <w:r w:rsidR="00333857">
        <w:t xml:space="preserve"> </w:t>
      </w:r>
      <w:r w:rsidR="001C3016">
        <w:t xml:space="preserve"> </w:t>
      </w:r>
      <w:r w:rsidR="00F84C11">
        <w:t>Backbone was surprised that he was able to make this decision without Cabinet approval.</w:t>
      </w:r>
    </w:p>
    <w:p w14:paraId="597BC301" w14:textId="77777777" w:rsidR="000A2C8E" w:rsidRDefault="000A2C8E" w:rsidP="000A2C8E">
      <w:r>
        <w:t xml:space="preserve">Backbone members (victim-survivors of violence and abuse) were </w:t>
      </w:r>
      <w:r w:rsidR="00E24B77">
        <w:t>outraged</w:t>
      </w:r>
      <w:r>
        <w:t xml:space="preserve"> at Minister Little’s dismissal of the </w:t>
      </w:r>
      <w:r>
        <w:rPr>
          <w:rStyle w:val="il"/>
        </w:rPr>
        <w:t>CEDAW</w:t>
      </w:r>
      <w:r>
        <w:t xml:space="preserve"> recommendation and hosted a petition calling on the Government to uphold the recommendation. The petition attracted over 2000 signatures and was presented to parliament on 27 Nov 2018. Backbone never received a response from Minister Little to that petition. </w:t>
      </w:r>
    </w:p>
    <w:p w14:paraId="7BF4DF71" w14:textId="77777777" w:rsidR="000A2C8E" w:rsidRDefault="000A2C8E" w:rsidP="000A2C8E">
      <w:pPr>
        <w:jc w:val="center"/>
      </w:pPr>
      <w:r>
        <w:rPr>
          <w:noProof/>
          <w:lang w:eastAsia="en-NZ"/>
        </w:rPr>
        <w:drawing>
          <wp:inline distT="0" distB="0" distL="0" distR="0" wp14:anchorId="1605E5B5" wp14:editId="7B49FD8F">
            <wp:extent cx="2532185" cy="1899138"/>
            <wp:effectExtent l="0" t="0" r="190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65374" cy="1924029"/>
                    </a:xfrm>
                    <a:prstGeom prst="rect">
                      <a:avLst/>
                    </a:prstGeom>
                    <a:noFill/>
                    <a:ln>
                      <a:noFill/>
                    </a:ln>
                  </pic:spPr>
                </pic:pic>
              </a:graphicData>
            </a:graphic>
          </wp:inline>
        </w:drawing>
      </w:r>
    </w:p>
    <w:p w14:paraId="7C2CE955" w14:textId="0B41B639" w:rsidR="00E24B77" w:rsidRPr="00E24B77" w:rsidRDefault="00E24B77" w:rsidP="00DF6429">
      <w:pPr>
        <w:pStyle w:val="NormalWeb"/>
        <w:spacing w:before="0" w:beforeAutospacing="0" w:line="276" w:lineRule="auto"/>
        <w:rPr>
          <w:rFonts w:ascii="Calibri" w:eastAsia="PMingLiU" w:hAnsi="Calibri"/>
          <w:i/>
          <w:sz w:val="20"/>
          <w:szCs w:val="20"/>
          <w:lang w:eastAsia="zh-TW"/>
        </w:rPr>
      </w:pPr>
      <w:r w:rsidRPr="00E24B77">
        <w:rPr>
          <w:rFonts w:ascii="Calibri" w:eastAsia="PMingLiU" w:hAnsi="Calibri"/>
          <w:i/>
          <w:sz w:val="20"/>
          <w:szCs w:val="20"/>
          <w:lang w:eastAsia="zh-TW"/>
        </w:rPr>
        <w:t>M</w:t>
      </w:r>
      <w:r w:rsidR="00AA4FB5">
        <w:rPr>
          <w:rFonts w:ascii="Calibri" w:eastAsia="PMingLiU" w:hAnsi="Calibri"/>
          <w:i/>
          <w:sz w:val="20"/>
          <w:szCs w:val="20"/>
          <w:lang w:eastAsia="zh-TW"/>
        </w:rPr>
        <w:t xml:space="preserve">ember of </w:t>
      </w:r>
      <w:r w:rsidRPr="00E24B77">
        <w:rPr>
          <w:rFonts w:ascii="Calibri" w:eastAsia="PMingLiU" w:hAnsi="Calibri"/>
          <w:i/>
          <w:sz w:val="20"/>
          <w:szCs w:val="20"/>
          <w:lang w:eastAsia="zh-TW"/>
        </w:rPr>
        <w:t>P</w:t>
      </w:r>
      <w:r w:rsidR="00AA4FB5">
        <w:rPr>
          <w:rFonts w:ascii="Calibri" w:eastAsia="PMingLiU" w:hAnsi="Calibri"/>
          <w:i/>
          <w:sz w:val="20"/>
          <w:szCs w:val="20"/>
          <w:lang w:eastAsia="zh-TW"/>
        </w:rPr>
        <w:t>arliament</w:t>
      </w:r>
      <w:r w:rsidRPr="00E24B77">
        <w:rPr>
          <w:rFonts w:ascii="Calibri" w:eastAsia="PMingLiU" w:hAnsi="Calibri"/>
          <w:i/>
          <w:sz w:val="20"/>
          <w:szCs w:val="20"/>
          <w:lang w:eastAsia="zh-TW"/>
        </w:rPr>
        <w:t xml:space="preserve"> </w:t>
      </w:r>
      <w:proofErr w:type="spellStart"/>
      <w:r>
        <w:rPr>
          <w:rFonts w:ascii="Calibri" w:eastAsia="PMingLiU" w:hAnsi="Calibri"/>
          <w:i/>
          <w:sz w:val="20"/>
          <w:szCs w:val="20"/>
          <w:lang w:eastAsia="zh-TW"/>
        </w:rPr>
        <w:t>Poto</w:t>
      </w:r>
      <w:proofErr w:type="spellEnd"/>
      <w:r>
        <w:rPr>
          <w:rFonts w:ascii="Calibri" w:eastAsia="PMingLiU" w:hAnsi="Calibri"/>
          <w:i/>
          <w:sz w:val="20"/>
          <w:szCs w:val="20"/>
          <w:lang w:eastAsia="zh-TW"/>
        </w:rPr>
        <w:t xml:space="preserve"> Wil</w:t>
      </w:r>
      <w:r w:rsidR="00AA4FB5">
        <w:rPr>
          <w:rFonts w:ascii="Calibri" w:eastAsia="PMingLiU" w:hAnsi="Calibri"/>
          <w:i/>
          <w:sz w:val="20"/>
          <w:szCs w:val="20"/>
          <w:lang w:eastAsia="zh-TW"/>
        </w:rPr>
        <w:t>l</w:t>
      </w:r>
      <w:r>
        <w:rPr>
          <w:rFonts w:ascii="Calibri" w:eastAsia="PMingLiU" w:hAnsi="Calibri"/>
          <w:i/>
          <w:sz w:val="20"/>
          <w:szCs w:val="20"/>
          <w:lang w:eastAsia="zh-TW"/>
        </w:rPr>
        <w:t>iams</w:t>
      </w:r>
      <w:r w:rsidRPr="00E24B77">
        <w:rPr>
          <w:rFonts w:ascii="Calibri" w:eastAsia="PMingLiU" w:hAnsi="Calibri"/>
          <w:i/>
          <w:sz w:val="20"/>
          <w:szCs w:val="20"/>
          <w:lang w:eastAsia="zh-TW"/>
        </w:rPr>
        <w:t xml:space="preserve"> </w:t>
      </w:r>
      <w:r w:rsidR="00C372F1">
        <w:rPr>
          <w:rFonts w:ascii="Calibri" w:eastAsia="PMingLiU" w:hAnsi="Calibri"/>
          <w:i/>
          <w:sz w:val="20"/>
          <w:szCs w:val="20"/>
          <w:lang w:eastAsia="zh-TW"/>
        </w:rPr>
        <w:t xml:space="preserve">in a hongi with </w:t>
      </w:r>
      <w:r w:rsidR="00C372F1" w:rsidRPr="00E24B77">
        <w:rPr>
          <w:rFonts w:ascii="Calibri" w:eastAsia="PMingLiU" w:hAnsi="Calibri"/>
          <w:i/>
          <w:sz w:val="20"/>
          <w:szCs w:val="20"/>
          <w:lang w:eastAsia="zh-TW"/>
        </w:rPr>
        <w:t xml:space="preserve">Minister for Justice, Andrew Little </w:t>
      </w:r>
      <w:r w:rsidR="00C372F1">
        <w:rPr>
          <w:rFonts w:ascii="Calibri" w:eastAsia="PMingLiU" w:hAnsi="Calibri"/>
          <w:i/>
          <w:sz w:val="20"/>
          <w:szCs w:val="20"/>
          <w:lang w:eastAsia="zh-TW"/>
        </w:rPr>
        <w:t xml:space="preserve">as she </w:t>
      </w:r>
      <w:r w:rsidRPr="00E24B77">
        <w:rPr>
          <w:rFonts w:ascii="Calibri" w:eastAsia="PMingLiU" w:hAnsi="Calibri"/>
          <w:i/>
          <w:sz w:val="20"/>
          <w:szCs w:val="20"/>
          <w:lang w:eastAsia="zh-TW"/>
        </w:rPr>
        <w:t xml:space="preserve">gives </w:t>
      </w:r>
      <w:r w:rsidR="00C372F1">
        <w:rPr>
          <w:rFonts w:ascii="Calibri" w:eastAsia="PMingLiU" w:hAnsi="Calibri"/>
          <w:i/>
          <w:sz w:val="20"/>
          <w:szCs w:val="20"/>
          <w:lang w:eastAsia="zh-TW"/>
        </w:rPr>
        <w:t xml:space="preserve">him </w:t>
      </w:r>
      <w:r w:rsidRPr="00E24B77">
        <w:rPr>
          <w:rFonts w:ascii="Calibri" w:eastAsia="PMingLiU" w:hAnsi="Calibri"/>
          <w:i/>
          <w:sz w:val="20"/>
          <w:szCs w:val="20"/>
          <w:lang w:eastAsia="zh-TW"/>
        </w:rPr>
        <w:t>the kete containing signatures from over 2000 New Zealanders calling for the Government to uphold CEDAW’s recommendation 48 (a) following a hand over ceremony on the steps of parliament.</w:t>
      </w:r>
    </w:p>
    <w:p w14:paraId="620068AC" w14:textId="6FD60A65" w:rsidR="00C372F1" w:rsidRDefault="00784B2D" w:rsidP="00DF6429">
      <w:pPr>
        <w:pStyle w:val="NormalWeb"/>
        <w:spacing w:before="0" w:beforeAutospacing="0" w:line="276" w:lineRule="auto"/>
        <w:rPr>
          <w:rFonts w:ascii="Calibri" w:eastAsia="PMingLiU" w:hAnsi="Calibri"/>
          <w:sz w:val="22"/>
          <w:szCs w:val="22"/>
          <w:lang w:eastAsia="zh-TW"/>
        </w:rPr>
      </w:pPr>
      <w:r>
        <w:rPr>
          <w:rFonts w:ascii="Calibri" w:eastAsia="PMingLiU" w:hAnsi="Calibri"/>
          <w:sz w:val="22"/>
          <w:szCs w:val="22"/>
          <w:lang w:eastAsia="zh-TW"/>
        </w:rPr>
        <w:t>The Ministerial Review was not a response to CEDAW’s recommendation</w:t>
      </w:r>
      <w:r w:rsidR="00360FAF">
        <w:rPr>
          <w:rFonts w:ascii="Calibri" w:eastAsia="PMingLiU" w:hAnsi="Calibri"/>
          <w:sz w:val="22"/>
          <w:szCs w:val="22"/>
          <w:lang w:eastAsia="zh-TW"/>
        </w:rPr>
        <w:t xml:space="preserve"> 48(a)</w:t>
      </w:r>
      <w:r>
        <w:rPr>
          <w:rFonts w:ascii="Calibri" w:eastAsia="PMingLiU" w:hAnsi="Calibri"/>
          <w:sz w:val="22"/>
          <w:szCs w:val="22"/>
          <w:lang w:eastAsia="zh-TW"/>
        </w:rPr>
        <w:t xml:space="preserve">. </w:t>
      </w:r>
      <w:r w:rsidR="00B03B56" w:rsidRPr="000957F8">
        <w:rPr>
          <w:rFonts w:ascii="Calibri" w:eastAsia="PMingLiU" w:hAnsi="Calibri"/>
          <w:sz w:val="22"/>
          <w:szCs w:val="22"/>
          <w:lang w:eastAsia="zh-TW"/>
        </w:rPr>
        <w:t>Minister Little</w:t>
      </w:r>
      <w:r w:rsidR="001C3016">
        <w:rPr>
          <w:rFonts w:ascii="Calibri" w:eastAsia="PMingLiU" w:hAnsi="Calibri"/>
          <w:sz w:val="22"/>
          <w:szCs w:val="22"/>
          <w:lang w:eastAsia="zh-TW"/>
        </w:rPr>
        <w:t xml:space="preserve"> had already orde</w:t>
      </w:r>
      <w:r w:rsidR="00B03B56">
        <w:rPr>
          <w:rFonts w:ascii="Calibri" w:eastAsia="PMingLiU" w:hAnsi="Calibri"/>
          <w:sz w:val="22"/>
          <w:szCs w:val="22"/>
          <w:lang w:eastAsia="zh-TW"/>
        </w:rPr>
        <w:t>red</w:t>
      </w:r>
      <w:r w:rsidR="001C3016">
        <w:rPr>
          <w:rFonts w:ascii="Calibri" w:eastAsia="PMingLiU" w:hAnsi="Calibri"/>
          <w:sz w:val="22"/>
          <w:szCs w:val="22"/>
          <w:lang w:eastAsia="zh-TW"/>
        </w:rPr>
        <w:t xml:space="preserve"> a Ministerial Review into</w:t>
      </w:r>
      <w:r w:rsidR="00B03B56">
        <w:rPr>
          <w:rFonts w:ascii="Calibri" w:eastAsia="PMingLiU" w:hAnsi="Calibri"/>
          <w:sz w:val="22"/>
          <w:szCs w:val="22"/>
          <w:lang w:eastAsia="zh-TW"/>
        </w:rPr>
        <w:t xml:space="preserve"> </w:t>
      </w:r>
      <w:r w:rsidR="001C3016">
        <w:rPr>
          <w:rFonts w:ascii="Calibri" w:eastAsia="PMingLiU" w:hAnsi="Calibri"/>
          <w:sz w:val="22"/>
          <w:szCs w:val="22"/>
          <w:lang w:eastAsia="zh-TW"/>
        </w:rPr>
        <w:t>the Family Court Reforms</w:t>
      </w:r>
      <w:r w:rsidR="0048463E">
        <w:rPr>
          <w:rFonts w:ascii="Calibri" w:eastAsia="PMingLiU" w:hAnsi="Calibri"/>
          <w:sz w:val="22"/>
          <w:szCs w:val="22"/>
          <w:lang w:eastAsia="zh-TW"/>
        </w:rPr>
        <w:t>. O</w:t>
      </w:r>
      <w:r w:rsidR="00333857" w:rsidRPr="000957F8">
        <w:rPr>
          <w:rFonts w:ascii="Calibri" w:eastAsia="PMingLiU" w:hAnsi="Calibri"/>
          <w:sz w:val="22"/>
          <w:szCs w:val="22"/>
          <w:lang w:eastAsia="zh-TW"/>
        </w:rPr>
        <w:t xml:space="preserve">n 1 Aug 2018 </w:t>
      </w:r>
      <w:r w:rsidR="00B03B56">
        <w:rPr>
          <w:rFonts w:ascii="Calibri" w:eastAsia="PMingLiU" w:hAnsi="Calibri"/>
          <w:sz w:val="22"/>
          <w:szCs w:val="22"/>
          <w:lang w:eastAsia="zh-TW"/>
        </w:rPr>
        <w:t xml:space="preserve">he </w:t>
      </w:r>
      <w:r w:rsidR="00FD1945" w:rsidRPr="000957F8">
        <w:rPr>
          <w:rFonts w:ascii="Calibri" w:eastAsia="PMingLiU" w:hAnsi="Calibri"/>
          <w:sz w:val="22"/>
          <w:szCs w:val="22"/>
          <w:lang w:eastAsia="zh-TW"/>
        </w:rPr>
        <w:t xml:space="preserve">announced the Terms of Reference </w:t>
      </w:r>
      <w:r w:rsidR="00BA1019" w:rsidRPr="000957F8">
        <w:rPr>
          <w:rFonts w:ascii="Calibri" w:eastAsia="PMingLiU" w:hAnsi="Calibri"/>
          <w:sz w:val="22"/>
          <w:szCs w:val="22"/>
          <w:lang w:eastAsia="zh-TW"/>
        </w:rPr>
        <w:t xml:space="preserve">for </w:t>
      </w:r>
      <w:r w:rsidR="0048463E">
        <w:rPr>
          <w:rFonts w:ascii="Calibri" w:eastAsia="PMingLiU" w:hAnsi="Calibri"/>
          <w:sz w:val="22"/>
          <w:szCs w:val="22"/>
          <w:lang w:eastAsia="zh-TW"/>
        </w:rPr>
        <w:t>‘</w:t>
      </w:r>
      <w:r w:rsidR="00BA1019" w:rsidRPr="000957F8">
        <w:rPr>
          <w:rFonts w:ascii="Calibri" w:eastAsia="PMingLiU" w:hAnsi="Calibri"/>
          <w:sz w:val="22"/>
          <w:szCs w:val="22"/>
          <w:lang w:eastAsia="zh-TW"/>
        </w:rPr>
        <w:t>the rewrite of the 2014 family justice system</w:t>
      </w:r>
      <w:r w:rsidR="00D63707">
        <w:rPr>
          <w:rFonts w:ascii="Calibri" w:eastAsia="PMingLiU" w:hAnsi="Calibri"/>
          <w:sz w:val="22"/>
          <w:szCs w:val="22"/>
          <w:lang w:eastAsia="zh-TW"/>
        </w:rPr>
        <w:t xml:space="preserve"> reforms</w:t>
      </w:r>
      <w:r w:rsidR="0048463E">
        <w:rPr>
          <w:rFonts w:ascii="Calibri" w:eastAsia="PMingLiU" w:hAnsi="Calibri"/>
          <w:sz w:val="22"/>
          <w:szCs w:val="22"/>
          <w:lang w:eastAsia="zh-TW"/>
        </w:rPr>
        <w:t>’</w:t>
      </w:r>
      <w:r w:rsidR="00D63707">
        <w:rPr>
          <w:rFonts w:ascii="Calibri" w:eastAsia="PMingLiU" w:hAnsi="Calibri"/>
          <w:sz w:val="22"/>
          <w:szCs w:val="22"/>
          <w:lang w:eastAsia="zh-TW"/>
        </w:rPr>
        <w:t xml:space="preserve"> </w:t>
      </w:r>
      <w:r w:rsidR="004F596D">
        <w:rPr>
          <w:rFonts w:ascii="Calibri" w:eastAsia="PMingLiU" w:hAnsi="Calibri"/>
          <w:sz w:val="22"/>
          <w:szCs w:val="22"/>
          <w:lang w:eastAsia="zh-TW"/>
        </w:rPr>
        <w:t>(the</w:t>
      </w:r>
      <w:r w:rsidR="00D63707">
        <w:rPr>
          <w:rFonts w:ascii="Calibri" w:eastAsia="PMingLiU" w:hAnsi="Calibri"/>
          <w:sz w:val="22"/>
          <w:szCs w:val="22"/>
          <w:lang w:eastAsia="zh-TW"/>
        </w:rPr>
        <w:t xml:space="preserve"> Review)</w:t>
      </w:r>
      <w:r w:rsidR="00BA1019" w:rsidRPr="000957F8">
        <w:rPr>
          <w:rFonts w:ascii="Calibri" w:eastAsia="PMingLiU" w:hAnsi="Calibri"/>
          <w:sz w:val="22"/>
          <w:szCs w:val="22"/>
          <w:lang w:eastAsia="zh-TW"/>
        </w:rPr>
        <w:t xml:space="preserve">. </w:t>
      </w:r>
      <w:r w:rsidR="0048463E">
        <w:rPr>
          <w:rFonts w:ascii="Calibri" w:eastAsia="PMingLiU" w:hAnsi="Calibri"/>
          <w:sz w:val="22"/>
          <w:szCs w:val="22"/>
          <w:lang w:eastAsia="zh-TW"/>
        </w:rPr>
        <w:t>T</w:t>
      </w:r>
      <w:r w:rsidR="004F596D">
        <w:rPr>
          <w:rFonts w:ascii="Calibri" w:eastAsia="PMingLiU" w:hAnsi="Calibri"/>
          <w:sz w:val="22"/>
          <w:szCs w:val="22"/>
          <w:lang w:eastAsia="zh-TW"/>
        </w:rPr>
        <w:t>he</w:t>
      </w:r>
      <w:r>
        <w:rPr>
          <w:rFonts w:ascii="Calibri" w:eastAsia="PMingLiU" w:hAnsi="Calibri"/>
          <w:sz w:val="22"/>
          <w:szCs w:val="22"/>
          <w:lang w:eastAsia="zh-TW"/>
        </w:rPr>
        <w:t xml:space="preserve"> </w:t>
      </w:r>
      <w:r>
        <w:rPr>
          <w:rFonts w:ascii="Calibri" w:eastAsia="PMingLiU" w:hAnsi="Calibri"/>
          <w:sz w:val="22"/>
          <w:szCs w:val="22"/>
          <w:lang w:eastAsia="zh-TW"/>
        </w:rPr>
        <w:lastRenderedPageBreak/>
        <w:t>serious limitations of the Review have meant it could never</w:t>
      </w:r>
      <w:r w:rsidR="006735BF">
        <w:rPr>
          <w:rFonts w:ascii="Calibri" w:eastAsia="PMingLiU" w:hAnsi="Calibri"/>
          <w:sz w:val="22"/>
          <w:szCs w:val="22"/>
          <w:lang w:eastAsia="zh-TW"/>
        </w:rPr>
        <w:t>,</w:t>
      </w:r>
      <w:r>
        <w:rPr>
          <w:rFonts w:ascii="Calibri" w:eastAsia="PMingLiU" w:hAnsi="Calibri"/>
          <w:sz w:val="22"/>
          <w:szCs w:val="22"/>
          <w:lang w:eastAsia="zh-TW"/>
        </w:rPr>
        <w:t xml:space="preserve"> </w:t>
      </w:r>
      <w:r w:rsidR="006735BF">
        <w:rPr>
          <w:rFonts w:ascii="Calibri" w:eastAsia="PMingLiU" w:hAnsi="Calibri"/>
          <w:sz w:val="22"/>
          <w:szCs w:val="22"/>
          <w:lang w:eastAsia="zh-TW"/>
        </w:rPr>
        <w:t xml:space="preserve">and did not, </w:t>
      </w:r>
      <w:r>
        <w:rPr>
          <w:rFonts w:ascii="Calibri" w:eastAsia="PMingLiU" w:hAnsi="Calibri"/>
          <w:sz w:val="22"/>
          <w:szCs w:val="22"/>
          <w:lang w:eastAsia="zh-TW"/>
        </w:rPr>
        <w:t xml:space="preserve">adequately or safely </w:t>
      </w:r>
      <w:r w:rsidR="006735BF" w:rsidRPr="006735BF">
        <w:rPr>
          <w:rFonts w:ascii="Calibri" w:eastAsia="PMingLiU" w:hAnsi="Calibri"/>
          <w:sz w:val="22"/>
          <w:szCs w:val="22"/>
          <w:lang w:eastAsia="zh-TW"/>
        </w:rPr>
        <w:t>‘examine the root causes of the systemic lack of trust and insensitivity to women victims of domestic violence apparently entrenched in the Family Court’ as recommended by CEDAW</w:t>
      </w:r>
      <w:r w:rsidR="006735BF">
        <w:rPr>
          <w:rFonts w:ascii="Calibri" w:eastAsia="PMingLiU" w:hAnsi="Calibri"/>
          <w:sz w:val="22"/>
          <w:szCs w:val="22"/>
          <w:lang w:eastAsia="zh-TW"/>
        </w:rPr>
        <w:t xml:space="preserve"> </w:t>
      </w:r>
      <w:r w:rsidR="009B574D">
        <w:rPr>
          <w:rFonts w:ascii="Calibri" w:eastAsia="PMingLiU" w:hAnsi="Calibri"/>
          <w:sz w:val="22"/>
          <w:szCs w:val="22"/>
          <w:lang w:eastAsia="zh-TW"/>
        </w:rPr>
        <w:t xml:space="preserve">in the way </w:t>
      </w:r>
      <w:r w:rsidR="004F596D">
        <w:rPr>
          <w:rFonts w:ascii="Calibri" w:eastAsia="PMingLiU" w:hAnsi="Calibri"/>
          <w:sz w:val="22"/>
          <w:szCs w:val="22"/>
          <w:lang w:eastAsia="zh-TW"/>
        </w:rPr>
        <w:t xml:space="preserve">a </w:t>
      </w:r>
      <w:r w:rsidR="00892DB1">
        <w:rPr>
          <w:rFonts w:ascii="Calibri" w:eastAsia="PMingLiU" w:hAnsi="Calibri"/>
          <w:sz w:val="22"/>
          <w:szCs w:val="22"/>
          <w:lang w:eastAsia="zh-TW"/>
        </w:rPr>
        <w:t>R</w:t>
      </w:r>
      <w:r w:rsidR="004F596D">
        <w:rPr>
          <w:rFonts w:ascii="Calibri" w:eastAsia="PMingLiU" w:hAnsi="Calibri"/>
          <w:sz w:val="22"/>
          <w:szCs w:val="22"/>
          <w:lang w:eastAsia="zh-TW"/>
        </w:rPr>
        <w:t xml:space="preserve">oyal Commission of Inquiry would </w:t>
      </w:r>
      <w:r w:rsidR="006735BF">
        <w:rPr>
          <w:rFonts w:ascii="Calibri" w:eastAsia="PMingLiU" w:hAnsi="Calibri"/>
          <w:sz w:val="22"/>
          <w:szCs w:val="22"/>
          <w:lang w:eastAsia="zh-TW"/>
        </w:rPr>
        <w:t>have done</w:t>
      </w:r>
      <w:r>
        <w:rPr>
          <w:rFonts w:ascii="Calibri" w:eastAsia="PMingLiU" w:hAnsi="Calibri"/>
          <w:sz w:val="22"/>
          <w:szCs w:val="22"/>
          <w:lang w:eastAsia="zh-TW"/>
        </w:rPr>
        <w:t>.</w:t>
      </w:r>
      <w:r w:rsidR="006735BF" w:rsidRPr="006735BF">
        <w:rPr>
          <w:i/>
        </w:rPr>
        <w:t xml:space="preserve"> </w:t>
      </w:r>
    </w:p>
    <w:p w14:paraId="44BC85FF" w14:textId="09DEBF84" w:rsidR="00C372F1" w:rsidRPr="00733C98" w:rsidRDefault="00C372F1" w:rsidP="00733C98">
      <w:pPr>
        <w:pStyle w:val="Heading2"/>
        <w:shd w:val="clear" w:color="auto" w:fill="DDF0F2" w:themeFill="accent2" w:themeFillTint="33"/>
        <w:rPr>
          <w:b/>
          <w:color w:val="000000" w:themeColor="text1"/>
        </w:rPr>
      </w:pPr>
      <w:r w:rsidRPr="00733C98">
        <w:rPr>
          <w:b/>
          <w:color w:val="000000" w:themeColor="text1"/>
        </w:rPr>
        <w:t xml:space="preserve">Limitations of the Ministerial </w:t>
      </w:r>
      <w:r w:rsidR="00F92C5E">
        <w:rPr>
          <w:b/>
          <w:color w:val="000000" w:themeColor="text1"/>
        </w:rPr>
        <w:t xml:space="preserve">Family Court </w:t>
      </w:r>
      <w:r w:rsidRPr="00733C98">
        <w:rPr>
          <w:b/>
          <w:color w:val="000000" w:themeColor="text1"/>
        </w:rPr>
        <w:t>Review</w:t>
      </w:r>
    </w:p>
    <w:p w14:paraId="0F6D569D" w14:textId="77777777" w:rsidR="00C40B19" w:rsidRDefault="00C40B19" w:rsidP="00C40B19">
      <w:pPr>
        <w:spacing w:after="0"/>
      </w:pPr>
    </w:p>
    <w:p w14:paraId="70A089BE" w14:textId="77777777" w:rsidR="00C40B19" w:rsidRPr="00C40B19" w:rsidRDefault="00C40B19" w:rsidP="00C40B19">
      <w:pPr>
        <w:spacing w:after="0"/>
        <w:rPr>
          <w:b/>
        </w:rPr>
      </w:pPr>
      <w:r w:rsidRPr="00C40B19">
        <w:rPr>
          <w:b/>
        </w:rPr>
        <w:t>Ineffective mechanism for fully investigating the culture, decisions and operations of the Family Court.</w:t>
      </w:r>
    </w:p>
    <w:p w14:paraId="59D12D84" w14:textId="77777777" w:rsidR="00A12EA8" w:rsidRDefault="00C40B19" w:rsidP="00A12EA8">
      <w:pPr>
        <w:spacing w:after="0"/>
      </w:pPr>
      <w:r>
        <w:t xml:space="preserve">Backbone had been clear with the Government that the problems women and children victim-survivors were experiencing in the Family Court were not to do with the Family Court reforms of 2014, but ran far deeper and were due to the way the legislation was/is being implemented and the culture of the court. We prepared a thorough paper which was tabled at the Select Committee in early 2018 detailing why a Royal Commission of Inquiry was the </w:t>
      </w:r>
      <w:r w:rsidRPr="009A4E82">
        <w:rPr>
          <w:i/>
        </w:rPr>
        <w:t xml:space="preserve">only </w:t>
      </w:r>
      <w:r>
        <w:t>mechanism available to appropriately and fully investigate the Family Court.</w:t>
      </w:r>
      <w:r>
        <w:rPr>
          <w:rStyle w:val="FootnoteReference"/>
        </w:rPr>
        <w:footnoteReference w:id="3"/>
      </w:r>
      <w:r>
        <w:t xml:space="preserve"> We argued an independent inquiry was needed, not a Ministerial one, that had the power to investigate and review</w:t>
      </w:r>
      <w:r w:rsidRPr="00EB5CAC">
        <w:t xml:space="preserve"> the </w:t>
      </w:r>
      <w:r>
        <w:t xml:space="preserve">practices, procedures, standards and </w:t>
      </w:r>
      <w:r w:rsidRPr="00EB5CAC">
        <w:t xml:space="preserve">operations of the court and the role the judiciary and other court officials have played individually and collectively in the problems identified by women and children who have experienced violence and abuse. </w:t>
      </w:r>
      <w:r>
        <w:t>Furthermore, a Royal Commission would provide protection for the women and children who took part in the inquiry and have the power to subpoena documentation and witnesses, including judges and other professionals working in the court.</w:t>
      </w:r>
    </w:p>
    <w:p w14:paraId="48CC0595" w14:textId="77777777" w:rsidR="00A12EA8" w:rsidRDefault="00A12EA8" w:rsidP="00A12EA8">
      <w:pPr>
        <w:spacing w:after="0"/>
        <w:rPr>
          <w:b/>
        </w:rPr>
      </w:pPr>
    </w:p>
    <w:p w14:paraId="55FEFCCB" w14:textId="3A7FBEEF" w:rsidR="00BA1019" w:rsidRPr="00DF6429" w:rsidRDefault="00BA1019" w:rsidP="00A12EA8">
      <w:pPr>
        <w:spacing w:after="0"/>
      </w:pPr>
      <w:r w:rsidRPr="00322DF8">
        <w:rPr>
          <w:b/>
        </w:rPr>
        <w:t>The Terms of Reference</w:t>
      </w:r>
      <w:r w:rsidRPr="000957F8">
        <w:t xml:space="preserve"> </w:t>
      </w:r>
      <w:r w:rsidRPr="004C26D0">
        <w:rPr>
          <w:b/>
        </w:rPr>
        <w:t xml:space="preserve">lacked any scope </w:t>
      </w:r>
      <w:r w:rsidR="00B03B56" w:rsidRPr="004C26D0">
        <w:rPr>
          <w:b/>
        </w:rPr>
        <w:t>to adequately address CEDAW’s recommendation 48 (a).</w:t>
      </w:r>
      <w:r w:rsidR="00B03B56">
        <w:t xml:space="preserve"> </w:t>
      </w:r>
      <w:r w:rsidRPr="00DF6429">
        <w:t xml:space="preserve">Instead they </w:t>
      </w:r>
      <w:r w:rsidR="0029201A" w:rsidRPr="00DF6429">
        <w:t>focus</w:t>
      </w:r>
      <w:r w:rsidR="00E43088">
        <w:t>ed</w:t>
      </w:r>
      <w:r w:rsidR="0029201A" w:rsidRPr="00DF6429">
        <w:t xml:space="preserve"> on </w:t>
      </w:r>
      <w:r w:rsidR="00BB0D28">
        <w:t xml:space="preserve">issues that had been identified as a result of the 2014 Family Court Reforms including, </w:t>
      </w:r>
      <w:r w:rsidR="0029201A" w:rsidRPr="00DF6429">
        <w:t xml:space="preserve">delay, cost, </w:t>
      </w:r>
      <w:r w:rsidR="00BB0D28">
        <w:t xml:space="preserve">forced mediation and lack of </w:t>
      </w:r>
      <w:r w:rsidR="0029201A" w:rsidRPr="00DF6429">
        <w:t>legal representation</w:t>
      </w:r>
      <w:r w:rsidR="00BB0D28">
        <w:t>.</w:t>
      </w:r>
      <w:r w:rsidR="00B03B56">
        <w:rPr>
          <w:rStyle w:val="FootnoteReference"/>
        </w:rPr>
        <w:footnoteReference w:id="4"/>
      </w:r>
      <w:r w:rsidR="00BB0D28">
        <w:t xml:space="preserve"> There was only</w:t>
      </w:r>
      <w:r w:rsidR="0029201A" w:rsidRPr="00DF6429">
        <w:t xml:space="preserve"> one point in the Terms of Reference </w:t>
      </w:r>
      <w:r w:rsidR="00BB0D28">
        <w:t xml:space="preserve">that </w:t>
      </w:r>
      <w:r w:rsidR="0029201A" w:rsidRPr="00DF6429">
        <w:t>alluded to family violence and this was in relation to child</w:t>
      </w:r>
      <w:r w:rsidR="00DF6429">
        <w:t>ren</w:t>
      </w:r>
      <w:r w:rsidR="004529F7">
        <w:t xml:space="preserve">, </w:t>
      </w:r>
      <w:r w:rsidR="0029201A" w:rsidRPr="00DF6429">
        <w:t>not women</w:t>
      </w:r>
      <w:r w:rsidR="004529F7">
        <w:t>,</w:t>
      </w:r>
      <w:r w:rsidR="0029201A" w:rsidRPr="00DF6429">
        <w:t xml:space="preserve"> and asked the panel to consider the extent to which the family justice system</w:t>
      </w:r>
      <w:r w:rsidR="00360FAF">
        <w:t>,</w:t>
      </w:r>
      <w:r w:rsidR="0029201A" w:rsidRPr="00DF6429">
        <w:t xml:space="preserve"> </w:t>
      </w:r>
    </w:p>
    <w:p w14:paraId="3234E584" w14:textId="77777777" w:rsidR="0029201A" w:rsidRDefault="0029201A" w:rsidP="0029201A">
      <w:pPr>
        <w:ind w:left="720"/>
      </w:pPr>
      <w:r w:rsidRPr="0029201A">
        <w:t>e)</w:t>
      </w:r>
      <w:r w:rsidR="00DF6429">
        <w:t xml:space="preserve"> </w:t>
      </w:r>
      <w:r w:rsidRPr="0029201A">
        <w:t>is evidence based and reflects research about what works best for children, including, for example, within the context of family violence and how this affects parenting and children;</w:t>
      </w:r>
      <w:r>
        <w:t xml:space="preserve"> </w:t>
      </w:r>
      <w:r w:rsidRPr="0029201A">
        <w:t>children with disabilities and/or disabled parents</w:t>
      </w:r>
      <w:r w:rsidR="00B03B56">
        <w:t>.</w:t>
      </w:r>
    </w:p>
    <w:p w14:paraId="3255D6C4" w14:textId="69FC5B19" w:rsidR="00C372F1" w:rsidRDefault="004C26D0" w:rsidP="0029201A">
      <w:r w:rsidRPr="004C26D0">
        <w:rPr>
          <w:b/>
        </w:rPr>
        <w:t xml:space="preserve">The </w:t>
      </w:r>
      <w:r w:rsidR="00732568">
        <w:rPr>
          <w:b/>
        </w:rPr>
        <w:t xml:space="preserve">Review </w:t>
      </w:r>
      <w:r w:rsidRPr="004C26D0">
        <w:rPr>
          <w:b/>
        </w:rPr>
        <w:t xml:space="preserve">Panel included no one with </w:t>
      </w:r>
      <w:r w:rsidR="00487DB9">
        <w:rPr>
          <w:b/>
        </w:rPr>
        <w:t>family violence</w:t>
      </w:r>
      <w:r w:rsidRPr="004C26D0">
        <w:rPr>
          <w:b/>
        </w:rPr>
        <w:t xml:space="preserve"> expertise</w:t>
      </w:r>
      <w:r w:rsidRPr="004C26D0">
        <w:t xml:space="preserve">. </w:t>
      </w:r>
      <w:r w:rsidR="00BA1019" w:rsidRPr="004C26D0">
        <w:t xml:space="preserve">The </w:t>
      </w:r>
      <w:r w:rsidR="004529F7" w:rsidRPr="004C26D0">
        <w:t xml:space="preserve">three </w:t>
      </w:r>
      <w:r w:rsidR="00732568">
        <w:t>p</w:t>
      </w:r>
      <w:r w:rsidR="00BA1019" w:rsidRPr="004C26D0">
        <w:t xml:space="preserve">anel </w:t>
      </w:r>
      <w:r w:rsidR="00732568">
        <w:t>m</w:t>
      </w:r>
      <w:r w:rsidR="00BA1019" w:rsidRPr="004C26D0">
        <w:t>embers</w:t>
      </w:r>
      <w:r w:rsidR="0029201A">
        <w:t xml:space="preserve"> included a former Human Rights Commissioner </w:t>
      </w:r>
      <w:r w:rsidR="0048463E">
        <w:t xml:space="preserve">(Chair) </w:t>
      </w:r>
      <w:r w:rsidR="0029201A">
        <w:t>and two lawyers, one who was appointed to the Bench as a judge while she served on the panel.</w:t>
      </w:r>
      <w:r w:rsidR="00587975">
        <w:t xml:space="preserve"> </w:t>
      </w:r>
    </w:p>
    <w:p w14:paraId="221CE091" w14:textId="4325CCB0" w:rsidR="00597C7E" w:rsidRDefault="00587975" w:rsidP="0029201A">
      <w:r w:rsidRPr="004C26D0">
        <w:rPr>
          <w:b/>
        </w:rPr>
        <w:t xml:space="preserve">An Expert Reference Group </w:t>
      </w:r>
      <w:r w:rsidR="00FA10E7" w:rsidRPr="004C26D0">
        <w:rPr>
          <w:b/>
        </w:rPr>
        <w:t xml:space="preserve">(ERG) </w:t>
      </w:r>
      <w:r w:rsidR="0048463E" w:rsidRPr="004C26D0">
        <w:rPr>
          <w:b/>
        </w:rPr>
        <w:t>established</w:t>
      </w:r>
      <w:r w:rsidR="0048463E">
        <w:rPr>
          <w:b/>
        </w:rPr>
        <w:t xml:space="preserve"> on 17 August 2018</w:t>
      </w:r>
      <w:r w:rsidR="004C26D0" w:rsidRPr="004C26D0">
        <w:rPr>
          <w:b/>
        </w:rPr>
        <w:t xml:space="preserve"> to provide advice and information to the Panel, contained </w:t>
      </w:r>
      <w:r w:rsidR="004C26D0">
        <w:rPr>
          <w:b/>
        </w:rPr>
        <w:t>only one person who was a family violence expert</w:t>
      </w:r>
      <w:r w:rsidR="00E43088">
        <w:rPr>
          <w:b/>
        </w:rPr>
        <w:t xml:space="preserve"> (a retired </w:t>
      </w:r>
      <w:r w:rsidR="00E43088">
        <w:rPr>
          <w:b/>
        </w:rPr>
        <w:lastRenderedPageBreak/>
        <w:t xml:space="preserve">academic focused on </w:t>
      </w:r>
      <w:r w:rsidR="00691A6D">
        <w:rPr>
          <w:b/>
        </w:rPr>
        <w:t>family</w:t>
      </w:r>
      <w:r w:rsidR="00E43088">
        <w:rPr>
          <w:b/>
        </w:rPr>
        <w:t xml:space="preserve"> violence)</w:t>
      </w:r>
      <w:r w:rsidR="004C26D0">
        <w:rPr>
          <w:b/>
        </w:rPr>
        <w:t>.</w:t>
      </w:r>
      <w:r w:rsidR="004529F7">
        <w:rPr>
          <w:rStyle w:val="FootnoteReference"/>
        </w:rPr>
        <w:footnoteReference w:id="5"/>
      </w:r>
      <w:r w:rsidR="00403432">
        <w:t xml:space="preserve"> </w:t>
      </w:r>
      <w:r>
        <w:t xml:space="preserve"> The remaining </w:t>
      </w:r>
      <w:r w:rsidR="00AB5CEF">
        <w:t xml:space="preserve">10 </w:t>
      </w:r>
      <w:r>
        <w:t xml:space="preserve">members </w:t>
      </w:r>
      <w:r w:rsidR="00403432">
        <w:t>were mediators</w:t>
      </w:r>
      <w:r>
        <w:t xml:space="preserve"> (</w:t>
      </w:r>
      <w:r w:rsidR="00A77ACA">
        <w:t>3</w:t>
      </w:r>
      <w:r>
        <w:t>), lawyers (2) psychologists (2) kaupapa Maori expert (1)</w:t>
      </w:r>
      <w:r w:rsidR="00403432">
        <w:t>, f</w:t>
      </w:r>
      <w:r>
        <w:t>amily law academics (2)</w:t>
      </w:r>
      <w:r w:rsidR="00FA10E7">
        <w:t>.</w:t>
      </w:r>
      <w:r w:rsidR="00A61926">
        <w:rPr>
          <w:rStyle w:val="FootnoteReference"/>
        </w:rPr>
        <w:footnoteReference w:id="6"/>
      </w:r>
      <w:r w:rsidR="00597C7E">
        <w:t xml:space="preserve"> The</w:t>
      </w:r>
      <w:r w:rsidR="00A61926">
        <w:t>refore</w:t>
      </w:r>
      <w:r w:rsidR="00FA10E7">
        <w:t>,</w:t>
      </w:r>
      <w:r w:rsidR="00A61926">
        <w:t xml:space="preserve"> the</w:t>
      </w:r>
      <w:r w:rsidR="00597C7E">
        <w:t xml:space="preserve"> </w:t>
      </w:r>
      <w:r w:rsidR="00403432">
        <w:t xml:space="preserve">vast majority of </w:t>
      </w:r>
      <w:r w:rsidR="00597C7E">
        <w:t xml:space="preserve">ERG members were stakeholders in the family law system </w:t>
      </w:r>
      <w:r w:rsidR="00403432">
        <w:t>(</w:t>
      </w:r>
      <w:r w:rsidR="00A61926">
        <w:t>either</w:t>
      </w:r>
      <w:r w:rsidR="00403432">
        <w:t xml:space="preserve"> they or the </w:t>
      </w:r>
      <w:r w:rsidR="00A61926">
        <w:t>sector</w:t>
      </w:r>
      <w:r w:rsidR="00403432">
        <w:t xml:space="preserve"> they represented were </w:t>
      </w:r>
      <w:r w:rsidR="00597C7E">
        <w:t>paid for services in the court) and therefore had a direct financial investment in the outcome of the review.</w:t>
      </w:r>
      <w:r w:rsidR="00A61926">
        <w:t xml:space="preserve"> </w:t>
      </w:r>
    </w:p>
    <w:p w14:paraId="48DFD977" w14:textId="77777777" w:rsidR="002C64E0" w:rsidRPr="00501311" w:rsidRDefault="004A0E4D" w:rsidP="000A2C8E">
      <w:pPr>
        <w:spacing w:after="120"/>
        <w:rPr>
          <w:b/>
        </w:rPr>
      </w:pPr>
      <w:r>
        <w:rPr>
          <w:b/>
        </w:rPr>
        <w:t>T</w:t>
      </w:r>
      <w:r w:rsidR="00501311" w:rsidRPr="00501311">
        <w:rPr>
          <w:b/>
        </w:rPr>
        <w:t xml:space="preserve">he submission process </w:t>
      </w:r>
      <w:r>
        <w:rPr>
          <w:b/>
        </w:rPr>
        <w:t xml:space="preserve">was not </w:t>
      </w:r>
      <w:r w:rsidR="00323B2A">
        <w:rPr>
          <w:b/>
        </w:rPr>
        <w:t>sufficiently</w:t>
      </w:r>
      <w:r>
        <w:rPr>
          <w:b/>
        </w:rPr>
        <w:t xml:space="preserve"> safe for victim-survivors </w:t>
      </w:r>
      <w:r w:rsidR="00501311" w:rsidRPr="00501311">
        <w:rPr>
          <w:b/>
        </w:rPr>
        <w:t>therefore limiting the scope of voices included</w:t>
      </w:r>
      <w:r>
        <w:rPr>
          <w:b/>
        </w:rPr>
        <w:t>.</w:t>
      </w:r>
      <w:r w:rsidR="00501311" w:rsidRPr="00501311">
        <w:rPr>
          <w:b/>
        </w:rPr>
        <w:t xml:space="preserve"> </w:t>
      </w:r>
    </w:p>
    <w:p w14:paraId="4EA68C50" w14:textId="7658DE20" w:rsidR="00E61064" w:rsidRDefault="00E61064" w:rsidP="00E61064">
      <w:pPr>
        <w:jc w:val="both"/>
        <w:rPr>
          <w:rFonts w:cstheme="minorHAnsi"/>
        </w:rPr>
      </w:pPr>
      <w:r>
        <w:t xml:space="preserve">Upon reading the Terms of Reference, Backbone was concerned about the safety of </w:t>
      </w:r>
      <w:r w:rsidR="00334EF1">
        <w:t xml:space="preserve">the </w:t>
      </w:r>
      <w:r>
        <w:t xml:space="preserve">submission </w:t>
      </w:r>
      <w:r w:rsidR="00D32BFD">
        <w:t>process</w:t>
      </w:r>
      <w:r>
        <w:t xml:space="preserve"> because the nature of the review as </w:t>
      </w:r>
      <w:r w:rsidR="00334EF1">
        <w:t>a Ministerial</w:t>
      </w:r>
      <w:r>
        <w:t xml:space="preserve"> Review meant submissions would fall under New Zealand’s </w:t>
      </w:r>
      <w:r w:rsidR="00334EF1">
        <w:t>O</w:t>
      </w:r>
      <w:r>
        <w:t xml:space="preserve">fficial Information Act </w:t>
      </w:r>
      <w:r w:rsidR="004A0E4D">
        <w:t xml:space="preserve">(OIA) </w:t>
      </w:r>
      <w:r>
        <w:t xml:space="preserve">and therefore be </w:t>
      </w:r>
      <w:r w:rsidR="00323B2A">
        <w:t xml:space="preserve">potentially </w:t>
      </w:r>
      <w:r>
        <w:t xml:space="preserve">available for public release.  </w:t>
      </w:r>
      <w:r w:rsidR="00D32BFD">
        <w:rPr>
          <w:rFonts w:cstheme="minorHAnsi"/>
        </w:rPr>
        <w:t>Backbone</w:t>
      </w:r>
      <w:r>
        <w:rPr>
          <w:rFonts w:cstheme="minorHAnsi"/>
        </w:rPr>
        <w:t xml:space="preserve"> </w:t>
      </w:r>
      <w:r w:rsidRPr="0006359B">
        <w:rPr>
          <w:rFonts w:cstheme="minorHAnsi"/>
        </w:rPr>
        <w:t>approached the Ombudsman</w:t>
      </w:r>
      <w:r w:rsidR="004A0E4D">
        <w:rPr>
          <w:rFonts w:cstheme="minorHAnsi"/>
        </w:rPr>
        <w:t>’s</w:t>
      </w:r>
      <w:r w:rsidRPr="0006359B">
        <w:rPr>
          <w:rFonts w:cstheme="minorHAnsi"/>
        </w:rPr>
        <w:t xml:space="preserve"> Office</w:t>
      </w:r>
      <w:r>
        <w:rPr>
          <w:rFonts w:cstheme="minorHAnsi"/>
        </w:rPr>
        <w:t xml:space="preserve"> </w:t>
      </w:r>
      <w:r w:rsidR="009D0380">
        <w:rPr>
          <w:rFonts w:cstheme="minorHAnsi"/>
        </w:rPr>
        <w:t xml:space="preserve">on 3 August 2018, </w:t>
      </w:r>
      <w:r>
        <w:rPr>
          <w:rFonts w:cstheme="minorHAnsi"/>
        </w:rPr>
        <w:t>seeking</w:t>
      </w:r>
      <w:r w:rsidRPr="0006359B">
        <w:rPr>
          <w:rFonts w:cstheme="minorHAnsi"/>
        </w:rPr>
        <w:t xml:space="preserve"> clarification regarding the </w:t>
      </w:r>
      <w:r w:rsidR="004A0E4D">
        <w:rPr>
          <w:rFonts w:cstheme="minorHAnsi"/>
        </w:rPr>
        <w:t>OIA</w:t>
      </w:r>
      <w:r w:rsidRPr="0006359B">
        <w:rPr>
          <w:rFonts w:cstheme="minorHAnsi"/>
        </w:rPr>
        <w:t xml:space="preserve"> legislation and how it w</w:t>
      </w:r>
      <w:r w:rsidR="004A0E4D">
        <w:rPr>
          <w:rFonts w:cstheme="minorHAnsi"/>
        </w:rPr>
        <w:t>ould</w:t>
      </w:r>
      <w:r w:rsidRPr="0006359B">
        <w:rPr>
          <w:rFonts w:cstheme="minorHAnsi"/>
        </w:rPr>
        <w:t xml:space="preserve"> impact on the Review submission process. </w:t>
      </w:r>
      <w:r w:rsidR="00334EF1">
        <w:rPr>
          <w:rFonts w:cstheme="minorHAnsi"/>
        </w:rPr>
        <w:t xml:space="preserve">In response, </w:t>
      </w:r>
      <w:r w:rsidR="00AB5CEF">
        <w:rPr>
          <w:rFonts w:cstheme="minorHAnsi"/>
        </w:rPr>
        <w:t>t</w:t>
      </w:r>
      <w:r w:rsidR="00334EF1">
        <w:rPr>
          <w:rFonts w:cstheme="minorHAnsi"/>
        </w:rPr>
        <w:t>he Ombudsman</w:t>
      </w:r>
      <w:r w:rsidR="00AB5CEF">
        <w:rPr>
          <w:rFonts w:cstheme="minorHAnsi"/>
        </w:rPr>
        <w:t>’s</w:t>
      </w:r>
      <w:r w:rsidR="00334EF1">
        <w:rPr>
          <w:rFonts w:cstheme="minorHAnsi"/>
        </w:rPr>
        <w:t xml:space="preserve"> Office </w:t>
      </w:r>
      <w:r>
        <w:rPr>
          <w:rFonts w:cstheme="minorHAnsi"/>
        </w:rPr>
        <w:t>issue</w:t>
      </w:r>
      <w:r w:rsidR="00334EF1">
        <w:rPr>
          <w:rFonts w:cstheme="minorHAnsi"/>
        </w:rPr>
        <w:t>d</w:t>
      </w:r>
      <w:r>
        <w:rPr>
          <w:rFonts w:cstheme="minorHAnsi"/>
        </w:rPr>
        <w:t xml:space="preserve"> a position statement</w:t>
      </w:r>
      <w:r w:rsidR="00334EF1">
        <w:rPr>
          <w:rStyle w:val="FootnoteReference"/>
          <w:rFonts w:cstheme="minorHAnsi"/>
        </w:rPr>
        <w:footnoteReference w:id="7"/>
      </w:r>
      <w:r w:rsidR="00322DF8">
        <w:rPr>
          <w:rFonts w:cstheme="minorHAnsi"/>
        </w:rPr>
        <w:t xml:space="preserve"> </w:t>
      </w:r>
      <w:r w:rsidR="00AB5CEF">
        <w:rPr>
          <w:rFonts w:cstheme="minorHAnsi"/>
        </w:rPr>
        <w:t xml:space="preserve">which </w:t>
      </w:r>
      <w:r w:rsidR="008B625A" w:rsidRPr="008B625A">
        <w:rPr>
          <w:rFonts w:cstheme="minorHAnsi"/>
        </w:rPr>
        <w:t xml:space="preserve">made clear that submissions would fall under the </w:t>
      </w:r>
      <w:r w:rsidR="004A0E4D">
        <w:rPr>
          <w:rFonts w:cstheme="minorHAnsi"/>
        </w:rPr>
        <w:t>OIA</w:t>
      </w:r>
      <w:r w:rsidR="008B625A" w:rsidRPr="008B625A">
        <w:rPr>
          <w:rFonts w:cstheme="minorHAnsi"/>
        </w:rPr>
        <w:t xml:space="preserve"> and would therefore be subject to release if an application was made to that effect. The Review Panel included information </w:t>
      </w:r>
      <w:r w:rsidR="004A0E4D">
        <w:rPr>
          <w:rFonts w:cstheme="minorHAnsi"/>
        </w:rPr>
        <w:t xml:space="preserve">in their discussion document </w:t>
      </w:r>
      <w:r w:rsidR="008B625A" w:rsidRPr="008B625A">
        <w:rPr>
          <w:rFonts w:cstheme="minorHAnsi"/>
        </w:rPr>
        <w:t>warning that submissions would be classed as Official Information and that submitters should therefore</w:t>
      </w:r>
      <w:r w:rsidR="008B625A">
        <w:rPr>
          <w:rFonts w:cstheme="minorHAnsi"/>
        </w:rPr>
        <w:t xml:space="preserve"> </w:t>
      </w:r>
      <w:r w:rsidR="008B625A" w:rsidRPr="008B625A">
        <w:rPr>
          <w:rFonts w:cstheme="minorHAnsi"/>
        </w:rPr>
        <w:t xml:space="preserve">take care not to include any identifying information in their submissions, including </w:t>
      </w:r>
      <w:r w:rsidR="008B625A">
        <w:rPr>
          <w:rFonts w:cstheme="minorHAnsi"/>
        </w:rPr>
        <w:t>F</w:t>
      </w:r>
      <w:r w:rsidR="008B625A" w:rsidRPr="008B625A">
        <w:rPr>
          <w:rFonts w:cstheme="minorHAnsi"/>
        </w:rPr>
        <w:t>amily Court documentation</w:t>
      </w:r>
      <w:r w:rsidR="00AB5CEF">
        <w:rPr>
          <w:rFonts w:cstheme="minorHAnsi"/>
        </w:rPr>
        <w:t>.</w:t>
      </w:r>
      <w:r w:rsidR="008B625A" w:rsidRPr="008B625A">
        <w:rPr>
          <w:rFonts w:cstheme="minorHAnsi"/>
        </w:rPr>
        <w:t xml:space="preserve"> </w:t>
      </w:r>
      <w:r w:rsidR="00AB5CEF">
        <w:rPr>
          <w:rFonts w:cstheme="minorHAnsi"/>
        </w:rPr>
        <w:t xml:space="preserve">It said people should </w:t>
      </w:r>
      <w:r w:rsidR="008B625A" w:rsidRPr="008B625A">
        <w:rPr>
          <w:rFonts w:cstheme="minorHAnsi"/>
        </w:rPr>
        <w:t xml:space="preserve">outline in their submission any parts of </w:t>
      </w:r>
      <w:r w:rsidR="008B625A">
        <w:rPr>
          <w:rFonts w:cstheme="minorHAnsi"/>
        </w:rPr>
        <w:t>it</w:t>
      </w:r>
      <w:r w:rsidR="008B625A" w:rsidRPr="008B625A">
        <w:rPr>
          <w:rFonts w:cstheme="minorHAnsi"/>
        </w:rPr>
        <w:t xml:space="preserve"> they wish to remain confidential and the reasons why and the Ministry of Justice </w:t>
      </w:r>
      <w:r w:rsidR="008B625A" w:rsidRPr="00D8681F">
        <w:rPr>
          <w:rFonts w:cstheme="minorHAnsi"/>
          <w:i/>
        </w:rPr>
        <w:t>would take these views into account</w:t>
      </w:r>
      <w:r w:rsidR="008B625A" w:rsidRPr="008B625A">
        <w:rPr>
          <w:rFonts w:cstheme="minorHAnsi"/>
        </w:rPr>
        <w:t xml:space="preserve"> when </w:t>
      </w:r>
      <w:r w:rsidR="008A4436" w:rsidRPr="008B625A">
        <w:rPr>
          <w:rFonts w:cstheme="minorHAnsi"/>
        </w:rPr>
        <w:t>deciding</w:t>
      </w:r>
      <w:r w:rsidR="008B625A" w:rsidRPr="008B625A">
        <w:rPr>
          <w:rFonts w:cstheme="minorHAnsi"/>
        </w:rPr>
        <w:t xml:space="preserve"> on the release of submissions.</w:t>
      </w:r>
    </w:p>
    <w:p w14:paraId="6661A9FC" w14:textId="5E9BE527" w:rsidR="007B4526" w:rsidRDefault="00323B2A" w:rsidP="00343F06">
      <w:pPr>
        <w:spacing w:after="120"/>
      </w:pPr>
      <w:r>
        <w:rPr>
          <w:rFonts w:cstheme="minorHAnsi"/>
        </w:rPr>
        <w:t>However, i</w:t>
      </w:r>
      <w:r w:rsidR="00343F06">
        <w:rPr>
          <w:rFonts w:cstheme="minorHAnsi"/>
        </w:rPr>
        <w:t xml:space="preserve">n light of the </w:t>
      </w:r>
      <w:r w:rsidR="004A0E4D">
        <w:rPr>
          <w:rFonts w:cstheme="minorHAnsi"/>
        </w:rPr>
        <w:t xml:space="preserve">composition of the Panel and the </w:t>
      </w:r>
      <w:r w:rsidR="00343F06">
        <w:rPr>
          <w:rFonts w:cstheme="minorHAnsi"/>
        </w:rPr>
        <w:t xml:space="preserve">submission process </w:t>
      </w:r>
      <w:r w:rsidR="00343F06">
        <w:t>some victim survivors decided that the Review submission process was not safe for them and they could not participate.</w:t>
      </w:r>
      <w:r w:rsidR="00343F06" w:rsidRPr="00343F06">
        <w:rPr>
          <w:rStyle w:val="FootnoteReference"/>
        </w:rPr>
        <w:t xml:space="preserve"> </w:t>
      </w:r>
      <w:r w:rsidR="00343F06">
        <w:rPr>
          <w:rStyle w:val="FootnoteReference"/>
        </w:rPr>
        <w:footnoteReference w:id="8"/>
      </w:r>
      <w:r w:rsidR="00343F06">
        <w:t xml:space="preserve"> </w:t>
      </w:r>
      <w:r w:rsidR="00732568">
        <w:t>Backbone</w:t>
      </w:r>
      <w:r w:rsidR="00343F06">
        <w:t xml:space="preserve"> held concerns that the Review Panel report would be biased towards those who could safely submit (lawyers, mediators, </w:t>
      </w:r>
      <w:r w:rsidR="00732568">
        <w:t>psychologist</w:t>
      </w:r>
      <w:r w:rsidR="00D8681F">
        <w:t>s</w:t>
      </w:r>
      <w:r w:rsidR="00732568">
        <w:t xml:space="preserve">, </w:t>
      </w:r>
      <w:r w:rsidR="00343F06">
        <w:t xml:space="preserve">abusers etc.) </w:t>
      </w:r>
      <w:r w:rsidR="006B2C4D">
        <w:t>but</w:t>
      </w:r>
      <w:r w:rsidR="00343F06">
        <w:t xml:space="preserve"> lack victim-survivor input </w:t>
      </w:r>
      <w:r w:rsidR="006B2C4D">
        <w:t>thereby limiting the scope or effectiveness of</w:t>
      </w:r>
      <w:r w:rsidR="00343F06">
        <w:t xml:space="preserve"> </w:t>
      </w:r>
      <w:r w:rsidR="00D32BFD">
        <w:t>any</w:t>
      </w:r>
      <w:r w:rsidR="00343F06">
        <w:t xml:space="preserve"> recommendations</w:t>
      </w:r>
      <w:r w:rsidR="00732568">
        <w:t xml:space="preserve"> made</w:t>
      </w:r>
      <w:r w:rsidR="006B2C4D">
        <w:t>.</w:t>
      </w:r>
      <w:r w:rsidR="00D32BFD">
        <w:t xml:space="preserve"> </w:t>
      </w:r>
    </w:p>
    <w:p w14:paraId="1DB3039A" w14:textId="77777777" w:rsidR="003F3F19" w:rsidRDefault="003F3F19" w:rsidP="00343F06">
      <w:pPr>
        <w:spacing w:after="120"/>
      </w:pPr>
    </w:p>
    <w:p w14:paraId="4BC308FB" w14:textId="77777777" w:rsidR="00323B2A" w:rsidRPr="00733C98" w:rsidRDefault="00323B2A" w:rsidP="00733C98">
      <w:pPr>
        <w:pStyle w:val="Heading3"/>
        <w:shd w:val="clear" w:color="auto" w:fill="DDF0F2" w:themeFill="accent2" w:themeFillTint="33"/>
        <w:rPr>
          <w:b/>
          <w:color w:val="000000" w:themeColor="text1"/>
        </w:rPr>
      </w:pPr>
      <w:r w:rsidRPr="00733C98">
        <w:rPr>
          <w:b/>
          <w:color w:val="000000" w:themeColor="text1"/>
        </w:rPr>
        <w:lastRenderedPageBreak/>
        <w:t>Backbone attempted to improve the Review process</w:t>
      </w:r>
    </w:p>
    <w:p w14:paraId="143C5642" w14:textId="77777777" w:rsidR="00343F06" w:rsidRDefault="00D32BFD" w:rsidP="00343F06">
      <w:pPr>
        <w:spacing w:after="120"/>
      </w:pPr>
      <w:r>
        <w:t xml:space="preserve">Backbone </w:t>
      </w:r>
      <w:r w:rsidR="007B4526">
        <w:t xml:space="preserve">attempted to inform the Panel of the </w:t>
      </w:r>
      <w:proofErr w:type="gramStart"/>
      <w:r w:rsidR="007B4526">
        <w:t>issues</w:t>
      </w:r>
      <w:proofErr w:type="gramEnd"/>
      <w:r w:rsidR="007B4526">
        <w:t xml:space="preserve"> victim-survivors faced and </w:t>
      </w:r>
      <w:r>
        <w:t>undertook the following activities;</w:t>
      </w:r>
    </w:p>
    <w:p w14:paraId="69C5E9FB" w14:textId="77777777" w:rsidR="00D32BFD" w:rsidRDefault="00D32BFD" w:rsidP="00D32BFD">
      <w:pPr>
        <w:pStyle w:val="ListParagraph"/>
        <w:numPr>
          <w:ilvl w:val="0"/>
          <w:numId w:val="18"/>
        </w:numPr>
        <w:spacing w:after="120"/>
      </w:pPr>
      <w:r>
        <w:t>On 7 August 2018 Backbone wrote to the chair of the Panel referring her to the CEDAW recommendation 48(a), our paper for the Select Committee on why a Royal Commission of Inquiry was the only appropriate mechanism for fully investigating the Family Court and provided copies of our five reports about the Family Court.</w:t>
      </w:r>
    </w:p>
    <w:p w14:paraId="68AE3160" w14:textId="47DCAC01" w:rsidR="00D32BFD" w:rsidRDefault="00D32BFD" w:rsidP="00D32BFD">
      <w:pPr>
        <w:pStyle w:val="ListParagraph"/>
        <w:numPr>
          <w:ilvl w:val="0"/>
          <w:numId w:val="18"/>
        </w:numPr>
        <w:spacing w:after="120"/>
      </w:pPr>
      <w:r>
        <w:t>We suggested a family violence expert be added to the Panel.</w:t>
      </w:r>
      <w:r w:rsidR="00B80169">
        <w:rPr>
          <w:rStyle w:val="FootnoteReference"/>
        </w:rPr>
        <w:footnoteReference w:id="9"/>
      </w:r>
    </w:p>
    <w:p w14:paraId="7DA91EFD" w14:textId="77777777" w:rsidR="00D32BFD" w:rsidRDefault="00D32BFD" w:rsidP="00D32BFD">
      <w:pPr>
        <w:pStyle w:val="ListParagraph"/>
        <w:numPr>
          <w:ilvl w:val="0"/>
          <w:numId w:val="18"/>
        </w:numPr>
        <w:spacing w:after="120"/>
      </w:pPr>
      <w:r>
        <w:t>We raised concerns about the safety of the submission process with the Panel and with the Ombudsman’s Office.</w:t>
      </w:r>
    </w:p>
    <w:p w14:paraId="5C16DE6C" w14:textId="77777777" w:rsidR="00D32BFD" w:rsidRPr="00D32BFD" w:rsidRDefault="00D32BFD" w:rsidP="00A03461">
      <w:pPr>
        <w:pStyle w:val="ListParagraph"/>
        <w:numPr>
          <w:ilvl w:val="0"/>
          <w:numId w:val="18"/>
        </w:numPr>
        <w:spacing w:after="120"/>
        <w:rPr>
          <w:rFonts w:cstheme="minorHAnsi"/>
        </w:rPr>
      </w:pPr>
      <w:r>
        <w:t>We prepared a list of 24 questions for the Panel to gather more information about the</w:t>
      </w:r>
      <w:r w:rsidRPr="00D32BFD">
        <w:rPr>
          <w:rFonts w:cstheme="minorHAnsi"/>
        </w:rPr>
        <w:t xml:space="preserve"> safety of information, scope of participation and transparency</w:t>
      </w:r>
      <w:r>
        <w:t xml:space="preserve"> of the Review to inform victim-survivors.</w:t>
      </w:r>
      <w:r>
        <w:rPr>
          <w:rStyle w:val="FootnoteReference"/>
        </w:rPr>
        <w:footnoteReference w:id="10"/>
      </w:r>
    </w:p>
    <w:p w14:paraId="745FC1A7" w14:textId="77777777" w:rsidR="00D32BFD" w:rsidRDefault="007B4D73" w:rsidP="00A03461">
      <w:pPr>
        <w:pStyle w:val="ListParagraph"/>
        <w:numPr>
          <w:ilvl w:val="0"/>
          <w:numId w:val="18"/>
        </w:numPr>
        <w:spacing w:after="120"/>
        <w:rPr>
          <w:rFonts w:cstheme="minorHAnsi"/>
        </w:rPr>
      </w:pPr>
      <w:r w:rsidRPr="00D32BFD">
        <w:rPr>
          <w:rFonts w:cstheme="minorHAnsi"/>
        </w:rPr>
        <w:t>Backbone prepared material to help victim-survivors understand the review process and the issues and risks involved in making submissions.</w:t>
      </w:r>
      <w:r>
        <w:rPr>
          <w:rStyle w:val="FootnoteReference"/>
          <w:rFonts w:cstheme="minorHAnsi"/>
        </w:rPr>
        <w:footnoteReference w:id="11"/>
      </w:r>
      <w:r w:rsidRPr="00D32BFD">
        <w:rPr>
          <w:rFonts w:cstheme="minorHAnsi"/>
        </w:rPr>
        <w:t xml:space="preserve"> </w:t>
      </w:r>
    </w:p>
    <w:p w14:paraId="18951D81" w14:textId="77777777" w:rsidR="00C3651E" w:rsidRPr="00C3651E" w:rsidRDefault="00D32BFD" w:rsidP="00185AE2">
      <w:pPr>
        <w:pStyle w:val="ListParagraph"/>
        <w:numPr>
          <w:ilvl w:val="0"/>
          <w:numId w:val="18"/>
        </w:numPr>
        <w:spacing w:after="120"/>
        <w:rPr>
          <w:lang w:eastAsia="en-NZ"/>
        </w:rPr>
      </w:pPr>
      <w:r w:rsidRPr="00C3651E">
        <w:rPr>
          <w:rFonts w:cstheme="minorHAnsi"/>
        </w:rPr>
        <w:t>We made</w:t>
      </w:r>
      <w:r w:rsidR="00816B1D" w:rsidRPr="00C3651E">
        <w:rPr>
          <w:rFonts w:cstheme="minorHAnsi"/>
        </w:rPr>
        <w:t xml:space="preserve"> two in-person submissions and one written submission </w:t>
      </w:r>
      <w:r w:rsidR="004F596D" w:rsidRPr="00C3651E">
        <w:rPr>
          <w:rFonts w:cstheme="minorHAnsi"/>
        </w:rPr>
        <w:t>describing</w:t>
      </w:r>
      <w:r w:rsidR="00816B1D" w:rsidRPr="00C3651E">
        <w:rPr>
          <w:rFonts w:cstheme="minorHAnsi"/>
        </w:rPr>
        <w:t xml:space="preserve"> the issues that hundreds of New Zealand women had shared with us about the systemic failure of the Family Court to respond appropriately and safely to cases where violence and abuse is alleged or confirmed.</w:t>
      </w:r>
      <w:r w:rsidR="00816B1D">
        <w:rPr>
          <w:rStyle w:val="FootnoteReference"/>
          <w:rFonts w:cstheme="minorHAnsi"/>
        </w:rPr>
        <w:footnoteReference w:id="12"/>
      </w:r>
      <w:r w:rsidR="00816B1D" w:rsidRPr="00C3651E">
        <w:rPr>
          <w:rFonts w:cstheme="minorHAnsi"/>
        </w:rPr>
        <w:t xml:space="preserve">  </w:t>
      </w:r>
    </w:p>
    <w:p w14:paraId="414E1C0B" w14:textId="4FCE333E" w:rsidR="0048463E" w:rsidRDefault="00AF49B0" w:rsidP="00C53EF7">
      <w:pPr>
        <w:pStyle w:val="ListParagraph"/>
        <w:numPr>
          <w:ilvl w:val="0"/>
          <w:numId w:val="18"/>
        </w:numPr>
        <w:spacing w:after="120"/>
      </w:pPr>
      <w:r w:rsidRPr="0048463E">
        <w:rPr>
          <w:rFonts w:cstheme="minorHAnsi"/>
        </w:rPr>
        <w:t xml:space="preserve">Backbone </w:t>
      </w:r>
      <w:r w:rsidR="00C3651E" w:rsidRPr="0048463E">
        <w:rPr>
          <w:rFonts w:cstheme="minorHAnsi"/>
        </w:rPr>
        <w:t>gathered</w:t>
      </w:r>
      <w:r w:rsidRPr="0048463E">
        <w:rPr>
          <w:rFonts w:cstheme="minorHAnsi"/>
        </w:rPr>
        <w:t xml:space="preserve"> </w:t>
      </w:r>
      <w:r w:rsidR="00C3651E" w:rsidRPr="0048463E">
        <w:rPr>
          <w:rFonts w:cstheme="minorHAnsi"/>
        </w:rPr>
        <w:t xml:space="preserve">submissions </w:t>
      </w:r>
      <w:r w:rsidRPr="0048463E">
        <w:rPr>
          <w:rFonts w:cstheme="minorHAnsi"/>
        </w:rPr>
        <w:t xml:space="preserve">from 42 children and young people and collated these </w:t>
      </w:r>
      <w:r w:rsidR="00C3651E" w:rsidRPr="0048463E">
        <w:rPr>
          <w:rFonts w:cstheme="minorHAnsi"/>
        </w:rPr>
        <w:t>and</w:t>
      </w:r>
      <w:r w:rsidRPr="0048463E">
        <w:rPr>
          <w:rFonts w:cstheme="minorHAnsi"/>
        </w:rPr>
        <w:t xml:space="preserve"> shared </w:t>
      </w:r>
      <w:r w:rsidR="00C3651E" w:rsidRPr="0048463E">
        <w:rPr>
          <w:rFonts w:cstheme="minorHAnsi"/>
        </w:rPr>
        <w:t xml:space="preserve">them </w:t>
      </w:r>
      <w:r w:rsidRPr="0048463E">
        <w:rPr>
          <w:rFonts w:cstheme="minorHAnsi"/>
        </w:rPr>
        <w:t>with the panel. In those submission</w:t>
      </w:r>
      <w:r w:rsidR="006B2C4D" w:rsidRPr="0048463E">
        <w:rPr>
          <w:rFonts w:cstheme="minorHAnsi"/>
        </w:rPr>
        <w:t>s</w:t>
      </w:r>
      <w:r w:rsidRPr="0048463E">
        <w:rPr>
          <w:rFonts w:cstheme="minorHAnsi"/>
        </w:rPr>
        <w:t xml:space="preserve"> the children</w:t>
      </w:r>
      <w:r w:rsidR="006B2C4D" w:rsidRPr="0048463E">
        <w:rPr>
          <w:rFonts w:cstheme="minorHAnsi"/>
        </w:rPr>
        <w:t>,</w:t>
      </w:r>
      <w:r w:rsidRPr="0048463E">
        <w:rPr>
          <w:rFonts w:cstheme="minorHAnsi"/>
        </w:rPr>
        <w:t xml:space="preserve"> </w:t>
      </w:r>
      <w:r w:rsidR="00343F06" w:rsidRPr="0048463E">
        <w:rPr>
          <w:rFonts w:cstheme="minorHAnsi"/>
        </w:rPr>
        <w:t xml:space="preserve">who </w:t>
      </w:r>
      <w:r w:rsidR="00343F06" w:rsidRPr="00817C5B">
        <w:rPr>
          <w:lang w:eastAsia="en-NZ"/>
        </w:rPr>
        <w:t>had all experienced violence and abuse</w:t>
      </w:r>
      <w:r w:rsidR="00D8681F">
        <w:rPr>
          <w:lang w:eastAsia="en-NZ"/>
        </w:rPr>
        <w:t xml:space="preserve">, </w:t>
      </w:r>
      <w:r w:rsidR="009920D4">
        <w:rPr>
          <w:lang w:eastAsia="en-NZ"/>
        </w:rPr>
        <w:t>explained</w:t>
      </w:r>
      <w:r w:rsidR="00343F06">
        <w:rPr>
          <w:lang w:eastAsia="en-NZ"/>
        </w:rPr>
        <w:t xml:space="preserve"> </w:t>
      </w:r>
      <w:r w:rsidR="003F3F19">
        <w:rPr>
          <w:lang w:eastAsia="en-NZ"/>
        </w:rPr>
        <w:t xml:space="preserve">a range of experiences including </w:t>
      </w:r>
      <w:r w:rsidR="00343F06">
        <w:rPr>
          <w:lang w:eastAsia="en-NZ"/>
        </w:rPr>
        <w:t>that their involvement in the Family Court had made them less safe</w:t>
      </w:r>
      <w:r w:rsidR="00816B1D">
        <w:rPr>
          <w:lang w:eastAsia="en-NZ"/>
        </w:rPr>
        <w:t xml:space="preserve"> and </w:t>
      </w:r>
      <w:r w:rsidR="00343F06">
        <w:rPr>
          <w:lang w:eastAsia="en-NZ"/>
        </w:rPr>
        <w:t xml:space="preserve">had a harmful impact on their childhood, they </w:t>
      </w:r>
      <w:r w:rsidR="006B2C4D">
        <w:rPr>
          <w:lang w:eastAsia="en-NZ"/>
        </w:rPr>
        <w:t xml:space="preserve">felt they </w:t>
      </w:r>
      <w:r w:rsidR="00343F06">
        <w:rPr>
          <w:lang w:eastAsia="en-NZ"/>
        </w:rPr>
        <w:t xml:space="preserve">had not been listened to or believed, their views were not accurately reported to the Court, </w:t>
      </w:r>
      <w:r w:rsidR="0048463E">
        <w:rPr>
          <w:lang w:eastAsia="en-NZ"/>
        </w:rPr>
        <w:t>and professionals do not</w:t>
      </w:r>
      <w:r w:rsidR="00343F06">
        <w:rPr>
          <w:lang w:eastAsia="en-NZ"/>
        </w:rPr>
        <w:t xml:space="preserve"> understand the risks they faced</w:t>
      </w:r>
      <w:r w:rsidR="0048463E">
        <w:rPr>
          <w:lang w:eastAsia="en-NZ"/>
        </w:rPr>
        <w:t xml:space="preserve">. </w:t>
      </w:r>
    </w:p>
    <w:p w14:paraId="3490B1CF" w14:textId="77777777" w:rsidR="003F3F19" w:rsidRDefault="003F3F19" w:rsidP="003F3F19">
      <w:pPr>
        <w:pStyle w:val="ListParagraph"/>
        <w:spacing w:after="120"/>
      </w:pPr>
    </w:p>
    <w:p w14:paraId="3F6EF100" w14:textId="39A276BD" w:rsidR="00F84C11" w:rsidRPr="00733C98" w:rsidRDefault="0045698E" w:rsidP="00733C98">
      <w:pPr>
        <w:pStyle w:val="Heading3"/>
        <w:shd w:val="clear" w:color="auto" w:fill="DDF0F2" w:themeFill="accent2" w:themeFillTint="33"/>
        <w:rPr>
          <w:b/>
          <w:color w:val="000000" w:themeColor="text1"/>
        </w:rPr>
      </w:pPr>
      <w:r w:rsidRPr="00733C98">
        <w:rPr>
          <w:b/>
          <w:color w:val="000000" w:themeColor="text1"/>
        </w:rPr>
        <w:t>The Review Panel report</w:t>
      </w:r>
      <w:r w:rsidR="00D8681F" w:rsidRPr="00733C98">
        <w:rPr>
          <w:b/>
          <w:color w:val="000000" w:themeColor="text1"/>
        </w:rPr>
        <w:t>s</w:t>
      </w:r>
      <w:r w:rsidRPr="00733C98">
        <w:rPr>
          <w:b/>
          <w:color w:val="000000" w:themeColor="text1"/>
        </w:rPr>
        <w:t xml:space="preserve"> do not address the issues victim-survivors experience in the Family Court</w:t>
      </w:r>
    </w:p>
    <w:p w14:paraId="1E205981" w14:textId="3D0310A6" w:rsidR="00323B2A" w:rsidRDefault="00323B2A" w:rsidP="00323B2A">
      <w:r>
        <w:t>In January 2019</w:t>
      </w:r>
      <w:r w:rsidR="003F3F19">
        <w:t>,</w:t>
      </w:r>
      <w:r>
        <w:t xml:space="preserve"> a draft discussion report based on the submissions made to the Panel was released publicly which included some proposed recommendations.</w:t>
      </w:r>
      <w:r>
        <w:rPr>
          <w:rStyle w:val="FootnoteReference"/>
        </w:rPr>
        <w:footnoteReference w:id="13"/>
      </w:r>
      <w:r>
        <w:t xml:space="preserve">  Backbone was extremely concerned that the document lacked any analysis or recommendations that would respond to the issues for women and children who are victim-survivors of family violence. In early February 2019, we met in </w:t>
      </w:r>
      <w:r>
        <w:lastRenderedPageBreak/>
        <w:t>person with the Panel and articulated those concerns. In</w:t>
      </w:r>
      <w:r w:rsidRPr="006043A9">
        <w:t xml:space="preserve"> our oral submission we reiterated the need for</w:t>
      </w:r>
      <w:r w:rsidR="0048463E">
        <w:t xml:space="preserve"> a specialist, separate response to cases where violence and abuse has been alleged or confirmed.</w:t>
      </w:r>
      <w:r>
        <w:t xml:space="preserve"> </w:t>
      </w:r>
    </w:p>
    <w:p w14:paraId="1DD127C0" w14:textId="77777777" w:rsidR="006043A9" w:rsidRDefault="00306077" w:rsidP="00F84C11">
      <w:r>
        <w:t xml:space="preserve">The Panel’s </w:t>
      </w:r>
      <w:r w:rsidR="00542D0D">
        <w:t>final r</w:t>
      </w:r>
      <w:r w:rsidR="00F84C11">
        <w:t xml:space="preserve">eport </w:t>
      </w:r>
      <w:r w:rsidR="00542D0D" w:rsidRPr="00542D0D">
        <w:rPr>
          <w:i/>
        </w:rPr>
        <w:t>Te Korowai Ture ā-Whānau: The final report of the Independent Panel examining the 2014 family justice reforms</w:t>
      </w:r>
      <w:r w:rsidR="00542D0D">
        <w:rPr>
          <w:rStyle w:val="FootnoteReference"/>
          <w:i/>
        </w:rPr>
        <w:footnoteReference w:id="14"/>
      </w:r>
      <w:r w:rsidR="00542D0D">
        <w:rPr>
          <w:i/>
        </w:rPr>
        <w:t xml:space="preserve">, </w:t>
      </w:r>
      <w:r w:rsidR="00542D0D" w:rsidRPr="00542D0D">
        <w:t xml:space="preserve">was </w:t>
      </w:r>
      <w:r w:rsidR="00F84C11" w:rsidRPr="00542D0D">
        <w:t>r</w:t>
      </w:r>
      <w:r w:rsidR="00F84C11">
        <w:t xml:space="preserve">eleased </w:t>
      </w:r>
      <w:r w:rsidR="00542D0D">
        <w:t xml:space="preserve">publicly </w:t>
      </w:r>
      <w:r>
        <w:t xml:space="preserve">on </w:t>
      </w:r>
      <w:r w:rsidR="00F84C11">
        <w:t>16 June 2019</w:t>
      </w:r>
      <w:r>
        <w:t>.</w:t>
      </w:r>
      <w:r w:rsidR="0038245F" w:rsidRPr="0038245F">
        <w:t xml:space="preserve"> </w:t>
      </w:r>
    </w:p>
    <w:p w14:paraId="688ADFEB" w14:textId="4D5979B6" w:rsidR="00F7742A" w:rsidRDefault="00A52CF3" w:rsidP="00FC520D">
      <w:r w:rsidRPr="00A52CF3">
        <w:t xml:space="preserve">The Report </w:t>
      </w:r>
      <w:r w:rsidR="00AB5CEF">
        <w:t xml:space="preserve">contains </w:t>
      </w:r>
      <w:r w:rsidRPr="00A52CF3">
        <w:t xml:space="preserve">a wide range of recommendations. We accept that if implemented, the </w:t>
      </w:r>
      <w:r w:rsidR="00F208BE">
        <w:t xml:space="preserve">Family </w:t>
      </w:r>
      <w:r w:rsidRPr="00A52CF3">
        <w:t>Court will likely be more efficient and effective for the straightforward cases</w:t>
      </w:r>
      <w:r w:rsidR="00F208BE">
        <w:t xml:space="preserve"> that </w:t>
      </w:r>
      <w:r w:rsidR="00F208BE" w:rsidRPr="007B4526">
        <w:rPr>
          <w:b/>
        </w:rPr>
        <w:t>do not</w:t>
      </w:r>
      <w:r w:rsidR="00F208BE">
        <w:t xml:space="preserve"> involve </w:t>
      </w:r>
      <w:r w:rsidR="00487DB9">
        <w:t>family violence</w:t>
      </w:r>
      <w:r w:rsidRPr="00A52CF3">
        <w:t>.</w:t>
      </w:r>
      <w:r w:rsidR="0048463E">
        <w:t xml:space="preserve">  </w:t>
      </w:r>
      <w:r w:rsidR="00323B2A">
        <w:t xml:space="preserve">However, </w:t>
      </w:r>
      <w:r w:rsidR="0048463E">
        <w:t>the Panel’s recommendations</w:t>
      </w:r>
      <w:r w:rsidR="00BF1CA5">
        <w:t xml:space="preserve"> </w:t>
      </w:r>
      <w:r w:rsidR="0048463E">
        <w:t xml:space="preserve">will not address the most central issue for victim-survivors – the culture and operation of the Family Court or the </w:t>
      </w:r>
      <w:r w:rsidR="0048463E" w:rsidRPr="00A52CF3">
        <w:t xml:space="preserve">wide-ranging failures in the Family Court that Backbone has reported in the past </w:t>
      </w:r>
      <w:r w:rsidR="0048463E">
        <w:t xml:space="preserve">three and a half </w:t>
      </w:r>
      <w:r w:rsidR="0048463E" w:rsidRPr="00A52CF3">
        <w:t>years</w:t>
      </w:r>
      <w:r w:rsidR="00F7742A">
        <w:t xml:space="preserve"> (including the lack of monitoring or accountability for those working in the Court</w:t>
      </w:r>
      <w:r w:rsidR="009920D4">
        <w:t xml:space="preserve">, </w:t>
      </w:r>
      <w:r w:rsidR="00F7742A">
        <w:t xml:space="preserve">a lack of </w:t>
      </w:r>
      <w:r w:rsidR="009920D4">
        <w:t>a</w:t>
      </w:r>
      <w:r w:rsidR="00F7742A">
        <w:t xml:space="preserve"> family violence lens</w:t>
      </w:r>
      <w:r w:rsidR="005D0491">
        <w:t xml:space="preserve"> to view cases through, </w:t>
      </w:r>
      <w:r w:rsidR="00480176">
        <w:t xml:space="preserve">and </w:t>
      </w:r>
      <w:r w:rsidR="005D0491">
        <w:t>the use of parental alienation accusations by those working in the court)</w:t>
      </w:r>
      <w:r w:rsidR="0048463E" w:rsidRPr="00A52CF3">
        <w:t>.</w:t>
      </w:r>
      <w:r w:rsidR="0048463E">
        <w:t xml:space="preserve"> </w:t>
      </w:r>
    </w:p>
    <w:p w14:paraId="159D7CFF" w14:textId="70EE6DAD" w:rsidR="00F7742A" w:rsidRDefault="0048463E" w:rsidP="0048463E">
      <w:r>
        <w:t>R</w:t>
      </w:r>
      <w:r w:rsidRPr="00A52CF3">
        <w:t xml:space="preserve">ecommendations 17-24 </w:t>
      </w:r>
      <w:r w:rsidR="00F7742A">
        <w:t xml:space="preserve">in the final report, which </w:t>
      </w:r>
      <w:r w:rsidRPr="00A52CF3">
        <w:t>deal specifically with ‘</w:t>
      </w:r>
      <w:r w:rsidR="003F3F19">
        <w:t>f</w:t>
      </w:r>
      <w:r w:rsidRPr="00A52CF3">
        <w:t xml:space="preserve">amily </w:t>
      </w:r>
      <w:r w:rsidR="003F3F19">
        <w:t>v</w:t>
      </w:r>
      <w:r w:rsidRPr="00A52CF3">
        <w:t>iolence and children’s safety</w:t>
      </w:r>
      <w:r w:rsidR="00F7742A">
        <w:t>,</w:t>
      </w:r>
      <w:r w:rsidRPr="00A52CF3">
        <w:t xml:space="preserve">’ fall well short in adequately addressing the </w:t>
      </w:r>
      <w:r w:rsidR="00F7742A">
        <w:t>issues of safety or justice that Backbone</w:t>
      </w:r>
      <w:r w:rsidRPr="00F208BE">
        <w:t xml:space="preserve"> and many individual women raised with the Review Panel.</w:t>
      </w:r>
      <w:r>
        <w:rPr>
          <w:rStyle w:val="FootnoteReference"/>
        </w:rPr>
        <w:footnoteReference w:id="15"/>
      </w:r>
      <w:r w:rsidRPr="00F208BE">
        <w:t xml:space="preserve"> </w:t>
      </w:r>
      <w:r>
        <w:t xml:space="preserve"> </w:t>
      </w:r>
      <w:r w:rsidR="005D0491">
        <w:t xml:space="preserve">Backbone is concerned that many of the recommendations are severely limited by the current culture of the Court which will prevent them being successfully realised and furthermore, some of the recommendations could be dangerous in cases of family violence. </w:t>
      </w:r>
      <w:r w:rsidR="00802671">
        <w:t>Backbone can supply</w:t>
      </w:r>
      <w:r w:rsidR="00BF1CA5">
        <w:t xml:space="preserve"> more detail about the </w:t>
      </w:r>
      <w:r w:rsidR="00786ED5">
        <w:t xml:space="preserve">Panel’s </w:t>
      </w:r>
      <w:r w:rsidR="00BF1CA5">
        <w:t>recommendations</w:t>
      </w:r>
      <w:r w:rsidR="00786ED5">
        <w:t xml:space="preserve"> and the constraints on them in the current context</w:t>
      </w:r>
      <w:r w:rsidR="00802671">
        <w:t xml:space="preserve"> if required</w:t>
      </w:r>
      <w:r w:rsidR="00BF1CA5">
        <w:t>.</w:t>
      </w:r>
    </w:p>
    <w:p w14:paraId="014A4FB3" w14:textId="3DD81B7A" w:rsidR="00480176" w:rsidRDefault="00480176" w:rsidP="00480176">
      <w:r>
        <w:t>It is critical that the culture of the court is investigated and remedied, otherwise any recommended tweaks to existing legislation or regulations will make little impact. A recent Inquiry into the Family Law system in the United Kingdom has resulted in a report and implementation plan that, in contrast to New Zealand’s Review of the Family Court Reforms of 2014, focus on the culture of the court as the primary concern to ensure victims of domestic abuse are made safer.</w:t>
      </w:r>
      <w:r>
        <w:rPr>
          <w:rStyle w:val="FootnoteReference"/>
        </w:rPr>
        <w:footnoteReference w:id="16"/>
      </w:r>
    </w:p>
    <w:p w14:paraId="55E7AE19" w14:textId="097102C7" w:rsidR="00480176" w:rsidRDefault="00480176" w:rsidP="00480176">
      <w:r>
        <w:t xml:space="preserve">The </w:t>
      </w:r>
      <w:r w:rsidR="003F3F19">
        <w:t xml:space="preserve">NZ panel </w:t>
      </w:r>
      <w:r>
        <w:t xml:space="preserve">report recommends two advisory groups be appointed, one a ministerial group and one for children however, there is no mention of an advisory group for victim-survivors of family violence. </w:t>
      </w:r>
    </w:p>
    <w:p w14:paraId="26EE741B" w14:textId="124F0A8E" w:rsidR="005D0491" w:rsidRDefault="00786ED5" w:rsidP="0048463E">
      <w:r>
        <w:t xml:space="preserve">Backbone </w:t>
      </w:r>
      <w:r w:rsidR="00733C98">
        <w:t>believes</w:t>
      </w:r>
      <w:r>
        <w:t xml:space="preserve"> that </w:t>
      </w:r>
      <w:r w:rsidR="00567885">
        <w:t xml:space="preserve">the Review Panel needed to recommend </w:t>
      </w:r>
      <w:r w:rsidR="00733C98">
        <w:t xml:space="preserve">the following </w:t>
      </w:r>
      <w:r w:rsidR="00567885">
        <w:t>to help victim-survivors be safer</w:t>
      </w:r>
      <w:r>
        <w:t>:</w:t>
      </w:r>
    </w:p>
    <w:p w14:paraId="54DC8479" w14:textId="1F393296" w:rsidR="00567885" w:rsidRDefault="00567885" w:rsidP="00567885">
      <w:pPr>
        <w:pStyle w:val="ListParagraph"/>
        <w:numPr>
          <w:ilvl w:val="0"/>
          <w:numId w:val="10"/>
        </w:numPr>
      </w:pPr>
      <w:r>
        <w:t xml:space="preserve">All </w:t>
      </w:r>
      <w:r w:rsidR="00480176">
        <w:t>Family C</w:t>
      </w:r>
      <w:r>
        <w:t>ourt cases to be screened for family violence at application stage.</w:t>
      </w:r>
    </w:p>
    <w:p w14:paraId="00ECA576" w14:textId="22728C40" w:rsidR="00567885" w:rsidRDefault="00567885" w:rsidP="00567885">
      <w:pPr>
        <w:pStyle w:val="ListParagraph"/>
        <w:numPr>
          <w:ilvl w:val="0"/>
          <w:numId w:val="10"/>
        </w:numPr>
      </w:pPr>
      <w:r>
        <w:t>A</w:t>
      </w:r>
      <w:r w:rsidRPr="00D252BF">
        <w:t xml:space="preserve"> separate pathway for </w:t>
      </w:r>
      <w:r>
        <w:t>family violence</w:t>
      </w:r>
      <w:r w:rsidRPr="00D252BF">
        <w:t xml:space="preserve"> cases as a matter of urgency</w:t>
      </w:r>
      <w:r>
        <w:t>.</w:t>
      </w:r>
      <w:r>
        <w:rPr>
          <w:rStyle w:val="FootnoteReference"/>
        </w:rPr>
        <w:footnoteReference w:id="17"/>
      </w:r>
      <w:r>
        <w:t xml:space="preserve"> </w:t>
      </w:r>
    </w:p>
    <w:p w14:paraId="11944C01" w14:textId="251E20AB" w:rsidR="00567885" w:rsidRDefault="00567885" w:rsidP="00567885">
      <w:pPr>
        <w:pStyle w:val="ListParagraph"/>
        <w:numPr>
          <w:ilvl w:val="0"/>
          <w:numId w:val="10"/>
        </w:numPr>
      </w:pPr>
      <w:r>
        <w:lastRenderedPageBreak/>
        <w:t xml:space="preserve">Independent family violence specialists for adults and children to provide </w:t>
      </w:r>
      <w:r w:rsidR="006F038B">
        <w:t xml:space="preserve">risk </w:t>
      </w:r>
      <w:r>
        <w:t>assessments to the court</w:t>
      </w:r>
      <w:r w:rsidR="006F038B">
        <w:t xml:space="preserve"> who are skilled in intimate partner violence, child abuse, child development and trauma and Tikanga Maori</w:t>
      </w:r>
      <w:r>
        <w:t>.</w:t>
      </w:r>
    </w:p>
    <w:p w14:paraId="28CE409B" w14:textId="2C09D1BD" w:rsidR="00567885" w:rsidRDefault="00567885" w:rsidP="00567885">
      <w:pPr>
        <w:pStyle w:val="ListParagraph"/>
        <w:numPr>
          <w:ilvl w:val="0"/>
          <w:numId w:val="10"/>
        </w:numPr>
      </w:pPr>
      <w:r>
        <w:t>The use of parental alienation accusations to be prohibited as recommended by CEDAW.</w:t>
      </w:r>
    </w:p>
    <w:p w14:paraId="0FC01262" w14:textId="123CADF1" w:rsidR="006F038B" w:rsidRDefault="006F038B" w:rsidP="00567885">
      <w:pPr>
        <w:pStyle w:val="ListParagraph"/>
        <w:numPr>
          <w:ilvl w:val="0"/>
          <w:numId w:val="10"/>
        </w:numPr>
      </w:pPr>
      <w:r>
        <w:t>An independent organisation be established that is tasked with monitoring the response to family violence</w:t>
      </w:r>
      <w:r w:rsidR="00480176">
        <w:t xml:space="preserve"> and child protection</w:t>
      </w:r>
      <w:r>
        <w:t xml:space="preserve"> cases in the Family Court.</w:t>
      </w:r>
    </w:p>
    <w:p w14:paraId="16868C22" w14:textId="26C5CB5B" w:rsidR="005D0491" w:rsidRDefault="00567885" w:rsidP="00FA04C4">
      <w:pPr>
        <w:pStyle w:val="ListParagraph"/>
        <w:numPr>
          <w:ilvl w:val="0"/>
          <w:numId w:val="10"/>
        </w:numPr>
      </w:pPr>
      <w:r>
        <w:t>T</w:t>
      </w:r>
      <w:r w:rsidRPr="00D252BF">
        <w:t>he special rapporteur</w:t>
      </w:r>
      <w:r>
        <w:t xml:space="preserve"> to</w:t>
      </w:r>
      <w:r w:rsidRPr="00D252BF">
        <w:t xml:space="preserve"> </w:t>
      </w:r>
      <w:r>
        <w:t>visit</w:t>
      </w:r>
      <w:r w:rsidRPr="00D252BF">
        <w:t xml:space="preserve"> and investigate as recommended by CEDAW and/or that there be </w:t>
      </w:r>
      <w:r>
        <w:t xml:space="preserve">a </w:t>
      </w:r>
      <w:r w:rsidRPr="00D252BF">
        <w:t xml:space="preserve">Royal Commission of Inquiry into </w:t>
      </w:r>
      <w:r>
        <w:t>t</w:t>
      </w:r>
      <w:r w:rsidRPr="00D252BF">
        <w:t>h</w:t>
      </w:r>
      <w:r>
        <w:t>e</w:t>
      </w:r>
      <w:r w:rsidRPr="00D252BF">
        <w:t xml:space="preserve"> Family Court</w:t>
      </w:r>
      <w:r>
        <w:t>.</w:t>
      </w:r>
    </w:p>
    <w:p w14:paraId="78828ACB" w14:textId="77777777" w:rsidR="00514C8E" w:rsidRDefault="006043A9" w:rsidP="00514C8E">
      <w:pPr>
        <w:spacing w:before="100" w:beforeAutospacing="1" w:after="100" w:afterAutospacing="1"/>
      </w:pPr>
      <w:r>
        <w:t xml:space="preserve">Backbone heard from women victim-survivors who were devastated by the failure of the Review Panel’s report to address the failings of the Family Court to keep them and their children safe. </w:t>
      </w:r>
    </w:p>
    <w:p w14:paraId="431394D8" w14:textId="4F8453D9" w:rsidR="00501311" w:rsidRPr="006043A9" w:rsidRDefault="00501311" w:rsidP="00501311">
      <w:pPr>
        <w:spacing w:after="0"/>
        <w:rPr>
          <w:i/>
        </w:rPr>
      </w:pPr>
      <w:r w:rsidRPr="006043A9">
        <w:rPr>
          <w:i/>
        </w:rPr>
        <w:t>“It’s like that report was done to shut down the victims’ voice, because before that we were gaining some traction on people listening, with the UN report. But now the Noonan</w:t>
      </w:r>
      <w:r w:rsidR="003F3F19">
        <w:rPr>
          <w:rStyle w:val="FootnoteReference"/>
          <w:i/>
        </w:rPr>
        <w:footnoteReference w:id="18"/>
      </w:r>
      <w:r w:rsidRPr="006043A9">
        <w:rPr>
          <w:i/>
        </w:rPr>
        <w:t xml:space="preserve"> report has come out it’s basically said ‘oh there are some efficiency issues we could improve upon, but as far as domestic violence goes it’s not really as bad as all that.</w:t>
      </w:r>
      <w:r w:rsidR="00691A6D">
        <w:rPr>
          <w:i/>
        </w:rPr>
        <w:t>’</w:t>
      </w:r>
      <w:r w:rsidRPr="006043A9">
        <w:rPr>
          <w:i/>
        </w:rPr>
        <w:t xml:space="preserve">” </w:t>
      </w:r>
    </w:p>
    <w:p w14:paraId="6141E920" w14:textId="04BCA75D" w:rsidR="00501311" w:rsidRPr="006043A9" w:rsidRDefault="00501311" w:rsidP="00501311">
      <w:pPr>
        <w:rPr>
          <w:i/>
        </w:rPr>
      </w:pPr>
      <w:r w:rsidRPr="006043A9">
        <w:rPr>
          <w:i/>
        </w:rPr>
        <w:t xml:space="preserve">— NZ woman who is a victim/survivor of </w:t>
      </w:r>
      <w:r w:rsidR="00487DB9">
        <w:rPr>
          <w:i/>
        </w:rPr>
        <w:t>family violence</w:t>
      </w:r>
      <w:r w:rsidRPr="006043A9">
        <w:rPr>
          <w:i/>
        </w:rPr>
        <w:t xml:space="preserve"> </w:t>
      </w:r>
    </w:p>
    <w:p w14:paraId="3899557B" w14:textId="77777777" w:rsidR="00440309" w:rsidRPr="00487DB9" w:rsidRDefault="002A559A" w:rsidP="00182AD7">
      <w:pPr>
        <w:spacing w:after="0"/>
        <w:rPr>
          <w:i/>
          <w:iCs/>
        </w:rPr>
      </w:pPr>
      <w:r>
        <w:rPr>
          <w:rStyle w:val="Emphasis"/>
        </w:rPr>
        <w:t xml:space="preserve"> </w:t>
      </w:r>
      <w:r w:rsidR="00501311">
        <w:rPr>
          <w:rStyle w:val="Emphasis"/>
        </w:rPr>
        <w:t>“Like many women I did a lot of research before being desperate enough to use the court. I had heard how bad it was and I can honestly say I didn’t really believe it could possibly be as bad as women were saying. Let’s just say the reports and feedback I read were sadly right and I found myself in a shocking situation. Beyond comprehension</w:t>
      </w:r>
      <w:r w:rsidR="00440309">
        <w:rPr>
          <w:rStyle w:val="Emphasis"/>
        </w:rPr>
        <w:t xml:space="preserve">…That has to change and the Government can’t just keep trying to put band aids on a system that is so broken. They know the issues. I know they are well aware of them. But perhaps, like me at the start of my journey, they just don’t realise how bad it is. Or perhaps the effort and money required to fix it is just too much for them to want </w:t>
      </w:r>
      <w:r w:rsidR="00440309" w:rsidRPr="00487DB9">
        <w:rPr>
          <w:i/>
          <w:iCs/>
        </w:rPr>
        <w:t>to. I think the latter is true. There are too many people making too much money.”</w:t>
      </w:r>
    </w:p>
    <w:p w14:paraId="6D7115E4" w14:textId="0074511C" w:rsidR="002A559A" w:rsidRPr="006043A9" w:rsidRDefault="002A559A" w:rsidP="00182AD7">
      <w:pPr>
        <w:spacing w:after="0"/>
        <w:rPr>
          <w:i/>
        </w:rPr>
      </w:pPr>
      <w:r w:rsidRPr="006043A9">
        <w:rPr>
          <w:i/>
        </w:rPr>
        <w:t xml:space="preserve">— NZ woman who is a victim/survivor of </w:t>
      </w:r>
      <w:r w:rsidR="00487DB9">
        <w:rPr>
          <w:i/>
        </w:rPr>
        <w:t>family violence</w:t>
      </w:r>
      <w:r w:rsidRPr="006043A9">
        <w:rPr>
          <w:i/>
        </w:rPr>
        <w:t xml:space="preserve"> </w:t>
      </w:r>
    </w:p>
    <w:p w14:paraId="2661AD3D" w14:textId="77777777" w:rsidR="00F53BCB" w:rsidRDefault="00F53BCB" w:rsidP="00514C8E">
      <w:pPr>
        <w:pStyle w:val="Heading3"/>
      </w:pPr>
    </w:p>
    <w:p w14:paraId="0C3FB5BC" w14:textId="77777777" w:rsidR="00514C8E" w:rsidRPr="00733C98" w:rsidRDefault="00514C8E" w:rsidP="00733C98">
      <w:pPr>
        <w:pStyle w:val="Heading3"/>
        <w:shd w:val="clear" w:color="auto" w:fill="DDF0F2" w:themeFill="accent2" w:themeFillTint="33"/>
        <w:rPr>
          <w:b/>
          <w:color w:val="000000" w:themeColor="text1"/>
        </w:rPr>
      </w:pPr>
      <w:r w:rsidRPr="00733C98">
        <w:rPr>
          <w:b/>
          <w:color w:val="000000" w:themeColor="text1"/>
        </w:rPr>
        <w:t>Further action by Backbone following the release of the Panel’s final report</w:t>
      </w:r>
    </w:p>
    <w:p w14:paraId="032BA619" w14:textId="77777777" w:rsidR="00882AF8" w:rsidRDefault="00882AF8" w:rsidP="0045698E">
      <w:pPr>
        <w:rPr>
          <w:rFonts w:ascii="Arial" w:hAnsi="Arial" w:cs="Arial"/>
          <w:sz w:val="28"/>
          <w:szCs w:val="28"/>
        </w:rPr>
      </w:pPr>
      <w:r>
        <w:t>On the 16 June 201</w:t>
      </w:r>
      <w:r w:rsidR="00AA3062">
        <w:t>9</w:t>
      </w:r>
      <w:r>
        <w:t xml:space="preserve"> </w:t>
      </w:r>
      <w:r w:rsidR="00501311">
        <w:t>Backbone</w:t>
      </w:r>
      <w:r w:rsidR="0045698E">
        <w:t xml:space="preserve"> wrote an </w:t>
      </w:r>
      <w:hyperlink r:id="rId10" w:tgtFrame="_blank" w:history="1">
        <w:r w:rsidR="0045698E">
          <w:rPr>
            <w:rStyle w:val="Hyperlink"/>
          </w:rPr>
          <w:t>open letter to the Prime Minister</w:t>
        </w:r>
      </w:hyperlink>
      <w:r w:rsidR="0045698E">
        <w:t xml:space="preserve"> - copying in other ministers and voicing our frustration</w:t>
      </w:r>
      <w:r w:rsidR="008F6BC2">
        <w:t xml:space="preserve"> at the silencing of family violence victim-survivors in th</w:t>
      </w:r>
      <w:r w:rsidR="006043A9">
        <w:t xml:space="preserve">e </w:t>
      </w:r>
      <w:r w:rsidR="00514C8E">
        <w:t>Panel’s</w:t>
      </w:r>
      <w:r w:rsidR="006043A9">
        <w:t xml:space="preserve"> final </w:t>
      </w:r>
      <w:r w:rsidR="008F6BC2">
        <w:t>report</w:t>
      </w:r>
      <w:r w:rsidR="0045698E">
        <w:t>.</w:t>
      </w:r>
      <w:r w:rsidR="007C5D21">
        <w:t xml:space="preserve"> </w:t>
      </w:r>
      <w:r>
        <w:t xml:space="preserve"> We recommended </w:t>
      </w:r>
      <w:r w:rsidR="006043A9">
        <w:t>in that letter;</w:t>
      </w:r>
    </w:p>
    <w:p w14:paraId="3C8FB46C" w14:textId="77777777" w:rsidR="00882AF8" w:rsidRDefault="00882AF8" w:rsidP="00377903">
      <w:pPr>
        <w:ind w:left="720"/>
      </w:pPr>
      <w:r w:rsidRPr="00882AF8">
        <w:t>1.The urgent establishment of interim measures to keep women and children safe in Family Violence and Child Protection cases being brought before the Family Court.</w:t>
      </w:r>
    </w:p>
    <w:p w14:paraId="70095492" w14:textId="77777777" w:rsidR="00882AF8" w:rsidRDefault="00882AF8" w:rsidP="00377903">
      <w:pPr>
        <w:ind w:left="720"/>
      </w:pPr>
      <w:r w:rsidRPr="00882AF8">
        <w:t>2.The urgent establishment of a Royal Commission of Inquiry into the processes, procedures, conduct and culture of the NZ Family Court and Oranga Tamarik</w:t>
      </w:r>
      <w:r>
        <w:t xml:space="preserve">i </w:t>
      </w:r>
      <w:r w:rsidRPr="00882AF8">
        <w:t>in relation to cases of family violence and child protection.</w:t>
      </w:r>
    </w:p>
    <w:p w14:paraId="30FE64DE" w14:textId="7B22CEE6" w:rsidR="00377903" w:rsidRDefault="0045698E" w:rsidP="0045698E">
      <w:r>
        <w:rPr>
          <w:rFonts w:cs="Calibri"/>
          <w:color w:val="222222"/>
        </w:rPr>
        <w:lastRenderedPageBreak/>
        <w:t xml:space="preserve">Backbone </w:t>
      </w:r>
      <w:r w:rsidR="006043A9">
        <w:rPr>
          <w:rFonts w:cs="Calibri"/>
          <w:color w:val="222222"/>
        </w:rPr>
        <w:t xml:space="preserve">also </w:t>
      </w:r>
      <w:r>
        <w:rPr>
          <w:rFonts w:cs="Calibri"/>
          <w:color w:val="222222"/>
        </w:rPr>
        <w:t xml:space="preserve">wrote to Hon Minister Andrew Little requesting a meeting to discuss </w:t>
      </w:r>
      <w:r>
        <w:rPr>
          <w:rFonts w:cs="Calibri"/>
        </w:rPr>
        <w:t xml:space="preserve">the limited outcome of the Family Court Review Panel report and to suggest the Government </w:t>
      </w:r>
      <w:r w:rsidR="00EB5CAC">
        <w:rPr>
          <w:rFonts w:cs="Calibri"/>
        </w:rPr>
        <w:t xml:space="preserve">look to investigating how it could </w:t>
      </w:r>
      <w:r>
        <w:rPr>
          <w:rFonts w:cs="Calibri"/>
        </w:rPr>
        <w:t>develop a new Family Court model for responding safely to cases where there was violence and abuse.</w:t>
      </w:r>
      <w:r w:rsidR="00501311">
        <w:rPr>
          <w:rFonts w:cs="Calibri"/>
        </w:rPr>
        <w:t xml:space="preserve"> </w:t>
      </w:r>
      <w:r>
        <w:t xml:space="preserve">Minister Little replied to our letter on 16 </w:t>
      </w:r>
      <w:r w:rsidR="00CD3B92">
        <w:t>J</w:t>
      </w:r>
      <w:r>
        <w:t>uly 2019 stating</w:t>
      </w:r>
      <w:r w:rsidR="002144AB">
        <w:t>;</w:t>
      </w:r>
    </w:p>
    <w:p w14:paraId="2A706DFE" w14:textId="77777777" w:rsidR="0045698E" w:rsidRDefault="0045698E" w:rsidP="00377903">
      <w:pPr>
        <w:ind w:left="720" w:firstLine="48"/>
      </w:pPr>
      <w:r>
        <w:rPr>
          <w:rFonts w:cs="Calibri"/>
          <w:i/>
          <w:iCs/>
        </w:rPr>
        <w:t>“Your advocacy for a Royal Commission of Inquiry is well known to me. When the Government established the Noonan inquiry it did so to ensure a review would commence as early as possible. A Royal Commission could not be justified and the Government will not be establishing one in relation to the Family Court…I do not see the value in meeting again.”</w:t>
      </w:r>
      <w:r>
        <w:t xml:space="preserve"> </w:t>
      </w:r>
    </w:p>
    <w:p w14:paraId="36387ED8" w14:textId="77777777" w:rsidR="0045698E" w:rsidRPr="00733C98" w:rsidRDefault="0045698E" w:rsidP="00D1544B">
      <w:pPr>
        <w:pStyle w:val="Heading2"/>
        <w:shd w:val="clear" w:color="auto" w:fill="DDF0F2" w:themeFill="accent2" w:themeFillTint="33"/>
        <w:rPr>
          <w:b/>
          <w:color w:val="373545" w:themeColor="text2"/>
        </w:rPr>
      </w:pPr>
      <w:r w:rsidRPr="00733C98">
        <w:rPr>
          <w:b/>
          <w:color w:val="373545" w:themeColor="text2"/>
        </w:rPr>
        <w:t>Conclusion</w:t>
      </w:r>
    </w:p>
    <w:p w14:paraId="3066E894" w14:textId="47F311B3" w:rsidR="007C5D21" w:rsidRDefault="007C5D21" w:rsidP="007C5D21">
      <w:r>
        <w:t xml:space="preserve">Backbone has done all that we can to </w:t>
      </w:r>
      <w:r w:rsidR="00CF1F48">
        <w:t>encourage</w:t>
      </w:r>
      <w:r>
        <w:t xml:space="preserve"> the Government to implement Recommendation 48(a). However, our efforts </w:t>
      </w:r>
      <w:r w:rsidR="00EB5CAC">
        <w:t xml:space="preserve">to date </w:t>
      </w:r>
      <w:r>
        <w:t>have failed. There are no signs that the New Zealand Family Court has improved its response to victim-survivors and their children</w:t>
      </w:r>
      <w:r w:rsidR="00480176">
        <w:t xml:space="preserve"> and we have little faith that the Review Panel recommendations will enable improvement within the current cultural environment of the court</w:t>
      </w:r>
      <w:r>
        <w:t xml:space="preserve">. Backbone hears from women everyday who share horrendous experiences of not being believed, being blamed for the violence and abuse, being accused of parental alienation, being forced to drop Protection Order applications in order to secure safer parenting orders for their children…the list of issues </w:t>
      </w:r>
      <w:r w:rsidR="00514C8E">
        <w:t xml:space="preserve">is </w:t>
      </w:r>
      <w:r w:rsidR="00AC263F">
        <w:t>long</w:t>
      </w:r>
      <w:r>
        <w:t xml:space="preserve">. </w:t>
      </w:r>
      <w:r w:rsidR="00514C8E">
        <w:t xml:space="preserve">The </w:t>
      </w:r>
      <w:r w:rsidR="00377903">
        <w:t>G</w:t>
      </w:r>
      <w:r w:rsidR="00514C8E">
        <w:t xml:space="preserve">overnment is well aware of the issues and has chosen not to take appropriate action to investigate or remedy </w:t>
      </w:r>
      <w:r w:rsidR="00D1544B">
        <w:t>them</w:t>
      </w:r>
      <w:r w:rsidR="00514C8E">
        <w:t xml:space="preserve">. As a </w:t>
      </w:r>
      <w:r w:rsidR="00EB5CAC">
        <w:t>result,</w:t>
      </w:r>
      <w:r w:rsidR="00514C8E">
        <w:t xml:space="preserve"> children and women </w:t>
      </w:r>
      <w:r w:rsidR="00F36C3A">
        <w:t>continue to be</w:t>
      </w:r>
      <w:r w:rsidR="00514C8E">
        <w:t xml:space="preserve"> harmed.</w:t>
      </w:r>
    </w:p>
    <w:p w14:paraId="3E6CD660" w14:textId="2840E0A3" w:rsidR="00A026D7" w:rsidRDefault="00C95C9B" w:rsidP="004A53FB">
      <w:pPr>
        <w:spacing w:before="100" w:beforeAutospacing="1" w:after="100" w:afterAutospacing="1"/>
      </w:pPr>
      <w:r>
        <w:t>A Royal Commission of Inquiry into the Family Court is now more urgent than ever</w:t>
      </w:r>
      <w:r w:rsidR="00567885">
        <w:t xml:space="preserve"> because unless the culture of the Family Court is remedied</w:t>
      </w:r>
      <w:r w:rsidR="006063C3">
        <w:t>,</w:t>
      </w:r>
      <w:r w:rsidR="00567885">
        <w:t xml:space="preserve"> none of the recommendations made by the Review Panel will adequately or safely enable the court to improve its response to women and children victim-survivors. </w:t>
      </w:r>
      <w:bookmarkStart w:id="0" w:name="_GoBack"/>
      <w:bookmarkEnd w:id="0"/>
    </w:p>
    <w:sectPr w:rsidR="00A026D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3DFCF7" w14:textId="77777777" w:rsidR="000242BB" w:rsidRDefault="000242BB" w:rsidP="00A026D7">
      <w:pPr>
        <w:spacing w:after="0" w:line="240" w:lineRule="auto"/>
      </w:pPr>
      <w:r>
        <w:separator/>
      </w:r>
    </w:p>
  </w:endnote>
  <w:endnote w:type="continuationSeparator" w:id="0">
    <w:p w14:paraId="6321819C" w14:textId="77777777" w:rsidR="000242BB" w:rsidRDefault="000242BB" w:rsidP="00A026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0088944"/>
      <w:docPartObj>
        <w:docPartGallery w:val="Page Numbers (Bottom of Page)"/>
        <w:docPartUnique/>
      </w:docPartObj>
    </w:sdtPr>
    <w:sdtEndPr>
      <w:rPr>
        <w:noProof/>
      </w:rPr>
    </w:sdtEndPr>
    <w:sdtContent>
      <w:p w14:paraId="1AE621EC" w14:textId="0E8076FC" w:rsidR="00BD661C" w:rsidRDefault="00BD661C">
        <w:pPr>
          <w:pStyle w:val="Footer"/>
          <w:jc w:val="right"/>
        </w:pPr>
        <w:r>
          <w:fldChar w:fldCharType="begin"/>
        </w:r>
        <w:r>
          <w:instrText xml:space="preserve"> PAGE   \* MERGEFORMAT </w:instrText>
        </w:r>
        <w:r>
          <w:fldChar w:fldCharType="separate"/>
        </w:r>
        <w:r w:rsidR="00F149BD">
          <w:rPr>
            <w:noProof/>
          </w:rPr>
          <w:t>12</w:t>
        </w:r>
        <w:r>
          <w:rPr>
            <w:noProof/>
          </w:rPr>
          <w:fldChar w:fldCharType="end"/>
        </w:r>
      </w:p>
    </w:sdtContent>
  </w:sdt>
  <w:p w14:paraId="09B012C9" w14:textId="77777777" w:rsidR="00BD661C" w:rsidRDefault="00BD6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2F6D1" w14:textId="77777777" w:rsidR="000242BB" w:rsidRDefault="000242BB" w:rsidP="00A026D7">
      <w:pPr>
        <w:spacing w:after="0" w:line="240" w:lineRule="auto"/>
      </w:pPr>
      <w:r>
        <w:separator/>
      </w:r>
    </w:p>
  </w:footnote>
  <w:footnote w:type="continuationSeparator" w:id="0">
    <w:p w14:paraId="1C653E5B" w14:textId="77777777" w:rsidR="000242BB" w:rsidRDefault="000242BB" w:rsidP="00A026D7">
      <w:pPr>
        <w:spacing w:after="0" w:line="240" w:lineRule="auto"/>
      </w:pPr>
      <w:r>
        <w:continuationSeparator/>
      </w:r>
    </w:p>
  </w:footnote>
  <w:footnote w:id="1">
    <w:p w14:paraId="3EDAB64A" w14:textId="77777777" w:rsidR="00CF3426" w:rsidRDefault="00CF3426">
      <w:pPr>
        <w:pStyle w:val="FootnoteText"/>
      </w:pPr>
      <w:r>
        <w:rPr>
          <w:rStyle w:val="FootnoteReference"/>
        </w:rPr>
        <w:footnoteRef/>
      </w:r>
      <w:r>
        <w:t xml:space="preserve"> </w:t>
      </w:r>
      <w:hyperlink r:id="rId1" w:history="1">
        <w:r w:rsidRPr="0038267D">
          <w:rPr>
            <w:rStyle w:val="Hyperlink"/>
          </w:rPr>
          <w:t>https://www.backbone.org.nz/reports</w:t>
        </w:r>
      </w:hyperlink>
    </w:p>
    <w:p w14:paraId="679014F0" w14:textId="77777777" w:rsidR="00CF3426" w:rsidRPr="00CF3426" w:rsidRDefault="00CF3426">
      <w:pPr>
        <w:pStyle w:val="FootnoteText"/>
        <w:rPr>
          <w:lang w:val="en-US"/>
        </w:rPr>
      </w:pPr>
    </w:p>
  </w:footnote>
  <w:footnote w:id="2">
    <w:p w14:paraId="1D803626" w14:textId="77777777" w:rsidR="00727427" w:rsidRDefault="00727427">
      <w:pPr>
        <w:pStyle w:val="FootnoteText"/>
      </w:pPr>
      <w:r>
        <w:rPr>
          <w:rStyle w:val="FootnoteReference"/>
        </w:rPr>
        <w:footnoteRef/>
      </w:r>
      <w:r>
        <w:t xml:space="preserve"> </w:t>
      </w:r>
      <w:hyperlink r:id="rId2" w:history="1">
        <w:r w:rsidR="00F53BCB" w:rsidRPr="009954DB">
          <w:rPr>
            <w:rStyle w:val="Hyperlink"/>
          </w:rPr>
          <w:t>https://www.tvnz.co.nz/one-news/new-zealand/andrew-little-rejects-un-womens-committee-call-royal-commission-into-new-zealand-family-court</w:t>
        </w:r>
      </w:hyperlink>
    </w:p>
    <w:p w14:paraId="5AAA060D" w14:textId="77777777" w:rsidR="00F53BCB" w:rsidRPr="001C3016" w:rsidRDefault="00F53BCB">
      <w:pPr>
        <w:pStyle w:val="FootnoteText"/>
        <w:rPr>
          <w:lang w:val="en-US"/>
        </w:rPr>
      </w:pPr>
    </w:p>
  </w:footnote>
  <w:footnote w:id="3">
    <w:p w14:paraId="47B70E0B" w14:textId="77777777" w:rsidR="00C40B19" w:rsidRDefault="00C40B19" w:rsidP="00C40B19">
      <w:pPr>
        <w:pStyle w:val="FootnoteText"/>
      </w:pPr>
      <w:r>
        <w:rPr>
          <w:rStyle w:val="FootnoteReference"/>
        </w:rPr>
        <w:footnoteRef/>
      </w:r>
      <w:hyperlink r:id="rId3" w:history="1">
        <w:r w:rsidRPr="009A3C1D">
          <w:rPr>
            <w:rStyle w:val="Hyperlink"/>
          </w:rPr>
          <w:t>https://static1.squarespace.com/static/57d898ef8419c2ef50f63405/t/5a94cc1a9140b78a0a3a5061/1519701025135/Submission+to+Justice+Select+Committee+January+2018.pdf</w:t>
        </w:r>
      </w:hyperlink>
    </w:p>
    <w:p w14:paraId="54A2965C" w14:textId="77777777" w:rsidR="00C40B19" w:rsidRPr="00360FAF" w:rsidRDefault="00C40B19" w:rsidP="00C40B19">
      <w:pPr>
        <w:pStyle w:val="FootnoteText"/>
        <w:rPr>
          <w:lang w:val="en-US"/>
        </w:rPr>
      </w:pPr>
    </w:p>
  </w:footnote>
  <w:footnote w:id="4">
    <w:p w14:paraId="7C6F2381" w14:textId="77777777" w:rsidR="00727427" w:rsidRDefault="00727427">
      <w:pPr>
        <w:pStyle w:val="FootnoteText"/>
      </w:pPr>
      <w:r>
        <w:rPr>
          <w:rStyle w:val="FootnoteReference"/>
        </w:rPr>
        <w:footnoteRef/>
      </w:r>
      <w:hyperlink r:id="rId4" w:history="1">
        <w:r w:rsidRPr="00711F46">
          <w:rPr>
            <w:rStyle w:val="Hyperlink"/>
          </w:rPr>
          <w:t>https://static1.squarespace.com/static/57d898ef8419c2ef50f63405/t/5b6136216d2a730eade03f1d/1533097505289/FamilyCourtRewriteTORS.pdf</w:t>
        </w:r>
      </w:hyperlink>
      <w:r>
        <w:t xml:space="preserve"> see also consultation document released by Ministry of Justice </w:t>
      </w:r>
      <w:hyperlink r:id="rId5" w:history="1">
        <w:r w:rsidR="00F53BCB" w:rsidRPr="009954DB">
          <w:rPr>
            <w:rStyle w:val="Hyperlink"/>
          </w:rPr>
          <w:t>https://www.justice.govt.nz/assets/Documents/Publications/have-your-say-on-the-family-justice-system-english2.pdf</w:t>
        </w:r>
      </w:hyperlink>
    </w:p>
    <w:p w14:paraId="4EB21522" w14:textId="77777777" w:rsidR="00F53BCB" w:rsidRPr="00B03B56" w:rsidRDefault="00F53BCB">
      <w:pPr>
        <w:pStyle w:val="FootnoteText"/>
        <w:rPr>
          <w:lang w:val="en-US"/>
        </w:rPr>
      </w:pPr>
    </w:p>
  </w:footnote>
  <w:footnote w:id="5">
    <w:p w14:paraId="20E18A34" w14:textId="77777777" w:rsidR="00727427" w:rsidRDefault="00727427">
      <w:pPr>
        <w:pStyle w:val="FootnoteText"/>
      </w:pPr>
      <w:r>
        <w:rPr>
          <w:rStyle w:val="FootnoteReference"/>
        </w:rPr>
        <w:footnoteRef/>
      </w:r>
      <w:r>
        <w:t xml:space="preserve"> </w:t>
      </w:r>
      <w:hyperlink r:id="rId6" w:history="1">
        <w:r w:rsidR="00F53BCB" w:rsidRPr="009954DB">
          <w:rPr>
            <w:rStyle w:val="Hyperlink"/>
          </w:rPr>
          <w:t>https://www.beehive.govt.nz/release/panel-appointed-re-write-2014-family-court-reforms</w:t>
        </w:r>
      </w:hyperlink>
    </w:p>
    <w:p w14:paraId="077F9FFF" w14:textId="77777777" w:rsidR="00F53BCB" w:rsidRPr="004529F7" w:rsidRDefault="00F53BCB">
      <w:pPr>
        <w:pStyle w:val="FootnoteText"/>
        <w:rPr>
          <w:lang w:val="en-US"/>
        </w:rPr>
      </w:pPr>
    </w:p>
  </w:footnote>
  <w:footnote w:id="6">
    <w:p w14:paraId="4629A878" w14:textId="77777777" w:rsidR="00727427" w:rsidRDefault="00727427">
      <w:pPr>
        <w:pStyle w:val="FootnoteText"/>
        <w:rPr>
          <w:lang w:val="en-US"/>
        </w:rPr>
      </w:pPr>
      <w:r>
        <w:rPr>
          <w:rStyle w:val="FootnoteReference"/>
        </w:rPr>
        <w:footnoteRef/>
      </w:r>
      <w:r>
        <w:t xml:space="preserve"> </w:t>
      </w:r>
      <w:r>
        <w:rPr>
          <w:lang w:val="en-US"/>
        </w:rPr>
        <w:t xml:space="preserve">Mediators are contracted to provide an out of court service (Family Dispute Resolution Service) prior to court applications being accepted in the court. The Psychologists represent the section 133 Specialist Court Report Writers who are contracted by the court to undertake assessments in some Care of Children Act proceedings. Backbone has found that these court report writers are the group of professionals who most commonly accuse mothers who are victim-survivors of family violence of parental alienation – see pg. 37 </w:t>
      </w:r>
      <w:hyperlink r:id="rId7" w:history="1">
        <w:r w:rsidRPr="00E80FCA">
          <w:rPr>
            <w:rStyle w:val="Hyperlink"/>
            <w:lang w:val="en-US"/>
          </w:rPr>
          <w:t>https://static1.squarespace.com/static/57d898ef8419c2ef50f63405/t/5a3171c59140b743f5abbe36/1513189837189/Seen+and+not+Heard+Children+in+the+Family+Court+%281%29.pdf</w:t>
        </w:r>
      </w:hyperlink>
    </w:p>
    <w:p w14:paraId="4730CB3A" w14:textId="77777777" w:rsidR="00727427" w:rsidRPr="00A61926" w:rsidRDefault="00727427">
      <w:pPr>
        <w:pStyle w:val="FootnoteText"/>
        <w:rPr>
          <w:lang w:val="en-US"/>
        </w:rPr>
      </w:pPr>
    </w:p>
  </w:footnote>
  <w:footnote w:id="7">
    <w:p w14:paraId="35F13C6C" w14:textId="77777777" w:rsidR="00727427" w:rsidRDefault="00727427">
      <w:pPr>
        <w:pStyle w:val="FootnoteText"/>
      </w:pPr>
      <w:r>
        <w:rPr>
          <w:rStyle w:val="FootnoteReference"/>
        </w:rPr>
        <w:footnoteRef/>
      </w:r>
      <w:hyperlink r:id="rId8" w:history="1">
        <w:r w:rsidR="00343F06" w:rsidRPr="00F533C8">
          <w:rPr>
            <w:rStyle w:val="Hyperlink"/>
          </w:rPr>
          <w:t>https://static1.squarespace.com/static/57d898ef8419c2ef50f63405/t/5bac1db4c83025ead38d864b/1538006454923/letter+from+Ombudsman+Office+Sept+18.pdf</w:t>
        </w:r>
      </w:hyperlink>
    </w:p>
    <w:p w14:paraId="02A7D899" w14:textId="77777777" w:rsidR="00343F06" w:rsidRPr="00334EF1" w:rsidRDefault="00343F06">
      <w:pPr>
        <w:pStyle w:val="FootnoteText"/>
        <w:rPr>
          <w:lang w:val="en-US"/>
        </w:rPr>
      </w:pPr>
    </w:p>
  </w:footnote>
  <w:footnote w:id="8">
    <w:p w14:paraId="7C2D257E" w14:textId="77777777" w:rsidR="00343F06" w:rsidRDefault="00343F06" w:rsidP="00343F06">
      <w:pPr>
        <w:pStyle w:val="FootnoteText"/>
        <w:rPr>
          <w:lang w:val="en-US"/>
        </w:rPr>
      </w:pPr>
      <w:r>
        <w:rPr>
          <w:rStyle w:val="FootnoteReference"/>
        </w:rPr>
        <w:footnoteRef/>
      </w:r>
      <w:r>
        <w:t xml:space="preserve"> </w:t>
      </w:r>
      <w:r>
        <w:rPr>
          <w:lang w:val="en-US"/>
        </w:rPr>
        <w:t xml:space="preserve">For example, read one woman’s open letter to the Panel </w:t>
      </w:r>
      <w:hyperlink r:id="rId9" w:history="1">
        <w:r w:rsidRPr="00F533C8">
          <w:rPr>
            <w:rStyle w:val="Hyperlink"/>
            <w:lang w:val="en-US"/>
          </w:rPr>
          <w:t>https://www.backbone.org.nz/blog/safesubmissionsfamilycourtreviewpanel</w:t>
        </w:r>
      </w:hyperlink>
    </w:p>
    <w:p w14:paraId="6B0450A7" w14:textId="77777777" w:rsidR="00343F06" w:rsidRPr="005B5ED1" w:rsidRDefault="00343F06" w:rsidP="00343F06">
      <w:pPr>
        <w:pStyle w:val="FootnoteText"/>
        <w:rPr>
          <w:lang w:val="en-US"/>
        </w:rPr>
      </w:pPr>
    </w:p>
  </w:footnote>
  <w:footnote w:id="9">
    <w:p w14:paraId="77BF6AF8" w14:textId="0E01628A" w:rsidR="00B80169" w:rsidRPr="00B80169" w:rsidRDefault="00B80169">
      <w:pPr>
        <w:pStyle w:val="FootnoteText"/>
        <w:rPr>
          <w:lang w:val="en-US"/>
        </w:rPr>
      </w:pPr>
      <w:r>
        <w:rPr>
          <w:rStyle w:val="FootnoteReference"/>
        </w:rPr>
        <w:footnoteRef/>
      </w:r>
      <w:r>
        <w:t xml:space="preserve"> </w:t>
      </w:r>
      <w:r>
        <w:rPr>
          <w:lang w:val="en-US"/>
        </w:rPr>
        <w:t>This was not done.</w:t>
      </w:r>
    </w:p>
  </w:footnote>
  <w:footnote w:id="10">
    <w:p w14:paraId="1F970D95" w14:textId="77777777" w:rsidR="00D32BFD" w:rsidRDefault="00D32BFD">
      <w:pPr>
        <w:pStyle w:val="FootnoteText"/>
      </w:pPr>
      <w:r>
        <w:rPr>
          <w:rStyle w:val="FootnoteReference"/>
        </w:rPr>
        <w:footnoteRef/>
      </w:r>
      <w:r>
        <w:t xml:space="preserve"> </w:t>
      </w:r>
      <w:r>
        <w:rPr>
          <w:lang w:val="en-US"/>
        </w:rPr>
        <w:t xml:space="preserve">We received a reply on 4 October 2018 declining our recommendations </w:t>
      </w:r>
      <w:hyperlink r:id="rId10" w:history="1">
        <w:r w:rsidRPr="009A3C1D">
          <w:rPr>
            <w:rStyle w:val="Hyperlink"/>
          </w:rPr>
          <w:t>https://static1.squarespace.com/static/57d898ef8419c2ef50f63405/t/5bb66b5f71c10b155014b525/1538681698189/Letter+to+The+Backbone+Collective+-+Final.pdf</w:t>
        </w:r>
      </w:hyperlink>
    </w:p>
    <w:p w14:paraId="00F0CACD" w14:textId="77777777" w:rsidR="00D32BFD" w:rsidRPr="00D32BFD" w:rsidRDefault="00D32BFD">
      <w:pPr>
        <w:pStyle w:val="FootnoteText"/>
        <w:rPr>
          <w:lang w:val="en-US"/>
        </w:rPr>
      </w:pPr>
    </w:p>
  </w:footnote>
  <w:footnote w:id="11">
    <w:p w14:paraId="30A0BA65" w14:textId="77777777" w:rsidR="00727427" w:rsidRDefault="00727427">
      <w:pPr>
        <w:pStyle w:val="FootnoteText"/>
      </w:pPr>
      <w:r>
        <w:rPr>
          <w:rStyle w:val="FootnoteReference"/>
        </w:rPr>
        <w:footnoteRef/>
      </w:r>
      <w:hyperlink r:id="rId11" w:history="1">
        <w:r w:rsidR="009B574D" w:rsidRPr="002D4C5A">
          <w:rPr>
            <w:rStyle w:val="Hyperlink"/>
          </w:rPr>
          <w:t>https://static1.squarespace.com/static/57d898ef8419c2ef50f63405/t/5bbfaaca9140b7b20d8ae0f5/1539287755796/Ways+To+Have+Your+Say+Final+Oct.pdf</w:t>
        </w:r>
      </w:hyperlink>
    </w:p>
    <w:p w14:paraId="211B76B5" w14:textId="77777777" w:rsidR="009B574D" w:rsidRPr="007B4D73" w:rsidRDefault="009B574D">
      <w:pPr>
        <w:pStyle w:val="FootnoteText"/>
        <w:rPr>
          <w:lang w:val="en-US"/>
        </w:rPr>
      </w:pPr>
    </w:p>
  </w:footnote>
  <w:footnote w:id="12">
    <w:p w14:paraId="35A5BDB5" w14:textId="77777777" w:rsidR="00816B1D" w:rsidRDefault="00816B1D" w:rsidP="00816B1D">
      <w:pPr>
        <w:pStyle w:val="FootnoteText"/>
      </w:pPr>
      <w:r>
        <w:rPr>
          <w:rStyle w:val="FootnoteReference"/>
        </w:rPr>
        <w:footnoteRef/>
      </w:r>
      <w:hyperlink r:id="rId12" w:history="1">
        <w:r w:rsidR="009B574D" w:rsidRPr="002D4C5A">
          <w:rPr>
            <w:rStyle w:val="Hyperlink"/>
          </w:rPr>
          <w:t>https://static1.squarespace.com/static/57d898ef8419c2ef50f63405/t/5c634a80eef1a1c3543bffc1/1550011011531/Backbone+written+submission+to+FC+Review+Panel+-+FINAL.pdf</w:t>
        </w:r>
      </w:hyperlink>
    </w:p>
    <w:p w14:paraId="326B9093" w14:textId="77777777" w:rsidR="009B574D" w:rsidRPr="007B4D73" w:rsidRDefault="009B574D" w:rsidP="00816B1D">
      <w:pPr>
        <w:pStyle w:val="FootnoteText"/>
        <w:rPr>
          <w:lang w:val="en-US"/>
        </w:rPr>
      </w:pPr>
    </w:p>
  </w:footnote>
  <w:footnote w:id="13">
    <w:p w14:paraId="63962207" w14:textId="77777777" w:rsidR="00323B2A" w:rsidRDefault="00323B2A" w:rsidP="00323B2A">
      <w:pPr>
        <w:pStyle w:val="FootnoteText"/>
      </w:pPr>
      <w:r>
        <w:rPr>
          <w:rStyle w:val="FootnoteReference"/>
        </w:rPr>
        <w:footnoteRef/>
      </w:r>
      <w:r>
        <w:t xml:space="preserve"> </w:t>
      </w:r>
      <w:hyperlink r:id="rId13" w:history="1">
        <w:r w:rsidR="00F53BCB" w:rsidRPr="009954DB">
          <w:rPr>
            <w:rStyle w:val="Hyperlink"/>
          </w:rPr>
          <w:t>https://www.justice.govt.nz/assets/Documents/Publications/Strengthening-the-family-justice-system.pdf</w:t>
        </w:r>
      </w:hyperlink>
    </w:p>
    <w:p w14:paraId="11A46374" w14:textId="77777777" w:rsidR="00F53BCB" w:rsidRPr="00727427" w:rsidRDefault="00F53BCB" w:rsidP="00323B2A">
      <w:pPr>
        <w:pStyle w:val="FootnoteText"/>
        <w:rPr>
          <w:lang w:val="en-US"/>
        </w:rPr>
      </w:pPr>
    </w:p>
  </w:footnote>
  <w:footnote w:id="14">
    <w:p w14:paraId="6A8804BF" w14:textId="77777777" w:rsidR="00727427" w:rsidRDefault="00727427">
      <w:pPr>
        <w:pStyle w:val="FootnoteText"/>
      </w:pPr>
      <w:r>
        <w:rPr>
          <w:rStyle w:val="FootnoteReference"/>
        </w:rPr>
        <w:footnoteRef/>
      </w:r>
      <w:r>
        <w:t xml:space="preserve"> </w:t>
      </w:r>
      <w:hyperlink r:id="rId14" w:history="1">
        <w:r w:rsidR="00F53BCB" w:rsidRPr="009954DB">
          <w:rPr>
            <w:rStyle w:val="Hyperlink"/>
          </w:rPr>
          <w:t>https://www.justice.govt.nz/assets/Documents/Publications/family-justice-reforms-final-report-independent-panel.pdf</w:t>
        </w:r>
      </w:hyperlink>
    </w:p>
    <w:p w14:paraId="7F2B08A5" w14:textId="77777777" w:rsidR="00F53BCB" w:rsidRPr="00542D0D" w:rsidRDefault="00F53BCB">
      <w:pPr>
        <w:pStyle w:val="FootnoteText"/>
        <w:rPr>
          <w:lang w:val="en-US"/>
        </w:rPr>
      </w:pPr>
    </w:p>
  </w:footnote>
  <w:footnote w:id="15">
    <w:p w14:paraId="649F7FBD" w14:textId="77777777" w:rsidR="0048463E" w:rsidRPr="00CA6843" w:rsidRDefault="0048463E" w:rsidP="0048463E">
      <w:pPr>
        <w:rPr>
          <w:lang w:val="en-US"/>
        </w:rPr>
      </w:pPr>
      <w:r>
        <w:rPr>
          <w:rStyle w:val="FootnoteReference"/>
        </w:rPr>
        <w:footnoteRef/>
      </w:r>
      <w:r>
        <w:t xml:space="preserve"> </w:t>
      </w:r>
      <w:r w:rsidRPr="00CA6843">
        <w:rPr>
          <w:sz w:val="20"/>
          <w:szCs w:val="20"/>
        </w:rPr>
        <w:t>Maybe the Review Panel is acknowledging this themselves in para 102, ‘This report cannot deal comprehensively with all of the issues raised’?</w:t>
      </w:r>
    </w:p>
  </w:footnote>
  <w:footnote w:id="16">
    <w:p w14:paraId="1AE02DE4" w14:textId="77777777" w:rsidR="00480176" w:rsidRDefault="00480176" w:rsidP="00480176">
      <w:pPr>
        <w:pStyle w:val="FootnoteText"/>
      </w:pPr>
      <w:r>
        <w:rPr>
          <w:rStyle w:val="FootnoteReference"/>
        </w:rPr>
        <w:footnoteRef/>
      </w:r>
      <w:hyperlink r:id="rId15" w:history="1">
        <w:r w:rsidRPr="0076431B">
          <w:rPr>
            <w:rStyle w:val="Hyperlink"/>
          </w:rPr>
          <w:t>https://assets.publishing.service.gov.uk/government/uploads/system/uploads/attachment_data/file/895174/implementation-plan-assessing-risk-children.pdf</w:t>
        </w:r>
      </w:hyperlink>
    </w:p>
    <w:p w14:paraId="254D4F95" w14:textId="77777777" w:rsidR="00480176" w:rsidRPr="00F7742A" w:rsidRDefault="00480176" w:rsidP="00480176">
      <w:pPr>
        <w:pStyle w:val="FootnoteText"/>
        <w:rPr>
          <w:lang w:val="en-US"/>
        </w:rPr>
      </w:pPr>
    </w:p>
  </w:footnote>
  <w:footnote w:id="17">
    <w:p w14:paraId="218FF36A" w14:textId="1487FDEA" w:rsidR="00567885" w:rsidRPr="00567885" w:rsidRDefault="00567885" w:rsidP="00D1544B">
      <w:pPr>
        <w:rPr>
          <w:lang w:val="en-US"/>
        </w:rPr>
      </w:pPr>
      <w:r w:rsidRPr="00567885">
        <w:rPr>
          <w:rStyle w:val="FootnoteReference"/>
          <w:sz w:val="20"/>
          <w:szCs w:val="20"/>
        </w:rPr>
        <w:footnoteRef/>
      </w:r>
      <w:r w:rsidRPr="00567885">
        <w:rPr>
          <w:sz w:val="20"/>
          <w:szCs w:val="20"/>
        </w:rPr>
        <w:t xml:space="preserve"> We expressed concern to the Panel that family violence cases were perceived as ‘complex cases’ – characterised by difficult behaviour by the parties involved thereby preventing timely resolution of matters. We explained this is an inappropriate characterisation of family violence cases where victim-survivors have no control over the behaviour of the other abusive parent in relation to proceedings. However, responding to these cases as if they do (forced into counselling to change their responses etc.) will make future responses to victim- survivors even more dangerous. </w:t>
      </w:r>
    </w:p>
  </w:footnote>
  <w:footnote w:id="18">
    <w:p w14:paraId="22919795" w14:textId="53A5A714" w:rsidR="003F3F19" w:rsidRPr="003F3F19" w:rsidRDefault="003F3F19">
      <w:pPr>
        <w:pStyle w:val="FootnoteText"/>
        <w:rPr>
          <w:lang w:val="en-US"/>
        </w:rPr>
      </w:pPr>
      <w:r>
        <w:rPr>
          <w:rStyle w:val="FootnoteReference"/>
        </w:rPr>
        <w:footnoteRef/>
      </w:r>
      <w:r>
        <w:t xml:space="preserve"> </w:t>
      </w:r>
      <w:r>
        <w:rPr>
          <w:lang w:val="en-US"/>
        </w:rPr>
        <w:t>Rosslyn Noonan was the Chair of the Review Panel.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56F13" w14:textId="77777777" w:rsidR="00727427" w:rsidRDefault="00727427" w:rsidP="00A026D7">
    <w:pPr>
      <w:pStyle w:val="Header"/>
    </w:pPr>
    <w:r>
      <w:t>The Backbone Collective – Shadow Report</w:t>
    </w:r>
    <w:r>
      <w:tab/>
    </w:r>
    <w:r>
      <w:tab/>
      <w:t xml:space="preserve"> </w:t>
    </w:r>
    <w:r>
      <w:rPr>
        <w:noProof/>
        <w:lang w:eastAsia="en-NZ"/>
      </w:rPr>
      <w:drawing>
        <wp:inline distT="0" distB="0" distL="0" distR="0" wp14:anchorId="1968CF07" wp14:editId="64DAF44A">
          <wp:extent cx="289560" cy="2895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9560" cy="289560"/>
                  </a:xfrm>
                  <a:prstGeom prst="rect">
                    <a:avLst/>
                  </a:prstGeom>
                  <a:noFill/>
                  <a:ln>
                    <a:noFill/>
                  </a:ln>
                </pic:spPr>
              </pic:pic>
            </a:graphicData>
          </a:graphic>
        </wp:inline>
      </w:drawing>
    </w:r>
  </w:p>
  <w:p w14:paraId="1ED2F1F6" w14:textId="77777777" w:rsidR="00727427" w:rsidRDefault="007274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84BA7"/>
    <w:multiLevelType w:val="hybridMultilevel"/>
    <w:tmpl w:val="F6E8BC0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 w15:restartNumberingAfterBreak="0">
    <w:nsid w:val="06760C1D"/>
    <w:multiLevelType w:val="hybridMultilevel"/>
    <w:tmpl w:val="9B14E39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2" w15:restartNumberingAfterBreak="0">
    <w:nsid w:val="09472742"/>
    <w:multiLevelType w:val="hybridMultilevel"/>
    <w:tmpl w:val="76F86A9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3" w15:restartNumberingAfterBreak="0">
    <w:nsid w:val="0AFB772E"/>
    <w:multiLevelType w:val="hybridMultilevel"/>
    <w:tmpl w:val="E6061A0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4" w15:restartNumberingAfterBreak="0">
    <w:nsid w:val="0EF27B73"/>
    <w:multiLevelType w:val="multilevel"/>
    <w:tmpl w:val="952091AC"/>
    <w:lvl w:ilvl="0">
      <w:start w:val="1"/>
      <w:numFmt w:val="decimal"/>
      <w:lvlText w:val="%1"/>
      <w:lvlJc w:val="left"/>
      <w:pPr>
        <w:tabs>
          <w:tab w:val="num" w:pos="720"/>
        </w:tabs>
        <w:ind w:left="720" w:hanging="720"/>
      </w:pPr>
      <w:rPr>
        <w:rFonts w:ascii="Calibri" w:hAnsi="Calibri" w:hint="default"/>
      </w:rPr>
    </w:lvl>
    <w:lvl w:ilvl="1">
      <w:start w:val="1"/>
      <w:numFmt w:val="decimal"/>
      <w:lvlText w:val="%1.%2"/>
      <w:lvlJc w:val="left"/>
      <w:pPr>
        <w:tabs>
          <w:tab w:val="num" w:pos="720"/>
        </w:tabs>
        <w:ind w:left="720" w:hanging="720"/>
      </w:pPr>
      <w:rPr>
        <w:rFonts w:ascii="Calibri" w:hAnsi="Calibri" w:hint="default"/>
      </w:rPr>
    </w:lvl>
    <w:lvl w:ilvl="2">
      <w:start w:val="1"/>
      <w:numFmt w:val="lowerLetter"/>
      <w:lvlText w:val="%3"/>
      <w:lvlJc w:val="left"/>
      <w:pPr>
        <w:tabs>
          <w:tab w:val="num" w:pos="1440"/>
        </w:tabs>
        <w:ind w:left="1440" w:hanging="720"/>
      </w:pPr>
      <w:rPr>
        <w:rFonts w:ascii="Calibri" w:hAnsi="Calibri" w:hint="default"/>
      </w:rPr>
    </w:lvl>
    <w:lvl w:ilvl="3">
      <w:start w:val="1"/>
      <w:numFmt w:val="lowerRoman"/>
      <w:lvlText w:val="%4"/>
      <w:lvlJc w:val="left"/>
      <w:pPr>
        <w:tabs>
          <w:tab w:val="num" w:pos="2160"/>
        </w:tabs>
        <w:ind w:left="2160" w:hanging="720"/>
      </w:pPr>
      <w:rPr>
        <w:rFonts w:ascii="Calibri" w:hAnsi="Calibri" w:hint="default"/>
      </w:rPr>
    </w:lvl>
    <w:lvl w:ilvl="4">
      <w:start w:val="1"/>
      <w:numFmt w:val="upperLetter"/>
      <w:lvlRestart w:val="0"/>
      <w:lvlText w:val="%5"/>
      <w:lvlJc w:val="left"/>
      <w:pPr>
        <w:tabs>
          <w:tab w:val="num" w:pos="2880"/>
        </w:tabs>
        <w:ind w:left="2880" w:hanging="720"/>
      </w:pPr>
      <w:rPr>
        <w:rFonts w:ascii="Calibri" w:hAnsi="Calibri" w:hint="default"/>
      </w:rPr>
    </w:lvl>
    <w:lvl w:ilvl="5">
      <w:start w:val="1"/>
      <w:numFmt w:val="none"/>
      <w:lvlRestart w:val="0"/>
      <w:lvlText w:val=""/>
      <w:lvlJc w:val="left"/>
      <w:pPr>
        <w:tabs>
          <w:tab w:val="num" w:pos="0"/>
        </w:tabs>
      </w:pPr>
      <w:rPr>
        <w:rFonts w:ascii="Calibri" w:hAnsi="Calibri" w:hint="default"/>
      </w:rPr>
    </w:lvl>
    <w:lvl w:ilvl="6">
      <w:start w:val="1"/>
      <w:numFmt w:val="none"/>
      <w:lvlRestart w:val="0"/>
      <w:suff w:val="nothing"/>
      <w:lvlText w:val=""/>
      <w:lvlJc w:val="right"/>
      <w:rPr>
        <w:rFonts w:hint="default"/>
      </w:rPr>
    </w:lvl>
    <w:lvl w:ilvl="7">
      <w:start w:val="1"/>
      <w:numFmt w:val="none"/>
      <w:lvlRestart w:val="0"/>
      <w:suff w:val="nothing"/>
      <w:lvlText w:val=""/>
      <w:lvlJc w:val="left"/>
      <w:rPr>
        <w:rFonts w:hint="default"/>
      </w:rPr>
    </w:lvl>
    <w:lvl w:ilvl="8">
      <w:start w:val="1"/>
      <w:numFmt w:val="none"/>
      <w:lvlRestart w:val="0"/>
      <w:suff w:val="nothing"/>
      <w:lvlText w:val=""/>
      <w:lvlJc w:val="right"/>
      <w:rPr>
        <w:rFonts w:hint="default"/>
      </w:rPr>
    </w:lvl>
  </w:abstractNum>
  <w:abstractNum w:abstractNumId="5" w15:restartNumberingAfterBreak="0">
    <w:nsid w:val="10BE0B79"/>
    <w:multiLevelType w:val="hybridMultilevel"/>
    <w:tmpl w:val="8214D8AA"/>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6" w15:restartNumberingAfterBreak="0">
    <w:nsid w:val="21600CC6"/>
    <w:multiLevelType w:val="hybridMultilevel"/>
    <w:tmpl w:val="53C88DB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7" w15:restartNumberingAfterBreak="0">
    <w:nsid w:val="227B0546"/>
    <w:multiLevelType w:val="hybridMultilevel"/>
    <w:tmpl w:val="BDD66A86"/>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15:restartNumberingAfterBreak="0">
    <w:nsid w:val="27CA2E0C"/>
    <w:multiLevelType w:val="hybridMultilevel"/>
    <w:tmpl w:val="70B6644C"/>
    <w:lvl w:ilvl="0" w:tplc="14090001">
      <w:start w:val="1"/>
      <w:numFmt w:val="bullet"/>
      <w:lvlText w:val=""/>
      <w:lvlJc w:val="left"/>
      <w:pPr>
        <w:ind w:left="1080" w:hanging="360"/>
      </w:pPr>
      <w:rPr>
        <w:rFonts w:ascii="Symbol" w:hAnsi="Symbol" w:hint="default"/>
      </w:rPr>
    </w:lvl>
    <w:lvl w:ilvl="1" w:tplc="14090003" w:tentative="1">
      <w:start w:val="1"/>
      <w:numFmt w:val="bullet"/>
      <w:lvlText w:val="o"/>
      <w:lvlJc w:val="left"/>
      <w:pPr>
        <w:ind w:left="1800" w:hanging="360"/>
      </w:pPr>
      <w:rPr>
        <w:rFonts w:ascii="Courier New" w:hAnsi="Courier New" w:cs="Courier New" w:hint="default"/>
      </w:rPr>
    </w:lvl>
    <w:lvl w:ilvl="2" w:tplc="14090005" w:tentative="1">
      <w:start w:val="1"/>
      <w:numFmt w:val="bullet"/>
      <w:lvlText w:val=""/>
      <w:lvlJc w:val="left"/>
      <w:pPr>
        <w:ind w:left="2520" w:hanging="360"/>
      </w:pPr>
      <w:rPr>
        <w:rFonts w:ascii="Wingdings" w:hAnsi="Wingdings" w:hint="default"/>
      </w:rPr>
    </w:lvl>
    <w:lvl w:ilvl="3" w:tplc="14090001" w:tentative="1">
      <w:start w:val="1"/>
      <w:numFmt w:val="bullet"/>
      <w:lvlText w:val=""/>
      <w:lvlJc w:val="left"/>
      <w:pPr>
        <w:ind w:left="3240" w:hanging="360"/>
      </w:pPr>
      <w:rPr>
        <w:rFonts w:ascii="Symbol" w:hAnsi="Symbol" w:hint="default"/>
      </w:rPr>
    </w:lvl>
    <w:lvl w:ilvl="4" w:tplc="14090003" w:tentative="1">
      <w:start w:val="1"/>
      <w:numFmt w:val="bullet"/>
      <w:lvlText w:val="o"/>
      <w:lvlJc w:val="left"/>
      <w:pPr>
        <w:ind w:left="3960" w:hanging="360"/>
      </w:pPr>
      <w:rPr>
        <w:rFonts w:ascii="Courier New" w:hAnsi="Courier New" w:cs="Courier New" w:hint="default"/>
      </w:rPr>
    </w:lvl>
    <w:lvl w:ilvl="5" w:tplc="14090005" w:tentative="1">
      <w:start w:val="1"/>
      <w:numFmt w:val="bullet"/>
      <w:lvlText w:val=""/>
      <w:lvlJc w:val="left"/>
      <w:pPr>
        <w:ind w:left="4680" w:hanging="360"/>
      </w:pPr>
      <w:rPr>
        <w:rFonts w:ascii="Wingdings" w:hAnsi="Wingdings" w:hint="default"/>
      </w:rPr>
    </w:lvl>
    <w:lvl w:ilvl="6" w:tplc="14090001" w:tentative="1">
      <w:start w:val="1"/>
      <w:numFmt w:val="bullet"/>
      <w:lvlText w:val=""/>
      <w:lvlJc w:val="left"/>
      <w:pPr>
        <w:ind w:left="5400" w:hanging="360"/>
      </w:pPr>
      <w:rPr>
        <w:rFonts w:ascii="Symbol" w:hAnsi="Symbol" w:hint="default"/>
      </w:rPr>
    </w:lvl>
    <w:lvl w:ilvl="7" w:tplc="14090003" w:tentative="1">
      <w:start w:val="1"/>
      <w:numFmt w:val="bullet"/>
      <w:lvlText w:val="o"/>
      <w:lvlJc w:val="left"/>
      <w:pPr>
        <w:ind w:left="6120" w:hanging="360"/>
      </w:pPr>
      <w:rPr>
        <w:rFonts w:ascii="Courier New" w:hAnsi="Courier New" w:cs="Courier New" w:hint="default"/>
      </w:rPr>
    </w:lvl>
    <w:lvl w:ilvl="8" w:tplc="14090005" w:tentative="1">
      <w:start w:val="1"/>
      <w:numFmt w:val="bullet"/>
      <w:lvlText w:val=""/>
      <w:lvlJc w:val="left"/>
      <w:pPr>
        <w:ind w:left="6840" w:hanging="360"/>
      </w:pPr>
      <w:rPr>
        <w:rFonts w:ascii="Wingdings" w:hAnsi="Wingdings" w:hint="default"/>
      </w:rPr>
    </w:lvl>
  </w:abstractNum>
  <w:abstractNum w:abstractNumId="9" w15:restartNumberingAfterBreak="0">
    <w:nsid w:val="34CB0EE7"/>
    <w:multiLevelType w:val="hybridMultilevel"/>
    <w:tmpl w:val="D1AEB8A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0" w15:restartNumberingAfterBreak="0">
    <w:nsid w:val="370F74E1"/>
    <w:multiLevelType w:val="hybridMultilevel"/>
    <w:tmpl w:val="51A47EE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1" w15:restartNumberingAfterBreak="0">
    <w:nsid w:val="392172D4"/>
    <w:multiLevelType w:val="hybridMultilevel"/>
    <w:tmpl w:val="EC68005E"/>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2" w15:restartNumberingAfterBreak="0">
    <w:nsid w:val="3A9C290F"/>
    <w:multiLevelType w:val="hybridMultilevel"/>
    <w:tmpl w:val="CF5445E4"/>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15:restartNumberingAfterBreak="0">
    <w:nsid w:val="4754163C"/>
    <w:multiLevelType w:val="hybridMultilevel"/>
    <w:tmpl w:val="9B14E39C"/>
    <w:lvl w:ilvl="0" w:tplc="1409000F">
      <w:start w:val="1"/>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4" w15:restartNumberingAfterBreak="0">
    <w:nsid w:val="4E4C7BDD"/>
    <w:multiLevelType w:val="multilevel"/>
    <w:tmpl w:val="4F10B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470C78"/>
    <w:multiLevelType w:val="hybridMultilevel"/>
    <w:tmpl w:val="49F6C010"/>
    <w:lvl w:ilvl="0" w:tplc="6882A794">
      <w:start w:val="5"/>
      <w:numFmt w:val="bullet"/>
      <w:lvlText w:val=""/>
      <w:lvlJc w:val="left"/>
      <w:pPr>
        <w:ind w:left="720" w:hanging="360"/>
      </w:pPr>
      <w:rPr>
        <w:rFonts w:ascii="Symbol" w:eastAsia="PMingLiU" w:hAnsi="Symbol" w:cs="Times New Roman"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6" w15:restartNumberingAfterBreak="0">
    <w:nsid w:val="6F427D3A"/>
    <w:multiLevelType w:val="hybridMultilevel"/>
    <w:tmpl w:val="E6F4B48C"/>
    <w:lvl w:ilvl="0" w:tplc="0409000F">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8C55A3"/>
    <w:multiLevelType w:val="hybridMultilevel"/>
    <w:tmpl w:val="3B4C5D98"/>
    <w:lvl w:ilvl="0" w:tplc="14090001">
      <w:start w:val="1"/>
      <w:numFmt w:val="bullet"/>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8" w15:restartNumberingAfterBreak="0">
    <w:nsid w:val="72027838"/>
    <w:multiLevelType w:val="hybridMultilevel"/>
    <w:tmpl w:val="E6F4B48C"/>
    <w:lvl w:ilvl="0" w:tplc="0409000F">
      <w:start w:val="1"/>
      <w:numFmt w:val="decimal"/>
      <w:lvlText w:val="%1."/>
      <w:lvlJc w:val="left"/>
      <w:pPr>
        <w:ind w:left="644"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60101B"/>
    <w:multiLevelType w:val="hybridMultilevel"/>
    <w:tmpl w:val="078CD3E4"/>
    <w:lvl w:ilvl="0" w:tplc="14090001">
      <w:start w:val="1"/>
      <w:numFmt w:val="bullet"/>
      <w:lvlText w:val=""/>
      <w:lvlJc w:val="left"/>
      <w:pPr>
        <w:ind w:left="1006" w:hanging="360"/>
      </w:pPr>
      <w:rPr>
        <w:rFonts w:ascii="Symbol" w:hAnsi="Symbol" w:hint="default"/>
      </w:rPr>
    </w:lvl>
    <w:lvl w:ilvl="1" w:tplc="14090003" w:tentative="1">
      <w:start w:val="1"/>
      <w:numFmt w:val="bullet"/>
      <w:lvlText w:val="o"/>
      <w:lvlJc w:val="left"/>
      <w:pPr>
        <w:ind w:left="1726" w:hanging="360"/>
      </w:pPr>
      <w:rPr>
        <w:rFonts w:ascii="Courier New" w:hAnsi="Courier New" w:cs="Courier New" w:hint="default"/>
      </w:rPr>
    </w:lvl>
    <w:lvl w:ilvl="2" w:tplc="14090005" w:tentative="1">
      <w:start w:val="1"/>
      <w:numFmt w:val="bullet"/>
      <w:lvlText w:val=""/>
      <w:lvlJc w:val="left"/>
      <w:pPr>
        <w:ind w:left="2446" w:hanging="360"/>
      </w:pPr>
      <w:rPr>
        <w:rFonts w:ascii="Wingdings" w:hAnsi="Wingdings" w:hint="default"/>
      </w:rPr>
    </w:lvl>
    <w:lvl w:ilvl="3" w:tplc="14090001" w:tentative="1">
      <w:start w:val="1"/>
      <w:numFmt w:val="bullet"/>
      <w:lvlText w:val=""/>
      <w:lvlJc w:val="left"/>
      <w:pPr>
        <w:ind w:left="3166" w:hanging="360"/>
      </w:pPr>
      <w:rPr>
        <w:rFonts w:ascii="Symbol" w:hAnsi="Symbol" w:hint="default"/>
      </w:rPr>
    </w:lvl>
    <w:lvl w:ilvl="4" w:tplc="14090003" w:tentative="1">
      <w:start w:val="1"/>
      <w:numFmt w:val="bullet"/>
      <w:lvlText w:val="o"/>
      <w:lvlJc w:val="left"/>
      <w:pPr>
        <w:ind w:left="3886" w:hanging="360"/>
      </w:pPr>
      <w:rPr>
        <w:rFonts w:ascii="Courier New" w:hAnsi="Courier New" w:cs="Courier New" w:hint="default"/>
      </w:rPr>
    </w:lvl>
    <w:lvl w:ilvl="5" w:tplc="14090005" w:tentative="1">
      <w:start w:val="1"/>
      <w:numFmt w:val="bullet"/>
      <w:lvlText w:val=""/>
      <w:lvlJc w:val="left"/>
      <w:pPr>
        <w:ind w:left="4606" w:hanging="360"/>
      </w:pPr>
      <w:rPr>
        <w:rFonts w:ascii="Wingdings" w:hAnsi="Wingdings" w:hint="default"/>
      </w:rPr>
    </w:lvl>
    <w:lvl w:ilvl="6" w:tplc="14090001" w:tentative="1">
      <w:start w:val="1"/>
      <w:numFmt w:val="bullet"/>
      <w:lvlText w:val=""/>
      <w:lvlJc w:val="left"/>
      <w:pPr>
        <w:ind w:left="5326" w:hanging="360"/>
      </w:pPr>
      <w:rPr>
        <w:rFonts w:ascii="Symbol" w:hAnsi="Symbol" w:hint="default"/>
      </w:rPr>
    </w:lvl>
    <w:lvl w:ilvl="7" w:tplc="14090003" w:tentative="1">
      <w:start w:val="1"/>
      <w:numFmt w:val="bullet"/>
      <w:lvlText w:val="o"/>
      <w:lvlJc w:val="left"/>
      <w:pPr>
        <w:ind w:left="6046" w:hanging="360"/>
      </w:pPr>
      <w:rPr>
        <w:rFonts w:ascii="Courier New" w:hAnsi="Courier New" w:cs="Courier New" w:hint="default"/>
      </w:rPr>
    </w:lvl>
    <w:lvl w:ilvl="8" w:tplc="14090005" w:tentative="1">
      <w:start w:val="1"/>
      <w:numFmt w:val="bullet"/>
      <w:lvlText w:val=""/>
      <w:lvlJc w:val="left"/>
      <w:pPr>
        <w:ind w:left="6766" w:hanging="360"/>
      </w:pPr>
      <w:rPr>
        <w:rFonts w:ascii="Wingdings" w:hAnsi="Wingdings" w:hint="default"/>
      </w:rPr>
    </w:lvl>
  </w:abstractNum>
  <w:num w:numId="1">
    <w:abstractNumId w:val="4"/>
  </w:num>
  <w:num w:numId="2">
    <w:abstractNumId w:val="16"/>
  </w:num>
  <w:num w:numId="3">
    <w:abstractNumId w:val="19"/>
  </w:num>
  <w:num w:numId="4">
    <w:abstractNumId w:val="8"/>
  </w:num>
  <w:num w:numId="5">
    <w:abstractNumId w:val="18"/>
  </w:num>
  <w:num w:numId="6">
    <w:abstractNumId w:val="1"/>
  </w:num>
  <w:num w:numId="7">
    <w:abstractNumId w:val="13"/>
  </w:num>
  <w:num w:numId="8">
    <w:abstractNumId w:val="0"/>
  </w:num>
  <w:num w:numId="9">
    <w:abstractNumId w:val="15"/>
  </w:num>
  <w:num w:numId="10">
    <w:abstractNumId w:val="11"/>
  </w:num>
  <w:num w:numId="11">
    <w:abstractNumId w:val="7"/>
  </w:num>
  <w:num w:numId="12">
    <w:abstractNumId w:val="14"/>
  </w:num>
  <w:num w:numId="13">
    <w:abstractNumId w:val="6"/>
  </w:num>
  <w:num w:numId="14">
    <w:abstractNumId w:val="12"/>
  </w:num>
  <w:num w:numId="15">
    <w:abstractNumId w:val="5"/>
  </w:num>
  <w:num w:numId="16">
    <w:abstractNumId w:val="17"/>
  </w:num>
  <w:num w:numId="17">
    <w:abstractNumId w:val="2"/>
  </w:num>
  <w:num w:numId="18">
    <w:abstractNumId w:val="9"/>
  </w:num>
  <w:num w:numId="19">
    <w:abstractNumId w:val="3"/>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6D7"/>
    <w:rsid w:val="00002F53"/>
    <w:rsid w:val="000242BB"/>
    <w:rsid w:val="00070261"/>
    <w:rsid w:val="00074C6D"/>
    <w:rsid w:val="00080A9E"/>
    <w:rsid w:val="00091739"/>
    <w:rsid w:val="000957F8"/>
    <w:rsid w:val="000A2C8E"/>
    <w:rsid w:val="000D673C"/>
    <w:rsid w:val="000E1B59"/>
    <w:rsid w:val="00112996"/>
    <w:rsid w:val="0013248D"/>
    <w:rsid w:val="0014383D"/>
    <w:rsid w:val="00144071"/>
    <w:rsid w:val="00182AD7"/>
    <w:rsid w:val="00190B9D"/>
    <w:rsid w:val="001B5ADC"/>
    <w:rsid w:val="001C3016"/>
    <w:rsid w:val="001C7B2D"/>
    <w:rsid w:val="001D410E"/>
    <w:rsid w:val="001D5D2B"/>
    <w:rsid w:val="002144AB"/>
    <w:rsid w:val="00224B6F"/>
    <w:rsid w:val="00242E6F"/>
    <w:rsid w:val="002556B5"/>
    <w:rsid w:val="00265492"/>
    <w:rsid w:val="002873A4"/>
    <w:rsid w:val="0029201A"/>
    <w:rsid w:val="002A4F53"/>
    <w:rsid w:val="002A559A"/>
    <w:rsid w:val="002B4883"/>
    <w:rsid w:val="002B7DFB"/>
    <w:rsid w:val="002C0E5B"/>
    <w:rsid w:val="002C64E0"/>
    <w:rsid w:val="002F239A"/>
    <w:rsid w:val="002F2C5F"/>
    <w:rsid w:val="002F39C0"/>
    <w:rsid w:val="00306077"/>
    <w:rsid w:val="0031747C"/>
    <w:rsid w:val="00322DF8"/>
    <w:rsid w:val="00323B2A"/>
    <w:rsid w:val="00327294"/>
    <w:rsid w:val="0033346C"/>
    <w:rsid w:val="00333857"/>
    <w:rsid w:val="00334EF1"/>
    <w:rsid w:val="00340ED0"/>
    <w:rsid w:val="00340F3F"/>
    <w:rsid w:val="00343F06"/>
    <w:rsid w:val="00360FAF"/>
    <w:rsid w:val="00362DEA"/>
    <w:rsid w:val="00374282"/>
    <w:rsid w:val="00377903"/>
    <w:rsid w:val="0038245F"/>
    <w:rsid w:val="00387FD6"/>
    <w:rsid w:val="00397432"/>
    <w:rsid w:val="003B0403"/>
    <w:rsid w:val="003F3F19"/>
    <w:rsid w:val="004015CB"/>
    <w:rsid w:val="00403432"/>
    <w:rsid w:val="00406C6F"/>
    <w:rsid w:val="004326FB"/>
    <w:rsid w:val="00433654"/>
    <w:rsid w:val="00434993"/>
    <w:rsid w:val="00434CB9"/>
    <w:rsid w:val="00440309"/>
    <w:rsid w:val="00441060"/>
    <w:rsid w:val="004529F7"/>
    <w:rsid w:val="0045698E"/>
    <w:rsid w:val="00471B96"/>
    <w:rsid w:val="00472874"/>
    <w:rsid w:val="00480176"/>
    <w:rsid w:val="004828E1"/>
    <w:rsid w:val="0048463E"/>
    <w:rsid w:val="00487DB9"/>
    <w:rsid w:val="004A0E4D"/>
    <w:rsid w:val="004A53FB"/>
    <w:rsid w:val="004A61E2"/>
    <w:rsid w:val="004B69A6"/>
    <w:rsid w:val="004B735E"/>
    <w:rsid w:val="004C0F6B"/>
    <w:rsid w:val="004C26D0"/>
    <w:rsid w:val="004D6D7F"/>
    <w:rsid w:val="004F596D"/>
    <w:rsid w:val="00501311"/>
    <w:rsid w:val="00514C8E"/>
    <w:rsid w:val="0051655D"/>
    <w:rsid w:val="00542D0D"/>
    <w:rsid w:val="0054386C"/>
    <w:rsid w:val="00545A62"/>
    <w:rsid w:val="00556693"/>
    <w:rsid w:val="00567885"/>
    <w:rsid w:val="00570C7B"/>
    <w:rsid w:val="005816A2"/>
    <w:rsid w:val="005845A5"/>
    <w:rsid w:val="00587975"/>
    <w:rsid w:val="00597C7E"/>
    <w:rsid w:val="005A08FE"/>
    <w:rsid w:val="005B5ED1"/>
    <w:rsid w:val="005C50AE"/>
    <w:rsid w:val="005D0491"/>
    <w:rsid w:val="005D2C9C"/>
    <w:rsid w:val="005E5734"/>
    <w:rsid w:val="005F468C"/>
    <w:rsid w:val="00602047"/>
    <w:rsid w:val="006043A9"/>
    <w:rsid w:val="00604E75"/>
    <w:rsid w:val="006063C3"/>
    <w:rsid w:val="006357F7"/>
    <w:rsid w:val="00651B1C"/>
    <w:rsid w:val="00653B97"/>
    <w:rsid w:val="00665B8D"/>
    <w:rsid w:val="006735BF"/>
    <w:rsid w:val="00673BC0"/>
    <w:rsid w:val="00677682"/>
    <w:rsid w:val="0068178D"/>
    <w:rsid w:val="00691A6D"/>
    <w:rsid w:val="006B2C4D"/>
    <w:rsid w:val="006B3CDB"/>
    <w:rsid w:val="006C068F"/>
    <w:rsid w:val="006C44DA"/>
    <w:rsid w:val="006C5DA3"/>
    <w:rsid w:val="006D1C10"/>
    <w:rsid w:val="006E5063"/>
    <w:rsid w:val="006F038B"/>
    <w:rsid w:val="006F0658"/>
    <w:rsid w:val="0070027F"/>
    <w:rsid w:val="007060A7"/>
    <w:rsid w:val="00727427"/>
    <w:rsid w:val="00731F40"/>
    <w:rsid w:val="00732568"/>
    <w:rsid w:val="00733C98"/>
    <w:rsid w:val="00743912"/>
    <w:rsid w:val="00775BF3"/>
    <w:rsid w:val="00781E83"/>
    <w:rsid w:val="00784B2D"/>
    <w:rsid w:val="00786ED5"/>
    <w:rsid w:val="00792E23"/>
    <w:rsid w:val="007B4526"/>
    <w:rsid w:val="007B4D73"/>
    <w:rsid w:val="007B77CE"/>
    <w:rsid w:val="007C0AC3"/>
    <w:rsid w:val="007C5D21"/>
    <w:rsid w:val="007F12AB"/>
    <w:rsid w:val="007F3F52"/>
    <w:rsid w:val="0080003B"/>
    <w:rsid w:val="00802671"/>
    <w:rsid w:val="00813CF9"/>
    <w:rsid w:val="00816B1D"/>
    <w:rsid w:val="00837F5C"/>
    <w:rsid w:val="00851126"/>
    <w:rsid w:val="008541F8"/>
    <w:rsid w:val="00874CE2"/>
    <w:rsid w:val="00882AF8"/>
    <w:rsid w:val="00892DB1"/>
    <w:rsid w:val="008A40FC"/>
    <w:rsid w:val="008A4436"/>
    <w:rsid w:val="008B625A"/>
    <w:rsid w:val="008F6BC2"/>
    <w:rsid w:val="009100D7"/>
    <w:rsid w:val="00941077"/>
    <w:rsid w:val="009754CF"/>
    <w:rsid w:val="00984A6B"/>
    <w:rsid w:val="00987B91"/>
    <w:rsid w:val="00990D0E"/>
    <w:rsid w:val="009920D4"/>
    <w:rsid w:val="00993299"/>
    <w:rsid w:val="009A2207"/>
    <w:rsid w:val="009A4E82"/>
    <w:rsid w:val="009B574D"/>
    <w:rsid w:val="009D0380"/>
    <w:rsid w:val="009E3DF2"/>
    <w:rsid w:val="00A026D7"/>
    <w:rsid w:val="00A12EA8"/>
    <w:rsid w:val="00A52CF3"/>
    <w:rsid w:val="00A539F1"/>
    <w:rsid w:val="00A56061"/>
    <w:rsid w:val="00A61926"/>
    <w:rsid w:val="00A77ACA"/>
    <w:rsid w:val="00A861BE"/>
    <w:rsid w:val="00A94216"/>
    <w:rsid w:val="00AA3062"/>
    <w:rsid w:val="00AA4FB5"/>
    <w:rsid w:val="00AB399B"/>
    <w:rsid w:val="00AB5CEF"/>
    <w:rsid w:val="00AC263F"/>
    <w:rsid w:val="00AF49B0"/>
    <w:rsid w:val="00B03B56"/>
    <w:rsid w:val="00B105DE"/>
    <w:rsid w:val="00B229BB"/>
    <w:rsid w:val="00B22A39"/>
    <w:rsid w:val="00B51FFA"/>
    <w:rsid w:val="00B757EA"/>
    <w:rsid w:val="00B77212"/>
    <w:rsid w:val="00B80169"/>
    <w:rsid w:val="00B949D8"/>
    <w:rsid w:val="00BA1019"/>
    <w:rsid w:val="00BA48C3"/>
    <w:rsid w:val="00BB0D28"/>
    <w:rsid w:val="00BC6A68"/>
    <w:rsid w:val="00BD661C"/>
    <w:rsid w:val="00BF1CA5"/>
    <w:rsid w:val="00C3438A"/>
    <w:rsid w:val="00C3651E"/>
    <w:rsid w:val="00C372F1"/>
    <w:rsid w:val="00C40B19"/>
    <w:rsid w:val="00C46139"/>
    <w:rsid w:val="00C5316A"/>
    <w:rsid w:val="00C6034C"/>
    <w:rsid w:val="00C676ED"/>
    <w:rsid w:val="00C83F94"/>
    <w:rsid w:val="00C93ED1"/>
    <w:rsid w:val="00C95C9B"/>
    <w:rsid w:val="00CA2F50"/>
    <w:rsid w:val="00CA6843"/>
    <w:rsid w:val="00CD3B92"/>
    <w:rsid w:val="00CD6BAE"/>
    <w:rsid w:val="00CD779E"/>
    <w:rsid w:val="00CE4460"/>
    <w:rsid w:val="00CE627D"/>
    <w:rsid w:val="00CF1F48"/>
    <w:rsid w:val="00CF3426"/>
    <w:rsid w:val="00D03568"/>
    <w:rsid w:val="00D1544B"/>
    <w:rsid w:val="00D32BFD"/>
    <w:rsid w:val="00D50DDB"/>
    <w:rsid w:val="00D5644F"/>
    <w:rsid w:val="00D63707"/>
    <w:rsid w:val="00D65721"/>
    <w:rsid w:val="00D8681F"/>
    <w:rsid w:val="00D869AC"/>
    <w:rsid w:val="00DA7179"/>
    <w:rsid w:val="00DE5B5D"/>
    <w:rsid w:val="00DF6429"/>
    <w:rsid w:val="00E24B77"/>
    <w:rsid w:val="00E302BE"/>
    <w:rsid w:val="00E3248D"/>
    <w:rsid w:val="00E329AC"/>
    <w:rsid w:val="00E415DB"/>
    <w:rsid w:val="00E43088"/>
    <w:rsid w:val="00E61064"/>
    <w:rsid w:val="00E665A2"/>
    <w:rsid w:val="00E73A71"/>
    <w:rsid w:val="00E75D8A"/>
    <w:rsid w:val="00EB5CAC"/>
    <w:rsid w:val="00ED1FB4"/>
    <w:rsid w:val="00EF5D1C"/>
    <w:rsid w:val="00F1325C"/>
    <w:rsid w:val="00F149BD"/>
    <w:rsid w:val="00F208BE"/>
    <w:rsid w:val="00F22C5B"/>
    <w:rsid w:val="00F338C4"/>
    <w:rsid w:val="00F33F2B"/>
    <w:rsid w:val="00F36C3A"/>
    <w:rsid w:val="00F40BE1"/>
    <w:rsid w:val="00F44627"/>
    <w:rsid w:val="00F5300B"/>
    <w:rsid w:val="00F53BCB"/>
    <w:rsid w:val="00F7415B"/>
    <w:rsid w:val="00F75961"/>
    <w:rsid w:val="00F7742A"/>
    <w:rsid w:val="00F84C11"/>
    <w:rsid w:val="00F92C5E"/>
    <w:rsid w:val="00F95346"/>
    <w:rsid w:val="00FA10E7"/>
    <w:rsid w:val="00FA65E9"/>
    <w:rsid w:val="00FA7465"/>
    <w:rsid w:val="00FB3FAB"/>
    <w:rsid w:val="00FC520D"/>
    <w:rsid w:val="00FD1945"/>
    <w:rsid w:val="00FD4CB9"/>
    <w:rsid w:val="00FD7E63"/>
    <w:rsid w:val="00FF7D24"/>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00B70"/>
  <w15:chartTrackingRefBased/>
  <w15:docId w15:val="{E785E0BA-8A66-4377-B066-62FB3FD65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N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26D7"/>
    <w:pPr>
      <w:spacing w:after="200" w:line="276" w:lineRule="auto"/>
    </w:pPr>
    <w:rPr>
      <w:rFonts w:ascii="Calibri" w:eastAsia="PMingLiU" w:hAnsi="Calibri" w:cs="Times New Roman"/>
      <w:lang w:eastAsia="zh-TW"/>
    </w:rPr>
  </w:style>
  <w:style w:type="paragraph" w:styleId="Heading1">
    <w:name w:val="heading 1"/>
    <w:basedOn w:val="Normal"/>
    <w:next w:val="Normal"/>
    <w:link w:val="Heading1Char"/>
    <w:uiPriority w:val="99"/>
    <w:qFormat/>
    <w:rsid w:val="00144071"/>
    <w:pPr>
      <w:keepNext/>
      <w:keepLines/>
      <w:spacing w:before="240" w:after="0"/>
      <w:outlineLvl w:val="0"/>
    </w:pPr>
    <w:rPr>
      <w:rFonts w:asciiTheme="majorHAnsi" w:eastAsiaTheme="majorEastAsia" w:hAnsiTheme="majorHAnsi" w:cstheme="majorBidi"/>
      <w:color w:val="3FC4CA" w:themeColor="accent1" w:themeShade="BF"/>
      <w:sz w:val="32"/>
      <w:szCs w:val="32"/>
    </w:rPr>
  </w:style>
  <w:style w:type="paragraph" w:styleId="Heading2">
    <w:name w:val="heading 2"/>
    <w:basedOn w:val="Normal"/>
    <w:next w:val="Normal"/>
    <w:link w:val="Heading2Char"/>
    <w:uiPriority w:val="99"/>
    <w:unhideWhenUsed/>
    <w:qFormat/>
    <w:rsid w:val="00144071"/>
    <w:pPr>
      <w:keepNext/>
      <w:keepLines/>
      <w:spacing w:before="40" w:after="0"/>
      <w:outlineLvl w:val="1"/>
    </w:pPr>
    <w:rPr>
      <w:rFonts w:asciiTheme="majorHAnsi" w:eastAsiaTheme="majorEastAsia" w:hAnsiTheme="majorHAnsi" w:cstheme="majorBidi"/>
      <w:color w:val="3FC4CA" w:themeColor="accent1" w:themeShade="BF"/>
      <w:sz w:val="26"/>
      <w:szCs w:val="26"/>
    </w:rPr>
  </w:style>
  <w:style w:type="paragraph" w:styleId="Heading3">
    <w:name w:val="heading 3"/>
    <w:basedOn w:val="Normal"/>
    <w:next w:val="Normal"/>
    <w:link w:val="Heading3Char"/>
    <w:uiPriority w:val="99"/>
    <w:unhideWhenUsed/>
    <w:qFormat/>
    <w:rsid w:val="00144071"/>
    <w:pPr>
      <w:keepNext/>
      <w:keepLines/>
      <w:spacing w:before="40" w:after="0"/>
      <w:outlineLvl w:val="2"/>
    </w:pPr>
    <w:rPr>
      <w:rFonts w:asciiTheme="majorHAnsi" w:eastAsiaTheme="majorEastAsia" w:hAnsiTheme="majorHAnsi" w:cstheme="majorBidi"/>
      <w:color w:val="26868B" w:themeColor="accent1" w:themeShade="7F"/>
      <w:sz w:val="24"/>
      <w:szCs w:val="24"/>
    </w:rPr>
  </w:style>
  <w:style w:type="paragraph" w:styleId="Heading4">
    <w:name w:val="heading 4"/>
    <w:basedOn w:val="Normal"/>
    <w:next w:val="Normal"/>
    <w:link w:val="Heading4Char"/>
    <w:uiPriority w:val="99"/>
    <w:qFormat/>
    <w:rsid w:val="00A026D7"/>
    <w:pPr>
      <w:tabs>
        <w:tab w:val="num" w:pos="2160"/>
      </w:tabs>
      <w:spacing w:after="0" w:line="240" w:lineRule="auto"/>
      <w:ind w:left="2160" w:hanging="720"/>
      <w:jc w:val="both"/>
      <w:outlineLvl w:val="3"/>
    </w:pPr>
    <w:rPr>
      <w:rFonts w:eastAsia="Times New Roman"/>
      <w:lang w:val="x-none" w:eastAsia="en-US"/>
    </w:rPr>
  </w:style>
  <w:style w:type="paragraph" w:styleId="Heading5">
    <w:name w:val="heading 5"/>
    <w:basedOn w:val="Normal"/>
    <w:next w:val="Normal"/>
    <w:link w:val="Heading5Char"/>
    <w:uiPriority w:val="99"/>
    <w:qFormat/>
    <w:rsid w:val="00A026D7"/>
    <w:pPr>
      <w:tabs>
        <w:tab w:val="num" w:pos="2880"/>
      </w:tabs>
      <w:spacing w:after="0" w:line="240" w:lineRule="auto"/>
      <w:ind w:left="2880" w:hanging="720"/>
      <w:jc w:val="both"/>
      <w:outlineLvl w:val="4"/>
    </w:pPr>
    <w:rPr>
      <w:rFonts w:eastAsia="Times New Roman"/>
      <w:lang w:val="x-none"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4071"/>
    <w:rPr>
      <w:rFonts w:asciiTheme="majorHAnsi" w:eastAsiaTheme="majorEastAsia" w:hAnsiTheme="majorHAnsi" w:cstheme="majorBidi"/>
      <w:color w:val="3FC4CA" w:themeColor="accent1" w:themeShade="BF"/>
      <w:sz w:val="32"/>
      <w:szCs w:val="32"/>
    </w:rPr>
  </w:style>
  <w:style w:type="character" w:customStyle="1" w:styleId="Heading2Char">
    <w:name w:val="Heading 2 Char"/>
    <w:basedOn w:val="DefaultParagraphFont"/>
    <w:link w:val="Heading2"/>
    <w:uiPriority w:val="9"/>
    <w:rsid w:val="00144071"/>
    <w:rPr>
      <w:rFonts w:asciiTheme="majorHAnsi" w:eastAsiaTheme="majorEastAsia" w:hAnsiTheme="majorHAnsi" w:cstheme="majorBidi"/>
      <w:color w:val="3FC4CA" w:themeColor="accent1" w:themeShade="BF"/>
      <w:sz w:val="26"/>
      <w:szCs w:val="26"/>
    </w:rPr>
  </w:style>
  <w:style w:type="character" w:customStyle="1" w:styleId="Heading3Char">
    <w:name w:val="Heading 3 Char"/>
    <w:basedOn w:val="DefaultParagraphFont"/>
    <w:link w:val="Heading3"/>
    <w:uiPriority w:val="99"/>
    <w:rsid w:val="00144071"/>
    <w:rPr>
      <w:rFonts w:asciiTheme="majorHAnsi" w:eastAsiaTheme="majorEastAsia" w:hAnsiTheme="majorHAnsi" w:cstheme="majorBidi"/>
      <w:color w:val="26868B" w:themeColor="accent1" w:themeShade="7F"/>
      <w:sz w:val="24"/>
      <w:szCs w:val="24"/>
    </w:rPr>
  </w:style>
  <w:style w:type="paragraph" w:styleId="ListParagraph">
    <w:name w:val="List Paragraph"/>
    <w:basedOn w:val="Normal"/>
    <w:uiPriority w:val="34"/>
    <w:qFormat/>
    <w:rsid w:val="00144071"/>
    <w:pPr>
      <w:ind w:left="720"/>
      <w:contextualSpacing/>
    </w:pPr>
  </w:style>
  <w:style w:type="character" w:customStyle="1" w:styleId="Heading4Char">
    <w:name w:val="Heading 4 Char"/>
    <w:basedOn w:val="DefaultParagraphFont"/>
    <w:link w:val="Heading4"/>
    <w:uiPriority w:val="99"/>
    <w:rsid w:val="00A026D7"/>
    <w:rPr>
      <w:rFonts w:ascii="Calibri" w:eastAsia="Times New Roman" w:hAnsi="Calibri" w:cs="Times New Roman"/>
      <w:lang w:val="x-none"/>
    </w:rPr>
  </w:style>
  <w:style w:type="character" w:customStyle="1" w:styleId="Heading5Char">
    <w:name w:val="Heading 5 Char"/>
    <w:basedOn w:val="DefaultParagraphFont"/>
    <w:link w:val="Heading5"/>
    <w:uiPriority w:val="99"/>
    <w:rsid w:val="00A026D7"/>
    <w:rPr>
      <w:rFonts w:ascii="Calibri" w:eastAsia="Times New Roman" w:hAnsi="Calibri" w:cs="Times New Roman"/>
      <w:lang w:val="x-none"/>
    </w:rPr>
  </w:style>
  <w:style w:type="character" w:styleId="Hyperlink">
    <w:name w:val="Hyperlink"/>
    <w:uiPriority w:val="99"/>
    <w:unhideWhenUsed/>
    <w:rsid w:val="00A026D7"/>
    <w:rPr>
      <w:color w:val="0000FF"/>
      <w:u w:val="single"/>
    </w:rPr>
  </w:style>
  <w:style w:type="paragraph" w:styleId="EndnoteText">
    <w:name w:val="endnote text"/>
    <w:basedOn w:val="Normal"/>
    <w:link w:val="EndnoteTextChar"/>
    <w:semiHidden/>
    <w:unhideWhenUsed/>
    <w:rsid w:val="00A026D7"/>
    <w:rPr>
      <w:rFonts w:ascii="Times New Roman" w:eastAsia="Calibri" w:hAnsi="Times New Roman"/>
      <w:sz w:val="20"/>
      <w:szCs w:val="20"/>
      <w:lang w:val="x-none" w:eastAsia="en-US"/>
    </w:rPr>
  </w:style>
  <w:style w:type="character" w:customStyle="1" w:styleId="EndnoteTextChar">
    <w:name w:val="Endnote Text Char"/>
    <w:basedOn w:val="DefaultParagraphFont"/>
    <w:link w:val="EndnoteText"/>
    <w:semiHidden/>
    <w:rsid w:val="00A026D7"/>
    <w:rPr>
      <w:rFonts w:ascii="Times New Roman" w:eastAsia="Calibri" w:hAnsi="Times New Roman" w:cs="Times New Roman"/>
      <w:sz w:val="20"/>
      <w:szCs w:val="20"/>
      <w:lang w:val="x-none"/>
    </w:rPr>
  </w:style>
  <w:style w:type="character" w:styleId="EndnoteReference">
    <w:name w:val="endnote reference"/>
    <w:semiHidden/>
    <w:unhideWhenUsed/>
    <w:rsid w:val="00A026D7"/>
    <w:rPr>
      <w:vertAlign w:val="superscript"/>
    </w:rPr>
  </w:style>
  <w:style w:type="paragraph" w:styleId="NormalWeb">
    <w:name w:val="Normal (Web)"/>
    <w:basedOn w:val="Normal"/>
    <w:uiPriority w:val="99"/>
    <w:unhideWhenUsed/>
    <w:rsid w:val="00A026D7"/>
    <w:pPr>
      <w:spacing w:before="100" w:beforeAutospacing="1" w:after="100" w:afterAutospacing="1" w:line="240" w:lineRule="auto"/>
    </w:pPr>
    <w:rPr>
      <w:rFonts w:ascii="Times New Roman" w:eastAsia="Times New Roman" w:hAnsi="Times New Roman"/>
      <w:sz w:val="24"/>
      <w:szCs w:val="24"/>
      <w:lang w:eastAsia="en-NZ"/>
    </w:rPr>
  </w:style>
  <w:style w:type="paragraph" w:styleId="Header">
    <w:name w:val="header"/>
    <w:basedOn w:val="Normal"/>
    <w:link w:val="HeaderChar"/>
    <w:uiPriority w:val="99"/>
    <w:unhideWhenUsed/>
    <w:rsid w:val="00A026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6D7"/>
    <w:rPr>
      <w:rFonts w:ascii="Calibri" w:eastAsia="PMingLiU" w:hAnsi="Calibri" w:cs="Times New Roman"/>
      <w:lang w:eastAsia="zh-TW"/>
    </w:rPr>
  </w:style>
  <w:style w:type="paragraph" w:styleId="Footer">
    <w:name w:val="footer"/>
    <w:basedOn w:val="Normal"/>
    <w:link w:val="FooterChar"/>
    <w:uiPriority w:val="99"/>
    <w:unhideWhenUsed/>
    <w:rsid w:val="00A026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6D7"/>
    <w:rPr>
      <w:rFonts w:ascii="Calibri" w:eastAsia="PMingLiU" w:hAnsi="Calibri" w:cs="Times New Roman"/>
      <w:lang w:eastAsia="zh-TW"/>
    </w:rPr>
  </w:style>
  <w:style w:type="paragraph" w:styleId="FootnoteText">
    <w:name w:val="footnote text"/>
    <w:basedOn w:val="Normal"/>
    <w:link w:val="FootnoteTextChar"/>
    <w:uiPriority w:val="99"/>
    <w:unhideWhenUsed/>
    <w:qFormat/>
    <w:rsid w:val="00C676ED"/>
    <w:pPr>
      <w:spacing w:after="0" w:line="240"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C676ED"/>
    <w:rPr>
      <w:sz w:val="20"/>
      <w:szCs w:val="20"/>
    </w:rPr>
  </w:style>
  <w:style w:type="character" w:styleId="FootnoteReference">
    <w:name w:val="footnote reference"/>
    <w:basedOn w:val="DefaultParagraphFont"/>
    <w:uiPriority w:val="99"/>
    <w:unhideWhenUsed/>
    <w:rsid w:val="00C676ED"/>
    <w:rPr>
      <w:vertAlign w:val="superscript"/>
    </w:rPr>
  </w:style>
  <w:style w:type="character" w:styleId="CommentReference">
    <w:name w:val="annotation reference"/>
    <w:basedOn w:val="DefaultParagraphFont"/>
    <w:uiPriority w:val="99"/>
    <w:semiHidden/>
    <w:unhideWhenUsed/>
    <w:rsid w:val="00C676ED"/>
    <w:rPr>
      <w:sz w:val="16"/>
      <w:szCs w:val="16"/>
    </w:rPr>
  </w:style>
  <w:style w:type="paragraph" w:styleId="CommentText">
    <w:name w:val="annotation text"/>
    <w:basedOn w:val="Normal"/>
    <w:link w:val="CommentTextChar"/>
    <w:uiPriority w:val="99"/>
    <w:semiHidden/>
    <w:unhideWhenUsed/>
    <w:rsid w:val="00C676ED"/>
    <w:pPr>
      <w:spacing w:after="160" w:line="240"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sid w:val="00C676ED"/>
    <w:rPr>
      <w:sz w:val="20"/>
      <w:szCs w:val="20"/>
    </w:rPr>
  </w:style>
  <w:style w:type="paragraph" w:styleId="BalloonText">
    <w:name w:val="Balloon Text"/>
    <w:basedOn w:val="Normal"/>
    <w:link w:val="BalloonTextChar"/>
    <w:uiPriority w:val="99"/>
    <w:semiHidden/>
    <w:unhideWhenUsed/>
    <w:rsid w:val="00C676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76ED"/>
    <w:rPr>
      <w:rFonts w:ascii="Segoe UI" w:eastAsia="PMingLiU" w:hAnsi="Segoe UI" w:cs="Segoe UI"/>
      <w:sz w:val="18"/>
      <w:szCs w:val="18"/>
      <w:lang w:eastAsia="zh-TW"/>
    </w:rPr>
  </w:style>
  <w:style w:type="character" w:customStyle="1" w:styleId="il">
    <w:name w:val="il"/>
    <w:basedOn w:val="DefaultParagraphFont"/>
    <w:rsid w:val="005F468C"/>
  </w:style>
  <w:style w:type="character" w:customStyle="1" w:styleId="UnresolvedMention1">
    <w:name w:val="Unresolved Mention1"/>
    <w:basedOn w:val="DefaultParagraphFont"/>
    <w:uiPriority w:val="99"/>
    <w:semiHidden/>
    <w:unhideWhenUsed/>
    <w:rsid w:val="00A61926"/>
    <w:rPr>
      <w:color w:val="605E5C"/>
      <w:shd w:val="clear" w:color="auto" w:fill="E1DFDD"/>
    </w:rPr>
  </w:style>
  <w:style w:type="character" w:styleId="Strong">
    <w:name w:val="Strong"/>
    <w:basedOn w:val="DefaultParagraphFont"/>
    <w:uiPriority w:val="22"/>
    <w:qFormat/>
    <w:rsid w:val="002B7DFB"/>
    <w:rPr>
      <w:b/>
      <w:bCs/>
    </w:rPr>
  </w:style>
  <w:style w:type="character" w:styleId="Emphasis">
    <w:name w:val="Emphasis"/>
    <w:basedOn w:val="DefaultParagraphFont"/>
    <w:uiPriority w:val="20"/>
    <w:qFormat/>
    <w:rsid w:val="002B7DFB"/>
    <w:rPr>
      <w:i/>
      <w:iCs/>
    </w:rPr>
  </w:style>
  <w:style w:type="table" w:styleId="TableGrid">
    <w:name w:val="Table Grid"/>
    <w:basedOn w:val="TableNormal"/>
    <w:uiPriority w:val="39"/>
    <w:rsid w:val="006D1C10"/>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D3B92"/>
    <w:rPr>
      <w:color w:val="9F6715" w:themeColor="followedHyperlink"/>
      <w:u w:val="single"/>
    </w:rPr>
  </w:style>
  <w:style w:type="paragraph" w:styleId="Revision">
    <w:name w:val="Revision"/>
    <w:hidden/>
    <w:uiPriority w:val="99"/>
    <w:semiHidden/>
    <w:rsid w:val="00D65721"/>
    <w:pPr>
      <w:spacing w:after="0" w:line="240" w:lineRule="auto"/>
    </w:pPr>
    <w:rPr>
      <w:rFonts w:ascii="Calibri" w:eastAsia="PMingLiU" w:hAnsi="Calibri" w:cs="Times New Roman"/>
      <w:lang w:eastAsia="zh-TW"/>
    </w:rPr>
  </w:style>
  <w:style w:type="paragraph" w:styleId="CommentSubject">
    <w:name w:val="annotation subject"/>
    <w:basedOn w:val="CommentText"/>
    <w:next w:val="CommentText"/>
    <w:link w:val="CommentSubjectChar"/>
    <w:uiPriority w:val="99"/>
    <w:semiHidden/>
    <w:unhideWhenUsed/>
    <w:rsid w:val="00AB5CEF"/>
    <w:pPr>
      <w:spacing w:after="200"/>
    </w:pPr>
    <w:rPr>
      <w:rFonts w:ascii="Calibri" w:eastAsia="PMingLiU" w:hAnsi="Calibri" w:cs="Times New Roman"/>
      <w:b/>
      <w:bCs/>
      <w:lang w:eastAsia="zh-TW"/>
    </w:rPr>
  </w:style>
  <w:style w:type="character" w:customStyle="1" w:styleId="CommentSubjectChar">
    <w:name w:val="Comment Subject Char"/>
    <w:basedOn w:val="CommentTextChar"/>
    <w:link w:val="CommentSubject"/>
    <w:uiPriority w:val="99"/>
    <w:semiHidden/>
    <w:rsid w:val="00AB5CEF"/>
    <w:rPr>
      <w:rFonts w:ascii="Calibri" w:eastAsia="PMingLiU" w:hAnsi="Calibri" w:cs="Times New Roman"/>
      <w:b/>
      <w:bCs/>
      <w:sz w:val="20"/>
      <w:szCs w:val="20"/>
      <w:lang w:eastAsia="zh-TW"/>
    </w:rPr>
  </w:style>
  <w:style w:type="character" w:styleId="UnresolvedMention">
    <w:name w:val="Unresolved Mention"/>
    <w:basedOn w:val="DefaultParagraphFont"/>
    <w:uiPriority w:val="99"/>
    <w:semiHidden/>
    <w:unhideWhenUsed/>
    <w:rsid w:val="00F774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661606">
      <w:bodyDiv w:val="1"/>
      <w:marLeft w:val="0"/>
      <w:marRight w:val="0"/>
      <w:marTop w:val="0"/>
      <w:marBottom w:val="0"/>
      <w:divBdr>
        <w:top w:val="none" w:sz="0" w:space="0" w:color="auto"/>
        <w:left w:val="none" w:sz="0" w:space="0" w:color="auto"/>
        <w:bottom w:val="none" w:sz="0" w:space="0" w:color="auto"/>
        <w:right w:val="none" w:sz="0" w:space="0" w:color="auto"/>
      </w:divBdr>
      <w:divsChild>
        <w:div w:id="804203279">
          <w:marLeft w:val="0"/>
          <w:marRight w:val="0"/>
          <w:marTop w:val="0"/>
          <w:marBottom w:val="0"/>
          <w:divBdr>
            <w:top w:val="none" w:sz="0" w:space="0" w:color="auto"/>
            <w:left w:val="none" w:sz="0" w:space="0" w:color="auto"/>
            <w:bottom w:val="none" w:sz="0" w:space="0" w:color="auto"/>
            <w:right w:val="none" w:sz="0" w:space="0" w:color="auto"/>
          </w:divBdr>
        </w:div>
        <w:div w:id="1911580162">
          <w:marLeft w:val="0"/>
          <w:marRight w:val="0"/>
          <w:marTop w:val="0"/>
          <w:marBottom w:val="0"/>
          <w:divBdr>
            <w:top w:val="none" w:sz="0" w:space="0" w:color="auto"/>
            <w:left w:val="none" w:sz="0" w:space="0" w:color="auto"/>
            <w:bottom w:val="none" w:sz="0" w:space="0" w:color="auto"/>
            <w:right w:val="none" w:sz="0" w:space="0" w:color="auto"/>
          </w:divBdr>
        </w:div>
      </w:divsChild>
    </w:div>
    <w:div w:id="444926901">
      <w:bodyDiv w:val="1"/>
      <w:marLeft w:val="0"/>
      <w:marRight w:val="0"/>
      <w:marTop w:val="0"/>
      <w:marBottom w:val="0"/>
      <w:divBdr>
        <w:top w:val="none" w:sz="0" w:space="0" w:color="auto"/>
        <w:left w:val="none" w:sz="0" w:space="0" w:color="auto"/>
        <w:bottom w:val="none" w:sz="0" w:space="0" w:color="auto"/>
        <w:right w:val="none" w:sz="0" w:space="0" w:color="auto"/>
      </w:divBdr>
    </w:div>
    <w:div w:id="1095129188">
      <w:bodyDiv w:val="1"/>
      <w:marLeft w:val="0"/>
      <w:marRight w:val="0"/>
      <w:marTop w:val="0"/>
      <w:marBottom w:val="0"/>
      <w:divBdr>
        <w:top w:val="none" w:sz="0" w:space="0" w:color="auto"/>
        <w:left w:val="none" w:sz="0" w:space="0" w:color="auto"/>
        <w:bottom w:val="none" w:sz="0" w:space="0" w:color="auto"/>
        <w:right w:val="none" w:sz="0" w:space="0" w:color="auto"/>
      </w:divBdr>
      <w:divsChild>
        <w:div w:id="106895795">
          <w:marLeft w:val="0"/>
          <w:marRight w:val="0"/>
          <w:marTop w:val="0"/>
          <w:marBottom w:val="0"/>
          <w:divBdr>
            <w:top w:val="none" w:sz="0" w:space="0" w:color="auto"/>
            <w:left w:val="none" w:sz="0" w:space="0" w:color="auto"/>
            <w:bottom w:val="none" w:sz="0" w:space="0" w:color="auto"/>
            <w:right w:val="none" w:sz="0" w:space="0" w:color="auto"/>
          </w:divBdr>
          <w:divsChild>
            <w:div w:id="1563715541">
              <w:marLeft w:val="0"/>
              <w:marRight w:val="0"/>
              <w:marTop w:val="0"/>
              <w:marBottom w:val="0"/>
              <w:divBdr>
                <w:top w:val="none" w:sz="0" w:space="0" w:color="auto"/>
                <w:left w:val="none" w:sz="0" w:space="0" w:color="auto"/>
                <w:bottom w:val="none" w:sz="0" w:space="0" w:color="auto"/>
                <w:right w:val="none" w:sz="0" w:space="0" w:color="auto"/>
              </w:divBdr>
            </w:div>
          </w:divsChild>
        </w:div>
        <w:div w:id="502550473">
          <w:marLeft w:val="0"/>
          <w:marRight w:val="0"/>
          <w:marTop w:val="0"/>
          <w:marBottom w:val="0"/>
          <w:divBdr>
            <w:top w:val="none" w:sz="0" w:space="0" w:color="auto"/>
            <w:left w:val="none" w:sz="0" w:space="0" w:color="auto"/>
            <w:bottom w:val="none" w:sz="0" w:space="0" w:color="auto"/>
            <w:right w:val="none" w:sz="0" w:space="0" w:color="auto"/>
          </w:divBdr>
          <w:divsChild>
            <w:div w:id="1003974855">
              <w:marLeft w:val="0"/>
              <w:marRight w:val="0"/>
              <w:marTop w:val="0"/>
              <w:marBottom w:val="0"/>
              <w:divBdr>
                <w:top w:val="none" w:sz="0" w:space="0" w:color="auto"/>
                <w:left w:val="none" w:sz="0" w:space="0" w:color="auto"/>
                <w:bottom w:val="none" w:sz="0" w:space="0" w:color="auto"/>
                <w:right w:val="none" w:sz="0" w:space="0" w:color="auto"/>
              </w:divBdr>
              <w:divsChild>
                <w:div w:id="18908713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04489471">
          <w:marLeft w:val="0"/>
          <w:marRight w:val="0"/>
          <w:marTop w:val="0"/>
          <w:marBottom w:val="0"/>
          <w:divBdr>
            <w:top w:val="none" w:sz="0" w:space="0" w:color="auto"/>
            <w:left w:val="none" w:sz="0" w:space="0" w:color="auto"/>
            <w:bottom w:val="none" w:sz="0" w:space="0" w:color="auto"/>
            <w:right w:val="none" w:sz="0" w:space="0" w:color="auto"/>
          </w:divBdr>
          <w:divsChild>
            <w:div w:id="1919245385">
              <w:marLeft w:val="0"/>
              <w:marRight w:val="0"/>
              <w:marTop w:val="0"/>
              <w:marBottom w:val="0"/>
              <w:divBdr>
                <w:top w:val="none" w:sz="0" w:space="0" w:color="auto"/>
                <w:left w:val="none" w:sz="0" w:space="0" w:color="auto"/>
                <w:bottom w:val="none" w:sz="0" w:space="0" w:color="auto"/>
                <w:right w:val="none" w:sz="0" w:space="0" w:color="auto"/>
              </w:divBdr>
            </w:div>
          </w:divsChild>
        </w:div>
        <w:div w:id="748162964">
          <w:marLeft w:val="0"/>
          <w:marRight w:val="0"/>
          <w:marTop w:val="0"/>
          <w:marBottom w:val="0"/>
          <w:divBdr>
            <w:top w:val="none" w:sz="0" w:space="0" w:color="auto"/>
            <w:left w:val="none" w:sz="0" w:space="0" w:color="auto"/>
            <w:bottom w:val="none" w:sz="0" w:space="0" w:color="auto"/>
            <w:right w:val="none" w:sz="0" w:space="0" w:color="auto"/>
          </w:divBdr>
          <w:divsChild>
            <w:div w:id="17514662">
              <w:marLeft w:val="0"/>
              <w:marRight w:val="0"/>
              <w:marTop w:val="0"/>
              <w:marBottom w:val="0"/>
              <w:divBdr>
                <w:top w:val="none" w:sz="0" w:space="0" w:color="auto"/>
                <w:left w:val="none" w:sz="0" w:space="0" w:color="auto"/>
                <w:bottom w:val="none" w:sz="0" w:space="0" w:color="auto"/>
                <w:right w:val="none" w:sz="0" w:space="0" w:color="auto"/>
              </w:divBdr>
              <w:divsChild>
                <w:div w:id="1228299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79501026">
          <w:marLeft w:val="0"/>
          <w:marRight w:val="0"/>
          <w:marTop w:val="0"/>
          <w:marBottom w:val="0"/>
          <w:divBdr>
            <w:top w:val="none" w:sz="0" w:space="0" w:color="auto"/>
            <w:left w:val="none" w:sz="0" w:space="0" w:color="auto"/>
            <w:bottom w:val="none" w:sz="0" w:space="0" w:color="auto"/>
            <w:right w:val="none" w:sz="0" w:space="0" w:color="auto"/>
          </w:divBdr>
          <w:divsChild>
            <w:div w:id="98778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0565612">
      <w:bodyDiv w:val="1"/>
      <w:marLeft w:val="0"/>
      <w:marRight w:val="0"/>
      <w:marTop w:val="0"/>
      <w:marBottom w:val="0"/>
      <w:divBdr>
        <w:top w:val="none" w:sz="0" w:space="0" w:color="auto"/>
        <w:left w:val="none" w:sz="0" w:space="0" w:color="auto"/>
        <w:bottom w:val="none" w:sz="0" w:space="0" w:color="auto"/>
        <w:right w:val="none" w:sz="0" w:space="0" w:color="auto"/>
      </w:divBdr>
    </w:div>
    <w:div w:id="1816264845">
      <w:bodyDiv w:val="1"/>
      <w:marLeft w:val="0"/>
      <w:marRight w:val="0"/>
      <w:marTop w:val="0"/>
      <w:marBottom w:val="0"/>
      <w:divBdr>
        <w:top w:val="none" w:sz="0" w:space="0" w:color="auto"/>
        <w:left w:val="none" w:sz="0" w:space="0" w:color="auto"/>
        <w:bottom w:val="none" w:sz="0" w:space="0" w:color="auto"/>
        <w:right w:val="none" w:sz="0" w:space="0" w:color="auto"/>
      </w:divBdr>
    </w:div>
    <w:div w:id="1825732797">
      <w:bodyDiv w:val="1"/>
      <w:marLeft w:val="0"/>
      <w:marRight w:val="0"/>
      <w:marTop w:val="0"/>
      <w:marBottom w:val="0"/>
      <w:divBdr>
        <w:top w:val="none" w:sz="0" w:space="0" w:color="auto"/>
        <w:left w:val="none" w:sz="0" w:space="0" w:color="auto"/>
        <w:bottom w:val="none" w:sz="0" w:space="0" w:color="auto"/>
        <w:right w:val="none" w:sz="0" w:space="0" w:color="auto"/>
      </w:divBdr>
      <w:divsChild>
        <w:div w:id="427427688">
          <w:marLeft w:val="0"/>
          <w:marRight w:val="0"/>
          <w:marTop w:val="0"/>
          <w:marBottom w:val="0"/>
          <w:divBdr>
            <w:top w:val="none" w:sz="0" w:space="0" w:color="auto"/>
            <w:left w:val="none" w:sz="0" w:space="0" w:color="auto"/>
            <w:bottom w:val="none" w:sz="0" w:space="0" w:color="auto"/>
            <w:right w:val="none" w:sz="0" w:space="0" w:color="auto"/>
          </w:divBdr>
        </w:div>
        <w:div w:id="818351477">
          <w:marLeft w:val="0"/>
          <w:marRight w:val="0"/>
          <w:marTop w:val="0"/>
          <w:marBottom w:val="0"/>
          <w:divBdr>
            <w:top w:val="none" w:sz="0" w:space="0" w:color="auto"/>
            <w:left w:val="none" w:sz="0" w:space="0" w:color="auto"/>
            <w:bottom w:val="none" w:sz="0" w:space="0" w:color="auto"/>
            <w:right w:val="none" w:sz="0" w:space="0" w:color="auto"/>
          </w:divBdr>
        </w:div>
        <w:div w:id="999313102">
          <w:marLeft w:val="0"/>
          <w:marRight w:val="0"/>
          <w:marTop w:val="0"/>
          <w:marBottom w:val="0"/>
          <w:divBdr>
            <w:top w:val="none" w:sz="0" w:space="0" w:color="auto"/>
            <w:left w:val="none" w:sz="0" w:space="0" w:color="auto"/>
            <w:bottom w:val="none" w:sz="0" w:space="0" w:color="auto"/>
            <w:right w:val="none" w:sz="0" w:space="0" w:color="auto"/>
          </w:divBdr>
        </w:div>
        <w:div w:id="1381980297">
          <w:marLeft w:val="0"/>
          <w:marRight w:val="0"/>
          <w:marTop w:val="0"/>
          <w:marBottom w:val="0"/>
          <w:divBdr>
            <w:top w:val="none" w:sz="0" w:space="0" w:color="auto"/>
            <w:left w:val="none" w:sz="0" w:space="0" w:color="auto"/>
            <w:bottom w:val="none" w:sz="0" w:space="0" w:color="auto"/>
            <w:right w:val="none" w:sz="0" w:space="0" w:color="auto"/>
          </w:divBdr>
        </w:div>
        <w:div w:id="470288485">
          <w:marLeft w:val="0"/>
          <w:marRight w:val="0"/>
          <w:marTop w:val="0"/>
          <w:marBottom w:val="0"/>
          <w:divBdr>
            <w:top w:val="none" w:sz="0" w:space="0" w:color="auto"/>
            <w:left w:val="none" w:sz="0" w:space="0" w:color="auto"/>
            <w:bottom w:val="none" w:sz="0" w:space="0" w:color="auto"/>
            <w:right w:val="none" w:sz="0" w:space="0" w:color="auto"/>
          </w:divBdr>
        </w:div>
        <w:div w:id="169688808">
          <w:marLeft w:val="0"/>
          <w:marRight w:val="0"/>
          <w:marTop w:val="0"/>
          <w:marBottom w:val="0"/>
          <w:divBdr>
            <w:top w:val="none" w:sz="0" w:space="0" w:color="auto"/>
            <w:left w:val="none" w:sz="0" w:space="0" w:color="auto"/>
            <w:bottom w:val="none" w:sz="0" w:space="0" w:color="auto"/>
            <w:right w:val="none" w:sz="0" w:space="0" w:color="auto"/>
          </w:divBdr>
        </w:div>
        <w:div w:id="1599411853">
          <w:marLeft w:val="0"/>
          <w:marRight w:val="0"/>
          <w:marTop w:val="0"/>
          <w:marBottom w:val="0"/>
          <w:divBdr>
            <w:top w:val="none" w:sz="0" w:space="0" w:color="auto"/>
            <w:left w:val="none" w:sz="0" w:space="0" w:color="auto"/>
            <w:bottom w:val="none" w:sz="0" w:space="0" w:color="auto"/>
            <w:right w:val="none" w:sz="0" w:space="0" w:color="auto"/>
          </w:divBdr>
        </w:div>
        <w:div w:id="935361736">
          <w:marLeft w:val="0"/>
          <w:marRight w:val="0"/>
          <w:marTop w:val="0"/>
          <w:marBottom w:val="0"/>
          <w:divBdr>
            <w:top w:val="none" w:sz="0" w:space="0" w:color="auto"/>
            <w:left w:val="none" w:sz="0" w:space="0" w:color="auto"/>
            <w:bottom w:val="none" w:sz="0" w:space="0" w:color="auto"/>
            <w:right w:val="none" w:sz="0" w:space="0" w:color="auto"/>
          </w:divBdr>
        </w:div>
        <w:div w:id="1012679545">
          <w:marLeft w:val="0"/>
          <w:marRight w:val="0"/>
          <w:marTop w:val="0"/>
          <w:marBottom w:val="0"/>
          <w:divBdr>
            <w:top w:val="none" w:sz="0" w:space="0" w:color="auto"/>
            <w:left w:val="none" w:sz="0" w:space="0" w:color="auto"/>
            <w:bottom w:val="none" w:sz="0" w:space="0" w:color="auto"/>
            <w:right w:val="none" w:sz="0" w:space="0" w:color="auto"/>
          </w:divBdr>
        </w:div>
        <w:div w:id="308217299">
          <w:marLeft w:val="0"/>
          <w:marRight w:val="0"/>
          <w:marTop w:val="0"/>
          <w:marBottom w:val="0"/>
          <w:divBdr>
            <w:top w:val="none" w:sz="0" w:space="0" w:color="auto"/>
            <w:left w:val="none" w:sz="0" w:space="0" w:color="auto"/>
            <w:bottom w:val="none" w:sz="0" w:space="0" w:color="auto"/>
            <w:right w:val="none" w:sz="0" w:space="0" w:color="auto"/>
          </w:divBdr>
        </w:div>
        <w:div w:id="1875538707">
          <w:marLeft w:val="0"/>
          <w:marRight w:val="0"/>
          <w:marTop w:val="0"/>
          <w:marBottom w:val="0"/>
          <w:divBdr>
            <w:top w:val="none" w:sz="0" w:space="0" w:color="auto"/>
            <w:left w:val="none" w:sz="0" w:space="0" w:color="auto"/>
            <w:bottom w:val="none" w:sz="0" w:space="0" w:color="auto"/>
            <w:right w:val="none" w:sz="0" w:space="0" w:color="auto"/>
          </w:divBdr>
        </w:div>
        <w:div w:id="1460300974">
          <w:marLeft w:val="0"/>
          <w:marRight w:val="0"/>
          <w:marTop w:val="0"/>
          <w:marBottom w:val="0"/>
          <w:divBdr>
            <w:top w:val="none" w:sz="0" w:space="0" w:color="auto"/>
            <w:left w:val="none" w:sz="0" w:space="0" w:color="auto"/>
            <w:bottom w:val="none" w:sz="0" w:space="0" w:color="auto"/>
            <w:right w:val="none" w:sz="0" w:space="0" w:color="auto"/>
          </w:divBdr>
        </w:div>
        <w:div w:id="106697933">
          <w:marLeft w:val="0"/>
          <w:marRight w:val="0"/>
          <w:marTop w:val="0"/>
          <w:marBottom w:val="0"/>
          <w:divBdr>
            <w:top w:val="none" w:sz="0" w:space="0" w:color="auto"/>
            <w:left w:val="none" w:sz="0" w:space="0" w:color="auto"/>
            <w:bottom w:val="none" w:sz="0" w:space="0" w:color="auto"/>
            <w:right w:val="none" w:sz="0" w:space="0" w:color="auto"/>
          </w:divBdr>
        </w:div>
        <w:div w:id="426460608">
          <w:marLeft w:val="0"/>
          <w:marRight w:val="0"/>
          <w:marTop w:val="0"/>
          <w:marBottom w:val="0"/>
          <w:divBdr>
            <w:top w:val="none" w:sz="0" w:space="0" w:color="auto"/>
            <w:left w:val="none" w:sz="0" w:space="0" w:color="auto"/>
            <w:bottom w:val="none" w:sz="0" w:space="0" w:color="auto"/>
            <w:right w:val="none" w:sz="0" w:space="0" w:color="auto"/>
          </w:divBdr>
        </w:div>
        <w:div w:id="1943299214">
          <w:marLeft w:val="0"/>
          <w:marRight w:val="0"/>
          <w:marTop w:val="0"/>
          <w:marBottom w:val="0"/>
          <w:divBdr>
            <w:top w:val="none" w:sz="0" w:space="0" w:color="auto"/>
            <w:left w:val="none" w:sz="0" w:space="0" w:color="auto"/>
            <w:bottom w:val="none" w:sz="0" w:space="0" w:color="auto"/>
            <w:right w:val="none" w:sz="0" w:space="0" w:color="auto"/>
          </w:divBdr>
        </w:div>
        <w:div w:id="871499331">
          <w:marLeft w:val="0"/>
          <w:marRight w:val="0"/>
          <w:marTop w:val="0"/>
          <w:marBottom w:val="0"/>
          <w:divBdr>
            <w:top w:val="none" w:sz="0" w:space="0" w:color="auto"/>
            <w:left w:val="none" w:sz="0" w:space="0" w:color="auto"/>
            <w:bottom w:val="none" w:sz="0" w:space="0" w:color="auto"/>
            <w:right w:val="none" w:sz="0" w:space="0" w:color="auto"/>
          </w:divBdr>
        </w:div>
        <w:div w:id="1315723064">
          <w:marLeft w:val="0"/>
          <w:marRight w:val="0"/>
          <w:marTop w:val="0"/>
          <w:marBottom w:val="0"/>
          <w:divBdr>
            <w:top w:val="none" w:sz="0" w:space="0" w:color="auto"/>
            <w:left w:val="none" w:sz="0" w:space="0" w:color="auto"/>
            <w:bottom w:val="none" w:sz="0" w:space="0" w:color="auto"/>
            <w:right w:val="none" w:sz="0" w:space="0" w:color="auto"/>
          </w:divBdr>
        </w:div>
        <w:div w:id="351036805">
          <w:marLeft w:val="0"/>
          <w:marRight w:val="0"/>
          <w:marTop w:val="0"/>
          <w:marBottom w:val="0"/>
          <w:divBdr>
            <w:top w:val="none" w:sz="0" w:space="0" w:color="auto"/>
            <w:left w:val="none" w:sz="0" w:space="0" w:color="auto"/>
            <w:bottom w:val="none" w:sz="0" w:space="0" w:color="auto"/>
            <w:right w:val="none" w:sz="0" w:space="0" w:color="auto"/>
          </w:divBdr>
        </w:div>
        <w:div w:id="914627861">
          <w:marLeft w:val="0"/>
          <w:marRight w:val="0"/>
          <w:marTop w:val="0"/>
          <w:marBottom w:val="0"/>
          <w:divBdr>
            <w:top w:val="none" w:sz="0" w:space="0" w:color="auto"/>
            <w:left w:val="none" w:sz="0" w:space="0" w:color="auto"/>
            <w:bottom w:val="none" w:sz="0" w:space="0" w:color="auto"/>
            <w:right w:val="none" w:sz="0" w:space="0" w:color="auto"/>
          </w:divBdr>
        </w:div>
        <w:div w:id="1191719422">
          <w:marLeft w:val="0"/>
          <w:marRight w:val="0"/>
          <w:marTop w:val="0"/>
          <w:marBottom w:val="0"/>
          <w:divBdr>
            <w:top w:val="none" w:sz="0" w:space="0" w:color="auto"/>
            <w:left w:val="none" w:sz="0" w:space="0" w:color="auto"/>
            <w:bottom w:val="none" w:sz="0" w:space="0" w:color="auto"/>
            <w:right w:val="none" w:sz="0" w:space="0" w:color="auto"/>
          </w:divBdr>
        </w:div>
        <w:div w:id="7219459">
          <w:marLeft w:val="0"/>
          <w:marRight w:val="0"/>
          <w:marTop w:val="0"/>
          <w:marBottom w:val="0"/>
          <w:divBdr>
            <w:top w:val="none" w:sz="0" w:space="0" w:color="auto"/>
            <w:left w:val="none" w:sz="0" w:space="0" w:color="auto"/>
            <w:bottom w:val="none" w:sz="0" w:space="0" w:color="auto"/>
            <w:right w:val="none" w:sz="0" w:space="0" w:color="auto"/>
          </w:divBdr>
        </w:div>
        <w:div w:id="1682472217">
          <w:marLeft w:val="0"/>
          <w:marRight w:val="0"/>
          <w:marTop w:val="0"/>
          <w:marBottom w:val="0"/>
          <w:divBdr>
            <w:top w:val="none" w:sz="0" w:space="0" w:color="auto"/>
            <w:left w:val="none" w:sz="0" w:space="0" w:color="auto"/>
            <w:bottom w:val="none" w:sz="0" w:space="0" w:color="auto"/>
            <w:right w:val="none" w:sz="0" w:space="0" w:color="auto"/>
          </w:divBdr>
        </w:div>
        <w:div w:id="1312562913">
          <w:marLeft w:val="0"/>
          <w:marRight w:val="0"/>
          <w:marTop w:val="0"/>
          <w:marBottom w:val="0"/>
          <w:divBdr>
            <w:top w:val="none" w:sz="0" w:space="0" w:color="auto"/>
            <w:left w:val="none" w:sz="0" w:space="0" w:color="auto"/>
            <w:bottom w:val="none" w:sz="0" w:space="0" w:color="auto"/>
            <w:right w:val="none" w:sz="0" w:space="0" w:color="auto"/>
          </w:divBdr>
        </w:div>
        <w:div w:id="662009598">
          <w:marLeft w:val="0"/>
          <w:marRight w:val="0"/>
          <w:marTop w:val="0"/>
          <w:marBottom w:val="0"/>
          <w:divBdr>
            <w:top w:val="none" w:sz="0" w:space="0" w:color="auto"/>
            <w:left w:val="none" w:sz="0" w:space="0" w:color="auto"/>
            <w:bottom w:val="none" w:sz="0" w:space="0" w:color="auto"/>
            <w:right w:val="none" w:sz="0" w:space="0" w:color="auto"/>
          </w:divBdr>
        </w:div>
        <w:div w:id="259224422">
          <w:marLeft w:val="0"/>
          <w:marRight w:val="0"/>
          <w:marTop w:val="0"/>
          <w:marBottom w:val="0"/>
          <w:divBdr>
            <w:top w:val="none" w:sz="0" w:space="0" w:color="auto"/>
            <w:left w:val="none" w:sz="0" w:space="0" w:color="auto"/>
            <w:bottom w:val="none" w:sz="0" w:space="0" w:color="auto"/>
            <w:right w:val="none" w:sz="0" w:space="0" w:color="auto"/>
          </w:divBdr>
        </w:div>
        <w:div w:id="888496461">
          <w:marLeft w:val="0"/>
          <w:marRight w:val="0"/>
          <w:marTop w:val="0"/>
          <w:marBottom w:val="0"/>
          <w:divBdr>
            <w:top w:val="none" w:sz="0" w:space="0" w:color="auto"/>
            <w:left w:val="none" w:sz="0" w:space="0" w:color="auto"/>
            <w:bottom w:val="none" w:sz="0" w:space="0" w:color="auto"/>
            <w:right w:val="none" w:sz="0" w:space="0" w:color="auto"/>
          </w:divBdr>
        </w:div>
        <w:div w:id="1858538349">
          <w:marLeft w:val="0"/>
          <w:marRight w:val="0"/>
          <w:marTop w:val="0"/>
          <w:marBottom w:val="0"/>
          <w:divBdr>
            <w:top w:val="none" w:sz="0" w:space="0" w:color="auto"/>
            <w:left w:val="none" w:sz="0" w:space="0" w:color="auto"/>
            <w:bottom w:val="none" w:sz="0" w:space="0" w:color="auto"/>
            <w:right w:val="none" w:sz="0" w:space="0" w:color="auto"/>
          </w:divBdr>
        </w:div>
        <w:div w:id="1589847896">
          <w:marLeft w:val="0"/>
          <w:marRight w:val="0"/>
          <w:marTop w:val="0"/>
          <w:marBottom w:val="0"/>
          <w:divBdr>
            <w:top w:val="none" w:sz="0" w:space="0" w:color="auto"/>
            <w:left w:val="none" w:sz="0" w:space="0" w:color="auto"/>
            <w:bottom w:val="none" w:sz="0" w:space="0" w:color="auto"/>
            <w:right w:val="none" w:sz="0" w:space="0" w:color="auto"/>
          </w:divBdr>
        </w:div>
        <w:div w:id="1848446731">
          <w:marLeft w:val="0"/>
          <w:marRight w:val="0"/>
          <w:marTop w:val="0"/>
          <w:marBottom w:val="0"/>
          <w:divBdr>
            <w:top w:val="none" w:sz="0" w:space="0" w:color="auto"/>
            <w:left w:val="none" w:sz="0" w:space="0" w:color="auto"/>
            <w:bottom w:val="none" w:sz="0" w:space="0" w:color="auto"/>
            <w:right w:val="none" w:sz="0" w:space="0" w:color="auto"/>
          </w:divBdr>
        </w:div>
        <w:div w:id="904071017">
          <w:marLeft w:val="0"/>
          <w:marRight w:val="0"/>
          <w:marTop w:val="0"/>
          <w:marBottom w:val="0"/>
          <w:divBdr>
            <w:top w:val="none" w:sz="0" w:space="0" w:color="auto"/>
            <w:left w:val="none" w:sz="0" w:space="0" w:color="auto"/>
            <w:bottom w:val="none" w:sz="0" w:space="0" w:color="auto"/>
            <w:right w:val="none" w:sz="0" w:space="0" w:color="auto"/>
          </w:divBdr>
        </w:div>
        <w:div w:id="1595363174">
          <w:marLeft w:val="0"/>
          <w:marRight w:val="0"/>
          <w:marTop w:val="0"/>
          <w:marBottom w:val="0"/>
          <w:divBdr>
            <w:top w:val="none" w:sz="0" w:space="0" w:color="auto"/>
            <w:left w:val="none" w:sz="0" w:space="0" w:color="auto"/>
            <w:bottom w:val="none" w:sz="0" w:space="0" w:color="auto"/>
            <w:right w:val="none" w:sz="0" w:space="0" w:color="auto"/>
          </w:divBdr>
        </w:div>
        <w:div w:id="191453837">
          <w:marLeft w:val="0"/>
          <w:marRight w:val="0"/>
          <w:marTop w:val="0"/>
          <w:marBottom w:val="0"/>
          <w:divBdr>
            <w:top w:val="none" w:sz="0" w:space="0" w:color="auto"/>
            <w:left w:val="none" w:sz="0" w:space="0" w:color="auto"/>
            <w:bottom w:val="none" w:sz="0" w:space="0" w:color="auto"/>
            <w:right w:val="none" w:sz="0" w:space="0" w:color="auto"/>
          </w:divBdr>
        </w:div>
        <w:div w:id="54547755">
          <w:marLeft w:val="0"/>
          <w:marRight w:val="0"/>
          <w:marTop w:val="0"/>
          <w:marBottom w:val="0"/>
          <w:divBdr>
            <w:top w:val="none" w:sz="0" w:space="0" w:color="auto"/>
            <w:left w:val="none" w:sz="0" w:space="0" w:color="auto"/>
            <w:bottom w:val="none" w:sz="0" w:space="0" w:color="auto"/>
            <w:right w:val="none" w:sz="0" w:space="0" w:color="auto"/>
          </w:divBdr>
        </w:div>
        <w:div w:id="1668825681">
          <w:marLeft w:val="0"/>
          <w:marRight w:val="0"/>
          <w:marTop w:val="0"/>
          <w:marBottom w:val="0"/>
          <w:divBdr>
            <w:top w:val="none" w:sz="0" w:space="0" w:color="auto"/>
            <w:left w:val="none" w:sz="0" w:space="0" w:color="auto"/>
            <w:bottom w:val="none" w:sz="0" w:space="0" w:color="auto"/>
            <w:right w:val="none" w:sz="0" w:space="0" w:color="auto"/>
          </w:divBdr>
        </w:div>
        <w:div w:id="711155743">
          <w:marLeft w:val="0"/>
          <w:marRight w:val="0"/>
          <w:marTop w:val="0"/>
          <w:marBottom w:val="0"/>
          <w:divBdr>
            <w:top w:val="none" w:sz="0" w:space="0" w:color="auto"/>
            <w:left w:val="none" w:sz="0" w:space="0" w:color="auto"/>
            <w:bottom w:val="none" w:sz="0" w:space="0" w:color="auto"/>
            <w:right w:val="none" w:sz="0" w:space="0" w:color="auto"/>
          </w:divBdr>
        </w:div>
        <w:div w:id="621687259">
          <w:marLeft w:val="0"/>
          <w:marRight w:val="0"/>
          <w:marTop w:val="0"/>
          <w:marBottom w:val="0"/>
          <w:divBdr>
            <w:top w:val="none" w:sz="0" w:space="0" w:color="auto"/>
            <w:left w:val="none" w:sz="0" w:space="0" w:color="auto"/>
            <w:bottom w:val="none" w:sz="0" w:space="0" w:color="auto"/>
            <w:right w:val="none" w:sz="0" w:space="0" w:color="auto"/>
          </w:divBdr>
        </w:div>
        <w:div w:id="1164276938">
          <w:marLeft w:val="0"/>
          <w:marRight w:val="0"/>
          <w:marTop w:val="0"/>
          <w:marBottom w:val="0"/>
          <w:divBdr>
            <w:top w:val="none" w:sz="0" w:space="0" w:color="auto"/>
            <w:left w:val="none" w:sz="0" w:space="0" w:color="auto"/>
            <w:bottom w:val="none" w:sz="0" w:space="0" w:color="auto"/>
            <w:right w:val="none" w:sz="0" w:space="0" w:color="auto"/>
          </w:divBdr>
        </w:div>
        <w:div w:id="41029921">
          <w:marLeft w:val="0"/>
          <w:marRight w:val="0"/>
          <w:marTop w:val="0"/>
          <w:marBottom w:val="0"/>
          <w:divBdr>
            <w:top w:val="none" w:sz="0" w:space="0" w:color="auto"/>
            <w:left w:val="none" w:sz="0" w:space="0" w:color="auto"/>
            <w:bottom w:val="none" w:sz="0" w:space="0" w:color="auto"/>
            <w:right w:val="none" w:sz="0" w:space="0" w:color="auto"/>
          </w:divBdr>
        </w:div>
        <w:div w:id="671640053">
          <w:marLeft w:val="0"/>
          <w:marRight w:val="0"/>
          <w:marTop w:val="0"/>
          <w:marBottom w:val="0"/>
          <w:divBdr>
            <w:top w:val="none" w:sz="0" w:space="0" w:color="auto"/>
            <w:left w:val="none" w:sz="0" w:space="0" w:color="auto"/>
            <w:bottom w:val="none" w:sz="0" w:space="0" w:color="auto"/>
            <w:right w:val="none" w:sz="0" w:space="0" w:color="auto"/>
          </w:divBdr>
        </w:div>
        <w:div w:id="21323699">
          <w:marLeft w:val="0"/>
          <w:marRight w:val="0"/>
          <w:marTop w:val="0"/>
          <w:marBottom w:val="0"/>
          <w:divBdr>
            <w:top w:val="none" w:sz="0" w:space="0" w:color="auto"/>
            <w:left w:val="none" w:sz="0" w:space="0" w:color="auto"/>
            <w:bottom w:val="none" w:sz="0" w:space="0" w:color="auto"/>
            <w:right w:val="none" w:sz="0" w:space="0" w:color="auto"/>
          </w:divBdr>
        </w:div>
      </w:divsChild>
    </w:div>
    <w:div w:id="1935672617">
      <w:bodyDiv w:val="1"/>
      <w:marLeft w:val="0"/>
      <w:marRight w:val="0"/>
      <w:marTop w:val="0"/>
      <w:marBottom w:val="0"/>
      <w:divBdr>
        <w:top w:val="none" w:sz="0" w:space="0" w:color="auto"/>
        <w:left w:val="none" w:sz="0" w:space="0" w:color="auto"/>
        <w:bottom w:val="none" w:sz="0" w:space="0" w:color="auto"/>
        <w:right w:val="none" w:sz="0" w:space="0" w:color="auto"/>
      </w:divBdr>
    </w:div>
    <w:div w:id="210391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static1.squarespace.com/static/57d898ef8419c2ef50f63405/t/5d08818344b01d000105e8fa/1560838532713/Open+Letter+to+Prime+Minister+160619+final.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tatic1.squarespace.com/static/57d898ef8419c2ef50f63405/t/5bac1db4c83025ead38d864b/1538006454923/letter+from+Ombudsman+Office+Sept+18.pdf" TargetMode="External"/><Relationship Id="rId13" Type="http://schemas.openxmlformats.org/officeDocument/2006/relationships/hyperlink" Target="https://www.justice.govt.nz/assets/Documents/Publications/Strengthening-the-family-justice-system.pdf" TargetMode="External"/><Relationship Id="rId3" Type="http://schemas.openxmlformats.org/officeDocument/2006/relationships/hyperlink" Target="https://static1.squarespace.com/static/57d898ef8419c2ef50f63405/t/5a94cc1a9140b78a0a3a5061/1519701025135/Submission+to+Justice+Select+Committee+January+2018.pdf" TargetMode="External"/><Relationship Id="rId7" Type="http://schemas.openxmlformats.org/officeDocument/2006/relationships/hyperlink" Target="https://static1.squarespace.com/static/57d898ef8419c2ef50f63405/t/5a3171c59140b743f5abbe36/1513189837189/Seen+and+not+Heard+Children+in+the+Family+Court+%281%29.pdf" TargetMode="External"/><Relationship Id="rId12" Type="http://schemas.openxmlformats.org/officeDocument/2006/relationships/hyperlink" Target="https://static1.squarespace.com/static/57d898ef8419c2ef50f63405/t/5c634a80eef1a1c3543bffc1/1550011011531/Backbone+written+submission+to+FC+Review+Panel+-+FINAL.pdf" TargetMode="External"/><Relationship Id="rId2" Type="http://schemas.openxmlformats.org/officeDocument/2006/relationships/hyperlink" Target="https://www.tvnz.co.nz/one-news/new-zealand/andrew-little-rejects-un-womens-committee-call-royal-commission-into-new-zealand-family-court" TargetMode="External"/><Relationship Id="rId1" Type="http://schemas.openxmlformats.org/officeDocument/2006/relationships/hyperlink" Target="https://www.backbone.org.nz/reports" TargetMode="External"/><Relationship Id="rId6" Type="http://schemas.openxmlformats.org/officeDocument/2006/relationships/hyperlink" Target="https://www.beehive.govt.nz/release/panel-appointed-re-write-2014-family-court-reforms" TargetMode="External"/><Relationship Id="rId11" Type="http://schemas.openxmlformats.org/officeDocument/2006/relationships/hyperlink" Target="https://static1.squarespace.com/static/57d898ef8419c2ef50f63405/t/5bbfaaca9140b7b20d8ae0f5/1539287755796/Ways+To+Have+Your+Say+Final+Oct.pdf" TargetMode="External"/><Relationship Id="rId5" Type="http://schemas.openxmlformats.org/officeDocument/2006/relationships/hyperlink" Target="https://www.justice.govt.nz/assets/Documents/Publications/have-your-say-on-the-family-justice-system-english2.pdf" TargetMode="External"/><Relationship Id="rId15" Type="http://schemas.openxmlformats.org/officeDocument/2006/relationships/hyperlink" Target="https://assets.publishing.service.gov.uk/government/uploads/system/uploads/attachment_data/file/895174/implementation-plan-assessing-risk-children.pdf" TargetMode="External"/><Relationship Id="rId10" Type="http://schemas.openxmlformats.org/officeDocument/2006/relationships/hyperlink" Target="https://static1.squarespace.com/static/57d898ef8419c2ef50f63405/t/5bb66b5f71c10b155014b525/1538681698189/Letter+to+The+Backbone+Collective+-+Final.pdf" TargetMode="External"/><Relationship Id="rId4" Type="http://schemas.openxmlformats.org/officeDocument/2006/relationships/hyperlink" Target="https://static1.squarespace.com/static/57d898ef8419c2ef50f63405/t/5b6136216d2a730eade03f1d/1533097505289/FamilyCourtRewriteTORS.pdf" TargetMode="External"/><Relationship Id="rId9" Type="http://schemas.openxmlformats.org/officeDocument/2006/relationships/hyperlink" Target="https://www.backbone.org.nz/blog/safesubmissionsfamilycourtreviewpanel" TargetMode="External"/><Relationship Id="rId14" Type="http://schemas.openxmlformats.org/officeDocument/2006/relationships/hyperlink" Target="https://www.justice.govt.nz/assets/Documents/Publications/family-justice-reforms-final-report-independent-panel.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Backbone pallete">
      <a:dk1>
        <a:sysClr val="windowText" lastClr="000000"/>
      </a:dk1>
      <a:lt1>
        <a:sysClr val="window" lastClr="FFFFFF"/>
      </a:lt1>
      <a:dk2>
        <a:srgbClr val="373545"/>
      </a:dk2>
      <a:lt2>
        <a:srgbClr val="D2F0F0"/>
      </a:lt2>
      <a:accent1>
        <a:srgbClr val="86DADE"/>
      </a:accent1>
      <a:accent2>
        <a:srgbClr val="58B6C0"/>
      </a:accent2>
      <a:accent3>
        <a:srgbClr val="F6CDC2"/>
      </a:accent3>
      <a:accent4>
        <a:srgbClr val="C4BEB2"/>
      </a:accent4>
      <a:accent5>
        <a:srgbClr val="096B58"/>
      </a:accent5>
      <a:accent6>
        <a:srgbClr val="40395F"/>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64DD74C-B007-46EF-98E1-8A55B7EA184F}">
  <ds:schemaRefs>
    <ds:schemaRef ds:uri="http://schemas.openxmlformats.org/officeDocument/2006/bibliography"/>
  </ds:schemaRefs>
</ds:datastoreItem>
</file>

<file path=customXml/itemProps2.xml><?xml version="1.0" encoding="utf-8"?>
<ds:datastoreItem xmlns:ds="http://schemas.openxmlformats.org/officeDocument/2006/customXml" ds:itemID="{38819741-16C8-403F-A406-AD85A38289CF}"/>
</file>

<file path=customXml/itemProps3.xml><?xml version="1.0" encoding="utf-8"?>
<ds:datastoreItem xmlns:ds="http://schemas.openxmlformats.org/officeDocument/2006/customXml" ds:itemID="{2BA777F1-023B-462D-8946-F98442512BFC}"/>
</file>

<file path=customXml/itemProps4.xml><?xml version="1.0" encoding="utf-8"?>
<ds:datastoreItem xmlns:ds="http://schemas.openxmlformats.org/officeDocument/2006/customXml" ds:itemID="{9E18F6BE-6DA8-464B-84F5-5F382D82384B}"/>
</file>

<file path=docProps/app.xml><?xml version="1.0" encoding="utf-8"?>
<Properties xmlns="http://schemas.openxmlformats.org/officeDocument/2006/extended-properties" xmlns:vt="http://schemas.openxmlformats.org/officeDocument/2006/docPropsVTypes">
  <Template>Normal</Template>
  <TotalTime>1</TotalTime>
  <Pages>9</Pages>
  <Words>3011</Words>
  <Characters>17167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Mackenzie</dc:creator>
  <cp:keywords/>
  <dc:description/>
  <cp:lastModifiedBy>Deborah Mackenzie</cp:lastModifiedBy>
  <cp:revision>3</cp:revision>
  <dcterms:created xsi:type="dcterms:W3CDTF">2020-09-15T22:55:00Z</dcterms:created>
  <dcterms:modified xsi:type="dcterms:W3CDTF">2020-09-15T22:56:00Z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