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5FF720" w14:textId="77777777" w:rsidR="00BB0F8C" w:rsidRPr="00BB0F8C" w:rsidRDefault="00BB0F8C" w:rsidP="006C1AF3">
      <w:pPr>
        <w:spacing w:beforeLines="60" w:before="144" w:afterLines="60" w:after="144" w:line="276" w:lineRule="auto"/>
        <w:jc w:val="center"/>
        <w:outlineLvl w:val="1"/>
        <w:rPr>
          <w:rFonts w:ascii="Times New Roman" w:eastAsia="Times New Roman" w:hAnsi="Times New Roman" w:cs="Times New Roman"/>
          <w:b/>
          <w:bCs/>
          <w:spacing w:val="-4"/>
          <w:sz w:val="27"/>
          <w:szCs w:val="27"/>
        </w:rPr>
      </w:pPr>
      <w:r w:rsidRPr="00BB0F8C">
        <w:rPr>
          <w:rFonts w:ascii="Times New Roman" w:eastAsia="Times New Roman" w:hAnsi="Times New Roman" w:cs="Times New Roman"/>
          <w:b/>
          <w:bCs/>
          <w:spacing w:val="-4"/>
          <w:sz w:val="27"/>
          <w:szCs w:val="27"/>
        </w:rPr>
        <w:t>SHADOW REPORT</w:t>
      </w:r>
    </w:p>
    <w:p w14:paraId="57983C33" w14:textId="77777777" w:rsidR="00BB0F8C" w:rsidRPr="006C1AF3" w:rsidRDefault="00BB0F8C" w:rsidP="006C1AF3">
      <w:pPr>
        <w:spacing w:beforeLines="60" w:before="144" w:afterLines="60" w:after="144" w:line="276" w:lineRule="auto"/>
        <w:jc w:val="center"/>
        <w:rPr>
          <w:rFonts w:ascii="Times New Roman" w:eastAsia="Times New Roman" w:hAnsi="Times New Roman" w:cs="Times New Roman"/>
          <w:b/>
          <w:bCs/>
          <w:spacing w:val="-10"/>
          <w:sz w:val="27"/>
          <w:szCs w:val="27"/>
        </w:rPr>
      </w:pPr>
      <w:r w:rsidRPr="006C1AF3">
        <w:rPr>
          <w:rFonts w:ascii="Times New Roman" w:eastAsia="Times New Roman" w:hAnsi="Times New Roman" w:cs="Times New Roman"/>
          <w:b/>
          <w:bCs/>
          <w:spacing w:val="-10"/>
          <w:sz w:val="27"/>
          <w:szCs w:val="27"/>
        </w:rPr>
        <w:t>by the Center for Women’s Development (CWD)</w:t>
      </w:r>
      <w:r w:rsidRPr="006C1AF3">
        <w:rPr>
          <w:rFonts w:ascii="Times New Roman" w:eastAsia="Times New Roman" w:hAnsi="Times New Roman" w:cs="Times New Roman"/>
          <w:spacing w:val="-10"/>
          <w:sz w:val="27"/>
          <w:szCs w:val="27"/>
        </w:rPr>
        <w:br/>
      </w:r>
      <w:r w:rsidRPr="006C1AF3">
        <w:rPr>
          <w:rFonts w:ascii="Times New Roman" w:eastAsia="Times New Roman" w:hAnsi="Times New Roman" w:cs="Times New Roman"/>
          <w:b/>
          <w:bCs/>
          <w:spacing w:val="-10"/>
          <w:sz w:val="27"/>
          <w:szCs w:val="27"/>
        </w:rPr>
        <w:t>on Viet Nam’s Ninth Periodic National Report on the Implementation of the Convention on the Elimination of All Forms of Discrimination against Women (CEDAW)</w:t>
      </w:r>
    </w:p>
    <w:p w14:paraId="064A4580" w14:textId="77777777" w:rsidR="00137AD6" w:rsidRPr="00BB0F8C" w:rsidRDefault="00137AD6" w:rsidP="006C1AF3">
      <w:pPr>
        <w:spacing w:beforeLines="60" w:before="144" w:afterLines="60" w:after="144" w:line="276" w:lineRule="auto"/>
        <w:jc w:val="both"/>
        <w:rPr>
          <w:rFonts w:ascii="Times New Roman" w:eastAsia="Times New Roman" w:hAnsi="Times New Roman" w:cs="Times New Roman"/>
          <w:spacing w:val="-4"/>
          <w:sz w:val="27"/>
          <w:szCs w:val="27"/>
        </w:rPr>
      </w:pPr>
    </w:p>
    <w:p w14:paraId="6A58F239"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t>I. General Introduction</w:t>
      </w:r>
    </w:p>
    <w:p w14:paraId="715173C8"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The Center for Women’s Developm</w:t>
      </w:r>
      <w:bookmarkStart w:id="0" w:name="_GoBack"/>
      <w:bookmarkEnd w:id="0"/>
      <w:r w:rsidRPr="00BB0F8C">
        <w:rPr>
          <w:rFonts w:ascii="Times New Roman" w:eastAsia="Times New Roman" w:hAnsi="Times New Roman" w:cs="Times New Roman"/>
          <w:spacing w:val="-4"/>
          <w:sz w:val="27"/>
          <w:szCs w:val="27"/>
        </w:rPr>
        <w:t>ent</w:t>
      </w:r>
      <w:r w:rsidR="00137AD6" w:rsidRPr="008A1984">
        <w:rPr>
          <w:rStyle w:val="FootnoteReference"/>
          <w:rFonts w:ascii="Times New Roman" w:eastAsia="Times New Roman" w:hAnsi="Times New Roman" w:cs="Times New Roman"/>
          <w:spacing w:val="-4"/>
          <w:sz w:val="27"/>
          <w:szCs w:val="27"/>
        </w:rPr>
        <w:footnoteReference w:id="1"/>
      </w:r>
      <w:r w:rsidRPr="00BB0F8C">
        <w:rPr>
          <w:rFonts w:ascii="Times New Roman" w:eastAsia="Times New Roman" w:hAnsi="Times New Roman" w:cs="Times New Roman"/>
          <w:spacing w:val="-4"/>
          <w:sz w:val="27"/>
          <w:szCs w:val="27"/>
        </w:rPr>
        <w:t xml:space="preserve"> (CWD) was established in 2002 with the mission of promoting peace and development for women, with particular priority given to women in vulnerable and disadvantaged situations. CWD operates as a financially self-sustaining organization and focuses on two core areas: (1) organizing social activities to support women and children, especially those in vulnerable situations, across multiple sectors; and (2) implementing income-generating and service-based activities to sustain organizational operations while supporting social initiatives and community development.</w:t>
      </w:r>
    </w:p>
    <w:p w14:paraId="5CD3C241"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 xml:space="preserve">One of CWD’s core strengths in social service provision is its pioneering establishment of a temporary shelter known as the Peace House Shelter (PHS) in 2007. The shelter has since been officially licensed and renamed the Social Assistance Center – Peace House Shelter (PHS), with the mandate </w:t>
      </w:r>
      <w:r w:rsidRPr="00BB0F8C">
        <w:rPr>
          <w:rFonts w:ascii="Times New Roman" w:eastAsia="Times New Roman" w:hAnsi="Times New Roman" w:cs="Times New Roman"/>
          <w:i/>
          <w:iCs/>
          <w:spacing w:val="-4"/>
          <w:sz w:val="27"/>
          <w:szCs w:val="27"/>
        </w:rPr>
        <w:t>to receive, manage, care for, and provide shelter to women and children who are survivors of gender-based violence, and to deliver appropriate support services in accordance with their health and well-being</w:t>
      </w:r>
      <w:r w:rsidRPr="00BB0F8C">
        <w:rPr>
          <w:rFonts w:ascii="Times New Roman" w:eastAsia="Times New Roman" w:hAnsi="Times New Roman" w:cs="Times New Roman"/>
          <w:spacing w:val="-4"/>
          <w:sz w:val="27"/>
          <w:szCs w:val="27"/>
        </w:rPr>
        <w:t>. PHS also operates a 24/7 hotline providing support to women and children.</w:t>
      </w:r>
      <w:r w:rsidR="00137AD6" w:rsidRPr="008A1984">
        <w:rPr>
          <w:rFonts w:ascii="Times New Roman" w:eastAsia="Times New Roman" w:hAnsi="Times New Roman" w:cs="Times New Roman"/>
          <w:spacing w:val="-4"/>
          <w:sz w:val="27"/>
          <w:szCs w:val="27"/>
        </w:rPr>
        <w:t xml:space="preserve"> </w:t>
      </w:r>
      <w:r w:rsidRPr="00BB0F8C">
        <w:rPr>
          <w:rFonts w:ascii="Times New Roman" w:eastAsia="Times New Roman" w:hAnsi="Times New Roman" w:cs="Times New Roman"/>
          <w:spacing w:val="-4"/>
          <w:sz w:val="27"/>
          <w:szCs w:val="27"/>
        </w:rPr>
        <w:t>Since its establishment, PHS has provided 29,821 counselling sessions to 22,690 individuals</w:t>
      </w:r>
      <w:r w:rsidR="00137AD6" w:rsidRPr="008A1984">
        <w:rPr>
          <w:rStyle w:val="FootnoteReference"/>
          <w:rFonts w:ascii="Times New Roman" w:eastAsia="Times New Roman" w:hAnsi="Times New Roman" w:cs="Times New Roman"/>
          <w:spacing w:val="-4"/>
          <w:sz w:val="27"/>
          <w:szCs w:val="27"/>
        </w:rPr>
        <w:footnoteReference w:id="2"/>
      </w:r>
      <w:r w:rsidRPr="00BB0F8C">
        <w:rPr>
          <w:rFonts w:ascii="Times New Roman" w:eastAsia="Times New Roman" w:hAnsi="Times New Roman" w:cs="Times New Roman"/>
          <w:spacing w:val="-4"/>
          <w:sz w:val="27"/>
          <w:szCs w:val="27"/>
        </w:rPr>
        <w:t xml:space="preserve"> and has received and supported nearly 1,900 women and children who are survivors of domestic violence, sexual violence, and trafficking upon return</w:t>
      </w:r>
      <w:r w:rsidR="00137AD6" w:rsidRPr="008A1984">
        <w:rPr>
          <w:rFonts w:ascii="Times New Roman" w:eastAsia="Times New Roman" w:hAnsi="Times New Roman" w:cs="Times New Roman"/>
          <w:spacing w:val="-4"/>
          <w:sz w:val="27"/>
          <w:szCs w:val="27"/>
        </w:rPr>
        <w:t xml:space="preserve"> (</w:t>
      </w:r>
      <w:r w:rsidRPr="00BB0F8C">
        <w:rPr>
          <w:rFonts w:ascii="Times New Roman" w:eastAsia="Times New Roman" w:hAnsi="Times New Roman" w:cs="Times New Roman"/>
          <w:spacing w:val="-4"/>
          <w:sz w:val="27"/>
          <w:szCs w:val="27"/>
        </w:rPr>
        <w:t>with an average of over 100 cases per year</w:t>
      </w:r>
      <w:r w:rsidR="00137AD6" w:rsidRPr="008A1984">
        <w:rPr>
          <w:rFonts w:ascii="Times New Roman" w:eastAsia="Times New Roman" w:hAnsi="Times New Roman" w:cs="Times New Roman"/>
          <w:spacing w:val="-4"/>
          <w:sz w:val="27"/>
          <w:szCs w:val="27"/>
        </w:rPr>
        <w:t>)</w:t>
      </w:r>
      <w:r w:rsidRPr="00BB0F8C">
        <w:rPr>
          <w:rFonts w:ascii="Times New Roman" w:eastAsia="Times New Roman" w:hAnsi="Times New Roman" w:cs="Times New Roman"/>
          <w:spacing w:val="-4"/>
          <w:sz w:val="27"/>
          <w:szCs w:val="27"/>
        </w:rPr>
        <w:t>. Approximately 22,000 calls have been counselled through the hotline. Beneficiaries of PHS originate from all 34 provinces and cities of Viet Nam and represent 18 ethnic minority groups nationwide.</w:t>
      </w:r>
      <w:r w:rsidR="00142443" w:rsidRPr="008A1984">
        <w:rPr>
          <w:rFonts w:ascii="Times New Roman" w:eastAsia="Times New Roman" w:hAnsi="Times New Roman" w:cs="Times New Roman"/>
          <w:spacing w:val="-4"/>
          <w:sz w:val="27"/>
          <w:szCs w:val="27"/>
        </w:rPr>
        <w:t xml:space="preserve"> </w:t>
      </w:r>
      <w:r w:rsidRPr="00BB0F8C">
        <w:rPr>
          <w:rFonts w:ascii="Times New Roman" w:eastAsia="Times New Roman" w:hAnsi="Times New Roman" w:cs="Times New Roman"/>
          <w:spacing w:val="-4"/>
          <w:sz w:val="27"/>
          <w:szCs w:val="27"/>
        </w:rPr>
        <w:t>PHS has established cooperative relationships with relevant ministries and competent authorities</w:t>
      </w:r>
      <w:r w:rsidR="00142443" w:rsidRPr="008A1984">
        <w:rPr>
          <w:rStyle w:val="FootnoteReference"/>
          <w:rFonts w:ascii="Times New Roman" w:eastAsia="Times New Roman" w:hAnsi="Times New Roman" w:cs="Times New Roman"/>
          <w:spacing w:val="-4"/>
          <w:sz w:val="27"/>
          <w:szCs w:val="27"/>
        </w:rPr>
        <w:footnoteReference w:id="3"/>
      </w:r>
      <w:r w:rsidRPr="00BB0F8C">
        <w:rPr>
          <w:rFonts w:ascii="Times New Roman" w:eastAsia="Times New Roman" w:hAnsi="Times New Roman" w:cs="Times New Roman"/>
          <w:spacing w:val="-4"/>
          <w:sz w:val="27"/>
          <w:szCs w:val="27"/>
        </w:rPr>
        <w:t xml:space="preserve"> for referral and victim support, and has developed a coordinated service network with hospitals, legal aid organizations, and vocational training and employment service providers. Drawing on its practical experience, CWD has actively contributed to legal and policy development, social monitoring, and advocacy, and has undertaken </w:t>
      </w:r>
      <w:r w:rsidRPr="00BB0F8C">
        <w:rPr>
          <w:rFonts w:ascii="Times New Roman" w:eastAsia="Times New Roman" w:hAnsi="Times New Roman" w:cs="Times New Roman"/>
          <w:spacing w:val="-4"/>
          <w:sz w:val="27"/>
          <w:szCs w:val="27"/>
        </w:rPr>
        <w:lastRenderedPageBreak/>
        <w:t>communication and outreach activities to raise awareness among women and communities on gender equality and the prevention of gender-based violence.</w:t>
      </w:r>
    </w:p>
    <w:p w14:paraId="42D02888"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CWD has been granted Special Consultative Status by the United Nations Economic and Social Council (ECOSOC), enabling it to contribute to policy dialogue and advocacy to advance gender equality, particularly in the prevention of and response to gender-based violence against women and children in Viet Nam, and to participate in relevant international forums. In addition, CWD is a member of the Domestic Advisory Group (DAG), contributing to monitoring and policy input regarding Viet Nam’s implementation of commitments under the EU–Viet Nam Free Trade Agreement (EVFTA), with a focus on labour and sustainable development. Through these roles, CWD provides technical input on inclusive development, gender equality, and social protection, while promoting the voices and rights of women in vulnerable situations in policy formulation and implementation.</w:t>
      </w:r>
    </w:p>
    <w:p w14:paraId="46AFB8FB"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t>II. Assessment of the Implementation of CEDAW</w:t>
      </w:r>
    </w:p>
    <w:p w14:paraId="5E584B46" w14:textId="77777777" w:rsidR="00BB0F8C" w:rsidRPr="00BB0F8C" w:rsidRDefault="00BB0F8C" w:rsidP="006C1AF3">
      <w:pPr>
        <w:spacing w:beforeLines="60" w:before="144" w:afterLines="60" w:after="144" w:line="276" w:lineRule="auto"/>
        <w:jc w:val="both"/>
        <w:outlineLvl w:val="2"/>
        <w:rPr>
          <w:rFonts w:ascii="Times New Roman" w:eastAsia="Times New Roman" w:hAnsi="Times New Roman" w:cs="Times New Roman"/>
          <w:b/>
          <w:bCs/>
          <w:spacing w:val="-4"/>
          <w:sz w:val="27"/>
          <w:szCs w:val="27"/>
        </w:rPr>
      </w:pPr>
      <w:r w:rsidRPr="00BB0F8C">
        <w:rPr>
          <w:rFonts w:ascii="Times New Roman" w:eastAsia="Times New Roman" w:hAnsi="Times New Roman" w:cs="Times New Roman"/>
          <w:b/>
          <w:bCs/>
          <w:spacing w:val="-4"/>
          <w:sz w:val="27"/>
          <w:szCs w:val="27"/>
        </w:rPr>
        <w:t>1. Assessment by Relevant CEDAW Articles</w:t>
      </w:r>
    </w:p>
    <w:p w14:paraId="7C4CB151" w14:textId="77777777" w:rsidR="00BB0F8C" w:rsidRPr="00BB0F8C" w:rsidRDefault="00142443" w:rsidP="006C1AF3">
      <w:pPr>
        <w:spacing w:beforeLines="60" w:before="144" w:afterLines="60" w:after="144" w:line="276" w:lineRule="auto"/>
        <w:jc w:val="both"/>
        <w:rPr>
          <w:rFonts w:ascii="Times New Roman" w:eastAsia="Times New Roman" w:hAnsi="Times New Roman" w:cs="Times New Roman"/>
          <w:i/>
          <w:iCs/>
          <w:spacing w:val="-4"/>
          <w:sz w:val="27"/>
          <w:szCs w:val="27"/>
        </w:rPr>
      </w:pPr>
      <w:r w:rsidRPr="008A1984">
        <w:rPr>
          <w:rFonts w:ascii="Times New Roman" w:eastAsia="Times New Roman" w:hAnsi="Times New Roman" w:cs="Times New Roman"/>
          <w:b/>
          <w:bCs/>
          <w:i/>
          <w:iCs/>
          <w:spacing w:val="-4"/>
          <w:sz w:val="27"/>
          <w:szCs w:val="27"/>
        </w:rPr>
        <w:t xml:space="preserve">1.1 </w:t>
      </w:r>
      <w:r w:rsidR="00BB0F8C" w:rsidRPr="00BB0F8C">
        <w:rPr>
          <w:rFonts w:ascii="Times New Roman" w:eastAsia="Times New Roman" w:hAnsi="Times New Roman" w:cs="Times New Roman"/>
          <w:b/>
          <w:bCs/>
          <w:i/>
          <w:iCs/>
          <w:spacing w:val="-4"/>
          <w:sz w:val="27"/>
          <w:szCs w:val="27"/>
        </w:rPr>
        <w:t>Articles 1 and 2 – Elimination of Discrimination against Women</w:t>
      </w:r>
    </w:p>
    <w:p w14:paraId="253B580E"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CWD observes that indirect discrimination against women continues to persist, particularly affecting women in vulnerable situations, including survivors of domestic violence and trafficking, poor women, and migrant women. Manifestations of such discrimination include reconciliation-oriented approaches in case handling, victim-blaming attitudes, and insufficient gender sensitivity in the response to cases of violence. Many women encounter significant barriers in accessing justice due to fear of stigma, limited access to information, and lengthy judicial procedures. In the context of rapid technological development, women and girls are increasingly exposed to heightened risks in the digital environment, including fraud, grooming, harassment through stereotypical or abusive language, the circulation of sexually explicit or offensive materials, online extortion, cyberbullying, and online abduction.</w:t>
      </w:r>
    </w:p>
    <w:p w14:paraId="70ADCCA7" w14:textId="77777777" w:rsidR="00BB0F8C" w:rsidRPr="00BB0F8C" w:rsidRDefault="00142443" w:rsidP="006C1AF3">
      <w:pPr>
        <w:spacing w:beforeLines="60" w:before="144" w:afterLines="60" w:after="144" w:line="276" w:lineRule="auto"/>
        <w:jc w:val="both"/>
        <w:rPr>
          <w:rFonts w:ascii="Times New Roman" w:eastAsia="Times New Roman" w:hAnsi="Times New Roman" w:cs="Times New Roman"/>
          <w:i/>
          <w:iCs/>
          <w:spacing w:val="-4"/>
          <w:sz w:val="27"/>
          <w:szCs w:val="27"/>
        </w:rPr>
      </w:pPr>
      <w:r w:rsidRPr="008A1984">
        <w:rPr>
          <w:rFonts w:ascii="Times New Roman" w:eastAsia="Times New Roman" w:hAnsi="Times New Roman" w:cs="Times New Roman"/>
          <w:b/>
          <w:bCs/>
          <w:i/>
          <w:iCs/>
          <w:spacing w:val="-4"/>
          <w:sz w:val="27"/>
          <w:szCs w:val="27"/>
        </w:rPr>
        <w:t xml:space="preserve">1.2. </w:t>
      </w:r>
      <w:r w:rsidR="00BB0F8C" w:rsidRPr="00BB0F8C">
        <w:rPr>
          <w:rFonts w:ascii="Times New Roman" w:eastAsia="Times New Roman" w:hAnsi="Times New Roman" w:cs="Times New Roman"/>
          <w:b/>
          <w:bCs/>
          <w:i/>
          <w:iCs/>
          <w:spacing w:val="-4"/>
          <w:sz w:val="27"/>
          <w:szCs w:val="27"/>
        </w:rPr>
        <w:t>Article 5 – Gender Stereotypes and Social Norms</w:t>
      </w:r>
    </w:p>
    <w:p w14:paraId="56910C04"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 xml:space="preserve">Gender stereotypes and entrenched social norms remain among the most significant barriers preventing women survivors of violence from seeking support. Based on case management experience at PHS, CWD notes recurring patterns whereby women are expected to endure violence “for the sake of their children” or </w:t>
      </w:r>
      <w:r w:rsidR="00142443" w:rsidRPr="008A1984">
        <w:rPr>
          <w:rFonts w:ascii="Times New Roman" w:eastAsia="Times New Roman" w:hAnsi="Times New Roman" w:cs="Times New Roman"/>
          <w:spacing w:val="-4"/>
          <w:sz w:val="27"/>
          <w:szCs w:val="27"/>
        </w:rPr>
        <w:t>“</w:t>
      </w:r>
      <w:r w:rsidRPr="00BB0F8C">
        <w:rPr>
          <w:rFonts w:ascii="Times New Roman" w:eastAsia="Times New Roman" w:hAnsi="Times New Roman" w:cs="Times New Roman"/>
          <w:spacing w:val="-4"/>
          <w:sz w:val="27"/>
          <w:szCs w:val="27"/>
        </w:rPr>
        <w:t>to preserve family ha</w:t>
      </w:r>
      <w:r w:rsidR="00142443" w:rsidRPr="008A1984">
        <w:rPr>
          <w:rFonts w:ascii="Times New Roman" w:eastAsia="Times New Roman" w:hAnsi="Times New Roman" w:cs="Times New Roman"/>
          <w:spacing w:val="-4"/>
          <w:sz w:val="27"/>
          <w:szCs w:val="27"/>
        </w:rPr>
        <w:t>ppiness”</w:t>
      </w:r>
      <w:r w:rsidRPr="00BB0F8C">
        <w:rPr>
          <w:rFonts w:ascii="Times New Roman" w:eastAsia="Times New Roman" w:hAnsi="Times New Roman" w:cs="Times New Roman"/>
          <w:spacing w:val="-4"/>
          <w:sz w:val="27"/>
          <w:szCs w:val="27"/>
        </w:rPr>
        <w:t xml:space="preserve">. Survivors are frequently subjected to moral judgment, particularly in cases involving sexual violence or </w:t>
      </w:r>
      <w:r w:rsidRPr="00BB0F8C">
        <w:rPr>
          <w:rFonts w:ascii="Times New Roman" w:eastAsia="Times New Roman" w:hAnsi="Times New Roman" w:cs="Times New Roman"/>
          <w:spacing w:val="-4"/>
          <w:sz w:val="27"/>
          <w:szCs w:val="27"/>
        </w:rPr>
        <w:lastRenderedPageBreak/>
        <w:t>trafficking. In addition, a proportion of grassroots-level officials directly involved in law enforcement and victim support continue to face limitations in knowledge and skills related to rights-based and gender-sensitive approaches.</w:t>
      </w:r>
    </w:p>
    <w:p w14:paraId="1586DE48" w14:textId="77777777" w:rsidR="00BB0F8C" w:rsidRPr="00BB0F8C" w:rsidRDefault="00142443" w:rsidP="006C1AF3">
      <w:pPr>
        <w:spacing w:beforeLines="60" w:before="144" w:afterLines="60" w:after="144" w:line="276" w:lineRule="auto"/>
        <w:jc w:val="both"/>
        <w:rPr>
          <w:rFonts w:ascii="Times New Roman" w:eastAsia="Times New Roman" w:hAnsi="Times New Roman" w:cs="Times New Roman"/>
          <w:i/>
          <w:iCs/>
          <w:spacing w:val="-4"/>
          <w:sz w:val="27"/>
          <w:szCs w:val="27"/>
        </w:rPr>
      </w:pPr>
      <w:r w:rsidRPr="008A1984">
        <w:rPr>
          <w:rFonts w:ascii="Times New Roman" w:eastAsia="Times New Roman" w:hAnsi="Times New Roman" w:cs="Times New Roman"/>
          <w:b/>
          <w:bCs/>
          <w:i/>
          <w:iCs/>
          <w:spacing w:val="-4"/>
          <w:sz w:val="27"/>
          <w:szCs w:val="27"/>
        </w:rPr>
        <w:t xml:space="preserve">1.3. </w:t>
      </w:r>
      <w:r w:rsidR="00BB0F8C" w:rsidRPr="00BB0F8C">
        <w:rPr>
          <w:rFonts w:ascii="Times New Roman" w:eastAsia="Times New Roman" w:hAnsi="Times New Roman" w:cs="Times New Roman"/>
          <w:b/>
          <w:bCs/>
          <w:i/>
          <w:iCs/>
          <w:spacing w:val="-4"/>
          <w:sz w:val="27"/>
          <w:szCs w:val="27"/>
        </w:rPr>
        <w:t>Article 6 – Suppression of Trafficking in Women and Exploitation</w:t>
      </w:r>
    </w:p>
    <w:p w14:paraId="720A280D" w14:textId="77777777" w:rsidR="00142443"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 xml:space="preserve">PHS has worked in close cooperation with competent authorities and has made important contributions to the protection of rights and the recovery of survivors of trafficking. However, CWD notes that several challenges persist. </w:t>
      </w:r>
    </w:p>
    <w:p w14:paraId="0AAF67E6" w14:textId="77777777" w:rsidR="00142443" w:rsidRPr="008A1984" w:rsidRDefault="00BB0F8C"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 xml:space="preserve">Survivors often face severe psychological trauma, economic hardship, and social stigma upon return, and in some cases are reluctant to access available support services due to fear of being stigmatized as victims of trafficking. </w:t>
      </w:r>
    </w:p>
    <w:p w14:paraId="063188B2" w14:textId="77777777" w:rsidR="00142443" w:rsidRPr="008A1984" w:rsidRDefault="00BB0F8C"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 xml:space="preserve">Support efforts remain primarily concentrated on the initial phase of assistance, including reception, identification, and emergency support, while longer-term assistance for sustainable reintegration remains limited. </w:t>
      </w:r>
    </w:p>
    <w:p w14:paraId="3555D999" w14:textId="77777777" w:rsidR="00BB0F8C" w:rsidRPr="008A1984" w:rsidRDefault="00BB0F8C"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Furthermore, intersectoral coordination at the local level remains uneven, adversely affecting the continuity and effectiveness of service provision.</w:t>
      </w:r>
    </w:p>
    <w:p w14:paraId="3989A09E" w14:textId="77777777" w:rsidR="00BB0F8C" w:rsidRPr="00BB0F8C" w:rsidRDefault="00142443" w:rsidP="006C1AF3">
      <w:pPr>
        <w:spacing w:beforeLines="60" w:before="144" w:afterLines="60" w:after="144" w:line="276" w:lineRule="auto"/>
        <w:jc w:val="both"/>
        <w:rPr>
          <w:rFonts w:ascii="Times New Roman" w:eastAsia="Times New Roman" w:hAnsi="Times New Roman" w:cs="Times New Roman"/>
          <w:i/>
          <w:iCs/>
          <w:spacing w:val="-4"/>
          <w:sz w:val="27"/>
          <w:szCs w:val="27"/>
        </w:rPr>
      </w:pPr>
      <w:r w:rsidRPr="008A1984">
        <w:rPr>
          <w:rFonts w:ascii="Times New Roman" w:eastAsia="Times New Roman" w:hAnsi="Times New Roman" w:cs="Times New Roman"/>
          <w:b/>
          <w:bCs/>
          <w:i/>
          <w:iCs/>
          <w:spacing w:val="-4"/>
          <w:sz w:val="27"/>
          <w:szCs w:val="27"/>
        </w:rPr>
        <w:t xml:space="preserve">1.4. </w:t>
      </w:r>
      <w:r w:rsidR="00BB0F8C" w:rsidRPr="00BB0F8C">
        <w:rPr>
          <w:rFonts w:ascii="Times New Roman" w:eastAsia="Times New Roman" w:hAnsi="Times New Roman" w:cs="Times New Roman"/>
          <w:b/>
          <w:bCs/>
          <w:i/>
          <w:iCs/>
          <w:spacing w:val="-4"/>
          <w:sz w:val="27"/>
          <w:szCs w:val="27"/>
        </w:rPr>
        <w:t>Articles 10 and 12 – Education and Health Care</w:t>
      </w:r>
    </w:p>
    <w:p w14:paraId="6FE3A5A9" w14:textId="77777777" w:rsidR="00142443"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 xml:space="preserve">Women’s access to education and health care is generally guaranteed by law, and a number of programmes on gender equality education and reproductive health have been implemented across sectors and levels. </w:t>
      </w:r>
    </w:p>
    <w:p w14:paraId="0B57438D"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Nevertheless, women and girls who experience violence</w:t>
      </w:r>
      <w:r w:rsidR="00142443" w:rsidRPr="008A1984">
        <w:rPr>
          <w:rFonts w:ascii="Times New Roman" w:eastAsia="Times New Roman" w:hAnsi="Times New Roman" w:cs="Times New Roman"/>
          <w:spacing w:val="-4"/>
          <w:sz w:val="27"/>
          <w:szCs w:val="27"/>
        </w:rPr>
        <w:t xml:space="preserve"> – </w:t>
      </w:r>
      <w:r w:rsidRPr="00BB0F8C">
        <w:rPr>
          <w:rFonts w:ascii="Times New Roman" w:eastAsia="Times New Roman" w:hAnsi="Times New Roman" w:cs="Times New Roman"/>
          <w:spacing w:val="-4"/>
          <w:sz w:val="27"/>
          <w:szCs w:val="27"/>
        </w:rPr>
        <w:t>particularly children accompanying survivors</w:t>
      </w:r>
      <w:r w:rsidR="00142443" w:rsidRPr="008A1984">
        <w:rPr>
          <w:rFonts w:ascii="Times New Roman" w:eastAsia="Times New Roman" w:hAnsi="Times New Roman" w:cs="Times New Roman"/>
          <w:spacing w:val="-4"/>
          <w:sz w:val="27"/>
          <w:szCs w:val="27"/>
        </w:rPr>
        <w:t xml:space="preserve"> – </w:t>
      </w:r>
      <w:r w:rsidRPr="00BB0F8C">
        <w:rPr>
          <w:rFonts w:ascii="Times New Roman" w:eastAsia="Times New Roman" w:hAnsi="Times New Roman" w:cs="Times New Roman"/>
          <w:spacing w:val="-4"/>
          <w:sz w:val="27"/>
          <w:szCs w:val="27"/>
        </w:rPr>
        <w:t>often face disruptions in schooling and limited access to gender equality education and life skills education. The need for health care, especially mental health services for survivors of gender-based violence, is substantial, while the availability and accessibility of public psychological support and counselling services remain limited.</w:t>
      </w:r>
    </w:p>
    <w:p w14:paraId="2DC73524" w14:textId="77777777" w:rsidR="00BB0F8C" w:rsidRPr="00BB0F8C" w:rsidRDefault="00142443" w:rsidP="006C1AF3">
      <w:pPr>
        <w:spacing w:beforeLines="60" w:before="144" w:afterLines="60" w:after="144" w:line="276" w:lineRule="auto"/>
        <w:jc w:val="both"/>
        <w:rPr>
          <w:rFonts w:ascii="Times New Roman" w:eastAsia="Times New Roman" w:hAnsi="Times New Roman" w:cs="Times New Roman"/>
          <w:i/>
          <w:iCs/>
          <w:spacing w:val="-4"/>
          <w:sz w:val="27"/>
          <w:szCs w:val="27"/>
        </w:rPr>
      </w:pPr>
      <w:r w:rsidRPr="008A1984">
        <w:rPr>
          <w:rFonts w:ascii="Times New Roman" w:eastAsia="Times New Roman" w:hAnsi="Times New Roman" w:cs="Times New Roman"/>
          <w:b/>
          <w:bCs/>
          <w:i/>
          <w:iCs/>
          <w:spacing w:val="-4"/>
          <w:sz w:val="27"/>
          <w:szCs w:val="27"/>
        </w:rPr>
        <w:t xml:space="preserve">1.5. </w:t>
      </w:r>
      <w:r w:rsidR="00BB0F8C" w:rsidRPr="00BB0F8C">
        <w:rPr>
          <w:rFonts w:ascii="Times New Roman" w:eastAsia="Times New Roman" w:hAnsi="Times New Roman" w:cs="Times New Roman"/>
          <w:b/>
          <w:bCs/>
          <w:i/>
          <w:iCs/>
          <w:spacing w:val="-4"/>
          <w:sz w:val="27"/>
          <w:szCs w:val="27"/>
        </w:rPr>
        <w:t>Articles 13 and 14 – Economic and Social Rights of Women</w:t>
      </w:r>
    </w:p>
    <w:p w14:paraId="4E4E7367"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Social protection and poverty reduction policies have contributed to improving living conditions for many women, particularly in disadvantaged areas. However, women in vulnerable situations—especially survivors of violence and trafficking</w:t>
      </w:r>
      <w:r w:rsidR="00142443" w:rsidRPr="008A1984">
        <w:rPr>
          <w:rFonts w:ascii="Times New Roman" w:eastAsia="Times New Roman" w:hAnsi="Times New Roman" w:cs="Times New Roman"/>
          <w:spacing w:val="-4"/>
          <w:sz w:val="27"/>
          <w:szCs w:val="27"/>
        </w:rPr>
        <w:t xml:space="preserve"> – </w:t>
      </w:r>
      <w:r w:rsidRPr="00BB0F8C">
        <w:rPr>
          <w:rFonts w:ascii="Times New Roman" w:eastAsia="Times New Roman" w:hAnsi="Times New Roman" w:cs="Times New Roman"/>
          <w:spacing w:val="-4"/>
          <w:sz w:val="27"/>
          <w:szCs w:val="27"/>
        </w:rPr>
        <w:t>continue to face significant barriers in accessing sustainable livelihoods, employment opportunities, and economic support programmes that adequately respond to their specific needs. These gaps may increase the risk of revictimization and re-trafficking.</w:t>
      </w:r>
    </w:p>
    <w:p w14:paraId="32AE21A4" w14:textId="77777777" w:rsidR="00BB0F8C" w:rsidRPr="008A1984" w:rsidRDefault="00142443" w:rsidP="006C1AF3">
      <w:pPr>
        <w:spacing w:beforeLines="60" w:before="144" w:afterLines="60" w:after="144" w:line="276" w:lineRule="auto"/>
        <w:jc w:val="both"/>
        <w:rPr>
          <w:rFonts w:ascii="Times New Roman" w:eastAsia="Times New Roman" w:hAnsi="Times New Roman" w:cs="Times New Roman"/>
          <w:b/>
          <w:bCs/>
          <w:i/>
          <w:iCs/>
          <w:spacing w:val="-4"/>
          <w:sz w:val="27"/>
          <w:szCs w:val="27"/>
        </w:rPr>
      </w:pPr>
      <w:r w:rsidRPr="008A1984">
        <w:rPr>
          <w:rFonts w:ascii="Times New Roman" w:eastAsia="Times New Roman" w:hAnsi="Times New Roman" w:cs="Times New Roman"/>
          <w:b/>
          <w:bCs/>
          <w:i/>
          <w:iCs/>
          <w:spacing w:val="-4"/>
          <w:sz w:val="27"/>
          <w:szCs w:val="27"/>
        </w:rPr>
        <w:t xml:space="preserve">1.6. </w:t>
      </w:r>
      <w:r w:rsidR="00BB0F8C" w:rsidRPr="00BB0F8C">
        <w:rPr>
          <w:rFonts w:ascii="Times New Roman" w:eastAsia="Times New Roman" w:hAnsi="Times New Roman" w:cs="Times New Roman"/>
          <w:b/>
          <w:bCs/>
          <w:i/>
          <w:iCs/>
          <w:spacing w:val="-4"/>
          <w:sz w:val="27"/>
          <w:szCs w:val="27"/>
        </w:rPr>
        <w:t>Article 16 – Marriage and Family Relations</w:t>
      </w:r>
    </w:p>
    <w:p w14:paraId="5D4D67A5" w14:textId="77777777" w:rsidR="009D2F4F" w:rsidRPr="008A1984" w:rsidRDefault="009D2F4F" w:rsidP="006C1AF3">
      <w:pPr>
        <w:spacing w:beforeLines="60" w:before="144" w:afterLines="60" w:after="144" w:line="276" w:lineRule="auto"/>
        <w:jc w:val="both"/>
        <w:rPr>
          <w:rFonts w:ascii="Times New Roman" w:eastAsia="Times New Roman" w:hAnsi="Times New Roman" w:cs="Times New Roman"/>
          <w:spacing w:val="-4"/>
          <w:sz w:val="27"/>
          <w:szCs w:val="27"/>
        </w:rPr>
      </w:pPr>
      <w:r w:rsidRPr="008A1984">
        <w:rPr>
          <w:rFonts w:ascii="Times New Roman" w:eastAsia="Times New Roman" w:hAnsi="Times New Roman" w:cs="Times New Roman"/>
          <w:spacing w:val="-4"/>
          <w:sz w:val="27"/>
          <w:szCs w:val="27"/>
        </w:rPr>
        <w:lastRenderedPageBreak/>
        <w:t>Vietnamese law recognizes the principle of equality in marriage and family relations and includes specific provisions on the prevention of and response to domestic violence. However, in practice, forms of violence are becoming increasingly sophisticated, particularly with the involvement of technological factors, which creates significant barriers to detection and handling. Based on its work, CWD has documented numerous cases in which:</w:t>
      </w:r>
    </w:p>
    <w:p w14:paraId="7D8E0153" w14:textId="77777777" w:rsidR="009D2F4F" w:rsidRPr="008A1984" w:rsidRDefault="009D2F4F"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Violence persisted in a severe and prolonged manner for many years before being detected;</w:t>
      </w:r>
    </w:p>
    <w:p w14:paraId="4BD5CBEE" w14:textId="77777777" w:rsidR="009D2F4F" w:rsidRPr="008A1984" w:rsidRDefault="009D2F4F"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Women faced disadvantages during divorce proceedings and child custody disputes due to threats and controlling behaviours by perpetrators;</w:t>
      </w:r>
    </w:p>
    <w:p w14:paraId="63FD5030" w14:textId="77777777" w:rsidR="009D2F4F" w:rsidRPr="008A1984" w:rsidRDefault="009D2F4F" w:rsidP="006C1AF3">
      <w:pPr>
        <w:pStyle w:val="ListParagraph"/>
        <w:numPr>
          <w:ilvl w:val="0"/>
          <w:numId w:val="1"/>
        </w:numPr>
        <w:spacing w:beforeLines="60" w:before="144" w:afterLines="60" w:after="144" w:line="276" w:lineRule="auto"/>
        <w:rPr>
          <w:spacing w:val="-4"/>
          <w:sz w:val="27"/>
          <w:szCs w:val="27"/>
        </w:rPr>
      </w:pPr>
      <w:r w:rsidRPr="008A1984">
        <w:rPr>
          <w:spacing w:val="-4"/>
          <w:sz w:val="27"/>
          <w:szCs w:val="27"/>
        </w:rPr>
        <w:t>Economic violence and financial control have not yet been fully recognized or adequately addressed in practice.</w:t>
      </w:r>
    </w:p>
    <w:p w14:paraId="07FA1C67" w14:textId="77777777" w:rsidR="009D2F4F" w:rsidRPr="009D2F4F" w:rsidRDefault="009D2F4F" w:rsidP="006C1AF3">
      <w:pPr>
        <w:spacing w:beforeLines="60" w:before="144" w:afterLines="60" w:after="144" w:line="276" w:lineRule="auto"/>
        <w:jc w:val="both"/>
        <w:outlineLvl w:val="3"/>
        <w:rPr>
          <w:rFonts w:ascii="Times New Roman" w:eastAsia="Times New Roman" w:hAnsi="Times New Roman" w:cs="Times New Roman"/>
          <w:b/>
          <w:bCs/>
          <w:sz w:val="27"/>
          <w:szCs w:val="27"/>
        </w:rPr>
      </w:pPr>
      <w:r w:rsidRPr="009D2F4F">
        <w:rPr>
          <w:rFonts w:ascii="Times New Roman" w:eastAsia="Times New Roman" w:hAnsi="Times New Roman" w:cs="Times New Roman"/>
          <w:b/>
          <w:bCs/>
          <w:sz w:val="27"/>
          <w:szCs w:val="27"/>
        </w:rPr>
        <w:t>2. Overall Assessment of Implementation</w:t>
      </w:r>
    </w:p>
    <w:p w14:paraId="21206287" w14:textId="77777777" w:rsidR="009D2F4F" w:rsidRPr="009D2F4F" w:rsidRDefault="009D2F4F" w:rsidP="006C1AF3">
      <w:pPr>
        <w:spacing w:beforeLines="60" w:before="144" w:afterLines="60" w:after="144" w:line="276" w:lineRule="auto"/>
        <w:jc w:val="both"/>
        <w:outlineLvl w:val="4"/>
        <w:rPr>
          <w:rFonts w:ascii="Times New Roman" w:eastAsia="Times New Roman" w:hAnsi="Times New Roman" w:cs="Times New Roman"/>
          <w:b/>
          <w:bCs/>
          <w:i/>
          <w:iCs/>
          <w:sz w:val="27"/>
          <w:szCs w:val="27"/>
        </w:rPr>
      </w:pPr>
      <w:r w:rsidRPr="009D2F4F">
        <w:rPr>
          <w:rFonts w:ascii="Times New Roman" w:eastAsia="Times New Roman" w:hAnsi="Times New Roman" w:cs="Times New Roman"/>
          <w:b/>
          <w:bCs/>
          <w:i/>
          <w:iCs/>
          <w:sz w:val="27"/>
          <w:szCs w:val="27"/>
        </w:rPr>
        <w:t>2.1. Achievements</w:t>
      </w:r>
    </w:p>
    <w:p w14:paraId="727096FA" w14:textId="77777777" w:rsidR="009D2F4F" w:rsidRPr="009D2F4F"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9D2F4F">
        <w:rPr>
          <w:rFonts w:ascii="Times New Roman" w:eastAsia="Times New Roman" w:hAnsi="Times New Roman" w:cs="Times New Roman"/>
          <w:sz w:val="27"/>
          <w:szCs w:val="27"/>
        </w:rPr>
        <w:t>Viet Nam has made significant progress in promoting gender equality and protecting women’s rights, as reflected in the continued improvement of the legal and policy framework as well as national programmes related to gender equality, the prevention and response to gender-based violence, and the protection of women and children. Legal provisions have increasingly aligned with the standards set out in the CEDAW Convention.</w:t>
      </w:r>
    </w:p>
    <w:p w14:paraId="645CEF07" w14:textId="77777777" w:rsidR="009D2F4F" w:rsidRPr="009D2F4F"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9D2F4F">
        <w:rPr>
          <w:rFonts w:ascii="Times New Roman" w:eastAsia="Times New Roman" w:hAnsi="Times New Roman" w:cs="Times New Roman"/>
          <w:sz w:val="27"/>
          <w:szCs w:val="27"/>
        </w:rPr>
        <w:t>The development of support service models such as the Peace House Shelter (PHS), counselling hotlines, counselling services, psychosocial and legal support, and emergency intervention services has contributed to improving access to services for women and children who experience violence. These services have supported survivors in their recovery, stabilization of their lives, and access to justice. Intersectoral coordination mechanisms for the prevention and response to gender-based violence have gradually been established and operationalized in a number of localities, laying the foundation for the provision of more comprehensive and integrated support services.</w:t>
      </w:r>
    </w:p>
    <w:p w14:paraId="5C4AC345" w14:textId="77777777" w:rsidR="009D2F4F" w:rsidRPr="009D2F4F" w:rsidRDefault="009D2F4F" w:rsidP="006C1AF3">
      <w:pPr>
        <w:spacing w:beforeLines="60" w:before="144" w:afterLines="60" w:after="144" w:line="276" w:lineRule="auto"/>
        <w:jc w:val="both"/>
        <w:outlineLvl w:val="4"/>
        <w:rPr>
          <w:rFonts w:ascii="Times New Roman" w:eastAsia="Times New Roman" w:hAnsi="Times New Roman" w:cs="Times New Roman"/>
          <w:b/>
          <w:bCs/>
          <w:i/>
          <w:iCs/>
          <w:sz w:val="27"/>
          <w:szCs w:val="27"/>
        </w:rPr>
      </w:pPr>
      <w:r w:rsidRPr="009D2F4F">
        <w:rPr>
          <w:rFonts w:ascii="Times New Roman" w:eastAsia="Times New Roman" w:hAnsi="Times New Roman" w:cs="Times New Roman"/>
          <w:b/>
          <w:bCs/>
          <w:i/>
          <w:iCs/>
          <w:sz w:val="27"/>
          <w:szCs w:val="27"/>
        </w:rPr>
        <w:t>2.2. Limitations and Ongoing Challenges in the Implementation of the CEDAW Convention</w:t>
      </w:r>
    </w:p>
    <w:p w14:paraId="3B322534" w14:textId="77777777" w:rsidR="009D2F4F" w:rsidRPr="009D2F4F"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8A1984">
        <w:rPr>
          <w:rFonts w:ascii="Times New Roman" w:eastAsia="Times New Roman" w:hAnsi="Times New Roman" w:cs="Times New Roman"/>
          <w:sz w:val="27"/>
          <w:szCs w:val="27"/>
        </w:rPr>
        <w:t>CWD</w:t>
      </w:r>
      <w:r w:rsidRPr="009D2F4F">
        <w:rPr>
          <w:rFonts w:ascii="Times New Roman" w:eastAsia="Times New Roman" w:hAnsi="Times New Roman" w:cs="Times New Roman"/>
          <w:sz w:val="27"/>
          <w:szCs w:val="27"/>
        </w:rPr>
        <w:t xml:space="preserve"> observes that gender-based violence continues to occur in complex and prolonged forms. Many women are not yet ready or do not have sufficient conditions to access </w:t>
      </w:r>
      <w:r w:rsidRPr="009D2F4F">
        <w:rPr>
          <w:rFonts w:ascii="Times New Roman" w:eastAsia="Times New Roman" w:hAnsi="Times New Roman" w:cs="Times New Roman"/>
          <w:sz w:val="27"/>
          <w:szCs w:val="27"/>
        </w:rPr>
        <w:lastRenderedPageBreak/>
        <w:t>existing protection and support mechanisms. There remains a lack of coherence within the support service system, particularly with regard to specialized services, long-term psychological support, legal assistance, and economic reintegration support for women after experiencing violence.</w:t>
      </w:r>
    </w:p>
    <w:p w14:paraId="0DCA0E64" w14:textId="77777777" w:rsidR="009D2F4F" w:rsidRPr="008A1984"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9D2F4F">
        <w:rPr>
          <w:rFonts w:ascii="Times New Roman" w:eastAsia="Times New Roman" w:hAnsi="Times New Roman" w:cs="Times New Roman"/>
          <w:sz w:val="27"/>
          <w:szCs w:val="27"/>
        </w:rPr>
        <w:t>In addition, groups of women in vulnerable situations</w:t>
      </w:r>
      <w:r w:rsidRPr="008A1984">
        <w:rPr>
          <w:rFonts w:ascii="Times New Roman" w:eastAsia="Times New Roman" w:hAnsi="Times New Roman" w:cs="Times New Roman"/>
          <w:sz w:val="27"/>
          <w:szCs w:val="27"/>
        </w:rPr>
        <w:t xml:space="preserve"> – </w:t>
      </w:r>
      <w:r w:rsidRPr="009D2F4F">
        <w:rPr>
          <w:rFonts w:ascii="Times New Roman" w:eastAsia="Times New Roman" w:hAnsi="Times New Roman" w:cs="Times New Roman"/>
          <w:sz w:val="27"/>
          <w:szCs w:val="27"/>
        </w:rPr>
        <w:t>such as poor women, migrant women, women with disabilities, ethnic minority women, and women who have experienced violence</w:t>
      </w:r>
      <w:r w:rsidRPr="008A1984">
        <w:rPr>
          <w:rFonts w:ascii="Times New Roman" w:eastAsia="Times New Roman" w:hAnsi="Times New Roman" w:cs="Times New Roman"/>
          <w:sz w:val="27"/>
          <w:szCs w:val="27"/>
        </w:rPr>
        <w:t xml:space="preserve"> – </w:t>
      </w:r>
      <w:r w:rsidRPr="009D2F4F">
        <w:rPr>
          <w:rFonts w:ascii="Times New Roman" w:eastAsia="Times New Roman" w:hAnsi="Times New Roman" w:cs="Times New Roman"/>
          <w:sz w:val="27"/>
          <w:szCs w:val="27"/>
        </w:rPr>
        <w:t>face multiple barriers in accessing information and support services.</w:t>
      </w:r>
    </w:p>
    <w:p w14:paraId="1B96C548" w14:textId="20CC0B6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t xml:space="preserve">III. Good </w:t>
      </w:r>
      <w:r w:rsidR="006C1AF3">
        <w:rPr>
          <w:rFonts w:ascii="Times New Roman" w:eastAsia="Times New Roman" w:hAnsi="Times New Roman" w:cs="Times New Roman"/>
          <w:b/>
          <w:bCs/>
          <w:spacing w:val="-4"/>
          <w:sz w:val="27"/>
          <w:szCs w:val="27"/>
        </w:rPr>
        <w:t>p</w:t>
      </w:r>
      <w:r w:rsidRPr="00BB0F8C">
        <w:rPr>
          <w:rFonts w:ascii="Times New Roman" w:eastAsia="Times New Roman" w:hAnsi="Times New Roman" w:cs="Times New Roman"/>
          <w:b/>
          <w:bCs/>
          <w:spacing w:val="-4"/>
          <w:sz w:val="27"/>
          <w:szCs w:val="27"/>
        </w:rPr>
        <w:t xml:space="preserve">ractices and </w:t>
      </w:r>
      <w:r w:rsidR="006C1AF3">
        <w:rPr>
          <w:rFonts w:ascii="Times New Roman" w:eastAsia="Times New Roman" w:hAnsi="Times New Roman" w:cs="Times New Roman"/>
          <w:b/>
          <w:bCs/>
          <w:spacing w:val="-4"/>
          <w:sz w:val="27"/>
          <w:szCs w:val="27"/>
        </w:rPr>
        <w:t>l</w:t>
      </w:r>
      <w:r w:rsidRPr="00BB0F8C">
        <w:rPr>
          <w:rFonts w:ascii="Times New Roman" w:eastAsia="Times New Roman" w:hAnsi="Times New Roman" w:cs="Times New Roman"/>
          <w:b/>
          <w:bCs/>
          <w:spacing w:val="-4"/>
          <w:sz w:val="27"/>
          <w:szCs w:val="27"/>
        </w:rPr>
        <w:t xml:space="preserve">essons </w:t>
      </w:r>
      <w:r w:rsidR="006C1AF3">
        <w:rPr>
          <w:rFonts w:ascii="Times New Roman" w:eastAsia="Times New Roman" w:hAnsi="Times New Roman" w:cs="Times New Roman"/>
          <w:b/>
          <w:bCs/>
          <w:spacing w:val="-4"/>
          <w:sz w:val="27"/>
          <w:szCs w:val="27"/>
        </w:rPr>
        <w:t>l</w:t>
      </w:r>
      <w:r w:rsidRPr="00BB0F8C">
        <w:rPr>
          <w:rFonts w:ascii="Times New Roman" w:eastAsia="Times New Roman" w:hAnsi="Times New Roman" w:cs="Times New Roman"/>
          <w:b/>
          <w:bCs/>
          <w:spacing w:val="-4"/>
          <w:sz w:val="27"/>
          <w:szCs w:val="27"/>
        </w:rPr>
        <w:t>earned</w:t>
      </w:r>
    </w:p>
    <w:p w14:paraId="021B226B" w14:textId="77777777" w:rsidR="009D2F4F" w:rsidRPr="009D2F4F"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9D2F4F">
        <w:rPr>
          <w:rFonts w:ascii="Times New Roman" w:eastAsia="Times New Roman" w:hAnsi="Times New Roman" w:cs="Times New Roman"/>
          <w:sz w:val="27"/>
          <w:szCs w:val="27"/>
        </w:rPr>
        <w:t>The operation of the Peace House Shelter (PHS) model demonstrates that support for women and children must be grounded in a rights-based approach, strengthened through intersectoral coordination, and aligned with core principles of gender equality through the provision of a comprehensive package of services. PHS records indicate that 100% of survivors received counselling and case-specific intensive psychological therapy, tailored to the individual circumstances of each case. All returned survivors of trafficking were provided with medical examinations and treatment for sexually transmitted infections. 100% of survivors were equipped with knowledge and skills related to legal rights, relevant laws, and coping skills in responding to violence. Eighty-five percent (85%) of cases were connected with local authorities and competent agencies to address legal matters. More than 60% of women at PHS received support to continue formal education, vocational training, and to seek employment appropriate to their capacities and personal circumstances. Ninety-five percent (95%) of children were ensured access to education during the period of temporary shelter.</w:t>
      </w:r>
      <w:r w:rsidRPr="008A1984">
        <w:rPr>
          <w:rFonts w:ascii="Times New Roman" w:eastAsia="Times New Roman" w:hAnsi="Times New Roman" w:cs="Times New Roman"/>
          <w:sz w:val="27"/>
          <w:szCs w:val="27"/>
        </w:rPr>
        <w:t xml:space="preserve"> </w:t>
      </w:r>
      <w:r w:rsidRPr="009D2F4F">
        <w:rPr>
          <w:rFonts w:ascii="Times New Roman" w:eastAsia="Times New Roman" w:hAnsi="Times New Roman" w:cs="Times New Roman"/>
          <w:sz w:val="27"/>
          <w:szCs w:val="27"/>
        </w:rPr>
        <w:t>Through the delivery of holistic, needs-based services, PHS enables survivors to build sufficient physical, psychological, and practical capacity to address their own challenges and to rebuild independent and sustainable lives.</w:t>
      </w:r>
    </w:p>
    <w:p w14:paraId="66040C61" w14:textId="77777777" w:rsidR="009D2F4F" w:rsidRPr="009D2F4F" w:rsidRDefault="009D2F4F" w:rsidP="006C1AF3">
      <w:pPr>
        <w:spacing w:beforeLines="60" w:before="144" w:afterLines="60" w:after="144" w:line="276" w:lineRule="auto"/>
        <w:jc w:val="both"/>
        <w:rPr>
          <w:rFonts w:ascii="Times New Roman" w:eastAsia="Times New Roman" w:hAnsi="Times New Roman" w:cs="Times New Roman"/>
          <w:sz w:val="27"/>
          <w:szCs w:val="27"/>
        </w:rPr>
      </w:pPr>
      <w:r w:rsidRPr="009D2F4F">
        <w:rPr>
          <w:rFonts w:ascii="Times New Roman" w:eastAsia="Times New Roman" w:hAnsi="Times New Roman" w:cs="Times New Roman"/>
          <w:sz w:val="27"/>
          <w:szCs w:val="27"/>
        </w:rPr>
        <w:t>PHS has contributed to the protection of the legitimate rights and interests of women and girls, and to the reduction of prohibited acts, as reflected in the following areas:</w:t>
      </w:r>
    </w:p>
    <w:p w14:paraId="445BD735" w14:textId="77777777" w:rsidR="009D2F4F" w:rsidRPr="008A1984" w:rsidRDefault="009D2F4F" w:rsidP="006C1AF3">
      <w:pPr>
        <w:pStyle w:val="ListParagraph"/>
        <w:numPr>
          <w:ilvl w:val="0"/>
          <w:numId w:val="1"/>
        </w:numPr>
        <w:spacing w:beforeLines="60" w:before="144" w:afterLines="60" w:after="144" w:line="276" w:lineRule="auto"/>
        <w:rPr>
          <w:sz w:val="27"/>
          <w:szCs w:val="27"/>
        </w:rPr>
      </w:pPr>
      <w:r w:rsidRPr="008A1984">
        <w:rPr>
          <w:sz w:val="27"/>
          <w:szCs w:val="27"/>
        </w:rPr>
        <w:t xml:space="preserve">At the individual level: PHS has made significant contributions to changing perceptions, eliminating entrenched habits, mindsets, and gender stereotypes regarding the roles of women and men within family relationships, including notions such as </w:t>
      </w:r>
      <w:r w:rsidRPr="008A1984">
        <w:rPr>
          <w:i/>
          <w:iCs/>
          <w:sz w:val="27"/>
          <w:szCs w:val="27"/>
        </w:rPr>
        <w:t>son preference</w:t>
      </w:r>
      <w:r w:rsidRPr="008A1984">
        <w:rPr>
          <w:sz w:val="27"/>
          <w:szCs w:val="27"/>
        </w:rPr>
        <w:t xml:space="preserve"> and </w:t>
      </w:r>
      <w:r w:rsidRPr="008A1984">
        <w:rPr>
          <w:i/>
          <w:iCs/>
          <w:sz w:val="27"/>
          <w:szCs w:val="27"/>
        </w:rPr>
        <w:t>male dominance over women</w:t>
      </w:r>
      <w:r w:rsidRPr="008A1984">
        <w:rPr>
          <w:sz w:val="27"/>
          <w:szCs w:val="27"/>
        </w:rPr>
        <w:t>. It supports women and girls in understanding their legal rights and provides opportunities for them to voice their perspectives and concerns.</w:t>
      </w:r>
    </w:p>
    <w:p w14:paraId="125BE14D" w14:textId="77777777" w:rsidR="009D2F4F" w:rsidRPr="008A1984" w:rsidRDefault="009D2F4F" w:rsidP="006C1AF3">
      <w:pPr>
        <w:pStyle w:val="ListParagraph"/>
        <w:numPr>
          <w:ilvl w:val="0"/>
          <w:numId w:val="1"/>
        </w:numPr>
        <w:spacing w:beforeLines="60" w:before="144" w:afterLines="60" w:after="144" w:line="276" w:lineRule="auto"/>
        <w:rPr>
          <w:sz w:val="27"/>
          <w:szCs w:val="27"/>
        </w:rPr>
      </w:pPr>
      <w:r w:rsidRPr="008A1984">
        <w:rPr>
          <w:sz w:val="27"/>
          <w:szCs w:val="27"/>
        </w:rPr>
        <w:lastRenderedPageBreak/>
        <w:t>At the family level: PHS helps ensure the safety of women and children within family relationships; improves relationships among family members in both nuclear and extended families; reduces and prevents gender-based violence within the family; and contributes to lowering divorce rates. Where divorce does occur, PHS supports the protection of the legitimate rights and interests of women and children.</w:t>
      </w:r>
    </w:p>
    <w:p w14:paraId="69DF00AA" w14:textId="77777777" w:rsidR="009D2F4F" w:rsidRPr="008A1984" w:rsidRDefault="009D2F4F" w:rsidP="006C1AF3">
      <w:pPr>
        <w:pStyle w:val="ListParagraph"/>
        <w:numPr>
          <w:ilvl w:val="0"/>
          <w:numId w:val="1"/>
        </w:numPr>
        <w:spacing w:beforeLines="60" w:before="144" w:afterLines="60" w:after="144" w:line="276" w:lineRule="auto"/>
        <w:rPr>
          <w:sz w:val="27"/>
          <w:szCs w:val="27"/>
        </w:rPr>
      </w:pPr>
      <w:r w:rsidRPr="008A1984">
        <w:rPr>
          <w:sz w:val="27"/>
          <w:szCs w:val="27"/>
        </w:rPr>
        <w:t>At the societal level: PHS contributes to changing the thinking and awareness of individuals and segments of the community regarding gender equality, reducing victim-blaming, encouraging recognition of shared responsibility in supporting and protecting survivors, and facilitating access to services to ensure their legitimate rights and interests.</w:t>
      </w:r>
    </w:p>
    <w:p w14:paraId="2B2974B7"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t>IV. Overall Observations from a Civil Society Perspective</w:t>
      </w:r>
    </w:p>
    <w:p w14:paraId="706F6D17" w14:textId="77777777" w:rsidR="009D2F4F" w:rsidRPr="008A1984" w:rsidRDefault="009D2F4F" w:rsidP="006C1AF3">
      <w:pPr>
        <w:spacing w:beforeLines="60" w:before="144" w:afterLines="60" w:after="144" w:line="276" w:lineRule="auto"/>
        <w:jc w:val="both"/>
        <w:rPr>
          <w:rFonts w:ascii="Times New Roman" w:eastAsia="Times New Roman" w:hAnsi="Times New Roman" w:cs="Times New Roman"/>
          <w:b/>
          <w:bCs/>
          <w:spacing w:val="-4"/>
          <w:sz w:val="27"/>
          <w:szCs w:val="27"/>
        </w:rPr>
      </w:pPr>
      <w:r w:rsidRPr="008A1984">
        <w:rPr>
          <w:rFonts w:ascii="Times New Roman" w:hAnsi="Times New Roman" w:cs="Times New Roman"/>
          <w:b/>
          <w:bCs/>
          <w:sz w:val="27"/>
          <w:szCs w:val="27"/>
        </w:rPr>
        <w:t>1. Issues insufficiently reflected in Viet Nam’s Ninth CEDAW National Report</w:t>
      </w:r>
    </w:p>
    <w:p w14:paraId="7DB8F8AC" w14:textId="77777777" w:rsidR="00BB0F8C"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CWD notes that Viet Nam’s Ninth Periodic CEDAW National Report does not fully reflect the realities of implementation at the grassroots level. Barriers to accessing support services, risks of revictimization, and the lived experiences of women in vulnerable situations have not been comprehensively analysed, particularly in the context of rapid developments in science and information technology.</w:t>
      </w:r>
    </w:p>
    <w:p w14:paraId="3C28DF49" w14:textId="77777777" w:rsidR="009D2F4F" w:rsidRPr="00BB0F8C" w:rsidRDefault="009D2F4F" w:rsidP="006C1AF3">
      <w:pPr>
        <w:spacing w:beforeLines="60" w:before="144" w:afterLines="60" w:after="144" w:line="276" w:lineRule="auto"/>
        <w:jc w:val="both"/>
        <w:rPr>
          <w:rFonts w:ascii="Times New Roman" w:eastAsia="Times New Roman" w:hAnsi="Times New Roman" w:cs="Times New Roman"/>
          <w:b/>
          <w:bCs/>
          <w:spacing w:val="-4"/>
          <w:sz w:val="27"/>
          <w:szCs w:val="27"/>
        </w:rPr>
      </w:pPr>
      <w:r w:rsidRPr="008A1984">
        <w:rPr>
          <w:rFonts w:ascii="Times New Roman" w:hAnsi="Times New Roman" w:cs="Times New Roman"/>
          <w:b/>
          <w:bCs/>
          <w:sz w:val="27"/>
          <w:szCs w:val="27"/>
        </w:rPr>
        <w:t>2. Issues requiring attention by the CEDAW Committee in its dialogue with Viet Nam</w:t>
      </w:r>
    </w:p>
    <w:p w14:paraId="070AD6A7" w14:textId="77777777" w:rsidR="00BB0F8C"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The CEDAW Committee is encouraged to focus on the extent of substantive implementation of regulations on gender equality and the prevention of and response to gender-based violence, especially at the local level. Key issues warranting attention include the availability of survivor-centred services, the allocation of adequate financial resources, the capacity of implementing officials, the effectiveness of intersectoral coordination, and women’s access to justice in practice, particularly for women in vulnerable situations.</w:t>
      </w:r>
    </w:p>
    <w:p w14:paraId="45D9840F" w14:textId="77777777" w:rsidR="009D2F4F" w:rsidRPr="00BB0F8C" w:rsidRDefault="009D2F4F" w:rsidP="006C1AF3">
      <w:pPr>
        <w:spacing w:beforeLines="60" w:before="144" w:afterLines="60" w:after="144" w:line="276" w:lineRule="auto"/>
        <w:jc w:val="both"/>
        <w:rPr>
          <w:rFonts w:ascii="Times New Roman" w:eastAsia="Times New Roman" w:hAnsi="Times New Roman" w:cs="Times New Roman"/>
          <w:b/>
          <w:bCs/>
          <w:spacing w:val="-4"/>
          <w:sz w:val="27"/>
          <w:szCs w:val="27"/>
        </w:rPr>
      </w:pPr>
      <w:r w:rsidRPr="008A1984">
        <w:rPr>
          <w:rFonts w:ascii="Times New Roman" w:hAnsi="Times New Roman" w:cs="Times New Roman"/>
          <w:b/>
          <w:bCs/>
          <w:sz w:val="27"/>
          <w:szCs w:val="27"/>
        </w:rPr>
        <w:t>3. Role and potential contributions of civil society organizations</w:t>
      </w:r>
    </w:p>
    <w:p w14:paraId="44AC008D" w14:textId="77777777" w:rsidR="00BB0F8C"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Civil society organizations play a critical role in providing direct support services, documenting evidence from practice, and bridging gaps between policy commitments and implementation. Strengthening consultation and coordination mechanisms, together with ensuring stable and sustainable resources for these organizations, will enhance the effectiveness of CEDAW implementation and ensure that women’s voices are meaningfully integrated into policy development and monitoring processes.</w:t>
      </w:r>
    </w:p>
    <w:p w14:paraId="159DF78B"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lastRenderedPageBreak/>
        <w:t>V. Recommendations</w:t>
      </w:r>
    </w:p>
    <w:p w14:paraId="682E4C8F" w14:textId="77777777" w:rsidR="00705CAB" w:rsidRPr="008A1984" w:rsidRDefault="00705CAB" w:rsidP="006C1AF3">
      <w:pPr>
        <w:spacing w:beforeLines="60" w:before="144" w:afterLines="60" w:after="144" w:line="276" w:lineRule="auto"/>
        <w:jc w:val="both"/>
        <w:rPr>
          <w:rFonts w:ascii="Times New Roman" w:eastAsia="Times New Roman" w:hAnsi="Times New Roman" w:cs="Times New Roman"/>
          <w:b/>
          <w:bCs/>
          <w:spacing w:val="-4"/>
          <w:sz w:val="27"/>
          <w:szCs w:val="27"/>
        </w:rPr>
      </w:pPr>
      <w:r w:rsidRPr="008A1984">
        <w:rPr>
          <w:rFonts w:ascii="Times New Roman" w:eastAsia="Times New Roman" w:hAnsi="Times New Roman" w:cs="Times New Roman"/>
          <w:b/>
          <w:bCs/>
          <w:spacing w:val="-4"/>
          <w:sz w:val="27"/>
          <w:szCs w:val="27"/>
        </w:rPr>
        <w:t xml:space="preserve">1. </w:t>
      </w:r>
      <w:r w:rsidRPr="008A1984">
        <w:rPr>
          <w:rFonts w:ascii="Times New Roman" w:hAnsi="Times New Roman" w:cs="Times New Roman"/>
          <w:b/>
          <w:bCs/>
          <w:sz w:val="27"/>
          <w:szCs w:val="27"/>
        </w:rPr>
        <w:t>Recommendations to the Government of Viet Nam</w:t>
      </w:r>
    </w:p>
    <w:p w14:paraId="533C0B93"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CWD recommends that the State of Viet Nam continue to strengthen the legal and policy framework on gender equality and the prevention of and response to gender-based violence, ensuring coherence, consistency, and alignment with the standards of the CEDAW Convention, while placing greater emphasis on substantive implementation at the grassroots level. Adequate, stable, and sustainable financial and human resources should be ensured for services supporting women and children survivors of violence, including psychosocial and legal assistance, shelters, and long-term reintegration support.</w:t>
      </w:r>
    </w:p>
    <w:p w14:paraId="4194E962" w14:textId="77777777" w:rsidR="00BB0F8C"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CWD further encourages the continued establishment and strengthening of intersectoral coordination mechanisms among competent authorities, local governments, and civil society organizations, supported by clear, survivor-centred procedures and effective monitoring and evaluation mechanisms.</w:t>
      </w:r>
    </w:p>
    <w:p w14:paraId="08CA2C6C" w14:textId="77777777" w:rsidR="00705CAB" w:rsidRPr="00BB0F8C" w:rsidRDefault="00705CAB" w:rsidP="006C1AF3">
      <w:pPr>
        <w:spacing w:beforeLines="60" w:before="144" w:afterLines="60" w:after="144" w:line="276" w:lineRule="auto"/>
        <w:jc w:val="both"/>
        <w:rPr>
          <w:rFonts w:ascii="Times New Roman" w:eastAsia="Times New Roman" w:hAnsi="Times New Roman" w:cs="Times New Roman"/>
          <w:b/>
          <w:bCs/>
          <w:spacing w:val="-4"/>
          <w:sz w:val="27"/>
          <w:szCs w:val="27"/>
        </w:rPr>
      </w:pPr>
      <w:r w:rsidRPr="008A1984">
        <w:rPr>
          <w:rFonts w:ascii="Times New Roman" w:hAnsi="Times New Roman" w:cs="Times New Roman"/>
          <w:b/>
          <w:bCs/>
          <w:sz w:val="27"/>
          <w:szCs w:val="27"/>
        </w:rPr>
        <w:t>2. Recommendations to the CEDAW Committee</w:t>
      </w:r>
    </w:p>
    <w:p w14:paraId="4F16DA37" w14:textId="77777777" w:rsidR="00BB0F8C" w:rsidRPr="008A1984"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The CEDAW Committee is respectfully encouraged to continue issuing specific, feasible, and practice-oriented recommendations, particularly in relation to the prevention of and response to gender-based violence, access to support services, and women’s access to justice. The Committee is also encouraged to recognize and promote the role of civil society organizations and service providers as key actors in monitoring, policy feedback, and supporting the State in fulfilling its obligations under the CEDAW Convention.</w:t>
      </w:r>
    </w:p>
    <w:p w14:paraId="3ABE458D" w14:textId="77777777" w:rsidR="00BB0F8C" w:rsidRPr="00BB0F8C"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b/>
          <w:bCs/>
          <w:spacing w:val="-4"/>
          <w:sz w:val="27"/>
          <w:szCs w:val="27"/>
        </w:rPr>
        <w:t>VI. Conclusion</w:t>
      </w:r>
    </w:p>
    <w:p w14:paraId="11BCF8FE" w14:textId="1D7E01AE" w:rsidR="00BB0F8C" w:rsidRPr="00963D91" w:rsidRDefault="00BB0F8C" w:rsidP="006C1AF3">
      <w:pPr>
        <w:spacing w:beforeLines="60" w:before="144" w:afterLines="60" w:after="144" w:line="276" w:lineRule="auto"/>
        <w:jc w:val="both"/>
        <w:rPr>
          <w:rFonts w:ascii="Times New Roman" w:eastAsia="Times New Roman" w:hAnsi="Times New Roman" w:cs="Times New Roman"/>
          <w:spacing w:val="-4"/>
          <w:sz w:val="27"/>
          <w:szCs w:val="27"/>
        </w:rPr>
      </w:pPr>
      <w:r w:rsidRPr="00BB0F8C">
        <w:rPr>
          <w:rFonts w:ascii="Times New Roman" w:eastAsia="Times New Roman" w:hAnsi="Times New Roman" w:cs="Times New Roman"/>
          <w:spacing w:val="-4"/>
          <w:sz w:val="27"/>
          <w:szCs w:val="27"/>
        </w:rPr>
        <w:t>The Center for Women’s Development reaffirms its commitment to continuing to work alongside the State of Viet Nam to ensure the full and effective implementation of obligations under the CEDAW Convention through direct service provision, policy engagement, and the reflection of grassroots-level realities. CWD looks forward to continued close cooperation with the Viet Nam Women’s Union and relevant stakeholders to advance gender equality, protect the lawful rights and interests of women</w:t>
      </w:r>
      <w:r w:rsidR="00705CAB" w:rsidRPr="008A1984">
        <w:rPr>
          <w:rFonts w:ascii="Times New Roman" w:eastAsia="Times New Roman" w:hAnsi="Times New Roman" w:cs="Times New Roman"/>
          <w:spacing w:val="-4"/>
          <w:sz w:val="27"/>
          <w:szCs w:val="27"/>
        </w:rPr>
        <w:t xml:space="preserve"> – </w:t>
      </w:r>
      <w:r w:rsidRPr="00BB0F8C">
        <w:rPr>
          <w:rFonts w:ascii="Times New Roman" w:eastAsia="Times New Roman" w:hAnsi="Times New Roman" w:cs="Times New Roman"/>
          <w:spacing w:val="-4"/>
          <w:sz w:val="27"/>
          <w:szCs w:val="27"/>
        </w:rPr>
        <w:t>particularly those in vulnerable situations</w:t>
      </w:r>
      <w:r w:rsidR="00705CAB" w:rsidRPr="008A1984">
        <w:rPr>
          <w:rFonts w:ascii="Times New Roman" w:eastAsia="Times New Roman" w:hAnsi="Times New Roman" w:cs="Times New Roman"/>
          <w:spacing w:val="-4"/>
          <w:sz w:val="27"/>
          <w:szCs w:val="27"/>
        </w:rPr>
        <w:t xml:space="preserve"> – </w:t>
      </w:r>
      <w:r w:rsidRPr="00BB0F8C">
        <w:rPr>
          <w:rFonts w:ascii="Times New Roman" w:eastAsia="Times New Roman" w:hAnsi="Times New Roman" w:cs="Times New Roman"/>
          <w:spacing w:val="-4"/>
          <w:sz w:val="27"/>
          <w:szCs w:val="27"/>
        </w:rPr>
        <w:t>and contribute to the development of a just, inclusive, and sustainable society.</w:t>
      </w:r>
    </w:p>
    <w:sectPr w:rsidR="00BB0F8C" w:rsidRPr="00963D91" w:rsidSect="00963D91">
      <w:footerReference w:type="default" r:id="rId8"/>
      <w:pgSz w:w="12240" w:h="15840"/>
      <w:pgMar w:top="1418" w:right="1418" w:bottom="1418" w:left="1418"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DFEBA" w14:textId="77777777" w:rsidR="007B56F8" w:rsidRDefault="007B56F8" w:rsidP="00137AD6">
      <w:pPr>
        <w:spacing w:after="0" w:line="240" w:lineRule="auto"/>
      </w:pPr>
      <w:r>
        <w:separator/>
      </w:r>
    </w:p>
  </w:endnote>
  <w:endnote w:type="continuationSeparator" w:id="0">
    <w:p w14:paraId="5749F4B2" w14:textId="77777777" w:rsidR="007B56F8" w:rsidRDefault="007B56F8" w:rsidP="00137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1045567"/>
      <w:docPartObj>
        <w:docPartGallery w:val="Page Numbers (Bottom of Page)"/>
        <w:docPartUnique/>
      </w:docPartObj>
    </w:sdtPr>
    <w:sdtEndPr>
      <w:rPr>
        <w:rFonts w:ascii="Times New Roman" w:hAnsi="Times New Roman" w:cs="Times New Roman"/>
        <w:noProof/>
        <w:sz w:val="20"/>
        <w:szCs w:val="20"/>
      </w:rPr>
    </w:sdtEndPr>
    <w:sdtContent>
      <w:p w14:paraId="0DC9515B" w14:textId="4128BB5D" w:rsidR="00963D91" w:rsidRPr="00963D91" w:rsidRDefault="00963D91">
        <w:pPr>
          <w:pStyle w:val="Footer"/>
          <w:jc w:val="center"/>
          <w:rPr>
            <w:rFonts w:ascii="Times New Roman" w:hAnsi="Times New Roman" w:cs="Times New Roman"/>
            <w:sz w:val="20"/>
            <w:szCs w:val="20"/>
          </w:rPr>
        </w:pPr>
        <w:r w:rsidRPr="00963D91">
          <w:rPr>
            <w:rFonts w:ascii="Times New Roman" w:hAnsi="Times New Roman" w:cs="Times New Roman"/>
            <w:sz w:val="20"/>
            <w:szCs w:val="20"/>
          </w:rPr>
          <w:fldChar w:fldCharType="begin"/>
        </w:r>
        <w:r w:rsidRPr="00963D91">
          <w:rPr>
            <w:rFonts w:ascii="Times New Roman" w:hAnsi="Times New Roman" w:cs="Times New Roman"/>
            <w:sz w:val="20"/>
            <w:szCs w:val="20"/>
          </w:rPr>
          <w:instrText xml:space="preserve"> PAGE   \* MERGEFORMAT </w:instrText>
        </w:r>
        <w:r w:rsidRPr="00963D91">
          <w:rPr>
            <w:rFonts w:ascii="Times New Roman" w:hAnsi="Times New Roman" w:cs="Times New Roman"/>
            <w:sz w:val="20"/>
            <w:szCs w:val="20"/>
          </w:rPr>
          <w:fldChar w:fldCharType="separate"/>
        </w:r>
        <w:r w:rsidRPr="00963D91">
          <w:rPr>
            <w:rFonts w:ascii="Times New Roman" w:hAnsi="Times New Roman" w:cs="Times New Roman"/>
            <w:noProof/>
            <w:sz w:val="20"/>
            <w:szCs w:val="20"/>
          </w:rPr>
          <w:t>2</w:t>
        </w:r>
        <w:r w:rsidRPr="00963D91">
          <w:rPr>
            <w:rFonts w:ascii="Times New Roman" w:hAnsi="Times New Roman" w:cs="Times New Roman"/>
            <w:noProof/>
            <w:sz w:val="20"/>
            <w:szCs w:val="20"/>
          </w:rPr>
          <w:fldChar w:fldCharType="end"/>
        </w:r>
      </w:p>
    </w:sdtContent>
  </w:sdt>
  <w:p w14:paraId="0C9E103D" w14:textId="77777777" w:rsidR="00963D91" w:rsidRDefault="00963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FE7C3" w14:textId="77777777" w:rsidR="007B56F8" w:rsidRDefault="007B56F8" w:rsidP="00137AD6">
      <w:pPr>
        <w:spacing w:after="0" w:line="240" w:lineRule="auto"/>
      </w:pPr>
      <w:r>
        <w:separator/>
      </w:r>
    </w:p>
  </w:footnote>
  <w:footnote w:type="continuationSeparator" w:id="0">
    <w:p w14:paraId="46384D4F" w14:textId="77777777" w:rsidR="007B56F8" w:rsidRDefault="007B56F8" w:rsidP="00137AD6">
      <w:pPr>
        <w:spacing w:after="0" w:line="240" w:lineRule="auto"/>
      </w:pPr>
      <w:r>
        <w:continuationSeparator/>
      </w:r>
    </w:p>
  </w:footnote>
  <w:footnote w:id="1">
    <w:p w14:paraId="0A31E3D0" w14:textId="77777777" w:rsidR="00137AD6" w:rsidRPr="00137AD6" w:rsidRDefault="00137AD6">
      <w:pPr>
        <w:pStyle w:val="FootnoteText"/>
        <w:rPr>
          <w:rFonts w:ascii="Times New Roman" w:hAnsi="Times New Roman" w:cs="Times New Roman"/>
        </w:rPr>
      </w:pPr>
      <w:r w:rsidRPr="00137AD6">
        <w:rPr>
          <w:rStyle w:val="FootnoteReference"/>
          <w:rFonts w:ascii="Times New Roman" w:hAnsi="Times New Roman" w:cs="Times New Roman"/>
        </w:rPr>
        <w:footnoteRef/>
      </w:r>
      <w:r w:rsidRPr="00137AD6">
        <w:rPr>
          <w:rFonts w:ascii="Times New Roman" w:hAnsi="Times New Roman" w:cs="Times New Roman"/>
        </w:rPr>
        <w:t xml:space="preserve"> Renamed as of 1</w:t>
      </w:r>
      <w:r w:rsidRPr="00137AD6">
        <w:rPr>
          <w:rFonts w:ascii="Times New Roman" w:hAnsi="Times New Roman" w:cs="Times New Roman"/>
          <w:vertAlign w:val="superscript"/>
        </w:rPr>
        <w:t>st</w:t>
      </w:r>
      <w:r w:rsidRPr="00137AD6">
        <w:rPr>
          <w:rFonts w:ascii="Times New Roman" w:hAnsi="Times New Roman" w:cs="Times New Roman"/>
        </w:rPr>
        <w:t xml:space="preserve"> January 2025.</w:t>
      </w:r>
    </w:p>
  </w:footnote>
  <w:footnote w:id="2">
    <w:p w14:paraId="36FD61F4" w14:textId="77777777" w:rsidR="00137AD6" w:rsidRDefault="00137AD6">
      <w:pPr>
        <w:pStyle w:val="FootnoteText"/>
      </w:pPr>
      <w:r w:rsidRPr="00137AD6">
        <w:rPr>
          <w:rStyle w:val="FootnoteReference"/>
          <w:rFonts w:ascii="Times New Roman" w:hAnsi="Times New Roman" w:cs="Times New Roman"/>
        </w:rPr>
        <w:footnoteRef/>
      </w:r>
      <w:r w:rsidRPr="00137AD6">
        <w:rPr>
          <w:rFonts w:ascii="Times New Roman" w:hAnsi="Times New Roman" w:cs="Times New Roman"/>
        </w:rPr>
        <w:t xml:space="preserve"> Relating to issues of gender, gender equality, women’s rights, children, marriage and family, responses to gender-based violence, and the provision of psychosocial and legal support, among others.</w:t>
      </w:r>
    </w:p>
  </w:footnote>
  <w:footnote w:id="3">
    <w:p w14:paraId="31A39ABE" w14:textId="77777777" w:rsidR="00142443" w:rsidRPr="00142443" w:rsidRDefault="00142443">
      <w:pPr>
        <w:pStyle w:val="FootnoteText"/>
        <w:rPr>
          <w:rFonts w:ascii="Times New Roman" w:hAnsi="Times New Roman" w:cs="Times New Roman"/>
        </w:rPr>
      </w:pPr>
      <w:r w:rsidRPr="00142443">
        <w:rPr>
          <w:rStyle w:val="FootnoteReference"/>
          <w:rFonts w:ascii="Times New Roman" w:hAnsi="Times New Roman" w:cs="Times New Roman"/>
        </w:rPr>
        <w:footnoteRef/>
      </w:r>
      <w:r w:rsidRPr="00142443">
        <w:rPr>
          <w:rFonts w:ascii="Times New Roman" w:hAnsi="Times New Roman" w:cs="Times New Roman"/>
        </w:rPr>
        <w:t xml:space="preserve"> The Ministry of Health, the Ministry of Public Security, the High Command of the Border Guard, among others.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A7E46"/>
    <w:multiLevelType w:val="multilevel"/>
    <w:tmpl w:val="4E90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7E2EEB"/>
    <w:multiLevelType w:val="hybridMultilevel"/>
    <w:tmpl w:val="E54E800C"/>
    <w:lvl w:ilvl="0" w:tplc="7E9494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8C"/>
    <w:rsid w:val="00137AD6"/>
    <w:rsid w:val="00142443"/>
    <w:rsid w:val="001569B5"/>
    <w:rsid w:val="00404DC6"/>
    <w:rsid w:val="006C1AF3"/>
    <w:rsid w:val="00705CAB"/>
    <w:rsid w:val="007B56F8"/>
    <w:rsid w:val="008A1984"/>
    <w:rsid w:val="00963D91"/>
    <w:rsid w:val="009D2F4F"/>
    <w:rsid w:val="00A75CCE"/>
    <w:rsid w:val="00AA1406"/>
    <w:rsid w:val="00BB0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569B"/>
  <w15:chartTrackingRefBased/>
  <w15:docId w15:val="{1CFEE7D1-A9DF-4946-AF94-90D111661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406"/>
  </w:style>
  <w:style w:type="paragraph" w:styleId="Heading1">
    <w:name w:val="heading 1"/>
    <w:basedOn w:val="Normal"/>
    <w:link w:val="Heading1Char"/>
    <w:uiPriority w:val="1"/>
    <w:qFormat/>
    <w:rsid w:val="00AA1406"/>
    <w:pPr>
      <w:widowControl w:val="0"/>
      <w:autoSpaceDE w:val="0"/>
      <w:autoSpaceDN w:val="0"/>
      <w:spacing w:after="0" w:line="240" w:lineRule="auto"/>
      <w:ind w:left="962"/>
      <w:jc w:val="both"/>
      <w:outlineLvl w:val="0"/>
    </w:pPr>
    <w:rPr>
      <w:rFonts w:ascii="Times New Roman" w:eastAsia="Times New Roman" w:hAnsi="Times New Roman" w:cs="Times New Roman"/>
      <w:b/>
      <w:bCs/>
      <w:sz w:val="28"/>
      <w:szCs w:val="28"/>
      <w:lang w:val="vi"/>
    </w:rPr>
  </w:style>
  <w:style w:type="paragraph" w:styleId="Heading2">
    <w:name w:val="heading 2"/>
    <w:basedOn w:val="Normal"/>
    <w:link w:val="Heading2Char"/>
    <w:uiPriority w:val="9"/>
    <w:qFormat/>
    <w:rsid w:val="00AA1406"/>
    <w:pPr>
      <w:widowControl w:val="0"/>
      <w:autoSpaceDE w:val="0"/>
      <w:autoSpaceDN w:val="0"/>
      <w:spacing w:before="62" w:after="0" w:line="240" w:lineRule="auto"/>
      <w:ind w:left="1892" w:hanging="211"/>
      <w:jc w:val="both"/>
      <w:outlineLvl w:val="1"/>
    </w:pPr>
    <w:rPr>
      <w:rFonts w:ascii="Times New Roman" w:eastAsia="Times New Roman" w:hAnsi="Times New Roman" w:cs="Times New Roman"/>
      <w:b/>
      <w:bCs/>
      <w:i/>
      <w:iCs/>
      <w:sz w:val="28"/>
      <w:szCs w:val="28"/>
      <w:lang w:val="vi"/>
    </w:rPr>
  </w:style>
  <w:style w:type="paragraph" w:styleId="Heading3">
    <w:name w:val="heading 3"/>
    <w:basedOn w:val="Normal"/>
    <w:link w:val="Heading3Char"/>
    <w:uiPriority w:val="9"/>
    <w:qFormat/>
    <w:rsid w:val="00BB0F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9D2F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D2F4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A1406"/>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uiPriority w:val="9"/>
    <w:rsid w:val="00AA1406"/>
    <w:rPr>
      <w:rFonts w:ascii="Times New Roman" w:eastAsia="Times New Roman" w:hAnsi="Times New Roman" w:cs="Times New Roman"/>
      <w:b/>
      <w:bCs/>
      <w:i/>
      <w:iCs/>
      <w:sz w:val="28"/>
      <w:szCs w:val="28"/>
      <w:lang w:val="vi"/>
    </w:rPr>
  </w:style>
  <w:style w:type="paragraph" w:styleId="BodyText">
    <w:name w:val="Body Text"/>
    <w:basedOn w:val="Normal"/>
    <w:link w:val="BodyTextChar"/>
    <w:uiPriority w:val="1"/>
    <w:qFormat/>
    <w:rsid w:val="00AA1406"/>
    <w:pPr>
      <w:widowControl w:val="0"/>
      <w:autoSpaceDE w:val="0"/>
      <w:autoSpaceDN w:val="0"/>
      <w:spacing w:after="0" w:line="240" w:lineRule="auto"/>
      <w:ind w:left="962" w:firstLine="719"/>
      <w:jc w:val="both"/>
    </w:pPr>
    <w:rPr>
      <w:rFonts w:ascii="Times New Roman" w:eastAsia="Times New Roman" w:hAnsi="Times New Roman" w:cs="Times New Roman"/>
      <w:sz w:val="28"/>
      <w:szCs w:val="28"/>
      <w:lang w:val="vi"/>
    </w:rPr>
  </w:style>
  <w:style w:type="character" w:customStyle="1" w:styleId="BodyTextChar">
    <w:name w:val="Body Text Char"/>
    <w:basedOn w:val="DefaultParagraphFont"/>
    <w:link w:val="BodyText"/>
    <w:uiPriority w:val="1"/>
    <w:rsid w:val="00AA1406"/>
    <w:rPr>
      <w:rFonts w:ascii="Times New Roman" w:eastAsia="Times New Roman" w:hAnsi="Times New Roman" w:cs="Times New Roman"/>
      <w:sz w:val="28"/>
      <w:szCs w:val="28"/>
      <w:lang w:val="vi"/>
    </w:rPr>
  </w:style>
  <w:style w:type="paragraph" w:styleId="ListParagraph">
    <w:name w:val="List Paragraph"/>
    <w:basedOn w:val="Normal"/>
    <w:uiPriority w:val="1"/>
    <w:qFormat/>
    <w:rsid w:val="00AA1406"/>
    <w:pPr>
      <w:widowControl w:val="0"/>
      <w:autoSpaceDE w:val="0"/>
      <w:autoSpaceDN w:val="0"/>
      <w:spacing w:before="60" w:after="0" w:line="240" w:lineRule="auto"/>
      <w:ind w:left="962" w:firstLine="719"/>
      <w:jc w:val="both"/>
    </w:pPr>
    <w:rPr>
      <w:rFonts w:ascii="Times New Roman" w:eastAsia="Times New Roman" w:hAnsi="Times New Roman" w:cs="Times New Roman"/>
      <w:lang w:val="vi"/>
    </w:rPr>
  </w:style>
  <w:style w:type="character" w:styleId="Strong">
    <w:name w:val="Strong"/>
    <w:basedOn w:val="DefaultParagraphFont"/>
    <w:uiPriority w:val="22"/>
    <w:qFormat/>
    <w:rsid w:val="00BB0F8C"/>
    <w:rPr>
      <w:b/>
      <w:bCs/>
    </w:rPr>
  </w:style>
  <w:style w:type="character" w:customStyle="1" w:styleId="Heading3Char">
    <w:name w:val="Heading 3 Char"/>
    <w:basedOn w:val="DefaultParagraphFont"/>
    <w:link w:val="Heading3"/>
    <w:uiPriority w:val="9"/>
    <w:rsid w:val="00BB0F8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B0F8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137A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7AD6"/>
    <w:rPr>
      <w:sz w:val="20"/>
      <w:szCs w:val="20"/>
    </w:rPr>
  </w:style>
  <w:style w:type="character" w:styleId="FootnoteReference">
    <w:name w:val="footnote reference"/>
    <w:basedOn w:val="DefaultParagraphFont"/>
    <w:uiPriority w:val="99"/>
    <w:semiHidden/>
    <w:unhideWhenUsed/>
    <w:rsid w:val="00137AD6"/>
    <w:rPr>
      <w:vertAlign w:val="superscript"/>
    </w:rPr>
  </w:style>
  <w:style w:type="character" w:customStyle="1" w:styleId="Heading4Char">
    <w:name w:val="Heading 4 Char"/>
    <w:basedOn w:val="DefaultParagraphFont"/>
    <w:link w:val="Heading4"/>
    <w:uiPriority w:val="9"/>
    <w:rsid w:val="009D2F4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D2F4F"/>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9D2F4F"/>
    <w:rPr>
      <w:i/>
      <w:iCs/>
    </w:rPr>
  </w:style>
  <w:style w:type="paragraph" w:styleId="Header">
    <w:name w:val="header"/>
    <w:basedOn w:val="Normal"/>
    <w:link w:val="HeaderChar"/>
    <w:uiPriority w:val="99"/>
    <w:unhideWhenUsed/>
    <w:rsid w:val="00963D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D91"/>
  </w:style>
  <w:style w:type="paragraph" w:styleId="Footer">
    <w:name w:val="footer"/>
    <w:basedOn w:val="Normal"/>
    <w:link w:val="FooterChar"/>
    <w:uiPriority w:val="99"/>
    <w:unhideWhenUsed/>
    <w:rsid w:val="00963D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9079">
      <w:bodyDiv w:val="1"/>
      <w:marLeft w:val="0"/>
      <w:marRight w:val="0"/>
      <w:marTop w:val="0"/>
      <w:marBottom w:val="0"/>
      <w:divBdr>
        <w:top w:val="none" w:sz="0" w:space="0" w:color="auto"/>
        <w:left w:val="none" w:sz="0" w:space="0" w:color="auto"/>
        <w:bottom w:val="none" w:sz="0" w:space="0" w:color="auto"/>
        <w:right w:val="none" w:sz="0" w:space="0" w:color="auto"/>
      </w:divBdr>
    </w:div>
    <w:div w:id="1022970508">
      <w:bodyDiv w:val="1"/>
      <w:marLeft w:val="0"/>
      <w:marRight w:val="0"/>
      <w:marTop w:val="0"/>
      <w:marBottom w:val="0"/>
      <w:divBdr>
        <w:top w:val="none" w:sz="0" w:space="0" w:color="auto"/>
        <w:left w:val="none" w:sz="0" w:space="0" w:color="auto"/>
        <w:bottom w:val="none" w:sz="0" w:space="0" w:color="auto"/>
        <w:right w:val="none" w:sz="0" w:space="0" w:color="auto"/>
      </w:divBdr>
    </w:div>
    <w:div w:id="1837575941">
      <w:bodyDiv w:val="1"/>
      <w:marLeft w:val="0"/>
      <w:marRight w:val="0"/>
      <w:marTop w:val="0"/>
      <w:marBottom w:val="0"/>
      <w:divBdr>
        <w:top w:val="none" w:sz="0" w:space="0" w:color="auto"/>
        <w:left w:val="none" w:sz="0" w:space="0" w:color="auto"/>
        <w:bottom w:val="none" w:sz="0" w:space="0" w:color="auto"/>
        <w:right w:val="none" w:sz="0" w:space="0" w:color="auto"/>
      </w:divBdr>
    </w:div>
    <w:div w:id="184867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BF7E6-3261-4EBE-B019-0C1C03FEE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2493</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2026-01-05T03:53:00Z</dcterms:created>
  <dcterms:modified xsi:type="dcterms:W3CDTF">2026-01-05T05:00:00Z</dcterms:modified>
</cp:coreProperties>
</file>