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6C5" w:rsidRPr="003608B9" w:rsidRDefault="007546C5">
      <w:pPr>
        <w:rPr>
          <w:rFonts w:ascii="Calibri" w:hAnsi="Calibri"/>
        </w:rPr>
      </w:pPr>
      <w:bookmarkStart w:id="0" w:name="_GoBack"/>
      <w:bookmarkEnd w:id="0"/>
    </w:p>
    <w:p w:rsidR="00F53E76" w:rsidRPr="003608B9" w:rsidRDefault="00167DC3" w:rsidP="00167DC3">
      <w:pPr>
        <w:jc w:val="center"/>
        <w:rPr>
          <w:rFonts w:ascii="Calibri" w:hAnsi="Calibri"/>
          <w:b/>
          <w:bCs/>
          <w:u w:val="single"/>
        </w:rPr>
      </w:pPr>
      <w:r w:rsidRPr="003608B9">
        <w:rPr>
          <w:rFonts w:ascii="Calibri" w:hAnsi="Calibri" w:cs="Arial"/>
          <w:b/>
          <w:bCs/>
          <w:u w:val="single"/>
        </w:rPr>
        <w:t>Tanzania</w:t>
      </w:r>
    </w:p>
    <w:p w:rsidR="00F10FBE" w:rsidRPr="003608B9" w:rsidRDefault="00F10FBE">
      <w:pPr>
        <w:rPr>
          <w:rFonts w:ascii="Calibri" w:hAnsi="Calibri" w:cs="Arial"/>
          <w:color w:val="222222"/>
        </w:rPr>
      </w:pPr>
    </w:p>
    <w:tbl>
      <w:tblPr>
        <w:tblStyle w:val="TableGrid"/>
        <w:tblW w:w="14737" w:type="dxa"/>
        <w:tblInd w:w="-792" w:type="dxa"/>
        <w:tblLook w:val="04A0" w:firstRow="1" w:lastRow="0" w:firstColumn="1" w:lastColumn="0" w:noHBand="0" w:noVBand="1"/>
      </w:tblPr>
      <w:tblGrid>
        <w:gridCol w:w="1256"/>
        <w:gridCol w:w="3241"/>
        <w:gridCol w:w="10240"/>
      </w:tblGrid>
      <w:tr w:rsidR="0067704D" w:rsidRPr="003608B9" w:rsidTr="000C06EC">
        <w:tc>
          <w:tcPr>
            <w:tcW w:w="1256" w:type="dxa"/>
          </w:tcPr>
          <w:p w:rsidR="0067704D" w:rsidRPr="003608B9" w:rsidRDefault="0067704D" w:rsidP="00F10FBE">
            <w:pPr>
              <w:jc w:val="center"/>
              <w:rPr>
                <w:rFonts w:ascii="Calibri" w:hAnsi="Calibri" w:cs="Arial"/>
                <w:b/>
                <w:color w:val="222222"/>
              </w:rPr>
            </w:pPr>
            <w:r w:rsidRPr="003608B9">
              <w:rPr>
                <w:rFonts w:ascii="Calibri" w:hAnsi="Calibri" w:cs="Arial"/>
                <w:b/>
                <w:color w:val="222222"/>
              </w:rPr>
              <w:t>CEDAW Article</w:t>
            </w:r>
          </w:p>
        </w:tc>
        <w:tc>
          <w:tcPr>
            <w:tcW w:w="3241" w:type="dxa"/>
          </w:tcPr>
          <w:p w:rsidR="0067704D" w:rsidRPr="003608B9" w:rsidRDefault="0067704D" w:rsidP="00F10FBE">
            <w:pPr>
              <w:jc w:val="center"/>
              <w:rPr>
                <w:rFonts w:ascii="Calibri" w:hAnsi="Calibri" w:cs="Arial"/>
                <w:b/>
                <w:color w:val="222222"/>
              </w:rPr>
            </w:pPr>
            <w:r w:rsidRPr="003608B9">
              <w:rPr>
                <w:rFonts w:ascii="Calibri" w:hAnsi="Calibri" w:cs="Arial"/>
                <w:b/>
                <w:color w:val="222222"/>
              </w:rPr>
              <w:t>Question</w:t>
            </w:r>
          </w:p>
        </w:tc>
        <w:tc>
          <w:tcPr>
            <w:tcW w:w="10240" w:type="dxa"/>
          </w:tcPr>
          <w:p w:rsidR="0067704D" w:rsidRPr="003608B9" w:rsidRDefault="0067704D" w:rsidP="00F10FBE">
            <w:pPr>
              <w:jc w:val="center"/>
              <w:rPr>
                <w:rFonts w:ascii="Calibri" w:hAnsi="Calibri" w:cs="Arial"/>
                <w:b/>
                <w:color w:val="222222"/>
              </w:rPr>
            </w:pPr>
            <w:r w:rsidRPr="003608B9">
              <w:rPr>
                <w:rFonts w:ascii="Calibri" w:hAnsi="Calibri" w:cs="Arial"/>
                <w:b/>
                <w:color w:val="222222"/>
              </w:rPr>
              <w:t>Response</w:t>
            </w:r>
          </w:p>
        </w:tc>
      </w:tr>
      <w:tr w:rsidR="0067704D" w:rsidRPr="003608B9" w:rsidTr="000C06EC">
        <w:tc>
          <w:tcPr>
            <w:tcW w:w="1256" w:type="dxa"/>
            <w:vMerge w:val="restart"/>
          </w:tcPr>
          <w:p w:rsidR="0067704D" w:rsidRPr="003608B9" w:rsidRDefault="0067704D" w:rsidP="00A75D57">
            <w:pPr>
              <w:rPr>
                <w:rFonts w:ascii="Calibri" w:hAnsi="Calibri" w:cs="Arial"/>
                <w:color w:val="222222"/>
              </w:rPr>
            </w:pPr>
            <w:r w:rsidRPr="003608B9">
              <w:rPr>
                <w:rFonts w:ascii="Calibri" w:hAnsi="Calibri"/>
              </w:rPr>
              <w:t>ARTICLE 3</w:t>
            </w:r>
          </w:p>
        </w:tc>
        <w:tc>
          <w:tcPr>
            <w:tcW w:w="3241" w:type="dxa"/>
          </w:tcPr>
          <w:p w:rsidR="0067704D" w:rsidRPr="003608B9" w:rsidRDefault="0067704D" w:rsidP="00A75D57">
            <w:pPr>
              <w:rPr>
                <w:rFonts w:ascii="Calibri" w:hAnsi="Calibri" w:cs="Arial"/>
                <w:color w:val="222222"/>
              </w:rPr>
            </w:pPr>
            <w:r w:rsidRPr="003608B9">
              <w:rPr>
                <w:rFonts w:ascii="Calibri" w:hAnsi="Calibri"/>
              </w:rPr>
              <w:t xml:space="preserve">Please provide precise information on the number of additional staff received by the Ministry of Health, Community Development, Gender, </w:t>
            </w:r>
            <w:proofErr w:type="gramStart"/>
            <w:r w:rsidRPr="003608B9">
              <w:rPr>
                <w:rFonts w:ascii="Calibri" w:hAnsi="Calibri"/>
              </w:rPr>
              <w:t>Elderly</w:t>
            </w:r>
            <w:proofErr w:type="gramEnd"/>
            <w:r w:rsidRPr="003608B9">
              <w:rPr>
                <w:rFonts w:ascii="Calibri" w:hAnsi="Calibri"/>
              </w:rPr>
              <w:t xml:space="preserve"> &amp; Children. </w:t>
            </w:r>
          </w:p>
        </w:tc>
        <w:tc>
          <w:tcPr>
            <w:tcW w:w="10240" w:type="dxa"/>
          </w:tcPr>
          <w:p w:rsidR="0067704D" w:rsidRPr="00EB0C6F" w:rsidRDefault="00EB0C6F" w:rsidP="00A921FE">
            <w:pPr>
              <w:rPr>
                <w:rFonts w:ascii="Calibri" w:hAnsi="Calibri" w:cs="Arial"/>
                <w:color w:val="222222"/>
              </w:rPr>
            </w:pPr>
            <w:r w:rsidRPr="00EB0C6F">
              <w:rPr>
                <w:rFonts w:ascii="Calibri" w:hAnsi="Calibri" w:cs="Arial"/>
                <w:color w:val="222222"/>
              </w:rPr>
              <w:t xml:space="preserve">The Ministry of Community Development Gender and Children have merged with the Ministry of Health recently in January 2016. Currently the new Ministry is waiting for Ministerial instruction in order to come out with appropriate number of additional staff. However the former Ministry had approval from the public service to employ approximately </w:t>
            </w:r>
            <w:r w:rsidR="00A921FE">
              <w:rPr>
                <w:rFonts w:ascii="Calibri" w:hAnsi="Calibri" w:cs="Arial"/>
                <w:color w:val="222222"/>
              </w:rPr>
              <w:t>741</w:t>
            </w:r>
            <w:r w:rsidRPr="00EB0C6F">
              <w:rPr>
                <w:rFonts w:ascii="Calibri" w:hAnsi="Calibri" w:cs="Arial"/>
                <w:color w:val="222222"/>
              </w:rPr>
              <w:t xml:space="preserve"> employee in specific cadre of Community Development and Instructors to the Fork Development Institutions</w:t>
            </w:r>
            <w:r>
              <w:rPr>
                <w:rFonts w:ascii="Calibri" w:hAnsi="Calibri" w:cs="Arial"/>
                <w:color w:val="222222"/>
              </w:rPr>
              <w:t>.</w:t>
            </w:r>
          </w:p>
        </w:tc>
      </w:tr>
      <w:tr w:rsidR="0067704D" w:rsidRPr="003608B9" w:rsidTr="000C06EC">
        <w:tc>
          <w:tcPr>
            <w:tcW w:w="1256" w:type="dxa"/>
            <w:vMerge/>
          </w:tcPr>
          <w:p w:rsidR="0067704D" w:rsidRPr="003608B9" w:rsidRDefault="0067704D" w:rsidP="00A75D57">
            <w:pPr>
              <w:rPr>
                <w:rFonts w:ascii="Calibri" w:hAnsi="Calibri" w:cs="Arial"/>
                <w:color w:val="222222"/>
              </w:rPr>
            </w:pPr>
          </w:p>
        </w:tc>
        <w:tc>
          <w:tcPr>
            <w:tcW w:w="3241" w:type="dxa"/>
          </w:tcPr>
          <w:p w:rsidR="0067704D" w:rsidRPr="003608B9" w:rsidRDefault="0067704D" w:rsidP="00A75D57">
            <w:pPr>
              <w:rPr>
                <w:rFonts w:ascii="Calibri" w:hAnsi="Calibri" w:cs="Arial"/>
                <w:color w:val="222222"/>
              </w:rPr>
            </w:pPr>
            <w:r w:rsidRPr="003608B9">
              <w:rPr>
                <w:rFonts w:ascii="Calibri" w:hAnsi="Calibri"/>
              </w:rPr>
              <w:t xml:space="preserve">What percentage of the total government budget is allocated to the Ministry of Health, Community Development, Gender, </w:t>
            </w:r>
            <w:proofErr w:type="gramStart"/>
            <w:r w:rsidRPr="003608B9">
              <w:rPr>
                <w:rFonts w:ascii="Calibri" w:hAnsi="Calibri"/>
              </w:rPr>
              <w:t>Elderly</w:t>
            </w:r>
            <w:proofErr w:type="gramEnd"/>
            <w:r w:rsidRPr="003608B9">
              <w:rPr>
                <w:rFonts w:ascii="Calibri" w:hAnsi="Calibri"/>
              </w:rPr>
              <w:t xml:space="preserve"> &amp; Children?</w:t>
            </w:r>
          </w:p>
        </w:tc>
        <w:tc>
          <w:tcPr>
            <w:tcW w:w="10240" w:type="dxa"/>
          </w:tcPr>
          <w:p w:rsidR="0067704D" w:rsidRPr="003608B9" w:rsidRDefault="00A921FE" w:rsidP="009C0FC6">
            <w:pPr>
              <w:rPr>
                <w:rFonts w:ascii="Calibri" w:hAnsi="Calibri" w:cs="Arial"/>
                <w:b/>
                <w:color w:val="222222"/>
              </w:rPr>
            </w:pPr>
            <w:r w:rsidRPr="00A921FE">
              <w:rPr>
                <w:rFonts w:ascii="Calibri" w:hAnsi="Calibri" w:cs="Arial"/>
              </w:rPr>
              <w:t>27 billion Tanzania Shillings had been allocated in the financial year 2014/2015</w:t>
            </w:r>
            <w:r>
              <w:rPr>
                <w:rFonts w:ascii="Calibri" w:hAnsi="Calibri" w:cs="Arial"/>
              </w:rPr>
              <w:t xml:space="preserve">. The total government budget has not yet been finalized, one this is done it will be possible to calculate the percentage allocated to the Ministry. </w:t>
            </w:r>
          </w:p>
        </w:tc>
      </w:tr>
      <w:tr w:rsidR="0067704D" w:rsidRPr="003608B9" w:rsidTr="000C06EC">
        <w:tc>
          <w:tcPr>
            <w:tcW w:w="1256" w:type="dxa"/>
            <w:vMerge/>
          </w:tcPr>
          <w:p w:rsidR="0067704D" w:rsidRPr="003608B9" w:rsidRDefault="0067704D" w:rsidP="00A75D57">
            <w:pPr>
              <w:rPr>
                <w:rFonts w:ascii="Calibri" w:hAnsi="Calibri" w:cs="Arial"/>
                <w:color w:val="222222"/>
              </w:rPr>
            </w:pPr>
          </w:p>
        </w:tc>
        <w:tc>
          <w:tcPr>
            <w:tcW w:w="3241" w:type="dxa"/>
          </w:tcPr>
          <w:p w:rsidR="0067704D" w:rsidRPr="003608B9" w:rsidRDefault="0067704D" w:rsidP="00A75D57">
            <w:pPr>
              <w:rPr>
                <w:rFonts w:ascii="Calibri" w:hAnsi="Calibri" w:cs="Arial"/>
                <w:color w:val="222222"/>
              </w:rPr>
            </w:pPr>
            <w:r w:rsidRPr="003608B9">
              <w:rPr>
                <w:rFonts w:ascii="Calibri" w:hAnsi="Calibri"/>
              </w:rPr>
              <w:t>What mech</w:t>
            </w:r>
            <w:r w:rsidR="00686FB7" w:rsidRPr="003608B9">
              <w:rPr>
                <w:rFonts w:ascii="Calibri" w:hAnsi="Calibri"/>
              </w:rPr>
              <w:t>anism are in place to monitor</w:t>
            </w:r>
            <w:r w:rsidRPr="003608B9">
              <w:rPr>
                <w:rFonts w:ascii="Calibri" w:hAnsi="Calibri"/>
              </w:rPr>
              <w:t xml:space="preserve"> and evaluate the implementation of policies and </w:t>
            </w:r>
            <w:proofErr w:type="spellStart"/>
            <w:r w:rsidRPr="003608B9">
              <w:rPr>
                <w:rFonts w:ascii="Calibri" w:hAnsi="Calibri"/>
              </w:rPr>
              <w:t>programmes</w:t>
            </w:r>
            <w:proofErr w:type="spellEnd"/>
            <w:r w:rsidRPr="003608B9">
              <w:rPr>
                <w:rFonts w:ascii="Calibri" w:hAnsi="Calibri"/>
              </w:rPr>
              <w:t xml:space="preserve"> on gender equality?</w:t>
            </w:r>
          </w:p>
        </w:tc>
        <w:tc>
          <w:tcPr>
            <w:tcW w:w="10240" w:type="dxa"/>
          </w:tcPr>
          <w:p w:rsidR="0067704D" w:rsidRDefault="00686FB7" w:rsidP="00B51415">
            <w:pPr>
              <w:rPr>
                <w:rFonts w:ascii="Calibri" w:hAnsi="Calibri" w:cs="Arial"/>
                <w:color w:val="222222"/>
              </w:rPr>
            </w:pPr>
            <w:r w:rsidRPr="003608B9">
              <w:rPr>
                <w:rFonts w:ascii="Calibri" w:hAnsi="Calibri" w:cs="Arial"/>
                <w:color w:val="222222"/>
              </w:rPr>
              <w:t xml:space="preserve">Gender </w:t>
            </w:r>
            <w:r w:rsidR="00B51415">
              <w:rPr>
                <w:rFonts w:ascii="Calibri" w:hAnsi="Calibri" w:cs="Arial"/>
                <w:color w:val="222222"/>
              </w:rPr>
              <w:t xml:space="preserve">Mainstreaming </w:t>
            </w:r>
            <w:r w:rsidRPr="003608B9">
              <w:rPr>
                <w:rFonts w:ascii="Calibri" w:hAnsi="Calibri" w:cs="Arial"/>
                <w:color w:val="222222"/>
              </w:rPr>
              <w:t>Working Group - Macro Policy includes gender focal points from all Ministries</w:t>
            </w:r>
            <w:r w:rsidR="00B51415">
              <w:rPr>
                <w:rFonts w:ascii="Calibri" w:hAnsi="Calibri" w:cs="Arial"/>
                <w:color w:val="222222"/>
              </w:rPr>
              <w:t>, represented by staff from Policy and Planning Depts</w:t>
            </w:r>
            <w:r w:rsidRPr="003608B9">
              <w:rPr>
                <w:rFonts w:ascii="Calibri" w:hAnsi="Calibri" w:cs="Arial"/>
                <w:color w:val="222222"/>
              </w:rPr>
              <w:t>. This mechanisms is</w:t>
            </w:r>
            <w:r w:rsidR="00B51415">
              <w:rPr>
                <w:rFonts w:ascii="Calibri" w:hAnsi="Calibri" w:cs="Arial"/>
                <w:color w:val="222222"/>
              </w:rPr>
              <w:t xml:space="preserve"> part of the official government and donor dialogue mechanism </w:t>
            </w:r>
            <w:r w:rsidR="00F662C3">
              <w:rPr>
                <w:rFonts w:ascii="Calibri" w:hAnsi="Calibri" w:cs="Arial"/>
                <w:color w:val="222222"/>
              </w:rPr>
              <w:t xml:space="preserve">and includes </w:t>
            </w:r>
            <w:r w:rsidR="00B51415">
              <w:rPr>
                <w:rFonts w:ascii="Calibri" w:hAnsi="Calibri" w:cs="Arial"/>
                <w:color w:val="222222"/>
              </w:rPr>
              <w:t>civils society and academic institutions. It is a</w:t>
            </w:r>
            <w:r w:rsidRPr="003608B9">
              <w:rPr>
                <w:rFonts w:ascii="Calibri" w:hAnsi="Calibri" w:cs="Arial"/>
                <w:color w:val="222222"/>
              </w:rPr>
              <w:t xml:space="preserve"> forum for sharing knowledge and information and </w:t>
            </w:r>
            <w:r w:rsidR="00B51415">
              <w:rPr>
                <w:rFonts w:ascii="Calibri" w:hAnsi="Calibri" w:cs="Arial"/>
                <w:color w:val="222222"/>
              </w:rPr>
              <w:t xml:space="preserve">supports consultation on </w:t>
            </w:r>
            <w:r w:rsidRPr="003608B9">
              <w:rPr>
                <w:rFonts w:ascii="Calibri" w:hAnsi="Calibri" w:cs="Arial"/>
                <w:color w:val="222222"/>
              </w:rPr>
              <w:t>planning and reporting o</w:t>
            </w:r>
            <w:r w:rsidR="00B51415">
              <w:rPr>
                <w:rFonts w:ascii="Calibri" w:hAnsi="Calibri" w:cs="Arial"/>
                <w:color w:val="222222"/>
              </w:rPr>
              <w:t>f strategic documents/processes including national policy documents and regional and international commitments.</w:t>
            </w:r>
          </w:p>
          <w:p w:rsidR="00A921FE" w:rsidRPr="00A921FE" w:rsidRDefault="00A921FE" w:rsidP="00B51415">
            <w:pPr>
              <w:rPr>
                <w:rFonts w:ascii="Calibri" w:hAnsi="Calibri" w:cs="Arial"/>
              </w:rPr>
            </w:pPr>
          </w:p>
          <w:p w:rsidR="00A921FE" w:rsidRPr="00A921FE" w:rsidRDefault="00A921FE" w:rsidP="00A921FE">
            <w:pPr>
              <w:rPr>
                <w:rFonts w:ascii="Calibri" w:hAnsi="Calibri" w:cs="Arial"/>
              </w:rPr>
            </w:pPr>
            <w:r w:rsidRPr="00A921FE">
              <w:rPr>
                <w:rFonts w:ascii="Calibri" w:hAnsi="Calibri" w:cs="Arial"/>
              </w:rPr>
              <w:t>The Ministry has developed the Monitoring and evaluation Framework to monitor the implementation of all Policies at the ministry level including Gender issues.</w:t>
            </w:r>
          </w:p>
          <w:p w:rsidR="00A921FE" w:rsidRPr="00A921FE" w:rsidRDefault="00A921FE" w:rsidP="00A921FE">
            <w:pPr>
              <w:rPr>
                <w:rFonts w:ascii="Calibri" w:hAnsi="Calibri" w:cs="Arial"/>
              </w:rPr>
            </w:pPr>
          </w:p>
          <w:p w:rsidR="00A921FE" w:rsidRPr="003608B9" w:rsidRDefault="00A921FE" w:rsidP="00A921FE">
            <w:pPr>
              <w:rPr>
                <w:rFonts w:ascii="Calibri" w:hAnsi="Calibri" w:cs="Arial"/>
                <w:b/>
                <w:color w:val="222222"/>
              </w:rPr>
            </w:pPr>
            <w:r>
              <w:rPr>
                <w:rFonts w:ascii="Calibri" w:hAnsi="Calibri" w:cs="Arial"/>
              </w:rPr>
              <w:t>A</w:t>
            </w:r>
            <w:r w:rsidRPr="00A921FE">
              <w:rPr>
                <w:rFonts w:ascii="Calibri" w:hAnsi="Calibri" w:cs="Arial"/>
              </w:rPr>
              <w:t xml:space="preserve"> Tanzania country Gender Profile</w:t>
            </w:r>
            <w:r>
              <w:rPr>
                <w:rFonts w:ascii="Calibri" w:hAnsi="Calibri" w:cs="Arial"/>
              </w:rPr>
              <w:t xml:space="preserve"> is being developed, this</w:t>
            </w:r>
            <w:r w:rsidRPr="00A921FE">
              <w:rPr>
                <w:rFonts w:ascii="Calibri" w:hAnsi="Calibri" w:cs="Arial"/>
              </w:rPr>
              <w:t xml:space="preserve"> will also inform the situation of Gender equality in Tanzania and enable the Government to develop more strategies</w:t>
            </w:r>
            <w:r>
              <w:rPr>
                <w:rFonts w:ascii="Calibri" w:hAnsi="Calibri" w:cs="Arial"/>
              </w:rPr>
              <w:t>.</w:t>
            </w:r>
          </w:p>
        </w:tc>
      </w:tr>
      <w:tr w:rsidR="0067704D" w:rsidRPr="003608B9" w:rsidTr="000C06EC">
        <w:tc>
          <w:tcPr>
            <w:tcW w:w="1256" w:type="dxa"/>
            <w:vMerge w:val="restart"/>
          </w:tcPr>
          <w:p w:rsidR="0067704D" w:rsidRPr="003608B9" w:rsidRDefault="0067704D" w:rsidP="00A75D57">
            <w:pPr>
              <w:rPr>
                <w:rFonts w:ascii="Calibri" w:hAnsi="Calibri" w:cs="Arial"/>
                <w:color w:val="222222"/>
              </w:rPr>
            </w:pPr>
            <w:r w:rsidRPr="003608B9">
              <w:rPr>
                <w:rFonts w:ascii="Calibri" w:hAnsi="Calibri" w:cs="Arial"/>
                <w:color w:val="222222"/>
              </w:rPr>
              <w:t>ARTICLE 4</w:t>
            </w:r>
          </w:p>
        </w:tc>
        <w:tc>
          <w:tcPr>
            <w:tcW w:w="3241" w:type="dxa"/>
          </w:tcPr>
          <w:p w:rsidR="0067704D" w:rsidRPr="003608B9" w:rsidRDefault="0067704D" w:rsidP="00A75D57">
            <w:pPr>
              <w:rPr>
                <w:rFonts w:ascii="Calibri" w:hAnsi="Calibri"/>
              </w:rPr>
            </w:pPr>
            <w:r w:rsidRPr="003608B9">
              <w:rPr>
                <w:rFonts w:ascii="Calibri" w:hAnsi="Calibri"/>
              </w:rPr>
              <w:t xml:space="preserve">Regarding temporary special measures (Special seats) to increase women’s participation in Parliament, is there a means of </w:t>
            </w:r>
            <w:r w:rsidRPr="003608B9">
              <w:rPr>
                <w:rFonts w:ascii="Calibri" w:hAnsi="Calibri"/>
              </w:rPr>
              <w:lastRenderedPageBreak/>
              <w:t>ensuring that only women who are qualified are nominated to these special seats?</w:t>
            </w:r>
          </w:p>
        </w:tc>
        <w:tc>
          <w:tcPr>
            <w:tcW w:w="10240" w:type="dxa"/>
          </w:tcPr>
          <w:p w:rsidR="0067704D" w:rsidRPr="003608B9" w:rsidRDefault="0067704D" w:rsidP="00932EC6">
            <w:pPr>
              <w:rPr>
                <w:rFonts w:ascii="Calibri" w:hAnsi="Calibri" w:cs="Arial"/>
                <w:color w:val="222222"/>
              </w:rPr>
            </w:pPr>
            <w:r w:rsidRPr="003608B9">
              <w:rPr>
                <w:rFonts w:ascii="Calibri" w:hAnsi="Calibri" w:cs="Arial"/>
                <w:color w:val="222222"/>
              </w:rPr>
              <w:lastRenderedPageBreak/>
              <w:t xml:space="preserve">There is currently no way to measure this.  However, the Office of Registrar of Political Parties is working to establish and promote harmonized intraparty nomination guidelines, with support from UN Women. This includes the development of draft regulations for the Political Parties Act, which include guidelines for parties on how to appoint women under TSM.  This draft legislation is expected to be tabled before Parliament in 2016.  </w:t>
            </w:r>
            <w:r w:rsidRPr="003608B9">
              <w:rPr>
                <w:rFonts w:ascii="Calibri" w:hAnsi="Calibri" w:cs="Arial"/>
                <w:color w:val="222222"/>
              </w:rPr>
              <w:lastRenderedPageBreak/>
              <w:t xml:space="preserve">It is anticipated that it will be adopted at this point. </w:t>
            </w:r>
            <w:r w:rsidR="00B51415">
              <w:rPr>
                <w:rFonts w:ascii="Calibri" w:hAnsi="Calibri" w:cs="Arial"/>
                <w:color w:val="222222"/>
              </w:rPr>
              <w:t xml:space="preserve">The ORPP also launched it gender policy in support of such initiatives. </w:t>
            </w:r>
          </w:p>
        </w:tc>
      </w:tr>
      <w:tr w:rsidR="0067704D" w:rsidRPr="003608B9" w:rsidTr="000C06EC">
        <w:tc>
          <w:tcPr>
            <w:tcW w:w="1256" w:type="dxa"/>
            <w:vMerge/>
          </w:tcPr>
          <w:p w:rsidR="0067704D" w:rsidRPr="003608B9" w:rsidRDefault="0067704D" w:rsidP="00A75D57">
            <w:pPr>
              <w:rPr>
                <w:rFonts w:ascii="Calibri" w:hAnsi="Calibri" w:cs="Arial"/>
                <w:color w:val="222222"/>
              </w:rPr>
            </w:pPr>
          </w:p>
        </w:tc>
        <w:tc>
          <w:tcPr>
            <w:tcW w:w="3241" w:type="dxa"/>
          </w:tcPr>
          <w:p w:rsidR="0067704D" w:rsidRPr="003608B9" w:rsidRDefault="0067704D" w:rsidP="00BD6BF2">
            <w:pPr>
              <w:autoSpaceDE w:val="0"/>
              <w:autoSpaceDN w:val="0"/>
              <w:adjustRightInd w:val="0"/>
              <w:jc w:val="both"/>
              <w:rPr>
                <w:rFonts w:ascii="Calibri" w:hAnsi="Calibri"/>
              </w:rPr>
            </w:pPr>
            <w:r w:rsidRPr="003608B9">
              <w:rPr>
                <w:rFonts w:ascii="Calibri" w:hAnsi="Calibri"/>
              </w:rPr>
              <w:t>To what extent has the provision under The Village Land Act (1999)</w:t>
            </w:r>
            <w:r w:rsidRPr="003608B9">
              <w:rPr>
                <w:rFonts w:ascii="Calibri" w:hAnsi="Calibri"/>
                <w:vertAlign w:val="superscript"/>
              </w:rPr>
              <w:footnoteReference w:id="1"/>
            </w:r>
            <w:r w:rsidRPr="003608B9">
              <w:rPr>
                <w:rFonts w:ascii="Calibri" w:hAnsi="Calibri"/>
              </w:rPr>
              <w:t xml:space="preserve"> (which requires </w:t>
            </w:r>
            <w:r w:rsidR="00BD6BF2" w:rsidRPr="003608B9">
              <w:rPr>
                <w:rFonts w:ascii="Calibri" w:hAnsi="Calibri"/>
              </w:rPr>
              <w:t>village land council</w:t>
            </w:r>
            <w:r w:rsidR="00DB124B" w:rsidRPr="003608B9">
              <w:rPr>
                <w:rFonts w:ascii="Calibri" w:hAnsi="Calibri"/>
              </w:rPr>
              <w:t>s</w:t>
            </w:r>
            <w:r w:rsidR="00BD6BF2" w:rsidRPr="003608B9">
              <w:rPr>
                <w:rFonts w:ascii="Calibri" w:hAnsi="Calibri"/>
              </w:rPr>
              <w:t xml:space="preserve"> to have at least 3 female members</w:t>
            </w:r>
            <w:r w:rsidRPr="003608B9">
              <w:rPr>
                <w:rStyle w:val="FootnoteReference"/>
                <w:rFonts w:ascii="Calibri" w:hAnsi="Calibri"/>
              </w:rPr>
              <w:footnoteReference w:id="2"/>
            </w:r>
            <w:r w:rsidRPr="003608B9">
              <w:rPr>
                <w:rFonts w:ascii="Calibri" w:hAnsi="Calibri"/>
              </w:rPr>
              <w:t xml:space="preserve">) been implemented and what has been the impact? </w:t>
            </w:r>
          </w:p>
        </w:tc>
        <w:tc>
          <w:tcPr>
            <w:tcW w:w="10240" w:type="dxa"/>
          </w:tcPr>
          <w:p w:rsidR="0067704D" w:rsidRPr="003608B9" w:rsidRDefault="00C87555" w:rsidP="00E362F2">
            <w:pPr>
              <w:rPr>
                <w:rFonts w:ascii="Calibri" w:hAnsi="Calibri" w:cs="Arial"/>
                <w:color w:val="222222"/>
              </w:rPr>
            </w:pPr>
            <w:r w:rsidRPr="00C87555">
              <w:rPr>
                <w:rFonts w:ascii="Calibri" w:hAnsi="Calibri" w:cs="Arial"/>
              </w:rPr>
              <w:t>The Implementation of the provision poses challenges as it requires a qualified women in land issues and customary rights of a certain area hence most women do not have the required expertise to be appointed. The Government continues sensitizing women to participate in decision making positions.</w:t>
            </w:r>
          </w:p>
        </w:tc>
      </w:tr>
      <w:tr w:rsidR="0067704D" w:rsidRPr="003608B9" w:rsidTr="000C06EC">
        <w:tc>
          <w:tcPr>
            <w:tcW w:w="1256" w:type="dxa"/>
            <w:vMerge w:val="restart"/>
          </w:tcPr>
          <w:p w:rsidR="0067704D" w:rsidRPr="003608B9" w:rsidRDefault="0067704D" w:rsidP="00E7301E">
            <w:pPr>
              <w:rPr>
                <w:rFonts w:ascii="Calibri" w:hAnsi="Calibri" w:cs="Arial"/>
                <w:color w:val="222222"/>
              </w:rPr>
            </w:pPr>
            <w:r w:rsidRPr="003608B9">
              <w:rPr>
                <w:rFonts w:ascii="Calibri" w:hAnsi="Calibri" w:cs="Arial"/>
                <w:color w:val="222222"/>
              </w:rPr>
              <w:t>ARTICLE 5</w:t>
            </w:r>
          </w:p>
          <w:p w:rsidR="0067704D" w:rsidRPr="003608B9" w:rsidRDefault="0067704D" w:rsidP="00A75D57">
            <w:pPr>
              <w:rPr>
                <w:rFonts w:ascii="Calibri" w:hAnsi="Calibri" w:cs="Arial"/>
                <w:color w:val="222222"/>
              </w:rPr>
            </w:pPr>
          </w:p>
        </w:tc>
        <w:tc>
          <w:tcPr>
            <w:tcW w:w="3241" w:type="dxa"/>
          </w:tcPr>
          <w:p w:rsidR="0067704D" w:rsidRPr="003608B9" w:rsidRDefault="0067704D" w:rsidP="00A75D57">
            <w:pPr>
              <w:rPr>
                <w:rFonts w:ascii="Calibri" w:hAnsi="Calibri" w:cs="Arial"/>
                <w:color w:val="222222"/>
              </w:rPr>
            </w:pPr>
            <w:r w:rsidRPr="003608B9">
              <w:rPr>
                <w:rFonts w:ascii="Calibri" w:hAnsi="Calibri" w:cs="Arial"/>
                <w:color w:val="222222"/>
              </w:rPr>
              <w:t>Please clarify whether the amended Penal Code and the Sexual Offences Act criminalizes practitioners who conduct circumcision on females under 18 years of age.</w:t>
            </w:r>
          </w:p>
        </w:tc>
        <w:tc>
          <w:tcPr>
            <w:tcW w:w="10240" w:type="dxa"/>
          </w:tcPr>
          <w:p w:rsidR="0067704D" w:rsidRPr="003608B9" w:rsidRDefault="0067704D" w:rsidP="0067704D">
            <w:pPr>
              <w:rPr>
                <w:rFonts w:ascii="Calibri" w:hAnsi="Calibri" w:cs="Arial"/>
                <w:color w:val="222222"/>
              </w:rPr>
            </w:pPr>
            <w:r w:rsidRPr="003608B9">
              <w:rPr>
                <w:rFonts w:ascii="Calibri" w:hAnsi="Calibri" w:cs="Arial"/>
                <w:color w:val="222222"/>
              </w:rPr>
              <w:t>The Penal Code under Section 169 A provides a reparation for children victims of FGM. The offence is termed as cruelty to children. In collaboration with the Non State actors particularly CSO, the State party has been undertaking public awareness campaigns to eliminate and combat discrimination including FGM.</w:t>
            </w:r>
          </w:p>
          <w:p w:rsidR="0067704D" w:rsidRPr="003608B9" w:rsidRDefault="0067704D" w:rsidP="0067704D">
            <w:pPr>
              <w:rPr>
                <w:rFonts w:ascii="Calibri" w:hAnsi="Calibri" w:cs="Arial"/>
                <w:color w:val="222222"/>
              </w:rPr>
            </w:pPr>
          </w:p>
          <w:p w:rsidR="0067704D" w:rsidRPr="003608B9" w:rsidRDefault="0067704D" w:rsidP="00400F1E">
            <w:pPr>
              <w:rPr>
                <w:rFonts w:ascii="Calibri" w:hAnsi="Calibri" w:cs="Arial"/>
                <w:color w:val="222222"/>
              </w:rPr>
            </w:pPr>
            <w:r w:rsidRPr="003608B9">
              <w:rPr>
                <w:rFonts w:ascii="Calibri" w:hAnsi="Calibri" w:cs="Arial"/>
                <w:color w:val="222222"/>
              </w:rPr>
              <w:t xml:space="preserve">The </w:t>
            </w:r>
            <w:r w:rsidR="00400F1E" w:rsidRPr="003608B9">
              <w:rPr>
                <w:rFonts w:ascii="Calibri" w:hAnsi="Calibri" w:cs="Arial"/>
                <w:color w:val="222222"/>
              </w:rPr>
              <w:t>2010 D</w:t>
            </w:r>
            <w:r w:rsidRPr="003608B9">
              <w:rPr>
                <w:rFonts w:ascii="Calibri" w:hAnsi="Calibri" w:cs="Arial"/>
                <w:color w:val="222222"/>
              </w:rPr>
              <w:t>emography and Health Survey has indicated a drop in prevalence of FGM from 18% in 1996 to 15 in 2010.</w:t>
            </w:r>
          </w:p>
        </w:tc>
      </w:tr>
      <w:tr w:rsidR="0067704D" w:rsidRPr="003608B9" w:rsidTr="000C06EC">
        <w:tc>
          <w:tcPr>
            <w:tcW w:w="1256" w:type="dxa"/>
            <w:vMerge/>
          </w:tcPr>
          <w:p w:rsidR="0067704D" w:rsidRPr="003608B9" w:rsidRDefault="0067704D" w:rsidP="00A75D57">
            <w:pPr>
              <w:rPr>
                <w:rFonts w:ascii="Calibri" w:hAnsi="Calibri" w:cs="Arial"/>
                <w:color w:val="222222"/>
              </w:rPr>
            </w:pPr>
          </w:p>
        </w:tc>
        <w:tc>
          <w:tcPr>
            <w:tcW w:w="3241" w:type="dxa"/>
          </w:tcPr>
          <w:p w:rsidR="0067704D" w:rsidRPr="003608B9" w:rsidRDefault="0067704D" w:rsidP="00A75D57">
            <w:pPr>
              <w:rPr>
                <w:rFonts w:ascii="Calibri" w:hAnsi="Calibri" w:cs="Arial"/>
                <w:color w:val="222222"/>
              </w:rPr>
            </w:pPr>
            <w:r w:rsidRPr="003608B9">
              <w:rPr>
                <w:rFonts w:ascii="Calibri" w:hAnsi="Calibri" w:cs="Arial"/>
                <w:color w:val="222222"/>
              </w:rPr>
              <w:t>Please describe the steps that will be taken to prosecute and punish perpetrators of FGM and what sanctions are applied to perpetrators.</w:t>
            </w:r>
          </w:p>
        </w:tc>
        <w:tc>
          <w:tcPr>
            <w:tcW w:w="10240" w:type="dxa"/>
          </w:tcPr>
          <w:p w:rsidR="0067704D" w:rsidRPr="003608B9" w:rsidRDefault="00883A63" w:rsidP="00A75D57">
            <w:pPr>
              <w:rPr>
                <w:rFonts w:ascii="Calibri" w:hAnsi="Calibri" w:cs="Arial"/>
                <w:color w:val="222222"/>
              </w:rPr>
            </w:pPr>
            <w:r w:rsidRPr="003608B9">
              <w:rPr>
                <w:rFonts w:ascii="Calibri" w:hAnsi="Calibri" w:cs="Arial"/>
                <w:color w:val="222222"/>
              </w:rPr>
              <w:t>The law provides imprisonment of not less than 5 years and not more than 15 years to perpetrators.</w:t>
            </w:r>
          </w:p>
        </w:tc>
      </w:tr>
      <w:tr w:rsidR="0067704D" w:rsidRPr="003608B9" w:rsidTr="000C06EC">
        <w:tc>
          <w:tcPr>
            <w:tcW w:w="1256" w:type="dxa"/>
            <w:vMerge/>
          </w:tcPr>
          <w:p w:rsidR="0067704D" w:rsidRPr="003608B9" w:rsidRDefault="0067704D" w:rsidP="00A75D57">
            <w:pPr>
              <w:rPr>
                <w:rFonts w:ascii="Calibri" w:hAnsi="Calibri" w:cs="Arial"/>
                <w:color w:val="222222"/>
              </w:rPr>
            </w:pPr>
          </w:p>
        </w:tc>
        <w:tc>
          <w:tcPr>
            <w:tcW w:w="3241" w:type="dxa"/>
          </w:tcPr>
          <w:p w:rsidR="0067704D" w:rsidRPr="003608B9" w:rsidRDefault="0067704D" w:rsidP="00A75D57">
            <w:pPr>
              <w:rPr>
                <w:rFonts w:ascii="Calibri" w:hAnsi="Calibri" w:cs="Arial"/>
                <w:color w:val="222222"/>
              </w:rPr>
            </w:pPr>
            <w:r w:rsidRPr="003608B9">
              <w:rPr>
                <w:rFonts w:ascii="Calibri" w:hAnsi="Calibri" w:cs="Arial"/>
                <w:color w:val="222222"/>
              </w:rPr>
              <w:t>What measures are in place to provide support to victims of FGM, in terms of psychological, social and medical adequate care?</w:t>
            </w:r>
          </w:p>
        </w:tc>
        <w:tc>
          <w:tcPr>
            <w:tcW w:w="10240" w:type="dxa"/>
          </w:tcPr>
          <w:p w:rsidR="0067704D" w:rsidRPr="003608B9" w:rsidRDefault="00883A63" w:rsidP="00A75D57">
            <w:pPr>
              <w:rPr>
                <w:rFonts w:ascii="Calibri" w:hAnsi="Calibri" w:cs="Arial"/>
                <w:color w:val="222222"/>
              </w:rPr>
            </w:pPr>
            <w:r w:rsidRPr="003608B9">
              <w:rPr>
                <w:rFonts w:ascii="Calibri" w:hAnsi="Calibri" w:cs="Arial"/>
                <w:color w:val="222222"/>
              </w:rPr>
              <w:t>The Government has provided conducive environment for the CSO to support the victims of FGM through established safe houses. In Serengeti District 193 girls were registered in a CSO owned safe house in December 2015.</w:t>
            </w:r>
          </w:p>
          <w:p w:rsidR="00883A63" w:rsidRPr="003608B9" w:rsidRDefault="00883A63" w:rsidP="00883A63">
            <w:pPr>
              <w:rPr>
                <w:rFonts w:ascii="Calibri" w:hAnsi="Calibri" w:cs="Arial"/>
                <w:color w:val="222222"/>
              </w:rPr>
            </w:pPr>
            <w:r w:rsidRPr="003608B9">
              <w:rPr>
                <w:rFonts w:ascii="Calibri" w:hAnsi="Calibri" w:cs="Arial"/>
                <w:color w:val="222222"/>
              </w:rPr>
              <w:t xml:space="preserve">Media have been playing important role in providing awareness as well as an early warning signal planning Mutilation. Example in November 2010 press reports gave an early warning planned mutilation of over 5000 girls to take place during FGM ceremonies in </w:t>
            </w:r>
            <w:proofErr w:type="spellStart"/>
            <w:r w:rsidRPr="003608B9">
              <w:rPr>
                <w:rFonts w:ascii="Calibri" w:hAnsi="Calibri" w:cs="Arial"/>
                <w:color w:val="222222"/>
              </w:rPr>
              <w:t>Tarime</w:t>
            </w:r>
            <w:proofErr w:type="spellEnd"/>
            <w:r w:rsidRPr="003608B9">
              <w:rPr>
                <w:rFonts w:ascii="Calibri" w:hAnsi="Calibri" w:cs="Arial"/>
                <w:color w:val="222222"/>
              </w:rPr>
              <w:t xml:space="preserve"> District.</w:t>
            </w:r>
          </w:p>
          <w:p w:rsidR="00883A63" w:rsidRPr="003608B9" w:rsidRDefault="00883A63" w:rsidP="00A75D57">
            <w:pPr>
              <w:rPr>
                <w:rFonts w:ascii="Calibri" w:hAnsi="Calibri" w:cs="Arial"/>
                <w:color w:val="222222"/>
              </w:rPr>
            </w:pPr>
            <w:r w:rsidRPr="003608B9">
              <w:rPr>
                <w:rFonts w:ascii="Calibri" w:hAnsi="Calibri" w:cs="Arial"/>
                <w:color w:val="222222"/>
              </w:rPr>
              <w:t>The Police have been informed of the FGM practice including enforcement of FGM laws through establishment of Police Gender and Children Desks in all Police stations in the country.</w:t>
            </w:r>
          </w:p>
        </w:tc>
      </w:tr>
      <w:tr w:rsidR="0067704D" w:rsidRPr="003608B9" w:rsidTr="000C06EC">
        <w:tc>
          <w:tcPr>
            <w:tcW w:w="1256" w:type="dxa"/>
            <w:vMerge/>
          </w:tcPr>
          <w:p w:rsidR="0067704D" w:rsidRPr="003608B9" w:rsidRDefault="0067704D" w:rsidP="00A75D57">
            <w:pPr>
              <w:rPr>
                <w:rFonts w:ascii="Calibri" w:hAnsi="Calibri" w:cs="Arial"/>
                <w:color w:val="222222"/>
              </w:rPr>
            </w:pPr>
          </w:p>
        </w:tc>
        <w:tc>
          <w:tcPr>
            <w:tcW w:w="3241" w:type="dxa"/>
          </w:tcPr>
          <w:p w:rsidR="0067704D" w:rsidRPr="003608B9" w:rsidRDefault="0067704D" w:rsidP="00A75D57">
            <w:pPr>
              <w:rPr>
                <w:rFonts w:ascii="Calibri" w:hAnsi="Calibri" w:cs="Arial"/>
                <w:color w:val="222222"/>
              </w:rPr>
            </w:pPr>
            <w:r w:rsidRPr="003608B9">
              <w:rPr>
                <w:rFonts w:ascii="Calibri" w:hAnsi="Calibri" w:cs="Arial"/>
                <w:color w:val="222222"/>
              </w:rPr>
              <w:t xml:space="preserve">Please indicate whether there is a comprehensive strategy to change the attitudes related to </w:t>
            </w:r>
            <w:r w:rsidRPr="003608B9">
              <w:rPr>
                <w:rFonts w:ascii="Calibri" w:hAnsi="Calibri" w:cs="Arial"/>
                <w:color w:val="222222"/>
              </w:rPr>
              <w:lastRenderedPageBreak/>
              <w:t>social and cultural patterns that govern gender stereotypes/roles within the family and community.  Include details of any initiatives involving traditional leaders and community members and women's organizations.</w:t>
            </w:r>
          </w:p>
        </w:tc>
        <w:tc>
          <w:tcPr>
            <w:tcW w:w="10240" w:type="dxa"/>
          </w:tcPr>
          <w:p w:rsidR="00170F35" w:rsidRPr="003608B9" w:rsidRDefault="00170F35" w:rsidP="00170F35">
            <w:pPr>
              <w:rPr>
                <w:rFonts w:ascii="Calibri" w:hAnsi="Calibri" w:cs="Arial"/>
                <w:color w:val="222222"/>
              </w:rPr>
            </w:pPr>
            <w:r w:rsidRPr="003608B9">
              <w:rPr>
                <w:rFonts w:ascii="Calibri" w:hAnsi="Calibri" w:cs="Arial"/>
                <w:color w:val="222222"/>
              </w:rPr>
              <w:lastRenderedPageBreak/>
              <w:t xml:space="preserve">National Gender Strategy (2005) is in place and it focuses in sensitizing women and men to abandoned harmful practices such as FGM, early marriages and widow’s inheritance as part of cultural and social behavioral change.  </w:t>
            </w:r>
            <w:r w:rsidRPr="003608B9">
              <w:rPr>
                <w:rFonts w:ascii="Calibri" w:hAnsi="Calibri" w:cs="Arial"/>
                <w:color w:val="222222"/>
              </w:rPr>
              <w:lastRenderedPageBreak/>
              <w:t xml:space="preserve">It also focused at motivating and empower men and women participation in budgeting planning and management of resources to ensure that both of them benefits. </w:t>
            </w:r>
          </w:p>
          <w:p w:rsidR="00170F35" w:rsidRPr="003608B9" w:rsidRDefault="00170F35" w:rsidP="00170F35">
            <w:pPr>
              <w:rPr>
                <w:rFonts w:ascii="Calibri" w:hAnsi="Calibri" w:cs="Arial"/>
                <w:color w:val="222222"/>
              </w:rPr>
            </w:pPr>
            <w:r w:rsidRPr="003608B9">
              <w:rPr>
                <w:rFonts w:ascii="Calibri" w:hAnsi="Calibri" w:cs="Arial"/>
                <w:color w:val="222222"/>
              </w:rPr>
              <w:t>The Ministry of Health Community Development Gender Elderly and Children have compiled good practices from community level on advancement of Gender equality and women empowerment in their livelihood development from June- July 2015 tracked from 54 NGOs working on GEWE.</w:t>
            </w:r>
          </w:p>
          <w:p w:rsidR="0067704D" w:rsidRPr="003608B9" w:rsidRDefault="00170F35" w:rsidP="00A75D57">
            <w:pPr>
              <w:rPr>
                <w:rFonts w:ascii="Calibri" w:hAnsi="Calibri" w:cs="Arial"/>
                <w:color w:val="222222"/>
              </w:rPr>
            </w:pPr>
            <w:r w:rsidRPr="003608B9">
              <w:rPr>
                <w:rFonts w:ascii="Calibri" w:hAnsi="Calibri" w:cs="Arial"/>
                <w:color w:val="222222"/>
              </w:rPr>
              <w:t>The Best practice reports were disseminated to 10 Sectorial and Government Ministries, 70 NGOs including traditional leaders and 5 Development Partners.</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Borders>
              <w:top w:val="single" w:sz="4" w:space="0" w:color="auto"/>
              <w:left w:val="single" w:sz="4" w:space="0" w:color="auto"/>
              <w:bottom w:val="single" w:sz="4" w:space="0" w:color="auto"/>
              <w:right w:val="single" w:sz="4" w:space="0" w:color="auto"/>
            </w:tcBorders>
          </w:tcPr>
          <w:p w:rsidR="00170F35" w:rsidRPr="003608B9" w:rsidRDefault="00170F35" w:rsidP="00170F35">
            <w:pPr>
              <w:rPr>
                <w:rFonts w:ascii="Calibri" w:hAnsi="Calibri" w:cs="Arial"/>
                <w:color w:val="222222"/>
              </w:rPr>
            </w:pPr>
            <w:r w:rsidRPr="003608B9">
              <w:rPr>
                <w:rFonts w:ascii="Calibri" w:hAnsi="Calibri" w:cs="Arial"/>
                <w:color w:val="222222"/>
              </w:rPr>
              <w:t>Please provide detailed information on programs to protect women in areas where female genital mutilation and early marriage practices are rampant.</w:t>
            </w:r>
          </w:p>
        </w:tc>
        <w:tc>
          <w:tcPr>
            <w:tcW w:w="10240" w:type="dxa"/>
            <w:tcBorders>
              <w:top w:val="single" w:sz="4" w:space="0" w:color="auto"/>
              <w:left w:val="single" w:sz="4" w:space="0" w:color="auto"/>
              <w:bottom w:val="single" w:sz="4" w:space="0" w:color="auto"/>
              <w:right w:val="single" w:sz="4" w:space="0" w:color="auto"/>
            </w:tcBorders>
          </w:tcPr>
          <w:p w:rsidR="00170F35" w:rsidRPr="003608B9" w:rsidRDefault="00170F35" w:rsidP="00170F35">
            <w:pPr>
              <w:rPr>
                <w:rFonts w:ascii="Calibri" w:hAnsi="Calibri" w:cs="Arial"/>
                <w:color w:val="222222"/>
              </w:rPr>
            </w:pPr>
            <w:r w:rsidRPr="003608B9">
              <w:rPr>
                <w:rFonts w:ascii="Calibri" w:hAnsi="Calibri" w:cs="Arial"/>
                <w:color w:val="222222"/>
              </w:rPr>
              <w:t xml:space="preserve">Government has initiated several policy documents and campaigns including developing a new Education </w:t>
            </w:r>
            <w:r w:rsidR="00B51415">
              <w:rPr>
                <w:rFonts w:ascii="Calibri" w:hAnsi="Calibri" w:cs="Arial"/>
                <w:color w:val="222222"/>
              </w:rPr>
              <w:t xml:space="preserve">Act </w:t>
            </w:r>
            <w:r w:rsidRPr="003608B9">
              <w:rPr>
                <w:rFonts w:ascii="Calibri" w:hAnsi="Calibri" w:cs="Arial"/>
                <w:color w:val="222222"/>
              </w:rPr>
              <w:t>2014, Art 3.3 which removed all types of obstacles that prevent a student from attaining high level of education desires. Followed by Re- entry regulation waiting Ministers approval.</w:t>
            </w:r>
          </w:p>
          <w:p w:rsidR="00170F35" w:rsidRPr="003608B9" w:rsidRDefault="00170F35" w:rsidP="00170F35">
            <w:pPr>
              <w:rPr>
                <w:rFonts w:ascii="Calibri" w:hAnsi="Calibri" w:cs="Arial"/>
                <w:color w:val="222222"/>
              </w:rPr>
            </w:pPr>
            <w:r w:rsidRPr="003608B9">
              <w:rPr>
                <w:rFonts w:ascii="Calibri" w:hAnsi="Calibri" w:cs="Arial"/>
                <w:color w:val="222222"/>
              </w:rPr>
              <w:t>International day of tolerance against FGM have been domesticated at national level where several programs have been initiated by the NGOs to address FGM at the local level in 30 Districts supported by 6 National NGOs (Legal and Human rights Centre, Women Wake Up, AFNET, CDF and other international Organization such as UNFPA and UN Women.)</w:t>
            </w:r>
          </w:p>
          <w:p w:rsidR="00170F35" w:rsidRPr="003608B9" w:rsidRDefault="00170F35" w:rsidP="00170F35">
            <w:pPr>
              <w:rPr>
                <w:rFonts w:ascii="Calibri" w:hAnsi="Calibri" w:cs="Arial"/>
                <w:color w:val="222222"/>
              </w:rPr>
            </w:pPr>
            <w:r w:rsidRPr="003608B9">
              <w:rPr>
                <w:rFonts w:ascii="Calibri" w:hAnsi="Calibri" w:cs="Arial"/>
                <w:color w:val="222222"/>
              </w:rPr>
              <w:t xml:space="preserve">The Government in collaboration with </w:t>
            </w:r>
            <w:proofErr w:type="spellStart"/>
            <w:r w:rsidRPr="003608B9">
              <w:rPr>
                <w:rFonts w:ascii="Calibri" w:hAnsi="Calibri" w:cs="Arial"/>
                <w:color w:val="222222"/>
              </w:rPr>
              <w:t>Graca</w:t>
            </w:r>
            <w:proofErr w:type="spellEnd"/>
            <w:r w:rsidRPr="003608B9">
              <w:rPr>
                <w:rFonts w:ascii="Calibri" w:hAnsi="Calibri" w:cs="Arial"/>
                <w:color w:val="222222"/>
              </w:rPr>
              <w:t xml:space="preserve"> </w:t>
            </w:r>
            <w:proofErr w:type="spellStart"/>
            <w:r w:rsidRPr="003608B9">
              <w:rPr>
                <w:rFonts w:ascii="Calibri" w:hAnsi="Calibri" w:cs="Arial"/>
                <w:color w:val="222222"/>
              </w:rPr>
              <w:t>Machel</w:t>
            </w:r>
            <w:proofErr w:type="spellEnd"/>
            <w:r w:rsidRPr="003608B9">
              <w:rPr>
                <w:rFonts w:ascii="Calibri" w:hAnsi="Calibri" w:cs="Arial"/>
                <w:color w:val="222222"/>
              </w:rPr>
              <w:t xml:space="preserve"> Foundation has launched a </w:t>
            </w:r>
            <w:r w:rsidR="005E281C" w:rsidRPr="003608B9">
              <w:rPr>
                <w:rFonts w:ascii="Calibri" w:hAnsi="Calibri" w:cs="Arial"/>
                <w:color w:val="222222"/>
              </w:rPr>
              <w:t>campaign</w:t>
            </w:r>
            <w:r w:rsidRPr="003608B9">
              <w:rPr>
                <w:rFonts w:ascii="Calibri" w:hAnsi="Calibri" w:cs="Arial"/>
                <w:color w:val="222222"/>
              </w:rPr>
              <w:t xml:space="preserve"> to eliminate Early Marriage in 2014.</w:t>
            </w:r>
          </w:p>
          <w:p w:rsidR="00170F35" w:rsidRPr="003608B9" w:rsidRDefault="00170F35" w:rsidP="00170F35">
            <w:pPr>
              <w:rPr>
                <w:rFonts w:ascii="Calibri" w:hAnsi="Calibri" w:cs="Arial"/>
                <w:color w:val="222222"/>
              </w:rPr>
            </w:pPr>
            <w:r w:rsidRPr="003608B9">
              <w:rPr>
                <w:rFonts w:ascii="Calibri" w:hAnsi="Calibri" w:cs="Arial"/>
                <w:color w:val="222222"/>
              </w:rPr>
              <w:t>H. E the President of the United Republic of Tanzania has recently announced the free Education from Primary to secondary schools as a Government Directive starting in 2016. This provides an opportunity to ensure that all children both boy and girls of school age are attending schools and hence reducing the risks of early marriage and any other forms of Child abuse including FGM and encourage parent adherence to the directive.</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cs="Arial"/>
                <w:color w:val="222222"/>
              </w:rPr>
            </w:pPr>
            <w:r w:rsidRPr="003608B9">
              <w:rPr>
                <w:rFonts w:ascii="Calibri" w:hAnsi="Calibri" w:cs="Arial"/>
                <w:color w:val="222222"/>
              </w:rPr>
              <w:t>Please provide statistical data showing signs of change in areas where efforts are underway to challenge the practice of female genital mutilation and other harmful practices.</w:t>
            </w:r>
          </w:p>
        </w:tc>
        <w:tc>
          <w:tcPr>
            <w:tcW w:w="10240" w:type="dxa"/>
          </w:tcPr>
          <w:p w:rsidR="00170F35" w:rsidRPr="003608B9" w:rsidRDefault="005E281C" w:rsidP="005E281C">
            <w:pPr>
              <w:rPr>
                <w:rFonts w:ascii="Calibri" w:hAnsi="Calibri" w:cs="Arial"/>
                <w:color w:val="222222"/>
              </w:rPr>
            </w:pPr>
            <w:r w:rsidRPr="003608B9">
              <w:rPr>
                <w:rFonts w:ascii="Calibri" w:hAnsi="Calibri" w:cs="Arial"/>
                <w:color w:val="222222"/>
              </w:rPr>
              <w:t xml:space="preserve">National prevalence data by region, captured by the Demographic and Health Survey, shows that in </w:t>
            </w:r>
            <w:proofErr w:type="spellStart"/>
            <w:r w:rsidRPr="003608B9">
              <w:rPr>
                <w:rFonts w:ascii="Calibri" w:hAnsi="Calibri" w:cs="Arial"/>
                <w:color w:val="222222"/>
              </w:rPr>
              <w:t>Manyara</w:t>
            </w:r>
            <w:proofErr w:type="spellEnd"/>
            <w:r w:rsidRPr="003608B9">
              <w:rPr>
                <w:rFonts w:ascii="Calibri" w:hAnsi="Calibri" w:cs="Arial"/>
                <w:color w:val="222222"/>
              </w:rPr>
              <w:t xml:space="preserve"> the decreased from 81% in 2005 to 71% in 2010, in Arusha Region there is decrease of 51% in 2005 to 38% in 2010.</w:t>
            </w:r>
            <w:r w:rsidR="00BD6BF2" w:rsidRPr="003608B9">
              <w:rPr>
                <w:rFonts w:ascii="Calibri" w:hAnsi="Calibri" w:cs="Arial"/>
                <w:color w:val="222222"/>
              </w:rPr>
              <w:t xml:space="preserve"> These are regions where a particularly marked reduction has been seen. </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5D731F">
            <w:pPr>
              <w:rPr>
                <w:rFonts w:ascii="Calibri" w:hAnsi="Calibri" w:cs="Arial"/>
                <w:color w:val="222222"/>
              </w:rPr>
            </w:pPr>
            <w:r w:rsidRPr="003608B9">
              <w:rPr>
                <w:rFonts w:ascii="Calibri" w:hAnsi="Calibri" w:cs="Arial"/>
                <w:color w:val="222222"/>
              </w:rPr>
              <w:t xml:space="preserve">Please describe measures being taken to prevent and address </w:t>
            </w:r>
            <w:r w:rsidR="005D731F" w:rsidRPr="003608B9">
              <w:rPr>
                <w:rFonts w:ascii="Calibri" w:hAnsi="Calibri" w:cs="Arial"/>
                <w:color w:val="222222"/>
              </w:rPr>
              <w:t>widow cleansing and</w:t>
            </w:r>
            <w:r w:rsidRPr="003608B9">
              <w:rPr>
                <w:rFonts w:ascii="Calibri" w:hAnsi="Calibri" w:cs="Arial"/>
                <w:color w:val="222222"/>
              </w:rPr>
              <w:t xml:space="preserve"> the killing of elderly women accused of witchcraft</w:t>
            </w:r>
            <w:r w:rsidR="005D731F" w:rsidRPr="003608B9">
              <w:rPr>
                <w:rFonts w:ascii="Calibri" w:hAnsi="Calibri" w:cs="Arial"/>
                <w:color w:val="222222"/>
              </w:rPr>
              <w:t xml:space="preserve">. </w:t>
            </w:r>
            <w:r w:rsidRPr="003608B9">
              <w:rPr>
                <w:rFonts w:ascii="Calibri" w:hAnsi="Calibri" w:cs="Arial"/>
                <w:color w:val="222222"/>
              </w:rPr>
              <w:t xml:space="preserve">, the discrimination described against women and girls with albinism. </w:t>
            </w:r>
          </w:p>
        </w:tc>
        <w:tc>
          <w:tcPr>
            <w:tcW w:w="10240" w:type="dxa"/>
          </w:tcPr>
          <w:p w:rsidR="008513A3" w:rsidRPr="003608B9" w:rsidRDefault="008513A3" w:rsidP="008513A3">
            <w:pPr>
              <w:rPr>
                <w:rFonts w:ascii="Calibri" w:hAnsi="Calibri" w:cs="Arial"/>
                <w:color w:val="222222"/>
              </w:rPr>
            </w:pPr>
            <w:r w:rsidRPr="003608B9">
              <w:rPr>
                <w:rFonts w:ascii="Calibri" w:hAnsi="Calibri" w:cs="Arial"/>
                <w:color w:val="222222"/>
              </w:rPr>
              <w:t xml:space="preserve">The government has initiated several public awareness raising on women’s rights. This is in line with National Action Plan to Prevent and Eradicate Violence Against Women 2001 – 2015. The proposed revised constitution 2014 articulates specific chapter on the rights of women. The ministry has enhanced capacity of district Community Development Officers with more knowledge on Women’s rights since they have role to coordinate Gender Equality at local government level being part of Security committee to raise awareness on the women’s rights. </w:t>
            </w:r>
          </w:p>
          <w:p w:rsidR="008513A3" w:rsidRPr="003608B9" w:rsidRDefault="008513A3" w:rsidP="008513A3">
            <w:pPr>
              <w:rPr>
                <w:rFonts w:ascii="Calibri" w:hAnsi="Calibri" w:cs="Arial"/>
                <w:color w:val="222222"/>
              </w:rPr>
            </w:pPr>
          </w:p>
          <w:p w:rsidR="008513A3" w:rsidRPr="003608B9" w:rsidRDefault="008513A3" w:rsidP="008513A3">
            <w:pPr>
              <w:rPr>
                <w:rFonts w:ascii="Calibri" w:hAnsi="Calibri" w:cs="Arial"/>
              </w:rPr>
            </w:pPr>
            <w:r w:rsidRPr="003608B9">
              <w:rPr>
                <w:rFonts w:ascii="Calibri" w:hAnsi="Calibri" w:cs="Arial"/>
                <w:color w:val="222222"/>
              </w:rPr>
              <w:lastRenderedPageBreak/>
              <w:t xml:space="preserve">Several national and international NGOs such as </w:t>
            </w:r>
            <w:proofErr w:type="spellStart"/>
            <w:r w:rsidRPr="003608B9">
              <w:rPr>
                <w:rFonts w:ascii="Calibri" w:hAnsi="Calibri" w:cs="Arial"/>
              </w:rPr>
              <w:t>HelpAge</w:t>
            </w:r>
            <w:proofErr w:type="spellEnd"/>
            <w:r w:rsidRPr="003608B9">
              <w:rPr>
                <w:rFonts w:ascii="Calibri" w:hAnsi="Calibri" w:cs="Arial"/>
              </w:rPr>
              <w:t xml:space="preserve"> International</w:t>
            </w:r>
            <w:r w:rsidRPr="003608B9">
              <w:rPr>
                <w:rFonts w:ascii="Calibri" w:hAnsi="Calibri" w:cs="Arial"/>
                <w:color w:val="222222"/>
              </w:rPr>
              <w:t xml:space="preserve"> </w:t>
            </w:r>
            <w:r w:rsidRPr="003608B9">
              <w:rPr>
                <w:rFonts w:ascii="Calibri" w:hAnsi="Calibri" w:cs="Arial"/>
              </w:rPr>
              <w:t>a non-profit organization that works to help older people</w:t>
            </w:r>
            <w:r w:rsidRPr="003608B9">
              <w:rPr>
                <w:rFonts w:ascii="Calibri" w:hAnsi="Calibri" w:cs="Arial"/>
                <w:color w:val="222222"/>
              </w:rPr>
              <w:t xml:space="preserve"> has complemented government efforts by </w:t>
            </w:r>
            <w:r w:rsidRPr="003608B9">
              <w:rPr>
                <w:rFonts w:ascii="Calibri" w:hAnsi="Calibri" w:cs="Arial"/>
              </w:rPr>
              <w:t>launching project to improve community awareness about older women's rights while also providing legal advice and counselling to any victims.</w:t>
            </w:r>
          </w:p>
          <w:p w:rsidR="008513A3" w:rsidRPr="003608B9" w:rsidRDefault="008513A3" w:rsidP="008513A3">
            <w:pPr>
              <w:rPr>
                <w:rFonts w:ascii="Calibri" w:hAnsi="Calibri" w:cs="Arial"/>
                <w:color w:val="222222"/>
              </w:rPr>
            </w:pPr>
          </w:p>
          <w:p w:rsidR="008513A3" w:rsidRPr="003608B9" w:rsidRDefault="008513A3" w:rsidP="008513A3">
            <w:pPr>
              <w:rPr>
                <w:rFonts w:ascii="Calibri" w:hAnsi="Calibri"/>
              </w:rPr>
            </w:pPr>
            <w:r w:rsidRPr="003608B9">
              <w:rPr>
                <w:rFonts w:ascii="Calibri" w:hAnsi="Calibri" w:cs="Arial"/>
                <w:color w:val="222222"/>
              </w:rPr>
              <w:t xml:space="preserve">In response to the </w:t>
            </w:r>
            <w:r w:rsidR="00B51415">
              <w:rPr>
                <w:rFonts w:ascii="Calibri" w:hAnsi="Calibri" w:cs="Arial"/>
                <w:color w:val="222222"/>
              </w:rPr>
              <w:t>killings of people with Albinism</w:t>
            </w:r>
            <w:r w:rsidRPr="003608B9">
              <w:rPr>
                <w:rFonts w:ascii="Calibri" w:hAnsi="Calibri" w:cs="Arial"/>
                <w:color w:val="222222"/>
              </w:rPr>
              <w:t xml:space="preserve">, press reports indicates that </w:t>
            </w:r>
            <w:r w:rsidRPr="003608B9">
              <w:rPr>
                <w:rFonts w:ascii="Calibri" w:hAnsi="Calibri"/>
              </w:rPr>
              <w:t xml:space="preserve">32 witch-doctors have been arrested as part of a campaign against ritual killings of </w:t>
            </w:r>
            <w:r w:rsidR="00B51415">
              <w:rPr>
                <w:rFonts w:ascii="Calibri" w:hAnsi="Calibri" w:cs="Arial"/>
                <w:color w:val="222222"/>
              </w:rPr>
              <w:t>people with Albinism</w:t>
            </w:r>
            <w:r w:rsidRPr="003608B9">
              <w:rPr>
                <w:rFonts w:ascii="Calibri" w:hAnsi="Calibri"/>
              </w:rPr>
              <w:t xml:space="preserve"> in 2015. The government has made efforts on placing children in residential schools and centers within National Vocational Training Centre. In 2012 nine institutions accommodated 500 Children with Albinism.</w:t>
            </w:r>
          </w:p>
          <w:p w:rsidR="008513A3" w:rsidRPr="003608B9" w:rsidRDefault="008513A3" w:rsidP="008513A3">
            <w:pPr>
              <w:rPr>
                <w:rFonts w:ascii="Calibri" w:hAnsi="Calibri"/>
              </w:rPr>
            </w:pPr>
          </w:p>
          <w:p w:rsidR="00170F35" w:rsidRDefault="008513A3" w:rsidP="008513A3">
            <w:pPr>
              <w:rPr>
                <w:rFonts w:ascii="Calibri" w:hAnsi="Calibri"/>
              </w:rPr>
            </w:pPr>
            <w:r w:rsidRPr="003608B9">
              <w:rPr>
                <w:rFonts w:ascii="Calibri" w:hAnsi="Calibri"/>
              </w:rPr>
              <w:t>Commission on Human Rights and Good Governance (</w:t>
            </w:r>
            <w:r w:rsidRPr="003608B9">
              <w:rPr>
                <w:rFonts w:ascii="Calibri" w:hAnsi="Calibri" w:cs="Arial"/>
                <w:color w:val="000000"/>
              </w:rPr>
              <w:t xml:space="preserve">CHRAGG), which is an independent government department, vested with broad mandate to promote and protect human rights of all groups of people and promote good governance in the country for sustainable political and social economic development </w:t>
            </w:r>
            <w:r w:rsidRPr="003608B9">
              <w:rPr>
                <w:rFonts w:ascii="Calibri" w:hAnsi="Calibri"/>
              </w:rPr>
              <w:t>has been directed to coordinate the Albino killings campaign. CHRAGG commit to participate in formulation of NAP on EVAW to ensure that Albinos and witchcraft killings to women and children is captured the proposed National Plan of Action to prevent and respond to Violence against Women and Children 2016- 2021.</w:t>
            </w:r>
          </w:p>
          <w:p w:rsidR="00B51415" w:rsidRPr="003608B9" w:rsidRDefault="00B51415" w:rsidP="008513A3">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cs="Arial"/>
                <w:color w:val="222222"/>
              </w:rPr>
            </w:pPr>
            <w:r w:rsidRPr="003608B9">
              <w:rPr>
                <w:rFonts w:ascii="Calibri" w:hAnsi="Calibri" w:cs="Arial"/>
                <w:color w:val="222222"/>
              </w:rPr>
              <w:t>Please provide information on awareness raising related to the issue of polygamy. In particular, what has been done among groups who permit polygamy? Is there any statistical data to show whether the practice is in decline (if yes what is the percentage of decline)?</w:t>
            </w:r>
          </w:p>
        </w:tc>
        <w:tc>
          <w:tcPr>
            <w:tcW w:w="10240" w:type="dxa"/>
          </w:tcPr>
          <w:p w:rsidR="00B51415" w:rsidRDefault="00164599" w:rsidP="00164599">
            <w:pPr>
              <w:rPr>
                <w:rFonts w:ascii="Calibri" w:hAnsi="Calibri" w:cs="Arial"/>
                <w:color w:val="222222"/>
              </w:rPr>
            </w:pPr>
            <w:r w:rsidRPr="00164599">
              <w:rPr>
                <w:rFonts w:ascii="Calibri" w:hAnsi="Calibri" w:cs="Arial"/>
                <w:color w:val="222222"/>
              </w:rPr>
              <w:t xml:space="preserve">The media campaign on anti-polygamy has been increasing and hence indicated more freedom for the public to discuss and condemn polygamy practices. </w:t>
            </w:r>
          </w:p>
          <w:p w:rsidR="00B51415" w:rsidRDefault="00B51415" w:rsidP="00164599">
            <w:pPr>
              <w:rPr>
                <w:rFonts w:ascii="Calibri" w:hAnsi="Calibri" w:cs="Arial"/>
                <w:color w:val="222222"/>
              </w:rPr>
            </w:pPr>
          </w:p>
          <w:p w:rsidR="00164599" w:rsidRPr="00164599" w:rsidRDefault="005E2014" w:rsidP="00164599">
            <w:r>
              <w:rPr>
                <w:rFonts w:ascii="Calibri" w:hAnsi="Calibri" w:cs="Arial"/>
                <w:color w:val="222222"/>
              </w:rPr>
              <w:t>Furthermore, t</w:t>
            </w:r>
            <w:r w:rsidR="00164599" w:rsidRPr="00164599">
              <w:rPr>
                <w:rFonts w:ascii="Calibri" w:hAnsi="Calibri" w:cs="Arial"/>
                <w:color w:val="222222"/>
              </w:rPr>
              <w:t>he polygamy practice has been linked with HIV/AIDS campaign. This is articulated in the National HIV/AIDS Prevention Strategy 2010 - 2012 polygamy</w:t>
            </w:r>
            <w:r w:rsidR="00164599" w:rsidRPr="00164599">
              <w:t xml:space="preserve"> practices is linked to increase the risk of HIV infection.</w:t>
            </w:r>
          </w:p>
          <w:p w:rsidR="00164599" w:rsidRPr="00164599" w:rsidRDefault="00164599" w:rsidP="00164599">
            <w:pPr>
              <w:pStyle w:val="Default"/>
              <w:rPr>
                <w:sz w:val="21"/>
                <w:szCs w:val="21"/>
              </w:rPr>
            </w:pPr>
          </w:p>
          <w:p w:rsidR="00164599" w:rsidRDefault="00164599" w:rsidP="00164599">
            <w:pPr>
              <w:pStyle w:val="Default"/>
              <w:rPr>
                <w:sz w:val="21"/>
                <w:szCs w:val="21"/>
              </w:rPr>
            </w:pPr>
            <w:r w:rsidRPr="00164599">
              <w:rPr>
                <w:sz w:val="21"/>
                <w:szCs w:val="21"/>
              </w:rPr>
              <w:t>Tanzania Aids Commission Report 2010 indicated that among those who claimed to be matrimonial relation the majority (87.2%) practiced monogamy while the rest practiced polygamy. Some cultural and traditional practices including widow inheritance and polygamy were reported being one of the most fuelling factors for HIV transmission in the studied districts. A significant number of discordant couples claimed that their partners got infection through their previous partners who died of HIV/AIDS.</w:t>
            </w:r>
            <w:r>
              <w:rPr>
                <w:sz w:val="21"/>
                <w:szCs w:val="21"/>
              </w:rPr>
              <w:t xml:space="preserve"> </w:t>
            </w:r>
          </w:p>
          <w:p w:rsidR="00170F35" w:rsidRPr="003608B9" w:rsidRDefault="00170F35" w:rsidP="00170F35">
            <w:pPr>
              <w:rPr>
                <w:rFonts w:ascii="Calibri" w:hAnsi="Calibri" w:cs="Arial"/>
                <w:color w:val="222222"/>
              </w:rPr>
            </w:pPr>
          </w:p>
        </w:tc>
      </w:tr>
      <w:tr w:rsidR="00170F35" w:rsidRPr="003608B9" w:rsidTr="000C06EC">
        <w:tc>
          <w:tcPr>
            <w:tcW w:w="1256" w:type="dxa"/>
            <w:vMerge w:val="restart"/>
          </w:tcPr>
          <w:p w:rsidR="00170F35" w:rsidRPr="003608B9" w:rsidRDefault="00170F35" w:rsidP="00170F35">
            <w:pPr>
              <w:rPr>
                <w:rFonts w:ascii="Calibri" w:hAnsi="Calibri" w:cs="Arial"/>
                <w:color w:val="222222"/>
              </w:rPr>
            </w:pPr>
            <w:r w:rsidRPr="003608B9">
              <w:rPr>
                <w:rFonts w:ascii="Calibri" w:hAnsi="Calibri" w:cs="Arial"/>
                <w:color w:val="222222"/>
              </w:rPr>
              <w:t xml:space="preserve">ARTICLE 9 </w:t>
            </w:r>
          </w:p>
        </w:tc>
        <w:tc>
          <w:tcPr>
            <w:tcW w:w="3241" w:type="dxa"/>
          </w:tcPr>
          <w:p w:rsidR="00170F35" w:rsidRPr="003608B9" w:rsidRDefault="00170F35" w:rsidP="00170F35">
            <w:pPr>
              <w:rPr>
                <w:rFonts w:ascii="Calibri" w:hAnsi="Calibri"/>
              </w:rPr>
            </w:pPr>
            <w:r w:rsidRPr="003608B9">
              <w:rPr>
                <w:rFonts w:ascii="Calibri" w:hAnsi="Calibri"/>
              </w:rPr>
              <w:t xml:space="preserve">Is there a timetable for the adoption of the revised Constitution? Linked to this, is there a timetable for the amendment of the 1995 citizenship act? How this </w:t>
            </w:r>
            <w:r w:rsidRPr="003608B9">
              <w:rPr>
                <w:rFonts w:ascii="Calibri" w:hAnsi="Calibri"/>
              </w:rPr>
              <w:lastRenderedPageBreak/>
              <w:t>addressed in the revised Constitution?  What plans does the government have to ensure the revised Constitution complies with Article 9 of the CEDAW Convention (related to equality of nationality)?</w:t>
            </w:r>
          </w:p>
        </w:tc>
        <w:tc>
          <w:tcPr>
            <w:tcW w:w="10240" w:type="dxa"/>
          </w:tcPr>
          <w:p w:rsidR="007A44C3" w:rsidRPr="003608B9" w:rsidRDefault="007A44C3" w:rsidP="007A44C3">
            <w:pPr>
              <w:rPr>
                <w:rFonts w:ascii="Calibri" w:hAnsi="Calibri"/>
              </w:rPr>
            </w:pPr>
            <w:r w:rsidRPr="003608B9">
              <w:rPr>
                <w:rFonts w:ascii="Calibri" w:hAnsi="Calibri"/>
              </w:rPr>
              <w:lastRenderedPageBreak/>
              <w:t xml:space="preserve">Tanzania has yet to set the date for the referendum and adoption of the proposed Constitution. However, there is </w:t>
            </w:r>
            <w:r w:rsidR="00601B6F" w:rsidRPr="003608B9">
              <w:rPr>
                <w:rFonts w:ascii="Calibri" w:hAnsi="Calibri"/>
              </w:rPr>
              <w:t>high p</w:t>
            </w:r>
            <w:r w:rsidRPr="003608B9">
              <w:rPr>
                <w:rFonts w:ascii="Calibri" w:hAnsi="Calibri"/>
              </w:rPr>
              <w:t xml:space="preserve">olitical will </w:t>
            </w:r>
            <w:r w:rsidR="00601B6F" w:rsidRPr="003608B9">
              <w:rPr>
                <w:rFonts w:ascii="Calibri" w:hAnsi="Calibri"/>
              </w:rPr>
              <w:t>from</w:t>
            </w:r>
            <w:r w:rsidRPr="003608B9">
              <w:rPr>
                <w:rFonts w:ascii="Calibri" w:hAnsi="Calibri"/>
              </w:rPr>
              <w:t xml:space="preserve"> the current Pre</w:t>
            </w:r>
            <w:r w:rsidR="00601B6F" w:rsidRPr="003608B9">
              <w:rPr>
                <w:rFonts w:ascii="Calibri" w:hAnsi="Calibri"/>
              </w:rPr>
              <w:t>sident who committed to finalizing</w:t>
            </w:r>
            <w:r w:rsidRPr="003608B9">
              <w:rPr>
                <w:rFonts w:ascii="Calibri" w:hAnsi="Calibri"/>
              </w:rPr>
              <w:t xml:space="preserve"> constitution </w:t>
            </w:r>
            <w:r w:rsidR="00601B6F" w:rsidRPr="003608B9">
              <w:rPr>
                <w:rFonts w:ascii="Calibri" w:hAnsi="Calibri"/>
              </w:rPr>
              <w:t xml:space="preserve">during his 2015 to </w:t>
            </w:r>
            <w:r w:rsidRPr="003608B9">
              <w:rPr>
                <w:rFonts w:ascii="Calibri" w:hAnsi="Calibri"/>
              </w:rPr>
              <w:t xml:space="preserve">2020 </w:t>
            </w:r>
            <w:r w:rsidR="00601B6F" w:rsidRPr="003608B9">
              <w:rPr>
                <w:rFonts w:ascii="Calibri" w:hAnsi="Calibri"/>
              </w:rPr>
              <w:t>term</w:t>
            </w:r>
            <w:r w:rsidRPr="003608B9">
              <w:rPr>
                <w:rFonts w:ascii="Calibri" w:hAnsi="Calibri"/>
              </w:rPr>
              <w:t xml:space="preserve">.  </w:t>
            </w:r>
          </w:p>
          <w:p w:rsidR="007A44C3" w:rsidRPr="003608B9" w:rsidRDefault="007A44C3" w:rsidP="007A44C3">
            <w:pPr>
              <w:rPr>
                <w:rFonts w:ascii="Calibri" w:hAnsi="Calibri"/>
              </w:rPr>
            </w:pPr>
            <w:r w:rsidRPr="003608B9">
              <w:rPr>
                <w:rFonts w:ascii="Calibri" w:hAnsi="Calibri"/>
              </w:rPr>
              <w:t>The amendment of the citizenship act will be determined upon the approval of the new Constitution.</w:t>
            </w:r>
          </w:p>
          <w:p w:rsidR="00170F35" w:rsidRPr="003608B9" w:rsidRDefault="00170F35" w:rsidP="00170F35">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rPr>
            </w:pPr>
            <w:r w:rsidRPr="003608B9">
              <w:rPr>
                <w:rFonts w:ascii="Calibri" w:hAnsi="Calibri"/>
              </w:rPr>
              <w:t>Can a woman (as a Tanzanian national) pass on her nationality to her child as well as to her foreign husband?</w:t>
            </w:r>
          </w:p>
        </w:tc>
        <w:tc>
          <w:tcPr>
            <w:tcW w:w="10240" w:type="dxa"/>
          </w:tcPr>
          <w:p w:rsidR="00170F35" w:rsidRPr="003608B9" w:rsidRDefault="00976F1D" w:rsidP="00170F35">
            <w:pPr>
              <w:rPr>
                <w:rFonts w:ascii="Calibri" w:hAnsi="Calibri"/>
              </w:rPr>
            </w:pPr>
            <w:r w:rsidRPr="003608B9">
              <w:rPr>
                <w:rFonts w:ascii="Calibri" w:hAnsi="Calibri"/>
              </w:rPr>
              <w:t>Although the Tanzania Constitution provides for equality and non-discrimination in relation to citizens, the 1995 Tanzania Citizenship Act and regulations under the Immigration Act only allow a Tanzanian man to pass his Nationality to his wife.</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shd w:val="clear" w:color="auto" w:fill="FFFFFF"/>
              <w:rPr>
                <w:rFonts w:ascii="Calibri" w:hAnsi="Calibri" w:cs="Helvetica"/>
                <w:color w:val="000000"/>
              </w:rPr>
            </w:pPr>
            <w:r w:rsidRPr="003608B9">
              <w:rPr>
                <w:rFonts w:ascii="Calibri" w:hAnsi="Calibri" w:cs="Helvetica"/>
                <w:color w:val="000000"/>
              </w:rPr>
              <w:t>What measures will you be taking to recognize chi</w:t>
            </w:r>
            <w:r w:rsidR="00306CE0" w:rsidRPr="003608B9">
              <w:rPr>
                <w:rFonts w:ascii="Calibri" w:hAnsi="Calibri" w:cs="Helvetica"/>
                <w:color w:val="000000"/>
              </w:rPr>
              <w:t>ldren born to foreign nationals</w:t>
            </w:r>
            <w:r w:rsidRPr="003608B9">
              <w:rPr>
                <w:rFonts w:ascii="Calibri" w:hAnsi="Calibri" w:cs="Helvetica"/>
                <w:color w:val="000000"/>
              </w:rPr>
              <w:t xml:space="preserve"> (for example children born to female refugees who arrived in Tanzania in 1972 and a</w:t>
            </w:r>
            <w:r w:rsidR="00306CE0" w:rsidRPr="003608B9">
              <w:rPr>
                <w:rFonts w:ascii="Calibri" w:hAnsi="Calibri" w:cs="Helvetica"/>
                <w:color w:val="000000"/>
              </w:rPr>
              <w:t>re waiting for naturalization)?</w:t>
            </w:r>
          </w:p>
          <w:p w:rsidR="00170F35" w:rsidRPr="003608B9" w:rsidRDefault="00170F35" w:rsidP="00170F35">
            <w:pPr>
              <w:rPr>
                <w:rFonts w:ascii="Calibri" w:hAnsi="Calibri"/>
              </w:rPr>
            </w:pPr>
          </w:p>
        </w:tc>
        <w:tc>
          <w:tcPr>
            <w:tcW w:w="10240" w:type="dxa"/>
          </w:tcPr>
          <w:p w:rsidR="001B06F1" w:rsidRPr="003608B9" w:rsidRDefault="001B06F1" w:rsidP="001B06F1">
            <w:pPr>
              <w:rPr>
                <w:rFonts w:ascii="Calibri" w:hAnsi="Calibri"/>
              </w:rPr>
            </w:pPr>
            <w:r w:rsidRPr="003608B9">
              <w:rPr>
                <w:rFonts w:ascii="Calibri" w:hAnsi="Calibri"/>
              </w:rPr>
              <w:t xml:space="preserve">For refugees and asylum-seekers in the camps, parents of a new-born baby are given a birth notification listing the parents’ names. The Government is currently exploring options for beginning to issue Birth Certificates to refugees later this year or next year (support is being provided by UNHCR). For refugees born in Dar </w:t>
            </w:r>
            <w:proofErr w:type="spellStart"/>
            <w:r w:rsidRPr="003608B9">
              <w:rPr>
                <w:rFonts w:ascii="Calibri" w:hAnsi="Calibri"/>
              </w:rPr>
              <w:t>es</w:t>
            </w:r>
            <w:proofErr w:type="spellEnd"/>
            <w:r w:rsidRPr="003608B9">
              <w:rPr>
                <w:rFonts w:ascii="Calibri" w:hAnsi="Calibri"/>
              </w:rPr>
              <w:t xml:space="preserve"> Salaam (or other regions where the government has started issuing Birth Certificates to Tanzanians free of charge), refugee parents receive birth certificates for their children just as Tanzanian parents would. </w:t>
            </w:r>
          </w:p>
          <w:p w:rsidR="00170F35" w:rsidRPr="003608B9" w:rsidRDefault="00170F35" w:rsidP="00170F35">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shd w:val="clear" w:color="auto" w:fill="FFFFFF"/>
              <w:rPr>
                <w:rFonts w:ascii="Calibri" w:hAnsi="Calibri" w:cs="Helvetica"/>
                <w:color w:val="000000"/>
              </w:rPr>
            </w:pPr>
            <w:r w:rsidRPr="003608B9">
              <w:rPr>
                <w:rFonts w:ascii="Calibri" w:hAnsi="Calibri" w:cs="Helvetica"/>
                <w:color w:val="000000"/>
              </w:rPr>
              <w:t>What are the criteria for naturalization?</w:t>
            </w:r>
          </w:p>
        </w:tc>
        <w:tc>
          <w:tcPr>
            <w:tcW w:w="10240" w:type="dxa"/>
          </w:tcPr>
          <w:p w:rsidR="00971ECA" w:rsidRPr="003608B9" w:rsidRDefault="00971ECA" w:rsidP="00971ECA">
            <w:pPr>
              <w:rPr>
                <w:rFonts w:ascii="Calibri" w:hAnsi="Calibri" w:cs="Arial"/>
                <w:color w:val="222222"/>
              </w:rPr>
            </w:pPr>
            <w:r w:rsidRPr="003608B9">
              <w:rPr>
                <w:rFonts w:ascii="Calibri" w:hAnsi="Calibri" w:cs="Arial"/>
                <w:color w:val="222222"/>
              </w:rPr>
              <w:t>The 1972 Burundians have a special procedure, but in general, refugees can apply for naturalization using the same criteria as any other foreigner. These are outlined in the Tanzania Citizenship Act, No. 6 of 1995 and its Regulations of 1997, and listed here:</w:t>
            </w:r>
            <w:r w:rsidRPr="003608B9">
              <w:rPr>
                <w:rFonts w:ascii="Calibri" w:hAnsi="Calibri"/>
                <w:color w:val="1F497D"/>
              </w:rPr>
              <w:t xml:space="preserve"> </w:t>
            </w:r>
            <w:hyperlink r:id="rId7" w:history="1">
              <w:r w:rsidRPr="003608B9">
                <w:rPr>
                  <w:rStyle w:val="Hyperlink"/>
                  <w:rFonts w:ascii="Calibri" w:hAnsi="Calibri"/>
                </w:rPr>
                <w:t>http://immigration.go.tz/module1.php?id=16</w:t>
              </w:r>
            </w:hyperlink>
            <w:r w:rsidRPr="003608B9">
              <w:rPr>
                <w:rFonts w:ascii="Calibri" w:hAnsi="Calibri"/>
                <w:color w:val="1F497D"/>
              </w:rPr>
              <w:t xml:space="preserve"> . T</w:t>
            </w:r>
            <w:r w:rsidRPr="003608B9">
              <w:rPr>
                <w:rFonts w:ascii="Calibri" w:hAnsi="Calibri" w:cs="Arial"/>
                <w:color w:val="222222"/>
              </w:rPr>
              <w:t xml:space="preserve">hey are required to pay all the same fees that any other foreigner would. </w:t>
            </w:r>
          </w:p>
          <w:p w:rsidR="004640F7" w:rsidRPr="003608B9" w:rsidRDefault="004640F7" w:rsidP="00170F35">
            <w:pPr>
              <w:rPr>
                <w:rFonts w:ascii="Calibri" w:hAnsi="Calibri" w:cs="Arial"/>
                <w:color w:val="222222"/>
              </w:rPr>
            </w:pPr>
          </w:p>
        </w:tc>
      </w:tr>
      <w:tr w:rsidR="00170F35" w:rsidRPr="003608B9" w:rsidTr="000C06EC">
        <w:tc>
          <w:tcPr>
            <w:tcW w:w="1256" w:type="dxa"/>
            <w:vMerge w:val="restart"/>
          </w:tcPr>
          <w:p w:rsidR="00170F35" w:rsidRPr="003608B9" w:rsidRDefault="00170F35" w:rsidP="00170F35">
            <w:pPr>
              <w:rPr>
                <w:rFonts w:ascii="Calibri" w:hAnsi="Calibri" w:cs="Arial"/>
                <w:color w:val="222222"/>
              </w:rPr>
            </w:pPr>
            <w:r w:rsidRPr="003608B9">
              <w:rPr>
                <w:rFonts w:ascii="Calibri" w:hAnsi="Calibri" w:cs="Arial"/>
                <w:color w:val="222222"/>
              </w:rPr>
              <w:t>ARTICLE 10</w:t>
            </w:r>
          </w:p>
        </w:tc>
        <w:tc>
          <w:tcPr>
            <w:tcW w:w="3241" w:type="dxa"/>
          </w:tcPr>
          <w:p w:rsidR="00170F35" w:rsidRPr="003608B9" w:rsidRDefault="00170F35" w:rsidP="00170F35">
            <w:pPr>
              <w:pStyle w:val="ListParagraph"/>
              <w:spacing w:after="0" w:line="276" w:lineRule="auto"/>
              <w:ind w:left="0"/>
            </w:pPr>
            <w:r w:rsidRPr="003608B9">
              <w:t>Given that access to secondary education is based on success in the Primary School Leaving Examination, is success in this examination based on merit or does the MOE have a cutoff pass rate based on the number of places available at the secondary level?</w:t>
            </w:r>
          </w:p>
        </w:tc>
        <w:tc>
          <w:tcPr>
            <w:tcW w:w="10240" w:type="dxa"/>
          </w:tcPr>
          <w:p w:rsidR="00170F35" w:rsidRPr="003608B9" w:rsidRDefault="002B3D19" w:rsidP="00170F35">
            <w:pPr>
              <w:rPr>
                <w:rFonts w:ascii="Calibri" w:hAnsi="Calibri" w:cs="Arial"/>
                <w:color w:val="222222"/>
              </w:rPr>
            </w:pPr>
            <w:r w:rsidRPr="003608B9">
              <w:rPr>
                <w:rFonts w:ascii="Calibri" w:hAnsi="Calibri" w:cs="Arial"/>
                <w:color w:val="222222"/>
              </w:rPr>
              <w:t>Initially the Ministry maintained a pass mark ratios that were used as cut off pass rate based on available infrastructures in secondary schools. However with the Big Results now initiatives (BRN), the Government has increased the infrastructures and budget based on education at all levels and ensured to have at least a secondary school in each ward.  This enabled the Government to move from cut off points to pass rank which based on merit (source; FYDP review 2015).</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rPr>
            </w:pPr>
            <w:r w:rsidRPr="003608B9">
              <w:rPr>
                <w:rFonts w:ascii="Calibri" w:eastAsia="Calibri" w:hAnsi="Calibri" w:cs="Times New Roman"/>
              </w:rPr>
              <w:t>What options (education and training opportunities) exist for the 60% of girls, especially those in rural areas and other disadvantaged groups (such as those with disabilities) who have no access to secondary level education?</w:t>
            </w:r>
          </w:p>
        </w:tc>
        <w:tc>
          <w:tcPr>
            <w:tcW w:w="10240" w:type="dxa"/>
          </w:tcPr>
          <w:p w:rsidR="002B3D19" w:rsidRPr="003608B9" w:rsidRDefault="002B3D19" w:rsidP="002B3D19">
            <w:pPr>
              <w:rPr>
                <w:rFonts w:ascii="Calibri" w:hAnsi="Calibri" w:cs="Arial"/>
                <w:color w:val="000000"/>
              </w:rPr>
            </w:pPr>
            <w:r w:rsidRPr="003608B9">
              <w:rPr>
                <w:rFonts w:ascii="Calibri" w:hAnsi="Calibri" w:cs="Arial"/>
              </w:rPr>
              <w:t xml:space="preserve">The government  through the BRN initiatives is running educational services for learners with special needs through special schools, integrated units and inclusive schools for the following categories of learners with disabilities: </w:t>
            </w:r>
            <w:r w:rsidRPr="003608B9">
              <w:rPr>
                <w:rFonts w:ascii="Calibri" w:hAnsi="Calibri" w:cs="Arial"/>
                <w:color w:val="000000"/>
              </w:rPr>
              <w:t>The blind and Visually Impaired; The Deaf and Hearing Impaired; The Intellectually Impaired/Mentally Handicapped; The Physically Handicapped; The Deaf blind; Autistics children/children with autism;  and Albinos.</w:t>
            </w:r>
          </w:p>
          <w:p w:rsidR="002B3D19" w:rsidRPr="003608B9" w:rsidRDefault="002B3D19" w:rsidP="002B3D19">
            <w:pPr>
              <w:rPr>
                <w:rFonts w:ascii="Calibri" w:hAnsi="Calibri" w:cs="Arial"/>
                <w:color w:val="000000"/>
              </w:rPr>
            </w:pPr>
          </w:p>
          <w:p w:rsidR="002B3D19" w:rsidRPr="003608B9" w:rsidRDefault="002B3D19" w:rsidP="002B3D19">
            <w:pPr>
              <w:jc w:val="both"/>
              <w:rPr>
                <w:rFonts w:ascii="Calibri" w:hAnsi="Calibri" w:cs="Arial"/>
              </w:rPr>
            </w:pPr>
            <w:r w:rsidRPr="003608B9">
              <w:rPr>
                <w:rFonts w:ascii="Calibri" w:hAnsi="Calibri" w:cs="Arial"/>
              </w:rPr>
              <w:t xml:space="preserve">There are several interventions for ensuring that children with disability attend school. The National Strategy on Inclusive Education- NSIE (2009-2017) is one of such interventions. Inclusive Education initiatives for learners with disabilities have been initiated in several districts. The proportion of children with disability attending primary school marginally increased from 0.32percent in 2009/2010 to 0.35 percent in 2010/11. It then declined to 3.4 in 2011/12 in maintained this level in 2013/14. </w:t>
            </w:r>
          </w:p>
          <w:p w:rsidR="002B3D19" w:rsidRPr="003608B9" w:rsidRDefault="002B3D19" w:rsidP="002B3D19">
            <w:pPr>
              <w:rPr>
                <w:rFonts w:ascii="Calibri" w:hAnsi="Calibri" w:cs="Arial"/>
                <w:color w:val="000000"/>
              </w:rPr>
            </w:pPr>
          </w:p>
          <w:p w:rsidR="002B3D19" w:rsidRPr="003608B9" w:rsidRDefault="002B3D19" w:rsidP="002B3D19">
            <w:pPr>
              <w:jc w:val="both"/>
              <w:rPr>
                <w:rFonts w:ascii="Calibri" w:hAnsi="Calibri" w:cs="Arial"/>
                <w:color w:val="222222"/>
              </w:rPr>
            </w:pPr>
            <w:r w:rsidRPr="003608B9">
              <w:rPr>
                <w:rFonts w:ascii="Calibri" w:hAnsi="Calibri" w:cs="Arial"/>
              </w:rPr>
              <w:t>Generally, the enrolment of children with disability is very low.  This is recognized as a challenge for equal access to education among various population groups.</w:t>
            </w:r>
            <w:r w:rsidRPr="003608B9">
              <w:rPr>
                <w:rFonts w:ascii="Calibri" w:hAnsi="Calibri" w:cs="Arial"/>
                <w:color w:val="222222"/>
              </w:rPr>
              <w:t xml:space="preserve"> </w:t>
            </w:r>
          </w:p>
          <w:p w:rsidR="002B3D19" w:rsidRPr="003608B9" w:rsidRDefault="002B3D19" w:rsidP="002B3D19">
            <w:pPr>
              <w:jc w:val="both"/>
              <w:rPr>
                <w:rFonts w:ascii="Calibri" w:hAnsi="Calibri" w:cs="Arial"/>
                <w:color w:val="222222"/>
              </w:rPr>
            </w:pPr>
          </w:p>
          <w:p w:rsidR="002B3D19" w:rsidRPr="003608B9" w:rsidRDefault="002B3D19" w:rsidP="002B3D19">
            <w:pPr>
              <w:jc w:val="both"/>
              <w:rPr>
                <w:rFonts w:ascii="Calibri" w:hAnsi="Calibri" w:cs="Arial"/>
              </w:rPr>
            </w:pPr>
            <w:r w:rsidRPr="003608B9">
              <w:rPr>
                <w:rFonts w:ascii="Calibri" w:hAnsi="Calibri" w:cs="Arial"/>
                <w:color w:val="222222"/>
              </w:rPr>
              <w:t>The Big Results now initiatives (BRN), the Government has increased the infrastructures and budget based on education at all levels and ensured to have at least a secondary school in each ward to cuter for the rural girls and boys</w:t>
            </w:r>
          </w:p>
          <w:p w:rsidR="002B3D19" w:rsidRPr="003608B9" w:rsidRDefault="002B3D19" w:rsidP="003A33B0">
            <w:pPr>
              <w:rPr>
                <w:rFonts w:ascii="Calibri" w:hAnsi="Calibri" w:cs="Arial"/>
                <w:color w:val="222222"/>
              </w:rPr>
            </w:pPr>
          </w:p>
          <w:p w:rsidR="000917E2" w:rsidRPr="003608B9" w:rsidRDefault="000917E2" w:rsidP="000917E2">
            <w:pPr>
              <w:autoSpaceDE w:val="0"/>
              <w:autoSpaceDN w:val="0"/>
              <w:rPr>
                <w:rFonts w:ascii="Calibri" w:hAnsi="Calibri"/>
              </w:rPr>
            </w:pPr>
            <w:r w:rsidRPr="003608B9">
              <w:rPr>
                <w:rFonts w:ascii="Calibri" w:hAnsi="Calibri"/>
              </w:rPr>
              <w:t>There are 55 established Folk Development Colleges (FDCs) operating under the Ministry of Education (though this was under a different Ministry until the last election). The target group is adults with low formal education.</w:t>
            </w:r>
          </w:p>
          <w:p w:rsidR="000917E2" w:rsidRPr="003608B9" w:rsidRDefault="000917E2" w:rsidP="000917E2">
            <w:pPr>
              <w:autoSpaceDE w:val="0"/>
              <w:autoSpaceDN w:val="0"/>
              <w:rPr>
                <w:rFonts w:ascii="Calibri" w:hAnsi="Calibri"/>
              </w:rPr>
            </w:pPr>
            <w:r w:rsidRPr="003608B9">
              <w:rPr>
                <w:rFonts w:ascii="Calibri" w:hAnsi="Calibri"/>
              </w:rPr>
              <w:t>Most of the participants are young adults in the age group of 17-25 years. The majority of the FDCs are operating in rural areas all over Tanzania and have, as their primary mission, to provide people with access to training in areas relevant to their local community. An important part of the program is the vocational training, such as masonry, tailoring, cookery/hotel management, agriculture, mechanics, and electronic installation, together with other subjects such as entrepreneurship, life skills, civic education, and communication skills. The FDCs conduct courses and provide training in order for the participants to develop skills, to acquire formal-sector employment, self-employment or to continue on with further studies after completing their courses. The colleges promote gender equality and are community-based institutions that are also made available to the local communities for their specific needs.</w:t>
            </w:r>
            <w:r w:rsidR="00D03EAE" w:rsidRPr="003608B9">
              <w:rPr>
                <w:rFonts w:ascii="Calibri" w:hAnsi="Calibri"/>
              </w:rPr>
              <w:t xml:space="preserve"> </w:t>
            </w:r>
            <w:r w:rsidRPr="003608B9">
              <w:rPr>
                <w:rFonts w:ascii="Calibri" w:hAnsi="Calibri"/>
              </w:rPr>
              <w:t>Approximately 42% of the intake is women amounting to around 2,000 students per year.</w:t>
            </w:r>
          </w:p>
          <w:p w:rsidR="00170F35" w:rsidRPr="003608B9" w:rsidRDefault="00170F35" w:rsidP="003A33B0">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rPr>
            </w:pPr>
            <w:r w:rsidRPr="003608B9">
              <w:rPr>
                <w:rFonts w:ascii="Calibri" w:hAnsi="Calibri"/>
              </w:rPr>
              <w:t xml:space="preserve">How can fluctuations in the secondary </w:t>
            </w:r>
            <w:r w:rsidRPr="003608B9">
              <w:rPr>
                <w:rFonts w:ascii="Calibri" w:eastAsia="Calibri" w:hAnsi="Calibri" w:cs="Times New Roman"/>
              </w:rPr>
              <w:t>school pass rate be mitigated?</w:t>
            </w:r>
          </w:p>
        </w:tc>
        <w:tc>
          <w:tcPr>
            <w:tcW w:w="10240" w:type="dxa"/>
          </w:tcPr>
          <w:p w:rsidR="00170F35" w:rsidRPr="003608B9" w:rsidRDefault="00B94755" w:rsidP="00170F35">
            <w:pPr>
              <w:rPr>
                <w:rFonts w:ascii="Calibri" w:hAnsi="Calibri" w:cs="Arial"/>
                <w:color w:val="222222"/>
              </w:rPr>
            </w:pPr>
            <w:r w:rsidRPr="003608B9">
              <w:rPr>
                <w:rFonts w:ascii="Calibri" w:hAnsi="Calibri" w:cs="Arial"/>
                <w:color w:val="222222"/>
              </w:rPr>
              <w:t>The Government has revived the traditional pass rates over the recently introduced GPA which proved ineffective in ranking the results.</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rPr>
            </w:pPr>
            <w:r w:rsidRPr="003608B9">
              <w:rPr>
                <w:rFonts w:ascii="Calibri" w:eastAsia="Calibri" w:hAnsi="Calibri" w:cs="Times New Roman"/>
              </w:rPr>
              <w:t>Are schools mandated to report sexual violence perpetrated by teachers and students, and do protocols and guidelines exist to ensure that the matter is not treated with impunity?</w:t>
            </w:r>
          </w:p>
        </w:tc>
        <w:tc>
          <w:tcPr>
            <w:tcW w:w="10240" w:type="dxa"/>
          </w:tcPr>
          <w:p w:rsidR="00B94755" w:rsidRPr="003608B9" w:rsidRDefault="00B94755" w:rsidP="00B94755">
            <w:pPr>
              <w:rPr>
                <w:rFonts w:ascii="Calibri" w:hAnsi="Calibri" w:cs="Arial"/>
                <w:color w:val="222222"/>
              </w:rPr>
            </w:pPr>
            <w:r w:rsidRPr="003608B9">
              <w:rPr>
                <w:rFonts w:ascii="Calibri" w:hAnsi="Calibri" w:cs="Arial"/>
                <w:color w:val="222222"/>
              </w:rPr>
              <w:t>The Government have in place the teacher Code of Conduct 1979, which is under review after the adoption of new Education Policy, 2014. The Code of Conduct addresses all issues of concerns on teachers’ behavioral performance and subject them to disciplinary action in case any professional misconduct.</w:t>
            </w:r>
          </w:p>
          <w:p w:rsidR="00B94755" w:rsidRPr="003608B9" w:rsidRDefault="00B94755" w:rsidP="00B94755">
            <w:pPr>
              <w:rPr>
                <w:rFonts w:ascii="Calibri" w:hAnsi="Calibri" w:cs="Arial"/>
                <w:color w:val="222222"/>
              </w:rPr>
            </w:pPr>
          </w:p>
          <w:p w:rsidR="00170F35" w:rsidRPr="003608B9" w:rsidRDefault="00B94755" w:rsidP="00B94755">
            <w:pPr>
              <w:rPr>
                <w:rFonts w:ascii="Calibri" w:hAnsi="Calibri" w:cs="Arial"/>
                <w:color w:val="222222"/>
              </w:rPr>
            </w:pPr>
            <w:r w:rsidRPr="003608B9">
              <w:rPr>
                <w:rFonts w:ascii="Calibri" w:hAnsi="Calibri" w:cs="Arial"/>
                <w:color w:val="222222"/>
              </w:rPr>
              <w:t>The Teachers Code of Conduct can be read together with Penal Code were the misconduct by teacher amount to Sexual violence.</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pStyle w:val="ListParagraph"/>
              <w:spacing w:after="0" w:line="276" w:lineRule="auto"/>
              <w:ind w:left="0"/>
            </w:pPr>
            <w:r w:rsidRPr="003608B9">
              <w:t xml:space="preserve">What is the projected timeline for the adoption of the </w:t>
            </w:r>
            <w:proofErr w:type="spellStart"/>
            <w:r w:rsidRPr="003608B9">
              <w:rPr>
                <w:i/>
              </w:rPr>
              <w:t>‘Re</w:t>
            </w:r>
            <w:proofErr w:type="spellEnd"/>
            <w:r w:rsidRPr="003608B9">
              <w:rPr>
                <w:i/>
              </w:rPr>
              <w:t xml:space="preserve">-Entry Guideline on How to Enable Pregnant School Girls to Continue With Their Studies’ </w:t>
            </w:r>
          </w:p>
          <w:p w:rsidR="00170F35" w:rsidRPr="003608B9" w:rsidRDefault="00170F35" w:rsidP="00170F35">
            <w:pPr>
              <w:pStyle w:val="ListParagraph"/>
              <w:spacing w:after="0" w:line="276" w:lineRule="auto"/>
              <w:ind w:left="0"/>
            </w:pPr>
            <w:r w:rsidRPr="003608B9">
              <w:t xml:space="preserve">Will their adoption result in a review of the Regulation governing mandatory pregnancy testing and the removal of this practice? </w:t>
            </w:r>
          </w:p>
          <w:p w:rsidR="00170F35" w:rsidRPr="003608B9" w:rsidRDefault="00170F35" w:rsidP="00170F35">
            <w:pPr>
              <w:rPr>
                <w:rFonts w:ascii="Calibri" w:hAnsi="Calibri"/>
              </w:rPr>
            </w:pPr>
            <w:r w:rsidRPr="003608B9">
              <w:rPr>
                <w:rFonts w:ascii="Calibri" w:eastAsia="Calibri" w:hAnsi="Calibri" w:cs="Times New Roman"/>
              </w:rPr>
              <w:t>Do plans exist to amend the 1978 Education Act to protect girls from being married before completing basic education and protecting them against sexual abuse practices? If yes, what is the time-line for this initiative?</w:t>
            </w:r>
          </w:p>
        </w:tc>
        <w:tc>
          <w:tcPr>
            <w:tcW w:w="10240" w:type="dxa"/>
          </w:tcPr>
          <w:p w:rsidR="00B94755" w:rsidRPr="003608B9" w:rsidRDefault="00B94755" w:rsidP="00B94755">
            <w:pPr>
              <w:rPr>
                <w:rFonts w:ascii="Calibri" w:hAnsi="Calibri" w:cs="Arial"/>
                <w:color w:val="222222"/>
              </w:rPr>
            </w:pPr>
            <w:r w:rsidRPr="003608B9">
              <w:rPr>
                <w:rFonts w:ascii="Calibri" w:hAnsi="Calibri" w:cs="Arial"/>
                <w:color w:val="222222"/>
              </w:rPr>
              <w:t>The Re Entry guideline is in its final stages pending approval by the relevant Minister. The Guideline gave options to a returning school girl to choose an alternative school if not comfortable to return to the same school.</w:t>
            </w:r>
          </w:p>
          <w:p w:rsidR="00B94755" w:rsidRPr="003608B9" w:rsidRDefault="00B94755" w:rsidP="00B94755">
            <w:pPr>
              <w:rPr>
                <w:rFonts w:ascii="Calibri" w:hAnsi="Calibri" w:cs="Arial"/>
                <w:color w:val="222222"/>
              </w:rPr>
            </w:pPr>
          </w:p>
          <w:p w:rsidR="00B94755" w:rsidRPr="003608B9" w:rsidRDefault="00B94755" w:rsidP="00B94755">
            <w:pPr>
              <w:rPr>
                <w:rFonts w:ascii="Calibri" w:hAnsi="Calibri" w:cs="Arial"/>
                <w:color w:val="222222"/>
              </w:rPr>
            </w:pPr>
            <w:r w:rsidRPr="003608B9">
              <w:rPr>
                <w:rFonts w:ascii="Calibri" w:hAnsi="Calibri" w:cs="Arial"/>
                <w:color w:val="222222"/>
              </w:rPr>
              <w:t xml:space="preserve">The school guidelines that permit mandatory Pregnancy testing have been removed after the Adoption of Education policy 2014 and instead the Government is reviewing Adolescent Health and Development Strategy 2001- 2006 that aimed at improving the overall quality of life for adolescent Health and Development strategy provides a framework to guide Government, NGOs and Private Sector partners in addressing adolescent health and development in Tanzania. </w:t>
            </w:r>
          </w:p>
          <w:p w:rsidR="00B94755" w:rsidRPr="003608B9" w:rsidRDefault="00B94755" w:rsidP="00B94755">
            <w:pPr>
              <w:rPr>
                <w:rFonts w:ascii="Calibri" w:hAnsi="Calibri" w:cs="Arial"/>
                <w:color w:val="222222"/>
              </w:rPr>
            </w:pPr>
          </w:p>
          <w:p w:rsidR="00B94755" w:rsidRPr="003608B9" w:rsidRDefault="00B94755" w:rsidP="00B94755">
            <w:pPr>
              <w:rPr>
                <w:rFonts w:ascii="Calibri" w:hAnsi="Calibri" w:cs="Arial"/>
                <w:color w:val="222222"/>
              </w:rPr>
            </w:pPr>
          </w:p>
          <w:p w:rsidR="00B94755" w:rsidRPr="003608B9" w:rsidRDefault="00B94755" w:rsidP="00B94755">
            <w:pPr>
              <w:rPr>
                <w:rFonts w:ascii="Calibri" w:hAnsi="Calibri" w:cs="Arial"/>
                <w:color w:val="222222"/>
              </w:rPr>
            </w:pPr>
            <w:r w:rsidRPr="003608B9">
              <w:rPr>
                <w:rFonts w:ascii="Calibri" w:hAnsi="Calibri" w:cs="Arial"/>
                <w:color w:val="222222"/>
              </w:rPr>
              <w:t>The Education Act is subject to review although there is no timeline set for that.</w:t>
            </w:r>
          </w:p>
          <w:p w:rsidR="00170F35" w:rsidRPr="003608B9" w:rsidRDefault="00170F35" w:rsidP="00170F35">
            <w:pPr>
              <w:rPr>
                <w:rFonts w:ascii="Calibri" w:hAnsi="Calibri" w:cs="Arial"/>
                <w:color w:val="222222"/>
              </w:rPr>
            </w:pPr>
          </w:p>
          <w:p w:rsidR="00D03EAE" w:rsidRPr="003608B9" w:rsidRDefault="00D03EAE" w:rsidP="00170F35">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rPr>
            </w:pPr>
            <w:r w:rsidRPr="003608B9">
              <w:rPr>
                <w:rFonts w:ascii="Calibri" w:eastAsia="Calibri" w:hAnsi="Calibri" w:cs="Times New Roman"/>
              </w:rPr>
              <w:t xml:space="preserve">The government indicated an emphasis on the provision of comprehensive sexuality and reproductive health education at the primary level through Civics, Biology and Science. The Committee would prefer if this </w:t>
            </w:r>
            <w:r w:rsidRPr="003608B9">
              <w:rPr>
                <w:rFonts w:ascii="Calibri" w:eastAsia="Calibri" w:hAnsi="Calibri" w:cs="Times New Roman"/>
              </w:rPr>
              <w:lastRenderedPageBreak/>
              <w:t xml:space="preserve">subject were treated as an intact subject and taught by teachers trained for its delivery. Is this possible and how will this </w:t>
            </w:r>
            <w:proofErr w:type="spellStart"/>
            <w:r w:rsidRPr="003608B9">
              <w:rPr>
                <w:rFonts w:ascii="Calibri" w:eastAsia="Calibri" w:hAnsi="Calibri" w:cs="Times New Roman"/>
              </w:rPr>
              <w:t>programme</w:t>
            </w:r>
            <w:proofErr w:type="spellEnd"/>
            <w:r w:rsidRPr="003608B9">
              <w:rPr>
                <w:rFonts w:ascii="Calibri" w:eastAsia="Calibri" w:hAnsi="Calibri" w:cs="Times New Roman"/>
              </w:rPr>
              <w:t xml:space="preserve"> be included at the secondary level?</w:t>
            </w:r>
            <w:r w:rsidRPr="003608B9">
              <w:rPr>
                <w:rFonts w:ascii="Calibri" w:hAnsi="Calibri"/>
              </w:rPr>
              <w:t xml:space="preserve">                            </w:t>
            </w:r>
          </w:p>
        </w:tc>
        <w:tc>
          <w:tcPr>
            <w:tcW w:w="10240" w:type="dxa"/>
          </w:tcPr>
          <w:p w:rsidR="00170F35" w:rsidRPr="003608B9" w:rsidRDefault="00170F35" w:rsidP="00170F35">
            <w:pPr>
              <w:rPr>
                <w:rFonts w:ascii="Calibri" w:hAnsi="Calibri" w:cs="Arial"/>
                <w:color w:val="222222"/>
              </w:rPr>
            </w:pPr>
          </w:p>
        </w:tc>
      </w:tr>
      <w:tr w:rsidR="00170F35" w:rsidRPr="003608B9" w:rsidTr="000C06EC">
        <w:tc>
          <w:tcPr>
            <w:tcW w:w="1256" w:type="dxa"/>
            <w:vMerge w:val="restart"/>
          </w:tcPr>
          <w:p w:rsidR="00170F35" w:rsidRPr="003608B9" w:rsidRDefault="00170F35" w:rsidP="00170F35">
            <w:pPr>
              <w:rPr>
                <w:rFonts w:ascii="Calibri" w:hAnsi="Calibri" w:cs="Arial"/>
                <w:color w:val="222222"/>
              </w:rPr>
            </w:pPr>
            <w:r w:rsidRPr="003608B9">
              <w:rPr>
                <w:rFonts w:ascii="Calibri" w:hAnsi="Calibri"/>
              </w:rPr>
              <w:lastRenderedPageBreak/>
              <w:t xml:space="preserve">ARTICLE 11 </w:t>
            </w:r>
          </w:p>
        </w:tc>
        <w:tc>
          <w:tcPr>
            <w:tcW w:w="3241" w:type="dxa"/>
          </w:tcPr>
          <w:p w:rsidR="00170F35" w:rsidRPr="003608B9" w:rsidRDefault="00170F35" w:rsidP="00170F35">
            <w:pPr>
              <w:rPr>
                <w:rFonts w:ascii="Calibri" w:hAnsi="Calibri"/>
              </w:rPr>
            </w:pPr>
            <w:r w:rsidRPr="003608B9">
              <w:rPr>
                <w:rFonts w:ascii="Calibri" w:eastAsia="Calibri" w:hAnsi="Calibri" w:cs="Times New Roman"/>
              </w:rPr>
              <w:t xml:space="preserve">What progress has been made in generating economic policies that have a positive impact on the employment and income of women workers, in both the formal and informal </w:t>
            </w:r>
            <w:proofErr w:type="gramStart"/>
            <w:r w:rsidRPr="003608B9">
              <w:rPr>
                <w:rFonts w:ascii="Calibri" w:eastAsia="Calibri" w:hAnsi="Calibri" w:cs="Times New Roman"/>
              </w:rPr>
              <w:t>sectors.</w:t>
            </w:r>
            <w:proofErr w:type="gramEnd"/>
            <w:r w:rsidRPr="003608B9">
              <w:rPr>
                <w:rFonts w:ascii="Calibri" w:eastAsia="Calibri" w:hAnsi="Calibri" w:cs="Times New Roman"/>
              </w:rPr>
              <w:t xml:space="preserve"> Please include details of the specific measures adopted to address women's unemployment, in particular long-term unemployment?</w:t>
            </w:r>
          </w:p>
        </w:tc>
        <w:tc>
          <w:tcPr>
            <w:tcW w:w="10240" w:type="dxa"/>
          </w:tcPr>
          <w:p w:rsidR="006A0CAF" w:rsidRPr="003608B9" w:rsidRDefault="006A0CAF" w:rsidP="006A0CAF">
            <w:pPr>
              <w:rPr>
                <w:rFonts w:ascii="Calibri" w:hAnsi="Calibri"/>
                <w:color w:val="000000"/>
                <w:shd w:val="clear" w:color="auto" w:fill="FFFFFF"/>
              </w:rPr>
            </w:pPr>
            <w:r w:rsidRPr="003608B9">
              <w:rPr>
                <w:rFonts w:ascii="Calibri" w:hAnsi="Calibri"/>
                <w:color w:val="000000"/>
                <w:shd w:val="clear" w:color="auto" w:fill="FFFFFF"/>
              </w:rPr>
              <w:t>Following training in gender mainstreaming in December of secretariat and board members at the National Economic Empowerment Council (NEEC), staff recognized the importance of incorporating gender considerations into key national policies. As a result, the engendering of the National Economic Empowerment Policy of 2004 will start in March 2016. At the Ministry of Industry, Trade and Investment, the National Trade Policy has been reviewed with a gender analysis undertaken on the original policy and all the background papers for revision of the policy. Specific recommendations have been disseminated to the drafting team on how to better incorporate gender within the revised policy. Additionally, the SME Policy (2003) will be reviewed in 2016. A key part of that review will include a comprehensive gender analysis with recommendations for subsequent revision of the policy. The current policy recognizes women as being disadvantaged.</w:t>
            </w:r>
          </w:p>
          <w:p w:rsidR="006A0CAF" w:rsidRPr="003608B9" w:rsidRDefault="006A0CAF" w:rsidP="006A0CAF">
            <w:pPr>
              <w:rPr>
                <w:rFonts w:ascii="Calibri" w:hAnsi="Calibri"/>
                <w:color w:val="000000"/>
                <w:shd w:val="clear" w:color="auto" w:fill="FFFFFF"/>
              </w:rPr>
            </w:pPr>
            <w:r w:rsidRPr="003608B9">
              <w:rPr>
                <w:rFonts w:ascii="Calibri" w:hAnsi="Calibri"/>
                <w:color w:val="000000"/>
                <w:shd w:val="clear" w:color="auto" w:fill="FFFFFF"/>
              </w:rPr>
              <w:t>With the extractives industry (EI) constituting a major part of the economy and providing opportunities for women’s employment, the Mineral Policy</w:t>
            </w:r>
            <w:r w:rsidRPr="003608B9">
              <w:rPr>
                <w:rFonts w:ascii="Calibri" w:hAnsi="Calibri"/>
                <w:b/>
                <w:bCs/>
                <w:color w:val="000000"/>
                <w:shd w:val="clear" w:color="auto" w:fill="FFFFFF"/>
              </w:rPr>
              <w:t xml:space="preserve"> </w:t>
            </w:r>
            <w:r w:rsidRPr="003608B9">
              <w:rPr>
                <w:rFonts w:ascii="Calibri" w:hAnsi="Calibri"/>
                <w:color w:val="000000"/>
                <w:shd w:val="clear" w:color="auto" w:fill="FFFFFF"/>
              </w:rPr>
              <w:t>(2009) encourages women’s participation and the Energy Policy</w:t>
            </w:r>
            <w:r w:rsidRPr="003608B9">
              <w:rPr>
                <w:rFonts w:ascii="Calibri" w:hAnsi="Calibri"/>
                <w:b/>
                <w:bCs/>
                <w:color w:val="000000"/>
                <w:shd w:val="clear" w:color="auto" w:fill="FFFFFF"/>
              </w:rPr>
              <w:t xml:space="preserve"> </w:t>
            </w:r>
            <w:r w:rsidRPr="003608B9">
              <w:rPr>
                <w:rFonts w:ascii="Calibri" w:hAnsi="Calibri"/>
                <w:color w:val="000000"/>
                <w:shd w:val="clear" w:color="auto" w:fill="FFFFFF"/>
              </w:rPr>
              <w:t>(2015) includes a section on gender mainstreaming. Furthermore, within the Guidelines for CSR and Empowerment in EI</w:t>
            </w:r>
            <w:proofErr w:type="gramStart"/>
            <w:r w:rsidRPr="003608B9">
              <w:rPr>
                <w:rFonts w:ascii="Calibri" w:hAnsi="Calibri"/>
                <w:color w:val="000000"/>
                <w:shd w:val="clear" w:color="auto" w:fill="FFFFFF"/>
              </w:rPr>
              <w:t>,  women’s</w:t>
            </w:r>
            <w:proofErr w:type="gramEnd"/>
            <w:r w:rsidRPr="003608B9">
              <w:rPr>
                <w:rFonts w:ascii="Calibri" w:hAnsi="Calibri"/>
                <w:color w:val="000000"/>
                <w:shd w:val="clear" w:color="auto" w:fill="FFFFFF"/>
              </w:rPr>
              <w:t xml:space="preserve"> groups are mentioned as a key target.</w:t>
            </w:r>
          </w:p>
          <w:p w:rsidR="00170F35" w:rsidRPr="003608B9" w:rsidRDefault="006A0CAF" w:rsidP="006A0CAF">
            <w:pPr>
              <w:rPr>
                <w:rFonts w:ascii="Calibri" w:hAnsi="Calibri" w:cs="Arial"/>
                <w:color w:val="222222"/>
              </w:rPr>
            </w:pPr>
            <w:r w:rsidRPr="003608B9">
              <w:rPr>
                <w:rFonts w:ascii="Calibri" w:hAnsi="Calibri"/>
                <w:color w:val="000000"/>
                <w:shd w:val="clear" w:color="auto" w:fill="FFFFFF"/>
              </w:rPr>
              <w:t xml:space="preserve">In terms of measures to address women’s unemployment, the Employment and </w:t>
            </w:r>
            <w:proofErr w:type="spellStart"/>
            <w:r w:rsidRPr="003608B9">
              <w:rPr>
                <w:rFonts w:ascii="Calibri" w:hAnsi="Calibri"/>
                <w:color w:val="000000"/>
                <w:shd w:val="clear" w:color="auto" w:fill="FFFFFF"/>
              </w:rPr>
              <w:t>Labour</w:t>
            </w:r>
            <w:proofErr w:type="spellEnd"/>
            <w:r w:rsidRPr="003608B9">
              <w:rPr>
                <w:rFonts w:ascii="Calibri" w:hAnsi="Calibri"/>
                <w:color w:val="000000"/>
                <w:shd w:val="clear" w:color="auto" w:fill="FFFFFF"/>
              </w:rPr>
              <w:t xml:space="preserve"> Relations Act (2004) prohibits discrimination based on sex and gender and demands representation of women in trade unions.</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rPr>
            </w:pPr>
            <w:r w:rsidRPr="003608B9">
              <w:rPr>
                <w:rFonts w:ascii="Calibri" w:eastAsia="Calibri" w:hAnsi="Calibri" w:cs="Times New Roman"/>
              </w:rPr>
              <w:t>To what extent is the Government rethinking its employment policies to integrate gender perspectives, in particular to widen opportunities for women as well as to address any negative gender implications of current work and employment patterns?</w:t>
            </w:r>
          </w:p>
        </w:tc>
        <w:tc>
          <w:tcPr>
            <w:tcW w:w="10240" w:type="dxa"/>
          </w:tcPr>
          <w:p w:rsidR="006A0CAF" w:rsidRPr="003608B9" w:rsidRDefault="006A0CAF" w:rsidP="006A0CAF">
            <w:pPr>
              <w:rPr>
                <w:rFonts w:ascii="Calibri" w:hAnsi="Calibri" w:cs="Georgia"/>
              </w:rPr>
            </w:pPr>
            <w:r w:rsidRPr="003608B9">
              <w:rPr>
                <w:rFonts w:ascii="Calibri" w:hAnsi="Calibri"/>
              </w:rPr>
              <w:t xml:space="preserve">With respect to the public and private sectors, the Government has taken a number of measures to ensure that there are equal opportunities for women and men in the </w:t>
            </w:r>
            <w:proofErr w:type="spellStart"/>
            <w:r w:rsidRPr="003608B9">
              <w:rPr>
                <w:rFonts w:ascii="Calibri" w:hAnsi="Calibri"/>
              </w:rPr>
              <w:t>labour</w:t>
            </w:r>
            <w:proofErr w:type="spellEnd"/>
            <w:r w:rsidRPr="003608B9">
              <w:rPr>
                <w:rFonts w:ascii="Calibri" w:hAnsi="Calibri"/>
              </w:rPr>
              <w:t xml:space="preserve"> market. </w:t>
            </w:r>
            <w:r w:rsidRPr="003608B9">
              <w:rPr>
                <w:rFonts w:ascii="Calibri" w:hAnsi="Calibri" w:cs="Georgia"/>
              </w:rPr>
              <w:t xml:space="preserve">The National Employment Policy (2008) stresses on the need to create more and better jobs, enhance gender equality, and improve access to employment opportunities by all. One of its policy statements commits the Government that ‘Affirmative action will be undertaken to facilitate easy access to productive employment opportunities among women in both wage and </w:t>
            </w:r>
            <w:proofErr w:type="spellStart"/>
            <w:r w:rsidRPr="003608B9">
              <w:rPr>
                <w:rFonts w:ascii="Calibri" w:hAnsi="Calibri" w:cs="Georgia"/>
              </w:rPr>
              <w:t>self employment</w:t>
            </w:r>
            <w:proofErr w:type="spellEnd"/>
            <w:r w:rsidRPr="003608B9">
              <w:rPr>
                <w:rFonts w:ascii="Calibri" w:hAnsi="Calibri" w:cs="Georgia"/>
              </w:rPr>
              <w:t xml:space="preserve"> in Public and Private Sectors’.</w:t>
            </w:r>
            <w:r w:rsidRPr="003608B9">
              <w:rPr>
                <w:rStyle w:val="FootnoteReference"/>
                <w:rFonts w:ascii="Calibri" w:hAnsi="Calibri" w:cs="Georgia"/>
              </w:rPr>
              <w:footnoteReference w:id="3"/>
            </w:r>
            <w:r w:rsidRPr="003608B9">
              <w:rPr>
                <w:rFonts w:ascii="Calibri" w:hAnsi="Calibri" w:cs="Georgia"/>
              </w:rPr>
              <w:t xml:space="preserve"> </w:t>
            </w:r>
          </w:p>
          <w:p w:rsidR="006A0CAF" w:rsidRPr="003608B9" w:rsidRDefault="006A0CAF" w:rsidP="006A0CAF">
            <w:pPr>
              <w:rPr>
                <w:rFonts w:ascii="Calibri" w:hAnsi="Calibri" w:cs="Times New Roman"/>
                <w:lang w:val="en-GB" w:eastAsia="en-GB"/>
              </w:rPr>
            </w:pPr>
            <w:r w:rsidRPr="003608B9">
              <w:rPr>
                <w:rFonts w:ascii="Calibri" w:hAnsi="Calibri" w:cs="Georgia"/>
              </w:rPr>
              <w:t>The government is just embarked on a revision of the National Employment Policy. The review will incorporate more strongly both youth and women’s perspectives.</w:t>
            </w:r>
            <w:r w:rsidRPr="003608B9">
              <w:rPr>
                <w:rFonts w:ascii="Calibri" w:hAnsi="Calibri" w:cs="Times New Roman"/>
                <w:lang w:val="en-GB" w:eastAsia="en-GB"/>
              </w:rPr>
              <w:t xml:space="preserve"> </w:t>
            </w:r>
          </w:p>
          <w:p w:rsidR="00170F35" w:rsidRPr="003608B9" w:rsidRDefault="00170F35" w:rsidP="00170F35">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rPr>
            </w:pPr>
            <w:r w:rsidRPr="003608B9">
              <w:rPr>
                <w:rFonts w:ascii="Calibri" w:eastAsia="Calibri" w:hAnsi="Calibri" w:cs="Times New Roman"/>
              </w:rPr>
              <w:t xml:space="preserve">What concrete measures are being taken to implement </w:t>
            </w:r>
            <w:r w:rsidRPr="003608B9">
              <w:rPr>
                <w:rFonts w:ascii="Calibri" w:eastAsia="Calibri" w:hAnsi="Calibri" w:cs="Times New Roman"/>
              </w:rPr>
              <w:lastRenderedPageBreak/>
              <w:t>legislation in order to eliminate discriminatory practices by employers, in hiring, retention, promotion, and vocational training of women in all sectors?</w:t>
            </w:r>
          </w:p>
        </w:tc>
        <w:tc>
          <w:tcPr>
            <w:tcW w:w="10240" w:type="dxa"/>
          </w:tcPr>
          <w:p w:rsidR="006A0CAF" w:rsidRPr="003608B9" w:rsidRDefault="006A0CAF" w:rsidP="006A0CAF">
            <w:pPr>
              <w:autoSpaceDE w:val="0"/>
              <w:autoSpaceDN w:val="0"/>
              <w:adjustRightInd w:val="0"/>
              <w:jc w:val="both"/>
              <w:rPr>
                <w:rFonts w:ascii="Calibri" w:hAnsi="Calibri"/>
              </w:rPr>
            </w:pPr>
            <w:r w:rsidRPr="003608B9">
              <w:rPr>
                <w:rFonts w:ascii="Calibri" w:hAnsi="Calibri"/>
              </w:rPr>
              <w:lastRenderedPageBreak/>
              <w:t xml:space="preserve">The Employment and </w:t>
            </w:r>
            <w:proofErr w:type="spellStart"/>
            <w:r w:rsidRPr="003608B9">
              <w:rPr>
                <w:rFonts w:ascii="Calibri" w:hAnsi="Calibri"/>
              </w:rPr>
              <w:t>Labour</w:t>
            </w:r>
            <w:proofErr w:type="spellEnd"/>
            <w:r w:rsidRPr="003608B9">
              <w:rPr>
                <w:rFonts w:ascii="Calibri" w:hAnsi="Calibri"/>
              </w:rPr>
              <w:t xml:space="preserve"> Relations Act (2004) emphasizes equality between men and women in employment. Section 7(1) of the Act prohibits discrimination of any kind and Section 7 (4) mentions sex, gender, marital status, </w:t>
            </w:r>
            <w:r w:rsidRPr="003608B9">
              <w:rPr>
                <w:rFonts w:ascii="Calibri" w:hAnsi="Calibri"/>
              </w:rPr>
              <w:lastRenderedPageBreak/>
              <w:t>age and disability among several factors prohibited to be used as basis for discrimination.</w:t>
            </w:r>
            <w:r w:rsidRPr="003608B9">
              <w:rPr>
                <w:rStyle w:val="FootnoteReference"/>
                <w:rFonts w:ascii="Calibri" w:hAnsi="Calibri"/>
              </w:rPr>
              <w:footnoteReference w:id="4"/>
            </w:r>
            <w:r w:rsidRPr="003608B9">
              <w:rPr>
                <w:rFonts w:ascii="Calibri" w:hAnsi="Calibri"/>
              </w:rPr>
              <w:t xml:space="preserve"> The Act has made it mandatory for employers to have an Employment Policy which specifically states how the workplace will provide for equality in employment in the </w:t>
            </w:r>
            <w:proofErr w:type="spellStart"/>
            <w:r w:rsidRPr="003608B9">
              <w:rPr>
                <w:rFonts w:ascii="Calibri" w:hAnsi="Calibri"/>
              </w:rPr>
              <w:t>labour</w:t>
            </w:r>
            <w:proofErr w:type="spellEnd"/>
            <w:r w:rsidRPr="003608B9">
              <w:rPr>
                <w:rFonts w:ascii="Calibri" w:hAnsi="Calibri"/>
              </w:rPr>
              <w:t xml:space="preserve"> market. In order to implement this, the Commission on Mitigation and Arbitration (CMA) has been established.</w:t>
            </w:r>
          </w:p>
          <w:p w:rsidR="006A0CAF" w:rsidRPr="003608B9" w:rsidRDefault="006A0CAF" w:rsidP="006A0CAF">
            <w:pPr>
              <w:autoSpaceDE w:val="0"/>
              <w:autoSpaceDN w:val="0"/>
              <w:adjustRightInd w:val="0"/>
              <w:jc w:val="both"/>
              <w:rPr>
                <w:rFonts w:ascii="Calibri" w:hAnsi="Calibri"/>
              </w:rPr>
            </w:pPr>
          </w:p>
          <w:p w:rsidR="006A0CAF" w:rsidRPr="003608B9" w:rsidRDefault="006A0CAF" w:rsidP="006A0CAF">
            <w:pPr>
              <w:autoSpaceDE w:val="0"/>
              <w:autoSpaceDN w:val="0"/>
              <w:adjustRightInd w:val="0"/>
              <w:jc w:val="both"/>
              <w:rPr>
                <w:rFonts w:ascii="Calibri" w:hAnsi="Calibri"/>
              </w:rPr>
            </w:pPr>
            <w:r w:rsidRPr="003608B9">
              <w:rPr>
                <w:rFonts w:ascii="Calibri" w:hAnsi="Calibri"/>
              </w:rPr>
              <w:t>Since its formation in 2007</w:t>
            </w:r>
            <w:r w:rsidR="00EC1D53" w:rsidRPr="003608B9">
              <w:rPr>
                <w:rFonts w:ascii="Calibri" w:hAnsi="Calibri"/>
              </w:rPr>
              <w:t xml:space="preserve"> to 2012</w:t>
            </w:r>
            <w:r w:rsidRPr="003608B9">
              <w:rPr>
                <w:rFonts w:ascii="Calibri" w:hAnsi="Calibri"/>
              </w:rPr>
              <w:t xml:space="preserve">, the Commission for Mediation and Arbitration (CMA) has managed to register a total of 43,003 disputes, of which 31,125 (72.3%) were resolved. </w:t>
            </w:r>
          </w:p>
          <w:tbl>
            <w:tblPr>
              <w:tblStyle w:val="TableGrid"/>
              <w:tblW w:w="0" w:type="auto"/>
              <w:tblLook w:val="04A0" w:firstRow="1" w:lastRow="0" w:firstColumn="1" w:lastColumn="0" w:noHBand="0" w:noVBand="1"/>
            </w:tblPr>
            <w:tblGrid>
              <w:gridCol w:w="5007"/>
              <w:gridCol w:w="5007"/>
            </w:tblGrid>
            <w:tr w:rsidR="006A0CAF" w:rsidRPr="003608B9" w:rsidTr="006A0CAF">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 xml:space="preserve">Sector </w:t>
                  </w:r>
                </w:p>
              </w:tc>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Percentage  of Conflicts Registered at CMA</w:t>
                  </w:r>
                </w:p>
              </w:tc>
            </w:tr>
            <w:tr w:rsidR="006A0CAF" w:rsidRPr="003608B9" w:rsidTr="006A0CAF">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 xml:space="preserve">Private Security </w:t>
                  </w:r>
                </w:p>
              </w:tc>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20.9%</w:t>
                  </w:r>
                </w:p>
              </w:tc>
            </w:tr>
            <w:tr w:rsidR="006A0CAF" w:rsidRPr="003608B9" w:rsidTr="006A0CAF">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 xml:space="preserve">Industrial Sector </w:t>
                  </w:r>
                </w:p>
              </w:tc>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13.2%</w:t>
                  </w:r>
                </w:p>
              </w:tc>
            </w:tr>
            <w:tr w:rsidR="006A0CAF" w:rsidRPr="003608B9" w:rsidTr="006A0CAF">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 xml:space="preserve">Education </w:t>
                  </w:r>
                </w:p>
              </w:tc>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6.0%</w:t>
                  </w:r>
                </w:p>
              </w:tc>
            </w:tr>
            <w:tr w:rsidR="006A0CAF" w:rsidRPr="003608B9" w:rsidTr="006A0CAF">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Finance</w:t>
                  </w:r>
                </w:p>
              </w:tc>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4.0%</w:t>
                  </w:r>
                </w:p>
              </w:tc>
            </w:tr>
            <w:tr w:rsidR="006A0CAF" w:rsidRPr="003608B9" w:rsidTr="006A0CAF">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 xml:space="preserve">Mining </w:t>
                  </w:r>
                </w:p>
              </w:tc>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4.0%</w:t>
                  </w:r>
                </w:p>
              </w:tc>
            </w:tr>
            <w:tr w:rsidR="006A0CAF" w:rsidRPr="003608B9" w:rsidTr="006A0CAF">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Health</w:t>
                  </w:r>
                </w:p>
              </w:tc>
              <w:tc>
                <w:tcPr>
                  <w:tcW w:w="5007" w:type="dxa"/>
                  <w:tcBorders>
                    <w:top w:val="single" w:sz="4" w:space="0" w:color="auto"/>
                    <w:left w:val="single" w:sz="4" w:space="0" w:color="auto"/>
                    <w:bottom w:val="single" w:sz="4" w:space="0" w:color="auto"/>
                    <w:right w:val="single" w:sz="4" w:space="0" w:color="auto"/>
                  </w:tcBorders>
                  <w:hideMark/>
                </w:tcPr>
                <w:p w:rsidR="006A0CAF" w:rsidRPr="003608B9" w:rsidRDefault="006A0CAF" w:rsidP="006A0CAF">
                  <w:pPr>
                    <w:autoSpaceDE w:val="0"/>
                    <w:autoSpaceDN w:val="0"/>
                    <w:adjustRightInd w:val="0"/>
                    <w:jc w:val="both"/>
                    <w:rPr>
                      <w:rFonts w:ascii="Calibri" w:hAnsi="Calibri"/>
                    </w:rPr>
                  </w:pPr>
                  <w:r w:rsidRPr="003608B9">
                    <w:rPr>
                      <w:rFonts w:ascii="Calibri" w:hAnsi="Calibri"/>
                    </w:rPr>
                    <w:t xml:space="preserve">2.5% </w:t>
                  </w:r>
                </w:p>
              </w:tc>
            </w:tr>
          </w:tbl>
          <w:p w:rsidR="006A0CAF" w:rsidRPr="003608B9" w:rsidRDefault="006A0CAF" w:rsidP="006A0CAF">
            <w:pPr>
              <w:autoSpaceDE w:val="0"/>
              <w:autoSpaceDN w:val="0"/>
              <w:adjustRightInd w:val="0"/>
              <w:jc w:val="both"/>
              <w:rPr>
                <w:rFonts w:ascii="Calibri" w:hAnsi="Calibri"/>
              </w:rPr>
            </w:pPr>
          </w:p>
          <w:p w:rsidR="006A0CAF" w:rsidRPr="003608B9" w:rsidRDefault="006A0CAF" w:rsidP="006A0CAF">
            <w:pPr>
              <w:autoSpaceDE w:val="0"/>
              <w:autoSpaceDN w:val="0"/>
              <w:adjustRightInd w:val="0"/>
              <w:jc w:val="both"/>
              <w:rPr>
                <w:rFonts w:ascii="Calibri" w:hAnsi="Calibri"/>
              </w:rPr>
            </w:pPr>
          </w:p>
          <w:p w:rsidR="006A0CAF" w:rsidRPr="003608B9" w:rsidRDefault="006A0CAF" w:rsidP="006A0CAF">
            <w:pPr>
              <w:rPr>
                <w:rFonts w:ascii="Calibri" w:hAnsi="Calibri"/>
              </w:rPr>
            </w:pPr>
            <w:r w:rsidRPr="003608B9">
              <w:rPr>
                <w:rFonts w:ascii="Calibri" w:hAnsi="Calibri"/>
              </w:rPr>
              <w:t xml:space="preserve">The </w:t>
            </w:r>
            <w:proofErr w:type="spellStart"/>
            <w:r w:rsidRPr="003608B9">
              <w:rPr>
                <w:rFonts w:ascii="Calibri" w:hAnsi="Calibri"/>
              </w:rPr>
              <w:t>Labour</w:t>
            </w:r>
            <w:proofErr w:type="spellEnd"/>
            <w:r w:rsidRPr="003608B9">
              <w:rPr>
                <w:rFonts w:ascii="Calibri" w:hAnsi="Calibri"/>
              </w:rPr>
              <w:t xml:space="preserve"> Institutions Act (2004) also provides for the formation of a </w:t>
            </w:r>
            <w:proofErr w:type="spellStart"/>
            <w:r w:rsidRPr="003608B9">
              <w:rPr>
                <w:rFonts w:ascii="Calibri" w:hAnsi="Calibri"/>
              </w:rPr>
              <w:t>Labour</w:t>
            </w:r>
            <w:proofErr w:type="spellEnd"/>
            <w:r w:rsidRPr="003608B9">
              <w:rPr>
                <w:rFonts w:ascii="Calibri" w:hAnsi="Calibri"/>
              </w:rPr>
              <w:t xml:space="preserve">, Economic and Social Council some of whose mandates are to advice the Government on the national </w:t>
            </w:r>
            <w:proofErr w:type="spellStart"/>
            <w:r w:rsidRPr="003608B9">
              <w:rPr>
                <w:rFonts w:ascii="Calibri" w:hAnsi="Calibri"/>
              </w:rPr>
              <w:t>labour</w:t>
            </w:r>
            <w:proofErr w:type="spellEnd"/>
            <w:r w:rsidRPr="003608B9">
              <w:rPr>
                <w:rFonts w:ascii="Calibri" w:hAnsi="Calibri"/>
              </w:rPr>
              <w:t xml:space="preserve"> market and prevention and reduction of unemployment. This Act establishes collective bargaining processes for the Public and Private Sector.</w:t>
            </w:r>
          </w:p>
          <w:p w:rsidR="00170F35" w:rsidRPr="003608B9" w:rsidRDefault="00170F35" w:rsidP="00170F35">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892FAA" w:rsidP="00892FAA">
            <w:pPr>
              <w:rPr>
                <w:rFonts w:ascii="Calibri" w:hAnsi="Calibri"/>
              </w:rPr>
            </w:pPr>
            <w:r w:rsidRPr="003608B9">
              <w:rPr>
                <w:rFonts w:ascii="Calibri" w:eastAsia="Calibri" w:hAnsi="Calibri" w:cs="Times New Roman"/>
              </w:rPr>
              <w:t>What concrete measures are being taken to eliminate occupational segregation, especially by promoting the equal participation of women in highly skilled jobs and senior management positions (for example a</w:t>
            </w:r>
            <w:r w:rsidR="00170F35" w:rsidRPr="003608B9">
              <w:rPr>
                <w:rFonts w:ascii="Calibri" w:eastAsia="Calibri" w:hAnsi="Calibri" w:cs="Times New Roman"/>
              </w:rPr>
              <w:t xml:space="preserve">re temporary special measures (TSM) being considered to boost the representation of women in </w:t>
            </w:r>
            <w:r w:rsidR="00170F35" w:rsidRPr="003608B9">
              <w:rPr>
                <w:rFonts w:ascii="Calibri" w:eastAsia="Calibri" w:hAnsi="Calibri" w:cs="Times New Roman"/>
              </w:rPr>
              <w:lastRenderedPageBreak/>
              <w:t>senior and middle management occupations</w:t>
            </w:r>
            <w:r w:rsidRPr="003608B9">
              <w:rPr>
                <w:rFonts w:ascii="Calibri" w:eastAsia="Calibri" w:hAnsi="Calibri" w:cs="Times New Roman"/>
              </w:rPr>
              <w:t>)</w:t>
            </w:r>
            <w:r w:rsidR="00170F35" w:rsidRPr="003608B9">
              <w:rPr>
                <w:rFonts w:ascii="Calibri" w:eastAsia="Calibri" w:hAnsi="Calibri" w:cs="Times New Roman"/>
              </w:rPr>
              <w:t>?</w:t>
            </w:r>
          </w:p>
        </w:tc>
        <w:tc>
          <w:tcPr>
            <w:tcW w:w="10240" w:type="dxa"/>
          </w:tcPr>
          <w:p w:rsidR="00170F35" w:rsidRPr="003608B9" w:rsidRDefault="00892FAA" w:rsidP="00170F35">
            <w:pPr>
              <w:rPr>
                <w:rFonts w:ascii="Calibri" w:hAnsi="Calibri" w:cs="Arial"/>
                <w:color w:val="222222"/>
              </w:rPr>
            </w:pPr>
            <w:r w:rsidRPr="003608B9">
              <w:rPr>
                <w:rFonts w:ascii="Calibri" w:hAnsi="Calibri" w:cs="Arial"/>
                <w:color w:val="222222"/>
              </w:rPr>
              <w:lastRenderedPageBreak/>
              <w:t xml:space="preserve">The temporary special measures exist for members of parliament. Several private sector companies have included in their policies a gender-sensitive hiring policy or a gender minimum gender inclusion at management level. However, the does not exist at the moment any national policy regarding this. However, the </w:t>
            </w:r>
            <w:proofErr w:type="spellStart"/>
            <w:r w:rsidRPr="003608B9">
              <w:rPr>
                <w:rFonts w:ascii="Calibri" w:hAnsi="Calibri" w:cs="Arial"/>
                <w:color w:val="222222"/>
              </w:rPr>
              <w:t>Labour</w:t>
            </w:r>
            <w:proofErr w:type="spellEnd"/>
            <w:r w:rsidRPr="003608B9">
              <w:rPr>
                <w:rFonts w:ascii="Calibri" w:hAnsi="Calibri" w:cs="Arial"/>
                <w:color w:val="222222"/>
              </w:rPr>
              <w:t xml:space="preserve"> and Employment Act of 2004 clearly states that “it is not discrimination to take affirmative action measures consistent with the promotion of equality of the elimination of discrimination in the workplace” especially encouraging employers to establish company specific affirmative action practices.</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eastAsia="Calibri" w:hAnsi="Calibri" w:cs="Times New Roman"/>
              </w:rPr>
            </w:pPr>
            <w:r w:rsidRPr="003608B9">
              <w:rPr>
                <w:rFonts w:ascii="Calibri" w:eastAsia="Calibri" w:hAnsi="Calibri" w:cs="Times New Roman"/>
              </w:rPr>
              <w:t xml:space="preserve">What concrete steps are being taken to implement the principle of equal remuneration for equal work of equal value? </w:t>
            </w:r>
          </w:p>
        </w:tc>
        <w:tc>
          <w:tcPr>
            <w:tcW w:w="10240" w:type="dxa"/>
          </w:tcPr>
          <w:p w:rsidR="00170F35" w:rsidRPr="003608B9" w:rsidRDefault="00892FAA" w:rsidP="0067437D">
            <w:pPr>
              <w:rPr>
                <w:rFonts w:ascii="Calibri" w:hAnsi="Calibri" w:cs="Arial"/>
                <w:color w:val="222222"/>
              </w:rPr>
            </w:pPr>
            <w:r w:rsidRPr="003608B9">
              <w:rPr>
                <w:rFonts w:ascii="Calibri" w:hAnsi="Calibri" w:cs="Arial"/>
                <w:color w:val="222222"/>
              </w:rPr>
              <w:t xml:space="preserve">The </w:t>
            </w:r>
            <w:proofErr w:type="spellStart"/>
            <w:r w:rsidRPr="003608B9">
              <w:rPr>
                <w:rFonts w:ascii="Calibri" w:hAnsi="Calibri" w:cs="Arial"/>
                <w:color w:val="222222"/>
              </w:rPr>
              <w:t>Labour</w:t>
            </w:r>
            <w:proofErr w:type="spellEnd"/>
            <w:r w:rsidRPr="003608B9">
              <w:rPr>
                <w:rFonts w:ascii="Calibri" w:hAnsi="Calibri" w:cs="Arial"/>
                <w:color w:val="222222"/>
              </w:rPr>
              <w:t xml:space="preserve"> and Employment Act (2004) specifically mentions that “every employer shall take positive steps to guarantee equal remuneration for men and women for work of equal value”. As mentioned above, employees may report any Commission on Mitigation and Arbitration (CMA) for any infringement of the </w:t>
            </w:r>
            <w:proofErr w:type="spellStart"/>
            <w:r w:rsidRPr="003608B9">
              <w:rPr>
                <w:rFonts w:ascii="Calibri" w:hAnsi="Calibri" w:cs="Arial"/>
                <w:color w:val="222222"/>
              </w:rPr>
              <w:t>Labour</w:t>
            </w:r>
            <w:proofErr w:type="spellEnd"/>
            <w:r w:rsidRPr="003608B9">
              <w:rPr>
                <w:rFonts w:ascii="Calibri" w:hAnsi="Calibri" w:cs="Arial"/>
                <w:color w:val="222222"/>
              </w:rPr>
              <w:t xml:space="preserve"> and Employment Act.</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eastAsia="Calibri" w:hAnsi="Calibri" w:cs="Times New Roman"/>
              </w:rPr>
            </w:pPr>
            <w:r w:rsidRPr="003608B9">
              <w:rPr>
                <w:rFonts w:ascii="Calibri" w:eastAsia="Calibri" w:hAnsi="Calibri" w:cs="Times New Roman"/>
              </w:rPr>
              <w:t>Which body is responsible for conducting job evaluations?</w:t>
            </w:r>
          </w:p>
        </w:tc>
        <w:tc>
          <w:tcPr>
            <w:tcW w:w="10240" w:type="dxa"/>
          </w:tcPr>
          <w:p w:rsidR="005E2014" w:rsidRDefault="00D173BD" w:rsidP="00170F35">
            <w:pPr>
              <w:rPr>
                <w:rFonts w:ascii="Calibri" w:hAnsi="Calibri" w:cs="Arial"/>
                <w:color w:val="222222"/>
              </w:rPr>
            </w:pPr>
            <w:r w:rsidRPr="003608B9">
              <w:rPr>
                <w:rFonts w:ascii="Calibri" w:hAnsi="Calibri" w:cs="Arial"/>
                <w:color w:val="222222"/>
              </w:rPr>
              <w:t xml:space="preserve">These bodies/processes do </w:t>
            </w:r>
            <w:r w:rsidR="00C12093">
              <w:rPr>
                <w:rFonts w:ascii="Calibri" w:hAnsi="Calibri" w:cs="Arial"/>
                <w:color w:val="222222"/>
              </w:rPr>
              <w:t>not currently exist in Tanzania. However the Government through Public Service management have a Department of establishment which is dealing with job evaluation for the Government authorities.</w:t>
            </w:r>
          </w:p>
          <w:p w:rsidR="00170F35" w:rsidRPr="003608B9" w:rsidRDefault="00170F35" w:rsidP="00C12093">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eastAsia="Calibri" w:hAnsi="Calibri" w:cs="Times New Roman"/>
              </w:rPr>
            </w:pPr>
            <w:r w:rsidRPr="003608B9">
              <w:rPr>
                <w:rFonts w:ascii="Calibri" w:eastAsia="Calibri" w:hAnsi="Calibri" w:cs="Times New Roman"/>
              </w:rPr>
              <w:t>What is the mandate of your Wage Advisory Body? Is it responsible for designing job evaluation schemes with gender-neutral criteria?</w:t>
            </w:r>
          </w:p>
        </w:tc>
        <w:tc>
          <w:tcPr>
            <w:tcW w:w="10240" w:type="dxa"/>
          </w:tcPr>
          <w:p w:rsidR="00170F35" w:rsidRPr="003608B9" w:rsidRDefault="001F7EB9" w:rsidP="00170F35">
            <w:pPr>
              <w:rPr>
                <w:rFonts w:ascii="Calibri" w:hAnsi="Calibri" w:cs="Arial"/>
                <w:color w:val="222222"/>
              </w:rPr>
            </w:pPr>
            <w:r w:rsidRPr="003608B9">
              <w:rPr>
                <w:rFonts w:ascii="Calibri" w:hAnsi="Calibri" w:cs="Arial"/>
                <w:color w:val="222222"/>
              </w:rPr>
              <w:t xml:space="preserve">The Wage Board has been established in the </w:t>
            </w:r>
            <w:proofErr w:type="spellStart"/>
            <w:r w:rsidRPr="003608B9">
              <w:rPr>
                <w:rFonts w:ascii="Calibri" w:hAnsi="Calibri" w:cs="Arial"/>
                <w:color w:val="222222"/>
              </w:rPr>
              <w:t>Labour</w:t>
            </w:r>
            <w:proofErr w:type="spellEnd"/>
            <w:r w:rsidRPr="003608B9">
              <w:rPr>
                <w:rFonts w:ascii="Calibri" w:hAnsi="Calibri" w:cs="Arial"/>
                <w:color w:val="222222"/>
              </w:rPr>
              <w:t xml:space="preserve"> and Employment Act of 2004. The constituency of the Wage Board was through an act of Parliament in 2015 to make it more inclusive. The Wage board among other duties advises the minister on the minimum wage for sectors on a gender-neutral criteria.</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hAnsi="Calibri"/>
              </w:rPr>
            </w:pPr>
            <w:r w:rsidRPr="003608B9">
              <w:rPr>
                <w:rFonts w:ascii="Calibri" w:eastAsia="Calibri" w:hAnsi="Calibri" w:cs="Times New Roman"/>
              </w:rPr>
              <w:t xml:space="preserve">What concrete measures are being undertaken to facilitate women’s entry into the formal </w:t>
            </w:r>
            <w:proofErr w:type="spellStart"/>
            <w:r w:rsidRPr="003608B9">
              <w:rPr>
                <w:rFonts w:ascii="Calibri" w:eastAsia="Calibri" w:hAnsi="Calibri" w:cs="Times New Roman"/>
              </w:rPr>
              <w:t>labour</w:t>
            </w:r>
            <w:proofErr w:type="spellEnd"/>
            <w:r w:rsidRPr="003608B9">
              <w:rPr>
                <w:rFonts w:ascii="Calibri" w:eastAsia="Calibri" w:hAnsi="Calibri" w:cs="Times New Roman"/>
              </w:rPr>
              <w:t xml:space="preserve"> market in order to enhance their absorption into productive activities and prevent them from becoming unemployed and underemployed?</w:t>
            </w:r>
          </w:p>
        </w:tc>
        <w:tc>
          <w:tcPr>
            <w:tcW w:w="10240" w:type="dxa"/>
          </w:tcPr>
          <w:p w:rsidR="00170F35" w:rsidRPr="003608B9" w:rsidRDefault="00170F35" w:rsidP="00170F35">
            <w:pPr>
              <w:rPr>
                <w:rFonts w:ascii="Calibri" w:hAnsi="Calibri" w:cs="Arial"/>
                <w:color w:val="222222"/>
              </w:rPr>
            </w:pPr>
          </w:p>
          <w:p w:rsidR="00A5646E" w:rsidRPr="003608B9" w:rsidRDefault="00A5646E" w:rsidP="00170F35">
            <w:pPr>
              <w:rPr>
                <w:rFonts w:ascii="Calibri" w:hAnsi="Calibri" w:cs="Arial"/>
                <w:color w:val="222222"/>
              </w:rPr>
            </w:pPr>
          </w:p>
          <w:tbl>
            <w:tblPr>
              <w:tblW w:w="10014" w:type="dxa"/>
              <w:tblCellMar>
                <w:left w:w="10" w:type="dxa"/>
                <w:right w:w="10" w:type="dxa"/>
              </w:tblCellMar>
              <w:tblLook w:val="04A0" w:firstRow="1" w:lastRow="0" w:firstColumn="1" w:lastColumn="0" w:noHBand="0" w:noVBand="1"/>
            </w:tblPr>
            <w:tblGrid>
              <w:gridCol w:w="1734"/>
              <w:gridCol w:w="1279"/>
              <w:gridCol w:w="1265"/>
              <w:gridCol w:w="1251"/>
              <w:gridCol w:w="1701"/>
              <w:gridCol w:w="1276"/>
              <w:gridCol w:w="1508"/>
            </w:tblGrid>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646E" w:rsidRPr="003608B9" w:rsidRDefault="00A5646E" w:rsidP="00A5646E">
                  <w:pPr>
                    <w:pStyle w:val="NoSpacing"/>
                    <w:spacing w:line="256" w:lineRule="auto"/>
                    <w:jc w:val="center"/>
                    <w:rPr>
                      <w:b/>
                    </w:rPr>
                  </w:pPr>
                </w:p>
              </w:tc>
              <w:tc>
                <w:tcPr>
                  <w:tcW w:w="379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r w:rsidRPr="003608B9">
                    <w:rPr>
                      <w:b/>
                    </w:rPr>
                    <w:t>2006</w:t>
                  </w:r>
                </w:p>
              </w:tc>
              <w:tc>
                <w:tcPr>
                  <w:tcW w:w="448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r w:rsidRPr="003608B9">
                    <w:rPr>
                      <w:b/>
                    </w:rPr>
                    <w:t>2014</w:t>
                  </w:r>
                </w:p>
              </w:tc>
            </w:tr>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proofErr w:type="spellStart"/>
                  <w:r w:rsidRPr="003608B9">
                    <w:rPr>
                      <w:b/>
                    </w:rPr>
                    <w:t>Sector</w:t>
                  </w:r>
                  <w:proofErr w:type="spellEnd"/>
                  <w:r w:rsidRPr="003608B9">
                    <w:rPr>
                      <w:b/>
                    </w:rPr>
                    <w:t>/</w:t>
                  </w:r>
                  <w:proofErr w:type="spellStart"/>
                  <w:r w:rsidRPr="003608B9">
                    <w:rPr>
                      <w:b/>
                    </w:rPr>
                    <w:t>sex</w:t>
                  </w:r>
                  <w:proofErr w:type="spellEnd"/>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proofErr w:type="spellStart"/>
                  <w:r w:rsidRPr="003608B9">
                    <w:rPr>
                      <w:b/>
                    </w:rPr>
                    <w:t>Female</w:t>
                  </w:r>
                  <w:proofErr w:type="spellEnd"/>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r w:rsidRPr="003608B9">
                    <w:rPr>
                      <w:b/>
                    </w:rPr>
                    <w:t>Male</w:t>
                  </w:r>
                </w:p>
              </w:tc>
              <w:tc>
                <w:tcPr>
                  <w:tcW w:w="1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rPr>
                      <w:b/>
                    </w:rPr>
                  </w:pPr>
                  <w:r w:rsidRPr="003608B9">
                    <w:rPr>
                      <w:b/>
                    </w:rPr>
                    <w:t>Total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proofErr w:type="spellStart"/>
                  <w:r w:rsidRPr="003608B9">
                    <w:rPr>
                      <w:b/>
                    </w:rPr>
                    <w:t>Female</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r w:rsidRPr="003608B9">
                    <w:rPr>
                      <w:b/>
                    </w:rPr>
                    <w:t>Male</w:t>
                  </w:r>
                </w:p>
              </w:tc>
              <w:tc>
                <w:tcPr>
                  <w:tcW w:w="1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rPr>
                      <w:b/>
                    </w:rPr>
                  </w:pPr>
                  <w:r w:rsidRPr="003608B9">
                    <w:rPr>
                      <w:b/>
                    </w:rPr>
                    <w:t>Total</w:t>
                  </w:r>
                </w:p>
              </w:tc>
            </w:tr>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proofErr w:type="spellStart"/>
                  <w:r w:rsidRPr="003608B9">
                    <w:rPr>
                      <w:b/>
                    </w:rPr>
                    <w:t>Government</w:t>
                  </w:r>
                  <w:proofErr w:type="spellEnd"/>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1.7</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3.6</w:t>
                  </w:r>
                </w:p>
              </w:tc>
              <w:tc>
                <w:tcPr>
                  <w:tcW w:w="1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2.6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2.7</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3.6</w:t>
                  </w:r>
                </w:p>
              </w:tc>
              <w:tc>
                <w:tcPr>
                  <w:tcW w:w="1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3.2</w:t>
                  </w:r>
                </w:p>
              </w:tc>
            </w:tr>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r w:rsidRPr="003608B9">
                    <w:rPr>
                      <w:b/>
                    </w:rPr>
                    <w:t>Parastatal</w:t>
                  </w:r>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0.2</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0.6</w:t>
                  </w:r>
                </w:p>
              </w:tc>
              <w:tc>
                <w:tcPr>
                  <w:tcW w:w="1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0.4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0.1</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0.6</w:t>
                  </w:r>
                </w:p>
              </w:tc>
              <w:tc>
                <w:tcPr>
                  <w:tcW w:w="1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0.4</w:t>
                  </w:r>
                </w:p>
              </w:tc>
            </w:tr>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r w:rsidRPr="003608B9">
                    <w:rPr>
                      <w:b/>
                    </w:rPr>
                    <w:t>Agriculture</w:t>
                  </w:r>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79.4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70.5</w:t>
                  </w:r>
                </w:p>
              </w:tc>
              <w:tc>
                <w:tcPr>
                  <w:tcW w:w="1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75.1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62.1</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59.3</w:t>
                  </w:r>
                </w:p>
              </w:tc>
              <w:tc>
                <w:tcPr>
                  <w:tcW w:w="1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60.7</w:t>
                  </w:r>
                </w:p>
              </w:tc>
            </w:tr>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r w:rsidRPr="003608B9">
                    <w:rPr>
                      <w:b/>
                    </w:rPr>
                    <w:t xml:space="preserve">Informal </w:t>
                  </w:r>
                  <w:proofErr w:type="spellStart"/>
                  <w:r w:rsidRPr="003608B9">
                    <w:rPr>
                      <w:b/>
                    </w:rPr>
                    <w:t>sector</w:t>
                  </w:r>
                  <w:proofErr w:type="spellEnd"/>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8.8</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11.5</w:t>
                  </w:r>
                </w:p>
              </w:tc>
              <w:tc>
                <w:tcPr>
                  <w:tcW w:w="1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10.1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18.0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19.1</w:t>
                  </w:r>
                </w:p>
              </w:tc>
              <w:tc>
                <w:tcPr>
                  <w:tcW w:w="1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18.6</w:t>
                  </w:r>
                </w:p>
              </w:tc>
            </w:tr>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proofErr w:type="spellStart"/>
                  <w:r w:rsidRPr="003608B9">
                    <w:rPr>
                      <w:b/>
                    </w:rPr>
                    <w:t>Other</w:t>
                  </w:r>
                  <w:proofErr w:type="spellEnd"/>
                  <w:r w:rsidRPr="003608B9">
                    <w:rPr>
                      <w:b/>
                    </w:rPr>
                    <w:t xml:space="preserve"> </w:t>
                  </w:r>
                  <w:proofErr w:type="spellStart"/>
                  <w:r w:rsidRPr="003608B9">
                    <w:rPr>
                      <w:b/>
                    </w:rPr>
                    <w:t>private</w:t>
                  </w:r>
                  <w:proofErr w:type="spellEnd"/>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4.8</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12.6</w:t>
                  </w:r>
                </w:p>
              </w:tc>
              <w:tc>
                <w:tcPr>
                  <w:tcW w:w="1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8.6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6.6</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12.4</w:t>
                  </w:r>
                </w:p>
              </w:tc>
              <w:tc>
                <w:tcPr>
                  <w:tcW w:w="1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9.5</w:t>
                  </w:r>
                </w:p>
              </w:tc>
            </w:tr>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proofErr w:type="spellStart"/>
                  <w:r w:rsidRPr="003608B9">
                    <w:rPr>
                      <w:b/>
                    </w:rPr>
                    <w:t>Household</w:t>
                  </w:r>
                  <w:proofErr w:type="spellEnd"/>
                  <w:r w:rsidRPr="003608B9">
                    <w:rPr>
                      <w:b/>
                    </w:rPr>
                    <w:t xml:space="preserve"> </w:t>
                  </w:r>
                  <w:proofErr w:type="spellStart"/>
                  <w:r w:rsidRPr="003608B9">
                    <w:rPr>
                      <w:b/>
                    </w:rPr>
                    <w:t>act</w:t>
                  </w:r>
                  <w:proofErr w:type="spellEnd"/>
                  <w:r w:rsidRPr="003608B9">
                    <w:rPr>
                      <w:b/>
                    </w:rPr>
                    <w:t>.</w:t>
                  </w:r>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5.1</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1.1</w:t>
                  </w:r>
                </w:p>
              </w:tc>
              <w:tc>
                <w:tcPr>
                  <w:tcW w:w="1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3.1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10.4</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5.0</w:t>
                  </w:r>
                </w:p>
              </w:tc>
              <w:tc>
                <w:tcPr>
                  <w:tcW w:w="1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7.7</w:t>
                  </w:r>
                </w:p>
              </w:tc>
            </w:tr>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r w:rsidRPr="003608B9">
                    <w:rPr>
                      <w:b/>
                    </w:rPr>
                    <w:t>Total</w:t>
                  </w:r>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100.0</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100.0</w:t>
                  </w:r>
                </w:p>
              </w:tc>
              <w:tc>
                <w:tcPr>
                  <w:tcW w:w="1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100.0</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100.0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100.0</w:t>
                  </w:r>
                </w:p>
              </w:tc>
              <w:tc>
                <w:tcPr>
                  <w:tcW w:w="1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100.0</w:t>
                  </w:r>
                </w:p>
              </w:tc>
            </w:tr>
            <w:tr w:rsidR="00A5646E" w:rsidRPr="003608B9" w:rsidTr="00A5646E">
              <w:tc>
                <w:tcPr>
                  <w:tcW w:w="1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rPr>
                      <w:b/>
                    </w:rPr>
                  </w:pPr>
                  <w:r w:rsidRPr="003608B9">
                    <w:rPr>
                      <w:b/>
                    </w:rPr>
                    <w:t>% of total</w:t>
                  </w:r>
                </w:p>
              </w:tc>
              <w:tc>
                <w:tcPr>
                  <w:tcW w:w="1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51.4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46.6</w:t>
                  </w:r>
                </w:p>
              </w:tc>
              <w:tc>
                <w:tcPr>
                  <w:tcW w:w="1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100.0</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49.4</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646E" w:rsidRPr="003608B9" w:rsidRDefault="00A5646E" w:rsidP="00A5646E">
                  <w:pPr>
                    <w:pStyle w:val="NoSpacing"/>
                    <w:spacing w:line="256" w:lineRule="auto"/>
                    <w:jc w:val="center"/>
                  </w:pPr>
                  <w:r w:rsidRPr="003608B9">
                    <w:t>50.6</w:t>
                  </w:r>
                </w:p>
              </w:tc>
              <w:tc>
                <w:tcPr>
                  <w:tcW w:w="1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646E" w:rsidRPr="003608B9" w:rsidRDefault="00A5646E" w:rsidP="00A5646E">
                  <w:pPr>
                    <w:pStyle w:val="NoSpacing"/>
                    <w:spacing w:line="256" w:lineRule="auto"/>
                    <w:jc w:val="center"/>
                  </w:pPr>
                  <w:r w:rsidRPr="003608B9">
                    <w:t>100.0</w:t>
                  </w:r>
                </w:p>
              </w:tc>
            </w:tr>
          </w:tbl>
          <w:p w:rsidR="00A5646E" w:rsidRPr="003608B9" w:rsidRDefault="00A5646E" w:rsidP="00170F35">
            <w:pPr>
              <w:rPr>
                <w:rFonts w:ascii="Calibri" w:hAnsi="Calibri" w:cs="Arial"/>
                <w:color w:val="222222"/>
              </w:rPr>
            </w:pPr>
          </w:p>
          <w:p w:rsidR="00A5646E" w:rsidRPr="003608B9" w:rsidRDefault="00A5646E" w:rsidP="00170F35">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spacing w:line="259" w:lineRule="auto"/>
              <w:rPr>
                <w:rFonts w:ascii="Calibri" w:hAnsi="Calibri"/>
              </w:rPr>
            </w:pPr>
            <w:r w:rsidRPr="003608B9">
              <w:rPr>
                <w:rFonts w:ascii="Calibri" w:hAnsi="Calibri"/>
              </w:rPr>
              <w:t xml:space="preserve">Apart from the activities and </w:t>
            </w:r>
            <w:proofErr w:type="spellStart"/>
            <w:r w:rsidRPr="003608B9">
              <w:rPr>
                <w:rFonts w:ascii="Calibri" w:hAnsi="Calibri"/>
              </w:rPr>
              <w:t>programmes</w:t>
            </w:r>
            <w:proofErr w:type="spellEnd"/>
            <w:r w:rsidRPr="003608B9">
              <w:rPr>
                <w:rFonts w:ascii="Calibri" w:hAnsi="Calibri"/>
              </w:rPr>
              <w:t xml:space="preserve"> undertaken to date,  to what extent has the Government revisited policy </w:t>
            </w:r>
            <w:r w:rsidRPr="003608B9">
              <w:rPr>
                <w:rFonts w:ascii="Calibri" w:hAnsi="Calibri"/>
              </w:rPr>
              <w:lastRenderedPageBreak/>
              <w:t>measures to assess their effectiveness and to determine the best way forward including for;</w:t>
            </w:r>
          </w:p>
          <w:p w:rsidR="00170F35" w:rsidRPr="003608B9" w:rsidRDefault="00170F35" w:rsidP="00170F35">
            <w:pPr>
              <w:rPr>
                <w:rFonts w:ascii="Calibri" w:hAnsi="Calibri"/>
              </w:rPr>
            </w:pPr>
            <w:r w:rsidRPr="003608B9">
              <w:rPr>
                <w:rFonts w:ascii="Calibri" w:hAnsi="Calibri"/>
              </w:rPr>
              <w:sym w:font="Symbol" w:char="F0B7"/>
            </w:r>
            <w:r w:rsidRPr="003608B9">
              <w:rPr>
                <w:rFonts w:ascii="Calibri" w:hAnsi="Calibri"/>
              </w:rPr>
              <w:t xml:space="preserve"> pre-</w:t>
            </w:r>
            <w:proofErr w:type="spellStart"/>
            <w:r w:rsidRPr="003608B9">
              <w:rPr>
                <w:rFonts w:ascii="Calibri" w:hAnsi="Calibri"/>
              </w:rPr>
              <w:t>labour</w:t>
            </w:r>
            <w:proofErr w:type="spellEnd"/>
            <w:r w:rsidRPr="003608B9">
              <w:rPr>
                <w:rFonts w:ascii="Calibri" w:hAnsi="Calibri"/>
              </w:rPr>
              <w:t xml:space="preserve"> market interventions; </w:t>
            </w:r>
          </w:p>
          <w:p w:rsidR="00170F35" w:rsidRPr="003608B9" w:rsidRDefault="00170F35" w:rsidP="00170F35">
            <w:pPr>
              <w:rPr>
                <w:rFonts w:ascii="Calibri" w:hAnsi="Calibri"/>
              </w:rPr>
            </w:pPr>
            <w:r w:rsidRPr="003608B9">
              <w:rPr>
                <w:rFonts w:ascii="Calibri" w:hAnsi="Calibri"/>
              </w:rPr>
              <w:sym w:font="Symbol" w:char="F0B7"/>
            </w:r>
            <w:r w:rsidRPr="003608B9">
              <w:rPr>
                <w:rFonts w:ascii="Calibri" w:hAnsi="Calibri"/>
              </w:rPr>
              <w:t xml:space="preserve"> </w:t>
            </w:r>
            <w:proofErr w:type="spellStart"/>
            <w:r w:rsidRPr="003608B9">
              <w:rPr>
                <w:rFonts w:ascii="Calibri" w:hAnsi="Calibri"/>
              </w:rPr>
              <w:t>programmes</w:t>
            </w:r>
            <w:proofErr w:type="spellEnd"/>
            <w:r w:rsidRPr="003608B9">
              <w:rPr>
                <w:rFonts w:ascii="Calibri" w:hAnsi="Calibri"/>
              </w:rPr>
              <w:t xml:space="preserve"> to encourage enterprise training for young women;</w:t>
            </w:r>
          </w:p>
          <w:p w:rsidR="00170F35" w:rsidRPr="003608B9" w:rsidRDefault="00170F35" w:rsidP="00170F35">
            <w:pPr>
              <w:rPr>
                <w:rFonts w:ascii="Calibri" w:hAnsi="Calibri"/>
              </w:rPr>
            </w:pPr>
            <w:r w:rsidRPr="003608B9">
              <w:rPr>
                <w:rFonts w:ascii="Calibri" w:hAnsi="Calibri"/>
              </w:rPr>
              <w:t xml:space="preserve"> </w:t>
            </w:r>
            <w:r w:rsidRPr="003608B9">
              <w:rPr>
                <w:rFonts w:ascii="Calibri" w:hAnsi="Calibri"/>
              </w:rPr>
              <w:sym w:font="Symbol" w:char="F0B7"/>
            </w:r>
            <w:r w:rsidRPr="003608B9">
              <w:rPr>
                <w:rFonts w:ascii="Calibri" w:hAnsi="Calibri"/>
              </w:rPr>
              <w:t xml:space="preserve"> training for self-employment tied to promotional measures for micro-enterprise development in rural and urban settings; </w:t>
            </w:r>
          </w:p>
          <w:p w:rsidR="00170F35" w:rsidRPr="003608B9" w:rsidRDefault="00170F35" w:rsidP="00170F35">
            <w:pPr>
              <w:rPr>
                <w:rFonts w:ascii="Calibri" w:hAnsi="Calibri"/>
              </w:rPr>
            </w:pPr>
            <w:r w:rsidRPr="003608B9">
              <w:rPr>
                <w:rFonts w:ascii="Calibri" w:hAnsi="Calibri"/>
              </w:rPr>
              <w:sym w:font="Symbol" w:char="F0B7"/>
            </w:r>
            <w:r w:rsidRPr="003608B9">
              <w:rPr>
                <w:rFonts w:ascii="Calibri" w:hAnsi="Calibri"/>
              </w:rPr>
              <w:t xml:space="preserve"> </w:t>
            </w:r>
            <w:proofErr w:type="gramStart"/>
            <w:r w:rsidRPr="003608B9">
              <w:rPr>
                <w:rFonts w:ascii="Calibri" w:hAnsi="Calibri"/>
              </w:rPr>
              <w:t>direct</w:t>
            </w:r>
            <w:proofErr w:type="gramEnd"/>
            <w:r w:rsidRPr="003608B9">
              <w:rPr>
                <w:rFonts w:ascii="Calibri" w:hAnsi="Calibri"/>
              </w:rPr>
              <w:t xml:space="preserve"> employment creation initiatives to absorb the unemployed.</w:t>
            </w:r>
          </w:p>
          <w:p w:rsidR="00170F35" w:rsidRPr="003608B9" w:rsidRDefault="00170F35" w:rsidP="00170F35">
            <w:pPr>
              <w:rPr>
                <w:rFonts w:ascii="Calibri" w:hAnsi="Calibri"/>
              </w:rPr>
            </w:pPr>
          </w:p>
        </w:tc>
        <w:tc>
          <w:tcPr>
            <w:tcW w:w="10240" w:type="dxa"/>
          </w:tcPr>
          <w:p w:rsidR="00A5646E" w:rsidRPr="003608B9" w:rsidRDefault="00A5646E" w:rsidP="00A5646E">
            <w:pPr>
              <w:rPr>
                <w:rFonts w:ascii="Calibri" w:hAnsi="Calibri" w:cs="Arial"/>
                <w:color w:val="222222"/>
              </w:rPr>
            </w:pPr>
            <w:r w:rsidRPr="003608B9">
              <w:rPr>
                <w:rFonts w:ascii="Calibri" w:hAnsi="Calibri" w:cs="Arial"/>
                <w:color w:val="222222"/>
              </w:rPr>
              <w:lastRenderedPageBreak/>
              <w:t xml:space="preserve">The government has recently development </w:t>
            </w:r>
            <w:proofErr w:type="gramStart"/>
            <w:r w:rsidRPr="003608B9">
              <w:rPr>
                <w:rFonts w:ascii="Calibri" w:hAnsi="Calibri" w:cs="Arial"/>
                <w:color w:val="222222"/>
              </w:rPr>
              <w:t>a</w:t>
            </w:r>
            <w:proofErr w:type="gramEnd"/>
            <w:r w:rsidRPr="003608B9">
              <w:rPr>
                <w:rFonts w:ascii="Calibri" w:hAnsi="Calibri" w:cs="Arial"/>
                <w:color w:val="222222"/>
              </w:rPr>
              <w:t xml:space="preserve"> Entrepreneurship curriculum framework to be incorporated into the National Secondary School curriculum to prepare pre-</w:t>
            </w:r>
            <w:proofErr w:type="spellStart"/>
            <w:r w:rsidRPr="003608B9">
              <w:rPr>
                <w:rFonts w:ascii="Calibri" w:hAnsi="Calibri" w:cs="Arial"/>
                <w:color w:val="222222"/>
              </w:rPr>
              <w:t>labour</w:t>
            </w:r>
            <w:proofErr w:type="spellEnd"/>
            <w:r w:rsidRPr="003608B9">
              <w:rPr>
                <w:rFonts w:ascii="Calibri" w:hAnsi="Calibri" w:cs="Arial"/>
                <w:color w:val="222222"/>
              </w:rPr>
              <w:t xml:space="preserve"> market young people with entrepreneurship skills. </w:t>
            </w:r>
          </w:p>
          <w:p w:rsidR="00A5646E" w:rsidRPr="003608B9" w:rsidRDefault="00A5646E" w:rsidP="00A5646E">
            <w:pPr>
              <w:rPr>
                <w:rFonts w:ascii="Calibri" w:hAnsi="Calibri" w:cs="Arial"/>
                <w:color w:val="222222"/>
              </w:rPr>
            </w:pPr>
            <w:r w:rsidRPr="003608B9">
              <w:rPr>
                <w:rFonts w:ascii="Calibri" w:hAnsi="Calibri" w:cs="Arial"/>
                <w:color w:val="222222"/>
              </w:rPr>
              <w:lastRenderedPageBreak/>
              <w:t xml:space="preserve">The National Development </w:t>
            </w:r>
            <w:proofErr w:type="spellStart"/>
            <w:r w:rsidRPr="003608B9">
              <w:rPr>
                <w:rFonts w:ascii="Calibri" w:hAnsi="Calibri" w:cs="Arial"/>
                <w:color w:val="222222"/>
              </w:rPr>
              <w:t>programme</w:t>
            </w:r>
            <w:proofErr w:type="spellEnd"/>
            <w:r w:rsidRPr="003608B9">
              <w:rPr>
                <w:rFonts w:ascii="Calibri" w:hAnsi="Calibri" w:cs="Arial"/>
                <w:color w:val="222222"/>
              </w:rPr>
              <w:t xml:space="preserve"> of 2014/2015, stated that the main responsibility of the government was to implement employment growth as a way of waging war against youth unemployment. Following on from this, the key priorities for the Government from 2014/15-2016/17, are training young people in entrepreneursh</w:t>
            </w:r>
            <w:r w:rsidR="00B933C2" w:rsidRPr="003608B9">
              <w:rPr>
                <w:rFonts w:ascii="Calibri" w:hAnsi="Calibri" w:cs="Arial"/>
                <w:color w:val="222222"/>
              </w:rPr>
              <w:t>ip skills</w:t>
            </w:r>
            <w:r w:rsidRPr="003608B9">
              <w:rPr>
                <w:rFonts w:ascii="Calibri" w:hAnsi="Calibri" w:cs="Arial"/>
                <w:color w:val="222222"/>
              </w:rPr>
              <w:t xml:space="preserve"> and offering loans to youth that have completed different levels of education.</w:t>
            </w:r>
          </w:p>
          <w:p w:rsidR="00A5646E" w:rsidRPr="003608B9" w:rsidRDefault="00A5646E" w:rsidP="00A5646E">
            <w:pPr>
              <w:rPr>
                <w:rFonts w:ascii="Calibri" w:hAnsi="Calibri" w:cs="Arial"/>
                <w:color w:val="222222"/>
              </w:rPr>
            </w:pPr>
            <w:r w:rsidRPr="003608B9">
              <w:rPr>
                <w:rFonts w:ascii="Calibri" w:hAnsi="Calibri" w:cs="Arial"/>
                <w:color w:val="222222"/>
              </w:rPr>
              <w:t xml:space="preserve">Additionally, in order to implement the National Youth Development Policy (2007) at the local level, the Regional Commissioners (the most senior political appointment at the regional level) made a joint declaration in 2014 on youth employment and are undertaking interventions. These interventions include collaboration between the public and private sector in order to facilitate production and secure decent employment opportunities to youth; ensuring regions, districts and district councils set aside funds to implement projects promoting youth employment and promoting employment and skills to the youth in </w:t>
            </w:r>
            <w:proofErr w:type="spellStart"/>
            <w:r w:rsidRPr="003608B9">
              <w:rPr>
                <w:rFonts w:ascii="Calibri" w:hAnsi="Calibri" w:cs="Arial"/>
                <w:color w:val="222222"/>
              </w:rPr>
              <w:t>labour</w:t>
            </w:r>
            <w:proofErr w:type="spellEnd"/>
            <w:r w:rsidRPr="003608B9">
              <w:rPr>
                <w:rFonts w:ascii="Calibri" w:hAnsi="Calibri" w:cs="Arial"/>
                <w:color w:val="222222"/>
              </w:rPr>
              <w:t xml:space="preserve"> intensive works, particularly in the construction of roads, schools, and health </w:t>
            </w:r>
            <w:proofErr w:type="spellStart"/>
            <w:r w:rsidRPr="003608B9">
              <w:rPr>
                <w:rFonts w:ascii="Calibri" w:hAnsi="Calibri" w:cs="Arial"/>
                <w:color w:val="222222"/>
              </w:rPr>
              <w:t>centres</w:t>
            </w:r>
            <w:proofErr w:type="spellEnd"/>
            <w:r w:rsidRPr="003608B9">
              <w:rPr>
                <w:rFonts w:ascii="Calibri" w:hAnsi="Calibri" w:cs="Arial"/>
                <w:color w:val="222222"/>
              </w:rPr>
              <w:t>.</w:t>
            </w:r>
          </w:p>
          <w:p w:rsidR="00170F35" w:rsidRPr="003608B9" w:rsidRDefault="00170F35" w:rsidP="00170F35">
            <w:pPr>
              <w:rPr>
                <w:rFonts w:ascii="Calibri" w:hAnsi="Calibri" w:cs="Arial"/>
                <w:color w:val="222222"/>
              </w:rPr>
            </w:pPr>
          </w:p>
        </w:tc>
      </w:tr>
      <w:tr w:rsidR="00170F35" w:rsidRPr="003608B9" w:rsidTr="000C06EC">
        <w:tc>
          <w:tcPr>
            <w:tcW w:w="1256" w:type="dxa"/>
            <w:vMerge w:val="restart"/>
          </w:tcPr>
          <w:p w:rsidR="00170F35" w:rsidRPr="003608B9" w:rsidRDefault="00170F35" w:rsidP="00170F35">
            <w:pPr>
              <w:rPr>
                <w:rFonts w:ascii="Calibri" w:hAnsi="Calibri" w:cs="Arial"/>
                <w:color w:val="222222"/>
              </w:rPr>
            </w:pPr>
            <w:r w:rsidRPr="003608B9">
              <w:rPr>
                <w:rFonts w:ascii="Calibri" w:eastAsia="Times New Roman" w:hAnsi="Calibri"/>
                <w:lang w:val="en-GB"/>
              </w:rPr>
              <w:lastRenderedPageBreak/>
              <w:t xml:space="preserve">ARTICLE 13 </w:t>
            </w:r>
          </w:p>
        </w:tc>
        <w:tc>
          <w:tcPr>
            <w:tcW w:w="3241" w:type="dxa"/>
          </w:tcPr>
          <w:p w:rsidR="00170F35" w:rsidRPr="003608B9" w:rsidRDefault="00170F35" w:rsidP="00170F35">
            <w:pPr>
              <w:rPr>
                <w:rFonts w:ascii="Calibri" w:hAnsi="Calibri"/>
              </w:rPr>
            </w:pPr>
            <w:r w:rsidRPr="003608B9">
              <w:rPr>
                <w:rFonts w:ascii="Calibri" w:hAnsi="Calibri"/>
              </w:rPr>
              <w:t>Please provide more information on State Part</w:t>
            </w:r>
            <w:r w:rsidR="00F23891" w:rsidRPr="003608B9">
              <w:rPr>
                <w:rFonts w:ascii="Calibri" w:hAnsi="Calibri"/>
              </w:rPr>
              <w:t>y</w:t>
            </w:r>
            <w:r w:rsidRPr="003608B9">
              <w:rPr>
                <w:rFonts w:ascii="Calibri" w:hAnsi="Calibri"/>
              </w:rPr>
              <w:t xml:space="preserve"> social protection policies. In particular, please give details of whether any studies have been developed to assess these policies, and how gender dimensions were incorporated. What have been the outcomes in germs of gender equality and what action will the new Government be taking in this area?</w:t>
            </w:r>
          </w:p>
          <w:p w:rsidR="00170F35" w:rsidRPr="003608B9" w:rsidRDefault="00170F35" w:rsidP="00170F35">
            <w:pPr>
              <w:rPr>
                <w:rFonts w:ascii="Calibri" w:hAnsi="Calibri"/>
              </w:rPr>
            </w:pPr>
          </w:p>
        </w:tc>
        <w:tc>
          <w:tcPr>
            <w:tcW w:w="10240" w:type="dxa"/>
          </w:tcPr>
          <w:p w:rsidR="009E6043" w:rsidRPr="003608B9" w:rsidRDefault="009E6043" w:rsidP="009E6043">
            <w:pPr>
              <w:jc w:val="both"/>
              <w:rPr>
                <w:rFonts w:ascii="Calibri" w:hAnsi="Calibri"/>
                <w:color w:val="000000"/>
              </w:rPr>
            </w:pPr>
            <w:r w:rsidRPr="003608B9">
              <w:rPr>
                <w:rFonts w:ascii="Calibri" w:hAnsi="Calibri"/>
                <w:color w:val="000000"/>
              </w:rPr>
              <w:t>There has been no policy assessment as the National Social Protection Framework (NSPF) is still awaiting approval by the new government. Once approved, the NSPF, will contribute to strengthen multi-sectoral coordination, implementation and monitoring of social protection interventions. The NSPF will lay the foundation of an integrated social protection system, which is effective in protecting the poor and vulnerable, promoting inclusive growth, and providing a minimum acceptable standard of living to all Tanzanians.</w:t>
            </w:r>
          </w:p>
          <w:p w:rsidR="009E6043" w:rsidRPr="003608B9" w:rsidRDefault="009E6043" w:rsidP="009E6043">
            <w:pPr>
              <w:jc w:val="both"/>
              <w:rPr>
                <w:rFonts w:ascii="Calibri" w:hAnsi="Calibri"/>
                <w:color w:val="000000"/>
              </w:rPr>
            </w:pPr>
          </w:p>
          <w:p w:rsidR="009E6043" w:rsidRPr="003608B9" w:rsidRDefault="00A852D5" w:rsidP="009E6043">
            <w:pPr>
              <w:jc w:val="both"/>
              <w:rPr>
                <w:rFonts w:ascii="Calibri" w:hAnsi="Calibri"/>
                <w:color w:val="000000"/>
                <w:lang w:eastAsia="en-GB"/>
              </w:rPr>
            </w:pPr>
            <w:r w:rsidRPr="003608B9">
              <w:rPr>
                <w:rFonts w:ascii="Calibri" w:hAnsi="Calibri"/>
                <w:color w:val="000000"/>
              </w:rPr>
              <w:t>In Zanzibar, a Social</w:t>
            </w:r>
            <w:r w:rsidR="009E6043" w:rsidRPr="003608B9">
              <w:rPr>
                <w:rFonts w:ascii="Calibri" w:hAnsi="Calibri"/>
                <w:color w:val="000000"/>
              </w:rPr>
              <w:t xml:space="preserve"> Protection Policy has been in place since 2013 and an Implementation Plan is currently being drafted.</w:t>
            </w:r>
          </w:p>
          <w:p w:rsidR="009E6043" w:rsidRPr="003608B9" w:rsidRDefault="009E6043" w:rsidP="009E6043">
            <w:pPr>
              <w:jc w:val="both"/>
              <w:rPr>
                <w:rFonts w:ascii="Calibri" w:hAnsi="Calibri"/>
                <w:color w:val="000000"/>
              </w:rPr>
            </w:pPr>
          </w:p>
          <w:p w:rsidR="009E6043" w:rsidRPr="003608B9" w:rsidRDefault="009E6043" w:rsidP="009E6043">
            <w:pPr>
              <w:rPr>
                <w:rFonts w:ascii="Calibri" w:hAnsi="Calibri"/>
                <w:color w:val="000000"/>
              </w:rPr>
            </w:pPr>
            <w:r w:rsidRPr="003608B9">
              <w:rPr>
                <w:rFonts w:ascii="Calibri" w:hAnsi="Calibri"/>
                <w:color w:val="000000"/>
              </w:rPr>
              <w:t xml:space="preserve">In the area of health social protection, the Government is </w:t>
            </w:r>
            <w:proofErr w:type="spellStart"/>
            <w:r w:rsidRPr="003608B9">
              <w:rPr>
                <w:rFonts w:ascii="Calibri" w:hAnsi="Calibri"/>
                <w:color w:val="000000"/>
              </w:rPr>
              <w:t>finalising</w:t>
            </w:r>
            <w:proofErr w:type="spellEnd"/>
            <w:r w:rsidRPr="003608B9">
              <w:rPr>
                <w:rFonts w:ascii="Calibri" w:hAnsi="Calibri"/>
                <w:color w:val="000000"/>
              </w:rPr>
              <w:t xml:space="preserve"> the health financing strategy which will contribute towards achieving universal health coverage, </w:t>
            </w:r>
            <w:proofErr w:type="spellStart"/>
            <w:r w:rsidRPr="003608B9">
              <w:rPr>
                <w:rFonts w:ascii="Calibri" w:hAnsi="Calibri"/>
                <w:color w:val="000000"/>
              </w:rPr>
              <w:t>i.e</w:t>
            </w:r>
            <w:proofErr w:type="spellEnd"/>
            <w:r w:rsidRPr="003608B9">
              <w:rPr>
                <w:rFonts w:ascii="Calibri" w:hAnsi="Calibri"/>
                <w:color w:val="000000"/>
              </w:rPr>
              <w:t xml:space="preserve"> increasing coverage and </w:t>
            </w:r>
            <w:proofErr w:type="spellStart"/>
            <w:r w:rsidRPr="003608B9">
              <w:rPr>
                <w:rFonts w:ascii="Calibri" w:hAnsi="Calibri"/>
                <w:color w:val="000000"/>
              </w:rPr>
              <w:t>utilisation</w:t>
            </w:r>
            <w:proofErr w:type="spellEnd"/>
            <w:r w:rsidRPr="003608B9">
              <w:rPr>
                <w:rFonts w:ascii="Calibri" w:hAnsi="Calibri"/>
                <w:color w:val="000000"/>
              </w:rPr>
              <w:t xml:space="preserve"> of health services by transforming the current National Health Insurance Fund. Moreover, with the same objective of achieving universal coverage, it facilitated the designing of the National Health Insurance Scheme in Zanzibar. Furthermore, two additional regulations were put in place aiming at harmonizing pension benefits, operationalizing the Workers Compensation Fund, and regulating and protecting employment of Non-Citizens in Tanzania. </w:t>
            </w:r>
          </w:p>
          <w:p w:rsidR="009E6043" w:rsidRPr="003608B9" w:rsidRDefault="009E6043" w:rsidP="009E6043">
            <w:pPr>
              <w:rPr>
                <w:rFonts w:ascii="Calibri" w:hAnsi="Calibri"/>
              </w:rPr>
            </w:pPr>
          </w:p>
          <w:p w:rsidR="00170F35" w:rsidRPr="003608B9" w:rsidRDefault="009E6043" w:rsidP="00170F35">
            <w:pPr>
              <w:rPr>
                <w:rFonts w:ascii="Calibri" w:hAnsi="Calibri"/>
                <w:lang w:eastAsia="en-GB"/>
              </w:rPr>
            </w:pPr>
            <w:r w:rsidRPr="003608B9">
              <w:rPr>
                <w:rFonts w:ascii="Calibri" w:hAnsi="Calibri"/>
              </w:rPr>
              <w:lastRenderedPageBreak/>
              <w:t xml:space="preserve">The Tanzania Social Action Fund (TASAF) under the President’s Office is the main </w:t>
            </w:r>
            <w:proofErr w:type="spellStart"/>
            <w:r w:rsidRPr="003608B9">
              <w:rPr>
                <w:rFonts w:ascii="Calibri" w:hAnsi="Calibri"/>
              </w:rPr>
              <w:t>programme</w:t>
            </w:r>
            <w:proofErr w:type="spellEnd"/>
            <w:r w:rsidRPr="003608B9">
              <w:rPr>
                <w:rFonts w:ascii="Calibri" w:hAnsi="Calibri"/>
              </w:rPr>
              <w:t xml:space="preserve"> for scaling up Productive Social Safety Nets (PSSN). The </w:t>
            </w:r>
            <w:proofErr w:type="spellStart"/>
            <w:r w:rsidRPr="003608B9">
              <w:rPr>
                <w:rFonts w:ascii="Calibri" w:hAnsi="Calibri"/>
              </w:rPr>
              <w:t>programme</w:t>
            </w:r>
            <w:proofErr w:type="spellEnd"/>
            <w:r w:rsidRPr="003608B9">
              <w:rPr>
                <w:rFonts w:ascii="Calibri" w:hAnsi="Calibri"/>
              </w:rPr>
              <w:t xml:space="preserve"> bridges the gap between policies and community level interventions by providing support at macro, </w:t>
            </w:r>
            <w:proofErr w:type="spellStart"/>
            <w:r w:rsidRPr="003608B9">
              <w:rPr>
                <w:rFonts w:ascii="Calibri" w:hAnsi="Calibri"/>
              </w:rPr>
              <w:t>meso</w:t>
            </w:r>
            <w:proofErr w:type="spellEnd"/>
            <w:r w:rsidRPr="003608B9">
              <w:rPr>
                <w:rFonts w:ascii="Calibri" w:hAnsi="Calibri"/>
              </w:rPr>
              <w:t xml:space="preserve"> and micro levels. One of the key targets under PSSN is female headed households. </w:t>
            </w:r>
            <w:r w:rsidRPr="003608B9">
              <w:rPr>
                <w:rFonts w:ascii="Calibri" w:hAnsi="Calibri"/>
                <w:lang w:val="en-ZW"/>
              </w:rPr>
              <w:t xml:space="preserve">The expansion of the PSSN programme at the micro-level will mean </w:t>
            </w:r>
            <w:r w:rsidRPr="003608B9">
              <w:rPr>
                <w:rFonts w:ascii="Calibri" w:hAnsi="Calibri"/>
              </w:rPr>
              <w:t xml:space="preserve">920,000 households </w:t>
            </w:r>
            <w:r w:rsidRPr="003608B9">
              <w:rPr>
                <w:rFonts w:ascii="Calibri" w:hAnsi="Calibri"/>
                <w:lang w:val="en-ZW"/>
              </w:rPr>
              <w:t xml:space="preserve">living below the food poverty line will be enabled (through </w:t>
            </w:r>
            <w:r w:rsidRPr="003608B9">
              <w:rPr>
                <w:rFonts w:ascii="Calibri" w:hAnsi="Calibri"/>
              </w:rPr>
              <w:t xml:space="preserve">conditional cash transfers) </w:t>
            </w:r>
            <w:r w:rsidRPr="003608B9">
              <w:rPr>
                <w:rFonts w:ascii="Calibri" w:hAnsi="Calibri"/>
                <w:lang w:val="en-ZW"/>
              </w:rPr>
              <w:t>to improve their nutritional intake, access essential health services for</w:t>
            </w:r>
            <w:r w:rsidRPr="003608B9">
              <w:rPr>
                <w:rFonts w:ascii="Calibri" w:hAnsi="Calibri"/>
              </w:rPr>
              <w:t xml:space="preserve"> pregnant women and children under five, increase school enrolment and attendance for school age children, and enhance their livelihoods. </w:t>
            </w: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spacing w:line="276" w:lineRule="auto"/>
              <w:jc w:val="both"/>
              <w:rPr>
                <w:rFonts w:ascii="Calibri" w:eastAsia="Times New Roman" w:hAnsi="Calibri"/>
                <w:lang w:val="en-GB"/>
              </w:rPr>
            </w:pPr>
            <w:r w:rsidRPr="003608B9">
              <w:rPr>
                <w:rFonts w:ascii="Calibri" w:eastAsia="Times New Roman" w:hAnsi="Calibri"/>
                <w:lang w:val="en-GB"/>
              </w:rPr>
              <w:t>Is the Government planning to strengthen its role in harmonizing and coordinating the range of programmes on women’s economic empowerment at the national level (considering the numerous initiatives mentioned by the State Party)?</w:t>
            </w:r>
          </w:p>
        </w:tc>
        <w:tc>
          <w:tcPr>
            <w:tcW w:w="10240" w:type="dxa"/>
          </w:tcPr>
          <w:p w:rsidR="009E6043" w:rsidRPr="003608B9" w:rsidRDefault="009E6043" w:rsidP="009E6043">
            <w:pPr>
              <w:rPr>
                <w:rFonts w:ascii="Calibri" w:hAnsi="Calibri" w:cs="Arial"/>
              </w:rPr>
            </w:pPr>
            <w:r w:rsidRPr="003608B9">
              <w:rPr>
                <w:rFonts w:ascii="Calibri" w:hAnsi="Calibri" w:cs="Arial"/>
              </w:rPr>
              <w:t>The National Economic Empowerment Council (NEEC) is a national apex institution that oversees the implementation of empowerment initiatives in Tanzania. I</w:t>
            </w:r>
            <w:r w:rsidR="00B933C2" w:rsidRPr="003608B9">
              <w:rPr>
                <w:rFonts w:ascii="Calibri" w:hAnsi="Calibri" w:cs="Arial"/>
              </w:rPr>
              <w:t>t is a strategic leader in fac</w:t>
            </w:r>
            <w:r w:rsidRPr="003608B9">
              <w:rPr>
                <w:rFonts w:ascii="Calibri" w:hAnsi="Calibri" w:cs="Arial"/>
              </w:rPr>
              <w:t>ilitating, coordinating and monitoring the implementation of empowerment initiatives aiming at guiding Tanzanians to a strong national economy through an encouraging business environment and fair economic participation.</w:t>
            </w:r>
          </w:p>
          <w:p w:rsidR="009E6043" w:rsidRPr="003608B9" w:rsidRDefault="009E6043" w:rsidP="009E6043">
            <w:pPr>
              <w:rPr>
                <w:rFonts w:ascii="Calibri" w:hAnsi="Calibri" w:cs="Arial"/>
              </w:rPr>
            </w:pPr>
            <w:r w:rsidRPr="003608B9">
              <w:rPr>
                <w:rFonts w:ascii="Calibri" w:hAnsi="Calibri" w:cs="Arial"/>
              </w:rPr>
              <w:t xml:space="preserve">Among the key functions of NEEC are to coordinate implementation of empowerment activities across sectors and players, </w:t>
            </w:r>
            <w:proofErr w:type="spellStart"/>
            <w:r w:rsidRPr="003608B9">
              <w:rPr>
                <w:rFonts w:ascii="Calibri" w:hAnsi="Calibri" w:cs="Arial"/>
              </w:rPr>
              <w:t>mobilise</w:t>
            </w:r>
            <w:proofErr w:type="spellEnd"/>
            <w:r w:rsidRPr="003608B9">
              <w:rPr>
                <w:rFonts w:ascii="Calibri" w:hAnsi="Calibri" w:cs="Arial"/>
              </w:rPr>
              <w:t xml:space="preserve"> resources for the citizens’ credit guarantee fund and administer its usage, facilitate entrepreneurship training </w:t>
            </w:r>
            <w:proofErr w:type="spellStart"/>
            <w:r w:rsidRPr="003608B9">
              <w:rPr>
                <w:rFonts w:ascii="Calibri" w:hAnsi="Calibri" w:cs="Arial"/>
              </w:rPr>
              <w:t>programmes</w:t>
            </w:r>
            <w:proofErr w:type="spellEnd"/>
            <w:r w:rsidRPr="003608B9">
              <w:rPr>
                <w:rFonts w:ascii="Calibri" w:hAnsi="Calibri" w:cs="Arial"/>
              </w:rPr>
              <w:t xml:space="preserve"> for various groups of citizens, and collaborate and network with </w:t>
            </w:r>
            <w:proofErr w:type="spellStart"/>
            <w:r w:rsidRPr="003608B9">
              <w:rPr>
                <w:rFonts w:ascii="Calibri" w:hAnsi="Calibri" w:cs="Arial"/>
              </w:rPr>
              <w:t>organisations</w:t>
            </w:r>
            <w:proofErr w:type="spellEnd"/>
            <w:r w:rsidRPr="003608B9">
              <w:rPr>
                <w:rFonts w:ascii="Calibri" w:hAnsi="Calibri" w:cs="Arial"/>
              </w:rPr>
              <w:t xml:space="preserve"> and institutions which promote empowerment, development and entrepreneurship.</w:t>
            </w:r>
          </w:p>
          <w:p w:rsidR="009E6043" w:rsidRPr="003608B9" w:rsidRDefault="009E6043" w:rsidP="009E6043">
            <w:pPr>
              <w:rPr>
                <w:rFonts w:ascii="Calibri" w:hAnsi="Calibri" w:cs="Arial"/>
              </w:rPr>
            </w:pPr>
            <w:r w:rsidRPr="003608B9">
              <w:rPr>
                <w:rFonts w:ascii="Calibri" w:hAnsi="Calibri" w:cs="Arial"/>
              </w:rPr>
              <w:t>NEEC is mandated to collaborate with various institutions and organizations for the purpose of promoting empowerment of citizens (to exploit economic opportunities, access services, and contribute to their economic livelihoods and the overall economy).</w:t>
            </w:r>
          </w:p>
          <w:p w:rsidR="00170F35" w:rsidRPr="003608B9" w:rsidRDefault="00170F35" w:rsidP="00170F35">
            <w:pPr>
              <w:rPr>
                <w:rFonts w:ascii="Calibri" w:hAnsi="Calibri" w:cs="Arial"/>
                <w:color w:val="222222"/>
              </w:rPr>
            </w:pPr>
          </w:p>
        </w:tc>
      </w:tr>
      <w:tr w:rsidR="00170F35" w:rsidRPr="003608B9" w:rsidTr="000C06EC">
        <w:tc>
          <w:tcPr>
            <w:tcW w:w="1256" w:type="dxa"/>
            <w:vMerge/>
          </w:tcPr>
          <w:p w:rsidR="00170F35" w:rsidRPr="003608B9" w:rsidRDefault="00170F35" w:rsidP="00170F35">
            <w:pPr>
              <w:rPr>
                <w:rFonts w:ascii="Calibri" w:hAnsi="Calibri" w:cs="Arial"/>
                <w:color w:val="222222"/>
              </w:rPr>
            </w:pPr>
          </w:p>
        </w:tc>
        <w:tc>
          <w:tcPr>
            <w:tcW w:w="3241" w:type="dxa"/>
          </w:tcPr>
          <w:p w:rsidR="00170F35" w:rsidRPr="003608B9" w:rsidRDefault="00170F35" w:rsidP="00170F35">
            <w:pPr>
              <w:rPr>
                <w:rFonts w:ascii="Calibri" w:eastAsia="Times New Roman" w:hAnsi="Calibri"/>
                <w:lang w:val="en-GB"/>
              </w:rPr>
            </w:pPr>
            <w:r w:rsidRPr="003608B9">
              <w:rPr>
                <w:rFonts w:ascii="Calibri" w:eastAsia="Times New Roman" w:hAnsi="Calibri"/>
                <w:lang w:val="en-GB"/>
              </w:rPr>
              <w:t>Is the Government planning to strengthen efforts to expand women’s access to financial services, qualified technical assistance and ICTs to help women scale up business from the micro to medium entrepreneurship level?</w:t>
            </w:r>
          </w:p>
          <w:p w:rsidR="00170F35" w:rsidRPr="003608B9" w:rsidRDefault="00170F35" w:rsidP="00170F35">
            <w:pPr>
              <w:rPr>
                <w:rFonts w:ascii="Calibri" w:eastAsia="Times New Roman" w:hAnsi="Calibri"/>
                <w:lang w:val="en-GB"/>
              </w:rPr>
            </w:pPr>
          </w:p>
        </w:tc>
        <w:tc>
          <w:tcPr>
            <w:tcW w:w="10240" w:type="dxa"/>
          </w:tcPr>
          <w:p w:rsidR="00B933C2" w:rsidRPr="003608B9" w:rsidRDefault="00B933C2" w:rsidP="00B933C2">
            <w:pPr>
              <w:rPr>
                <w:rFonts w:ascii="Calibri" w:hAnsi="Calibri" w:cs="Arial"/>
              </w:rPr>
            </w:pPr>
            <w:r w:rsidRPr="003608B9">
              <w:rPr>
                <w:rFonts w:ascii="Calibri" w:hAnsi="Calibri" w:cs="Arial"/>
              </w:rPr>
              <w:t xml:space="preserve">In terms of Information and Communication Technology, 35.9 million people have access to phones in Tanzania according to TCRA. This represents almost 80% of the population. Gender disaggregated data is not available on this subject, but many are women. Of these, 45% use mobile money. </w:t>
            </w:r>
          </w:p>
          <w:p w:rsidR="00B933C2" w:rsidRPr="003608B9" w:rsidRDefault="00B933C2" w:rsidP="00B933C2">
            <w:pPr>
              <w:rPr>
                <w:rFonts w:ascii="Calibri" w:hAnsi="Calibri" w:cs="Arial"/>
              </w:rPr>
            </w:pPr>
            <w:r w:rsidRPr="003608B9">
              <w:rPr>
                <w:rFonts w:ascii="Calibri" w:hAnsi="Calibri" w:cs="Arial"/>
              </w:rPr>
              <w:t xml:space="preserve">Regarding Informal Finance Groups there are about 2.2 million people involved in these groups, of which nearly 80% are women. Together, these groups are estimated to hold an amount of 1.2 trillion TZS. </w:t>
            </w:r>
          </w:p>
          <w:p w:rsidR="00B933C2" w:rsidRPr="003608B9" w:rsidRDefault="00B933C2" w:rsidP="00B933C2">
            <w:pPr>
              <w:rPr>
                <w:rFonts w:ascii="Calibri" w:hAnsi="Calibri" w:cs="Arial"/>
              </w:rPr>
            </w:pPr>
            <w:r w:rsidRPr="003608B9">
              <w:rPr>
                <w:rFonts w:ascii="Calibri" w:hAnsi="Calibri" w:cs="Arial"/>
                <w:shd w:val="clear" w:color="auto" w:fill="FFFFFF"/>
              </w:rPr>
              <w:t>CDC and the International Finance Corporation (‘IFC’) have invested US$24m to acquire a 5% holding in CRDB Bank, the leading provider of financial services in Tanzania. The investment will enable CRDB to continue its growth and further improve access to financial services with the aim of helping to build businesses that create jobs. Following the capital raise, CRDB is well-placed to address this deficit in Tanzania and aims to expand its branch network to cover three-quarters of the country. Currently, the bank has a network of 120 branches in Tanzania, a fleet of vehicles equipped as mobile banking branches and an agent network that reaches the outlying and undeserved areas.</w:t>
            </w:r>
          </w:p>
          <w:p w:rsidR="00B933C2" w:rsidRPr="003608B9" w:rsidRDefault="00B933C2" w:rsidP="00B933C2">
            <w:pPr>
              <w:rPr>
                <w:rFonts w:ascii="Calibri" w:hAnsi="Calibri"/>
              </w:rPr>
            </w:pPr>
            <w:r w:rsidRPr="003608B9">
              <w:rPr>
                <w:rFonts w:ascii="Calibri" w:hAnsi="Calibri" w:cs="Arial"/>
              </w:rPr>
              <w:t xml:space="preserve">National </w:t>
            </w:r>
            <w:proofErr w:type="spellStart"/>
            <w:r w:rsidRPr="003608B9">
              <w:rPr>
                <w:rFonts w:ascii="Calibri" w:hAnsi="Calibri" w:cs="Arial"/>
              </w:rPr>
              <w:t>Fibre</w:t>
            </w:r>
            <w:proofErr w:type="spellEnd"/>
            <w:r w:rsidRPr="003608B9">
              <w:rPr>
                <w:rFonts w:ascii="Calibri" w:hAnsi="Calibri" w:cs="Arial"/>
              </w:rPr>
              <w:t xml:space="preserve"> Optic Cable has been deployed</w:t>
            </w:r>
            <w:r w:rsidRPr="003608B9">
              <w:rPr>
                <w:rFonts w:ascii="Calibri" w:hAnsi="Calibri"/>
              </w:rPr>
              <w:t xml:space="preserve"> to enhance information and communication technology accessibility in supporting and reducing cost of doing business</w:t>
            </w:r>
            <w:r w:rsidRPr="003608B9">
              <w:rPr>
                <w:rFonts w:ascii="Calibri" w:hAnsi="Calibri" w:cs="Arial"/>
              </w:rPr>
              <w:t xml:space="preserve">. This </w:t>
            </w:r>
            <w:r w:rsidRPr="003608B9">
              <w:rPr>
                <w:rFonts w:ascii="Calibri" w:hAnsi="Calibri"/>
              </w:rPr>
              <w:t xml:space="preserve">has improved internet speed and reduced </w:t>
            </w:r>
            <w:r w:rsidRPr="003608B9">
              <w:rPr>
                <w:rFonts w:ascii="Calibri" w:hAnsi="Calibri"/>
              </w:rPr>
              <w:lastRenderedPageBreak/>
              <w:t xml:space="preserve">connection charges, and has also lead to an increased use of mobile phones and internet, plus enabled mobile money transfers. </w:t>
            </w:r>
          </w:p>
          <w:p w:rsidR="00B933C2" w:rsidRPr="003608B9" w:rsidRDefault="00B933C2" w:rsidP="00B933C2">
            <w:pPr>
              <w:rPr>
                <w:rFonts w:ascii="Calibri" w:hAnsi="Calibri"/>
              </w:rPr>
            </w:pPr>
            <w:r w:rsidRPr="003608B9">
              <w:rPr>
                <w:rFonts w:ascii="Calibri" w:hAnsi="Calibri"/>
              </w:rPr>
              <w:t>The following measures have been encouraged through banks to extend more loans to finance investment projects in the country: Establishment of Credit Reference Bureaus, Funds for concessionary terms, Identity cards for citizens, Enhancing Creditworthiness of the Citizens of Tanzania, and setting up a good coordinating mechanism for the private sector.</w:t>
            </w:r>
          </w:p>
          <w:p w:rsidR="00B933C2" w:rsidRPr="003608B9" w:rsidRDefault="00B933C2" w:rsidP="00B933C2">
            <w:pPr>
              <w:rPr>
                <w:rFonts w:ascii="Calibri" w:hAnsi="Calibri"/>
              </w:rPr>
            </w:pPr>
            <w:r w:rsidRPr="003608B9">
              <w:rPr>
                <w:rFonts w:ascii="Calibri" w:hAnsi="Calibri"/>
              </w:rPr>
              <w:t>Women Development Fund (WDF) was established in 2001 for the purpose of enabling women to access credit for establishment and furtherance of their economic activities. Up to December 2014 loans amounting to 2.76 billion shillings were issued to 500,000 women through their SACCOS/groups. Trainings were also provided to the loans beneficiaries to enable them to implement their economic projects successfully. The Fund has enabled women to employ themselves and create employment opportunities for others.</w:t>
            </w:r>
          </w:p>
          <w:p w:rsidR="00170F35" w:rsidRPr="003608B9" w:rsidRDefault="00B933C2" w:rsidP="00B933C2">
            <w:pPr>
              <w:rPr>
                <w:rFonts w:ascii="Calibri" w:hAnsi="Calibri" w:cs="Arial"/>
                <w:color w:val="222222"/>
              </w:rPr>
            </w:pPr>
            <w:r w:rsidRPr="003608B9">
              <w:rPr>
                <w:rFonts w:ascii="Calibri" w:hAnsi="Calibri"/>
              </w:rPr>
              <w:t xml:space="preserve">Tanzania Investment Bank through the agriculture window facilitated farmers to acquire better farm implements through soft loans. Within the last ten years the Bank issued loans to farmers to purchase 211 tractors, 6 harvesting machines, and 137 power tillers. In order to capitalize small scale miners the government through TIB Bank issued loans amounted to </w:t>
            </w:r>
            <w:proofErr w:type="spellStart"/>
            <w:r w:rsidRPr="003608B9">
              <w:rPr>
                <w:rFonts w:ascii="Calibri" w:hAnsi="Calibri"/>
              </w:rPr>
              <w:t>Tshs</w:t>
            </w:r>
            <w:proofErr w:type="spellEnd"/>
            <w:r w:rsidRPr="003608B9">
              <w:rPr>
                <w:rFonts w:ascii="Calibri" w:hAnsi="Calibri"/>
              </w:rPr>
              <w:t xml:space="preserve">. 488 </w:t>
            </w:r>
            <w:r w:rsidR="005E2014" w:rsidRPr="003608B9">
              <w:rPr>
                <w:rFonts w:ascii="Calibri" w:hAnsi="Calibri"/>
              </w:rPr>
              <w:t>million</w:t>
            </w:r>
            <w:r w:rsidRPr="003608B9">
              <w:rPr>
                <w:rFonts w:ascii="Calibri" w:hAnsi="Calibri"/>
              </w:rPr>
              <w:t xml:space="preserve"> to 3 companies and 2 women groups were given loans amounting to 85 for establishing minerals value addition centers. Also the Government issued soft loans valued at </w:t>
            </w:r>
            <w:proofErr w:type="spellStart"/>
            <w:r w:rsidRPr="003608B9">
              <w:rPr>
                <w:rFonts w:ascii="Calibri" w:hAnsi="Calibri"/>
              </w:rPr>
              <w:t>Tshs</w:t>
            </w:r>
            <w:proofErr w:type="spellEnd"/>
            <w:r w:rsidRPr="003608B9">
              <w:rPr>
                <w:rFonts w:ascii="Calibri" w:hAnsi="Calibri"/>
              </w:rPr>
              <w:t xml:space="preserve">. 880.68 million to 11 small scale </w:t>
            </w:r>
            <w:proofErr w:type="gramStart"/>
            <w:r w:rsidRPr="003608B9">
              <w:rPr>
                <w:rFonts w:ascii="Calibri" w:hAnsi="Calibri"/>
              </w:rPr>
              <w:t>miners</w:t>
            </w:r>
            <w:proofErr w:type="gramEnd"/>
            <w:r w:rsidRPr="003608B9">
              <w:rPr>
                <w:rFonts w:ascii="Calibri" w:hAnsi="Calibri"/>
              </w:rPr>
              <w:t xml:space="preserve"> projects.</w:t>
            </w:r>
          </w:p>
        </w:tc>
      </w:tr>
      <w:tr w:rsidR="00170F35" w:rsidRPr="003608B9" w:rsidTr="000C06EC">
        <w:tc>
          <w:tcPr>
            <w:tcW w:w="1256" w:type="dxa"/>
            <w:vMerge w:val="restart"/>
          </w:tcPr>
          <w:p w:rsidR="00170F35" w:rsidRPr="003608B9" w:rsidRDefault="00170F35" w:rsidP="00170F35">
            <w:pPr>
              <w:spacing w:line="276" w:lineRule="auto"/>
              <w:jc w:val="both"/>
              <w:rPr>
                <w:rFonts w:ascii="Calibri" w:hAnsi="Calibri"/>
              </w:rPr>
            </w:pPr>
            <w:r w:rsidRPr="003608B9">
              <w:rPr>
                <w:rFonts w:ascii="Calibri" w:hAnsi="Calibri"/>
              </w:rPr>
              <w:lastRenderedPageBreak/>
              <w:t>Articles 15 and 16</w:t>
            </w:r>
          </w:p>
        </w:tc>
        <w:tc>
          <w:tcPr>
            <w:tcW w:w="3241" w:type="dxa"/>
          </w:tcPr>
          <w:p w:rsidR="00170F35" w:rsidRPr="003608B9" w:rsidRDefault="00170F35" w:rsidP="00DC7B06">
            <w:pPr>
              <w:rPr>
                <w:rFonts w:ascii="Calibri" w:eastAsia="Times New Roman" w:hAnsi="Calibri"/>
                <w:lang w:val="en-GB"/>
              </w:rPr>
            </w:pPr>
            <w:r w:rsidRPr="003608B9">
              <w:rPr>
                <w:rFonts w:ascii="Calibri" w:eastAsia="Times New Roman" w:hAnsi="Calibri"/>
                <w:lang w:val="en-GB"/>
              </w:rPr>
              <w:t>What does the state party plan to do to ensure that discriminatory customary l</w:t>
            </w:r>
            <w:r w:rsidR="00DC7B06" w:rsidRPr="003608B9">
              <w:rPr>
                <w:rFonts w:ascii="Calibri" w:eastAsia="Times New Roman" w:hAnsi="Calibri"/>
                <w:lang w:val="en-GB"/>
              </w:rPr>
              <w:t xml:space="preserve">aws are repealed or modified so that they are </w:t>
            </w:r>
            <w:r w:rsidRPr="003608B9">
              <w:rPr>
                <w:rFonts w:ascii="Calibri" w:eastAsia="Times New Roman" w:hAnsi="Calibri"/>
                <w:lang w:val="en-GB"/>
              </w:rPr>
              <w:t>in line with CEDAW  (for example Local customary Law, declaration No. 4 of 1963, and those related to freedom of movement and inheritance)?</w:t>
            </w:r>
          </w:p>
        </w:tc>
        <w:tc>
          <w:tcPr>
            <w:tcW w:w="10240" w:type="dxa"/>
          </w:tcPr>
          <w:p w:rsidR="00170F35" w:rsidRPr="003608B9" w:rsidRDefault="00650848" w:rsidP="00170F35">
            <w:pPr>
              <w:rPr>
                <w:rFonts w:ascii="Calibri" w:hAnsi="Calibri" w:cs="Arial"/>
                <w:color w:val="222222"/>
              </w:rPr>
            </w:pPr>
            <w:r w:rsidRPr="00650848">
              <w:rPr>
                <w:rFonts w:ascii="Calibri" w:hAnsi="Calibri"/>
              </w:rPr>
              <w:t>The proposed constitution Article 52 has specifically articulates women’s rights aspects and hence nullify all discriminatory laws and practices against women. This is regarded as a new national constitution with the power to transform the lives and protect the rights of millions of women.</w:t>
            </w:r>
          </w:p>
        </w:tc>
      </w:tr>
      <w:tr w:rsidR="00170F35" w:rsidRPr="003608B9" w:rsidTr="000C06EC">
        <w:tc>
          <w:tcPr>
            <w:tcW w:w="1256" w:type="dxa"/>
            <w:vMerge/>
          </w:tcPr>
          <w:p w:rsidR="00170F35" w:rsidRPr="003608B9" w:rsidRDefault="00170F35" w:rsidP="00170F35">
            <w:pPr>
              <w:jc w:val="both"/>
              <w:rPr>
                <w:rFonts w:ascii="Calibri" w:hAnsi="Calibri"/>
              </w:rPr>
            </w:pPr>
          </w:p>
        </w:tc>
        <w:tc>
          <w:tcPr>
            <w:tcW w:w="3241" w:type="dxa"/>
          </w:tcPr>
          <w:p w:rsidR="00170F35" w:rsidRPr="003608B9" w:rsidRDefault="00170F35" w:rsidP="00170F35">
            <w:pPr>
              <w:tabs>
                <w:tab w:val="left" w:pos="7110"/>
              </w:tabs>
              <w:spacing w:line="276" w:lineRule="auto"/>
              <w:rPr>
                <w:rFonts w:ascii="Calibri" w:eastAsia="Times New Roman" w:hAnsi="Calibri"/>
                <w:lang w:val="en-GB"/>
              </w:rPr>
            </w:pPr>
            <w:r w:rsidRPr="003608B9">
              <w:rPr>
                <w:rFonts w:ascii="Calibri" w:eastAsia="Times New Roman" w:hAnsi="Calibri"/>
                <w:lang w:val="en-GB"/>
              </w:rPr>
              <w:t xml:space="preserve">Communication under the Optional Protocol (for example, E.S &amp; S.C. v. United Republic of Tanzania, CEDAW/C/60/D/48/2013), what concrete steps has the state party taken towards complying </w:t>
            </w:r>
            <w:r w:rsidRPr="003608B9">
              <w:rPr>
                <w:rFonts w:ascii="Calibri" w:eastAsia="Times New Roman" w:hAnsi="Calibri"/>
                <w:lang w:val="en-GB"/>
              </w:rPr>
              <w:lastRenderedPageBreak/>
              <w:t>with the decision of CEDAW in this case?</w:t>
            </w:r>
          </w:p>
        </w:tc>
        <w:tc>
          <w:tcPr>
            <w:tcW w:w="10240" w:type="dxa"/>
          </w:tcPr>
          <w:p w:rsidR="00996969" w:rsidRPr="005A5204" w:rsidRDefault="00996969" w:rsidP="00996969">
            <w:pPr>
              <w:pStyle w:val="xmsonormal"/>
              <w:spacing w:line="276" w:lineRule="auto"/>
              <w:jc w:val="both"/>
              <w:rPr>
                <w:rFonts w:ascii="Calibri" w:hAnsi="Calibri" w:cstheme="minorBidi"/>
                <w:sz w:val="22"/>
                <w:szCs w:val="22"/>
                <w:lang w:val="en-GB"/>
              </w:rPr>
            </w:pPr>
            <w:r w:rsidRPr="005A5204">
              <w:rPr>
                <w:rFonts w:ascii="Calibri" w:hAnsi="Calibri" w:cstheme="minorBidi"/>
                <w:sz w:val="22"/>
                <w:szCs w:val="22"/>
                <w:lang w:val="en-GB"/>
              </w:rPr>
              <w:lastRenderedPageBreak/>
              <w:t xml:space="preserve">As regards the Communication under the Optional Protocol i.e. E.S &amp; S.C. v. United Republic of Tanzania, CEDAW/C/60/D/48/2013 that the committee dealt with, the SP recognises that it was concluded </w:t>
            </w:r>
            <w:proofErr w:type="gramStart"/>
            <w:r w:rsidRPr="005A5204">
              <w:rPr>
                <w:rFonts w:ascii="Calibri" w:hAnsi="Calibri" w:cstheme="minorBidi"/>
                <w:sz w:val="22"/>
                <w:szCs w:val="22"/>
                <w:lang w:val="en-GB"/>
              </w:rPr>
              <w:t>and  the</w:t>
            </w:r>
            <w:proofErr w:type="gramEnd"/>
            <w:r w:rsidRPr="005A5204">
              <w:rPr>
                <w:rFonts w:ascii="Calibri" w:hAnsi="Calibri" w:cstheme="minorBidi"/>
                <w:sz w:val="22"/>
                <w:szCs w:val="22"/>
                <w:lang w:val="en-GB"/>
              </w:rPr>
              <w:t xml:space="preserve"> delegation is following up internally on an official response. </w:t>
            </w:r>
          </w:p>
          <w:p w:rsidR="00996969" w:rsidRPr="005A5204" w:rsidRDefault="00996969" w:rsidP="00996969">
            <w:pPr>
              <w:pStyle w:val="xmsonormal"/>
              <w:spacing w:line="276" w:lineRule="auto"/>
              <w:jc w:val="both"/>
              <w:rPr>
                <w:rFonts w:ascii="Calibri" w:hAnsi="Calibri" w:cstheme="minorBidi"/>
                <w:sz w:val="22"/>
                <w:szCs w:val="22"/>
                <w:lang w:val="en-GB"/>
              </w:rPr>
            </w:pPr>
            <w:r w:rsidRPr="005A5204">
              <w:rPr>
                <w:rFonts w:ascii="Calibri" w:hAnsi="Calibri" w:cstheme="minorBidi"/>
                <w:sz w:val="22"/>
                <w:szCs w:val="22"/>
                <w:lang w:val="en-GB"/>
              </w:rPr>
              <w:t xml:space="preserve">The SP furthermore wishes to update the committee that the SP communicated with the relevant District Council and that this communication will now be followed up by the new government. </w:t>
            </w:r>
          </w:p>
          <w:p w:rsidR="00996969" w:rsidRPr="005A5204" w:rsidRDefault="00996969" w:rsidP="00996969">
            <w:pPr>
              <w:pStyle w:val="xmsonormal"/>
              <w:spacing w:line="276" w:lineRule="auto"/>
              <w:jc w:val="both"/>
              <w:rPr>
                <w:rFonts w:ascii="Calibri" w:hAnsi="Calibri" w:cstheme="minorBidi"/>
                <w:sz w:val="22"/>
                <w:szCs w:val="22"/>
                <w:lang w:val="en-GB"/>
              </w:rPr>
            </w:pPr>
            <w:r w:rsidRPr="005A5204">
              <w:rPr>
                <w:rFonts w:ascii="Calibri" w:hAnsi="Calibri" w:cstheme="minorBidi"/>
                <w:sz w:val="22"/>
                <w:szCs w:val="22"/>
                <w:lang w:val="en-GB"/>
              </w:rPr>
              <w:lastRenderedPageBreak/>
              <w:t>Additionally, the SP wishes to inform the Committee that it has started undertaking capacity-building for judges, judicial personnel and lawyers, including at the local and community levels, on the Convention, the Optional Protocol thereto and its jurisprudence. This includes Zanzibar.</w:t>
            </w:r>
          </w:p>
          <w:p w:rsidR="00996969" w:rsidRPr="005A5204" w:rsidRDefault="00996969" w:rsidP="00996969">
            <w:pPr>
              <w:pStyle w:val="xsingletxt"/>
              <w:spacing w:line="276" w:lineRule="auto"/>
              <w:rPr>
                <w:rFonts w:ascii="Calibri" w:hAnsi="Calibri" w:cstheme="minorBidi"/>
                <w:sz w:val="22"/>
                <w:szCs w:val="22"/>
                <w:lang w:val="en-GB"/>
              </w:rPr>
            </w:pPr>
            <w:r w:rsidRPr="005A5204">
              <w:rPr>
                <w:rFonts w:ascii="Calibri" w:hAnsi="Calibri" w:cstheme="minorBidi"/>
                <w:sz w:val="22"/>
                <w:szCs w:val="22"/>
                <w:lang w:val="en-GB"/>
              </w:rPr>
              <w:t>Also, the Ministry of Constitution and Legal Affairs has just concluded a comprehensive mapping study on women’s access to justice which includes attention to address any delay in courts.</w:t>
            </w:r>
          </w:p>
          <w:p w:rsidR="00170F35" w:rsidRPr="003608B9" w:rsidRDefault="00170F35" w:rsidP="00170F35">
            <w:pPr>
              <w:rPr>
                <w:rFonts w:ascii="Calibri" w:hAnsi="Calibri" w:cs="Arial"/>
                <w:color w:val="222222"/>
              </w:rPr>
            </w:pPr>
          </w:p>
        </w:tc>
      </w:tr>
    </w:tbl>
    <w:p w:rsidR="00167DC3" w:rsidRPr="003608B9" w:rsidRDefault="00167DC3">
      <w:pPr>
        <w:rPr>
          <w:rFonts w:ascii="Calibri" w:hAnsi="Calibri"/>
        </w:rPr>
      </w:pPr>
    </w:p>
    <w:sectPr w:rsidR="00167DC3" w:rsidRPr="003608B9" w:rsidSect="00F10FB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68D" w:rsidRDefault="0049368D" w:rsidP="002B3964">
      <w:pPr>
        <w:spacing w:after="0" w:line="240" w:lineRule="auto"/>
      </w:pPr>
      <w:r>
        <w:separator/>
      </w:r>
    </w:p>
  </w:endnote>
  <w:endnote w:type="continuationSeparator" w:id="0">
    <w:p w:rsidR="0049368D" w:rsidRDefault="0049368D" w:rsidP="002B3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68D" w:rsidRDefault="0049368D" w:rsidP="002B3964">
      <w:pPr>
        <w:spacing w:after="0" w:line="240" w:lineRule="auto"/>
      </w:pPr>
      <w:r>
        <w:separator/>
      </w:r>
    </w:p>
  </w:footnote>
  <w:footnote w:type="continuationSeparator" w:id="0">
    <w:p w:rsidR="0049368D" w:rsidRDefault="0049368D" w:rsidP="002B3964">
      <w:pPr>
        <w:spacing w:after="0" w:line="240" w:lineRule="auto"/>
      </w:pPr>
      <w:r>
        <w:continuationSeparator/>
      </w:r>
    </w:p>
  </w:footnote>
  <w:footnote w:id="1">
    <w:p w:rsidR="0067704D" w:rsidRPr="003952D5" w:rsidRDefault="0067704D" w:rsidP="002B3964">
      <w:pPr>
        <w:pStyle w:val="FootnoteText"/>
        <w:tabs>
          <w:tab w:val="right" w:pos="1195"/>
          <w:tab w:val="left" w:pos="1267"/>
          <w:tab w:val="left" w:pos="1742"/>
          <w:tab w:val="left" w:pos="2218"/>
          <w:tab w:val="left" w:pos="2693"/>
        </w:tabs>
        <w:spacing w:after="0" w:line="240" w:lineRule="auto"/>
        <w:ind w:right="1260"/>
        <w:jc w:val="both"/>
        <w:rPr>
          <w:rFonts w:ascii="Times New Roman" w:hAnsi="Times New Roman"/>
          <w:szCs w:val="17"/>
          <w:lang w:val="en-US"/>
        </w:rPr>
      </w:pPr>
      <w:r w:rsidRPr="003952D5">
        <w:rPr>
          <w:rStyle w:val="FootnoteReference"/>
          <w:rFonts w:ascii="Times New Roman" w:hAnsi="Times New Roman"/>
          <w:spacing w:val="5"/>
          <w:w w:val="104"/>
          <w:szCs w:val="17"/>
        </w:rPr>
        <w:footnoteRef/>
      </w:r>
      <w:r w:rsidRPr="003952D5">
        <w:rPr>
          <w:rFonts w:ascii="Times New Roman" w:hAnsi="Times New Roman"/>
          <w:szCs w:val="17"/>
        </w:rPr>
        <w:tab/>
        <w:t>Cap. 114 R.E. 2002. Section 60(2).</w:t>
      </w:r>
    </w:p>
  </w:footnote>
  <w:footnote w:id="2">
    <w:p w:rsidR="0067704D" w:rsidRPr="003952D5" w:rsidRDefault="0067704D" w:rsidP="002B3964">
      <w:pPr>
        <w:pStyle w:val="FootnoteText"/>
        <w:spacing w:after="0" w:line="240" w:lineRule="auto"/>
        <w:rPr>
          <w:rFonts w:ascii="Times New Roman" w:hAnsi="Times New Roman"/>
          <w:lang w:val="en-US"/>
        </w:rPr>
      </w:pPr>
      <w:r w:rsidRPr="003952D5">
        <w:rPr>
          <w:rStyle w:val="FootnoteReference"/>
          <w:rFonts w:ascii="Times New Roman" w:hAnsi="Times New Roman"/>
        </w:rPr>
        <w:footnoteRef/>
      </w:r>
      <w:r w:rsidRPr="003952D5">
        <w:rPr>
          <w:rFonts w:ascii="Times New Roman" w:hAnsi="Times New Roman"/>
        </w:rPr>
        <w:t xml:space="preserve"> </w:t>
      </w:r>
      <w:r>
        <w:rPr>
          <w:rFonts w:ascii="Times New Roman" w:hAnsi="Times New Roman"/>
          <w:lang w:val="en-US"/>
        </w:rPr>
        <w:t>State Party R</w:t>
      </w:r>
      <w:r w:rsidRPr="003952D5">
        <w:rPr>
          <w:rFonts w:ascii="Times New Roman" w:hAnsi="Times New Roman"/>
          <w:lang w:val="en-US"/>
        </w:rPr>
        <w:t>eport Para 137.</w:t>
      </w:r>
    </w:p>
  </w:footnote>
  <w:footnote w:id="3">
    <w:p w:rsidR="006A0CAF" w:rsidRDefault="006A0CAF" w:rsidP="006A0CAF">
      <w:pPr>
        <w:pStyle w:val="FootnoteText"/>
        <w:spacing w:after="0" w:line="240" w:lineRule="auto"/>
        <w:jc w:val="both"/>
        <w:rPr>
          <w:lang w:val="en-US"/>
        </w:rPr>
      </w:pPr>
      <w:r>
        <w:rPr>
          <w:rStyle w:val="FootnoteReference"/>
        </w:rPr>
        <w:footnoteRef/>
      </w:r>
      <w:r>
        <w:t xml:space="preserve"> </w:t>
      </w:r>
      <w:r>
        <w:rPr>
          <w:lang w:val="en-US"/>
        </w:rPr>
        <w:t>URT, National Employment Policy, 2008</w:t>
      </w:r>
    </w:p>
  </w:footnote>
  <w:footnote w:id="4">
    <w:p w:rsidR="006A0CAF" w:rsidRDefault="006A0CAF" w:rsidP="006A0CAF">
      <w:pPr>
        <w:pStyle w:val="FootnoteText"/>
        <w:spacing w:after="0" w:line="240" w:lineRule="auto"/>
        <w:jc w:val="both"/>
        <w:rPr>
          <w:lang w:val="en-US"/>
        </w:rPr>
      </w:pPr>
      <w:r>
        <w:rPr>
          <w:rStyle w:val="FootnoteReference"/>
        </w:rPr>
        <w:footnoteRef/>
      </w:r>
      <w:r>
        <w:t xml:space="preserve"> </w:t>
      </w:r>
      <w:r>
        <w:rPr>
          <w:lang w:val="en-US"/>
        </w:rPr>
        <w:t xml:space="preserve">URT, the Employment and </w:t>
      </w:r>
      <w:proofErr w:type="spellStart"/>
      <w:r>
        <w:rPr>
          <w:lang w:val="en-US"/>
        </w:rPr>
        <w:t>Labour</w:t>
      </w:r>
      <w:proofErr w:type="spellEnd"/>
      <w:r>
        <w:rPr>
          <w:lang w:val="en-US"/>
        </w:rPr>
        <w:t xml:space="preserve"> Relations Act, 2004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A5717D"/>
    <w:multiLevelType w:val="hybridMultilevel"/>
    <w:tmpl w:val="60A2BD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BF9009C"/>
    <w:multiLevelType w:val="hybridMultilevel"/>
    <w:tmpl w:val="73DEAED4"/>
    <w:lvl w:ilvl="0" w:tplc="86DE8E10">
      <w:start w:val="1"/>
      <w:numFmt w:val="decimal"/>
      <w:lvlText w:val="%1."/>
      <w:lvlJc w:val="left"/>
      <w:pPr>
        <w:ind w:left="360" w:hanging="360"/>
      </w:pPr>
      <w:rPr>
        <w:rFonts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E76"/>
    <w:rsid w:val="000054D6"/>
    <w:rsid w:val="00074418"/>
    <w:rsid w:val="000917E2"/>
    <w:rsid w:val="000B0604"/>
    <w:rsid w:val="000C06EC"/>
    <w:rsid w:val="000C0C99"/>
    <w:rsid w:val="000F4D39"/>
    <w:rsid w:val="00114BAE"/>
    <w:rsid w:val="00164599"/>
    <w:rsid w:val="00167DC3"/>
    <w:rsid w:val="00170F35"/>
    <w:rsid w:val="001B06F1"/>
    <w:rsid w:val="001F7EB9"/>
    <w:rsid w:val="00227BE4"/>
    <w:rsid w:val="0024113C"/>
    <w:rsid w:val="002667BD"/>
    <w:rsid w:val="00276658"/>
    <w:rsid w:val="002B3964"/>
    <w:rsid w:val="002B3D19"/>
    <w:rsid w:val="002E31BC"/>
    <w:rsid w:val="00306CE0"/>
    <w:rsid w:val="00317C55"/>
    <w:rsid w:val="003608B9"/>
    <w:rsid w:val="003A33B0"/>
    <w:rsid w:val="003F5C96"/>
    <w:rsid w:val="00400F1E"/>
    <w:rsid w:val="00435930"/>
    <w:rsid w:val="004640F7"/>
    <w:rsid w:val="0049368D"/>
    <w:rsid w:val="004A15CF"/>
    <w:rsid w:val="004E6AD6"/>
    <w:rsid w:val="004F574D"/>
    <w:rsid w:val="00560F90"/>
    <w:rsid w:val="005A5204"/>
    <w:rsid w:val="005A5C19"/>
    <w:rsid w:val="005B2193"/>
    <w:rsid w:val="005B59F8"/>
    <w:rsid w:val="005B6677"/>
    <w:rsid w:val="005D731F"/>
    <w:rsid w:val="005E2014"/>
    <w:rsid w:val="005E281C"/>
    <w:rsid w:val="005E4143"/>
    <w:rsid w:val="0060131A"/>
    <w:rsid w:val="00601B6F"/>
    <w:rsid w:val="006276A0"/>
    <w:rsid w:val="00650848"/>
    <w:rsid w:val="0067437D"/>
    <w:rsid w:val="0067704D"/>
    <w:rsid w:val="006856F2"/>
    <w:rsid w:val="00686FB7"/>
    <w:rsid w:val="006A0CAF"/>
    <w:rsid w:val="006D0CB5"/>
    <w:rsid w:val="006D4CD3"/>
    <w:rsid w:val="006F61BC"/>
    <w:rsid w:val="006F7C8D"/>
    <w:rsid w:val="007546C5"/>
    <w:rsid w:val="0076060B"/>
    <w:rsid w:val="0079713B"/>
    <w:rsid w:val="007A44C3"/>
    <w:rsid w:val="008058DA"/>
    <w:rsid w:val="008513A3"/>
    <w:rsid w:val="00881F4F"/>
    <w:rsid w:val="00883A63"/>
    <w:rsid w:val="00892FAA"/>
    <w:rsid w:val="00897020"/>
    <w:rsid w:val="008E4C12"/>
    <w:rsid w:val="008E6C9F"/>
    <w:rsid w:val="00932EC6"/>
    <w:rsid w:val="00941FA9"/>
    <w:rsid w:val="00943FAB"/>
    <w:rsid w:val="00971ECA"/>
    <w:rsid w:val="009762C6"/>
    <w:rsid w:val="00976F1D"/>
    <w:rsid w:val="00996969"/>
    <w:rsid w:val="009A3F1F"/>
    <w:rsid w:val="009C0FC6"/>
    <w:rsid w:val="009D22CD"/>
    <w:rsid w:val="009E6043"/>
    <w:rsid w:val="009F6B09"/>
    <w:rsid w:val="00A16824"/>
    <w:rsid w:val="00A32DB7"/>
    <w:rsid w:val="00A335C5"/>
    <w:rsid w:val="00A5646E"/>
    <w:rsid w:val="00A75D57"/>
    <w:rsid w:val="00A852D5"/>
    <w:rsid w:val="00A921FE"/>
    <w:rsid w:val="00AC1E5C"/>
    <w:rsid w:val="00B4780B"/>
    <w:rsid w:val="00B51415"/>
    <w:rsid w:val="00B62848"/>
    <w:rsid w:val="00B677BF"/>
    <w:rsid w:val="00B76573"/>
    <w:rsid w:val="00B87A9B"/>
    <w:rsid w:val="00B933C2"/>
    <w:rsid w:val="00B94755"/>
    <w:rsid w:val="00BB6C36"/>
    <w:rsid w:val="00BC1D86"/>
    <w:rsid w:val="00BD6BF2"/>
    <w:rsid w:val="00C12093"/>
    <w:rsid w:val="00C846EB"/>
    <w:rsid w:val="00C8664A"/>
    <w:rsid w:val="00C87555"/>
    <w:rsid w:val="00CE356F"/>
    <w:rsid w:val="00CF1AB7"/>
    <w:rsid w:val="00D03EAE"/>
    <w:rsid w:val="00D173BD"/>
    <w:rsid w:val="00D61724"/>
    <w:rsid w:val="00DA233C"/>
    <w:rsid w:val="00DB124B"/>
    <w:rsid w:val="00DC7B06"/>
    <w:rsid w:val="00DD2CF3"/>
    <w:rsid w:val="00DE503D"/>
    <w:rsid w:val="00E2290C"/>
    <w:rsid w:val="00E362F2"/>
    <w:rsid w:val="00E657BD"/>
    <w:rsid w:val="00E6622E"/>
    <w:rsid w:val="00E7301E"/>
    <w:rsid w:val="00EB0C6F"/>
    <w:rsid w:val="00EC1D53"/>
    <w:rsid w:val="00ED69C0"/>
    <w:rsid w:val="00F10FBE"/>
    <w:rsid w:val="00F23891"/>
    <w:rsid w:val="00F53E76"/>
    <w:rsid w:val="00F55EF6"/>
    <w:rsid w:val="00F57289"/>
    <w:rsid w:val="00F64B49"/>
    <w:rsid w:val="00F662C3"/>
    <w:rsid w:val="00F90070"/>
    <w:rsid w:val="00FE63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0EC021-3787-4233-A210-DE69C2525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6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F53E76"/>
  </w:style>
  <w:style w:type="table" w:styleId="TableGrid">
    <w:name w:val="Table Grid"/>
    <w:basedOn w:val="TableNormal"/>
    <w:uiPriority w:val="59"/>
    <w:rsid w:val="00F10F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FE6320"/>
    <w:rPr>
      <w:i/>
      <w:iCs/>
    </w:rPr>
  </w:style>
  <w:style w:type="paragraph" w:styleId="ListParagraph">
    <w:name w:val="List Paragraph"/>
    <w:basedOn w:val="Normal"/>
    <w:uiPriority w:val="34"/>
    <w:qFormat/>
    <w:rsid w:val="00B76573"/>
    <w:pPr>
      <w:spacing w:after="160" w:line="259" w:lineRule="auto"/>
      <w:ind w:left="720"/>
      <w:contextualSpacing/>
    </w:pPr>
    <w:rPr>
      <w:rFonts w:ascii="Calibri" w:eastAsia="Calibri" w:hAnsi="Calibri" w:cs="Times New Roman"/>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unhideWhenUsed/>
    <w:qFormat/>
    <w:rsid w:val="002B3964"/>
    <w:rPr>
      <w:rFonts w:ascii="Calibri" w:eastAsia="SimSun" w:hAnsi="Calibri" w:cs="Times New Roman"/>
      <w:sz w:val="20"/>
      <w:szCs w:val="20"/>
      <w:lang w:val="x-none"/>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basedOn w:val="DefaultParagraphFont"/>
    <w:link w:val="FootnoteText"/>
    <w:uiPriority w:val="99"/>
    <w:rsid w:val="002B3964"/>
    <w:rPr>
      <w:rFonts w:ascii="Calibri" w:eastAsia="SimSun" w:hAnsi="Calibri" w:cs="Times New Roman"/>
      <w:sz w:val="20"/>
      <w:szCs w:val="20"/>
      <w:lang w:val="x-none"/>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link w:val="ftrefChar"/>
    <w:uiPriority w:val="99"/>
    <w:unhideWhenUsed/>
    <w:qFormat/>
    <w:rsid w:val="002B3964"/>
    <w:rPr>
      <w:vertAlign w:val="superscript"/>
    </w:rPr>
  </w:style>
  <w:style w:type="paragraph" w:customStyle="1" w:styleId="ftrefChar">
    <w:name w:val="ftref Char"/>
    <w:aliases w:val="Footnotes refss Char,Footnote text Char,BVI fnr Char,Знак сноски 1 Char,Ref Char,de nota al pie Char,Footnote Ref Char,16 Point Char,Superscript 6 Point Char,BVI fnr Car Car Char,BVI fnr Car Char,BVI fnr Car Car Car Car Cha"/>
    <w:basedOn w:val="Normal"/>
    <w:link w:val="FootnoteReference"/>
    <w:uiPriority w:val="99"/>
    <w:rsid w:val="002B3964"/>
    <w:pPr>
      <w:spacing w:before="240" w:after="160" w:line="240" w:lineRule="exact"/>
      <w:jc w:val="both"/>
    </w:pPr>
    <w:rPr>
      <w:vertAlign w:val="superscript"/>
    </w:rPr>
  </w:style>
  <w:style w:type="paragraph" w:styleId="NoSpacing">
    <w:name w:val="No Spacing"/>
    <w:qFormat/>
    <w:rsid w:val="00A5646E"/>
    <w:pPr>
      <w:suppressAutoHyphens/>
      <w:autoSpaceDN w:val="0"/>
      <w:spacing w:after="0" w:line="240" w:lineRule="auto"/>
    </w:pPr>
    <w:rPr>
      <w:rFonts w:ascii="Calibri" w:eastAsia="Calibri" w:hAnsi="Calibri" w:cs="Times New Roman"/>
      <w:lang w:val="fr-FR"/>
    </w:rPr>
  </w:style>
  <w:style w:type="character" w:styleId="Hyperlink">
    <w:name w:val="Hyperlink"/>
    <w:basedOn w:val="DefaultParagraphFont"/>
    <w:uiPriority w:val="99"/>
    <w:semiHidden/>
    <w:unhideWhenUsed/>
    <w:rsid w:val="00971ECA"/>
    <w:rPr>
      <w:color w:val="0563C1"/>
      <w:u w:val="single"/>
    </w:rPr>
  </w:style>
  <w:style w:type="paragraph" w:customStyle="1" w:styleId="Default">
    <w:name w:val="Default"/>
    <w:rsid w:val="00164599"/>
    <w:pPr>
      <w:autoSpaceDE w:val="0"/>
      <w:autoSpaceDN w:val="0"/>
      <w:adjustRightInd w:val="0"/>
      <w:spacing w:after="0" w:line="240" w:lineRule="auto"/>
    </w:pPr>
    <w:rPr>
      <w:rFonts w:ascii="Calibri" w:hAnsi="Calibri" w:cs="Calibri"/>
      <w:color w:val="000000"/>
      <w:sz w:val="24"/>
      <w:szCs w:val="24"/>
      <w:lang w:val="en-GB"/>
    </w:rPr>
  </w:style>
  <w:style w:type="paragraph" w:customStyle="1" w:styleId="xmsonormal">
    <w:name w:val="x_msonormal"/>
    <w:basedOn w:val="Normal"/>
    <w:rsid w:val="009969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singletxt">
    <w:name w:val="x_singletxt"/>
    <w:basedOn w:val="Normal"/>
    <w:rsid w:val="009969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2421">
      <w:bodyDiv w:val="1"/>
      <w:marLeft w:val="0"/>
      <w:marRight w:val="0"/>
      <w:marTop w:val="0"/>
      <w:marBottom w:val="0"/>
      <w:divBdr>
        <w:top w:val="none" w:sz="0" w:space="0" w:color="auto"/>
        <w:left w:val="none" w:sz="0" w:space="0" w:color="auto"/>
        <w:bottom w:val="none" w:sz="0" w:space="0" w:color="auto"/>
        <w:right w:val="none" w:sz="0" w:space="0" w:color="auto"/>
      </w:divBdr>
    </w:div>
    <w:div w:id="17899226">
      <w:bodyDiv w:val="1"/>
      <w:marLeft w:val="0"/>
      <w:marRight w:val="0"/>
      <w:marTop w:val="0"/>
      <w:marBottom w:val="0"/>
      <w:divBdr>
        <w:top w:val="none" w:sz="0" w:space="0" w:color="auto"/>
        <w:left w:val="none" w:sz="0" w:space="0" w:color="auto"/>
        <w:bottom w:val="none" w:sz="0" w:space="0" w:color="auto"/>
        <w:right w:val="none" w:sz="0" w:space="0" w:color="auto"/>
      </w:divBdr>
    </w:div>
    <w:div w:id="70737200">
      <w:bodyDiv w:val="1"/>
      <w:marLeft w:val="0"/>
      <w:marRight w:val="0"/>
      <w:marTop w:val="0"/>
      <w:marBottom w:val="0"/>
      <w:divBdr>
        <w:top w:val="none" w:sz="0" w:space="0" w:color="auto"/>
        <w:left w:val="none" w:sz="0" w:space="0" w:color="auto"/>
        <w:bottom w:val="none" w:sz="0" w:space="0" w:color="auto"/>
        <w:right w:val="none" w:sz="0" w:space="0" w:color="auto"/>
      </w:divBdr>
    </w:div>
    <w:div w:id="72817710">
      <w:bodyDiv w:val="1"/>
      <w:marLeft w:val="0"/>
      <w:marRight w:val="0"/>
      <w:marTop w:val="0"/>
      <w:marBottom w:val="0"/>
      <w:divBdr>
        <w:top w:val="none" w:sz="0" w:space="0" w:color="auto"/>
        <w:left w:val="none" w:sz="0" w:space="0" w:color="auto"/>
        <w:bottom w:val="none" w:sz="0" w:space="0" w:color="auto"/>
        <w:right w:val="none" w:sz="0" w:space="0" w:color="auto"/>
      </w:divBdr>
    </w:div>
    <w:div w:id="89662991">
      <w:bodyDiv w:val="1"/>
      <w:marLeft w:val="0"/>
      <w:marRight w:val="0"/>
      <w:marTop w:val="0"/>
      <w:marBottom w:val="0"/>
      <w:divBdr>
        <w:top w:val="none" w:sz="0" w:space="0" w:color="auto"/>
        <w:left w:val="none" w:sz="0" w:space="0" w:color="auto"/>
        <w:bottom w:val="none" w:sz="0" w:space="0" w:color="auto"/>
        <w:right w:val="none" w:sz="0" w:space="0" w:color="auto"/>
      </w:divBdr>
    </w:div>
    <w:div w:id="133841156">
      <w:bodyDiv w:val="1"/>
      <w:marLeft w:val="0"/>
      <w:marRight w:val="0"/>
      <w:marTop w:val="0"/>
      <w:marBottom w:val="0"/>
      <w:divBdr>
        <w:top w:val="none" w:sz="0" w:space="0" w:color="auto"/>
        <w:left w:val="none" w:sz="0" w:space="0" w:color="auto"/>
        <w:bottom w:val="none" w:sz="0" w:space="0" w:color="auto"/>
        <w:right w:val="none" w:sz="0" w:space="0" w:color="auto"/>
      </w:divBdr>
    </w:div>
    <w:div w:id="269974477">
      <w:bodyDiv w:val="1"/>
      <w:marLeft w:val="0"/>
      <w:marRight w:val="0"/>
      <w:marTop w:val="0"/>
      <w:marBottom w:val="0"/>
      <w:divBdr>
        <w:top w:val="none" w:sz="0" w:space="0" w:color="auto"/>
        <w:left w:val="none" w:sz="0" w:space="0" w:color="auto"/>
        <w:bottom w:val="none" w:sz="0" w:space="0" w:color="auto"/>
        <w:right w:val="none" w:sz="0" w:space="0" w:color="auto"/>
      </w:divBdr>
    </w:div>
    <w:div w:id="364864156">
      <w:bodyDiv w:val="1"/>
      <w:marLeft w:val="0"/>
      <w:marRight w:val="0"/>
      <w:marTop w:val="0"/>
      <w:marBottom w:val="0"/>
      <w:divBdr>
        <w:top w:val="none" w:sz="0" w:space="0" w:color="auto"/>
        <w:left w:val="none" w:sz="0" w:space="0" w:color="auto"/>
        <w:bottom w:val="none" w:sz="0" w:space="0" w:color="auto"/>
        <w:right w:val="none" w:sz="0" w:space="0" w:color="auto"/>
      </w:divBdr>
    </w:div>
    <w:div w:id="375937159">
      <w:bodyDiv w:val="1"/>
      <w:marLeft w:val="0"/>
      <w:marRight w:val="0"/>
      <w:marTop w:val="0"/>
      <w:marBottom w:val="0"/>
      <w:divBdr>
        <w:top w:val="none" w:sz="0" w:space="0" w:color="auto"/>
        <w:left w:val="none" w:sz="0" w:space="0" w:color="auto"/>
        <w:bottom w:val="none" w:sz="0" w:space="0" w:color="auto"/>
        <w:right w:val="none" w:sz="0" w:space="0" w:color="auto"/>
      </w:divBdr>
    </w:div>
    <w:div w:id="459032371">
      <w:bodyDiv w:val="1"/>
      <w:marLeft w:val="0"/>
      <w:marRight w:val="0"/>
      <w:marTop w:val="0"/>
      <w:marBottom w:val="0"/>
      <w:divBdr>
        <w:top w:val="none" w:sz="0" w:space="0" w:color="auto"/>
        <w:left w:val="none" w:sz="0" w:space="0" w:color="auto"/>
        <w:bottom w:val="none" w:sz="0" w:space="0" w:color="auto"/>
        <w:right w:val="none" w:sz="0" w:space="0" w:color="auto"/>
      </w:divBdr>
    </w:div>
    <w:div w:id="496001214">
      <w:bodyDiv w:val="1"/>
      <w:marLeft w:val="0"/>
      <w:marRight w:val="0"/>
      <w:marTop w:val="0"/>
      <w:marBottom w:val="0"/>
      <w:divBdr>
        <w:top w:val="none" w:sz="0" w:space="0" w:color="auto"/>
        <w:left w:val="none" w:sz="0" w:space="0" w:color="auto"/>
        <w:bottom w:val="none" w:sz="0" w:space="0" w:color="auto"/>
        <w:right w:val="none" w:sz="0" w:space="0" w:color="auto"/>
      </w:divBdr>
    </w:div>
    <w:div w:id="611787658">
      <w:bodyDiv w:val="1"/>
      <w:marLeft w:val="0"/>
      <w:marRight w:val="0"/>
      <w:marTop w:val="0"/>
      <w:marBottom w:val="0"/>
      <w:divBdr>
        <w:top w:val="none" w:sz="0" w:space="0" w:color="auto"/>
        <w:left w:val="none" w:sz="0" w:space="0" w:color="auto"/>
        <w:bottom w:val="none" w:sz="0" w:space="0" w:color="auto"/>
        <w:right w:val="none" w:sz="0" w:space="0" w:color="auto"/>
      </w:divBdr>
    </w:div>
    <w:div w:id="670643604">
      <w:bodyDiv w:val="1"/>
      <w:marLeft w:val="0"/>
      <w:marRight w:val="0"/>
      <w:marTop w:val="0"/>
      <w:marBottom w:val="0"/>
      <w:divBdr>
        <w:top w:val="none" w:sz="0" w:space="0" w:color="auto"/>
        <w:left w:val="none" w:sz="0" w:space="0" w:color="auto"/>
        <w:bottom w:val="none" w:sz="0" w:space="0" w:color="auto"/>
        <w:right w:val="none" w:sz="0" w:space="0" w:color="auto"/>
      </w:divBdr>
    </w:div>
    <w:div w:id="791629239">
      <w:bodyDiv w:val="1"/>
      <w:marLeft w:val="0"/>
      <w:marRight w:val="0"/>
      <w:marTop w:val="0"/>
      <w:marBottom w:val="0"/>
      <w:divBdr>
        <w:top w:val="none" w:sz="0" w:space="0" w:color="auto"/>
        <w:left w:val="none" w:sz="0" w:space="0" w:color="auto"/>
        <w:bottom w:val="none" w:sz="0" w:space="0" w:color="auto"/>
        <w:right w:val="none" w:sz="0" w:space="0" w:color="auto"/>
      </w:divBdr>
    </w:div>
    <w:div w:id="832136577">
      <w:bodyDiv w:val="1"/>
      <w:marLeft w:val="0"/>
      <w:marRight w:val="0"/>
      <w:marTop w:val="0"/>
      <w:marBottom w:val="0"/>
      <w:divBdr>
        <w:top w:val="none" w:sz="0" w:space="0" w:color="auto"/>
        <w:left w:val="none" w:sz="0" w:space="0" w:color="auto"/>
        <w:bottom w:val="none" w:sz="0" w:space="0" w:color="auto"/>
        <w:right w:val="none" w:sz="0" w:space="0" w:color="auto"/>
      </w:divBdr>
    </w:div>
    <w:div w:id="836186020">
      <w:bodyDiv w:val="1"/>
      <w:marLeft w:val="0"/>
      <w:marRight w:val="0"/>
      <w:marTop w:val="0"/>
      <w:marBottom w:val="0"/>
      <w:divBdr>
        <w:top w:val="none" w:sz="0" w:space="0" w:color="auto"/>
        <w:left w:val="none" w:sz="0" w:space="0" w:color="auto"/>
        <w:bottom w:val="none" w:sz="0" w:space="0" w:color="auto"/>
        <w:right w:val="none" w:sz="0" w:space="0" w:color="auto"/>
      </w:divBdr>
    </w:div>
    <w:div w:id="844393734">
      <w:bodyDiv w:val="1"/>
      <w:marLeft w:val="0"/>
      <w:marRight w:val="0"/>
      <w:marTop w:val="0"/>
      <w:marBottom w:val="0"/>
      <w:divBdr>
        <w:top w:val="none" w:sz="0" w:space="0" w:color="auto"/>
        <w:left w:val="none" w:sz="0" w:space="0" w:color="auto"/>
        <w:bottom w:val="none" w:sz="0" w:space="0" w:color="auto"/>
        <w:right w:val="none" w:sz="0" w:space="0" w:color="auto"/>
      </w:divBdr>
    </w:div>
    <w:div w:id="963197979">
      <w:bodyDiv w:val="1"/>
      <w:marLeft w:val="0"/>
      <w:marRight w:val="0"/>
      <w:marTop w:val="0"/>
      <w:marBottom w:val="0"/>
      <w:divBdr>
        <w:top w:val="none" w:sz="0" w:space="0" w:color="auto"/>
        <w:left w:val="none" w:sz="0" w:space="0" w:color="auto"/>
        <w:bottom w:val="none" w:sz="0" w:space="0" w:color="auto"/>
        <w:right w:val="none" w:sz="0" w:space="0" w:color="auto"/>
      </w:divBdr>
    </w:div>
    <w:div w:id="1139499084">
      <w:bodyDiv w:val="1"/>
      <w:marLeft w:val="0"/>
      <w:marRight w:val="0"/>
      <w:marTop w:val="0"/>
      <w:marBottom w:val="0"/>
      <w:divBdr>
        <w:top w:val="none" w:sz="0" w:space="0" w:color="auto"/>
        <w:left w:val="none" w:sz="0" w:space="0" w:color="auto"/>
        <w:bottom w:val="none" w:sz="0" w:space="0" w:color="auto"/>
        <w:right w:val="none" w:sz="0" w:space="0" w:color="auto"/>
      </w:divBdr>
    </w:div>
    <w:div w:id="1221988267">
      <w:bodyDiv w:val="1"/>
      <w:marLeft w:val="0"/>
      <w:marRight w:val="0"/>
      <w:marTop w:val="0"/>
      <w:marBottom w:val="0"/>
      <w:divBdr>
        <w:top w:val="none" w:sz="0" w:space="0" w:color="auto"/>
        <w:left w:val="none" w:sz="0" w:space="0" w:color="auto"/>
        <w:bottom w:val="none" w:sz="0" w:space="0" w:color="auto"/>
        <w:right w:val="none" w:sz="0" w:space="0" w:color="auto"/>
      </w:divBdr>
    </w:div>
    <w:div w:id="1277519136">
      <w:bodyDiv w:val="1"/>
      <w:marLeft w:val="0"/>
      <w:marRight w:val="0"/>
      <w:marTop w:val="0"/>
      <w:marBottom w:val="0"/>
      <w:divBdr>
        <w:top w:val="none" w:sz="0" w:space="0" w:color="auto"/>
        <w:left w:val="none" w:sz="0" w:space="0" w:color="auto"/>
        <w:bottom w:val="none" w:sz="0" w:space="0" w:color="auto"/>
        <w:right w:val="none" w:sz="0" w:space="0" w:color="auto"/>
      </w:divBdr>
    </w:div>
    <w:div w:id="1353531270">
      <w:bodyDiv w:val="1"/>
      <w:marLeft w:val="0"/>
      <w:marRight w:val="0"/>
      <w:marTop w:val="0"/>
      <w:marBottom w:val="0"/>
      <w:divBdr>
        <w:top w:val="none" w:sz="0" w:space="0" w:color="auto"/>
        <w:left w:val="none" w:sz="0" w:space="0" w:color="auto"/>
        <w:bottom w:val="none" w:sz="0" w:space="0" w:color="auto"/>
        <w:right w:val="none" w:sz="0" w:space="0" w:color="auto"/>
      </w:divBdr>
    </w:div>
    <w:div w:id="1431659580">
      <w:bodyDiv w:val="1"/>
      <w:marLeft w:val="0"/>
      <w:marRight w:val="0"/>
      <w:marTop w:val="0"/>
      <w:marBottom w:val="0"/>
      <w:divBdr>
        <w:top w:val="none" w:sz="0" w:space="0" w:color="auto"/>
        <w:left w:val="none" w:sz="0" w:space="0" w:color="auto"/>
        <w:bottom w:val="none" w:sz="0" w:space="0" w:color="auto"/>
        <w:right w:val="none" w:sz="0" w:space="0" w:color="auto"/>
      </w:divBdr>
    </w:div>
    <w:div w:id="1461996371">
      <w:bodyDiv w:val="1"/>
      <w:marLeft w:val="0"/>
      <w:marRight w:val="0"/>
      <w:marTop w:val="0"/>
      <w:marBottom w:val="0"/>
      <w:divBdr>
        <w:top w:val="none" w:sz="0" w:space="0" w:color="auto"/>
        <w:left w:val="none" w:sz="0" w:space="0" w:color="auto"/>
        <w:bottom w:val="none" w:sz="0" w:space="0" w:color="auto"/>
        <w:right w:val="none" w:sz="0" w:space="0" w:color="auto"/>
      </w:divBdr>
    </w:div>
    <w:div w:id="1483038296">
      <w:bodyDiv w:val="1"/>
      <w:marLeft w:val="0"/>
      <w:marRight w:val="0"/>
      <w:marTop w:val="0"/>
      <w:marBottom w:val="0"/>
      <w:divBdr>
        <w:top w:val="none" w:sz="0" w:space="0" w:color="auto"/>
        <w:left w:val="none" w:sz="0" w:space="0" w:color="auto"/>
        <w:bottom w:val="none" w:sz="0" w:space="0" w:color="auto"/>
        <w:right w:val="none" w:sz="0" w:space="0" w:color="auto"/>
      </w:divBdr>
    </w:div>
    <w:div w:id="1635793004">
      <w:bodyDiv w:val="1"/>
      <w:marLeft w:val="0"/>
      <w:marRight w:val="0"/>
      <w:marTop w:val="0"/>
      <w:marBottom w:val="0"/>
      <w:divBdr>
        <w:top w:val="none" w:sz="0" w:space="0" w:color="auto"/>
        <w:left w:val="none" w:sz="0" w:space="0" w:color="auto"/>
        <w:bottom w:val="none" w:sz="0" w:space="0" w:color="auto"/>
        <w:right w:val="none" w:sz="0" w:space="0" w:color="auto"/>
      </w:divBdr>
      <w:divsChild>
        <w:div w:id="1659185561">
          <w:marLeft w:val="0"/>
          <w:marRight w:val="0"/>
          <w:marTop w:val="0"/>
          <w:marBottom w:val="0"/>
          <w:divBdr>
            <w:top w:val="none" w:sz="0" w:space="0" w:color="auto"/>
            <w:left w:val="none" w:sz="0" w:space="0" w:color="auto"/>
            <w:bottom w:val="none" w:sz="0" w:space="0" w:color="auto"/>
            <w:right w:val="none" w:sz="0" w:space="0" w:color="auto"/>
          </w:divBdr>
          <w:divsChild>
            <w:div w:id="1951546942">
              <w:marLeft w:val="0"/>
              <w:marRight w:val="0"/>
              <w:marTop w:val="0"/>
              <w:marBottom w:val="0"/>
              <w:divBdr>
                <w:top w:val="none" w:sz="0" w:space="0" w:color="auto"/>
                <w:left w:val="none" w:sz="0" w:space="0" w:color="auto"/>
                <w:bottom w:val="none" w:sz="0" w:space="0" w:color="auto"/>
                <w:right w:val="none" w:sz="0" w:space="0" w:color="auto"/>
              </w:divBdr>
              <w:divsChild>
                <w:div w:id="1683820895">
                  <w:marLeft w:val="0"/>
                  <w:marRight w:val="0"/>
                  <w:marTop w:val="0"/>
                  <w:marBottom w:val="0"/>
                  <w:divBdr>
                    <w:top w:val="none" w:sz="0" w:space="0" w:color="auto"/>
                    <w:left w:val="none" w:sz="0" w:space="0" w:color="auto"/>
                    <w:bottom w:val="none" w:sz="0" w:space="0" w:color="auto"/>
                    <w:right w:val="none" w:sz="0" w:space="0" w:color="auto"/>
                  </w:divBdr>
                  <w:divsChild>
                    <w:div w:id="322516401">
                      <w:marLeft w:val="0"/>
                      <w:marRight w:val="0"/>
                      <w:marTop w:val="0"/>
                      <w:marBottom w:val="0"/>
                      <w:divBdr>
                        <w:top w:val="none" w:sz="0" w:space="0" w:color="auto"/>
                        <w:left w:val="none" w:sz="0" w:space="0" w:color="auto"/>
                        <w:bottom w:val="none" w:sz="0" w:space="0" w:color="auto"/>
                        <w:right w:val="none" w:sz="0" w:space="0" w:color="auto"/>
                      </w:divBdr>
                      <w:divsChild>
                        <w:div w:id="1606186353">
                          <w:marLeft w:val="0"/>
                          <w:marRight w:val="0"/>
                          <w:marTop w:val="0"/>
                          <w:marBottom w:val="0"/>
                          <w:divBdr>
                            <w:top w:val="none" w:sz="0" w:space="0" w:color="auto"/>
                            <w:left w:val="none" w:sz="0" w:space="0" w:color="auto"/>
                            <w:bottom w:val="none" w:sz="0" w:space="0" w:color="auto"/>
                            <w:right w:val="none" w:sz="0" w:space="0" w:color="auto"/>
                          </w:divBdr>
                          <w:divsChild>
                            <w:div w:id="1123227472">
                              <w:marLeft w:val="0"/>
                              <w:marRight w:val="0"/>
                              <w:marTop w:val="0"/>
                              <w:marBottom w:val="0"/>
                              <w:divBdr>
                                <w:top w:val="none" w:sz="0" w:space="0" w:color="auto"/>
                                <w:left w:val="none" w:sz="0" w:space="0" w:color="auto"/>
                                <w:bottom w:val="none" w:sz="0" w:space="0" w:color="auto"/>
                                <w:right w:val="none" w:sz="0" w:space="0" w:color="auto"/>
                              </w:divBdr>
                              <w:divsChild>
                                <w:div w:id="29036497">
                                  <w:marLeft w:val="0"/>
                                  <w:marRight w:val="0"/>
                                  <w:marTop w:val="0"/>
                                  <w:marBottom w:val="0"/>
                                  <w:divBdr>
                                    <w:top w:val="none" w:sz="0" w:space="0" w:color="auto"/>
                                    <w:left w:val="none" w:sz="0" w:space="0" w:color="auto"/>
                                    <w:bottom w:val="none" w:sz="0" w:space="0" w:color="auto"/>
                                    <w:right w:val="none" w:sz="0" w:space="0" w:color="auto"/>
                                  </w:divBdr>
                                  <w:divsChild>
                                    <w:div w:id="1243948448">
                                      <w:marLeft w:val="0"/>
                                      <w:marRight w:val="0"/>
                                      <w:marTop w:val="0"/>
                                      <w:marBottom w:val="0"/>
                                      <w:divBdr>
                                        <w:top w:val="none" w:sz="0" w:space="0" w:color="auto"/>
                                        <w:left w:val="none" w:sz="0" w:space="0" w:color="auto"/>
                                        <w:bottom w:val="none" w:sz="0" w:space="0" w:color="auto"/>
                                        <w:right w:val="none" w:sz="0" w:space="0" w:color="auto"/>
                                      </w:divBdr>
                                      <w:divsChild>
                                        <w:div w:id="102310916">
                                          <w:marLeft w:val="0"/>
                                          <w:marRight w:val="0"/>
                                          <w:marTop w:val="0"/>
                                          <w:marBottom w:val="0"/>
                                          <w:divBdr>
                                            <w:top w:val="none" w:sz="0" w:space="0" w:color="auto"/>
                                            <w:left w:val="none" w:sz="0" w:space="0" w:color="auto"/>
                                            <w:bottom w:val="none" w:sz="0" w:space="0" w:color="auto"/>
                                            <w:right w:val="none" w:sz="0" w:space="0" w:color="auto"/>
                                          </w:divBdr>
                                          <w:divsChild>
                                            <w:div w:id="587082542">
                                              <w:marLeft w:val="0"/>
                                              <w:marRight w:val="0"/>
                                              <w:marTop w:val="0"/>
                                              <w:marBottom w:val="0"/>
                                              <w:divBdr>
                                                <w:top w:val="none" w:sz="0" w:space="0" w:color="auto"/>
                                                <w:left w:val="none" w:sz="0" w:space="0" w:color="auto"/>
                                                <w:bottom w:val="single" w:sz="6" w:space="0" w:color="E5E3E3"/>
                                                <w:right w:val="none" w:sz="0" w:space="0" w:color="auto"/>
                                              </w:divBdr>
                                              <w:divsChild>
                                                <w:div w:id="1868906658">
                                                  <w:marLeft w:val="0"/>
                                                  <w:marRight w:val="0"/>
                                                  <w:marTop w:val="0"/>
                                                  <w:marBottom w:val="0"/>
                                                  <w:divBdr>
                                                    <w:top w:val="none" w:sz="0" w:space="0" w:color="auto"/>
                                                    <w:left w:val="none" w:sz="0" w:space="0" w:color="auto"/>
                                                    <w:bottom w:val="none" w:sz="0" w:space="0" w:color="auto"/>
                                                    <w:right w:val="none" w:sz="0" w:space="0" w:color="auto"/>
                                                  </w:divBdr>
                                                  <w:divsChild>
                                                    <w:div w:id="974794011">
                                                      <w:marLeft w:val="0"/>
                                                      <w:marRight w:val="0"/>
                                                      <w:marTop w:val="0"/>
                                                      <w:marBottom w:val="0"/>
                                                      <w:divBdr>
                                                        <w:top w:val="none" w:sz="0" w:space="0" w:color="auto"/>
                                                        <w:left w:val="none" w:sz="0" w:space="0" w:color="auto"/>
                                                        <w:bottom w:val="none" w:sz="0" w:space="0" w:color="auto"/>
                                                        <w:right w:val="none" w:sz="0" w:space="0" w:color="auto"/>
                                                      </w:divBdr>
                                                      <w:divsChild>
                                                        <w:div w:id="1080563281">
                                                          <w:marLeft w:val="0"/>
                                                          <w:marRight w:val="0"/>
                                                          <w:marTop w:val="0"/>
                                                          <w:marBottom w:val="0"/>
                                                          <w:divBdr>
                                                            <w:top w:val="none" w:sz="0" w:space="0" w:color="auto"/>
                                                            <w:left w:val="none" w:sz="0" w:space="0" w:color="auto"/>
                                                            <w:bottom w:val="none" w:sz="0" w:space="0" w:color="auto"/>
                                                            <w:right w:val="none" w:sz="0" w:space="0" w:color="auto"/>
                                                          </w:divBdr>
                                                          <w:divsChild>
                                                            <w:div w:id="1277105662">
                                                              <w:marLeft w:val="0"/>
                                                              <w:marRight w:val="0"/>
                                                              <w:marTop w:val="0"/>
                                                              <w:marBottom w:val="0"/>
                                                              <w:divBdr>
                                                                <w:top w:val="none" w:sz="0" w:space="0" w:color="auto"/>
                                                                <w:left w:val="none" w:sz="0" w:space="0" w:color="auto"/>
                                                                <w:bottom w:val="none" w:sz="0" w:space="0" w:color="auto"/>
                                                                <w:right w:val="none" w:sz="0" w:space="0" w:color="auto"/>
                                                              </w:divBdr>
                                                              <w:divsChild>
                                                                <w:div w:id="1392921637">
                                                                  <w:marLeft w:val="405"/>
                                                                  <w:marRight w:val="0"/>
                                                                  <w:marTop w:val="0"/>
                                                                  <w:marBottom w:val="0"/>
                                                                  <w:divBdr>
                                                                    <w:top w:val="none" w:sz="0" w:space="0" w:color="auto"/>
                                                                    <w:left w:val="none" w:sz="0" w:space="0" w:color="auto"/>
                                                                    <w:bottom w:val="none" w:sz="0" w:space="0" w:color="auto"/>
                                                                    <w:right w:val="none" w:sz="0" w:space="0" w:color="auto"/>
                                                                  </w:divBdr>
                                                                  <w:divsChild>
                                                                    <w:div w:id="2095391919">
                                                                      <w:marLeft w:val="0"/>
                                                                      <w:marRight w:val="0"/>
                                                                      <w:marTop w:val="0"/>
                                                                      <w:marBottom w:val="0"/>
                                                                      <w:divBdr>
                                                                        <w:top w:val="none" w:sz="0" w:space="0" w:color="auto"/>
                                                                        <w:left w:val="none" w:sz="0" w:space="0" w:color="auto"/>
                                                                        <w:bottom w:val="none" w:sz="0" w:space="0" w:color="auto"/>
                                                                        <w:right w:val="none" w:sz="0" w:space="0" w:color="auto"/>
                                                                      </w:divBdr>
                                                                      <w:divsChild>
                                                                        <w:div w:id="1579171020">
                                                                          <w:marLeft w:val="0"/>
                                                                          <w:marRight w:val="0"/>
                                                                          <w:marTop w:val="0"/>
                                                                          <w:marBottom w:val="0"/>
                                                                          <w:divBdr>
                                                                            <w:top w:val="none" w:sz="0" w:space="0" w:color="auto"/>
                                                                            <w:left w:val="none" w:sz="0" w:space="0" w:color="auto"/>
                                                                            <w:bottom w:val="none" w:sz="0" w:space="0" w:color="auto"/>
                                                                            <w:right w:val="none" w:sz="0" w:space="0" w:color="auto"/>
                                                                          </w:divBdr>
                                                                          <w:divsChild>
                                                                            <w:div w:id="358514376">
                                                                              <w:marLeft w:val="0"/>
                                                                              <w:marRight w:val="0"/>
                                                                              <w:marTop w:val="60"/>
                                                                              <w:marBottom w:val="0"/>
                                                                              <w:divBdr>
                                                                                <w:top w:val="none" w:sz="0" w:space="0" w:color="auto"/>
                                                                                <w:left w:val="none" w:sz="0" w:space="0" w:color="auto"/>
                                                                                <w:bottom w:val="none" w:sz="0" w:space="0" w:color="auto"/>
                                                                                <w:right w:val="none" w:sz="0" w:space="0" w:color="auto"/>
                                                                              </w:divBdr>
                                                                              <w:divsChild>
                                                                                <w:div w:id="2085566792">
                                                                                  <w:marLeft w:val="0"/>
                                                                                  <w:marRight w:val="0"/>
                                                                                  <w:marTop w:val="0"/>
                                                                                  <w:marBottom w:val="0"/>
                                                                                  <w:divBdr>
                                                                                    <w:top w:val="none" w:sz="0" w:space="0" w:color="auto"/>
                                                                                    <w:left w:val="none" w:sz="0" w:space="0" w:color="auto"/>
                                                                                    <w:bottom w:val="none" w:sz="0" w:space="0" w:color="auto"/>
                                                                                    <w:right w:val="none" w:sz="0" w:space="0" w:color="auto"/>
                                                                                  </w:divBdr>
                                                                                  <w:divsChild>
                                                                                    <w:div w:id="218591476">
                                                                                      <w:marLeft w:val="0"/>
                                                                                      <w:marRight w:val="0"/>
                                                                                      <w:marTop w:val="0"/>
                                                                                      <w:marBottom w:val="0"/>
                                                                                      <w:divBdr>
                                                                                        <w:top w:val="none" w:sz="0" w:space="0" w:color="auto"/>
                                                                                        <w:left w:val="none" w:sz="0" w:space="0" w:color="auto"/>
                                                                                        <w:bottom w:val="none" w:sz="0" w:space="0" w:color="auto"/>
                                                                                        <w:right w:val="none" w:sz="0" w:space="0" w:color="auto"/>
                                                                                      </w:divBdr>
                                                                                      <w:divsChild>
                                                                                        <w:div w:id="662776552">
                                                                                          <w:marLeft w:val="0"/>
                                                                                          <w:marRight w:val="0"/>
                                                                                          <w:marTop w:val="0"/>
                                                                                          <w:marBottom w:val="0"/>
                                                                                          <w:divBdr>
                                                                                            <w:top w:val="none" w:sz="0" w:space="0" w:color="auto"/>
                                                                                            <w:left w:val="none" w:sz="0" w:space="0" w:color="auto"/>
                                                                                            <w:bottom w:val="none" w:sz="0" w:space="0" w:color="auto"/>
                                                                                            <w:right w:val="none" w:sz="0" w:space="0" w:color="auto"/>
                                                                                          </w:divBdr>
                                                                                          <w:divsChild>
                                                                                            <w:div w:id="1848324320">
                                                                                              <w:marLeft w:val="0"/>
                                                                                              <w:marRight w:val="0"/>
                                                                                              <w:marTop w:val="0"/>
                                                                                              <w:marBottom w:val="0"/>
                                                                                              <w:divBdr>
                                                                                                <w:top w:val="none" w:sz="0" w:space="0" w:color="auto"/>
                                                                                                <w:left w:val="none" w:sz="0" w:space="0" w:color="auto"/>
                                                                                                <w:bottom w:val="none" w:sz="0" w:space="0" w:color="auto"/>
                                                                                                <w:right w:val="none" w:sz="0" w:space="0" w:color="auto"/>
                                                                                              </w:divBdr>
                                                                                              <w:divsChild>
                                                                                                <w:div w:id="63770131">
                                                                                                  <w:marLeft w:val="0"/>
                                                                                                  <w:marRight w:val="0"/>
                                                                                                  <w:marTop w:val="0"/>
                                                                                                  <w:marBottom w:val="0"/>
                                                                                                  <w:divBdr>
                                                                                                    <w:top w:val="none" w:sz="0" w:space="0" w:color="auto"/>
                                                                                                    <w:left w:val="none" w:sz="0" w:space="0" w:color="auto"/>
                                                                                                    <w:bottom w:val="none" w:sz="0" w:space="0" w:color="auto"/>
                                                                                                    <w:right w:val="none" w:sz="0" w:space="0" w:color="auto"/>
                                                                                                  </w:divBdr>
                                                                                                  <w:divsChild>
                                                                                                    <w:div w:id="116721514">
                                                                                                      <w:marLeft w:val="0"/>
                                                                                                      <w:marRight w:val="0"/>
                                                                                                      <w:marTop w:val="0"/>
                                                                                                      <w:marBottom w:val="0"/>
                                                                                                      <w:divBdr>
                                                                                                        <w:top w:val="none" w:sz="0" w:space="0" w:color="auto"/>
                                                                                                        <w:left w:val="none" w:sz="0" w:space="0" w:color="auto"/>
                                                                                                        <w:bottom w:val="none" w:sz="0" w:space="0" w:color="auto"/>
                                                                                                        <w:right w:val="none" w:sz="0" w:space="0" w:color="auto"/>
                                                                                                      </w:divBdr>
                                                                                                      <w:divsChild>
                                                                                                        <w:div w:id="602617623">
                                                                                                          <w:marLeft w:val="0"/>
                                                                                                          <w:marRight w:val="0"/>
                                                                                                          <w:marTop w:val="0"/>
                                                                                                          <w:marBottom w:val="0"/>
                                                                                                          <w:divBdr>
                                                                                                            <w:top w:val="none" w:sz="0" w:space="0" w:color="auto"/>
                                                                                                            <w:left w:val="none" w:sz="0" w:space="0" w:color="auto"/>
                                                                                                            <w:bottom w:val="none" w:sz="0" w:space="0" w:color="auto"/>
                                                                                                            <w:right w:val="none" w:sz="0" w:space="0" w:color="auto"/>
                                                                                                          </w:divBdr>
                                                                                                          <w:divsChild>
                                                                                                            <w:div w:id="5741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0903043">
      <w:bodyDiv w:val="1"/>
      <w:marLeft w:val="0"/>
      <w:marRight w:val="0"/>
      <w:marTop w:val="0"/>
      <w:marBottom w:val="0"/>
      <w:divBdr>
        <w:top w:val="none" w:sz="0" w:space="0" w:color="auto"/>
        <w:left w:val="none" w:sz="0" w:space="0" w:color="auto"/>
        <w:bottom w:val="none" w:sz="0" w:space="0" w:color="auto"/>
        <w:right w:val="none" w:sz="0" w:space="0" w:color="auto"/>
      </w:divBdr>
    </w:div>
    <w:div w:id="2036467371">
      <w:bodyDiv w:val="1"/>
      <w:marLeft w:val="0"/>
      <w:marRight w:val="0"/>
      <w:marTop w:val="0"/>
      <w:marBottom w:val="0"/>
      <w:divBdr>
        <w:top w:val="none" w:sz="0" w:space="0" w:color="auto"/>
        <w:left w:val="none" w:sz="0" w:space="0" w:color="auto"/>
        <w:bottom w:val="none" w:sz="0" w:space="0" w:color="auto"/>
        <w:right w:val="none" w:sz="0" w:space="0" w:color="auto"/>
      </w:divBdr>
    </w:div>
    <w:div w:id="2108185207">
      <w:bodyDiv w:val="1"/>
      <w:marLeft w:val="0"/>
      <w:marRight w:val="0"/>
      <w:marTop w:val="0"/>
      <w:marBottom w:val="0"/>
      <w:divBdr>
        <w:top w:val="none" w:sz="0" w:space="0" w:color="auto"/>
        <w:left w:val="none" w:sz="0" w:space="0" w:color="auto"/>
        <w:bottom w:val="none" w:sz="0" w:space="0" w:color="auto"/>
        <w:right w:val="none" w:sz="0" w:space="0" w:color="auto"/>
      </w:divBdr>
    </w:div>
    <w:div w:id="2136829613">
      <w:bodyDiv w:val="1"/>
      <w:marLeft w:val="0"/>
      <w:marRight w:val="0"/>
      <w:marTop w:val="0"/>
      <w:marBottom w:val="0"/>
      <w:divBdr>
        <w:top w:val="none" w:sz="0" w:space="0" w:color="auto"/>
        <w:left w:val="none" w:sz="0" w:space="0" w:color="auto"/>
        <w:bottom w:val="none" w:sz="0" w:space="0" w:color="auto"/>
        <w:right w:val="none" w:sz="0" w:space="0" w:color="auto"/>
      </w:divBdr>
    </w:div>
    <w:div w:id="214107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mmigration.go.tz/module1.php?id=16"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EE1419-97FA-459C-995C-7AD1EC06355A}"/>
</file>

<file path=customXml/itemProps2.xml><?xml version="1.0" encoding="utf-8"?>
<ds:datastoreItem xmlns:ds="http://schemas.openxmlformats.org/officeDocument/2006/customXml" ds:itemID="{C0007D34-E88F-4A8C-88AF-F802936B191B}"/>
</file>

<file path=customXml/itemProps3.xml><?xml version="1.0" encoding="utf-8"?>
<ds:datastoreItem xmlns:ds="http://schemas.openxmlformats.org/officeDocument/2006/customXml" ds:itemID="{BF184E0E-83BE-4189-B2CD-3E63DDBD5BC3}"/>
</file>

<file path=docProps/app.xml><?xml version="1.0" encoding="utf-8"?>
<Properties xmlns="http://schemas.openxmlformats.org/officeDocument/2006/extended-properties" xmlns:vt="http://schemas.openxmlformats.org/officeDocument/2006/docPropsVTypes">
  <Template>Normal</Template>
  <TotalTime>0</TotalTime>
  <Pages>14</Pages>
  <Words>5497</Words>
  <Characters>31336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Vicky M Gumpi</cp:lastModifiedBy>
  <cp:revision>2</cp:revision>
  <dcterms:created xsi:type="dcterms:W3CDTF">2016-03-01T14:54:00Z</dcterms:created>
  <dcterms:modified xsi:type="dcterms:W3CDTF">2016-03-01T14:54:00Z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