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39419433"/>
        <w:docPartObj>
          <w:docPartGallery w:val="Cover Pages"/>
          <w:docPartUnique/>
        </w:docPartObj>
      </w:sdtPr>
      <w:sdtEndPr>
        <w:rPr>
          <w:b/>
          <w:bCs/>
          <w:color w:val="FF0000"/>
        </w:rPr>
      </w:sdtEndPr>
      <w:sdtContent>
        <w:p w14:paraId="6E4F6592" w14:textId="77777777" w:rsidR="00456CE2" w:rsidRDefault="00456CE2"/>
        <w:tbl>
          <w:tblPr>
            <w:tblW w:w="10727" w:type="dxa"/>
            <w:tblLayout w:type="fixed"/>
            <w:tblCellMar>
              <w:left w:w="10" w:type="dxa"/>
              <w:right w:w="10" w:type="dxa"/>
            </w:tblCellMar>
            <w:tblLook w:val="04A0" w:firstRow="1" w:lastRow="0" w:firstColumn="1" w:lastColumn="0" w:noHBand="0" w:noVBand="1"/>
          </w:tblPr>
          <w:tblGrid>
            <w:gridCol w:w="3032"/>
            <w:gridCol w:w="4699"/>
            <w:gridCol w:w="2996"/>
          </w:tblGrid>
          <w:tr w:rsidR="00456CE2" w14:paraId="30843A4B" w14:textId="77777777" w:rsidTr="008E0449">
            <w:trPr>
              <w:trHeight w:val="1529"/>
            </w:trPr>
            <w:tc>
              <w:tcPr>
                <w:tcW w:w="3032" w:type="dxa"/>
                <w:shd w:val="clear" w:color="auto" w:fill="auto"/>
                <w:tcMar>
                  <w:top w:w="0" w:type="dxa"/>
                  <w:left w:w="108" w:type="dxa"/>
                  <w:bottom w:w="0" w:type="dxa"/>
                  <w:right w:w="108" w:type="dxa"/>
                </w:tcMar>
              </w:tcPr>
              <w:p w14:paraId="76F871A5" w14:textId="77777777" w:rsidR="00456CE2" w:rsidRDefault="00456CE2" w:rsidP="008E0449">
                <w:pPr>
                  <w:rPr>
                    <w:rFonts w:ascii="Garamond" w:hAnsi="Garamond" w:cs="Arial"/>
                    <w:sz w:val="2"/>
                  </w:rPr>
                </w:pPr>
              </w:p>
              <w:p w14:paraId="342CBE74" w14:textId="77777777" w:rsidR="00456CE2" w:rsidRDefault="00456CE2" w:rsidP="008E0449">
                <w:r>
                  <w:rPr>
                    <w:rFonts w:ascii="Times New Roman" w:hAnsi="Times New Roman"/>
                    <w:noProof/>
                    <w:lang w:eastAsia="fr-FR"/>
                  </w:rPr>
                  <w:drawing>
                    <wp:inline distT="0" distB="0" distL="0" distR="0" wp14:anchorId="5EA48574" wp14:editId="68A0894E">
                      <wp:extent cx="1591942" cy="1204593"/>
                      <wp:effectExtent l="0" t="0" r="8258" b="0"/>
                      <wp:docPr id="5" name="Imag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1591942" cy="1204593"/>
                              </a:xfrm>
                              <a:prstGeom prst="rect">
                                <a:avLst/>
                              </a:prstGeom>
                              <a:noFill/>
                              <a:ln>
                                <a:noFill/>
                                <a:prstDash/>
                              </a:ln>
                            </pic:spPr>
                          </pic:pic>
                        </a:graphicData>
                      </a:graphic>
                    </wp:inline>
                  </w:drawing>
                </w:r>
              </w:p>
              <w:p w14:paraId="33933731" w14:textId="77777777" w:rsidR="00456CE2" w:rsidRDefault="00456CE2" w:rsidP="008E0449">
                <w:pPr>
                  <w:rPr>
                    <w:rFonts w:ascii="Garamond" w:hAnsi="Garamond" w:cs="Arial"/>
                  </w:rPr>
                </w:pPr>
              </w:p>
              <w:p w14:paraId="31B91E7B" w14:textId="77777777" w:rsidR="00456CE2" w:rsidRDefault="00456CE2" w:rsidP="008E0449">
                <w:pPr>
                  <w:rPr>
                    <w:rFonts w:ascii="Garamond" w:hAnsi="Garamond" w:cs="Arial"/>
                  </w:rPr>
                </w:pPr>
              </w:p>
            </w:tc>
            <w:tc>
              <w:tcPr>
                <w:tcW w:w="4699" w:type="dxa"/>
                <w:shd w:val="clear" w:color="auto" w:fill="auto"/>
                <w:tcMar>
                  <w:top w:w="0" w:type="dxa"/>
                  <w:left w:w="108" w:type="dxa"/>
                  <w:bottom w:w="0" w:type="dxa"/>
                  <w:right w:w="108" w:type="dxa"/>
                </w:tcMar>
              </w:tcPr>
              <w:p w14:paraId="25D319B2" w14:textId="77777777" w:rsidR="00456CE2" w:rsidRDefault="00456CE2" w:rsidP="008E0449">
                <w:pPr>
                  <w:spacing w:after="0" w:line="240" w:lineRule="exact"/>
                  <w:jc w:val="center"/>
                  <w:rPr>
                    <w:rFonts w:ascii="Trebuchet MS" w:hAnsi="Trebuchet MS" w:cs="Arial"/>
                    <w:sz w:val="28"/>
                    <w:szCs w:val="28"/>
                  </w:rPr>
                </w:pPr>
                <w:r>
                  <w:rPr>
                    <w:rFonts w:ascii="Trebuchet MS" w:hAnsi="Trebuchet MS" w:cs="Arial"/>
                    <w:sz w:val="28"/>
                    <w:szCs w:val="28"/>
                  </w:rPr>
                  <w:t xml:space="preserve">REPUBLIQUE DU TCHAD  </w:t>
                </w:r>
              </w:p>
              <w:p w14:paraId="2E8D804E" w14:textId="77777777" w:rsidR="00456CE2" w:rsidRDefault="00456CE2" w:rsidP="008E0449">
                <w:pPr>
                  <w:spacing w:after="0" w:line="240" w:lineRule="exact"/>
                  <w:jc w:val="center"/>
                  <w:rPr>
                    <w:rFonts w:ascii="Trebuchet MS" w:hAnsi="Trebuchet MS" w:cs="Arial"/>
                    <w:sz w:val="28"/>
                    <w:szCs w:val="28"/>
                  </w:rPr>
                </w:pPr>
                <w:r>
                  <w:rPr>
                    <w:rFonts w:ascii="Trebuchet MS" w:hAnsi="Trebuchet MS" w:cs="Arial"/>
                    <w:sz w:val="28"/>
                    <w:szCs w:val="28"/>
                  </w:rPr>
                  <w:t xml:space="preserve"> ********                                                        UNITE-TRAVAIL-PROGRES</w:t>
                </w:r>
              </w:p>
              <w:p w14:paraId="0580047C" w14:textId="77777777" w:rsidR="00456CE2" w:rsidRDefault="00456CE2" w:rsidP="008E0449">
                <w:pPr>
                  <w:spacing w:after="0" w:line="240" w:lineRule="exact"/>
                  <w:jc w:val="center"/>
                  <w:rPr>
                    <w:rFonts w:ascii="Trebuchet MS" w:hAnsi="Trebuchet MS" w:cs="Arial"/>
                    <w:sz w:val="28"/>
                    <w:szCs w:val="28"/>
                  </w:rPr>
                </w:pPr>
                <w:r>
                  <w:rPr>
                    <w:rFonts w:ascii="Trebuchet MS" w:hAnsi="Trebuchet MS" w:cs="Arial"/>
                    <w:sz w:val="28"/>
                    <w:szCs w:val="28"/>
                  </w:rPr>
                  <w:t>********</w:t>
                </w:r>
              </w:p>
              <w:p w14:paraId="1B38BBDA" w14:textId="77777777" w:rsidR="00456CE2" w:rsidRDefault="00456CE2" w:rsidP="008E0449">
                <w:pPr>
                  <w:spacing w:after="0" w:line="240" w:lineRule="exact"/>
                  <w:jc w:val="center"/>
                  <w:rPr>
                    <w:rFonts w:ascii="Trebuchet MS" w:hAnsi="Trebuchet MS" w:cs="Arial"/>
                    <w:sz w:val="28"/>
                    <w:szCs w:val="28"/>
                  </w:rPr>
                </w:pPr>
                <w:r>
                  <w:rPr>
                    <w:rFonts w:ascii="Trebuchet MS" w:hAnsi="Trebuchet MS" w:cs="Arial"/>
                    <w:sz w:val="28"/>
                    <w:szCs w:val="28"/>
                  </w:rPr>
                  <w:t>PRESIDENCE DE LA REPUBLIQUE                ********</w:t>
                </w:r>
              </w:p>
              <w:p w14:paraId="6A8B5383" w14:textId="77777777" w:rsidR="00456CE2" w:rsidRDefault="00456CE2" w:rsidP="008E0449">
                <w:pPr>
                  <w:spacing w:after="0" w:line="240" w:lineRule="exact"/>
                  <w:jc w:val="center"/>
                  <w:rPr>
                    <w:rFonts w:ascii="Trebuchet MS" w:hAnsi="Trebuchet MS" w:cs="Arial"/>
                    <w:sz w:val="28"/>
                    <w:szCs w:val="28"/>
                  </w:rPr>
                </w:pPr>
                <w:r>
                  <w:rPr>
                    <w:rFonts w:ascii="Trebuchet MS" w:hAnsi="Trebuchet MS" w:cs="Arial"/>
                    <w:sz w:val="28"/>
                    <w:szCs w:val="28"/>
                  </w:rPr>
                  <w:t>PRIMATURE</w:t>
                </w:r>
              </w:p>
              <w:p w14:paraId="7E0FC711" w14:textId="77777777" w:rsidR="00456CE2" w:rsidRDefault="00456CE2" w:rsidP="008E0449">
                <w:pPr>
                  <w:spacing w:after="0" w:line="240" w:lineRule="exact"/>
                  <w:jc w:val="center"/>
                  <w:rPr>
                    <w:rFonts w:ascii="Trebuchet MS" w:hAnsi="Trebuchet MS" w:cs="Arial"/>
                    <w:sz w:val="28"/>
                    <w:szCs w:val="28"/>
                  </w:rPr>
                </w:pPr>
                <w:r>
                  <w:rPr>
                    <w:rFonts w:ascii="Trebuchet MS" w:hAnsi="Trebuchet MS" w:cs="Arial"/>
                    <w:sz w:val="28"/>
                    <w:szCs w:val="28"/>
                  </w:rPr>
                  <w:t>***********</w:t>
                </w:r>
              </w:p>
              <w:p w14:paraId="3E54C865" w14:textId="77777777" w:rsidR="00456CE2" w:rsidRDefault="00456CE2" w:rsidP="008E0449">
                <w:pPr>
                  <w:spacing w:after="0" w:line="240" w:lineRule="exact"/>
                  <w:jc w:val="center"/>
                  <w:rPr>
                    <w:rFonts w:ascii="Trebuchet MS" w:hAnsi="Trebuchet MS" w:cs="Arial"/>
                    <w:bCs/>
                    <w:sz w:val="28"/>
                    <w:szCs w:val="28"/>
                  </w:rPr>
                </w:pPr>
                <w:r>
                  <w:rPr>
                    <w:rFonts w:ascii="Trebuchet MS" w:hAnsi="Trebuchet MS" w:cs="Arial"/>
                    <w:bCs/>
                    <w:sz w:val="28"/>
                    <w:szCs w:val="28"/>
                  </w:rPr>
                  <w:t xml:space="preserve">MINISTERE DE LA JUSTICE ET DES DROITS HUMAINS  </w:t>
                </w:r>
              </w:p>
              <w:p w14:paraId="55988FD9" w14:textId="77777777" w:rsidR="00456CE2" w:rsidRDefault="00456CE2" w:rsidP="008E0449">
                <w:pPr>
                  <w:spacing w:line="240" w:lineRule="exact"/>
                  <w:jc w:val="center"/>
                  <w:rPr>
                    <w:rFonts w:ascii="Trebuchet MS" w:hAnsi="Trebuchet MS" w:cs="Arial"/>
                    <w:bCs/>
                    <w:sz w:val="28"/>
                    <w:szCs w:val="28"/>
                  </w:rPr>
                </w:pPr>
                <w:r>
                  <w:rPr>
                    <w:rFonts w:ascii="Trebuchet MS" w:hAnsi="Trebuchet MS" w:cs="Arial"/>
                    <w:bCs/>
                    <w:sz w:val="28"/>
                    <w:szCs w:val="28"/>
                  </w:rPr>
                  <w:t>********</w:t>
                </w:r>
              </w:p>
              <w:p w14:paraId="58D36AC5" w14:textId="77777777" w:rsidR="00456CE2" w:rsidRDefault="00456CE2" w:rsidP="008E0449">
                <w:pPr>
                  <w:spacing w:line="240" w:lineRule="exact"/>
                  <w:jc w:val="center"/>
                  <w:rPr>
                    <w:rFonts w:ascii="Trebuchet MS" w:hAnsi="Trebuchet MS" w:cs="Arial"/>
                    <w:sz w:val="20"/>
                    <w:szCs w:val="20"/>
                  </w:rPr>
                </w:pPr>
              </w:p>
            </w:tc>
            <w:tc>
              <w:tcPr>
                <w:tcW w:w="2996" w:type="dxa"/>
                <w:shd w:val="clear" w:color="auto" w:fill="auto"/>
                <w:tcMar>
                  <w:top w:w="0" w:type="dxa"/>
                  <w:left w:w="108" w:type="dxa"/>
                  <w:bottom w:w="0" w:type="dxa"/>
                  <w:right w:w="108" w:type="dxa"/>
                </w:tcMar>
              </w:tcPr>
              <w:p w14:paraId="41B3F9D5" w14:textId="77777777" w:rsidR="00456CE2" w:rsidRDefault="00456CE2" w:rsidP="008E0449">
                <w:r>
                  <w:rPr>
                    <w:rFonts w:ascii="Times New Roman" w:hAnsi="Times New Roman"/>
                    <w:noProof/>
                    <w:lang w:eastAsia="fr-FR"/>
                  </w:rPr>
                  <w:drawing>
                    <wp:inline distT="0" distB="0" distL="0" distR="0" wp14:anchorId="71C07131" wp14:editId="7EC3484D">
                      <wp:extent cx="1500502" cy="1414777"/>
                      <wp:effectExtent l="0" t="0" r="4448" b="0"/>
                      <wp:docPr id="6" name="Imag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1500502" cy="1414777"/>
                              </a:xfrm>
                              <a:prstGeom prst="rect">
                                <a:avLst/>
                              </a:prstGeom>
                              <a:noFill/>
                              <a:ln>
                                <a:noFill/>
                                <a:prstDash/>
                              </a:ln>
                            </pic:spPr>
                          </pic:pic>
                        </a:graphicData>
                      </a:graphic>
                    </wp:inline>
                  </w:drawing>
                </w:r>
              </w:p>
            </w:tc>
          </w:tr>
        </w:tbl>
        <w:p w14:paraId="5BBD27E3" w14:textId="77777777" w:rsidR="00456CE2" w:rsidRDefault="00456CE2" w:rsidP="00456CE2">
          <w:pPr>
            <w:spacing w:after="0" w:line="360" w:lineRule="auto"/>
          </w:pPr>
        </w:p>
        <w:p w14:paraId="02B004BD" w14:textId="77777777" w:rsidR="00456CE2" w:rsidRDefault="00456CE2" w:rsidP="00456CE2">
          <w:pPr>
            <w:spacing w:after="0" w:line="360" w:lineRule="auto"/>
          </w:pPr>
        </w:p>
        <w:p w14:paraId="35B26EE6" w14:textId="77777777" w:rsidR="00456CE2" w:rsidRDefault="00456CE2" w:rsidP="00456CE2">
          <w:pPr>
            <w:spacing w:after="0" w:line="360" w:lineRule="auto"/>
            <w:rPr>
              <w:rFonts w:ascii="Times New Roman" w:hAnsi="Times New Roman"/>
            </w:rPr>
          </w:pPr>
        </w:p>
        <w:p w14:paraId="195535CA" w14:textId="77777777" w:rsidR="00456CE2" w:rsidRDefault="00456CE2" w:rsidP="00456CE2">
          <w:pPr>
            <w:spacing w:after="0" w:line="360" w:lineRule="auto"/>
          </w:pPr>
          <w:r>
            <w:rPr>
              <w:rFonts w:ascii="Times New Roman" w:eastAsia="Times New Roman" w:hAnsi="Times New Roman"/>
              <w:noProof/>
              <w:lang w:eastAsia="fr-FR"/>
            </w:rPr>
            <mc:AlternateContent>
              <mc:Choice Requires="wps">
                <w:drawing>
                  <wp:anchor distT="0" distB="0" distL="114300" distR="114300" simplePos="0" relativeHeight="251663360" behindDoc="0" locked="0" layoutInCell="1" allowOverlap="1" wp14:anchorId="24B9BA92" wp14:editId="04372B9D">
                    <wp:simplePos x="0" y="0"/>
                    <wp:positionH relativeFrom="margin">
                      <wp:align>left</wp:align>
                    </wp:positionH>
                    <wp:positionV relativeFrom="paragraph">
                      <wp:posOffset>189225</wp:posOffset>
                    </wp:positionV>
                    <wp:extent cx="6200144" cy="1514475"/>
                    <wp:effectExtent l="0" t="0" r="10156" b="28575"/>
                    <wp:wrapNone/>
                    <wp:docPr id="4" name="Rectangle à coins arrondis 4"/>
                    <wp:cNvGraphicFramePr/>
                    <a:graphic xmlns:a="http://schemas.openxmlformats.org/drawingml/2006/main">
                      <a:graphicData uri="http://schemas.microsoft.com/office/word/2010/wordprocessingShape">
                        <wps:wsp>
                          <wps:cNvSpPr/>
                          <wps:spPr>
                            <a:xfrm>
                              <a:off x="0" y="0"/>
                              <a:ext cx="6200144" cy="1514475"/>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5B9BD5"/>
                            </a:solidFill>
                            <a:ln w="12701" cap="flat">
                              <a:solidFill>
                                <a:srgbClr val="41719C"/>
                              </a:solidFill>
                              <a:prstDash val="solid"/>
                              <a:miter/>
                            </a:ln>
                          </wps:spPr>
                          <wps:txbx>
                            <w:txbxContent>
                              <w:p w14:paraId="14AE9590" w14:textId="77777777" w:rsidR="00456CE2" w:rsidRDefault="00456CE2" w:rsidP="00456CE2">
                                <w:pPr>
                                  <w:spacing w:line="360" w:lineRule="auto"/>
                                  <w:rPr>
                                    <w:rFonts w:ascii="Times New Roman" w:eastAsia="Times New Roman" w:hAnsi="Times New Roman"/>
                                    <w:b/>
                                    <w:sz w:val="16"/>
                                    <w:lang w:eastAsia="fr-FR"/>
                                  </w:rPr>
                                </w:pPr>
                              </w:p>
                              <w:p w14:paraId="08AC7EAC" w14:textId="77777777" w:rsidR="00456CE2" w:rsidRDefault="00456CE2" w:rsidP="00456CE2">
                                <w:pPr>
                                  <w:shd w:val="clear" w:color="auto" w:fill="FFF2CC"/>
                                  <w:jc w:val="both"/>
                                  <w:rPr>
                                    <w:rFonts w:ascii="Times New Roman" w:hAnsi="Times New Roman"/>
                                    <w:b/>
                                    <w:sz w:val="28"/>
                                    <w:szCs w:val="28"/>
                                    <w:lang w:val="fr-CA"/>
                                  </w:rPr>
                                </w:pPr>
                                <w:r>
                                  <w:rPr>
                                    <w:rFonts w:ascii="Times New Roman" w:hAnsi="Times New Roman"/>
                                    <w:b/>
                                    <w:sz w:val="28"/>
                                    <w:szCs w:val="28"/>
                                    <w:lang w:val="fr-CA"/>
                                  </w:rPr>
                                  <w:t>RAPPORT INITIAL DE LA REPUBLIQUE DU TCHAD SUR LA MISE EN ŒUVRE DES DISPOSITIONS DE LA CONVENTION INTERNATIONALE SUR LA PROTECTION DES DROITS DE TOUS LES TRAVAILLEURS MIGRANTS ET DE MEMBRES DE LEUR FAMILLE</w:t>
                                </w:r>
                              </w:p>
                              <w:p w14:paraId="5C84394A" w14:textId="77777777" w:rsidR="00456CE2" w:rsidRDefault="00456CE2" w:rsidP="00456CE2">
                                <w:pPr>
                                  <w:shd w:val="clear" w:color="auto" w:fill="FFF2CC"/>
                                  <w:rPr>
                                    <w:rFonts w:ascii="Times New Roman" w:hAnsi="Times New Roman"/>
                                    <w:b/>
                                    <w:sz w:val="32"/>
                                    <w:szCs w:val="32"/>
                                    <w:lang w:val="fr-CA"/>
                                  </w:rPr>
                                </w:pPr>
                              </w:p>
                              <w:p w14:paraId="5796BD8C" w14:textId="77777777" w:rsidR="00456CE2" w:rsidRDefault="00456CE2" w:rsidP="00456CE2">
                                <w:pPr>
                                  <w:shd w:val="clear" w:color="auto" w:fill="FFF2CC"/>
                                  <w:rPr>
                                    <w:rFonts w:ascii="Times New Roman" w:hAnsi="Times New Roman"/>
                                    <w:b/>
                                    <w:sz w:val="32"/>
                                    <w:szCs w:val="32"/>
                                    <w:lang w:val="fr-CA"/>
                                  </w:rPr>
                                </w:pPr>
                              </w:p>
                              <w:p w14:paraId="4CF292C1" w14:textId="77777777" w:rsidR="00456CE2" w:rsidRDefault="00456CE2" w:rsidP="00456CE2">
                                <w:pPr>
                                  <w:shd w:val="clear" w:color="auto" w:fill="FFF2CC"/>
                                  <w:rPr>
                                    <w:rFonts w:ascii="Times New Roman" w:hAnsi="Times New Roman"/>
                                    <w:b/>
                                    <w:sz w:val="32"/>
                                    <w:szCs w:val="32"/>
                                    <w:lang w:val="fr-CA"/>
                                  </w:rPr>
                                </w:pPr>
                              </w:p>
                              <w:p w14:paraId="10F4C95D" w14:textId="77777777" w:rsidR="00456CE2" w:rsidRDefault="00456CE2" w:rsidP="00456CE2">
                                <w:pPr>
                                  <w:shd w:val="clear" w:color="auto" w:fill="FFF2CC"/>
                                  <w:rPr>
                                    <w:rFonts w:ascii="Times New Roman" w:hAnsi="Times New Roman"/>
                                    <w:b/>
                                    <w:sz w:val="32"/>
                                    <w:szCs w:val="32"/>
                                    <w:lang w:val="fr-CA"/>
                                  </w:rPr>
                                </w:pPr>
                              </w:p>
                              <w:p w14:paraId="19DDA0B2" w14:textId="77777777" w:rsidR="00456CE2" w:rsidRDefault="00456CE2" w:rsidP="00456CE2">
                                <w:pPr>
                                  <w:rPr>
                                    <w:lang w:val="fr-CA"/>
                                  </w:rPr>
                                </w:pPr>
                              </w:p>
                            </w:txbxContent>
                          </wps:txbx>
                          <wps:bodyPr vert="horz" wrap="square" lIns="91440" tIns="45720" rIns="91440" bIns="45720" anchor="ctr" anchorCtr="0" compatLnSpc="1">
                            <a:noAutofit/>
                          </wps:bodyPr>
                        </wps:wsp>
                      </a:graphicData>
                    </a:graphic>
                  </wp:anchor>
                </w:drawing>
              </mc:Choice>
              <mc:Fallback>
                <w:pict>
                  <v:shape w14:anchorId="24B9BA92" id="Rectangle à coins arrondis 4" o:spid="_x0000_s1026" style="position:absolute;margin-left:0;margin-top:14.9pt;width:488.2pt;height:119.25pt;z-index:251663360;visibility:visible;mso-wrap-style:square;mso-wrap-distance-left:9pt;mso-wrap-distance-top:0;mso-wrap-distance-right:9pt;mso-wrap-distance-bottom:0;mso-position-horizontal:left;mso-position-horizontal-relative:margin;mso-position-vertical:absolute;mso-position-vertical-relative:text;v-text-anchor:middle" coordsize="6200144,15144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" adj="-11796480,,5400" path="m252412,at,,504824,504824,252412,,,252412l,1262063at,1009651,504824,1514475,,1262063,252412,1514475l5947732,1514475at5695320,1009651,6200144,1514475,5947732,1514475,6200144,1262063l6200144,252412at5695320,,6200144,504824,6200144,252412,5947732,l252412,xe" fillcolor="#5b9bd5" strokecolor="#41719c" strokeweight=".35281mm">
                    <v:stroke joinstyle="miter"/>
                    <v:formulas/>
                    <v:path arrowok="t" o:connecttype="custom" o:connectlocs="3100072,0;6200144,757238;3100072,1514475;0,757238" o:connectangles="270,0,90,180" textboxrect="73931,73931,6126213,1440544"/>
                    <v:textbox>
                      <w:txbxContent>
                        <w:p w14:paraId="14AE9590" w14:textId="77777777" w:rsidR="00456CE2" w:rsidRDefault="00456CE2" w:rsidP="00456CE2">
                          <w:pPr>
                            <w:spacing w:line="360" w:lineRule="auto"/>
                            <w:rPr>
                              <w:rFonts w:ascii="Times New Roman" w:eastAsia="Times New Roman" w:hAnsi="Times New Roman"/>
                              <w:b/>
                              <w:sz w:val="16"/>
                              <w:lang w:eastAsia="fr-FR"/>
                            </w:rPr>
                          </w:pPr>
                        </w:p>
                        <w:p w14:paraId="08AC7EAC" w14:textId="77777777" w:rsidR="00456CE2" w:rsidRDefault="00456CE2" w:rsidP="00456CE2">
                          <w:pPr>
                            <w:shd w:val="clear" w:color="auto" w:fill="FFF2CC"/>
                            <w:jc w:val="both"/>
                            <w:rPr>
                              <w:rFonts w:ascii="Times New Roman" w:hAnsi="Times New Roman"/>
                              <w:b/>
                              <w:sz w:val="28"/>
                              <w:szCs w:val="28"/>
                              <w:lang w:val="fr-CA"/>
                            </w:rPr>
                          </w:pPr>
                          <w:r>
                            <w:rPr>
                              <w:rFonts w:ascii="Times New Roman" w:hAnsi="Times New Roman"/>
                              <w:b/>
                              <w:sz w:val="28"/>
                              <w:szCs w:val="28"/>
                              <w:lang w:val="fr-CA"/>
                            </w:rPr>
                            <w:t>RAPPORT INITIAL DE LA REPUBLIQUE DU TCHAD SUR LA MISE EN ŒUVRE DES DISPOSITIONS DE LA CONVENTION INTERNATIONALE SUR LA PROTECTION DES DROITS DE TOUS LES TRAVAILLEURS MIGRANTS ET DE MEMBRES DE LEUR FAMILLE</w:t>
                          </w:r>
                        </w:p>
                        <w:p w14:paraId="5C84394A" w14:textId="77777777" w:rsidR="00456CE2" w:rsidRDefault="00456CE2" w:rsidP="00456CE2">
                          <w:pPr>
                            <w:shd w:val="clear" w:color="auto" w:fill="FFF2CC"/>
                            <w:rPr>
                              <w:rFonts w:ascii="Times New Roman" w:hAnsi="Times New Roman"/>
                              <w:b/>
                              <w:sz w:val="32"/>
                              <w:szCs w:val="32"/>
                              <w:lang w:val="fr-CA"/>
                            </w:rPr>
                          </w:pPr>
                        </w:p>
                        <w:p w14:paraId="5796BD8C" w14:textId="77777777" w:rsidR="00456CE2" w:rsidRDefault="00456CE2" w:rsidP="00456CE2">
                          <w:pPr>
                            <w:shd w:val="clear" w:color="auto" w:fill="FFF2CC"/>
                            <w:rPr>
                              <w:rFonts w:ascii="Times New Roman" w:hAnsi="Times New Roman"/>
                              <w:b/>
                              <w:sz w:val="32"/>
                              <w:szCs w:val="32"/>
                              <w:lang w:val="fr-CA"/>
                            </w:rPr>
                          </w:pPr>
                        </w:p>
                        <w:p w14:paraId="4CF292C1" w14:textId="77777777" w:rsidR="00456CE2" w:rsidRDefault="00456CE2" w:rsidP="00456CE2">
                          <w:pPr>
                            <w:shd w:val="clear" w:color="auto" w:fill="FFF2CC"/>
                            <w:rPr>
                              <w:rFonts w:ascii="Times New Roman" w:hAnsi="Times New Roman"/>
                              <w:b/>
                              <w:sz w:val="32"/>
                              <w:szCs w:val="32"/>
                              <w:lang w:val="fr-CA"/>
                            </w:rPr>
                          </w:pPr>
                        </w:p>
                        <w:p w14:paraId="10F4C95D" w14:textId="77777777" w:rsidR="00456CE2" w:rsidRDefault="00456CE2" w:rsidP="00456CE2">
                          <w:pPr>
                            <w:shd w:val="clear" w:color="auto" w:fill="FFF2CC"/>
                            <w:rPr>
                              <w:rFonts w:ascii="Times New Roman" w:hAnsi="Times New Roman"/>
                              <w:b/>
                              <w:sz w:val="32"/>
                              <w:szCs w:val="32"/>
                              <w:lang w:val="fr-CA"/>
                            </w:rPr>
                          </w:pPr>
                        </w:p>
                        <w:p w14:paraId="19DDA0B2" w14:textId="77777777" w:rsidR="00456CE2" w:rsidRDefault="00456CE2" w:rsidP="00456CE2">
                          <w:pPr>
                            <w:rPr>
                              <w:lang w:val="fr-CA"/>
                            </w:rPr>
                          </w:pPr>
                        </w:p>
                      </w:txbxContent>
                    </v:textbox>
                    <w10:wrap anchorx="margin"/>
                  </v:shape>
                </w:pict>
              </mc:Fallback>
            </mc:AlternateContent>
          </w:r>
        </w:p>
        <w:p w14:paraId="666A9112" w14:textId="77777777" w:rsidR="00456CE2" w:rsidRDefault="00456CE2" w:rsidP="00456CE2">
          <w:pPr>
            <w:spacing w:after="0" w:line="360" w:lineRule="auto"/>
            <w:rPr>
              <w:rFonts w:ascii="Times New Roman" w:hAnsi="Times New Roman"/>
            </w:rPr>
          </w:pPr>
        </w:p>
        <w:p w14:paraId="214C5986" w14:textId="77777777" w:rsidR="00456CE2" w:rsidRDefault="00456CE2" w:rsidP="00456CE2">
          <w:pPr>
            <w:spacing w:after="0" w:line="360" w:lineRule="auto"/>
            <w:rPr>
              <w:rFonts w:ascii="Times New Roman" w:hAnsi="Times New Roman"/>
            </w:rPr>
          </w:pPr>
        </w:p>
        <w:p w14:paraId="0913386F" w14:textId="77777777" w:rsidR="00456CE2" w:rsidRDefault="00456CE2" w:rsidP="00456CE2">
          <w:pPr>
            <w:spacing w:after="0" w:line="360" w:lineRule="auto"/>
            <w:rPr>
              <w:rFonts w:ascii="Times New Roman" w:hAnsi="Times New Roman"/>
            </w:rPr>
          </w:pPr>
        </w:p>
        <w:p w14:paraId="4168AA21" w14:textId="77777777" w:rsidR="00456CE2" w:rsidRDefault="00456CE2" w:rsidP="00456CE2">
          <w:pPr>
            <w:spacing w:after="0" w:line="360" w:lineRule="auto"/>
            <w:rPr>
              <w:rFonts w:ascii="Times New Roman" w:hAnsi="Times New Roman"/>
            </w:rPr>
          </w:pPr>
        </w:p>
        <w:p w14:paraId="6753897B" w14:textId="77777777" w:rsidR="00456CE2" w:rsidRDefault="00456CE2" w:rsidP="00456CE2">
          <w:pPr>
            <w:spacing w:after="0" w:line="360" w:lineRule="auto"/>
            <w:rPr>
              <w:rFonts w:ascii="Times New Roman" w:hAnsi="Times New Roman"/>
            </w:rPr>
          </w:pPr>
        </w:p>
        <w:p w14:paraId="0ACE1731" w14:textId="77777777" w:rsidR="00456CE2" w:rsidRDefault="00456CE2" w:rsidP="00456CE2">
          <w:pPr>
            <w:spacing w:after="0" w:line="360" w:lineRule="auto"/>
            <w:rPr>
              <w:rFonts w:ascii="Times New Roman" w:hAnsi="Times New Roman"/>
            </w:rPr>
          </w:pPr>
        </w:p>
        <w:p w14:paraId="1F5C6EAC" w14:textId="77777777" w:rsidR="00456CE2" w:rsidRDefault="00456CE2" w:rsidP="00456CE2">
          <w:pPr>
            <w:spacing w:after="0" w:line="360" w:lineRule="auto"/>
            <w:rPr>
              <w:rFonts w:ascii="Times New Roman" w:hAnsi="Times New Roman"/>
            </w:rPr>
          </w:pPr>
        </w:p>
        <w:p w14:paraId="380E74FB" w14:textId="77777777" w:rsidR="00456CE2" w:rsidRDefault="00456CE2" w:rsidP="00456CE2">
          <w:pPr>
            <w:spacing w:after="0" w:line="360" w:lineRule="auto"/>
            <w:rPr>
              <w:rFonts w:ascii="Times New Roman" w:hAnsi="Times New Roman"/>
            </w:rPr>
          </w:pPr>
        </w:p>
        <w:p w14:paraId="1DAA9960" w14:textId="77777777" w:rsidR="00456CE2" w:rsidRDefault="00456CE2" w:rsidP="00456CE2">
          <w:pPr>
            <w:spacing w:after="0" w:line="360" w:lineRule="auto"/>
            <w:rPr>
              <w:rFonts w:ascii="Times New Roman" w:hAnsi="Times New Roman"/>
            </w:rPr>
          </w:pPr>
        </w:p>
        <w:p w14:paraId="34CAC9B3" w14:textId="77777777" w:rsidR="00456CE2" w:rsidRDefault="00456CE2" w:rsidP="00456CE2">
          <w:pPr>
            <w:spacing w:after="0" w:line="360" w:lineRule="auto"/>
            <w:rPr>
              <w:rFonts w:ascii="Times New Roman" w:hAnsi="Times New Roman"/>
            </w:rPr>
          </w:pPr>
        </w:p>
        <w:p w14:paraId="62A898FD" w14:textId="77777777" w:rsidR="00456CE2" w:rsidRDefault="00456CE2" w:rsidP="00456CE2">
          <w:pPr>
            <w:spacing w:after="0" w:line="360" w:lineRule="auto"/>
            <w:rPr>
              <w:rFonts w:ascii="Times New Roman" w:hAnsi="Times New Roman"/>
            </w:rPr>
          </w:pPr>
        </w:p>
        <w:p w14:paraId="79020E41" w14:textId="77777777" w:rsidR="00456CE2" w:rsidRDefault="00456CE2" w:rsidP="00456CE2">
          <w:pPr>
            <w:spacing w:after="0" w:line="360" w:lineRule="auto"/>
            <w:rPr>
              <w:rFonts w:ascii="Times New Roman" w:hAnsi="Times New Roman"/>
            </w:rPr>
          </w:pPr>
        </w:p>
        <w:p w14:paraId="5EE9C67A" w14:textId="77777777" w:rsidR="00456CE2" w:rsidRDefault="00456CE2" w:rsidP="00456CE2">
          <w:pPr>
            <w:spacing w:after="0" w:line="360" w:lineRule="auto"/>
            <w:rPr>
              <w:rFonts w:ascii="Times New Roman" w:hAnsi="Times New Roman"/>
            </w:rPr>
          </w:pPr>
        </w:p>
        <w:p w14:paraId="497021B1" w14:textId="77777777" w:rsidR="00456CE2" w:rsidRDefault="00456CE2" w:rsidP="00456CE2">
          <w:pPr>
            <w:spacing w:after="0" w:line="360" w:lineRule="auto"/>
            <w:rPr>
              <w:rFonts w:ascii="Times New Roman" w:hAnsi="Times New Roman"/>
            </w:rPr>
          </w:pPr>
        </w:p>
        <w:p w14:paraId="6DC9684D" w14:textId="77777777" w:rsidR="00456CE2" w:rsidRDefault="00456CE2" w:rsidP="00456CE2">
          <w:pPr>
            <w:spacing w:after="0" w:line="360" w:lineRule="auto"/>
            <w:rPr>
              <w:rFonts w:ascii="Times New Roman" w:hAnsi="Times New Roman"/>
            </w:rPr>
          </w:pPr>
        </w:p>
        <w:p w14:paraId="62B34C7B" w14:textId="77777777" w:rsidR="00456CE2" w:rsidRDefault="00456CE2" w:rsidP="00456CE2">
          <w:pPr>
            <w:spacing w:after="0" w:line="360" w:lineRule="auto"/>
            <w:rPr>
              <w:rFonts w:ascii="Times New Roman" w:hAnsi="Times New Roman"/>
            </w:rPr>
          </w:pPr>
        </w:p>
        <w:p w14:paraId="1389E3ED" w14:textId="77777777" w:rsidR="00456CE2" w:rsidRDefault="00456CE2" w:rsidP="00456CE2">
          <w:pPr>
            <w:spacing w:after="0" w:line="360" w:lineRule="auto"/>
            <w:rPr>
              <w:rFonts w:ascii="Times New Roman" w:hAnsi="Times New Roman"/>
            </w:rPr>
          </w:pPr>
        </w:p>
        <w:p w14:paraId="2BF9BB63" w14:textId="77777777" w:rsidR="009C1D22" w:rsidRPr="002F29F1" w:rsidRDefault="002F29F1" w:rsidP="002F29F1">
          <w:pPr>
            <w:suppressAutoHyphens w:val="0"/>
            <w:spacing w:line="242" w:lineRule="auto"/>
            <w:jc w:val="right"/>
            <w:rPr>
              <w:b/>
              <w:bCs/>
              <w:color w:val="FF0000"/>
            </w:rPr>
          </w:pPr>
          <w:r w:rsidRPr="002F29F1">
            <w:rPr>
              <w:b/>
              <w:bCs/>
              <w:color w:val="FF0000"/>
            </w:rPr>
            <w:t>Mars 2025</w:t>
          </w:r>
        </w:p>
      </w:sdtContent>
    </w:sdt>
    <w:p w14:paraId="269698F6" w14:textId="77777777" w:rsidR="009C1D22" w:rsidRDefault="000B6C0D">
      <w:pPr>
        <w:pStyle w:val="TOCHeading"/>
        <w:outlineLvl w:val="9"/>
        <w:rPr>
          <w:rFonts w:ascii="Times New Roman" w:hAnsi="Times New Roman"/>
          <w:b/>
          <w:color w:val="auto"/>
          <w:sz w:val="24"/>
          <w:szCs w:val="24"/>
        </w:rPr>
      </w:pPr>
      <w:r>
        <w:rPr>
          <w:rFonts w:ascii="Times New Roman" w:hAnsi="Times New Roman"/>
          <w:b/>
          <w:color w:val="auto"/>
          <w:sz w:val="24"/>
          <w:szCs w:val="24"/>
        </w:rPr>
        <w:lastRenderedPageBreak/>
        <w:t>Table des matières</w:t>
      </w:r>
    </w:p>
    <w:p w14:paraId="7A76E098" w14:textId="77777777" w:rsidR="00A22920" w:rsidRPr="00A22920" w:rsidRDefault="00A22920" w:rsidP="00A22920">
      <w:pPr>
        <w:rPr>
          <w:lang w:val="en-US"/>
        </w:rPr>
      </w:pPr>
    </w:p>
    <w:p w14:paraId="3D930F25" w14:textId="77777777" w:rsidR="009C1D22" w:rsidRDefault="000B6C0D" w:rsidP="00A22920">
      <w:pPr>
        <w:pStyle w:val="TOC1"/>
        <w:tabs>
          <w:tab w:val="right" w:leader="dot" w:pos="9016"/>
        </w:tabs>
      </w:pPr>
      <w:r>
        <w:rPr>
          <w:rFonts w:ascii="Calibri Light" w:eastAsia="Times New Roman" w:hAnsi="Calibri Light"/>
          <w:color w:val="2E74B5"/>
          <w:sz w:val="32"/>
          <w:szCs w:val="32"/>
          <w:lang w:val="en-US"/>
        </w:rPr>
        <w:fldChar w:fldCharType="begin"/>
      </w:r>
      <w:r>
        <w:instrText xml:space="preserve"> TOC \o "1-3" \h </w:instrText>
      </w:r>
      <w:r>
        <w:rPr>
          <w:rFonts w:ascii="Calibri Light" w:eastAsia="Times New Roman" w:hAnsi="Calibri Light"/>
          <w:color w:val="2E74B5"/>
          <w:sz w:val="32"/>
          <w:szCs w:val="32"/>
          <w:lang w:val="en-US"/>
        </w:rPr>
        <w:fldChar w:fldCharType="separate"/>
      </w:r>
      <w:hyperlink w:anchor="_Toc177633274" w:history="1">
        <w:r>
          <w:rPr>
            <w:rStyle w:val="Hyperlink"/>
            <w:rFonts w:ascii="Times New Roman" w:eastAsia="Times New Roman" w:hAnsi="Times New Roman"/>
            <w:b/>
            <w:sz w:val="24"/>
            <w:szCs w:val="24"/>
            <w:lang w:eastAsia="fr-FR"/>
          </w:rPr>
          <w:t>INTRODUCTION</w:t>
        </w:r>
        <w:r>
          <w:rPr>
            <w:rFonts w:ascii="Times New Roman" w:hAnsi="Times New Roman"/>
            <w:b/>
            <w:sz w:val="24"/>
            <w:szCs w:val="24"/>
          </w:rPr>
          <w:tab/>
        </w:r>
        <w:r w:rsidR="00A22920">
          <w:rPr>
            <w:rFonts w:ascii="Times New Roman" w:hAnsi="Times New Roman"/>
            <w:b/>
            <w:sz w:val="24"/>
            <w:szCs w:val="24"/>
          </w:rPr>
          <w:t>4</w:t>
        </w:r>
      </w:hyperlink>
    </w:p>
    <w:p w14:paraId="4DB8D5E2" w14:textId="77777777" w:rsidR="009C1D22" w:rsidRDefault="000B6C0D">
      <w:pPr>
        <w:pStyle w:val="TOC1"/>
        <w:tabs>
          <w:tab w:val="right" w:leader="dot" w:pos="480"/>
          <w:tab w:val="right" w:leader="dot" w:pos="9016"/>
        </w:tabs>
      </w:pPr>
      <w:hyperlink w:anchor="_Toc177633275" w:history="1">
        <w:r>
          <w:rPr>
            <w:rStyle w:val="Hyperlink"/>
            <w:rFonts w:ascii="Times New Roman" w:hAnsi="Times New Roman"/>
            <w:b/>
            <w:sz w:val="24"/>
            <w:szCs w:val="24"/>
          </w:rPr>
          <w:t>I-</w:t>
        </w:r>
        <w:r>
          <w:rPr>
            <w:rFonts w:ascii="Times New Roman" w:eastAsia="Times New Roman" w:hAnsi="Times New Roman"/>
            <w:b/>
            <w:sz w:val="24"/>
            <w:szCs w:val="24"/>
          </w:rPr>
          <w:tab/>
        </w:r>
        <w:r>
          <w:rPr>
            <w:rStyle w:val="Hyperlink"/>
            <w:rFonts w:ascii="Times New Roman" w:hAnsi="Times New Roman"/>
            <w:b/>
            <w:sz w:val="24"/>
            <w:szCs w:val="24"/>
          </w:rPr>
          <w:t>DES GENERALITES</w:t>
        </w:r>
        <w:r>
          <w:rPr>
            <w:rFonts w:ascii="Times New Roman" w:hAnsi="Times New Roman"/>
            <w:b/>
            <w:sz w:val="24"/>
            <w:szCs w:val="24"/>
          </w:rPr>
          <w:tab/>
          <w:t>5</w:t>
        </w:r>
      </w:hyperlink>
    </w:p>
    <w:p w14:paraId="46F217F7" w14:textId="77777777" w:rsidR="009C1D22" w:rsidRDefault="000B6C0D" w:rsidP="00A22920">
      <w:pPr>
        <w:pStyle w:val="TOC2"/>
        <w:ind w:left="0"/>
      </w:pPr>
      <w:hyperlink w:anchor="_Toc177633276" w:history="1">
        <w:r>
          <w:rPr>
            <w:rStyle w:val="Hyperlink"/>
            <w:rFonts w:ascii="Times New Roman" w:eastAsia="Times" w:hAnsi="Times New Roman"/>
            <w:b/>
            <w:lang w:eastAsia="fr-FR"/>
          </w:rPr>
          <w:t>A.  LE CADRE NORMATIF</w:t>
        </w:r>
        <w:r>
          <w:rPr>
            <w:rFonts w:ascii="Times New Roman" w:hAnsi="Times New Roman"/>
            <w:b/>
          </w:rPr>
          <w:tab/>
        </w:r>
        <w:r w:rsidR="00A22920">
          <w:rPr>
            <w:rFonts w:ascii="Times New Roman" w:hAnsi="Times New Roman"/>
            <w:b/>
          </w:rPr>
          <w:t>8</w:t>
        </w:r>
      </w:hyperlink>
    </w:p>
    <w:p w14:paraId="508E48E7" w14:textId="77777777" w:rsidR="009C1D22" w:rsidRDefault="000B6C0D">
      <w:pPr>
        <w:pStyle w:val="TOC3"/>
        <w:tabs>
          <w:tab w:val="right" w:leader="dot" w:pos="9016"/>
        </w:tabs>
        <w:ind w:left="0"/>
      </w:pPr>
      <w:hyperlink w:anchor="_Toc177633277" w:history="1">
        <w:r>
          <w:rPr>
            <w:rStyle w:val="Hyperlink"/>
            <w:rFonts w:ascii="Times New Roman" w:eastAsia="Times" w:hAnsi="Times New Roman"/>
            <w:b/>
            <w:bCs/>
            <w:lang w:eastAsia="fr-FR"/>
          </w:rPr>
          <w:t>A. 1. Les dispositions constitutionnelles</w:t>
        </w:r>
        <w:r>
          <w:rPr>
            <w:rFonts w:ascii="Times New Roman" w:hAnsi="Times New Roman"/>
            <w:b/>
          </w:rPr>
          <w:tab/>
          <w:t>9</w:t>
        </w:r>
      </w:hyperlink>
    </w:p>
    <w:p w14:paraId="7D8FAE84" w14:textId="77777777" w:rsidR="009C1D22" w:rsidRDefault="000B6C0D">
      <w:pPr>
        <w:pStyle w:val="TOC3"/>
        <w:tabs>
          <w:tab w:val="right" w:leader="dot" w:pos="9016"/>
        </w:tabs>
        <w:ind w:left="0"/>
      </w:pPr>
      <w:hyperlink w:anchor="_Toc177633278" w:history="1">
        <w:r>
          <w:rPr>
            <w:rStyle w:val="Hyperlink"/>
            <w:rFonts w:ascii="Times New Roman" w:eastAsia="Times" w:hAnsi="Times New Roman"/>
            <w:b/>
            <w:bCs/>
            <w:lang w:eastAsia="fr-FR"/>
          </w:rPr>
          <w:t>A. 2. Les Instruments internationaux et régionaux</w:t>
        </w:r>
        <w:r>
          <w:rPr>
            <w:rFonts w:ascii="Times New Roman" w:hAnsi="Times New Roman"/>
            <w:b/>
          </w:rPr>
          <w:tab/>
          <w:t>9</w:t>
        </w:r>
      </w:hyperlink>
    </w:p>
    <w:p w14:paraId="0C26EDAD" w14:textId="77777777" w:rsidR="009C1D22" w:rsidRDefault="000B6C0D">
      <w:pPr>
        <w:pStyle w:val="TOC3"/>
        <w:tabs>
          <w:tab w:val="right" w:leader="dot" w:pos="9016"/>
        </w:tabs>
        <w:ind w:left="0"/>
      </w:pPr>
      <w:hyperlink w:anchor="_Toc177633279" w:history="1">
        <w:r>
          <w:rPr>
            <w:rStyle w:val="Hyperlink"/>
            <w:rFonts w:ascii="Times New Roman" w:eastAsia="Times" w:hAnsi="Times New Roman"/>
            <w:b/>
            <w:bCs/>
            <w:lang w:eastAsia="fr-FR"/>
          </w:rPr>
          <w:t>A. 3 La législation nationale</w:t>
        </w:r>
        <w:r>
          <w:rPr>
            <w:rFonts w:ascii="Times New Roman" w:hAnsi="Times New Roman"/>
            <w:b/>
          </w:rPr>
          <w:tab/>
          <w:t>11</w:t>
        </w:r>
      </w:hyperlink>
    </w:p>
    <w:p w14:paraId="4C78B2BB" w14:textId="77777777" w:rsidR="009C1D22" w:rsidRDefault="000B6C0D">
      <w:pPr>
        <w:pStyle w:val="TOC3"/>
        <w:tabs>
          <w:tab w:val="right" w:leader="dot" w:pos="9016"/>
        </w:tabs>
        <w:ind w:left="0"/>
      </w:pPr>
      <w:hyperlink w:anchor="_Toc177633280" w:history="1">
        <w:r>
          <w:rPr>
            <w:rStyle w:val="Hyperlink"/>
            <w:rFonts w:ascii="Times New Roman" w:eastAsia="Times" w:hAnsi="Times New Roman"/>
            <w:b/>
            <w:bCs/>
            <w:lang w:eastAsia="fr-FR"/>
          </w:rPr>
          <w:t>A. 4 Les mesures réglementaires</w:t>
        </w:r>
        <w:r>
          <w:rPr>
            <w:rFonts w:ascii="Times New Roman" w:hAnsi="Times New Roman"/>
            <w:b/>
          </w:rPr>
          <w:tab/>
          <w:t>12</w:t>
        </w:r>
      </w:hyperlink>
    </w:p>
    <w:p w14:paraId="4D6D8234" w14:textId="77777777" w:rsidR="009C1D22" w:rsidRDefault="000B6C0D" w:rsidP="00A22920">
      <w:pPr>
        <w:pStyle w:val="TOC2"/>
        <w:ind w:left="0"/>
      </w:pPr>
      <w:hyperlink w:anchor="_Toc177633281" w:history="1">
        <w:r>
          <w:rPr>
            <w:rStyle w:val="Hyperlink"/>
            <w:rFonts w:ascii="Times New Roman" w:eastAsia="Times" w:hAnsi="Times New Roman"/>
            <w:b/>
            <w:bCs/>
            <w:lang w:eastAsia="fr-FR"/>
          </w:rPr>
          <w:t>B. LE CADRE INSTITUTIONNEL</w:t>
        </w:r>
        <w:r>
          <w:rPr>
            <w:rFonts w:ascii="Times New Roman" w:hAnsi="Times New Roman"/>
            <w:b/>
          </w:rPr>
          <w:tab/>
          <w:t>1</w:t>
        </w:r>
        <w:r w:rsidR="00A22920">
          <w:rPr>
            <w:rFonts w:ascii="Times New Roman" w:hAnsi="Times New Roman"/>
            <w:b/>
          </w:rPr>
          <w:t>2</w:t>
        </w:r>
      </w:hyperlink>
    </w:p>
    <w:p w14:paraId="7D28EFA9" w14:textId="77777777" w:rsidR="009C1D22" w:rsidRDefault="000B6C0D">
      <w:pPr>
        <w:pStyle w:val="TOC3"/>
        <w:tabs>
          <w:tab w:val="right" w:leader="dot" w:pos="9016"/>
        </w:tabs>
        <w:ind w:left="0"/>
      </w:pPr>
      <w:hyperlink w:anchor="_Toc177633282" w:history="1">
        <w:r>
          <w:rPr>
            <w:rStyle w:val="Hyperlink"/>
            <w:rFonts w:ascii="Times New Roman" w:eastAsia="Times" w:hAnsi="Times New Roman"/>
            <w:b/>
            <w:lang w:eastAsia="fr-FR"/>
          </w:rPr>
          <w:t>B. 1. Le pouvoir exécutif</w:t>
        </w:r>
        <w:r>
          <w:rPr>
            <w:rFonts w:ascii="Times New Roman" w:hAnsi="Times New Roman"/>
            <w:b/>
          </w:rPr>
          <w:tab/>
          <w:t>13</w:t>
        </w:r>
      </w:hyperlink>
    </w:p>
    <w:p w14:paraId="267F2061" w14:textId="77777777" w:rsidR="009C1D22" w:rsidRDefault="000B6C0D">
      <w:pPr>
        <w:pStyle w:val="TOC3"/>
        <w:tabs>
          <w:tab w:val="right" w:leader="dot" w:pos="9016"/>
        </w:tabs>
        <w:ind w:left="0"/>
      </w:pPr>
      <w:hyperlink w:anchor="_Toc177633283" w:history="1">
        <w:r>
          <w:rPr>
            <w:rStyle w:val="Hyperlink"/>
            <w:rFonts w:ascii="Times New Roman" w:eastAsia="Times" w:hAnsi="Times New Roman"/>
            <w:b/>
            <w:lang w:eastAsia="fr-FR"/>
          </w:rPr>
          <w:t xml:space="preserve">B. 2. </w:t>
        </w:r>
        <w:r>
          <w:rPr>
            <w:rStyle w:val="Hyperlink"/>
            <w:rFonts w:ascii="Times New Roman" w:eastAsia="Times New Roman" w:hAnsi="Times New Roman"/>
            <w:b/>
            <w:lang w:eastAsia="fr-FR"/>
          </w:rPr>
          <w:t>Le pouvoir législatif</w:t>
        </w:r>
        <w:r>
          <w:rPr>
            <w:rFonts w:ascii="Times New Roman" w:hAnsi="Times New Roman"/>
            <w:b/>
          </w:rPr>
          <w:tab/>
          <w:t>13</w:t>
        </w:r>
      </w:hyperlink>
    </w:p>
    <w:p w14:paraId="7609F7FC" w14:textId="77777777" w:rsidR="009C1D22" w:rsidRDefault="000B6C0D">
      <w:pPr>
        <w:pStyle w:val="TOC3"/>
        <w:tabs>
          <w:tab w:val="right" w:leader="dot" w:pos="9016"/>
        </w:tabs>
        <w:ind w:left="0"/>
      </w:pPr>
      <w:hyperlink w:anchor="_Toc177633284" w:history="1">
        <w:r>
          <w:rPr>
            <w:rStyle w:val="Hyperlink"/>
            <w:rFonts w:ascii="Times New Roman" w:eastAsia="Times New Roman" w:hAnsi="Times New Roman"/>
            <w:b/>
            <w:lang w:eastAsia="fr-FR"/>
          </w:rPr>
          <w:t xml:space="preserve">B. 3. Le </w:t>
        </w:r>
        <w:r>
          <w:rPr>
            <w:rStyle w:val="Hyperlink"/>
            <w:rFonts w:ascii="Times New Roman" w:eastAsia="Times" w:hAnsi="Times New Roman"/>
            <w:b/>
            <w:bCs/>
            <w:lang w:eastAsia="fr-FR"/>
          </w:rPr>
          <w:t>pouvoir judiciaire</w:t>
        </w:r>
        <w:r>
          <w:rPr>
            <w:rFonts w:ascii="Times New Roman" w:hAnsi="Times New Roman"/>
            <w:b/>
          </w:rPr>
          <w:tab/>
          <w:t>14</w:t>
        </w:r>
      </w:hyperlink>
    </w:p>
    <w:p w14:paraId="777B7B13" w14:textId="77777777" w:rsidR="009C1D22" w:rsidRDefault="000B6C0D">
      <w:pPr>
        <w:pStyle w:val="TOC3"/>
        <w:tabs>
          <w:tab w:val="right" w:leader="dot" w:pos="9016"/>
        </w:tabs>
        <w:ind w:left="0"/>
      </w:pPr>
      <w:hyperlink w:anchor="_Toc177633285" w:history="1">
        <w:r>
          <w:rPr>
            <w:rStyle w:val="Hyperlink"/>
            <w:rFonts w:ascii="Times New Roman" w:eastAsia="Times" w:hAnsi="Times New Roman"/>
            <w:b/>
            <w:lang w:eastAsia="fr-FR"/>
          </w:rPr>
          <w:t>B. 4. Le Conseil constitutionnel</w:t>
        </w:r>
        <w:r>
          <w:rPr>
            <w:rFonts w:ascii="Times New Roman" w:hAnsi="Times New Roman"/>
            <w:b/>
          </w:rPr>
          <w:tab/>
          <w:t>14</w:t>
        </w:r>
      </w:hyperlink>
    </w:p>
    <w:p w14:paraId="572D83E8" w14:textId="77777777" w:rsidR="009C1D22" w:rsidRDefault="000B6C0D">
      <w:pPr>
        <w:tabs>
          <w:tab w:val="right" w:leader="dot" w:pos="9406"/>
        </w:tabs>
        <w:rPr>
          <w:rFonts w:ascii="Times New Roman" w:hAnsi="Times New Roman"/>
          <w:b/>
        </w:rPr>
      </w:pPr>
      <w:r>
        <w:rPr>
          <w:rFonts w:ascii="Times New Roman" w:hAnsi="Times New Roman"/>
          <w:b/>
        </w:rPr>
        <w:t>B. 5. La Cour des comptes …………………………………………....................................14</w:t>
      </w:r>
    </w:p>
    <w:p w14:paraId="082A4CCD" w14:textId="77777777" w:rsidR="009C1D22" w:rsidRDefault="000B6C0D">
      <w:pPr>
        <w:tabs>
          <w:tab w:val="right" w:leader="dot" w:pos="9406"/>
        </w:tabs>
        <w:rPr>
          <w:rFonts w:ascii="Times New Roman" w:hAnsi="Times New Roman"/>
          <w:b/>
        </w:rPr>
      </w:pPr>
      <w:r>
        <w:rPr>
          <w:rFonts w:ascii="Times New Roman" w:hAnsi="Times New Roman"/>
          <w:b/>
        </w:rPr>
        <w:t>B.6. La Haute Cour Justice…………………………………………………………………15</w:t>
      </w:r>
    </w:p>
    <w:p w14:paraId="59D10F11" w14:textId="77777777" w:rsidR="009C1D22" w:rsidRDefault="000B6C0D">
      <w:pPr>
        <w:tabs>
          <w:tab w:val="right" w:leader="dot" w:pos="9406"/>
        </w:tabs>
        <w:rPr>
          <w:rFonts w:ascii="Times New Roman" w:hAnsi="Times New Roman"/>
          <w:b/>
        </w:rPr>
      </w:pPr>
      <w:r>
        <w:rPr>
          <w:rFonts w:ascii="Times New Roman" w:hAnsi="Times New Roman"/>
          <w:b/>
        </w:rPr>
        <w:t>B.7. La Justice Militaire…………………………………………………………………..…15</w:t>
      </w:r>
    </w:p>
    <w:p w14:paraId="443BDAAA" w14:textId="77777777" w:rsidR="009C1D22" w:rsidRDefault="000B6C0D">
      <w:pPr>
        <w:tabs>
          <w:tab w:val="right" w:leader="dot" w:pos="9406"/>
        </w:tabs>
      </w:pPr>
      <w:hyperlink w:anchor="_Toc177633287" w:history="1">
        <w:r>
          <w:rPr>
            <w:rStyle w:val="Hyperlink"/>
            <w:rFonts w:ascii="Times New Roman" w:eastAsia="Times New Roman" w:hAnsi="Times New Roman"/>
            <w:b/>
            <w:lang w:eastAsia="fr-FR"/>
          </w:rPr>
          <w:t>B.8.  Le Conseil Economique, Social, Culturel et Environnemental…………………...</w:t>
        </w:r>
        <w:r>
          <w:rPr>
            <w:rFonts w:ascii="Times New Roman" w:hAnsi="Times New Roman"/>
            <w:b/>
          </w:rPr>
          <w:t>...15</w:t>
        </w:r>
      </w:hyperlink>
    </w:p>
    <w:p w14:paraId="47407D48" w14:textId="77777777" w:rsidR="009C1D22" w:rsidRDefault="000B6C0D">
      <w:pPr>
        <w:tabs>
          <w:tab w:val="right" w:leader="dot" w:pos="9406"/>
        </w:tabs>
        <w:rPr>
          <w:rFonts w:ascii="Times New Roman" w:hAnsi="Times New Roman"/>
          <w:b/>
        </w:rPr>
      </w:pPr>
      <w:r>
        <w:rPr>
          <w:rFonts w:ascii="Times New Roman" w:hAnsi="Times New Roman"/>
          <w:b/>
        </w:rPr>
        <w:t>B.9. La Commission Nationale des Droits de l'Homme…………………………………..16</w:t>
      </w:r>
    </w:p>
    <w:p w14:paraId="1012FE9D" w14:textId="77777777" w:rsidR="009C1D22" w:rsidRDefault="000B6C0D">
      <w:pPr>
        <w:tabs>
          <w:tab w:val="right" w:leader="dot" w:pos="9406"/>
        </w:tabs>
      </w:pPr>
      <w:hyperlink w:anchor="_Toc177633286" w:history="1">
        <w:r>
          <w:rPr>
            <w:rStyle w:val="Hyperlink"/>
            <w:rFonts w:ascii="Times New Roman" w:eastAsia="Times New Roman" w:hAnsi="Times New Roman"/>
            <w:b/>
            <w:lang w:eastAsia="fr-FR"/>
          </w:rPr>
          <w:t>B. 10. La Haute Autorité des Médias et de l’Audiovisuelle (HAMA)…………………</w:t>
        </w:r>
        <w:r>
          <w:rPr>
            <w:rFonts w:ascii="Times New Roman" w:hAnsi="Times New Roman"/>
            <w:b/>
          </w:rPr>
          <w:t>….16</w:t>
        </w:r>
      </w:hyperlink>
    </w:p>
    <w:p w14:paraId="43BE7D24" w14:textId="77777777" w:rsidR="009C1D22" w:rsidRDefault="000B6C0D">
      <w:pPr>
        <w:pStyle w:val="ListParagraph"/>
        <w:tabs>
          <w:tab w:val="right" w:leader="dot" w:pos="9406"/>
        </w:tabs>
        <w:autoSpaceDE w:val="0"/>
        <w:spacing w:after="0" w:line="360" w:lineRule="auto"/>
        <w:ind w:left="0"/>
        <w:jc w:val="both"/>
        <w:rPr>
          <w:rFonts w:ascii="Times New Roman" w:hAnsi="Times New Roman"/>
          <w:b/>
        </w:rPr>
      </w:pPr>
      <w:r>
        <w:rPr>
          <w:rFonts w:ascii="Times New Roman" w:hAnsi="Times New Roman"/>
          <w:b/>
        </w:rPr>
        <w:t>B.11.  Le Haut conseil des chefferies traditionnelles (HCCT)…………………………… 16</w:t>
      </w:r>
    </w:p>
    <w:p w14:paraId="7DD39914" w14:textId="77777777" w:rsidR="009C1D22" w:rsidRDefault="000B6C0D">
      <w:pPr>
        <w:pStyle w:val="TOC3"/>
        <w:tabs>
          <w:tab w:val="right" w:leader="dot" w:pos="9016"/>
        </w:tabs>
        <w:ind w:left="0"/>
      </w:pPr>
      <w:hyperlink w:anchor="_Toc177633293" w:history="1">
        <w:r>
          <w:rPr>
            <w:rStyle w:val="Hyperlink"/>
            <w:rFonts w:ascii="Times New Roman" w:eastAsia="Times New Roman" w:hAnsi="Times New Roman"/>
            <w:b/>
            <w:lang w:eastAsia="fr-FR"/>
          </w:rPr>
          <w:t>B.12. Le Médiateur de la République</w:t>
        </w:r>
        <w:r>
          <w:rPr>
            <w:rFonts w:ascii="Times New Roman" w:hAnsi="Times New Roman"/>
            <w:b/>
          </w:rPr>
          <w:tab/>
          <w:t>17</w:t>
        </w:r>
      </w:hyperlink>
    </w:p>
    <w:p w14:paraId="39A48DA6" w14:textId="77777777" w:rsidR="009C1D22" w:rsidRDefault="000B6C0D">
      <w:pPr>
        <w:pStyle w:val="TOC3"/>
        <w:tabs>
          <w:tab w:val="right" w:leader="dot" w:pos="9016"/>
        </w:tabs>
        <w:ind w:left="0"/>
      </w:pPr>
      <w:hyperlink w:anchor="_Toc177633294" w:history="1">
        <w:r>
          <w:rPr>
            <w:rStyle w:val="Hyperlink"/>
            <w:rFonts w:ascii="Times New Roman" w:eastAsia="Times New Roman" w:hAnsi="Times New Roman"/>
            <w:b/>
            <w:lang w:eastAsia="fr-FR"/>
          </w:rPr>
          <w:t>B.13. L’Agence Nationale de Gestion des Elections (ANGE)</w:t>
        </w:r>
        <w:r>
          <w:rPr>
            <w:rFonts w:ascii="Times New Roman" w:hAnsi="Times New Roman"/>
            <w:b/>
          </w:rPr>
          <w:tab/>
          <w:t>17</w:t>
        </w:r>
      </w:hyperlink>
    </w:p>
    <w:p w14:paraId="78DAFD08" w14:textId="77777777" w:rsidR="009C1D22" w:rsidRDefault="000B6C0D" w:rsidP="00A22920">
      <w:pPr>
        <w:pStyle w:val="TOC1"/>
        <w:tabs>
          <w:tab w:val="right" w:leader="dot" w:pos="480"/>
          <w:tab w:val="right" w:leader="dot" w:pos="9016"/>
        </w:tabs>
      </w:pPr>
      <w:hyperlink w:anchor="_Toc177633295" w:history="1">
        <w:r>
          <w:rPr>
            <w:rStyle w:val="Hyperlink"/>
            <w:rFonts w:ascii="Times New Roman" w:hAnsi="Times New Roman"/>
            <w:b/>
            <w:sz w:val="24"/>
            <w:szCs w:val="24"/>
          </w:rPr>
          <w:t>II-</w:t>
        </w:r>
        <w:r>
          <w:rPr>
            <w:rFonts w:ascii="Times New Roman" w:eastAsia="Times New Roman" w:hAnsi="Times New Roman"/>
            <w:b/>
            <w:sz w:val="24"/>
            <w:szCs w:val="24"/>
          </w:rPr>
          <w:tab/>
        </w:r>
        <w:r>
          <w:rPr>
            <w:rStyle w:val="Hyperlink"/>
            <w:rFonts w:ascii="Times New Roman" w:hAnsi="Times New Roman"/>
            <w:b/>
            <w:sz w:val="24"/>
            <w:szCs w:val="24"/>
          </w:rPr>
          <w:t>MISE EN ŒUVRE DE LA CONVENTION</w:t>
        </w:r>
        <w:r>
          <w:rPr>
            <w:rFonts w:ascii="Times New Roman" w:hAnsi="Times New Roman"/>
            <w:b/>
            <w:sz w:val="24"/>
            <w:szCs w:val="24"/>
          </w:rPr>
          <w:tab/>
        </w:r>
        <w:r w:rsidR="00A22920">
          <w:rPr>
            <w:rFonts w:ascii="Times New Roman" w:hAnsi="Times New Roman"/>
            <w:b/>
            <w:sz w:val="24"/>
            <w:szCs w:val="24"/>
          </w:rPr>
          <w:t>16</w:t>
        </w:r>
      </w:hyperlink>
    </w:p>
    <w:p w14:paraId="042A130C" w14:textId="77777777" w:rsidR="009C1D22" w:rsidRDefault="000B6C0D">
      <w:pPr>
        <w:pStyle w:val="TOC2"/>
        <w:ind w:left="0"/>
      </w:pPr>
      <w:hyperlink w:anchor="_Toc177633296" w:history="1">
        <w:r>
          <w:rPr>
            <w:rStyle w:val="Hyperlink"/>
            <w:rFonts w:ascii="Times New Roman" w:hAnsi="Times New Roman"/>
            <w:b/>
          </w:rPr>
          <w:t>A.</w:t>
        </w:r>
        <w:r>
          <w:rPr>
            <w:rFonts w:ascii="Times New Roman" w:eastAsia="Times New Roman" w:hAnsi="Times New Roman"/>
            <w:b/>
            <w:kern w:val="0"/>
          </w:rPr>
          <w:tab/>
          <w:t xml:space="preserve">LES </w:t>
        </w:r>
        <w:r>
          <w:rPr>
            <w:rStyle w:val="Hyperlink"/>
            <w:rFonts w:ascii="Times New Roman" w:hAnsi="Times New Roman"/>
            <w:b/>
          </w:rPr>
          <w:t>PRINCIPES GENERAUX</w:t>
        </w:r>
        <w:r>
          <w:rPr>
            <w:rFonts w:ascii="Times New Roman" w:hAnsi="Times New Roman"/>
            <w:b/>
          </w:rPr>
          <w:tab/>
          <w:t>17</w:t>
        </w:r>
      </w:hyperlink>
    </w:p>
    <w:p w14:paraId="5D295FA4" w14:textId="77777777" w:rsidR="009C1D22" w:rsidRDefault="000B6C0D">
      <w:pPr>
        <w:pStyle w:val="TOC2"/>
        <w:ind w:left="0"/>
      </w:pPr>
      <w:hyperlink w:anchor="_Toc177633297" w:history="1">
        <w:r>
          <w:rPr>
            <w:rStyle w:val="Hyperlink"/>
            <w:rFonts w:ascii="Times New Roman" w:hAnsi="Times New Roman"/>
            <w:b/>
          </w:rPr>
          <w:t>B.</w:t>
        </w:r>
        <w:r>
          <w:rPr>
            <w:rFonts w:ascii="Times New Roman" w:eastAsia="Times New Roman" w:hAnsi="Times New Roman"/>
            <w:b/>
            <w:kern w:val="0"/>
          </w:rPr>
          <w:tab/>
          <w:t xml:space="preserve"> </w:t>
        </w:r>
        <w:r>
          <w:rPr>
            <w:rStyle w:val="Hyperlink"/>
            <w:rFonts w:ascii="Times New Roman" w:hAnsi="Times New Roman"/>
            <w:b/>
          </w:rPr>
          <w:t xml:space="preserve">DROITS DE L’HOMME DE TOUS LES TRAVAILLEURS MIGRANTS </w:t>
        </w:r>
        <w:bookmarkStart w:id="0" w:name="_Hlt185250363"/>
        <w:bookmarkStart w:id="1" w:name="_Hlt185250364"/>
        <w:bookmarkEnd w:id="0"/>
        <w:bookmarkEnd w:id="1"/>
        <w:r>
          <w:rPr>
            <w:rStyle w:val="Hyperlink"/>
            <w:rFonts w:ascii="Times New Roman" w:hAnsi="Times New Roman"/>
            <w:b/>
          </w:rPr>
          <w:t>ET LES LES MEMBRES DE LEUR FAMILLE</w:t>
        </w:r>
        <w:r>
          <w:rPr>
            <w:rFonts w:ascii="Times New Roman" w:hAnsi="Times New Roman"/>
            <w:b/>
          </w:rPr>
          <w:tab/>
          <w:t>18</w:t>
        </w:r>
      </w:hyperlink>
    </w:p>
    <w:p w14:paraId="1746FDD5" w14:textId="77777777" w:rsidR="009C1D22" w:rsidRDefault="000B6C0D" w:rsidP="0025137F">
      <w:pPr>
        <w:pStyle w:val="TOC2"/>
      </w:pPr>
      <w:hyperlink w:anchor="_Toc177633298" w:history="1">
        <w:r>
          <w:rPr>
            <w:rStyle w:val="Hyperlink"/>
            <w:rFonts w:ascii="Times New Roman" w:eastAsia="Times New Roman" w:hAnsi="Times New Roman"/>
            <w:b/>
            <w:lang w:val="fr-CA"/>
          </w:rPr>
          <w:t>C.</w:t>
        </w:r>
        <w:r>
          <w:rPr>
            <w:rFonts w:ascii="Times New Roman" w:hAnsi="Times New Roman"/>
            <w:b/>
            <w:kern w:val="0"/>
          </w:rPr>
          <w:tab/>
          <w:t xml:space="preserve">LES </w:t>
        </w:r>
        <w:r>
          <w:rPr>
            <w:rStyle w:val="Hyperlink"/>
            <w:rFonts w:ascii="Times New Roman" w:eastAsia="Times New Roman" w:hAnsi="Times New Roman"/>
            <w:b/>
            <w:lang w:val="fr-CA"/>
          </w:rPr>
          <w:t xml:space="preserve">AUTRES DROITS DES TRAVAILLEURS MIGRANTS ET DES MEMBRES DE LEUR FAMILLE QUI SONT POURVUS DE DOCUMENTS OU EN SITUATION RÉGULIÈRE (Articles </w:t>
        </w:r>
        <w:r>
          <w:rPr>
            <w:rStyle w:val="Hyperlink"/>
            <w:rFonts w:ascii="Times New Roman" w:eastAsia="Times New Roman" w:hAnsi="Times New Roman"/>
            <w:b/>
            <w:bCs/>
            <w:lang w:val="fr-CA"/>
          </w:rPr>
          <w:t>36 à 56)</w:t>
        </w:r>
        <w:r>
          <w:rPr>
            <w:rFonts w:ascii="Times New Roman" w:hAnsi="Times New Roman"/>
            <w:b/>
          </w:rPr>
          <w:tab/>
          <w:t>………….2</w:t>
        </w:r>
        <w:r w:rsidR="0025137F">
          <w:rPr>
            <w:rFonts w:ascii="Times New Roman" w:hAnsi="Times New Roman"/>
            <w:b/>
          </w:rPr>
          <w:t>1</w:t>
        </w:r>
      </w:hyperlink>
    </w:p>
    <w:p w14:paraId="19849365" w14:textId="77777777" w:rsidR="009C1D22" w:rsidRDefault="000B6C0D" w:rsidP="0025137F">
      <w:pPr>
        <w:pStyle w:val="TOC2"/>
      </w:pPr>
      <w:hyperlink w:anchor="_Toc177633299" w:history="1">
        <w:r>
          <w:rPr>
            <w:rStyle w:val="Hyperlink"/>
            <w:rFonts w:ascii="Times New Roman" w:eastAsia="Times New Roman" w:hAnsi="Times New Roman"/>
            <w:b/>
            <w:lang w:val="fr-CA"/>
          </w:rPr>
          <w:t>D.</w:t>
        </w:r>
        <w:r>
          <w:rPr>
            <w:rFonts w:ascii="Times New Roman" w:hAnsi="Times New Roman"/>
            <w:b/>
            <w:kern w:val="0"/>
          </w:rPr>
          <w:tab/>
          <w:t xml:space="preserve">LES </w:t>
        </w:r>
        <w:r>
          <w:rPr>
            <w:rStyle w:val="Hyperlink"/>
            <w:rFonts w:ascii="Times New Roman" w:eastAsia="Times New Roman" w:hAnsi="Times New Roman"/>
            <w:b/>
            <w:lang w:val="fr-CA"/>
          </w:rPr>
          <w:t>DISPOSITIONS APPLICABLES À DES CATÉGORIES PARTICULIÈRES DE TRAVAILLEURS MIGRANTS ET AUX MEMBRES DE LEUR FAMILLE (article 57 à 63) </w:t>
        </w:r>
        <w:r>
          <w:rPr>
            <w:rFonts w:ascii="Times New Roman" w:hAnsi="Times New Roman"/>
            <w:b/>
          </w:rPr>
          <w:t>…………………………………………………………………………………………….2</w:t>
        </w:r>
        <w:r w:rsidR="0025137F">
          <w:rPr>
            <w:rFonts w:ascii="Times New Roman" w:hAnsi="Times New Roman"/>
            <w:b/>
          </w:rPr>
          <w:t>3</w:t>
        </w:r>
      </w:hyperlink>
    </w:p>
    <w:p w14:paraId="0E175A51" w14:textId="77777777" w:rsidR="009C1D22" w:rsidRDefault="000B6C0D" w:rsidP="002773BB">
      <w:pPr>
        <w:pStyle w:val="TOC2"/>
      </w:pPr>
      <w:hyperlink w:anchor="_Toc177633300" w:history="1">
        <w:r>
          <w:rPr>
            <w:rStyle w:val="Hyperlink"/>
            <w:rFonts w:ascii="Times New Roman" w:eastAsia="Times New Roman" w:hAnsi="Times New Roman"/>
            <w:b/>
            <w:lang w:val="fr-CA"/>
          </w:rPr>
          <w:t xml:space="preserve">E. </w:t>
        </w:r>
        <w:r>
          <w:rPr>
            <w:rFonts w:ascii="Times New Roman" w:hAnsi="Times New Roman"/>
            <w:b/>
            <w:kern w:val="0"/>
          </w:rPr>
          <w:tab/>
          <w:t xml:space="preserve">LA </w:t>
        </w:r>
        <w:r>
          <w:rPr>
            <w:rStyle w:val="Hyperlink"/>
            <w:rFonts w:ascii="Times New Roman" w:eastAsia="Times New Roman" w:hAnsi="Times New Roman"/>
            <w:b/>
            <w:lang w:val="fr-CA"/>
          </w:rPr>
          <w:t>PROMOTION DE CONDITIONS SAINES, ÉQUITABLES, DIGNES ET LÉGALES EN CE QUI CONCERNE LES    MIGRATIONS INTERNATIONALES DES TRAVAILLEURS MIGRANTS ET DES MEMBRES DE LEUR FAMILLE</w:t>
        </w:r>
        <w:r>
          <w:rPr>
            <w:rFonts w:ascii="Times New Roman" w:hAnsi="Times New Roman"/>
            <w:b/>
          </w:rPr>
          <w:tab/>
          <w:t>…………...2</w:t>
        </w:r>
        <w:r w:rsidR="002773BB">
          <w:rPr>
            <w:rFonts w:ascii="Times New Roman" w:hAnsi="Times New Roman"/>
            <w:b/>
          </w:rPr>
          <w:t>8</w:t>
        </w:r>
      </w:hyperlink>
    </w:p>
    <w:p w14:paraId="30F099FD" w14:textId="77777777" w:rsidR="009C1D22" w:rsidRDefault="009C1D22">
      <w:pPr>
        <w:tabs>
          <w:tab w:val="right" w:leader="dot" w:pos="9406"/>
        </w:tabs>
      </w:pPr>
    </w:p>
    <w:p w14:paraId="19503A1B" w14:textId="77777777" w:rsidR="009C1D22" w:rsidRDefault="009C1D22">
      <w:pPr>
        <w:tabs>
          <w:tab w:val="right" w:leader="dot" w:pos="9406"/>
        </w:tabs>
      </w:pPr>
    </w:p>
    <w:p w14:paraId="35D1E451" w14:textId="77777777" w:rsidR="009C1D22" w:rsidRDefault="009C1D22">
      <w:pPr>
        <w:tabs>
          <w:tab w:val="right" w:leader="dot" w:pos="9406"/>
        </w:tabs>
      </w:pPr>
    </w:p>
    <w:p w14:paraId="5030CE58" w14:textId="77777777" w:rsidR="009C1D22" w:rsidRDefault="009C1D22">
      <w:pPr>
        <w:tabs>
          <w:tab w:val="right" w:leader="dot" w:pos="9406"/>
        </w:tabs>
      </w:pPr>
    </w:p>
    <w:p w14:paraId="7B68D46A" w14:textId="77777777" w:rsidR="009C1D22" w:rsidRDefault="009C1D22">
      <w:pPr>
        <w:tabs>
          <w:tab w:val="right" w:leader="dot" w:pos="9406"/>
        </w:tabs>
      </w:pPr>
    </w:p>
    <w:p w14:paraId="7FA9ED86" w14:textId="77777777" w:rsidR="009C1D22" w:rsidRDefault="009C1D22">
      <w:pPr>
        <w:tabs>
          <w:tab w:val="right" w:leader="dot" w:pos="9406"/>
        </w:tabs>
      </w:pPr>
    </w:p>
    <w:p w14:paraId="350A3A2C" w14:textId="77777777" w:rsidR="009C1D22" w:rsidRDefault="009C1D22">
      <w:pPr>
        <w:tabs>
          <w:tab w:val="right" w:leader="dot" w:pos="9406"/>
        </w:tabs>
      </w:pPr>
    </w:p>
    <w:p w14:paraId="646673A3" w14:textId="77777777" w:rsidR="009C1D22" w:rsidRDefault="009C1D22">
      <w:pPr>
        <w:tabs>
          <w:tab w:val="right" w:leader="dot" w:pos="9406"/>
        </w:tabs>
      </w:pPr>
    </w:p>
    <w:p w14:paraId="496F2342" w14:textId="77777777" w:rsidR="009C1D22" w:rsidRDefault="009C1D22">
      <w:pPr>
        <w:tabs>
          <w:tab w:val="right" w:leader="dot" w:pos="9406"/>
        </w:tabs>
      </w:pPr>
    </w:p>
    <w:p w14:paraId="47A87C29" w14:textId="77777777" w:rsidR="009C1D22" w:rsidRDefault="009C1D22">
      <w:pPr>
        <w:tabs>
          <w:tab w:val="right" w:leader="dot" w:pos="9406"/>
        </w:tabs>
      </w:pPr>
    </w:p>
    <w:p w14:paraId="25AFFAED" w14:textId="77777777" w:rsidR="009C1D22" w:rsidRDefault="009C1D22">
      <w:pPr>
        <w:tabs>
          <w:tab w:val="right" w:leader="dot" w:pos="9406"/>
        </w:tabs>
      </w:pPr>
    </w:p>
    <w:p w14:paraId="6B3A1B41" w14:textId="77777777" w:rsidR="009C1D22" w:rsidRDefault="009C1D22">
      <w:pPr>
        <w:tabs>
          <w:tab w:val="right" w:leader="dot" w:pos="9406"/>
        </w:tabs>
      </w:pPr>
    </w:p>
    <w:p w14:paraId="2F347F8E" w14:textId="77777777" w:rsidR="009C1D22" w:rsidRDefault="009C1D22">
      <w:pPr>
        <w:tabs>
          <w:tab w:val="right" w:leader="dot" w:pos="9406"/>
        </w:tabs>
      </w:pPr>
    </w:p>
    <w:p w14:paraId="0C0E36A4" w14:textId="77777777" w:rsidR="009C1D22" w:rsidRDefault="009C1D22">
      <w:pPr>
        <w:tabs>
          <w:tab w:val="right" w:leader="dot" w:pos="9406"/>
        </w:tabs>
      </w:pPr>
    </w:p>
    <w:p w14:paraId="1852F311" w14:textId="77777777" w:rsidR="009C1D22" w:rsidRDefault="009C1D22">
      <w:pPr>
        <w:tabs>
          <w:tab w:val="right" w:leader="dot" w:pos="9406"/>
        </w:tabs>
      </w:pPr>
    </w:p>
    <w:p w14:paraId="4143A393" w14:textId="77777777" w:rsidR="009C1D22" w:rsidRDefault="009C1D22">
      <w:pPr>
        <w:tabs>
          <w:tab w:val="right" w:leader="dot" w:pos="9406"/>
        </w:tabs>
      </w:pPr>
    </w:p>
    <w:p w14:paraId="5AE7146B" w14:textId="77777777" w:rsidR="009C1D22" w:rsidRDefault="009C1D22">
      <w:pPr>
        <w:tabs>
          <w:tab w:val="right" w:leader="dot" w:pos="9406"/>
        </w:tabs>
      </w:pPr>
    </w:p>
    <w:p w14:paraId="6E073ACA" w14:textId="77777777" w:rsidR="009C1D22" w:rsidRDefault="009C1D22">
      <w:pPr>
        <w:tabs>
          <w:tab w:val="right" w:leader="dot" w:pos="9406"/>
        </w:tabs>
      </w:pPr>
    </w:p>
    <w:p w14:paraId="26674322" w14:textId="77777777" w:rsidR="00456CE2" w:rsidRDefault="00456CE2">
      <w:pPr>
        <w:tabs>
          <w:tab w:val="right" w:leader="dot" w:pos="9406"/>
        </w:tabs>
      </w:pPr>
    </w:p>
    <w:p w14:paraId="62872A9E" w14:textId="77777777" w:rsidR="00456CE2" w:rsidRDefault="00456CE2">
      <w:pPr>
        <w:tabs>
          <w:tab w:val="right" w:leader="dot" w:pos="9406"/>
        </w:tabs>
      </w:pPr>
    </w:p>
    <w:p w14:paraId="767AE33C" w14:textId="77777777" w:rsidR="00456CE2" w:rsidRDefault="00456CE2">
      <w:pPr>
        <w:tabs>
          <w:tab w:val="right" w:leader="dot" w:pos="9406"/>
        </w:tabs>
      </w:pPr>
    </w:p>
    <w:tbl>
      <w:tblPr>
        <w:tblW w:w="9606" w:type="dxa"/>
        <w:tblCellMar>
          <w:left w:w="10" w:type="dxa"/>
          <w:right w:w="10" w:type="dxa"/>
        </w:tblCellMar>
        <w:tblLook w:val="04A0" w:firstRow="1" w:lastRow="0" w:firstColumn="1" w:lastColumn="0" w:noHBand="0" w:noVBand="1"/>
      </w:tblPr>
      <w:tblGrid>
        <w:gridCol w:w="1384"/>
        <w:gridCol w:w="8222"/>
      </w:tblGrid>
      <w:tr w:rsidR="009C1D22" w14:paraId="45856806" w14:textId="77777777">
        <w:tc>
          <w:tcPr>
            <w:tcW w:w="1384" w:type="dxa"/>
            <w:shd w:val="clear" w:color="auto" w:fill="auto"/>
            <w:tcMar>
              <w:top w:w="0" w:type="dxa"/>
              <w:left w:w="108" w:type="dxa"/>
              <w:bottom w:w="0" w:type="dxa"/>
              <w:right w:w="108" w:type="dxa"/>
            </w:tcMar>
          </w:tcPr>
          <w:p w14:paraId="636C6DF4" w14:textId="77777777" w:rsidR="009C1D22" w:rsidRDefault="009C1D22">
            <w:pPr>
              <w:tabs>
                <w:tab w:val="right" w:leader="dot" w:pos="9406"/>
              </w:tabs>
              <w:spacing w:after="0"/>
              <w:rPr>
                <w:rFonts w:ascii="Times New Roman" w:hAnsi="Times New Roman"/>
              </w:rPr>
            </w:pPr>
          </w:p>
        </w:tc>
        <w:tc>
          <w:tcPr>
            <w:tcW w:w="8222" w:type="dxa"/>
            <w:shd w:val="clear" w:color="auto" w:fill="auto"/>
            <w:tcMar>
              <w:top w:w="0" w:type="dxa"/>
              <w:left w:w="108" w:type="dxa"/>
              <w:bottom w:w="0" w:type="dxa"/>
              <w:right w:w="108" w:type="dxa"/>
            </w:tcMar>
          </w:tcPr>
          <w:p w14:paraId="51C31EE7" w14:textId="77777777" w:rsidR="009C1D22" w:rsidRDefault="000B6C0D">
            <w:pPr>
              <w:tabs>
                <w:tab w:val="right" w:leader="dot" w:pos="9406"/>
              </w:tabs>
              <w:spacing w:after="0"/>
              <w:rPr>
                <w:rFonts w:ascii="Times New Roman" w:hAnsi="Times New Roman"/>
                <w:b/>
              </w:rPr>
            </w:pPr>
            <w:r>
              <w:rPr>
                <w:rFonts w:ascii="Times New Roman" w:hAnsi="Times New Roman"/>
                <w:b/>
              </w:rPr>
              <w:t xml:space="preserve">SIGLES ET ACRONYMES </w:t>
            </w:r>
          </w:p>
        </w:tc>
      </w:tr>
      <w:tr w:rsidR="009C1D22" w14:paraId="05C48C2C" w14:textId="77777777">
        <w:tc>
          <w:tcPr>
            <w:tcW w:w="1384" w:type="dxa"/>
            <w:shd w:val="clear" w:color="auto" w:fill="auto"/>
            <w:tcMar>
              <w:top w:w="0" w:type="dxa"/>
              <w:left w:w="108" w:type="dxa"/>
              <w:bottom w:w="0" w:type="dxa"/>
              <w:right w:w="108" w:type="dxa"/>
            </w:tcMar>
          </w:tcPr>
          <w:p w14:paraId="29F47B6F" w14:textId="77777777" w:rsidR="009C1D22" w:rsidRDefault="000B6C0D">
            <w:pPr>
              <w:tabs>
                <w:tab w:val="right" w:leader="dot" w:pos="9406"/>
              </w:tabs>
              <w:spacing w:after="0" w:line="480" w:lineRule="auto"/>
              <w:rPr>
                <w:rFonts w:ascii="Times New Roman" w:hAnsi="Times New Roman"/>
                <w:b/>
              </w:rPr>
            </w:pPr>
            <w:r>
              <w:rPr>
                <w:rFonts w:ascii="Times New Roman" w:hAnsi="Times New Roman"/>
                <w:b/>
              </w:rPr>
              <w:t>OIM:</w:t>
            </w:r>
          </w:p>
        </w:tc>
        <w:tc>
          <w:tcPr>
            <w:tcW w:w="8222" w:type="dxa"/>
            <w:shd w:val="clear" w:color="auto" w:fill="auto"/>
            <w:tcMar>
              <w:top w:w="0" w:type="dxa"/>
              <w:left w:w="108" w:type="dxa"/>
              <w:bottom w:w="0" w:type="dxa"/>
              <w:right w:w="108" w:type="dxa"/>
            </w:tcMar>
          </w:tcPr>
          <w:p w14:paraId="23300F38" w14:textId="77777777" w:rsidR="009C1D22" w:rsidRDefault="000B6C0D">
            <w:pPr>
              <w:tabs>
                <w:tab w:val="right" w:leader="dot" w:pos="9406"/>
              </w:tabs>
              <w:spacing w:after="0" w:line="480" w:lineRule="auto"/>
              <w:rPr>
                <w:rFonts w:ascii="Times New Roman" w:hAnsi="Times New Roman"/>
              </w:rPr>
            </w:pPr>
            <w:r>
              <w:rPr>
                <w:rFonts w:ascii="Times New Roman" w:hAnsi="Times New Roman"/>
              </w:rPr>
              <w:t xml:space="preserve">Organisation Internationale pour les Migrations   </w:t>
            </w:r>
          </w:p>
        </w:tc>
      </w:tr>
      <w:tr w:rsidR="009C1D22" w14:paraId="7DEBA559" w14:textId="77777777">
        <w:tc>
          <w:tcPr>
            <w:tcW w:w="1384" w:type="dxa"/>
            <w:shd w:val="clear" w:color="auto" w:fill="auto"/>
            <w:tcMar>
              <w:top w:w="0" w:type="dxa"/>
              <w:left w:w="108" w:type="dxa"/>
              <w:bottom w:w="0" w:type="dxa"/>
              <w:right w:w="108" w:type="dxa"/>
            </w:tcMar>
          </w:tcPr>
          <w:p w14:paraId="604229A2" w14:textId="77777777" w:rsidR="009C1D22" w:rsidRDefault="000B6C0D">
            <w:pPr>
              <w:tabs>
                <w:tab w:val="right" w:leader="dot" w:pos="9406"/>
              </w:tabs>
              <w:spacing w:after="0" w:line="480" w:lineRule="auto"/>
              <w:rPr>
                <w:rFonts w:ascii="Times New Roman" w:hAnsi="Times New Roman"/>
                <w:b/>
              </w:rPr>
            </w:pPr>
            <w:r>
              <w:rPr>
                <w:rFonts w:ascii="Times New Roman" w:hAnsi="Times New Roman"/>
                <w:b/>
              </w:rPr>
              <w:t>CEA:</w:t>
            </w:r>
          </w:p>
        </w:tc>
        <w:tc>
          <w:tcPr>
            <w:tcW w:w="8222" w:type="dxa"/>
            <w:shd w:val="clear" w:color="auto" w:fill="auto"/>
            <w:tcMar>
              <w:top w:w="0" w:type="dxa"/>
              <w:left w:w="108" w:type="dxa"/>
              <w:bottom w:w="0" w:type="dxa"/>
              <w:right w:w="108" w:type="dxa"/>
            </w:tcMar>
          </w:tcPr>
          <w:p w14:paraId="654407C9" w14:textId="77777777" w:rsidR="009C1D22" w:rsidRDefault="000B6C0D">
            <w:pPr>
              <w:tabs>
                <w:tab w:val="right" w:leader="dot" w:pos="9406"/>
              </w:tabs>
              <w:spacing w:after="0" w:line="480" w:lineRule="auto"/>
              <w:rPr>
                <w:rFonts w:ascii="Times New Roman" w:hAnsi="Times New Roman"/>
              </w:rPr>
            </w:pPr>
            <w:r>
              <w:rPr>
                <w:rFonts w:ascii="Times New Roman" w:hAnsi="Times New Roman"/>
              </w:rPr>
              <w:t>Commission Economique pour l’Afrique</w:t>
            </w:r>
          </w:p>
        </w:tc>
      </w:tr>
      <w:tr w:rsidR="009C1D22" w14:paraId="4E9DBB0F" w14:textId="77777777">
        <w:tc>
          <w:tcPr>
            <w:tcW w:w="1384" w:type="dxa"/>
            <w:shd w:val="clear" w:color="auto" w:fill="auto"/>
            <w:tcMar>
              <w:top w:w="0" w:type="dxa"/>
              <w:left w:w="108" w:type="dxa"/>
              <w:bottom w:w="0" w:type="dxa"/>
              <w:right w:w="108" w:type="dxa"/>
            </w:tcMar>
          </w:tcPr>
          <w:p w14:paraId="543346C9" w14:textId="77777777" w:rsidR="009C1D22" w:rsidRDefault="000B6C0D">
            <w:pPr>
              <w:tabs>
                <w:tab w:val="right" w:leader="dot" w:pos="9406"/>
              </w:tabs>
              <w:spacing w:after="0" w:line="480" w:lineRule="auto"/>
              <w:rPr>
                <w:rFonts w:ascii="Times New Roman" w:hAnsi="Times New Roman"/>
                <w:b/>
              </w:rPr>
            </w:pPr>
            <w:r>
              <w:rPr>
                <w:rFonts w:ascii="Times New Roman" w:hAnsi="Times New Roman"/>
                <w:b/>
              </w:rPr>
              <w:t>CEEAC :</w:t>
            </w:r>
          </w:p>
          <w:p w14:paraId="4E2F65CF" w14:textId="77777777" w:rsidR="009C1D22" w:rsidRDefault="000B6C0D">
            <w:pPr>
              <w:tabs>
                <w:tab w:val="right" w:leader="dot" w:pos="9360"/>
              </w:tabs>
            </w:pPr>
            <w:r>
              <w:rPr>
                <w:rFonts w:ascii="Times New Roman" w:hAnsi="Times New Roman"/>
                <w:b/>
                <w:bCs/>
              </w:rPr>
              <w:t>UEDEAC:</w:t>
            </w:r>
          </w:p>
        </w:tc>
        <w:tc>
          <w:tcPr>
            <w:tcW w:w="8222" w:type="dxa"/>
            <w:shd w:val="clear" w:color="auto" w:fill="auto"/>
            <w:tcMar>
              <w:top w:w="0" w:type="dxa"/>
              <w:left w:w="108" w:type="dxa"/>
              <w:bottom w:w="0" w:type="dxa"/>
              <w:right w:w="108" w:type="dxa"/>
            </w:tcMar>
          </w:tcPr>
          <w:p w14:paraId="0B619968" w14:textId="77777777" w:rsidR="009C1D22" w:rsidRDefault="000B6C0D">
            <w:pPr>
              <w:tabs>
                <w:tab w:val="right" w:leader="dot" w:pos="9406"/>
              </w:tabs>
              <w:spacing w:after="0" w:line="480" w:lineRule="auto"/>
              <w:rPr>
                <w:rFonts w:ascii="Times New Roman" w:hAnsi="Times New Roman"/>
              </w:rPr>
            </w:pPr>
            <w:r>
              <w:rPr>
                <w:rFonts w:ascii="Times New Roman" w:hAnsi="Times New Roman"/>
              </w:rPr>
              <w:t>Communauté Economique des Etats de l’Afrique Centrale</w:t>
            </w:r>
          </w:p>
          <w:p w14:paraId="3A46F124" w14:textId="77777777" w:rsidR="009C1D22" w:rsidRDefault="000B6C0D">
            <w:pPr>
              <w:tabs>
                <w:tab w:val="right" w:leader="dot" w:pos="9406"/>
              </w:tabs>
              <w:spacing w:after="0" w:line="480" w:lineRule="auto"/>
            </w:pPr>
            <w:r>
              <w:rPr>
                <w:rFonts w:ascii="Times New Roman" w:hAnsi="Times New Roman"/>
                <w:bCs/>
              </w:rPr>
              <w:t>Union Economique et Douanière des Etats de l’Afrique Centrale</w:t>
            </w:r>
            <w:r>
              <w:rPr>
                <w:rFonts w:ascii="Times New Roman" w:hAnsi="Times New Roman"/>
                <w:bCs/>
                <w:i/>
              </w:rPr>
              <w:t xml:space="preserve"> </w:t>
            </w:r>
          </w:p>
        </w:tc>
      </w:tr>
      <w:tr w:rsidR="009C1D22" w14:paraId="57305191" w14:textId="77777777">
        <w:tc>
          <w:tcPr>
            <w:tcW w:w="1384" w:type="dxa"/>
            <w:shd w:val="clear" w:color="auto" w:fill="auto"/>
            <w:tcMar>
              <w:top w:w="0" w:type="dxa"/>
              <w:left w:w="108" w:type="dxa"/>
              <w:bottom w:w="0" w:type="dxa"/>
              <w:right w:w="108" w:type="dxa"/>
            </w:tcMar>
          </w:tcPr>
          <w:p w14:paraId="141E0525" w14:textId="77777777" w:rsidR="009C1D22" w:rsidRDefault="000B6C0D">
            <w:pPr>
              <w:tabs>
                <w:tab w:val="right" w:leader="dot" w:pos="9406"/>
              </w:tabs>
              <w:spacing w:after="0" w:line="480" w:lineRule="auto"/>
              <w:rPr>
                <w:rFonts w:ascii="Times New Roman" w:hAnsi="Times New Roman"/>
                <w:b/>
              </w:rPr>
            </w:pPr>
            <w:r>
              <w:rPr>
                <w:rFonts w:ascii="Times New Roman" w:hAnsi="Times New Roman"/>
                <w:b/>
              </w:rPr>
              <w:t xml:space="preserve"> IDH:</w:t>
            </w:r>
          </w:p>
        </w:tc>
        <w:tc>
          <w:tcPr>
            <w:tcW w:w="8222" w:type="dxa"/>
            <w:shd w:val="clear" w:color="auto" w:fill="auto"/>
            <w:tcMar>
              <w:top w:w="0" w:type="dxa"/>
              <w:left w:w="108" w:type="dxa"/>
              <w:bottom w:w="0" w:type="dxa"/>
              <w:right w:w="108" w:type="dxa"/>
            </w:tcMar>
          </w:tcPr>
          <w:p w14:paraId="5EB815FC" w14:textId="77777777" w:rsidR="009C1D22" w:rsidRDefault="000B6C0D">
            <w:pPr>
              <w:tabs>
                <w:tab w:val="right" w:leader="dot" w:pos="9406"/>
              </w:tabs>
              <w:spacing w:after="0" w:line="480" w:lineRule="auto"/>
              <w:rPr>
                <w:rFonts w:ascii="Times New Roman" w:hAnsi="Times New Roman"/>
              </w:rPr>
            </w:pPr>
            <w:r>
              <w:rPr>
                <w:rFonts w:ascii="Times New Roman" w:hAnsi="Times New Roman"/>
              </w:rPr>
              <w:t>Indice de Développement Humain</w:t>
            </w:r>
          </w:p>
        </w:tc>
      </w:tr>
      <w:tr w:rsidR="009C1D22" w14:paraId="16C4FF85" w14:textId="77777777">
        <w:tc>
          <w:tcPr>
            <w:tcW w:w="1384" w:type="dxa"/>
            <w:shd w:val="clear" w:color="auto" w:fill="auto"/>
            <w:tcMar>
              <w:top w:w="0" w:type="dxa"/>
              <w:left w:w="108" w:type="dxa"/>
              <w:bottom w:w="0" w:type="dxa"/>
              <w:right w:w="108" w:type="dxa"/>
            </w:tcMar>
          </w:tcPr>
          <w:p w14:paraId="73B60C87" w14:textId="77777777" w:rsidR="009C1D22" w:rsidRDefault="000B6C0D">
            <w:pPr>
              <w:tabs>
                <w:tab w:val="right" w:leader="dot" w:pos="9406"/>
              </w:tabs>
              <w:spacing w:after="0" w:line="480" w:lineRule="auto"/>
              <w:rPr>
                <w:rFonts w:ascii="Times New Roman" w:hAnsi="Times New Roman"/>
                <w:b/>
              </w:rPr>
            </w:pPr>
            <w:r>
              <w:rPr>
                <w:rFonts w:ascii="Times New Roman" w:hAnsi="Times New Roman"/>
                <w:b/>
              </w:rPr>
              <w:t>HAMA:</w:t>
            </w:r>
          </w:p>
        </w:tc>
        <w:tc>
          <w:tcPr>
            <w:tcW w:w="8222" w:type="dxa"/>
            <w:shd w:val="clear" w:color="auto" w:fill="auto"/>
            <w:tcMar>
              <w:top w:w="0" w:type="dxa"/>
              <w:left w:w="108" w:type="dxa"/>
              <w:bottom w:w="0" w:type="dxa"/>
              <w:right w:w="108" w:type="dxa"/>
            </w:tcMar>
          </w:tcPr>
          <w:p w14:paraId="2A0B839E" w14:textId="77777777" w:rsidR="009C1D22" w:rsidRDefault="000B6C0D">
            <w:pPr>
              <w:tabs>
                <w:tab w:val="right" w:leader="dot" w:pos="9406"/>
              </w:tabs>
              <w:spacing w:after="0" w:line="480" w:lineRule="auto"/>
              <w:rPr>
                <w:rFonts w:ascii="Times New Roman" w:hAnsi="Times New Roman"/>
              </w:rPr>
            </w:pPr>
            <w:r>
              <w:rPr>
                <w:rFonts w:ascii="Times New Roman" w:hAnsi="Times New Roman"/>
              </w:rPr>
              <w:t xml:space="preserve">Haute Autorité des Médias et Audio-visuels </w:t>
            </w:r>
          </w:p>
        </w:tc>
      </w:tr>
      <w:tr w:rsidR="009C1D22" w14:paraId="47B507A8" w14:textId="77777777">
        <w:tc>
          <w:tcPr>
            <w:tcW w:w="1384" w:type="dxa"/>
            <w:shd w:val="clear" w:color="auto" w:fill="auto"/>
            <w:tcMar>
              <w:top w:w="0" w:type="dxa"/>
              <w:left w:w="108" w:type="dxa"/>
              <w:bottom w:w="0" w:type="dxa"/>
              <w:right w:w="108" w:type="dxa"/>
            </w:tcMar>
          </w:tcPr>
          <w:p w14:paraId="1E8B50DC" w14:textId="77777777" w:rsidR="009C1D22" w:rsidRDefault="000B6C0D">
            <w:pPr>
              <w:tabs>
                <w:tab w:val="right" w:leader="dot" w:pos="9406"/>
              </w:tabs>
              <w:spacing w:after="0" w:line="480" w:lineRule="auto"/>
              <w:rPr>
                <w:rFonts w:ascii="Times New Roman" w:hAnsi="Times New Roman"/>
                <w:b/>
              </w:rPr>
            </w:pPr>
            <w:r>
              <w:rPr>
                <w:rFonts w:ascii="Times New Roman" w:hAnsi="Times New Roman"/>
                <w:b/>
              </w:rPr>
              <w:t>ANGE:</w:t>
            </w:r>
          </w:p>
        </w:tc>
        <w:tc>
          <w:tcPr>
            <w:tcW w:w="8222" w:type="dxa"/>
            <w:shd w:val="clear" w:color="auto" w:fill="auto"/>
            <w:tcMar>
              <w:top w:w="0" w:type="dxa"/>
              <w:left w:w="108" w:type="dxa"/>
              <w:bottom w:w="0" w:type="dxa"/>
              <w:right w:w="108" w:type="dxa"/>
            </w:tcMar>
          </w:tcPr>
          <w:p w14:paraId="61A9BC98" w14:textId="77777777" w:rsidR="009C1D22" w:rsidRDefault="000B6C0D">
            <w:pPr>
              <w:tabs>
                <w:tab w:val="right" w:leader="dot" w:pos="9406"/>
              </w:tabs>
              <w:spacing w:after="0" w:line="480" w:lineRule="auto"/>
              <w:rPr>
                <w:rFonts w:ascii="Times New Roman" w:hAnsi="Times New Roman"/>
              </w:rPr>
            </w:pPr>
            <w:r>
              <w:rPr>
                <w:rFonts w:ascii="Times New Roman" w:hAnsi="Times New Roman"/>
              </w:rPr>
              <w:t>Agence Nationale de Gestion des Elections</w:t>
            </w:r>
          </w:p>
        </w:tc>
      </w:tr>
      <w:tr w:rsidR="009C1D22" w14:paraId="4019CCE0" w14:textId="77777777">
        <w:tc>
          <w:tcPr>
            <w:tcW w:w="1384" w:type="dxa"/>
            <w:shd w:val="clear" w:color="auto" w:fill="auto"/>
            <w:tcMar>
              <w:top w:w="0" w:type="dxa"/>
              <w:left w:w="108" w:type="dxa"/>
              <w:bottom w:w="0" w:type="dxa"/>
              <w:right w:w="108" w:type="dxa"/>
            </w:tcMar>
          </w:tcPr>
          <w:p w14:paraId="06F39C37" w14:textId="77777777" w:rsidR="009C1D22" w:rsidRDefault="000B6C0D">
            <w:pPr>
              <w:tabs>
                <w:tab w:val="right" w:leader="dot" w:pos="9406"/>
              </w:tabs>
              <w:spacing w:after="0" w:line="480" w:lineRule="auto"/>
              <w:rPr>
                <w:rFonts w:ascii="Times New Roman" w:hAnsi="Times New Roman"/>
                <w:b/>
              </w:rPr>
            </w:pPr>
            <w:r>
              <w:rPr>
                <w:rFonts w:ascii="Times New Roman" w:hAnsi="Times New Roman"/>
                <w:b/>
              </w:rPr>
              <w:t>CESCE:</w:t>
            </w:r>
          </w:p>
        </w:tc>
        <w:tc>
          <w:tcPr>
            <w:tcW w:w="8222" w:type="dxa"/>
            <w:shd w:val="clear" w:color="auto" w:fill="auto"/>
            <w:tcMar>
              <w:top w:w="0" w:type="dxa"/>
              <w:left w:w="108" w:type="dxa"/>
              <w:bottom w:w="0" w:type="dxa"/>
              <w:right w:w="108" w:type="dxa"/>
            </w:tcMar>
          </w:tcPr>
          <w:p w14:paraId="4ABC97D6" w14:textId="77777777" w:rsidR="009C1D22" w:rsidRDefault="000B6C0D">
            <w:pPr>
              <w:tabs>
                <w:tab w:val="right" w:leader="dot" w:pos="9406"/>
              </w:tabs>
              <w:spacing w:after="0" w:line="480" w:lineRule="auto"/>
              <w:rPr>
                <w:rFonts w:ascii="Times New Roman" w:hAnsi="Times New Roman"/>
              </w:rPr>
            </w:pPr>
            <w:r>
              <w:rPr>
                <w:rFonts w:ascii="Times New Roman" w:hAnsi="Times New Roman"/>
              </w:rPr>
              <w:t xml:space="preserve">Conseil Economique, Social, Culturel et Environnemental </w:t>
            </w:r>
          </w:p>
        </w:tc>
      </w:tr>
      <w:tr w:rsidR="009C1D22" w14:paraId="77ABD58A" w14:textId="77777777">
        <w:tc>
          <w:tcPr>
            <w:tcW w:w="1384" w:type="dxa"/>
            <w:shd w:val="clear" w:color="auto" w:fill="auto"/>
            <w:tcMar>
              <w:top w:w="0" w:type="dxa"/>
              <w:left w:w="108" w:type="dxa"/>
              <w:bottom w:w="0" w:type="dxa"/>
              <w:right w:w="108" w:type="dxa"/>
            </w:tcMar>
          </w:tcPr>
          <w:p w14:paraId="38D588F0" w14:textId="77777777" w:rsidR="009C1D22" w:rsidRDefault="000B6C0D">
            <w:pPr>
              <w:tabs>
                <w:tab w:val="right" w:leader="dot" w:pos="9406"/>
              </w:tabs>
              <w:spacing w:after="0" w:line="480" w:lineRule="auto"/>
              <w:rPr>
                <w:rFonts w:ascii="Times New Roman" w:hAnsi="Times New Roman"/>
                <w:b/>
              </w:rPr>
            </w:pPr>
            <w:r>
              <w:rPr>
                <w:rFonts w:ascii="Times New Roman" w:hAnsi="Times New Roman"/>
                <w:b/>
              </w:rPr>
              <w:t>CNDH:</w:t>
            </w:r>
          </w:p>
        </w:tc>
        <w:tc>
          <w:tcPr>
            <w:tcW w:w="8222" w:type="dxa"/>
            <w:shd w:val="clear" w:color="auto" w:fill="auto"/>
            <w:tcMar>
              <w:top w:w="0" w:type="dxa"/>
              <w:left w:w="108" w:type="dxa"/>
              <w:bottom w:w="0" w:type="dxa"/>
              <w:right w:w="108" w:type="dxa"/>
            </w:tcMar>
          </w:tcPr>
          <w:p w14:paraId="72F337AD" w14:textId="77777777" w:rsidR="009C1D22" w:rsidRDefault="000B6C0D">
            <w:pPr>
              <w:tabs>
                <w:tab w:val="right" w:leader="dot" w:pos="9406"/>
              </w:tabs>
              <w:spacing w:after="0" w:line="480" w:lineRule="auto"/>
              <w:rPr>
                <w:rFonts w:ascii="Times New Roman" w:hAnsi="Times New Roman"/>
              </w:rPr>
            </w:pPr>
            <w:r>
              <w:rPr>
                <w:rFonts w:ascii="Times New Roman" w:hAnsi="Times New Roman"/>
              </w:rPr>
              <w:t>Commission Nationale des Droits de l’Homme</w:t>
            </w:r>
          </w:p>
        </w:tc>
      </w:tr>
      <w:tr w:rsidR="009C1D22" w14:paraId="29EB69A5" w14:textId="77777777">
        <w:tc>
          <w:tcPr>
            <w:tcW w:w="1384" w:type="dxa"/>
            <w:shd w:val="clear" w:color="auto" w:fill="auto"/>
            <w:tcMar>
              <w:top w:w="0" w:type="dxa"/>
              <w:left w:w="108" w:type="dxa"/>
              <w:bottom w:w="0" w:type="dxa"/>
              <w:right w:w="108" w:type="dxa"/>
            </w:tcMar>
          </w:tcPr>
          <w:p w14:paraId="162C0C57" w14:textId="77777777" w:rsidR="009C1D22" w:rsidRDefault="000B6C0D">
            <w:pPr>
              <w:tabs>
                <w:tab w:val="right" w:leader="dot" w:pos="9406"/>
              </w:tabs>
              <w:spacing w:after="0" w:line="480" w:lineRule="auto"/>
            </w:pPr>
            <w:r>
              <w:rPr>
                <w:rFonts w:ascii="Times New Roman" w:eastAsia="Times" w:hAnsi="Times New Roman"/>
                <w:b/>
                <w:lang w:eastAsia="fr-FR"/>
              </w:rPr>
              <w:t>ANSICE:</w:t>
            </w:r>
          </w:p>
        </w:tc>
        <w:tc>
          <w:tcPr>
            <w:tcW w:w="8222" w:type="dxa"/>
            <w:shd w:val="clear" w:color="auto" w:fill="auto"/>
            <w:tcMar>
              <w:top w:w="0" w:type="dxa"/>
              <w:left w:w="108" w:type="dxa"/>
              <w:bottom w:w="0" w:type="dxa"/>
              <w:right w:w="108" w:type="dxa"/>
            </w:tcMar>
          </w:tcPr>
          <w:p w14:paraId="32E22D2A" w14:textId="77777777" w:rsidR="009C1D22" w:rsidRDefault="000B6C0D">
            <w:pPr>
              <w:tabs>
                <w:tab w:val="right" w:leader="dot" w:pos="9406"/>
              </w:tabs>
              <w:spacing w:after="0" w:line="480" w:lineRule="auto"/>
            </w:pPr>
            <w:r>
              <w:rPr>
                <w:rFonts w:ascii="Times New Roman" w:eastAsia="Times" w:hAnsi="Times New Roman"/>
                <w:lang w:eastAsia="fr-FR"/>
              </w:rPr>
              <w:t xml:space="preserve">Agence Nationale de Sécurité Informatique et de Certification Electronique </w:t>
            </w:r>
          </w:p>
        </w:tc>
      </w:tr>
      <w:tr w:rsidR="009C1D22" w14:paraId="3883B2BC" w14:textId="77777777">
        <w:tc>
          <w:tcPr>
            <w:tcW w:w="1384" w:type="dxa"/>
            <w:shd w:val="clear" w:color="auto" w:fill="auto"/>
            <w:tcMar>
              <w:top w:w="0" w:type="dxa"/>
              <w:left w:w="108" w:type="dxa"/>
              <w:bottom w:w="0" w:type="dxa"/>
              <w:right w:w="108" w:type="dxa"/>
            </w:tcMar>
          </w:tcPr>
          <w:p w14:paraId="47409A0F" w14:textId="77777777" w:rsidR="009C1D22" w:rsidRDefault="000B6C0D">
            <w:pPr>
              <w:tabs>
                <w:tab w:val="right" w:leader="dot" w:pos="9406"/>
              </w:tabs>
              <w:spacing w:after="0" w:line="480" w:lineRule="auto"/>
              <w:rPr>
                <w:rFonts w:ascii="Times New Roman" w:eastAsia="Times" w:hAnsi="Times New Roman"/>
                <w:b/>
                <w:lang w:eastAsia="fr-FR"/>
              </w:rPr>
            </w:pPr>
            <w:r>
              <w:rPr>
                <w:rFonts w:ascii="Times New Roman" w:eastAsia="Times" w:hAnsi="Times New Roman"/>
                <w:b/>
                <w:lang w:eastAsia="fr-FR"/>
              </w:rPr>
              <w:t>HCDH:</w:t>
            </w:r>
          </w:p>
        </w:tc>
        <w:tc>
          <w:tcPr>
            <w:tcW w:w="8222" w:type="dxa"/>
            <w:shd w:val="clear" w:color="auto" w:fill="auto"/>
            <w:tcMar>
              <w:top w:w="0" w:type="dxa"/>
              <w:left w:w="108" w:type="dxa"/>
              <w:bottom w:w="0" w:type="dxa"/>
              <w:right w:w="108" w:type="dxa"/>
            </w:tcMar>
          </w:tcPr>
          <w:p w14:paraId="1463175B" w14:textId="77777777" w:rsidR="009C1D22" w:rsidRDefault="000B6C0D">
            <w:pPr>
              <w:tabs>
                <w:tab w:val="right" w:leader="dot" w:pos="9406"/>
              </w:tabs>
              <w:spacing w:after="0" w:line="480" w:lineRule="auto"/>
              <w:rPr>
                <w:rFonts w:ascii="Times New Roman" w:eastAsia="Times" w:hAnsi="Times New Roman"/>
                <w:lang w:eastAsia="fr-FR"/>
              </w:rPr>
            </w:pPr>
            <w:r>
              <w:rPr>
                <w:rFonts w:ascii="Times New Roman" w:eastAsia="Times" w:hAnsi="Times New Roman"/>
                <w:lang w:eastAsia="fr-FR"/>
              </w:rPr>
              <w:t>Haut-Commissariat des Nations-Unies aux Droits de l’Homme</w:t>
            </w:r>
          </w:p>
        </w:tc>
      </w:tr>
      <w:tr w:rsidR="009C1D22" w14:paraId="4822BE85" w14:textId="77777777">
        <w:tc>
          <w:tcPr>
            <w:tcW w:w="1384" w:type="dxa"/>
            <w:shd w:val="clear" w:color="auto" w:fill="auto"/>
            <w:tcMar>
              <w:top w:w="0" w:type="dxa"/>
              <w:left w:w="108" w:type="dxa"/>
              <w:bottom w:w="0" w:type="dxa"/>
              <w:right w:w="108" w:type="dxa"/>
            </w:tcMar>
          </w:tcPr>
          <w:p w14:paraId="2F6CA460" w14:textId="77777777" w:rsidR="009C1D22" w:rsidRDefault="000B6C0D">
            <w:pPr>
              <w:tabs>
                <w:tab w:val="right" w:leader="dot" w:pos="9406"/>
              </w:tabs>
              <w:spacing w:after="0" w:line="480" w:lineRule="auto"/>
              <w:rPr>
                <w:rFonts w:ascii="Times New Roman" w:eastAsia="Times" w:hAnsi="Times New Roman"/>
                <w:b/>
                <w:lang w:eastAsia="fr-FR"/>
              </w:rPr>
            </w:pPr>
            <w:r>
              <w:rPr>
                <w:rFonts w:ascii="Times New Roman" w:eastAsia="Times" w:hAnsi="Times New Roman"/>
                <w:b/>
                <w:lang w:eastAsia="fr-FR"/>
              </w:rPr>
              <w:t>UNHCR:</w:t>
            </w:r>
          </w:p>
        </w:tc>
        <w:tc>
          <w:tcPr>
            <w:tcW w:w="8222" w:type="dxa"/>
            <w:shd w:val="clear" w:color="auto" w:fill="auto"/>
            <w:tcMar>
              <w:top w:w="0" w:type="dxa"/>
              <w:left w:w="108" w:type="dxa"/>
              <w:bottom w:w="0" w:type="dxa"/>
              <w:right w:w="108" w:type="dxa"/>
            </w:tcMar>
          </w:tcPr>
          <w:p w14:paraId="75EAB4B0" w14:textId="77777777" w:rsidR="009C1D22" w:rsidRDefault="000B6C0D">
            <w:pPr>
              <w:tabs>
                <w:tab w:val="right" w:leader="dot" w:pos="9406"/>
              </w:tabs>
              <w:spacing w:after="0" w:line="480" w:lineRule="auto"/>
              <w:rPr>
                <w:rFonts w:ascii="Times New Roman" w:eastAsia="Times" w:hAnsi="Times New Roman"/>
                <w:lang w:eastAsia="fr-FR"/>
              </w:rPr>
            </w:pPr>
            <w:r>
              <w:rPr>
                <w:rFonts w:ascii="Times New Roman" w:eastAsia="Times" w:hAnsi="Times New Roman"/>
                <w:lang w:eastAsia="fr-FR"/>
              </w:rPr>
              <w:t>Haut-Commissariat des Nations-Unies pour les Refugiés</w:t>
            </w:r>
          </w:p>
        </w:tc>
      </w:tr>
      <w:tr w:rsidR="009C1D22" w14:paraId="4A67B13F" w14:textId="77777777">
        <w:tc>
          <w:tcPr>
            <w:tcW w:w="1384" w:type="dxa"/>
            <w:shd w:val="clear" w:color="auto" w:fill="auto"/>
            <w:tcMar>
              <w:top w:w="0" w:type="dxa"/>
              <w:left w:w="108" w:type="dxa"/>
              <w:bottom w:w="0" w:type="dxa"/>
              <w:right w:w="108" w:type="dxa"/>
            </w:tcMar>
          </w:tcPr>
          <w:p w14:paraId="77F3D472" w14:textId="77777777" w:rsidR="009C1D22" w:rsidRDefault="000B6C0D">
            <w:pPr>
              <w:tabs>
                <w:tab w:val="right" w:leader="dot" w:pos="9406"/>
              </w:tabs>
              <w:spacing w:after="0" w:line="480" w:lineRule="auto"/>
              <w:rPr>
                <w:rFonts w:ascii="Times New Roman" w:eastAsia="Times" w:hAnsi="Times New Roman"/>
                <w:b/>
                <w:lang w:eastAsia="fr-FR"/>
              </w:rPr>
            </w:pPr>
            <w:r>
              <w:rPr>
                <w:rFonts w:ascii="Times New Roman" w:eastAsia="Times" w:hAnsi="Times New Roman"/>
                <w:b/>
                <w:lang w:eastAsia="fr-FR"/>
              </w:rPr>
              <w:t>OIT:</w:t>
            </w:r>
          </w:p>
        </w:tc>
        <w:tc>
          <w:tcPr>
            <w:tcW w:w="8222" w:type="dxa"/>
            <w:shd w:val="clear" w:color="auto" w:fill="auto"/>
            <w:tcMar>
              <w:top w:w="0" w:type="dxa"/>
              <w:left w:w="108" w:type="dxa"/>
              <w:bottom w:w="0" w:type="dxa"/>
              <w:right w:w="108" w:type="dxa"/>
            </w:tcMar>
          </w:tcPr>
          <w:p w14:paraId="602A1B57" w14:textId="77777777" w:rsidR="009C1D22" w:rsidRDefault="000B6C0D">
            <w:pPr>
              <w:tabs>
                <w:tab w:val="right" w:leader="dot" w:pos="9406"/>
              </w:tabs>
              <w:spacing w:after="0" w:line="480" w:lineRule="auto"/>
              <w:rPr>
                <w:rFonts w:ascii="Times New Roman" w:eastAsia="Times" w:hAnsi="Times New Roman"/>
                <w:lang w:eastAsia="fr-FR"/>
              </w:rPr>
            </w:pPr>
            <w:r>
              <w:rPr>
                <w:rFonts w:ascii="Times New Roman" w:eastAsia="Times" w:hAnsi="Times New Roman"/>
                <w:lang w:eastAsia="fr-FR"/>
              </w:rPr>
              <w:t>Organisation Internationale pour le Travail</w:t>
            </w:r>
          </w:p>
        </w:tc>
      </w:tr>
      <w:tr w:rsidR="009C1D22" w14:paraId="04CDC496" w14:textId="77777777">
        <w:tc>
          <w:tcPr>
            <w:tcW w:w="1384" w:type="dxa"/>
            <w:shd w:val="clear" w:color="auto" w:fill="auto"/>
            <w:tcMar>
              <w:top w:w="0" w:type="dxa"/>
              <w:left w:w="108" w:type="dxa"/>
              <w:bottom w:w="0" w:type="dxa"/>
              <w:right w:w="108" w:type="dxa"/>
            </w:tcMar>
          </w:tcPr>
          <w:p w14:paraId="07079329" w14:textId="77777777" w:rsidR="009C1D22" w:rsidRDefault="000B6C0D">
            <w:pPr>
              <w:tabs>
                <w:tab w:val="right" w:leader="dot" w:pos="9406"/>
              </w:tabs>
              <w:spacing w:after="0" w:line="480" w:lineRule="auto"/>
            </w:pPr>
            <w:r>
              <w:rPr>
                <w:rFonts w:ascii="Times New Roman" w:hAnsi="Times New Roman"/>
                <w:b/>
              </w:rPr>
              <w:t>HCCT:</w:t>
            </w:r>
          </w:p>
        </w:tc>
        <w:tc>
          <w:tcPr>
            <w:tcW w:w="8222" w:type="dxa"/>
            <w:shd w:val="clear" w:color="auto" w:fill="auto"/>
            <w:tcMar>
              <w:top w:w="0" w:type="dxa"/>
              <w:left w:w="108" w:type="dxa"/>
              <w:bottom w:w="0" w:type="dxa"/>
              <w:right w:w="108" w:type="dxa"/>
            </w:tcMar>
          </w:tcPr>
          <w:p w14:paraId="48A53421" w14:textId="77777777" w:rsidR="009C1D22" w:rsidRDefault="000B6C0D">
            <w:pPr>
              <w:tabs>
                <w:tab w:val="right" w:leader="dot" w:pos="9406"/>
              </w:tabs>
              <w:spacing w:after="0" w:line="480" w:lineRule="auto"/>
            </w:pPr>
            <w:r>
              <w:rPr>
                <w:rFonts w:ascii="Times New Roman" w:hAnsi="Times New Roman"/>
              </w:rPr>
              <w:t xml:space="preserve">Haut Conseil des Chefferies Traditionnelles </w:t>
            </w:r>
          </w:p>
        </w:tc>
      </w:tr>
      <w:tr w:rsidR="009C1D22" w14:paraId="0CDE12E9" w14:textId="77777777">
        <w:tc>
          <w:tcPr>
            <w:tcW w:w="1384" w:type="dxa"/>
            <w:shd w:val="clear" w:color="auto" w:fill="auto"/>
            <w:tcMar>
              <w:top w:w="0" w:type="dxa"/>
              <w:left w:w="108" w:type="dxa"/>
              <w:bottom w:w="0" w:type="dxa"/>
              <w:right w:w="108" w:type="dxa"/>
            </w:tcMar>
          </w:tcPr>
          <w:p w14:paraId="64FB65DD" w14:textId="77777777" w:rsidR="009C1D22" w:rsidRDefault="000B6C0D">
            <w:pPr>
              <w:tabs>
                <w:tab w:val="right" w:leader="dot" w:pos="9406"/>
              </w:tabs>
              <w:spacing w:after="0" w:line="480" w:lineRule="auto"/>
            </w:pPr>
            <w:r>
              <w:rPr>
                <w:rFonts w:ascii="Times New Roman" w:hAnsi="Times New Roman"/>
                <w:b/>
                <w:bCs/>
              </w:rPr>
              <w:t>OCAM:</w:t>
            </w:r>
          </w:p>
        </w:tc>
        <w:tc>
          <w:tcPr>
            <w:tcW w:w="8222" w:type="dxa"/>
            <w:shd w:val="clear" w:color="auto" w:fill="auto"/>
            <w:tcMar>
              <w:top w:w="0" w:type="dxa"/>
              <w:left w:w="108" w:type="dxa"/>
              <w:bottom w:w="0" w:type="dxa"/>
              <w:right w:w="108" w:type="dxa"/>
            </w:tcMar>
          </w:tcPr>
          <w:p w14:paraId="1B7FB20B" w14:textId="77777777" w:rsidR="009C1D22" w:rsidRDefault="000B6C0D">
            <w:pPr>
              <w:tabs>
                <w:tab w:val="right" w:leader="dot" w:pos="9406"/>
              </w:tabs>
              <w:spacing w:after="0" w:line="480" w:lineRule="auto"/>
            </w:pPr>
            <w:r>
              <w:rPr>
                <w:rFonts w:ascii="Times New Roman" w:hAnsi="Times New Roman"/>
                <w:bCs/>
              </w:rPr>
              <w:t xml:space="preserve">L’Organisation Commune Africaine et Malgache </w:t>
            </w:r>
          </w:p>
        </w:tc>
      </w:tr>
    </w:tbl>
    <w:p w14:paraId="3E882FFD" w14:textId="77777777" w:rsidR="009C1D22" w:rsidRDefault="000B6C0D">
      <w:pPr>
        <w:tabs>
          <w:tab w:val="right" w:leader="dot" w:pos="9406"/>
        </w:tabs>
      </w:pPr>
      <w:r>
        <w:rPr>
          <w:rFonts w:ascii="Times New Roman" w:hAnsi="Times New Roman"/>
          <w:b/>
          <w:bCs/>
        </w:rPr>
        <w:t xml:space="preserve">  CEN-SAD :</w:t>
      </w:r>
      <w:r w:rsidR="00456CE2">
        <w:rPr>
          <w:rFonts w:ascii="Times New Roman" w:hAnsi="Times New Roman"/>
          <w:b/>
          <w:bCs/>
        </w:rPr>
        <w:t xml:space="preserve">   </w:t>
      </w:r>
      <w:r w:rsidR="00456CE2" w:rsidRPr="00456CE2">
        <w:rPr>
          <w:rFonts w:ascii="Times New Roman" w:hAnsi="Times New Roman"/>
          <w:bCs/>
        </w:rPr>
        <w:t>Communauté des Etats Sahélo-saharienne</w:t>
      </w:r>
    </w:p>
    <w:p w14:paraId="09A5D15C" w14:textId="77777777" w:rsidR="009C1D22" w:rsidRDefault="000B6C0D">
      <w:pPr>
        <w:tabs>
          <w:tab w:val="right" w:leader="dot" w:pos="9406"/>
        </w:tabs>
        <w:rPr>
          <w:rFonts w:ascii="Times New Roman" w:hAnsi="Times New Roman"/>
          <w:b/>
        </w:rPr>
      </w:pPr>
      <w:r>
        <w:rPr>
          <w:rFonts w:ascii="Times New Roman" w:hAnsi="Times New Roman"/>
          <w:b/>
        </w:rPr>
        <w:t xml:space="preserve">  OSC :</w:t>
      </w:r>
      <w:r w:rsidR="00456CE2">
        <w:rPr>
          <w:rFonts w:ascii="Times New Roman" w:hAnsi="Times New Roman"/>
          <w:b/>
        </w:rPr>
        <w:t xml:space="preserve">              </w:t>
      </w:r>
      <w:r w:rsidR="00456CE2" w:rsidRPr="00456CE2">
        <w:rPr>
          <w:rFonts w:ascii="Times New Roman" w:hAnsi="Times New Roman"/>
        </w:rPr>
        <w:t>Organisation de la Société Civile</w:t>
      </w:r>
    </w:p>
    <w:p w14:paraId="395D5EBC" w14:textId="77777777" w:rsidR="009C1D22" w:rsidRPr="00456CE2" w:rsidRDefault="000B6C0D">
      <w:pPr>
        <w:tabs>
          <w:tab w:val="right" w:leader="dot" w:pos="9406"/>
        </w:tabs>
        <w:rPr>
          <w:rFonts w:ascii="Times New Roman" w:hAnsi="Times New Roman"/>
        </w:rPr>
      </w:pPr>
      <w:r>
        <w:rPr>
          <w:rFonts w:ascii="Times New Roman" w:hAnsi="Times New Roman"/>
          <w:b/>
        </w:rPr>
        <w:t xml:space="preserve">  OCAM :</w:t>
      </w:r>
      <w:r w:rsidR="00456CE2">
        <w:rPr>
          <w:rFonts w:ascii="Times New Roman" w:hAnsi="Times New Roman"/>
          <w:b/>
        </w:rPr>
        <w:t xml:space="preserve">        </w:t>
      </w:r>
      <w:r w:rsidR="00456CE2" w:rsidRPr="00456CE2">
        <w:rPr>
          <w:rFonts w:ascii="Times New Roman" w:hAnsi="Times New Roman"/>
        </w:rPr>
        <w:t xml:space="preserve">Organisation Commune Africaine et Malgache </w:t>
      </w:r>
    </w:p>
    <w:p w14:paraId="4E08217F" w14:textId="77777777" w:rsidR="009C1D22" w:rsidRDefault="000B6C0D">
      <w:r>
        <w:fldChar w:fldCharType="end"/>
      </w:r>
      <w:r>
        <w:rPr>
          <w:rFonts w:ascii="Times New Roman" w:eastAsia="Times" w:hAnsi="Times New Roman"/>
          <w:b/>
          <w:lang w:eastAsia="fr-FR"/>
        </w:rPr>
        <w:t xml:space="preserve"> PIDCP :</w:t>
      </w:r>
      <w:r>
        <w:rPr>
          <w:rFonts w:ascii="Times New Roman" w:eastAsia="Times" w:hAnsi="Times New Roman"/>
          <w:lang w:eastAsia="fr-FR"/>
        </w:rPr>
        <w:t xml:space="preserve">  </w:t>
      </w:r>
      <w:r>
        <w:rPr>
          <w:rFonts w:ascii="Times New Roman" w:hAnsi="Times New Roman"/>
          <w:lang w:eastAsia="fr-FR"/>
        </w:rPr>
        <w:t xml:space="preserve">            international relatif aux droits civils et politique ratifiés, le 09/06/1995 ;</w:t>
      </w:r>
    </w:p>
    <w:p w14:paraId="28F9DEC1" w14:textId="77777777" w:rsidR="009C1D22" w:rsidRDefault="000B6C0D">
      <w:pPr>
        <w:spacing w:after="0"/>
      </w:pPr>
      <w:r>
        <w:rPr>
          <w:rFonts w:ascii="Times New Roman" w:eastAsia="Times" w:hAnsi="Times New Roman"/>
          <w:b/>
          <w:lang w:eastAsia="fr-FR"/>
        </w:rPr>
        <w:t xml:space="preserve"> CCT :</w:t>
      </w:r>
      <w:r>
        <w:rPr>
          <w:rFonts w:ascii="Times New Roman" w:eastAsia="Times" w:hAnsi="Times New Roman"/>
          <w:lang w:eastAsia="fr-FR"/>
        </w:rPr>
        <w:t xml:space="preserve">                 Convention contre la Torture et autres peines ou traitements cruels, inhumains </w:t>
      </w:r>
    </w:p>
    <w:p w14:paraId="14E34EE2" w14:textId="77777777" w:rsidR="009C1D22" w:rsidRDefault="000B6C0D">
      <w:pPr>
        <w:spacing w:after="0"/>
      </w:pPr>
      <w:r>
        <w:rPr>
          <w:rFonts w:ascii="Times New Roman" w:eastAsia="Times" w:hAnsi="Times New Roman"/>
          <w:lang w:eastAsia="fr-FR"/>
        </w:rPr>
        <w:t xml:space="preserve">                           ou   dégradants </w:t>
      </w:r>
    </w:p>
    <w:p w14:paraId="6F55F37D" w14:textId="77777777" w:rsidR="009C1D22" w:rsidRDefault="009C1D22">
      <w:pPr>
        <w:rPr>
          <w:rFonts w:ascii="Times New Roman" w:hAnsi="Times New Roman"/>
          <w:b/>
          <w:bCs/>
        </w:rPr>
      </w:pPr>
    </w:p>
    <w:p w14:paraId="4F6AF5E0" w14:textId="77777777" w:rsidR="009C1D22" w:rsidRDefault="009C1D22"/>
    <w:p w14:paraId="556768C4" w14:textId="77777777" w:rsidR="009C1D22" w:rsidRDefault="009C1D22"/>
    <w:p w14:paraId="7B2B1199" w14:textId="77777777" w:rsidR="009C1D22" w:rsidRDefault="000B6C0D">
      <w:pPr>
        <w:pStyle w:val="Heading1"/>
        <w:jc w:val="center"/>
        <w:rPr>
          <w:rFonts w:ascii="Times New Roman" w:hAnsi="Times New Roman"/>
          <w:b/>
          <w:color w:val="auto"/>
          <w:sz w:val="24"/>
          <w:lang w:eastAsia="fr-FR"/>
        </w:rPr>
      </w:pPr>
      <w:bookmarkStart w:id="2" w:name="_Toc177633274"/>
      <w:r>
        <w:rPr>
          <w:rFonts w:ascii="Times New Roman" w:hAnsi="Times New Roman"/>
          <w:b/>
          <w:color w:val="auto"/>
          <w:sz w:val="24"/>
          <w:lang w:eastAsia="fr-FR"/>
        </w:rPr>
        <w:lastRenderedPageBreak/>
        <w:t>INTRODUCTION</w:t>
      </w:r>
      <w:bookmarkEnd w:id="2"/>
    </w:p>
    <w:p w14:paraId="3E4F1816" w14:textId="77777777" w:rsidR="009C1D22" w:rsidRDefault="000B6C0D">
      <w:pPr>
        <w:spacing w:line="360" w:lineRule="auto"/>
        <w:ind w:left="170" w:right="170"/>
        <w:jc w:val="both"/>
      </w:pPr>
      <w:r>
        <w:rPr>
          <w:rFonts w:ascii="Times New Roman" w:hAnsi="Times New Roman"/>
          <w:b/>
        </w:rPr>
        <w:t>1</w:t>
      </w:r>
      <w:r>
        <w:rPr>
          <w:rFonts w:ascii="Times New Roman" w:hAnsi="Times New Roman"/>
        </w:rPr>
        <w:t>.</w:t>
      </w:r>
      <w:r>
        <w:rPr>
          <w:rFonts w:ascii="Times New Roman" w:hAnsi="Times New Roman"/>
        </w:rPr>
        <w:tab/>
        <w:t>En application de l’article 73 de la</w:t>
      </w:r>
      <w:bookmarkStart w:id="3" w:name="_Hlk119228231"/>
      <w:r>
        <w:rPr>
          <w:rFonts w:ascii="Times New Roman" w:hAnsi="Times New Roman"/>
        </w:rPr>
        <w:t xml:space="preserve"> </w:t>
      </w:r>
      <w:bookmarkEnd w:id="3"/>
      <w:r>
        <w:rPr>
          <w:rFonts w:ascii="Times New Roman" w:hAnsi="Times New Roman"/>
          <w:lang w:val="fr-CA"/>
        </w:rPr>
        <w:t>convention internationale sur la protection des droits de tous les travailleurs migrants et des membres de leur famille</w:t>
      </w:r>
      <w:r>
        <w:rPr>
          <w:rFonts w:ascii="Times New Roman" w:hAnsi="Times New Roman"/>
        </w:rPr>
        <w:t xml:space="preserve">, le présent rapport fait le point sur la situation des droits des </w:t>
      </w:r>
      <w:r>
        <w:rPr>
          <w:rFonts w:ascii="Times New Roman" w:hAnsi="Times New Roman"/>
          <w:lang w:val="fr-CA"/>
        </w:rPr>
        <w:t>travailleurs migrants et des membres de leur famille</w:t>
      </w:r>
      <w:r>
        <w:rPr>
          <w:rFonts w:ascii="Times New Roman" w:hAnsi="Times New Roman"/>
        </w:rPr>
        <w:t xml:space="preserve"> au Tchad, elle a été ratifiée le 22 février 2022. </w:t>
      </w:r>
    </w:p>
    <w:p w14:paraId="7B5BE76B" w14:textId="77777777" w:rsidR="009C1D22" w:rsidRDefault="000B6C0D">
      <w:pPr>
        <w:spacing w:after="0" w:line="360" w:lineRule="auto"/>
        <w:ind w:left="170" w:right="170"/>
        <w:jc w:val="both"/>
      </w:pPr>
      <w:r>
        <w:rPr>
          <w:rFonts w:ascii="Times New Roman" w:hAnsi="Times New Roman"/>
          <w:b/>
        </w:rPr>
        <w:t>2</w:t>
      </w:r>
      <w:r>
        <w:rPr>
          <w:rFonts w:ascii="Times New Roman" w:hAnsi="Times New Roman"/>
        </w:rPr>
        <w:t>.</w:t>
      </w:r>
      <w:r>
        <w:rPr>
          <w:rFonts w:ascii="Times New Roman" w:hAnsi="Times New Roman"/>
        </w:rPr>
        <w:tab/>
        <w:t xml:space="preserve">Le présent rapport est élaboré suivant une méthodologie participative et inclusive, après de consultations nationales avec l’ensemble de parties prenantes conduit par le Comité Interministériel de Suivi des Instruments Internationaux en matière des Droits de l’Homme et de Rédaction des Rapports dus aux Organes de Traités, coordonné par le Ministère de la Justice et des Droits Humains. </w:t>
      </w:r>
    </w:p>
    <w:p w14:paraId="0FC9F580" w14:textId="77777777" w:rsidR="009C1D22" w:rsidRDefault="000B6C0D">
      <w:pPr>
        <w:spacing w:after="0" w:line="360" w:lineRule="auto"/>
        <w:ind w:left="170" w:right="170"/>
        <w:jc w:val="both"/>
      </w:pPr>
      <w:r>
        <w:rPr>
          <w:rFonts w:ascii="Times New Roman" w:hAnsi="Times New Roman"/>
        </w:rPr>
        <w:t xml:space="preserve">Le comité est composé des représentants des différents ministères, de la Commission Nationale des Droits de l’Homme (CNDH) et des Organisations de la Société Civile (OSC). </w:t>
      </w:r>
      <w:r>
        <w:rPr>
          <w:rFonts w:ascii="Times New Roman" w:hAnsi="Times New Roman"/>
          <w:bCs/>
          <w:iCs/>
        </w:rPr>
        <w:t xml:space="preserve"> </w:t>
      </w:r>
    </w:p>
    <w:p w14:paraId="51DBEC44" w14:textId="77777777" w:rsidR="009C1D22" w:rsidRDefault="000B6C0D">
      <w:pPr>
        <w:pStyle w:val="SingleTxtG"/>
        <w:spacing w:line="360" w:lineRule="auto"/>
        <w:ind w:left="170" w:right="170"/>
      </w:pPr>
      <w:r>
        <w:rPr>
          <w:b/>
          <w:sz w:val="24"/>
          <w:szCs w:val="24"/>
        </w:rPr>
        <w:t>3</w:t>
      </w:r>
      <w:r>
        <w:rPr>
          <w:sz w:val="24"/>
          <w:szCs w:val="24"/>
        </w:rPr>
        <w:t>.</w:t>
      </w:r>
      <w:r>
        <w:rPr>
          <w:sz w:val="24"/>
          <w:szCs w:val="24"/>
        </w:rPr>
        <w:tab/>
        <w:t xml:space="preserve">Ces consultations témoignent de la volonté du Gouvernement d’associer régulièrement, pour plus d’efficacité, les mécanismes des droits de l’homme au processus de promotion, de protection et de la mise en œuvre des droits des </w:t>
      </w:r>
      <w:r>
        <w:rPr>
          <w:kern w:val="3"/>
          <w:sz w:val="24"/>
          <w:szCs w:val="24"/>
          <w:lang w:val="fr-CA"/>
        </w:rPr>
        <w:t>travailleurs migrants et des membres de leur famille</w:t>
      </w:r>
      <w:r>
        <w:rPr>
          <w:sz w:val="24"/>
          <w:szCs w:val="24"/>
        </w:rPr>
        <w:t>.</w:t>
      </w:r>
    </w:p>
    <w:p w14:paraId="7D03D274" w14:textId="77777777" w:rsidR="009C1D22" w:rsidRDefault="000B6C0D">
      <w:pPr>
        <w:pStyle w:val="SingleTxtG"/>
        <w:spacing w:line="360" w:lineRule="auto"/>
        <w:ind w:left="170" w:right="170"/>
      </w:pPr>
      <w:r>
        <w:rPr>
          <w:b/>
          <w:sz w:val="24"/>
          <w:szCs w:val="24"/>
        </w:rPr>
        <w:t>4.</w:t>
      </w:r>
      <w:r>
        <w:rPr>
          <w:sz w:val="24"/>
          <w:szCs w:val="24"/>
        </w:rPr>
        <w:tab/>
        <w:t xml:space="preserve">Le Gouvernement du Tchad fournit dans ce document les principaux progrès accomplis en matière de respect des droits des </w:t>
      </w:r>
      <w:r>
        <w:rPr>
          <w:kern w:val="3"/>
          <w:sz w:val="24"/>
          <w:szCs w:val="24"/>
          <w:lang w:val="fr-CA"/>
        </w:rPr>
        <w:t>travailleurs migrants et des membres de leur famille</w:t>
      </w:r>
      <w:r>
        <w:rPr>
          <w:sz w:val="24"/>
          <w:szCs w:val="24"/>
        </w:rPr>
        <w:t xml:space="preserve">. Conscient des nombreux défis à relever, le Gouvernement réaffirme sa volonté de poursuivre résolument les efforts pour donner effet aux dispositions de la Convention. </w:t>
      </w:r>
    </w:p>
    <w:p w14:paraId="16AD9F9C" w14:textId="77777777" w:rsidR="009C1D22" w:rsidRDefault="000B6C0D">
      <w:pPr>
        <w:pStyle w:val="SingleTxtG"/>
        <w:spacing w:after="0" w:line="360" w:lineRule="auto"/>
        <w:ind w:left="170" w:right="170"/>
        <w:rPr>
          <w:sz w:val="24"/>
          <w:szCs w:val="24"/>
        </w:rPr>
      </w:pPr>
      <w:r>
        <w:rPr>
          <w:bCs/>
          <w:sz w:val="24"/>
          <w:szCs w:val="24"/>
        </w:rPr>
        <w:t xml:space="preserve">Le présent rapport s’articule autour des </w:t>
      </w:r>
      <w:r>
        <w:rPr>
          <w:sz w:val="24"/>
          <w:szCs w:val="24"/>
        </w:rPr>
        <w:t>informations d’ordre général (I) et de la mise en œuvre des dispositions de la Convention par la République du Tchad (II).</w:t>
      </w:r>
    </w:p>
    <w:p w14:paraId="1DD0D3B4" w14:textId="77777777" w:rsidR="00A22920" w:rsidRDefault="00A22920">
      <w:pPr>
        <w:pStyle w:val="SingleTxtG"/>
        <w:spacing w:after="0" w:line="360" w:lineRule="auto"/>
        <w:ind w:left="170" w:right="170"/>
        <w:rPr>
          <w:sz w:val="24"/>
          <w:szCs w:val="24"/>
        </w:rPr>
      </w:pPr>
    </w:p>
    <w:p w14:paraId="6F56646C" w14:textId="77777777" w:rsidR="00A22920" w:rsidRDefault="00A22920">
      <w:pPr>
        <w:pStyle w:val="SingleTxtG"/>
        <w:spacing w:after="0" w:line="360" w:lineRule="auto"/>
        <w:ind w:left="170" w:right="170"/>
        <w:rPr>
          <w:sz w:val="24"/>
          <w:szCs w:val="24"/>
        </w:rPr>
      </w:pPr>
    </w:p>
    <w:p w14:paraId="605780BD" w14:textId="77777777" w:rsidR="00A22920" w:rsidRDefault="00A22920">
      <w:pPr>
        <w:pStyle w:val="SingleTxtG"/>
        <w:spacing w:after="0" w:line="360" w:lineRule="auto"/>
        <w:ind w:left="170" w:right="170"/>
        <w:rPr>
          <w:sz w:val="24"/>
          <w:szCs w:val="24"/>
        </w:rPr>
      </w:pPr>
    </w:p>
    <w:p w14:paraId="17F2B618" w14:textId="77777777" w:rsidR="00A22920" w:rsidRDefault="00A22920">
      <w:pPr>
        <w:pStyle w:val="SingleTxtG"/>
        <w:spacing w:after="0" w:line="360" w:lineRule="auto"/>
        <w:ind w:left="170" w:right="170"/>
        <w:rPr>
          <w:sz w:val="24"/>
          <w:szCs w:val="24"/>
        </w:rPr>
      </w:pPr>
    </w:p>
    <w:p w14:paraId="55406B9E" w14:textId="77777777" w:rsidR="00A22920" w:rsidRDefault="00A22920">
      <w:pPr>
        <w:pStyle w:val="SingleTxtG"/>
        <w:spacing w:after="0" w:line="360" w:lineRule="auto"/>
        <w:ind w:left="170" w:right="170"/>
        <w:rPr>
          <w:sz w:val="24"/>
          <w:szCs w:val="24"/>
        </w:rPr>
      </w:pPr>
    </w:p>
    <w:p w14:paraId="236D6F61" w14:textId="77777777" w:rsidR="00A22920" w:rsidRDefault="00A22920">
      <w:pPr>
        <w:pStyle w:val="SingleTxtG"/>
        <w:spacing w:after="0" w:line="360" w:lineRule="auto"/>
        <w:ind w:left="170" w:right="170"/>
        <w:rPr>
          <w:sz w:val="24"/>
          <w:szCs w:val="24"/>
        </w:rPr>
      </w:pPr>
    </w:p>
    <w:p w14:paraId="3856B40E" w14:textId="77777777" w:rsidR="00A22920" w:rsidRDefault="00A22920">
      <w:pPr>
        <w:pStyle w:val="SingleTxtG"/>
        <w:spacing w:after="0" w:line="360" w:lineRule="auto"/>
        <w:ind w:left="170" w:right="170"/>
        <w:rPr>
          <w:sz w:val="24"/>
          <w:szCs w:val="24"/>
        </w:rPr>
      </w:pPr>
    </w:p>
    <w:p w14:paraId="7146526D" w14:textId="77777777" w:rsidR="00A22920" w:rsidRDefault="00A22920">
      <w:pPr>
        <w:pStyle w:val="SingleTxtG"/>
        <w:spacing w:after="0" w:line="360" w:lineRule="auto"/>
        <w:ind w:left="170" w:right="170"/>
        <w:rPr>
          <w:sz w:val="24"/>
          <w:szCs w:val="24"/>
        </w:rPr>
      </w:pPr>
    </w:p>
    <w:p w14:paraId="31D51B88" w14:textId="77777777" w:rsidR="00A22920" w:rsidRDefault="00A22920">
      <w:pPr>
        <w:pStyle w:val="SingleTxtG"/>
        <w:spacing w:after="0" w:line="360" w:lineRule="auto"/>
        <w:ind w:left="170" w:right="170"/>
      </w:pPr>
    </w:p>
    <w:p w14:paraId="578DF4AA" w14:textId="77777777" w:rsidR="009C1D22" w:rsidRDefault="000B6C0D">
      <w:pPr>
        <w:pStyle w:val="ListParagraph"/>
        <w:numPr>
          <w:ilvl w:val="0"/>
          <w:numId w:val="1"/>
        </w:numPr>
        <w:spacing w:after="0" w:line="360" w:lineRule="auto"/>
        <w:jc w:val="both"/>
        <w:rPr>
          <w:rFonts w:ascii="Times New Roman" w:hAnsi="Times New Roman"/>
          <w:b/>
        </w:rPr>
      </w:pPr>
      <w:bookmarkStart w:id="4" w:name="_Toc177633275"/>
      <w:r>
        <w:rPr>
          <w:rFonts w:ascii="Times New Roman" w:hAnsi="Times New Roman"/>
          <w:b/>
        </w:rPr>
        <w:lastRenderedPageBreak/>
        <w:t>DES GENERALITES</w:t>
      </w:r>
      <w:bookmarkEnd w:id="4"/>
      <w:r>
        <w:rPr>
          <w:rFonts w:ascii="Times New Roman" w:hAnsi="Times New Roman"/>
          <w:b/>
        </w:rPr>
        <w:t xml:space="preserve"> </w:t>
      </w:r>
    </w:p>
    <w:p w14:paraId="7BF009CD" w14:textId="77777777" w:rsidR="009C1D22" w:rsidRDefault="000B6C0D">
      <w:pPr>
        <w:spacing w:after="0" w:line="360" w:lineRule="auto"/>
        <w:jc w:val="both"/>
      </w:pPr>
      <w:r>
        <w:rPr>
          <w:rFonts w:ascii="Times New Roman" w:hAnsi="Times New Roman"/>
          <w:b/>
        </w:rPr>
        <w:t>5.</w:t>
      </w:r>
      <w:r>
        <w:rPr>
          <w:rFonts w:ascii="Times New Roman" w:hAnsi="Times New Roman"/>
        </w:rPr>
        <w:t xml:space="preserve"> </w:t>
      </w:r>
      <w:r>
        <w:rPr>
          <w:rFonts w:ascii="Times New Roman" w:hAnsi="Times New Roman"/>
          <w:lang w:val="fr-CA"/>
        </w:rPr>
        <w:t xml:space="preserve">À la suite du décès du Président du Tchad en 2021, le Parlement a été dissous et un Conseil militaire de transition a été mis en place pour une période transitoire. Après la mise en place du Dialogue National Inclusif et Souverain (DNIS) dont les recommandations et les résolutions ont débouché sur l’organisation d’un Referendum constitutionnel et les élections présidentielle du 06 Mai 2024.   A l'issue desquelles les résultats définitifs ont été annoncés, donnant </w:t>
      </w:r>
      <w:r>
        <w:rPr>
          <w:rFonts w:ascii="Times New Roman" w:hAnsi="Times New Roman"/>
          <w:b/>
          <w:lang w:val="fr-CA"/>
        </w:rPr>
        <w:t>MAHAHMAT IDRISS DÉBY ITNO</w:t>
      </w:r>
      <w:r>
        <w:rPr>
          <w:rFonts w:ascii="Times New Roman" w:hAnsi="Times New Roman"/>
          <w:lang w:val="fr-CA"/>
        </w:rPr>
        <w:t xml:space="preserve"> vainqueur. </w:t>
      </w:r>
    </w:p>
    <w:p w14:paraId="42B4FAD4" w14:textId="77777777" w:rsidR="009C1D22" w:rsidRDefault="000B6C0D">
      <w:pPr>
        <w:pStyle w:val="ListParagraph"/>
        <w:numPr>
          <w:ilvl w:val="0"/>
          <w:numId w:val="2"/>
        </w:numPr>
        <w:spacing w:after="0" w:line="360" w:lineRule="auto"/>
        <w:jc w:val="both"/>
      </w:pPr>
      <w:r>
        <w:rPr>
          <w:rFonts w:ascii="Times New Roman" w:hAnsi="Times New Roman"/>
          <w:lang w:val="fr-CA"/>
        </w:rPr>
        <w:t>Situé au cœur de l’Afrique, le Tchad dont la population est estimée à environ 17 millions d’habitants vivant sur un territoire de 1 284 000km², est placé à la 189ème position sur 193 pays en matière d’indices de développement humain. Il possède un des indices de développement humain parmi les plus faibles au monde et fait face à de nombreux défis sociaux, en plus des problèmes sécuritaires</w:t>
      </w:r>
      <w:r>
        <w:rPr>
          <w:rStyle w:val="FootnoteReference"/>
          <w:rFonts w:ascii="Times New Roman" w:hAnsi="Times New Roman"/>
          <w:lang w:val="fr-CA"/>
        </w:rPr>
        <w:footnoteReference w:id="1"/>
      </w:r>
      <w:r>
        <w:rPr>
          <w:rFonts w:ascii="Times New Roman" w:hAnsi="Times New Roman"/>
          <w:lang w:val="fr-CA"/>
        </w:rPr>
        <w:t>. Sans accès à la mer, ce pays enclavé est à la croisée des chemins entre l’Afrique subsaharienne et l’Afrique du Nord, d’une part et le Sahara et le Sahel d’autre part.</w:t>
      </w:r>
    </w:p>
    <w:p w14:paraId="2C6EDA2B" w14:textId="77777777" w:rsidR="009C1D22" w:rsidRDefault="000B6C0D">
      <w:pPr>
        <w:pStyle w:val="ListParagraph"/>
        <w:numPr>
          <w:ilvl w:val="0"/>
          <w:numId w:val="2"/>
        </w:numPr>
        <w:spacing w:after="0" w:line="360" w:lineRule="auto"/>
        <w:jc w:val="both"/>
      </w:pPr>
      <w:r>
        <w:rPr>
          <w:rFonts w:ascii="Times New Roman" w:eastAsia="Century Gothic" w:hAnsi="Times New Roman"/>
        </w:rPr>
        <w:t xml:space="preserve">La République du Tchad, </w:t>
      </w:r>
      <w:r>
        <w:rPr>
          <w:rFonts w:ascii="Times New Roman" w:hAnsi="Times New Roman"/>
        </w:rPr>
        <w:t xml:space="preserve">par sa position géographique accueille sur son territoire un nombre important de migrants car, il a été pendant </w:t>
      </w:r>
      <w:r>
        <w:rPr>
          <w:rFonts w:ascii="Times New Roman" w:eastAsia="Century Gothic" w:hAnsi="Times New Roman"/>
        </w:rPr>
        <w:t xml:space="preserve">longtemps l’épicentre des grandes migrations économiques. De nombreux marchands venant du Proche et Moyen Orient ont fait du Tchad une plaque tournante des échanges commerciaux. </w:t>
      </w:r>
      <w:r>
        <w:rPr>
          <w:rFonts w:ascii="Times New Roman" w:hAnsi="Times New Roman"/>
          <w:bCs/>
        </w:rPr>
        <w:t>De nos jours, les mouvements d’émigration et d’immigration entre le Tchad et ses pays frontaliers</w:t>
      </w:r>
      <w:r>
        <w:rPr>
          <w:rStyle w:val="FootnoteReference"/>
          <w:rFonts w:ascii="Times New Roman" w:hAnsi="Times New Roman"/>
          <w:bCs/>
        </w:rPr>
        <w:footnoteReference w:id="2"/>
      </w:r>
      <w:r>
        <w:rPr>
          <w:rFonts w:ascii="Times New Roman" w:hAnsi="Times New Roman"/>
          <w:bCs/>
        </w:rPr>
        <w:t xml:space="preserve">sont la base ou le pilier des dynamiques migratoires du Tchad. Le Tchad est considéré comme un pays d’émigration, d’immigration et de transit constituant des enjeux politiques, économiques, sociaux importants et des opportunités à considérer pour la recherche du travail. </w:t>
      </w:r>
    </w:p>
    <w:p w14:paraId="293EC317" w14:textId="77777777" w:rsidR="009C1D22" w:rsidRDefault="000B6C0D">
      <w:pPr>
        <w:pStyle w:val="ListParagraph"/>
        <w:numPr>
          <w:ilvl w:val="0"/>
          <w:numId w:val="2"/>
        </w:numPr>
        <w:spacing w:after="0" w:line="360" w:lineRule="auto"/>
        <w:jc w:val="both"/>
      </w:pPr>
      <w:r>
        <w:rPr>
          <w:rFonts w:ascii="Times New Roman" w:hAnsi="Times New Roman"/>
          <w:bCs/>
        </w:rPr>
        <w:t xml:space="preserve">Les frontières poreuses du Tchad ouvrent le passage aux différentes catégories des travailleurs migrants. </w:t>
      </w:r>
      <w:r>
        <w:rPr>
          <w:rFonts w:ascii="Times New Roman" w:eastAsia="Century Gothic" w:hAnsi="Times New Roman"/>
        </w:rPr>
        <w:t>Aujourd’hui, la majorité des migrants installés ou en transit au Tchad est motivé par des raisons économiques. Cette réalité peut mieux être appréciée à la lumière des données de l’OIM</w:t>
      </w:r>
      <w:r>
        <w:rPr>
          <w:rStyle w:val="FootnoteReference"/>
          <w:rFonts w:ascii="Times New Roman" w:eastAsia="Century Gothic" w:hAnsi="Times New Roman"/>
        </w:rPr>
        <w:footnoteReference w:id="3"/>
      </w:r>
      <w:r>
        <w:rPr>
          <w:rFonts w:ascii="Times New Roman" w:eastAsia="Century Gothic" w:hAnsi="Times New Roman"/>
        </w:rPr>
        <w:t xml:space="preserve"> qui relève dans son rapport trimestriel (mars, 2023) que « </w:t>
      </w:r>
      <w:r>
        <w:rPr>
          <w:rFonts w:ascii="Times New Roman" w:eastAsia="Century Gothic" w:hAnsi="Times New Roman"/>
          <w:b/>
          <w:i/>
        </w:rPr>
        <w:t xml:space="preserve">sur 185 personnes interviewées à </w:t>
      </w:r>
      <w:proofErr w:type="spellStart"/>
      <w:r>
        <w:rPr>
          <w:rFonts w:ascii="Times New Roman" w:eastAsia="Century Gothic" w:hAnsi="Times New Roman"/>
          <w:b/>
          <w:i/>
        </w:rPr>
        <w:t>Faya</w:t>
      </w:r>
      <w:proofErr w:type="spellEnd"/>
      <w:r>
        <w:rPr>
          <w:rFonts w:ascii="Times New Roman" w:eastAsia="Century Gothic" w:hAnsi="Times New Roman"/>
          <w:b/>
          <w:i/>
        </w:rPr>
        <w:t xml:space="preserve"> (nord du Tchad), 60% avancent des raisons économiques pour justifier leurs voyages</w:t>
      </w:r>
      <w:r>
        <w:rPr>
          <w:rFonts w:ascii="Times New Roman" w:eastAsia="Century Gothic" w:hAnsi="Times New Roman"/>
        </w:rPr>
        <w:t> ».</w:t>
      </w:r>
    </w:p>
    <w:p w14:paraId="0F5274AD" w14:textId="77777777" w:rsidR="009C1D22" w:rsidRDefault="000B6C0D">
      <w:pPr>
        <w:pStyle w:val="ListParagraph"/>
        <w:numPr>
          <w:ilvl w:val="0"/>
          <w:numId w:val="2"/>
        </w:numPr>
        <w:spacing w:after="0" w:line="360" w:lineRule="auto"/>
        <w:jc w:val="both"/>
      </w:pPr>
      <w:r>
        <w:rPr>
          <w:rFonts w:ascii="Times New Roman" w:hAnsi="Times New Roman"/>
        </w:rPr>
        <w:lastRenderedPageBreak/>
        <w:t>En se référant aux données du HCR-2023</w:t>
      </w:r>
      <w:r>
        <w:rPr>
          <w:rFonts w:ascii="Times New Roman" w:hAnsi="Times New Roman"/>
          <w:vertAlign w:val="superscript"/>
        </w:rPr>
        <w:footnoteReference w:id="4"/>
      </w:r>
      <w:r>
        <w:rPr>
          <w:rFonts w:ascii="Times New Roman" w:hAnsi="Times New Roman"/>
        </w:rPr>
        <w:t xml:space="preserve">, le Tchad a accueilli plus de </w:t>
      </w:r>
      <w:r>
        <w:rPr>
          <w:rFonts w:ascii="Times New Roman" w:hAnsi="Times New Roman"/>
          <w:b/>
        </w:rPr>
        <w:t>722 577</w:t>
      </w:r>
      <w:r>
        <w:rPr>
          <w:rFonts w:ascii="Times New Roman" w:hAnsi="Times New Roman"/>
        </w:rPr>
        <w:t xml:space="preserve"> Soudanais (23 juillet. 2023), </w:t>
      </w:r>
      <w:r>
        <w:rPr>
          <w:rFonts w:ascii="Times New Roman" w:hAnsi="Times New Roman"/>
          <w:b/>
        </w:rPr>
        <w:t xml:space="preserve">128 060 </w:t>
      </w:r>
      <w:r>
        <w:rPr>
          <w:rFonts w:ascii="Times New Roman" w:hAnsi="Times New Roman"/>
        </w:rPr>
        <w:t xml:space="preserve">Centrafricains, </w:t>
      </w:r>
      <w:r>
        <w:rPr>
          <w:rFonts w:ascii="Times New Roman" w:hAnsi="Times New Roman"/>
          <w:b/>
        </w:rPr>
        <w:t xml:space="preserve">26 619 </w:t>
      </w:r>
      <w:r>
        <w:rPr>
          <w:rFonts w:ascii="Times New Roman" w:hAnsi="Times New Roman"/>
        </w:rPr>
        <w:t xml:space="preserve">Camerounais, </w:t>
      </w:r>
      <w:r>
        <w:rPr>
          <w:rFonts w:ascii="Times New Roman" w:hAnsi="Times New Roman"/>
          <w:b/>
        </w:rPr>
        <w:t xml:space="preserve">21 053 </w:t>
      </w:r>
      <w:r>
        <w:rPr>
          <w:rFonts w:ascii="Times New Roman" w:hAnsi="Times New Roman"/>
        </w:rPr>
        <w:t xml:space="preserve">Nigérians, </w:t>
      </w:r>
      <w:r>
        <w:rPr>
          <w:rFonts w:ascii="Times New Roman" w:hAnsi="Times New Roman"/>
          <w:b/>
        </w:rPr>
        <w:t>267 migrants de la</w:t>
      </w:r>
      <w:r>
        <w:rPr>
          <w:rFonts w:ascii="Times New Roman" w:hAnsi="Times New Roman"/>
        </w:rPr>
        <w:t xml:space="preserve"> République Démocratique du Congo et </w:t>
      </w:r>
      <w:r>
        <w:rPr>
          <w:rFonts w:ascii="Times New Roman" w:hAnsi="Times New Roman"/>
          <w:b/>
        </w:rPr>
        <w:t>1110</w:t>
      </w:r>
      <w:r>
        <w:rPr>
          <w:rFonts w:ascii="Times New Roman" w:hAnsi="Times New Roman"/>
        </w:rPr>
        <w:t xml:space="preserve"> autres nationalités, </w:t>
      </w:r>
      <w:r>
        <w:rPr>
          <w:rFonts w:ascii="Times New Roman" w:hAnsi="Times New Roman"/>
          <w:b/>
        </w:rPr>
        <w:t>23 901</w:t>
      </w:r>
      <w:r>
        <w:rPr>
          <w:rFonts w:ascii="Times New Roman" w:hAnsi="Times New Roman"/>
        </w:rPr>
        <w:t xml:space="preserve"> Retournés (Lac) et </w:t>
      </w:r>
      <w:r>
        <w:rPr>
          <w:rFonts w:ascii="Times New Roman" w:hAnsi="Times New Roman"/>
          <w:b/>
        </w:rPr>
        <w:t>5 398</w:t>
      </w:r>
      <w:r>
        <w:rPr>
          <w:rFonts w:ascii="Times New Roman" w:hAnsi="Times New Roman"/>
        </w:rPr>
        <w:t xml:space="preserve"> demandeurs d'asile (30 juin 2023)</w:t>
      </w:r>
      <w:r>
        <w:rPr>
          <w:rStyle w:val="FootnoteReference"/>
          <w:rFonts w:ascii="Times New Roman" w:hAnsi="Times New Roman"/>
        </w:rPr>
        <w:footnoteReference w:id="5"/>
      </w:r>
      <w:r>
        <w:rPr>
          <w:rFonts w:ascii="Times New Roman" w:hAnsi="Times New Roman"/>
        </w:rPr>
        <w:t xml:space="preserve">. </w:t>
      </w:r>
    </w:p>
    <w:p w14:paraId="219F240A" w14:textId="77777777" w:rsidR="009C1D22" w:rsidRDefault="000B6C0D">
      <w:pPr>
        <w:pStyle w:val="ListParagraph"/>
        <w:numPr>
          <w:ilvl w:val="0"/>
          <w:numId w:val="2"/>
        </w:numPr>
        <w:spacing w:after="0" w:line="360" w:lineRule="auto"/>
        <w:jc w:val="both"/>
      </w:pPr>
      <w:r>
        <w:rPr>
          <w:rFonts w:ascii="Times New Roman" w:hAnsi="Times New Roman"/>
        </w:rPr>
        <w:t>Comparativement aux données de 2023, le Tchad accueille aujourd’hui sur son territoire des milliers des personnes réfugiées, demandeurs d’asiles, déplacée internes et retournées. Selon le rapport du HCR du 21 juin 2024, la situation se présente comme suit : 1 260 269 réfugiés et demandeurs d’asile au 31 mai 2024, 1 608 715 nouveaux réfugiés soudanais au 14 juin 2024, 2 219 393 personnes déplacées internes dans la Province du Lac 3 272 046 retournés tchadiens.</w:t>
      </w:r>
    </w:p>
    <w:p w14:paraId="71364B4D" w14:textId="77777777" w:rsidR="009C1D22" w:rsidRDefault="000B6C0D">
      <w:pPr>
        <w:pStyle w:val="ListParagraph"/>
        <w:numPr>
          <w:ilvl w:val="0"/>
          <w:numId w:val="2"/>
        </w:numPr>
        <w:spacing w:after="0" w:line="360" w:lineRule="auto"/>
        <w:jc w:val="both"/>
      </w:pPr>
      <w:r>
        <w:rPr>
          <w:rFonts w:ascii="Times New Roman" w:hAnsi="Times New Roman"/>
        </w:rPr>
        <w:t>Sur le plan climatique, le Tchad présente trois principales zones qui influencent les activités socioéconomiques.</w:t>
      </w:r>
    </w:p>
    <w:p w14:paraId="4AF3C79A" w14:textId="77777777" w:rsidR="009C1D22" w:rsidRDefault="000B6C0D">
      <w:pPr>
        <w:pStyle w:val="ListParagraph"/>
        <w:numPr>
          <w:ilvl w:val="0"/>
          <w:numId w:val="2"/>
        </w:numPr>
        <w:spacing w:after="0" w:line="360" w:lineRule="auto"/>
        <w:jc w:val="both"/>
      </w:pPr>
      <w:r>
        <w:rPr>
          <w:rFonts w:ascii="Times New Roman" w:eastAsia="Times New Roman" w:hAnsi="Times New Roman"/>
        </w:rPr>
        <w:t>La zone saharienne au nord du pays qui couvre 780 000 km</w:t>
      </w:r>
      <w:r>
        <w:rPr>
          <w:rFonts w:ascii="Times New Roman" w:eastAsia="Times New Roman" w:hAnsi="Times New Roman"/>
          <w:vertAlign w:val="superscript"/>
        </w:rPr>
        <w:t>2</w:t>
      </w:r>
      <w:r>
        <w:rPr>
          <w:rFonts w:ascii="Times New Roman" w:eastAsia="Times New Roman" w:hAnsi="Times New Roman"/>
        </w:rPr>
        <w:t xml:space="preserve"> avec une pluviométrie pratiquement nulle, est caractérisée par la quasi permanence des vents desséchants et de hautes températures diurnes. Dans cette zone de palmiers dattiers et d’élevage des camelins, l’agriculture se pratiquent autour des points d’eau (oasis).</w:t>
      </w:r>
    </w:p>
    <w:p w14:paraId="053D37E4" w14:textId="77777777" w:rsidR="009C1D22" w:rsidRDefault="000B6C0D">
      <w:pPr>
        <w:pStyle w:val="ListParagraph"/>
        <w:numPr>
          <w:ilvl w:val="0"/>
          <w:numId w:val="2"/>
        </w:numPr>
        <w:spacing w:after="0" w:line="360" w:lineRule="auto"/>
        <w:jc w:val="both"/>
      </w:pPr>
      <w:r>
        <w:rPr>
          <w:rFonts w:ascii="Times New Roman" w:eastAsia="Times New Roman" w:hAnsi="Times New Roman"/>
        </w:rPr>
        <w:t>La zone sahélienne au centre qui couvre 374 000 km</w:t>
      </w:r>
      <w:r>
        <w:rPr>
          <w:rFonts w:ascii="Times New Roman" w:eastAsia="Times New Roman" w:hAnsi="Times New Roman"/>
          <w:vertAlign w:val="superscript"/>
        </w:rPr>
        <w:t>2</w:t>
      </w:r>
      <w:r>
        <w:rPr>
          <w:rFonts w:ascii="Times New Roman" w:eastAsia="Times New Roman" w:hAnsi="Times New Roman"/>
        </w:rPr>
        <w:t xml:space="preserve"> avec des précipitations annuelles variant entre 300mm et 650 mm, bien que confrontée à une insuffisance d’eau, produit de la gomme arabique, des céréales (mil, sorgho, maïs…), des oléagineux (arachides, sésame...) quelques plantes tuberculeuses (patates douces, manioc), les cultures maraîchères sont en croissance exponentielle et on y pratique un élevage extensif des bovins et de petits ruminants.</w:t>
      </w:r>
    </w:p>
    <w:p w14:paraId="1895CA3F" w14:textId="77777777" w:rsidR="009C1D22" w:rsidRDefault="000B6C0D">
      <w:pPr>
        <w:pStyle w:val="ListParagraph"/>
        <w:numPr>
          <w:ilvl w:val="0"/>
          <w:numId w:val="2"/>
        </w:numPr>
        <w:spacing w:after="0" w:line="360" w:lineRule="auto"/>
        <w:jc w:val="both"/>
      </w:pPr>
      <w:r>
        <w:rPr>
          <w:rFonts w:ascii="Times New Roman" w:eastAsia="Times New Roman" w:hAnsi="Times New Roman"/>
        </w:rPr>
        <w:t>La zone soudanienne au Sud qui couvre 130 000 km</w:t>
      </w:r>
      <w:r>
        <w:rPr>
          <w:rFonts w:ascii="Times New Roman" w:eastAsia="Times New Roman" w:hAnsi="Times New Roman"/>
          <w:vertAlign w:val="superscript"/>
        </w:rPr>
        <w:t>2</w:t>
      </w:r>
      <w:r>
        <w:rPr>
          <w:rFonts w:ascii="Times New Roman" w:eastAsia="Times New Roman" w:hAnsi="Times New Roman"/>
        </w:rPr>
        <w:t>, avec une pluviométrie annuelle variant entre 650 mm et 1200 mm, a un climat de type tropical. On y cultive du coton, des oléagineux et des légumes (arachides, niébé, sésame, voandzou ou pois de terre et plus récemment du soja) des céréales (mil, sorgho, riz) des tubercules (manioc, patate douce, igname, taro) ; les cultures maraichères sont également bien développées ainsi que les cultures de décrue le long des cours d’eaux.</w:t>
      </w:r>
      <w:bookmarkStart w:id="5" w:name="_Toc329352795"/>
    </w:p>
    <w:p w14:paraId="457C9101" w14:textId="77777777" w:rsidR="009C1D22" w:rsidRDefault="000B6C0D">
      <w:pPr>
        <w:pStyle w:val="ListParagraph"/>
        <w:numPr>
          <w:ilvl w:val="0"/>
          <w:numId w:val="2"/>
        </w:numPr>
        <w:spacing w:after="0" w:line="360" w:lineRule="auto"/>
        <w:jc w:val="both"/>
      </w:pPr>
      <w:r>
        <w:rPr>
          <w:rFonts w:ascii="Times New Roman" w:hAnsi="Times New Roman"/>
        </w:rPr>
        <w:t xml:space="preserve">Le Tchad est une sorte de carrefour des migrants venant de l’Ouest, du Centre et de la partie subsaharienne du continent ainsi que des autres pays du Sahel et même ceux de retour de l’Europe et de la Méditerranée. Il est également une zone de transit aussi bien pour les migrants, </w:t>
      </w:r>
      <w:r>
        <w:rPr>
          <w:rFonts w:ascii="Times New Roman" w:hAnsi="Times New Roman"/>
        </w:rPr>
        <w:lastRenderedPageBreak/>
        <w:t xml:space="preserve">les passeurs, les trafiquants que les groupes armés non étatiques.  Du fait de sa position géographique, la richesse de son sous-sol (mines d’or de l’extrême Nord), mais également du contexte sécuritaire qui prévaut au niveau de ses frontières, ce pays est devenu une route migratoire de plus en plus utilisée aussi bien par les migrants que les passeurs et les auteurs de la traite des personnes. Les migrants qui prennent les routes irrégulières encourent le risque des violations de leurs droits humains. </w:t>
      </w:r>
    </w:p>
    <w:p w14:paraId="56D39D17" w14:textId="77777777" w:rsidR="009C1D22" w:rsidRDefault="000B6C0D">
      <w:pPr>
        <w:pStyle w:val="ListParagraph"/>
        <w:numPr>
          <w:ilvl w:val="0"/>
          <w:numId w:val="2"/>
        </w:numPr>
        <w:spacing w:after="0" w:line="360" w:lineRule="auto"/>
        <w:jc w:val="both"/>
      </w:pPr>
      <w:r>
        <w:rPr>
          <w:rFonts w:ascii="Times New Roman" w:hAnsi="Times New Roman"/>
        </w:rPr>
        <w:t>Le Gouvernement, dans son dynamisme de promotion et de protection des Droits de l’Homme a ratifié plusieurs instruments juridiques internationaux y relatifs dont la Convention pour la Protection des Droits de tous les travailleurs migrants et des membres de leur famille au même titre que les nationaux. La seule restriction posée est que ceux-ci se conforment aux lois et règlements de la République (art 16). Il en est de même du droit d'asile, qui permet aux ressortissants étrangers de séjourner sur le territoire national, dans les conditions déterminées par la loi (art 50). Pour que les travailleurs migrants puissent élever décemment et subvenir aux charges du ménage, il est impératif qu'ils travaillent. Et pour travailler ceux-ci doivent être en règle et disposer de documents exigés par la législation de l'État de l'emploi.</w:t>
      </w:r>
    </w:p>
    <w:p w14:paraId="0F3E715F" w14:textId="77777777" w:rsidR="009C1D22" w:rsidRDefault="000B6C0D">
      <w:pPr>
        <w:pStyle w:val="ListParagraph"/>
        <w:numPr>
          <w:ilvl w:val="0"/>
          <w:numId w:val="2"/>
        </w:numPr>
        <w:spacing w:after="0" w:line="360" w:lineRule="auto"/>
        <w:jc w:val="both"/>
      </w:pPr>
      <w:r>
        <w:rPr>
          <w:rFonts w:ascii="Times New Roman" w:hAnsi="Times New Roman"/>
        </w:rPr>
        <w:t xml:space="preserve">Au niveau national il y a eu une avancée. Du fait de ses obligations en matière droits humains découlant de ses engagements internationaux, le Tchad a adapté son cadre juridique national aux standards internationaux. Plus récemment, au début du mois de juillet 2024, un avant-projet de loi contre le trafic illicite de migrants au Tchad a été déposé auprès du ministère de la Justice et des Droits de humains aux termes des consultations effectuées par un consultant auprès des acteurs étatiques et non étatiques en fin juin 2024. </w:t>
      </w:r>
    </w:p>
    <w:p w14:paraId="69900035" w14:textId="77777777" w:rsidR="009C1D22" w:rsidRDefault="000B6C0D">
      <w:pPr>
        <w:pStyle w:val="ListParagraph"/>
        <w:numPr>
          <w:ilvl w:val="0"/>
          <w:numId w:val="2"/>
        </w:numPr>
        <w:spacing w:after="0" w:line="360" w:lineRule="auto"/>
        <w:jc w:val="both"/>
      </w:pPr>
      <w:r>
        <w:rPr>
          <w:rFonts w:ascii="Times New Roman" w:hAnsi="Times New Roman"/>
        </w:rPr>
        <w:t xml:space="preserve">Il faut cependant rappeler que dans l'ordonnancement juridique interne, le Tchad dispose de textes qui malgré leurs insuffisances préservent les droits des travailleurs migrants et leurs familles. Cet arsenal juridique existant et ceux en cours d’adoption viennent renforcer le processus de mise en œuvre des instruments à vocation universelle. Ces dispositions textuelles visent une protection adaptée à la situation des travailleurs migrants et de leurs familles. </w:t>
      </w:r>
    </w:p>
    <w:p w14:paraId="5464E205" w14:textId="77777777" w:rsidR="009C1D22" w:rsidRDefault="000B6C0D">
      <w:pPr>
        <w:pStyle w:val="ListParagraph"/>
        <w:numPr>
          <w:ilvl w:val="0"/>
          <w:numId w:val="2"/>
        </w:numPr>
        <w:spacing w:after="0" w:line="360" w:lineRule="auto"/>
        <w:jc w:val="both"/>
      </w:pPr>
      <w:r>
        <w:rPr>
          <w:rFonts w:ascii="Times New Roman" w:hAnsi="Times New Roman"/>
        </w:rPr>
        <w:t xml:space="preserve">De cette dynamique démocratique, le Tchad se prépare aux élections historiques, du 29 décembre 2024. Cet événement marquera la tenue simultanée d’élections législatives, provinciales et communales, donnant aux citoyens la possibilité de voter pour leurs représentants à tous les niveaux en une seule journée. Ces élections représentent un tournant important dans la transition du Tchad vers la gouvernance démocratique et la décentralisation. Ces représentants élus joueront un rôle déterminant dans la protection de la population, ainsi </w:t>
      </w:r>
      <w:r>
        <w:rPr>
          <w:rFonts w:ascii="Times New Roman" w:hAnsi="Times New Roman"/>
        </w:rPr>
        <w:lastRenderedPageBreak/>
        <w:t xml:space="preserve">que celle des migrants, car ils seront chargés de voter les lois et de superviser l’action gouvernementale. </w:t>
      </w:r>
    </w:p>
    <w:p w14:paraId="3D3FC1D1" w14:textId="77777777" w:rsidR="009C1D22" w:rsidRDefault="000B6C0D">
      <w:pPr>
        <w:pStyle w:val="Heading2"/>
        <w:numPr>
          <w:ilvl w:val="0"/>
          <w:numId w:val="3"/>
        </w:numPr>
        <w:rPr>
          <w:rFonts w:ascii="Times New Roman" w:eastAsia="Times" w:hAnsi="Times New Roman"/>
          <w:b/>
          <w:color w:val="auto"/>
          <w:sz w:val="24"/>
          <w:szCs w:val="24"/>
          <w:lang w:eastAsia="fr-FR"/>
        </w:rPr>
      </w:pPr>
      <w:bookmarkStart w:id="6" w:name="_Toc177633276"/>
      <w:r>
        <w:rPr>
          <w:rFonts w:ascii="Times New Roman" w:eastAsia="Times" w:hAnsi="Times New Roman"/>
          <w:b/>
          <w:color w:val="auto"/>
          <w:sz w:val="24"/>
          <w:szCs w:val="24"/>
          <w:lang w:eastAsia="fr-FR"/>
        </w:rPr>
        <w:t>LE CADRE NORMATIF</w:t>
      </w:r>
      <w:bookmarkEnd w:id="5"/>
      <w:bookmarkEnd w:id="6"/>
      <w:r>
        <w:rPr>
          <w:rFonts w:ascii="Times New Roman" w:eastAsia="Times" w:hAnsi="Times New Roman"/>
          <w:b/>
          <w:color w:val="auto"/>
          <w:sz w:val="24"/>
          <w:szCs w:val="24"/>
          <w:lang w:eastAsia="fr-FR"/>
        </w:rPr>
        <w:t xml:space="preserve"> </w:t>
      </w:r>
    </w:p>
    <w:p w14:paraId="51FB4D42" w14:textId="77777777" w:rsidR="009C1D22" w:rsidRDefault="000B6C0D">
      <w:pPr>
        <w:pStyle w:val="Heading2"/>
        <w:numPr>
          <w:ilvl w:val="0"/>
          <w:numId w:val="2"/>
        </w:numPr>
        <w:jc w:val="both"/>
      </w:pPr>
      <w:r>
        <w:rPr>
          <w:rFonts w:ascii="Times New Roman" w:eastAsia="Times" w:hAnsi="Times New Roman"/>
          <w:color w:val="auto"/>
          <w:sz w:val="24"/>
          <w:szCs w:val="24"/>
          <w:lang w:eastAsia="fr-FR"/>
        </w:rPr>
        <w:t xml:space="preserve">De nombreux efforts sont consentis par le Gouvernement dans le sens d’amélioration du cadre juridique et institutionnel.  Ceux-ci, visent à favoriser la protection des droits énoncés dans la Convention pour la protection de tous les travailleurs migrants et des membres de leur famille. Il s’agit essentiellement des dispositions constitutionnelles, des instruments internationaux et régionaux ratifiés par le Tchad et de la législation nationale qui visent la promotion de ces droits. </w:t>
      </w:r>
      <w:bookmarkStart w:id="7" w:name="_Toc328896664"/>
      <w:bookmarkStart w:id="8" w:name="_Toc328916880"/>
      <w:bookmarkStart w:id="9" w:name="_Toc328919661"/>
      <w:bookmarkStart w:id="10" w:name="_Toc329352796"/>
      <w:bookmarkStart w:id="11" w:name="_Toc129866290"/>
    </w:p>
    <w:p w14:paraId="30CFD11E" w14:textId="77777777" w:rsidR="009C1D22" w:rsidRDefault="000B6C0D">
      <w:pPr>
        <w:pStyle w:val="Heading3"/>
      </w:pPr>
      <w:r>
        <w:rPr>
          <w:rFonts w:ascii="Times New Roman" w:eastAsia="Times" w:hAnsi="Times New Roman"/>
          <w:b/>
          <w:bCs/>
          <w:color w:val="auto"/>
          <w:lang w:eastAsia="fr-FR"/>
        </w:rPr>
        <w:t xml:space="preserve">      </w:t>
      </w:r>
      <w:bookmarkStart w:id="12" w:name="_Toc177633277"/>
      <w:r>
        <w:rPr>
          <w:rFonts w:ascii="Times New Roman" w:eastAsia="Times" w:hAnsi="Times New Roman"/>
          <w:b/>
          <w:bCs/>
          <w:color w:val="auto"/>
          <w:lang w:eastAsia="fr-FR"/>
        </w:rPr>
        <w:t>A. 1. Les dispositions constitutionnelles</w:t>
      </w:r>
      <w:bookmarkEnd w:id="7"/>
      <w:bookmarkEnd w:id="8"/>
      <w:bookmarkEnd w:id="9"/>
      <w:bookmarkEnd w:id="10"/>
      <w:bookmarkEnd w:id="12"/>
      <w:r>
        <w:rPr>
          <w:rFonts w:ascii="Times New Roman" w:eastAsia="Times" w:hAnsi="Times New Roman"/>
          <w:b/>
          <w:bCs/>
          <w:color w:val="auto"/>
          <w:lang w:eastAsia="fr-FR"/>
        </w:rPr>
        <w:t xml:space="preserve"> </w:t>
      </w:r>
      <w:bookmarkEnd w:id="11"/>
    </w:p>
    <w:p w14:paraId="2F963435" w14:textId="77777777" w:rsidR="009C1D22" w:rsidRDefault="000B6C0D">
      <w:pPr>
        <w:pStyle w:val="ListParagraph"/>
        <w:numPr>
          <w:ilvl w:val="0"/>
          <w:numId w:val="2"/>
        </w:numPr>
        <w:spacing w:after="0" w:line="360" w:lineRule="auto"/>
        <w:jc w:val="both"/>
      </w:pPr>
      <w:r>
        <w:rPr>
          <w:rFonts w:ascii="Times New Roman" w:eastAsia="Times" w:hAnsi="Times New Roman"/>
          <w:lang w:eastAsia="fr-FR"/>
        </w:rPr>
        <w:t>De toutes les Constitutions qu’a connues le Tchad, on y constate une évolution significative, notamment en matière de préservation des valeurs inhérentes aux droits humains.</w:t>
      </w:r>
    </w:p>
    <w:p w14:paraId="305D9398" w14:textId="77777777" w:rsidR="009C1D22" w:rsidRDefault="000B6C0D">
      <w:pPr>
        <w:spacing w:after="0" w:line="360" w:lineRule="auto"/>
        <w:ind w:left="567"/>
        <w:jc w:val="both"/>
      </w:pPr>
      <w:r>
        <w:rPr>
          <w:rFonts w:ascii="Times New Roman" w:eastAsia="Times" w:hAnsi="Times New Roman"/>
          <w:lang w:eastAsia="fr-FR"/>
        </w:rPr>
        <w:t>En effet, le</w:t>
      </w:r>
      <w:r>
        <w:rPr>
          <w:rFonts w:ascii="Times New Roman" w:eastAsia="Times" w:hAnsi="Times New Roman"/>
          <w:b/>
          <w:lang w:eastAsia="fr-FR"/>
        </w:rPr>
        <w:t xml:space="preserve"> </w:t>
      </w:r>
      <w:r>
        <w:rPr>
          <w:rFonts w:ascii="Times New Roman" w:eastAsia="Times" w:hAnsi="Times New Roman"/>
          <w:lang w:eastAsia="fr-FR"/>
        </w:rPr>
        <w:t>préambule de la Constitution de la 5</w:t>
      </w:r>
      <w:r>
        <w:rPr>
          <w:rFonts w:ascii="Times New Roman" w:eastAsia="Times" w:hAnsi="Times New Roman"/>
          <w:vertAlign w:val="superscript"/>
          <w:lang w:eastAsia="fr-FR"/>
        </w:rPr>
        <w:t>ème</w:t>
      </w:r>
      <w:r>
        <w:rPr>
          <w:rFonts w:ascii="Times New Roman" w:eastAsia="Times" w:hAnsi="Times New Roman"/>
          <w:lang w:eastAsia="fr-FR"/>
        </w:rPr>
        <w:t xml:space="preserve"> République du 29 décembre2023, énonce sans équivoque les principes universels entre autres :</w:t>
      </w:r>
    </w:p>
    <w:p w14:paraId="10F40CDB" w14:textId="77777777" w:rsidR="009C1D22" w:rsidRDefault="000B6C0D">
      <w:pPr>
        <w:pStyle w:val="ListParagraph"/>
        <w:numPr>
          <w:ilvl w:val="0"/>
          <w:numId w:val="4"/>
        </w:numPr>
        <w:spacing w:after="0" w:line="360" w:lineRule="auto"/>
        <w:jc w:val="both"/>
        <w:rPr>
          <w:rFonts w:ascii="Times New Roman" w:eastAsia="Times" w:hAnsi="Times New Roman"/>
          <w:lang w:eastAsia="fr-FR"/>
        </w:rPr>
      </w:pPr>
      <w:r>
        <w:rPr>
          <w:rFonts w:ascii="Times New Roman" w:eastAsia="Times" w:hAnsi="Times New Roman"/>
          <w:lang w:eastAsia="fr-FR"/>
        </w:rPr>
        <w:t>Les libertés d’expression, de la presse, de réunion et d’association ;</w:t>
      </w:r>
    </w:p>
    <w:p w14:paraId="7D9DF0D7" w14:textId="77777777" w:rsidR="009C1D22" w:rsidRDefault="000B6C0D">
      <w:pPr>
        <w:pStyle w:val="ListParagraph"/>
        <w:numPr>
          <w:ilvl w:val="0"/>
          <w:numId w:val="4"/>
        </w:numPr>
        <w:spacing w:after="0" w:line="360" w:lineRule="auto"/>
        <w:jc w:val="both"/>
        <w:rPr>
          <w:rFonts w:ascii="Times New Roman" w:eastAsia="Times" w:hAnsi="Times New Roman"/>
          <w:lang w:eastAsia="fr-FR"/>
        </w:rPr>
      </w:pPr>
      <w:r>
        <w:rPr>
          <w:rFonts w:ascii="Times New Roman" w:eastAsia="Times" w:hAnsi="Times New Roman"/>
          <w:lang w:eastAsia="fr-FR"/>
        </w:rPr>
        <w:t>La liberté et la sécurité pour chaque individu ;</w:t>
      </w:r>
    </w:p>
    <w:p w14:paraId="2F2D6CA8" w14:textId="77777777" w:rsidR="009C1D22" w:rsidRDefault="000B6C0D">
      <w:pPr>
        <w:pStyle w:val="ListParagraph"/>
        <w:numPr>
          <w:ilvl w:val="0"/>
          <w:numId w:val="4"/>
        </w:numPr>
        <w:spacing w:after="0" w:line="360" w:lineRule="auto"/>
        <w:jc w:val="both"/>
        <w:rPr>
          <w:rFonts w:ascii="Times New Roman" w:eastAsia="Times" w:hAnsi="Times New Roman"/>
          <w:lang w:eastAsia="fr-FR"/>
        </w:rPr>
      </w:pPr>
      <w:r>
        <w:rPr>
          <w:rFonts w:ascii="Times New Roman" w:eastAsia="Times" w:hAnsi="Times New Roman"/>
          <w:lang w:eastAsia="fr-FR"/>
        </w:rPr>
        <w:t>Le droit d’aller et de venir ;</w:t>
      </w:r>
    </w:p>
    <w:p w14:paraId="7CAE28F1" w14:textId="77777777" w:rsidR="009C1D22" w:rsidRDefault="000B6C0D">
      <w:pPr>
        <w:pStyle w:val="ListParagraph"/>
        <w:numPr>
          <w:ilvl w:val="0"/>
          <w:numId w:val="4"/>
        </w:numPr>
        <w:spacing w:after="0" w:line="360" w:lineRule="auto"/>
        <w:jc w:val="both"/>
        <w:rPr>
          <w:rFonts w:ascii="Times New Roman" w:eastAsia="Times" w:hAnsi="Times New Roman"/>
          <w:lang w:eastAsia="fr-FR"/>
        </w:rPr>
      </w:pPr>
      <w:r>
        <w:rPr>
          <w:rFonts w:ascii="Times New Roman" w:eastAsia="Times" w:hAnsi="Times New Roman"/>
          <w:lang w:eastAsia="fr-FR"/>
        </w:rPr>
        <w:t>Les libertés d’opinion, de croyance et de conscience ;</w:t>
      </w:r>
    </w:p>
    <w:p w14:paraId="4065A36E" w14:textId="77777777" w:rsidR="009C1D22" w:rsidRDefault="000B6C0D">
      <w:pPr>
        <w:pStyle w:val="ListParagraph"/>
        <w:numPr>
          <w:ilvl w:val="0"/>
          <w:numId w:val="4"/>
        </w:numPr>
        <w:spacing w:after="0" w:line="360" w:lineRule="auto"/>
        <w:jc w:val="both"/>
        <w:rPr>
          <w:rFonts w:ascii="Times New Roman" w:eastAsia="Times" w:hAnsi="Times New Roman"/>
          <w:lang w:eastAsia="fr-FR"/>
        </w:rPr>
      </w:pPr>
      <w:r>
        <w:rPr>
          <w:rFonts w:ascii="Times New Roman" w:eastAsia="Times" w:hAnsi="Times New Roman"/>
          <w:lang w:eastAsia="fr-FR"/>
        </w:rPr>
        <w:t>La liberté syndicale et le droit de grève.</w:t>
      </w:r>
    </w:p>
    <w:p w14:paraId="163B92CC" w14:textId="77777777" w:rsidR="009C1D22" w:rsidRDefault="000B6C0D">
      <w:pPr>
        <w:pStyle w:val="Heading3"/>
        <w:numPr>
          <w:ilvl w:val="0"/>
          <w:numId w:val="5"/>
        </w:numPr>
        <w:jc w:val="both"/>
        <w:rPr>
          <w:rFonts w:ascii="Times New Roman" w:eastAsia="Times" w:hAnsi="Times New Roman"/>
          <w:b/>
          <w:bCs/>
          <w:color w:val="auto"/>
          <w:lang w:eastAsia="fr-FR"/>
        </w:rPr>
      </w:pPr>
      <w:bookmarkStart w:id="13" w:name="_Toc177633278"/>
      <w:r>
        <w:rPr>
          <w:rFonts w:ascii="Times New Roman" w:eastAsia="Times" w:hAnsi="Times New Roman"/>
          <w:b/>
          <w:bCs/>
          <w:color w:val="auto"/>
          <w:lang w:eastAsia="fr-FR"/>
        </w:rPr>
        <w:t xml:space="preserve">2.  Les Instruments juridiques internationaux et </w:t>
      </w:r>
      <w:bookmarkEnd w:id="13"/>
      <w:r>
        <w:rPr>
          <w:rFonts w:ascii="Times New Roman" w:eastAsia="Times" w:hAnsi="Times New Roman"/>
          <w:b/>
          <w:bCs/>
          <w:color w:val="auto"/>
          <w:lang w:eastAsia="fr-FR"/>
        </w:rPr>
        <w:t>régionaux</w:t>
      </w:r>
    </w:p>
    <w:p w14:paraId="067B5BCD" w14:textId="77777777" w:rsidR="009C1D22" w:rsidRDefault="000B6C0D">
      <w:pPr>
        <w:pStyle w:val="ListParagraph"/>
        <w:numPr>
          <w:ilvl w:val="0"/>
          <w:numId w:val="6"/>
        </w:numPr>
        <w:jc w:val="both"/>
        <w:rPr>
          <w:b/>
          <w:bCs/>
          <w:lang w:eastAsia="fr-FR"/>
        </w:rPr>
      </w:pPr>
      <w:r>
        <w:rPr>
          <w:b/>
          <w:bCs/>
          <w:lang w:eastAsia="fr-FR"/>
        </w:rPr>
        <w:t>Les instruments juridiques internationaux</w:t>
      </w:r>
    </w:p>
    <w:p w14:paraId="457D8A15" w14:textId="77777777" w:rsidR="009C1D22" w:rsidRDefault="000B6C0D">
      <w:pPr>
        <w:pStyle w:val="ListParagraph"/>
        <w:numPr>
          <w:ilvl w:val="0"/>
          <w:numId w:val="2"/>
        </w:numPr>
        <w:jc w:val="both"/>
        <w:rPr>
          <w:rFonts w:ascii="Times New Roman" w:hAnsi="Times New Roman"/>
          <w:bCs/>
          <w:lang w:eastAsia="fr-FR"/>
        </w:rPr>
      </w:pPr>
      <w:r>
        <w:rPr>
          <w:rFonts w:ascii="Times New Roman" w:hAnsi="Times New Roman"/>
          <w:bCs/>
          <w:lang w:eastAsia="fr-FR"/>
        </w:rPr>
        <w:t>Il s’agit de :</w:t>
      </w:r>
    </w:p>
    <w:p w14:paraId="7C2733D2" w14:textId="77777777" w:rsidR="009C1D22" w:rsidRDefault="000B6C0D">
      <w:pPr>
        <w:pStyle w:val="ListParagraph"/>
        <w:numPr>
          <w:ilvl w:val="0"/>
          <w:numId w:val="4"/>
        </w:numPr>
        <w:jc w:val="both"/>
        <w:rPr>
          <w:rFonts w:ascii="Times New Roman" w:eastAsia="Times" w:hAnsi="Times New Roman"/>
          <w:lang w:eastAsia="fr-FR"/>
        </w:rPr>
      </w:pPr>
      <w:r>
        <w:rPr>
          <w:rFonts w:ascii="Times New Roman" w:eastAsia="Times" w:hAnsi="Times New Roman"/>
          <w:lang w:eastAsia="fr-FR"/>
        </w:rPr>
        <w:t>La Convention n°29 de l’OIT sur le travail forcé de 1930 ratifiée le 10 novembre 1960 ;</w:t>
      </w:r>
    </w:p>
    <w:p w14:paraId="06FC0A96" w14:textId="77777777" w:rsidR="009C1D22" w:rsidRDefault="000B6C0D">
      <w:pPr>
        <w:pStyle w:val="ListParagraph"/>
        <w:numPr>
          <w:ilvl w:val="0"/>
          <w:numId w:val="4"/>
        </w:numPr>
        <w:jc w:val="both"/>
        <w:rPr>
          <w:rFonts w:ascii="Times New Roman" w:eastAsia="Times" w:hAnsi="Times New Roman"/>
          <w:lang w:eastAsia="fr-FR"/>
        </w:rPr>
      </w:pPr>
      <w:r>
        <w:rPr>
          <w:rFonts w:ascii="Times New Roman" w:eastAsia="Times" w:hAnsi="Times New Roman"/>
          <w:lang w:eastAsia="fr-FR"/>
        </w:rPr>
        <w:t>La Convention n°105 de l’OIT sur l’abolition du travail forcé de 1957 ratifiée le 8 juin 1961 ;</w:t>
      </w:r>
    </w:p>
    <w:p w14:paraId="0E2EC362" w14:textId="77777777" w:rsidR="009C1D22" w:rsidRDefault="000B6C0D">
      <w:pPr>
        <w:pStyle w:val="ListParagraph"/>
        <w:numPr>
          <w:ilvl w:val="0"/>
          <w:numId w:val="4"/>
        </w:numPr>
        <w:spacing w:after="0" w:line="360" w:lineRule="auto"/>
        <w:jc w:val="both"/>
        <w:rPr>
          <w:rFonts w:ascii="Times New Roman" w:eastAsia="Times" w:hAnsi="Times New Roman"/>
          <w:lang w:eastAsia="fr-FR"/>
        </w:rPr>
      </w:pPr>
      <w:r>
        <w:rPr>
          <w:rFonts w:ascii="Times New Roman" w:eastAsia="Times" w:hAnsi="Times New Roman"/>
          <w:lang w:eastAsia="fr-FR"/>
        </w:rPr>
        <w:t>La Charte des Nations Unies, en 1945 ;</w:t>
      </w:r>
    </w:p>
    <w:p w14:paraId="330A447E" w14:textId="77777777" w:rsidR="009C1D22" w:rsidRDefault="000B6C0D">
      <w:pPr>
        <w:pStyle w:val="ListParagraph"/>
        <w:numPr>
          <w:ilvl w:val="0"/>
          <w:numId w:val="4"/>
        </w:numPr>
        <w:spacing w:after="0" w:line="360" w:lineRule="auto"/>
        <w:jc w:val="both"/>
        <w:rPr>
          <w:rFonts w:ascii="Times New Roman" w:eastAsia="Times" w:hAnsi="Times New Roman"/>
          <w:lang w:eastAsia="fr-FR"/>
        </w:rPr>
      </w:pPr>
      <w:r>
        <w:rPr>
          <w:rFonts w:ascii="Times New Roman" w:eastAsia="Times" w:hAnsi="Times New Roman"/>
          <w:lang w:eastAsia="fr-FR"/>
        </w:rPr>
        <w:t>La Déclaration Universelle de Droits de l’Homme, le 10 décembre 1948 ;</w:t>
      </w:r>
    </w:p>
    <w:p w14:paraId="2BF270F6" w14:textId="77777777" w:rsidR="009C1D22" w:rsidRDefault="000B6C0D">
      <w:pPr>
        <w:pStyle w:val="ListParagraph"/>
        <w:numPr>
          <w:ilvl w:val="0"/>
          <w:numId w:val="4"/>
        </w:numPr>
        <w:jc w:val="both"/>
        <w:rPr>
          <w:rFonts w:ascii="Times New Roman" w:eastAsia="Times" w:hAnsi="Times New Roman"/>
          <w:lang w:eastAsia="fr-FR"/>
        </w:rPr>
      </w:pPr>
      <w:r>
        <w:rPr>
          <w:rFonts w:ascii="Times New Roman" w:eastAsia="Times" w:hAnsi="Times New Roman"/>
          <w:lang w:eastAsia="fr-FR"/>
        </w:rPr>
        <w:t>Le pacte international relatif aux droits économiques, sociaux et culturels (PIDESC) et le Pacte international relatif aux droits civils et politique (PIDCP) ratifiés, le 09/06/1995 ;</w:t>
      </w:r>
    </w:p>
    <w:p w14:paraId="0EE46962" w14:textId="77777777" w:rsidR="009C1D22" w:rsidRDefault="000B6C0D">
      <w:pPr>
        <w:pStyle w:val="ListParagraph"/>
        <w:numPr>
          <w:ilvl w:val="0"/>
          <w:numId w:val="4"/>
        </w:numPr>
        <w:jc w:val="both"/>
        <w:rPr>
          <w:rFonts w:ascii="Times New Roman" w:eastAsia="Times" w:hAnsi="Times New Roman"/>
          <w:lang w:eastAsia="fr-FR"/>
        </w:rPr>
      </w:pPr>
      <w:r>
        <w:rPr>
          <w:rFonts w:ascii="Times New Roman" w:eastAsia="Times" w:hAnsi="Times New Roman"/>
          <w:lang w:eastAsia="fr-FR"/>
        </w:rPr>
        <w:t>La Convention contre la Torture et autres peines ou traitements cruels, inhumains ou dégradants (CCT) ratifiée le 18 juillet 1995 ;</w:t>
      </w:r>
    </w:p>
    <w:p w14:paraId="6BAB8A2C" w14:textId="77777777" w:rsidR="009C1D22" w:rsidRDefault="000B6C0D">
      <w:pPr>
        <w:pStyle w:val="ListParagraph"/>
        <w:numPr>
          <w:ilvl w:val="0"/>
          <w:numId w:val="4"/>
        </w:numPr>
        <w:jc w:val="both"/>
        <w:rPr>
          <w:rFonts w:ascii="Times New Roman" w:eastAsia="Times" w:hAnsi="Times New Roman"/>
          <w:lang w:eastAsia="fr-FR"/>
        </w:rPr>
      </w:pPr>
      <w:r>
        <w:rPr>
          <w:rFonts w:ascii="Times New Roman" w:eastAsia="Times" w:hAnsi="Times New Roman"/>
          <w:lang w:eastAsia="fr-FR"/>
        </w:rPr>
        <w:lastRenderedPageBreak/>
        <w:t xml:space="preserve">La Convention relative à la lutte contre la corruption, ratifiée le 21 mai 2018 ; </w:t>
      </w:r>
    </w:p>
    <w:p w14:paraId="2EE0B551" w14:textId="77777777" w:rsidR="009C1D22" w:rsidRDefault="000B6C0D">
      <w:pPr>
        <w:pStyle w:val="ListParagraph"/>
        <w:numPr>
          <w:ilvl w:val="0"/>
          <w:numId w:val="4"/>
        </w:numPr>
        <w:jc w:val="both"/>
        <w:rPr>
          <w:rFonts w:ascii="Times New Roman" w:eastAsia="Times" w:hAnsi="Times New Roman"/>
          <w:lang w:eastAsia="fr-FR"/>
        </w:rPr>
      </w:pPr>
      <w:r>
        <w:rPr>
          <w:rFonts w:ascii="Times New Roman" w:eastAsia="Times" w:hAnsi="Times New Roman"/>
          <w:lang w:eastAsia="fr-FR"/>
        </w:rPr>
        <w:t>La Convention relative à la Répression du Financement du terrorisme, ratifiée le 22 novembre 2018 ;</w:t>
      </w:r>
    </w:p>
    <w:p w14:paraId="7D98BDA9" w14:textId="77777777" w:rsidR="009C1D22" w:rsidRDefault="000B6C0D">
      <w:pPr>
        <w:pStyle w:val="ListParagraph"/>
        <w:numPr>
          <w:ilvl w:val="0"/>
          <w:numId w:val="4"/>
        </w:numPr>
        <w:spacing w:after="0" w:line="360" w:lineRule="auto"/>
        <w:jc w:val="both"/>
        <w:rPr>
          <w:rFonts w:ascii="Times New Roman" w:eastAsia="Times" w:hAnsi="Times New Roman"/>
          <w:lang w:eastAsia="fr-FR"/>
        </w:rPr>
      </w:pPr>
      <w:r>
        <w:rPr>
          <w:rFonts w:ascii="Times New Roman" w:eastAsia="Times" w:hAnsi="Times New Roman"/>
          <w:lang w:eastAsia="fr-FR"/>
        </w:rPr>
        <w:t>La Convention relative aux Droits des personnes handicapées, ratifiée le 20 juin 2019 ;</w:t>
      </w:r>
    </w:p>
    <w:p w14:paraId="67B10968" w14:textId="77777777" w:rsidR="009C1D22" w:rsidRDefault="000B6C0D">
      <w:pPr>
        <w:pStyle w:val="ListParagraph"/>
        <w:numPr>
          <w:ilvl w:val="0"/>
          <w:numId w:val="4"/>
        </w:numPr>
        <w:jc w:val="both"/>
        <w:rPr>
          <w:rFonts w:ascii="Times New Roman" w:eastAsia="Times" w:hAnsi="Times New Roman"/>
          <w:lang w:eastAsia="fr-FR"/>
        </w:rPr>
      </w:pPr>
      <w:r>
        <w:rPr>
          <w:rFonts w:ascii="Times New Roman" w:eastAsia="Times" w:hAnsi="Times New Roman"/>
          <w:lang w:eastAsia="fr-FR"/>
        </w:rPr>
        <w:t>La Convention n°182 de l’OIT sur les pires formes de travail des enfants de 1999 ratifié le 06 novembre 2000 ;</w:t>
      </w:r>
    </w:p>
    <w:p w14:paraId="0DC2D54B" w14:textId="77777777" w:rsidR="009C1D22" w:rsidRDefault="000B6C0D">
      <w:pPr>
        <w:pStyle w:val="ListParagraph"/>
        <w:numPr>
          <w:ilvl w:val="0"/>
          <w:numId w:val="4"/>
        </w:numPr>
        <w:jc w:val="both"/>
        <w:rPr>
          <w:rFonts w:ascii="Times New Roman" w:eastAsia="Times" w:hAnsi="Times New Roman"/>
          <w:lang w:eastAsia="fr-FR"/>
        </w:rPr>
      </w:pPr>
      <w:r>
        <w:rPr>
          <w:rFonts w:ascii="Times New Roman" w:eastAsia="Times" w:hAnsi="Times New Roman"/>
          <w:lang w:eastAsia="fr-FR"/>
        </w:rPr>
        <w:t>Le Statut de Rome instituant la Cour pénale internationale de 1998 signé le 20 octobre 1999 et ratifié le 1er novembre 2006 ;</w:t>
      </w:r>
    </w:p>
    <w:p w14:paraId="067D510D" w14:textId="77777777" w:rsidR="009C1D22" w:rsidRDefault="000B6C0D">
      <w:pPr>
        <w:pStyle w:val="ListParagraph"/>
        <w:numPr>
          <w:ilvl w:val="0"/>
          <w:numId w:val="4"/>
        </w:numPr>
        <w:jc w:val="both"/>
        <w:rPr>
          <w:rFonts w:ascii="Times New Roman" w:eastAsia="Times" w:hAnsi="Times New Roman"/>
          <w:lang w:eastAsia="fr-FR"/>
        </w:rPr>
      </w:pPr>
      <w:r>
        <w:rPr>
          <w:rFonts w:ascii="Times New Roman" w:eastAsia="Times" w:hAnsi="Times New Roman"/>
          <w:lang w:eastAsia="fr-FR"/>
        </w:rPr>
        <w:t>La Convention des Nations Unies contre la criminalité transnationale organisée (Protocole de Palerme), ratifiée le 27 juillet 2009 ;</w:t>
      </w:r>
    </w:p>
    <w:p w14:paraId="109B190C" w14:textId="77777777" w:rsidR="009C1D22" w:rsidRDefault="000B6C0D">
      <w:pPr>
        <w:pStyle w:val="ListParagraph"/>
        <w:numPr>
          <w:ilvl w:val="0"/>
          <w:numId w:val="4"/>
        </w:numPr>
        <w:jc w:val="both"/>
        <w:rPr>
          <w:rFonts w:ascii="Times New Roman" w:eastAsia="Times" w:hAnsi="Times New Roman"/>
          <w:lang w:eastAsia="fr-FR"/>
        </w:rPr>
      </w:pPr>
      <w:r>
        <w:rPr>
          <w:rFonts w:ascii="Times New Roman" w:eastAsia="Times" w:hAnsi="Times New Roman"/>
          <w:lang w:eastAsia="fr-FR"/>
        </w:rPr>
        <w:t>La Convention de la Haye en matière de coopération et de protection sur l’adoption internationale ratifiée le 07 décembre 2009 ;</w:t>
      </w:r>
    </w:p>
    <w:p w14:paraId="291C931D" w14:textId="77777777" w:rsidR="009C1D22" w:rsidRDefault="000B6C0D">
      <w:pPr>
        <w:pStyle w:val="ListParagraph"/>
        <w:numPr>
          <w:ilvl w:val="0"/>
          <w:numId w:val="4"/>
        </w:numPr>
        <w:spacing w:after="0" w:line="360" w:lineRule="auto"/>
        <w:jc w:val="both"/>
        <w:rPr>
          <w:rFonts w:ascii="Times New Roman" w:eastAsia="Times" w:hAnsi="Times New Roman"/>
          <w:lang w:eastAsia="fr-FR"/>
        </w:rPr>
      </w:pPr>
      <w:r>
        <w:rPr>
          <w:rFonts w:ascii="Times New Roman" w:eastAsia="Times" w:hAnsi="Times New Roman"/>
          <w:lang w:eastAsia="fr-FR"/>
        </w:rPr>
        <w:t xml:space="preserve">La Convention relative aux Droits de tous les travailleurs migrants et des membres de leurs familles, ratifiée le 22 février 2022 ; </w:t>
      </w:r>
    </w:p>
    <w:p w14:paraId="48448A63" w14:textId="77777777" w:rsidR="009C1D22" w:rsidRDefault="000B6C0D">
      <w:pPr>
        <w:pStyle w:val="ListParagraph"/>
        <w:numPr>
          <w:ilvl w:val="0"/>
          <w:numId w:val="7"/>
        </w:numPr>
        <w:spacing w:after="0" w:line="360" w:lineRule="auto"/>
        <w:jc w:val="both"/>
      </w:pPr>
      <w:r>
        <w:rPr>
          <w:rFonts w:ascii="Times New Roman" w:hAnsi="Times New Roman"/>
        </w:rPr>
        <w:t>Le Protocole d’Accord entre le Gouvernement de la République du Tchad et le Système des Nations Unies au Tchad relatif au transfert des Enfants Associés aux Forces ou Groupes Armés du 10 septembre 2014 ;</w:t>
      </w:r>
    </w:p>
    <w:p w14:paraId="087DE36A" w14:textId="77777777" w:rsidR="009C1D22" w:rsidRDefault="000B6C0D">
      <w:pPr>
        <w:pStyle w:val="ListParagraph"/>
        <w:numPr>
          <w:ilvl w:val="0"/>
          <w:numId w:val="7"/>
        </w:numPr>
        <w:spacing w:after="0" w:line="360" w:lineRule="auto"/>
        <w:jc w:val="both"/>
      </w:pPr>
      <w:r>
        <w:rPr>
          <w:rFonts w:ascii="Times New Roman" w:eastAsia="Times" w:hAnsi="Times New Roman"/>
          <w:lang w:eastAsia="fr-FR"/>
        </w:rPr>
        <w:t>Le Protocole d’accord entre le Gouvernement de la République du Tchad et le Système des Nations Unies au Tchad relatif au transfert des enfants associés aux forces ou groupes armés du 10 septembre 2014.</w:t>
      </w:r>
      <w:r>
        <w:rPr>
          <w:rFonts w:ascii="Times New Roman" w:hAnsi="Times New Roman"/>
        </w:rPr>
        <w:t xml:space="preserve"> </w:t>
      </w:r>
    </w:p>
    <w:p w14:paraId="608A1F1D" w14:textId="77777777" w:rsidR="009C1D22" w:rsidRDefault="000B6C0D">
      <w:pPr>
        <w:pStyle w:val="ListParagraph"/>
        <w:numPr>
          <w:ilvl w:val="0"/>
          <w:numId w:val="6"/>
        </w:numPr>
        <w:spacing w:after="0" w:line="360" w:lineRule="auto"/>
        <w:jc w:val="both"/>
        <w:rPr>
          <w:rFonts w:ascii="Times New Roman" w:hAnsi="Times New Roman"/>
          <w:b/>
          <w:bCs/>
          <w:lang w:val="fr-CA"/>
        </w:rPr>
      </w:pPr>
      <w:r>
        <w:rPr>
          <w:rFonts w:ascii="Times New Roman" w:hAnsi="Times New Roman"/>
          <w:b/>
          <w:bCs/>
          <w:lang w:val="fr-CA"/>
        </w:rPr>
        <w:t xml:space="preserve">Les instruments juridiques régionaux </w:t>
      </w:r>
    </w:p>
    <w:p w14:paraId="2DD891EC" w14:textId="77777777" w:rsidR="009C1D22" w:rsidRDefault="000B6C0D">
      <w:pPr>
        <w:pStyle w:val="ListParagraph"/>
        <w:numPr>
          <w:ilvl w:val="0"/>
          <w:numId w:val="2"/>
        </w:numPr>
        <w:spacing w:after="0" w:line="360" w:lineRule="auto"/>
        <w:jc w:val="both"/>
        <w:rPr>
          <w:rFonts w:ascii="Times New Roman" w:hAnsi="Times New Roman"/>
          <w:bCs/>
          <w:lang w:val="fr-CA"/>
        </w:rPr>
      </w:pPr>
      <w:r>
        <w:rPr>
          <w:rFonts w:ascii="Times New Roman" w:hAnsi="Times New Roman"/>
          <w:bCs/>
          <w:lang w:val="fr-CA"/>
        </w:rPr>
        <w:t>Le Tchad a ratifié plusieurs autres instruments juridiques régionaux :</w:t>
      </w:r>
    </w:p>
    <w:p w14:paraId="6862E446" w14:textId="77777777" w:rsidR="009C1D22" w:rsidRDefault="000B6C0D">
      <w:pPr>
        <w:pStyle w:val="ListParagraph"/>
        <w:numPr>
          <w:ilvl w:val="0"/>
          <w:numId w:val="8"/>
        </w:numPr>
        <w:spacing w:after="0" w:line="360" w:lineRule="auto"/>
        <w:jc w:val="both"/>
        <w:rPr>
          <w:rFonts w:ascii="Times New Roman" w:eastAsia="Times" w:hAnsi="Times New Roman"/>
          <w:lang w:eastAsia="fr-FR"/>
        </w:rPr>
      </w:pPr>
      <w:r>
        <w:rPr>
          <w:rFonts w:ascii="Times New Roman" w:eastAsia="Times" w:hAnsi="Times New Roman"/>
          <w:lang w:eastAsia="fr-FR"/>
        </w:rPr>
        <w:t>La Charte Africaine de Droits de l’Homme et des peuples, le 28 juin 1981 à Nairobi ;</w:t>
      </w:r>
    </w:p>
    <w:p w14:paraId="34DC2D98" w14:textId="77777777" w:rsidR="009C1D22" w:rsidRDefault="000B6C0D">
      <w:pPr>
        <w:pStyle w:val="ListParagraph"/>
        <w:numPr>
          <w:ilvl w:val="0"/>
          <w:numId w:val="8"/>
        </w:numPr>
        <w:spacing w:after="0" w:line="360" w:lineRule="auto"/>
        <w:jc w:val="both"/>
        <w:rPr>
          <w:rFonts w:ascii="Times New Roman" w:eastAsia="Times" w:hAnsi="Times New Roman"/>
          <w:lang w:eastAsia="fr-FR"/>
        </w:rPr>
      </w:pPr>
      <w:r>
        <w:rPr>
          <w:rFonts w:ascii="Times New Roman" w:eastAsia="Times" w:hAnsi="Times New Roman"/>
          <w:lang w:eastAsia="fr-FR"/>
        </w:rPr>
        <w:t>Le Protocole relatif à la charte africaine des DHP portant création d’une Cour ADH, adopté le 9 juin 1998 à Ouagadougou et est entré en vigueur le 25 janvier 2004 ;</w:t>
      </w:r>
    </w:p>
    <w:p w14:paraId="7DCDE3BA" w14:textId="77777777" w:rsidR="009C1D22" w:rsidRDefault="000B6C0D">
      <w:pPr>
        <w:pStyle w:val="ListParagraph"/>
        <w:numPr>
          <w:ilvl w:val="0"/>
          <w:numId w:val="8"/>
        </w:numPr>
        <w:spacing w:after="0" w:line="360" w:lineRule="auto"/>
        <w:jc w:val="both"/>
        <w:rPr>
          <w:rFonts w:ascii="Times New Roman" w:eastAsia="Times" w:hAnsi="Times New Roman"/>
          <w:lang w:eastAsia="fr-FR"/>
        </w:rPr>
      </w:pPr>
      <w:r>
        <w:rPr>
          <w:rFonts w:ascii="Times New Roman" w:eastAsia="Times" w:hAnsi="Times New Roman"/>
          <w:lang w:eastAsia="fr-FR"/>
        </w:rPr>
        <w:t>Accord d’extraordinaire entre les Etats membres de la CEMAC, du 28 janvier 2004 ;</w:t>
      </w:r>
    </w:p>
    <w:p w14:paraId="5EA649A9" w14:textId="77777777" w:rsidR="009C1D22" w:rsidRDefault="000B6C0D">
      <w:pPr>
        <w:pStyle w:val="ListParagraph"/>
        <w:numPr>
          <w:ilvl w:val="0"/>
          <w:numId w:val="8"/>
        </w:numPr>
        <w:spacing w:after="0" w:line="360" w:lineRule="auto"/>
        <w:jc w:val="both"/>
        <w:rPr>
          <w:rFonts w:ascii="Times New Roman" w:eastAsia="Times" w:hAnsi="Times New Roman"/>
          <w:lang w:eastAsia="fr-FR"/>
        </w:rPr>
      </w:pPr>
      <w:r>
        <w:rPr>
          <w:rFonts w:ascii="Times New Roman" w:eastAsia="Times" w:hAnsi="Times New Roman"/>
          <w:lang w:eastAsia="fr-FR"/>
        </w:rPr>
        <w:t xml:space="preserve">L’accord multilatéral de coopération régionale de lutte contre la traite des personnes en particulier des femmes et des enfants (CEEAC/CEDEAO), ratifié le 07 juillet 2006 ; </w:t>
      </w:r>
    </w:p>
    <w:p w14:paraId="2C64B23C" w14:textId="77777777" w:rsidR="009C1D22" w:rsidRDefault="000B6C0D">
      <w:pPr>
        <w:pStyle w:val="ListParagraph"/>
        <w:numPr>
          <w:ilvl w:val="0"/>
          <w:numId w:val="8"/>
        </w:numPr>
        <w:jc w:val="both"/>
        <w:rPr>
          <w:rFonts w:ascii="Times New Roman" w:eastAsia="Times" w:hAnsi="Times New Roman"/>
          <w:lang w:eastAsia="fr-FR"/>
        </w:rPr>
      </w:pPr>
      <w:r>
        <w:rPr>
          <w:rFonts w:ascii="Times New Roman" w:eastAsia="Times" w:hAnsi="Times New Roman"/>
          <w:lang w:eastAsia="fr-FR"/>
        </w:rPr>
        <w:t>La Convention africaine sur la prévention et la lutte contre la corruption ratifiée le 03 Mars 2015 ;</w:t>
      </w:r>
    </w:p>
    <w:p w14:paraId="2E167978" w14:textId="77777777" w:rsidR="009C1D22" w:rsidRDefault="000B6C0D">
      <w:pPr>
        <w:pStyle w:val="ListParagraph"/>
        <w:numPr>
          <w:ilvl w:val="0"/>
          <w:numId w:val="8"/>
        </w:numPr>
        <w:jc w:val="both"/>
        <w:rPr>
          <w:rFonts w:ascii="Times New Roman" w:eastAsia="Times" w:hAnsi="Times New Roman"/>
          <w:lang w:eastAsia="fr-FR"/>
        </w:rPr>
      </w:pPr>
      <w:r>
        <w:rPr>
          <w:rFonts w:ascii="Times New Roman" w:eastAsia="Times" w:hAnsi="Times New Roman"/>
          <w:lang w:eastAsia="fr-FR"/>
        </w:rPr>
        <w:t>Le Protocole à la Charte Africaine portant création de la Cour Africaine des Droits de l’Homme et des Peuples ratifié le 27 janvier 2016 ;</w:t>
      </w:r>
    </w:p>
    <w:p w14:paraId="2F3EC9FC" w14:textId="77777777" w:rsidR="009C1D22" w:rsidRDefault="000B6C0D">
      <w:pPr>
        <w:pStyle w:val="ListParagraph"/>
        <w:numPr>
          <w:ilvl w:val="0"/>
          <w:numId w:val="8"/>
        </w:numPr>
        <w:jc w:val="both"/>
        <w:rPr>
          <w:rFonts w:ascii="Times New Roman" w:eastAsia="Times" w:hAnsi="Times New Roman"/>
          <w:lang w:eastAsia="fr-FR"/>
        </w:rPr>
      </w:pPr>
      <w:r>
        <w:rPr>
          <w:rFonts w:ascii="Times New Roman" w:eastAsia="Times" w:hAnsi="Times New Roman"/>
          <w:lang w:eastAsia="fr-FR"/>
        </w:rPr>
        <w:lastRenderedPageBreak/>
        <w:t>Accord de coopération judiciaire tripartite entre la République du Mali, la République du Niger et la République du Tchad, du 09 mai 2017.</w:t>
      </w:r>
    </w:p>
    <w:p w14:paraId="16D796C6" w14:textId="77777777" w:rsidR="009C1D22" w:rsidRDefault="000B6C0D">
      <w:pPr>
        <w:pStyle w:val="Heading3"/>
        <w:numPr>
          <w:ilvl w:val="0"/>
          <w:numId w:val="9"/>
        </w:numPr>
        <w:jc w:val="both"/>
        <w:rPr>
          <w:rFonts w:ascii="Times New Roman" w:eastAsia="Times" w:hAnsi="Times New Roman"/>
          <w:b/>
          <w:bCs/>
          <w:color w:val="auto"/>
          <w:lang w:eastAsia="fr-FR"/>
        </w:rPr>
      </w:pPr>
      <w:bookmarkStart w:id="14" w:name="_Toc177633279"/>
      <w:r>
        <w:rPr>
          <w:rFonts w:ascii="Times New Roman" w:eastAsia="Times" w:hAnsi="Times New Roman"/>
          <w:b/>
          <w:bCs/>
          <w:color w:val="auto"/>
          <w:lang w:eastAsia="fr-FR"/>
        </w:rPr>
        <w:t>3 La législation nationale</w:t>
      </w:r>
      <w:bookmarkEnd w:id="14"/>
      <w:r>
        <w:rPr>
          <w:rFonts w:ascii="Times New Roman" w:eastAsia="Times" w:hAnsi="Times New Roman"/>
          <w:b/>
          <w:bCs/>
          <w:color w:val="auto"/>
          <w:lang w:eastAsia="fr-FR"/>
        </w:rPr>
        <w:t xml:space="preserve"> </w:t>
      </w:r>
    </w:p>
    <w:p w14:paraId="67BFF5AE" w14:textId="77777777" w:rsidR="009C1D22" w:rsidRDefault="000B6C0D">
      <w:pPr>
        <w:pStyle w:val="ListParagraph"/>
        <w:numPr>
          <w:ilvl w:val="0"/>
          <w:numId w:val="2"/>
        </w:numPr>
        <w:rPr>
          <w:rFonts w:ascii="Times New Roman" w:hAnsi="Times New Roman"/>
          <w:lang w:eastAsia="fr-FR"/>
        </w:rPr>
      </w:pPr>
      <w:r>
        <w:rPr>
          <w:rFonts w:ascii="Times New Roman" w:hAnsi="Times New Roman"/>
          <w:lang w:eastAsia="fr-FR"/>
        </w:rPr>
        <w:t>En matière de législation on peut citer entre autres :</w:t>
      </w:r>
    </w:p>
    <w:p w14:paraId="4A41068D" w14:textId="77777777" w:rsidR="009C1D22" w:rsidRDefault="000B6C0D">
      <w:pPr>
        <w:numPr>
          <w:ilvl w:val="0"/>
          <w:numId w:val="10"/>
        </w:numPr>
        <w:spacing w:before="120" w:after="0" w:line="360" w:lineRule="auto"/>
        <w:jc w:val="both"/>
        <w:rPr>
          <w:rFonts w:ascii="Times New Roman" w:hAnsi="Times New Roman"/>
          <w:color w:val="000000"/>
          <w:lang w:val="fr-CA"/>
        </w:rPr>
      </w:pPr>
      <w:bookmarkStart w:id="15" w:name="_Toc328896665"/>
      <w:bookmarkStart w:id="16" w:name="_Toc328916881"/>
      <w:bookmarkStart w:id="17" w:name="_Toc328919662"/>
      <w:bookmarkStart w:id="18" w:name="_Toc329352797"/>
      <w:r>
        <w:rPr>
          <w:rFonts w:ascii="Times New Roman" w:hAnsi="Times New Roman"/>
          <w:color w:val="000000"/>
          <w:lang w:val="fr-CA"/>
        </w:rPr>
        <w:t>La Constitution du 29 décembre 2023 ;</w:t>
      </w:r>
    </w:p>
    <w:p w14:paraId="3BA5301B" w14:textId="77777777" w:rsidR="009C1D22" w:rsidRDefault="000B6C0D">
      <w:pPr>
        <w:numPr>
          <w:ilvl w:val="0"/>
          <w:numId w:val="10"/>
        </w:numPr>
        <w:spacing w:before="120" w:after="0" w:line="360" w:lineRule="auto"/>
        <w:jc w:val="both"/>
      </w:pPr>
      <w:r>
        <w:rPr>
          <w:rFonts w:ascii="Times New Roman" w:eastAsia="Century Gothic" w:hAnsi="Times New Roman"/>
          <w:color w:val="000000"/>
        </w:rPr>
        <w:t>La Loi n°038/PR/96 du 11 décembre 1996, portant Code du Travail ;</w:t>
      </w:r>
    </w:p>
    <w:p w14:paraId="4B335054" w14:textId="77777777" w:rsidR="009C1D22" w:rsidRDefault="000B6C0D">
      <w:pPr>
        <w:numPr>
          <w:ilvl w:val="0"/>
          <w:numId w:val="10"/>
        </w:numPr>
        <w:spacing w:before="120" w:after="0" w:line="360" w:lineRule="auto"/>
        <w:jc w:val="both"/>
      </w:pPr>
      <w:r>
        <w:rPr>
          <w:rFonts w:ascii="Times New Roman" w:eastAsia="Times" w:hAnsi="Times New Roman"/>
          <w:lang w:eastAsia="fr-FR"/>
        </w:rPr>
        <w:t>La loi N°012/PR/2018, portant ratification de l’ordonnance N°006/PR/2018 du 30 Mars 2018, portant lutte contre la traite des personnes en République du Tchad ;</w:t>
      </w:r>
      <w:r>
        <w:rPr>
          <w:rFonts w:ascii="Times New Roman" w:hAnsi="Times New Roman"/>
        </w:rPr>
        <w:t xml:space="preserve"> </w:t>
      </w:r>
    </w:p>
    <w:p w14:paraId="0A9D7C2A" w14:textId="77777777" w:rsidR="009C1D22" w:rsidRDefault="000B6C0D">
      <w:pPr>
        <w:numPr>
          <w:ilvl w:val="0"/>
          <w:numId w:val="11"/>
        </w:numPr>
        <w:spacing w:after="0" w:line="360" w:lineRule="auto"/>
        <w:jc w:val="both"/>
        <w:rPr>
          <w:rFonts w:ascii="Times New Roman" w:eastAsia="Times" w:hAnsi="Times New Roman"/>
          <w:lang w:eastAsia="fr-FR"/>
        </w:rPr>
      </w:pPr>
      <w:r>
        <w:rPr>
          <w:rFonts w:ascii="Times New Roman" w:eastAsia="Times" w:hAnsi="Times New Roman"/>
          <w:lang w:eastAsia="fr-FR"/>
        </w:rPr>
        <w:t>La loi N°008/PR/2020 du 9 juin 2020 portant modification de la Loi N°011/PR/2013 portant Code de l’organisation judiciaire au Tchad ;</w:t>
      </w:r>
    </w:p>
    <w:p w14:paraId="56B0FBF9" w14:textId="77777777" w:rsidR="009C1D22" w:rsidRDefault="000B6C0D">
      <w:pPr>
        <w:pStyle w:val="ListParagraph"/>
        <w:numPr>
          <w:ilvl w:val="0"/>
          <w:numId w:val="11"/>
        </w:numPr>
        <w:jc w:val="both"/>
        <w:rPr>
          <w:rFonts w:ascii="Times New Roman" w:eastAsia="Times" w:hAnsi="Times New Roman"/>
          <w:lang w:eastAsia="fr-FR"/>
        </w:rPr>
      </w:pPr>
      <w:r>
        <w:rPr>
          <w:rFonts w:ascii="Times New Roman" w:eastAsia="Times" w:hAnsi="Times New Roman"/>
          <w:lang w:eastAsia="fr-FR"/>
        </w:rPr>
        <w:t>La loi N° 009/PR/2014 du 10 février 2014 portant lutte contre la criminalité cybernétique ;</w:t>
      </w:r>
    </w:p>
    <w:p w14:paraId="5EBF5972" w14:textId="77777777" w:rsidR="009C1D22" w:rsidRDefault="000B6C0D">
      <w:pPr>
        <w:pStyle w:val="ListParagraph"/>
        <w:numPr>
          <w:ilvl w:val="0"/>
          <w:numId w:val="11"/>
        </w:numPr>
        <w:jc w:val="both"/>
        <w:rPr>
          <w:rFonts w:ascii="Times New Roman" w:eastAsia="Times" w:hAnsi="Times New Roman"/>
          <w:lang w:eastAsia="fr-FR"/>
        </w:rPr>
      </w:pPr>
      <w:r>
        <w:rPr>
          <w:rFonts w:ascii="Times New Roman" w:eastAsia="Times" w:hAnsi="Times New Roman"/>
          <w:lang w:eastAsia="fr-FR"/>
        </w:rPr>
        <w:t>La loi N° 007/PR/2014 du 14 février 2014 portant protection des données à caractère personnel ;</w:t>
      </w:r>
    </w:p>
    <w:p w14:paraId="6DD74A05" w14:textId="77777777" w:rsidR="009C1D22" w:rsidRDefault="000B6C0D">
      <w:pPr>
        <w:pStyle w:val="ListParagraph"/>
        <w:numPr>
          <w:ilvl w:val="0"/>
          <w:numId w:val="11"/>
        </w:numPr>
        <w:jc w:val="both"/>
        <w:rPr>
          <w:rFonts w:ascii="Times New Roman" w:eastAsia="Times" w:hAnsi="Times New Roman"/>
          <w:lang w:eastAsia="fr-FR"/>
        </w:rPr>
      </w:pPr>
      <w:r>
        <w:rPr>
          <w:rFonts w:ascii="Times New Roman" w:eastAsia="Times" w:hAnsi="Times New Roman"/>
          <w:lang w:eastAsia="fr-FR"/>
        </w:rPr>
        <w:t>La loi N° 006/PR/2014 du 10 février 2014 portant création de l’Agence Nationale de Sécurité Informatique et de Certification Electronique (ANSICE) ;</w:t>
      </w:r>
    </w:p>
    <w:p w14:paraId="773F9953" w14:textId="77777777" w:rsidR="009C1D22" w:rsidRDefault="000B6C0D">
      <w:pPr>
        <w:pStyle w:val="ListParagraph"/>
        <w:numPr>
          <w:ilvl w:val="0"/>
          <w:numId w:val="11"/>
        </w:numPr>
        <w:jc w:val="both"/>
        <w:rPr>
          <w:rFonts w:ascii="Times New Roman" w:eastAsia="Times" w:hAnsi="Times New Roman"/>
          <w:lang w:eastAsia="fr-FR"/>
        </w:rPr>
      </w:pPr>
      <w:r>
        <w:rPr>
          <w:rFonts w:ascii="Times New Roman" w:eastAsia="Times" w:hAnsi="Times New Roman"/>
          <w:lang w:eastAsia="fr-FR"/>
        </w:rPr>
        <w:t xml:space="preserve">La loi N°005/PR/2015 du 4 février 2015 portant protection des droits des consommateurs </w:t>
      </w:r>
    </w:p>
    <w:p w14:paraId="5DE9FA90" w14:textId="77777777" w:rsidR="009C1D22" w:rsidRDefault="000B6C0D">
      <w:pPr>
        <w:pStyle w:val="ListParagraph"/>
        <w:numPr>
          <w:ilvl w:val="0"/>
          <w:numId w:val="11"/>
        </w:numPr>
        <w:jc w:val="both"/>
        <w:rPr>
          <w:rFonts w:ascii="Times New Roman" w:eastAsia="Times" w:hAnsi="Times New Roman"/>
          <w:lang w:eastAsia="fr-FR"/>
        </w:rPr>
      </w:pPr>
      <w:r>
        <w:rPr>
          <w:rFonts w:ascii="Times New Roman" w:eastAsia="Times" w:hAnsi="Times New Roman"/>
          <w:lang w:eastAsia="fr-FR"/>
        </w:rPr>
        <w:t>La loi 029/PR/2015 du 21 juillet 2015, portant interdiction du mariage d’enfants en République du Tchad ;</w:t>
      </w:r>
    </w:p>
    <w:p w14:paraId="743E586D" w14:textId="77777777" w:rsidR="009C1D22" w:rsidRDefault="000B6C0D">
      <w:pPr>
        <w:pStyle w:val="ListParagraph"/>
        <w:numPr>
          <w:ilvl w:val="0"/>
          <w:numId w:val="11"/>
        </w:numPr>
        <w:jc w:val="both"/>
        <w:rPr>
          <w:rFonts w:ascii="Times New Roman" w:eastAsia="Times" w:hAnsi="Times New Roman"/>
          <w:lang w:eastAsia="fr-FR"/>
        </w:rPr>
      </w:pPr>
      <w:r>
        <w:rPr>
          <w:rFonts w:ascii="Times New Roman" w:eastAsia="Times" w:hAnsi="Times New Roman"/>
          <w:lang w:eastAsia="fr-FR"/>
        </w:rPr>
        <w:t>La loi N°001/PR/2017 portant Code Pénal du 8 mai 2017 ;</w:t>
      </w:r>
    </w:p>
    <w:p w14:paraId="16D33FF1" w14:textId="77777777" w:rsidR="009C1D22" w:rsidRDefault="000B6C0D">
      <w:pPr>
        <w:pStyle w:val="ListParagraph"/>
        <w:numPr>
          <w:ilvl w:val="0"/>
          <w:numId w:val="11"/>
        </w:numPr>
        <w:jc w:val="both"/>
        <w:rPr>
          <w:rFonts w:ascii="Times New Roman" w:eastAsia="Times" w:hAnsi="Times New Roman"/>
          <w:lang w:eastAsia="fr-FR"/>
        </w:rPr>
      </w:pPr>
      <w:r>
        <w:rPr>
          <w:rFonts w:ascii="Times New Roman" w:eastAsia="Times" w:hAnsi="Times New Roman"/>
          <w:lang w:eastAsia="fr-FR"/>
        </w:rPr>
        <w:t>La loi N° 019/PR/2017 du 28 juillet 2017 portant régime pénitentiaire au Tchad ;</w:t>
      </w:r>
    </w:p>
    <w:p w14:paraId="4148BB38" w14:textId="77777777" w:rsidR="009C1D22" w:rsidRDefault="000B6C0D">
      <w:pPr>
        <w:pStyle w:val="ListParagraph"/>
        <w:jc w:val="both"/>
        <w:rPr>
          <w:rFonts w:ascii="Times New Roman" w:eastAsia="Times" w:hAnsi="Times New Roman"/>
          <w:lang w:eastAsia="fr-FR"/>
        </w:rPr>
      </w:pPr>
      <w:r>
        <w:rPr>
          <w:rFonts w:ascii="Times New Roman" w:eastAsia="Times" w:hAnsi="Times New Roman"/>
          <w:lang w:eastAsia="fr-FR"/>
        </w:rPr>
        <w:t>La loi N°012/PR/2017 portant Code de Procédure Pénal du 14 juillet 2017 ;</w:t>
      </w:r>
    </w:p>
    <w:p w14:paraId="1E4335CD" w14:textId="77777777" w:rsidR="009C1D22" w:rsidRDefault="000B6C0D">
      <w:pPr>
        <w:pStyle w:val="ListParagraph"/>
        <w:numPr>
          <w:ilvl w:val="0"/>
          <w:numId w:val="11"/>
        </w:numPr>
        <w:jc w:val="both"/>
        <w:rPr>
          <w:rFonts w:ascii="Times New Roman" w:eastAsia="Times" w:hAnsi="Times New Roman"/>
          <w:lang w:eastAsia="fr-FR"/>
        </w:rPr>
      </w:pPr>
      <w:r>
        <w:rPr>
          <w:rFonts w:ascii="Times New Roman" w:eastAsia="Times" w:hAnsi="Times New Roman"/>
          <w:lang w:eastAsia="fr-FR"/>
        </w:rPr>
        <w:t>La loi N°028/PR/2018 du 22 novembre 2018, portant attributions, organisation et fonctionnement de la Commission Nationale des Droits de l’Homme ;</w:t>
      </w:r>
    </w:p>
    <w:p w14:paraId="1373C6E0" w14:textId="77777777" w:rsidR="009C1D22" w:rsidRDefault="000B6C0D">
      <w:pPr>
        <w:pStyle w:val="ListParagraph"/>
        <w:numPr>
          <w:ilvl w:val="0"/>
          <w:numId w:val="11"/>
        </w:numPr>
        <w:jc w:val="both"/>
        <w:rPr>
          <w:rFonts w:ascii="Times New Roman" w:eastAsia="Times" w:hAnsi="Times New Roman"/>
          <w:lang w:eastAsia="fr-FR"/>
        </w:rPr>
      </w:pPr>
      <w:r>
        <w:rPr>
          <w:rFonts w:ascii="Times New Roman" w:eastAsia="Times" w:hAnsi="Times New Roman"/>
          <w:lang w:eastAsia="fr-FR"/>
        </w:rPr>
        <w:t>La loi 014/PR/2008 du 10 Juin 2008 portant Régime des Forets des Faunes et des Ressources Halieutiques</w:t>
      </w:r>
    </w:p>
    <w:p w14:paraId="5BA14B33" w14:textId="77777777" w:rsidR="009C1D22" w:rsidRDefault="000B6C0D">
      <w:pPr>
        <w:pStyle w:val="ListParagraph"/>
        <w:numPr>
          <w:ilvl w:val="0"/>
          <w:numId w:val="11"/>
        </w:numPr>
        <w:jc w:val="both"/>
        <w:rPr>
          <w:rFonts w:ascii="Times New Roman" w:eastAsia="Times" w:hAnsi="Times New Roman"/>
          <w:lang w:eastAsia="fr-FR"/>
        </w:rPr>
      </w:pPr>
      <w:r>
        <w:rPr>
          <w:rFonts w:ascii="Times New Roman" w:eastAsia="Times" w:hAnsi="Times New Roman"/>
          <w:lang w:eastAsia="fr-FR"/>
        </w:rPr>
        <w:t>La loi N°019/PR/2018 du 10 janvier 2019, portant ratification de l’Ordonnance N° 043/PR/2018 du 31 aout 2018 portant loi d’orientation agrosylvopastoral et halieutique ;</w:t>
      </w:r>
    </w:p>
    <w:p w14:paraId="55CEDCD6" w14:textId="77777777" w:rsidR="009C1D22" w:rsidRDefault="000B6C0D">
      <w:pPr>
        <w:pStyle w:val="ListParagraph"/>
        <w:numPr>
          <w:ilvl w:val="0"/>
          <w:numId w:val="11"/>
        </w:numPr>
        <w:jc w:val="both"/>
        <w:rPr>
          <w:rFonts w:ascii="Times New Roman" w:eastAsia="Times" w:hAnsi="Times New Roman"/>
          <w:lang w:eastAsia="fr-FR"/>
        </w:rPr>
      </w:pPr>
      <w:r>
        <w:rPr>
          <w:rFonts w:ascii="Times New Roman" w:eastAsia="Times" w:hAnsi="Times New Roman"/>
          <w:lang w:eastAsia="fr-FR"/>
        </w:rPr>
        <w:t>Loi N°06/2020 du 29 Mai 2020 Portant organisation de l’Etat civil au Tchad ratifiant l’Ordonnance 002/PR/2020 du 14 février 2020 portant organisation de l’état civil en République du Tchad ;</w:t>
      </w:r>
    </w:p>
    <w:p w14:paraId="7BFADA80" w14:textId="77777777" w:rsidR="009C1D22" w:rsidRDefault="000B6C0D">
      <w:pPr>
        <w:numPr>
          <w:ilvl w:val="0"/>
          <w:numId w:val="11"/>
        </w:numPr>
        <w:spacing w:after="0" w:line="360" w:lineRule="auto"/>
        <w:jc w:val="both"/>
        <w:rPr>
          <w:rFonts w:ascii="Times New Roman" w:eastAsia="Times" w:hAnsi="Times New Roman"/>
          <w:lang w:eastAsia="fr-FR"/>
        </w:rPr>
      </w:pPr>
      <w:r>
        <w:rPr>
          <w:rFonts w:ascii="Times New Roman" w:eastAsia="Times" w:hAnsi="Times New Roman"/>
          <w:lang w:eastAsia="fr-FR"/>
        </w:rPr>
        <w:lastRenderedPageBreak/>
        <w:t>La loi N° 003/PR/2020 du 20 mai 2020 portant répression des actes de terrorisme en République du Tchad ;</w:t>
      </w:r>
    </w:p>
    <w:p w14:paraId="619D5BC1" w14:textId="77777777" w:rsidR="009C1D22" w:rsidRDefault="000B6C0D">
      <w:pPr>
        <w:pStyle w:val="ListParagraph"/>
        <w:numPr>
          <w:ilvl w:val="0"/>
          <w:numId w:val="11"/>
        </w:numPr>
        <w:jc w:val="both"/>
        <w:rPr>
          <w:rFonts w:ascii="Times New Roman" w:eastAsia="Times" w:hAnsi="Times New Roman"/>
          <w:lang w:eastAsia="fr-FR"/>
        </w:rPr>
      </w:pPr>
      <w:r>
        <w:rPr>
          <w:rFonts w:ascii="Times New Roman" w:eastAsia="Times" w:hAnsi="Times New Roman"/>
          <w:lang w:eastAsia="fr-FR"/>
        </w:rPr>
        <w:t>La loi 017 du 31 Décembre 2001 portant Statut Général de la Fonction Publique ;</w:t>
      </w:r>
    </w:p>
    <w:p w14:paraId="6CD5F3AC" w14:textId="77777777" w:rsidR="009C1D22" w:rsidRDefault="000B6C0D">
      <w:pPr>
        <w:pStyle w:val="ListParagraph"/>
        <w:numPr>
          <w:ilvl w:val="0"/>
          <w:numId w:val="11"/>
        </w:numPr>
        <w:jc w:val="both"/>
        <w:rPr>
          <w:rFonts w:ascii="Times New Roman" w:eastAsia="Times" w:hAnsi="Times New Roman"/>
          <w:lang w:eastAsia="fr-FR"/>
        </w:rPr>
      </w:pPr>
      <w:r>
        <w:rPr>
          <w:rFonts w:ascii="Times New Roman" w:eastAsia="Times" w:hAnsi="Times New Roman"/>
          <w:lang w:eastAsia="fr-FR"/>
        </w:rPr>
        <w:t>La loi N°003/PR/2021 du 09 mars 2021, portant création, organisation et fonctionnement d’un pool judiciaire spécialisé dans la répression des actes de terroristes et des infractions connexes ;</w:t>
      </w:r>
    </w:p>
    <w:p w14:paraId="66F1F149" w14:textId="77777777" w:rsidR="009C1D22" w:rsidRDefault="000B6C0D">
      <w:pPr>
        <w:pStyle w:val="ListParagraph"/>
        <w:numPr>
          <w:ilvl w:val="0"/>
          <w:numId w:val="11"/>
        </w:numPr>
        <w:jc w:val="both"/>
        <w:rPr>
          <w:rFonts w:ascii="Times New Roman" w:eastAsia="Times" w:hAnsi="Times New Roman"/>
          <w:lang w:eastAsia="fr-FR"/>
        </w:rPr>
      </w:pPr>
      <w:r>
        <w:rPr>
          <w:rFonts w:ascii="Times New Roman" w:eastAsia="Times" w:hAnsi="Times New Roman"/>
          <w:lang w:eastAsia="fr-FR"/>
        </w:rPr>
        <w:t>La loi 005/PCMT/2022 du 19 mai 2022, portant code de l’organisation de la justice militaire ;</w:t>
      </w:r>
    </w:p>
    <w:p w14:paraId="6AC27B9F" w14:textId="77777777" w:rsidR="009C1D22" w:rsidRDefault="000B6C0D">
      <w:pPr>
        <w:pStyle w:val="ListParagraph"/>
        <w:numPr>
          <w:ilvl w:val="0"/>
          <w:numId w:val="11"/>
        </w:numPr>
        <w:jc w:val="both"/>
        <w:rPr>
          <w:rFonts w:ascii="Times New Roman" w:eastAsia="Times" w:hAnsi="Times New Roman"/>
          <w:lang w:eastAsia="fr-FR"/>
        </w:rPr>
      </w:pPr>
      <w:r>
        <w:rPr>
          <w:rFonts w:ascii="Times New Roman" w:eastAsia="Times" w:hAnsi="Times New Roman"/>
          <w:lang w:eastAsia="fr-FR"/>
        </w:rPr>
        <w:t>La loi 006/PCMT/2022 du 19 mai 2022, portant code pénal militaire ;</w:t>
      </w:r>
    </w:p>
    <w:p w14:paraId="420D7780" w14:textId="77777777" w:rsidR="009C1D22" w:rsidRDefault="000B6C0D">
      <w:pPr>
        <w:pStyle w:val="Heading3"/>
        <w:numPr>
          <w:ilvl w:val="0"/>
          <w:numId w:val="12"/>
        </w:numPr>
        <w:jc w:val="both"/>
      </w:pPr>
      <w:bookmarkStart w:id="19" w:name="_Toc440880338"/>
      <w:bookmarkStart w:id="20" w:name="_Toc129866291"/>
      <w:bookmarkStart w:id="21" w:name="_Toc177633280"/>
      <w:bookmarkEnd w:id="15"/>
      <w:bookmarkEnd w:id="16"/>
      <w:bookmarkEnd w:id="17"/>
      <w:bookmarkEnd w:id="18"/>
      <w:r>
        <w:rPr>
          <w:rFonts w:ascii="Times New Roman" w:eastAsia="Times" w:hAnsi="Times New Roman"/>
          <w:b/>
          <w:bCs/>
          <w:color w:val="auto"/>
          <w:lang w:eastAsia="fr-FR"/>
        </w:rPr>
        <w:t>4 Les mesures réglementaires</w:t>
      </w:r>
      <w:bookmarkEnd w:id="19"/>
      <w:bookmarkEnd w:id="20"/>
      <w:bookmarkEnd w:id="21"/>
    </w:p>
    <w:p w14:paraId="19AE4331" w14:textId="77777777" w:rsidR="009C1D22" w:rsidRDefault="000B6C0D">
      <w:pPr>
        <w:pStyle w:val="ListParagraph"/>
        <w:numPr>
          <w:ilvl w:val="0"/>
          <w:numId w:val="10"/>
        </w:numPr>
        <w:jc w:val="both"/>
        <w:rPr>
          <w:rFonts w:ascii="Times New Roman" w:hAnsi="Times New Roman"/>
          <w:lang w:val="fr-CA"/>
        </w:rPr>
      </w:pPr>
      <w:r>
        <w:rPr>
          <w:rFonts w:ascii="Times New Roman" w:hAnsi="Times New Roman"/>
          <w:lang w:val="fr-CA"/>
        </w:rPr>
        <w:t xml:space="preserve">L’ordonnance N°023/PR/2018 du 27 juin 2018, portant régime des associations ; </w:t>
      </w:r>
    </w:p>
    <w:p w14:paraId="4D547289" w14:textId="77777777" w:rsidR="009C1D22" w:rsidRDefault="000B6C0D">
      <w:pPr>
        <w:pStyle w:val="ListParagraph"/>
        <w:numPr>
          <w:ilvl w:val="0"/>
          <w:numId w:val="10"/>
        </w:numPr>
        <w:jc w:val="both"/>
        <w:rPr>
          <w:rFonts w:ascii="Times New Roman" w:hAnsi="Times New Roman"/>
          <w:lang w:val="fr-CA"/>
        </w:rPr>
      </w:pPr>
      <w:r>
        <w:rPr>
          <w:rFonts w:ascii="Times New Roman" w:hAnsi="Times New Roman"/>
          <w:lang w:val="fr-CA"/>
        </w:rPr>
        <w:t>L’ordonnance N°018/PR/2018, du 7 juin 2018 portant attributions, organisation et fonctionnement du corps de la police judiciaire ;</w:t>
      </w:r>
    </w:p>
    <w:p w14:paraId="3BBAD367" w14:textId="77777777" w:rsidR="009C1D22" w:rsidRDefault="000B6C0D">
      <w:pPr>
        <w:pStyle w:val="ListParagraph"/>
        <w:numPr>
          <w:ilvl w:val="0"/>
          <w:numId w:val="10"/>
        </w:numPr>
        <w:jc w:val="both"/>
        <w:rPr>
          <w:rFonts w:ascii="Times New Roman" w:hAnsi="Times New Roman"/>
          <w:lang w:val="fr-CA"/>
        </w:rPr>
      </w:pPr>
      <w:r>
        <w:rPr>
          <w:rFonts w:ascii="Times New Roman" w:hAnsi="Times New Roman"/>
          <w:lang w:val="fr-CA"/>
        </w:rPr>
        <w:t>Le décret N°1010/PR/PM/MJDH/2014 du 4 septembre 2014, portant création des juridictions et fixant leur ressort territorial ;</w:t>
      </w:r>
    </w:p>
    <w:p w14:paraId="094CE3E6" w14:textId="77777777" w:rsidR="009C1D22" w:rsidRDefault="000B6C0D">
      <w:pPr>
        <w:pStyle w:val="ListParagraph"/>
        <w:numPr>
          <w:ilvl w:val="0"/>
          <w:numId w:val="10"/>
        </w:numPr>
        <w:jc w:val="both"/>
        <w:rPr>
          <w:rFonts w:ascii="Times New Roman" w:hAnsi="Times New Roman"/>
          <w:lang w:val="fr-CA"/>
        </w:rPr>
      </w:pPr>
      <w:r>
        <w:rPr>
          <w:rFonts w:ascii="Times New Roman" w:hAnsi="Times New Roman"/>
          <w:lang w:val="fr-CA"/>
        </w:rPr>
        <w:t xml:space="preserve">Le décret N°01471/PR//MJCDH/2018 du 01 aout 2018, portant adoption de la politique sectorielle de la justice ; </w:t>
      </w:r>
    </w:p>
    <w:p w14:paraId="65CF9AFC" w14:textId="77777777" w:rsidR="009C1D22" w:rsidRDefault="000B6C0D">
      <w:pPr>
        <w:pStyle w:val="ListParagraph"/>
        <w:numPr>
          <w:ilvl w:val="0"/>
          <w:numId w:val="10"/>
        </w:numPr>
        <w:jc w:val="both"/>
        <w:rPr>
          <w:rFonts w:ascii="Times New Roman" w:hAnsi="Times New Roman"/>
          <w:lang w:val="fr-CA"/>
        </w:rPr>
      </w:pPr>
      <w:r>
        <w:rPr>
          <w:rFonts w:ascii="Times New Roman" w:hAnsi="Times New Roman"/>
          <w:lang w:val="fr-CA"/>
        </w:rPr>
        <w:t>Le décret N°3143/PR/2022 du 7 octobre 2022, fixant les modalités d’application de la loi N°008/PR/2013 du 10 mai 2013 portant État civil en République du Tchad ;</w:t>
      </w:r>
    </w:p>
    <w:p w14:paraId="6879AABC" w14:textId="77777777" w:rsidR="009C1D22" w:rsidRDefault="000B6C0D">
      <w:pPr>
        <w:pStyle w:val="ListParagraph"/>
        <w:numPr>
          <w:ilvl w:val="0"/>
          <w:numId w:val="10"/>
        </w:numPr>
        <w:jc w:val="both"/>
        <w:rPr>
          <w:rFonts w:ascii="Times New Roman" w:hAnsi="Times New Roman"/>
          <w:lang w:val="fr-CA"/>
        </w:rPr>
      </w:pPr>
      <w:r>
        <w:rPr>
          <w:rFonts w:ascii="Times New Roman" w:hAnsi="Times New Roman"/>
          <w:lang w:val="fr-CA"/>
        </w:rPr>
        <w:t xml:space="preserve">Le décret N°2417/PT/2023 du 7 septembre 2023 portant création et attributions de l’Initiative Présidentielle pour l’Éradication de la Mendicité Infantile (IPEMI) au Tchad ; </w:t>
      </w:r>
    </w:p>
    <w:p w14:paraId="1E97CB6F" w14:textId="77777777" w:rsidR="009C1D22" w:rsidRDefault="000B6C0D">
      <w:pPr>
        <w:numPr>
          <w:ilvl w:val="0"/>
          <w:numId w:val="10"/>
        </w:numPr>
        <w:spacing w:before="120" w:after="0" w:line="360" w:lineRule="auto"/>
        <w:jc w:val="both"/>
      </w:pPr>
      <w:r>
        <w:rPr>
          <w:rFonts w:ascii="Times New Roman" w:eastAsia="Times" w:hAnsi="Times New Roman"/>
          <w:bCs/>
          <w:lang w:eastAsia="fr-FR"/>
        </w:rPr>
        <w:t>Le décret N°0128/PR/PM/MSPI/2024 du 23 juillet 2024, fixant les conditions d’admission au séjour des étrangers sur le territoire de la République du Tchad ;</w:t>
      </w:r>
      <w:r>
        <w:rPr>
          <w:rFonts w:ascii="Times New Roman" w:hAnsi="Times New Roman"/>
        </w:rPr>
        <w:t xml:space="preserve"> </w:t>
      </w:r>
    </w:p>
    <w:p w14:paraId="406432B2" w14:textId="77777777" w:rsidR="009C1D22" w:rsidRDefault="000B6C0D">
      <w:pPr>
        <w:pStyle w:val="ListParagraph"/>
        <w:numPr>
          <w:ilvl w:val="0"/>
          <w:numId w:val="10"/>
        </w:numPr>
        <w:jc w:val="both"/>
        <w:rPr>
          <w:rFonts w:ascii="Times New Roman" w:hAnsi="Times New Roman"/>
          <w:lang w:val="fr-CA"/>
        </w:rPr>
      </w:pPr>
      <w:r>
        <w:rPr>
          <w:rFonts w:ascii="Times New Roman" w:hAnsi="Times New Roman"/>
          <w:lang w:val="fr-CA"/>
        </w:rPr>
        <w:t>L’arrêté N°115/PR/PM/MASSNE/SE/SG/DE/2013 du 10 octobre 2013 portant constitution des groupes de travail relatif à la protection de l’enfant ;</w:t>
      </w:r>
    </w:p>
    <w:p w14:paraId="5EF9BA8B" w14:textId="77777777" w:rsidR="009C1D22" w:rsidRDefault="000B6C0D">
      <w:pPr>
        <w:pStyle w:val="ListParagraph"/>
        <w:numPr>
          <w:ilvl w:val="0"/>
          <w:numId w:val="10"/>
        </w:numPr>
        <w:jc w:val="both"/>
        <w:rPr>
          <w:rFonts w:ascii="Times New Roman" w:hAnsi="Times New Roman"/>
          <w:lang w:val="fr-CA"/>
        </w:rPr>
      </w:pPr>
      <w:r>
        <w:rPr>
          <w:rFonts w:ascii="Times New Roman" w:hAnsi="Times New Roman"/>
          <w:lang w:val="fr-CA"/>
        </w:rPr>
        <w:t>L’arrêté N°064/PR/PM/MFFSN/SG/DGASSN/DE/2016 du 05 septembre 2016, portant création des comités de protection de l’enfant dans toutes les régions du Tchad ;</w:t>
      </w:r>
    </w:p>
    <w:p w14:paraId="2D764535" w14:textId="77777777" w:rsidR="009C1D22" w:rsidRDefault="000B6C0D">
      <w:pPr>
        <w:numPr>
          <w:ilvl w:val="0"/>
          <w:numId w:val="13"/>
        </w:numPr>
        <w:spacing w:before="120" w:after="0" w:line="360" w:lineRule="auto"/>
        <w:ind w:hanging="76"/>
        <w:jc w:val="both"/>
        <w:rPr>
          <w:rFonts w:ascii="Times New Roman" w:eastAsia="Times" w:hAnsi="Times New Roman"/>
          <w:lang w:eastAsia="fr-FR"/>
        </w:rPr>
      </w:pPr>
      <w:r>
        <w:rPr>
          <w:rFonts w:ascii="Times New Roman" w:eastAsia="Times" w:hAnsi="Times New Roman"/>
          <w:lang w:eastAsia="fr-FR"/>
        </w:rPr>
        <w:t>L’arrêté N°009/PR/MJCDH/DG/DDH/2019 du 15 janvier 2019, portant modalité de désignation des représentants des associations de défense des droits de l’homme des corps et corporations au sein de la Commission Nationale des Droits de l’Homme ;</w:t>
      </w:r>
    </w:p>
    <w:p w14:paraId="2D49CC82" w14:textId="77777777" w:rsidR="009C1D22" w:rsidRDefault="000B6C0D">
      <w:pPr>
        <w:numPr>
          <w:ilvl w:val="0"/>
          <w:numId w:val="13"/>
        </w:numPr>
        <w:spacing w:before="120" w:after="0" w:line="360" w:lineRule="auto"/>
        <w:ind w:hanging="76"/>
        <w:jc w:val="both"/>
        <w:rPr>
          <w:rFonts w:ascii="Times New Roman" w:eastAsia="Times" w:hAnsi="Times New Roman"/>
          <w:lang w:eastAsia="fr-FR"/>
        </w:rPr>
      </w:pPr>
      <w:r>
        <w:rPr>
          <w:rFonts w:ascii="Times New Roman" w:eastAsia="Times" w:hAnsi="Times New Roman"/>
          <w:lang w:eastAsia="fr-FR"/>
        </w:rPr>
        <w:t>L’arrêté N°060/PR/MJCDH/DG/DDH/2019 du 02 mai 2019, portant création des bureaux d’accès aux droits et à la justice dans les ressorts de Cours d’Appel ;</w:t>
      </w:r>
    </w:p>
    <w:p w14:paraId="0337714B" w14:textId="77777777" w:rsidR="009C1D22" w:rsidRDefault="000B6C0D">
      <w:pPr>
        <w:numPr>
          <w:ilvl w:val="0"/>
          <w:numId w:val="13"/>
        </w:numPr>
        <w:tabs>
          <w:tab w:val="left" w:pos="-2738"/>
        </w:tabs>
        <w:spacing w:before="120" w:after="0" w:line="360" w:lineRule="auto"/>
        <w:ind w:hanging="76"/>
        <w:jc w:val="both"/>
        <w:rPr>
          <w:rFonts w:ascii="Times New Roman" w:eastAsia="Times" w:hAnsi="Times New Roman"/>
          <w:lang w:eastAsia="fr-FR"/>
        </w:rPr>
      </w:pPr>
      <w:r>
        <w:rPr>
          <w:rFonts w:ascii="Times New Roman" w:eastAsia="Times" w:hAnsi="Times New Roman"/>
          <w:lang w:eastAsia="fr-FR"/>
        </w:rPr>
        <w:lastRenderedPageBreak/>
        <w:t>L’arrêté N°22/PR/MFPPESN/DG/DGTASN/DE/2019 du 14 mai 2019, portant mise en place d’une coordination nationale du système de protection de l’enfant au Tchad ;</w:t>
      </w:r>
    </w:p>
    <w:p w14:paraId="01020A77" w14:textId="77777777" w:rsidR="009C1D22" w:rsidRDefault="000B6C0D">
      <w:pPr>
        <w:numPr>
          <w:ilvl w:val="0"/>
          <w:numId w:val="13"/>
        </w:numPr>
        <w:tabs>
          <w:tab w:val="left" w:pos="-2738"/>
        </w:tabs>
        <w:spacing w:before="120" w:after="0" w:line="360" w:lineRule="auto"/>
        <w:ind w:hanging="76"/>
        <w:jc w:val="both"/>
        <w:rPr>
          <w:rFonts w:ascii="Times New Roman" w:eastAsia="Times" w:hAnsi="Times New Roman"/>
          <w:lang w:eastAsia="fr-FR"/>
        </w:rPr>
      </w:pPr>
      <w:r>
        <w:rPr>
          <w:rFonts w:ascii="Times New Roman" w:eastAsia="Times" w:hAnsi="Times New Roman"/>
          <w:lang w:eastAsia="fr-FR"/>
        </w:rPr>
        <w:t xml:space="preserve">La note circulaire N°005/MJ/IG/2013 du 30 octobre 2013 et N° 40/PR/PM/MJDH/SG/2024 du 25 juin 2024 rappelant au respect du délai de la garde à vue par les autorités de police judiciaire et auxiliaires de la justice. </w:t>
      </w:r>
    </w:p>
    <w:p w14:paraId="46581DE5" w14:textId="77777777" w:rsidR="009C1D22" w:rsidRDefault="000B6C0D">
      <w:pPr>
        <w:pStyle w:val="Heading2"/>
      </w:pPr>
      <w:bookmarkStart w:id="22" w:name="_Toc177633281"/>
      <w:r>
        <w:rPr>
          <w:rFonts w:ascii="Times New Roman" w:eastAsia="Times" w:hAnsi="Times New Roman"/>
          <w:b/>
          <w:bCs/>
          <w:color w:val="auto"/>
          <w:lang w:eastAsia="fr-FR"/>
        </w:rPr>
        <w:t>B. LE CADRE INSTITUTIONNEL</w:t>
      </w:r>
      <w:bookmarkEnd w:id="22"/>
    </w:p>
    <w:p w14:paraId="3D7FC08A" w14:textId="77777777" w:rsidR="009C1D22" w:rsidRDefault="000B6C0D">
      <w:pPr>
        <w:spacing w:after="0" w:line="360" w:lineRule="auto"/>
        <w:jc w:val="both"/>
      </w:pPr>
      <w:r>
        <w:rPr>
          <w:rFonts w:ascii="Times New Roman" w:eastAsia="Times" w:hAnsi="Times New Roman"/>
          <w:b/>
          <w:lang w:eastAsia="fr-FR"/>
        </w:rPr>
        <w:t>25.</w:t>
      </w:r>
      <w:r>
        <w:rPr>
          <w:rFonts w:ascii="Times New Roman" w:eastAsia="Times" w:hAnsi="Times New Roman"/>
          <w:lang w:eastAsia="fr-FR"/>
        </w:rPr>
        <w:t xml:space="preserve"> L’ensemble du cadre juridique énuméré ci-haut contribue au renforcement des institutions démocratiques.  </w:t>
      </w:r>
      <w:bookmarkStart w:id="23" w:name="_Toc214870357"/>
    </w:p>
    <w:p w14:paraId="690A3982" w14:textId="77777777" w:rsidR="009C1D22" w:rsidRDefault="000B6C0D">
      <w:pPr>
        <w:pStyle w:val="Heading3"/>
      </w:pPr>
      <w:bookmarkStart w:id="24" w:name="_Toc177633282"/>
      <w:r>
        <w:rPr>
          <w:rFonts w:ascii="Times New Roman" w:eastAsia="Times" w:hAnsi="Times New Roman"/>
          <w:b/>
          <w:color w:val="auto"/>
          <w:lang w:eastAsia="fr-FR"/>
        </w:rPr>
        <w:t xml:space="preserve"> B. 1. Le Pouvoir exécutif</w:t>
      </w:r>
      <w:bookmarkEnd w:id="23"/>
      <w:bookmarkEnd w:id="24"/>
    </w:p>
    <w:p w14:paraId="484D2617" w14:textId="77777777" w:rsidR="009C1D22" w:rsidRDefault="000B6C0D">
      <w:pPr>
        <w:autoSpaceDE w:val="0"/>
        <w:spacing w:after="0" w:line="360" w:lineRule="auto"/>
        <w:jc w:val="both"/>
      </w:pPr>
      <w:r>
        <w:rPr>
          <w:rFonts w:ascii="Times New Roman" w:eastAsia="Times" w:hAnsi="Times New Roman"/>
          <w:b/>
          <w:lang w:eastAsia="fr-FR"/>
        </w:rPr>
        <w:t xml:space="preserve">26. </w:t>
      </w:r>
      <w:r>
        <w:rPr>
          <w:rFonts w:ascii="Times New Roman" w:eastAsia="Times" w:hAnsi="Times New Roman"/>
          <w:lang w:eastAsia="fr-FR"/>
        </w:rPr>
        <w:t xml:space="preserve"> </w:t>
      </w:r>
      <w:r>
        <w:rPr>
          <w:rFonts w:ascii="Times New Roman" w:hAnsi="Times New Roman"/>
        </w:rPr>
        <w:t xml:space="preserve"> Au titre de l’article </w:t>
      </w:r>
      <w:r>
        <w:rPr>
          <w:rFonts w:ascii="Times New Roman" w:hAnsi="Times New Roman"/>
          <w:b/>
        </w:rPr>
        <w:t>65</w:t>
      </w:r>
      <w:r>
        <w:rPr>
          <w:rFonts w:ascii="Times New Roman" w:hAnsi="Times New Roman"/>
        </w:rPr>
        <w:t xml:space="preserve"> de la Constitution de la V</w:t>
      </w:r>
      <w:r>
        <w:rPr>
          <w:rFonts w:ascii="Times New Roman" w:hAnsi="Times New Roman"/>
          <w:vertAlign w:val="superscript"/>
        </w:rPr>
        <w:t>ème</w:t>
      </w:r>
      <w:r>
        <w:rPr>
          <w:rFonts w:ascii="Times New Roman" w:hAnsi="Times New Roman"/>
        </w:rPr>
        <w:t xml:space="preserve"> République, le Pouvoir exécutif est exercé par le Président de la République et le Gouvernement. </w:t>
      </w:r>
    </w:p>
    <w:p w14:paraId="52BB0F7B" w14:textId="77777777" w:rsidR="009C1D22" w:rsidRDefault="000B6C0D">
      <w:pPr>
        <w:pStyle w:val="ListParagraph"/>
        <w:autoSpaceDE w:val="0"/>
        <w:spacing w:after="0" w:line="360" w:lineRule="auto"/>
        <w:ind w:left="0"/>
        <w:jc w:val="both"/>
        <w:rPr>
          <w:rFonts w:ascii="Times New Roman" w:hAnsi="Times New Roman"/>
        </w:rPr>
      </w:pPr>
      <w:r>
        <w:rPr>
          <w:rFonts w:ascii="Times New Roman" w:hAnsi="Times New Roman"/>
        </w:rPr>
        <w:t xml:space="preserve">L’article 66 dispose que « le Chef de l’Etat est le chef de l’Etat. Il incarne l’unité nationale. Il veille au respect de la Constitution. Il assure par son arbitrage, le fonctionnement régulier des pouvoirs publics et la continuité de l’Etat. Il est le garant de l’indépendance, de la souveraineté nationale, de l’intégrité du territoire national et du respect des traités et accords internationaux ». </w:t>
      </w:r>
    </w:p>
    <w:p w14:paraId="6D4DB454" w14:textId="77777777" w:rsidR="009C1D22" w:rsidRDefault="000B6C0D">
      <w:pPr>
        <w:spacing w:after="0" w:line="360" w:lineRule="auto"/>
        <w:jc w:val="both"/>
      </w:pPr>
      <w:r>
        <w:rPr>
          <w:rFonts w:ascii="Times New Roman" w:eastAsia="Times" w:hAnsi="Times New Roman"/>
          <w:b/>
          <w:lang w:eastAsia="fr-FR"/>
        </w:rPr>
        <w:t>27.</w:t>
      </w:r>
      <w:r>
        <w:rPr>
          <w:rFonts w:ascii="Times New Roman" w:eastAsia="Times" w:hAnsi="Times New Roman"/>
          <w:lang w:eastAsia="fr-FR"/>
        </w:rPr>
        <w:t xml:space="preserve"> Le Président de la République, est élu au suffrage universel direct pour un mandat de 5 ans. Il est rééligible une fois pour un mandat consécutif. </w:t>
      </w:r>
      <w:bookmarkStart w:id="25" w:name="_Toc214870358"/>
    </w:p>
    <w:p w14:paraId="590BE1C4" w14:textId="77777777" w:rsidR="009C1D22" w:rsidRDefault="000B6C0D">
      <w:pPr>
        <w:pStyle w:val="Heading3"/>
      </w:pPr>
      <w:bookmarkStart w:id="26" w:name="_Toc177633283"/>
      <w:bookmarkStart w:id="27" w:name="_Toc328896695"/>
      <w:bookmarkStart w:id="28" w:name="_Toc328916911"/>
      <w:bookmarkStart w:id="29" w:name="_Toc328919692"/>
      <w:bookmarkStart w:id="30" w:name="_Toc329352827"/>
      <w:bookmarkStart w:id="31" w:name="_Toc129866292"/>
      <w:r>
        <w:rPr>
          <w:rFonts w:ascii="Times New Roman" w:eastAsia="Times" w:hAnsi="Times New Roman"/>
          <w:b/>
          <w:color w:val="auto"/>
          <w:lang w:eastAsia="fr-FR"/>
        </w:rPr>
        <w:t xml:space="preserve">B. 2. </w:t>
      </w:r>
      <w:r>
        <w:rPr>
          <w:rFonts w:ascii="Times New Roman" w:hAnsi="Times New Roman"/>
          <w:b/>
          <w:color w:val="auto"/>
          <w:lang w:eastAsia="fr-FR"/>
        </w:rPr>
        <w:t>Le Pouvoir législatif</w:t>
      </w:r>
      <w:bookmarkEnd w:id="26"/>
      <w:r>
        <w:rPr>
          <w:rFonts w:ascii="Times New Roman" w:hAnsi="Times New Roman"/>
          <w:b/>
          <w:color w:val="auto"/>
          <w:lang w:eastAsia="fr-FR"/>
        </w:rPr>
        <w:t xml:space="preserve"> </w:t>
      </w:r>
    </w:p>
    <w:p w14:paraId="37E101BB" w14:textId="77777777" w:rsidR="009C1D22" w:rsidRDefault="000B6C0D">
      <w:pPr>
        <w:spacing w:after="0" w:line="360" w:lineRule="auto"/>
        <w:jc w:val="both"/>
      </w:pPr>
      <w:r>
        <w:rPr>
          <w:rFonts w:ascii="Times New Roman" w:eastAsia="Times New Roman" w:hAnsi="Times New Roman"/>
          <w:b/>
          <w:lang w:eastAsia="fr-FR"/>
        </w:rPr>
        <w:t>28</w:t>
      </w:r>
      <w:r>
        <w:rPr>
          <w:rFonts w:ascii="Times New Roman" w:eastAsia="Times New Roman" w:hAnsi="Times New Roman"/>
          <w:lang w:eastAsia="fr-FR"/>
        </w:rPr>
        <w:t xml:space="preserve">. Aux termes des dispositions de l’article 110 de la Constitution, le pouvoir législatif est exercé par un parlement composé de l’Assemblée Nationale et du Senat. </w:t>
      </w:r>
    </w:p>
    <w:p w14:paraId="4E0C417E" w14:textId="77777777" w:rsidR="009C1D22" w:rsidRDefault="000B6C0D">
      <w:pPr>
        <w:spacing w:after="0" w:line="360" w:lineRule="auto"/>
        <w:jc w:val="both"/>
      </w:pPr>
      <w:r>
        <w:rPr>
          <w:rFonts w:ascii="Times New Roman" w:eastAsia="Times New Roman" w:hAnsi="Times New Roman"/>
          <w:lang w:eastAsia="fr-FR"/>
        </w:rPr>
        <w:t>La loi organique N° 013/PR/2024 du 29 juillet 2024, portant composition, régime des inéligibilités, des incompatibilités et indemnités parlementaires en son article 1</w:t>
      </w:r>
      <w:r>
        <w:rPr>
          <w:rFonts w:ascii="Times New Roman" w:eastAsia="Times New Roman" w:hAnsi="Times New Roman"/>
          <w:vertAlign w:val="superscript"/>
          <w:lang w:eastAsia="fr-FR"/>
        </w:rPr>
        <w:t>er</w:t>
      </w:r>
      <w:r>
        <w:rPr>
          <w:rFonts w:ascii="Times New Roman" w:eastAsia="Times New Roman" w:hAnsi="Times New Roman"/>
          <w:lang w:eastAsia="fr-FR"/>
        </w:rPr>
        <w:t xml:space="preserve"> précise que « le nombre des membres du parlement est fixé à 188 députés et 69 Sénateurs ». </w:t>
      </w:r>
    </w:p>
    <w:p w14:paraId="47396174" w14:textId="77777777" w:rsidR="009C1D22" w:rsidRDefault="000B6C0D">
      <w:pPr>
        <w:spacing w:after="0" w:line="360" w:lineRule="auto"/>
        <w:jc w:val="both"/>
      </w:pPr>
      <w:r>
        <w:rPr>
          <w:rFonts w:ascii="Times New Roman" w:eastAsia="Times New Roman" w:hAnsi="Times New Roman"/>
          <w:b/>
          <w:lang w:eastAsia="fr-FR"/>
        </w:rPr>
        <w:t>29</w:t>
      </w:r>
      <w:r>
        <w:rPr>
          <w:rFonts w:ascii="Times New Roman" w:eastAsia="Times New Roman" w:hAnsi="Times New Roman"/>
          <w:lang w:eastAsia="fr-FR"/>
        </w:rPr>
        <w:t xml:space="preserve">. Les députés élus au suffrage universel direct pour un mandat de 5 ans renouvelable votent les lois, contrôlent l’action gouvernementale, évaluent les politiques publiques et contrôlent l’exécution des lois. </w:t>
      </w:r>
    </w:p>
    <w:p w14:paraId="7F5C8171" w14:textId="77777777" w:rsidR="009C1D22" w:rsidRDefault="000B6C0D">
      <w:pPr>
        <w:spacing w:after="0" w:line="360" w:lineRule="auto"/>
        <w:jc w:val="both"/>
      </w:pPr>
      <w:r>
        <w:rPr>
          <w:rFonts w:ascii="Times New Roman" w:eastAsia="Times New Roman" w:hAnsi="Times New Roman"/>
          <w:b/>
          <w:lang w:eastAsia="fr-FR"/>
        </w:rPr>
        <w:t>30</w:t>
      </w:r>
      <w:r>
        <w:rPr>
          <w:rFonts w:ascii="Times New Roman" w:eastAsia="Times New Roman" w:hAnsi="Times New Roman"/>
          <w:lang w:eastAsia="fr-FR"/>
        </w:rPr>
        <w:t>. Le sénat représente les collectivités autonomes dont les 2/3 sont élus au suffrage universel indirect par un collège composé des conseillers municipaux et provinciaux. Le 1/3 des Sénateurs sont nommés par le Président de la République. Ils sont élus pour un mandat de 6 ans renouvelable.</w:t>
      </w:r>
    </w:p>
    <w:p w14:paraId="1ADED83F" w14:textId="77777777" w:rsidR="009C1D22" w:rsidRDefault="000B6C0D">
      <w:pPr>
        <w:pStyle w:val="Heading3"/>
      </w:pPr>
      <w:bookmarkStart w:id="32" w:name="_Toc177633284"/>
      <w:r>
        <w:rPr>
          <w:rFonts w:ascii="Times New Roman" w:hAnsi="Times New Roman"/>
          <w:b/>
          <w:color w:val="auto"/>
          <w:lang w:eastAsia="fr-FR"/>
        </w:rPr>
        <w:lastRenderedPageBreak/>
        <w:t xml:space="preserve">B. 3. Le </w:t>
      </w:r>
      <w:r>
        <w:rPr>
          <w:rFonts w:ascii="Times New Roman" w:eastAsia="Times" w:hAnsi="Times New Roman"/>
          <w:b/>
          <w:bCs/>
          <w:color w:val="auto"/>
          <w:lang w:eastAsia="fr-FR"/>
        </w:rPr>
        <w:t>pouvoir judiciaire</w:t>
      </w:r>
      <w:bookmarkEnd w:id="32"/>
      <w:r>
        <w:rPr>
          <w:rFonts w:ascii="Times New Roman" w:eastAsia="Times" w:hAnsi="Times New Roman"/>
          <w:b/>
          <w:bCs/>
          <w:color w:val="auto"/>
          <w:lang w:eastAsia="fr-FR"/>
        </w:rPr>
        <w:t xml:space="preserve"> </w:t>
      </w:r>
      <w:bookmarkEnd w:id="25"/>
      <w:bookmarkEnd w:id="27"/>
      <w:bookmarkEnd w:id="28"/>
      <w:bookmarkEnd w:id="29"/>
      <w:bookmarkEnd w:id="30"/>
      <w:bookmarkEnd w:id="31"/>
    </w:p>
    <w:p w14:paraId="721A96AA" w14:textId="77777777" w:rsidR="009C1D22" w:rsidRDefault="000B6C0D">
      <w:pPr>
        <w:spacing w:before="100" w:after="0" w:line="360" w:lineRule="auto"/>
        <w:jc w:val="both"/>
      </w:pPr>
      <w:r>
        <w:rPr>
          <w:rFonts w:ascii="Times New Roman" w:eastAsia="Times" w:hAnsi="Times New Roman"/>
          <w:b/>
          <w:lang w:eastAsia="fr-FR"/>
        </w:rPr>
        <w:t>31.</w:t>
      </w:r>
      <w:r>
        <w:rPr>
          <w:rFonts w:ascii="Times New Roman" w:eastAsia="Times" w:hAnsi="Times New Roman"/>
          <w:lang w:eastAsia="fr-FR"/>
        </w:rPr>
        <w:t xml:space="preserve"> La Constitution de la 5</w:t>
      </w:r>
      <w:r>
        <w:rPr>
          <w:rFonts w:ascii="Times New Roman" w:eastAsia="Times" w:hAnsi="Times New Roman"/>
          <w:vertAlign w:val="superscript"/>
          <w:lang w:eastAsia="fr-FR"/>
        </w:rPr>
        <w:t>ème</w:t>
      </w:r>
      <w:r>
        <w:rPr>
          <w:rFonts w:ascii="Times New Roman" w:eastAsia="Times" w:hAnsi="Times New Roman"/>
          <w:lang w:eastAsia="fr-FR"/>
        </w:rPr>
        <w:t xml:space="preserve"> République, dispose en son a</w:t>
      </w:r>
      <w:r>
        <w:rPr>
          <w:rFonts w:ascii="Times New Roman" w:eastAsia="Times New Roman" w:hAnsi="Times New Roman"/>
          <w:bCs/>
          <w:lang w:eastAsia="fr-FR"/>
        </w:rPr>
        <w:t>rticle 155 que le</w:t>
      </w:r>
      <w:r>
        <w:rPr>
          <w:rFonts w:ascii="Times New Roman" w:eastAsia="Times New Roman" w:hAnsi="Times New Roman"/>
          <w:lang w:eastAsia="fr-FR"/>
        </w:rPr>
        <w:t xml:space="preserve"> pouvoir judiciaire est indépendant du pouvoir exécutif et du pouvoir législatif.</w:t>
      </w:r>
    </w:p>
    <w:p w14:paraId="0112F74A" w14:textId="77777777" w:rsidR="009C1D22" w:rsidRDefault="000B6C0D">
      <w:pPr>
        <w:spacing w:before="100" w:after="0" w:line="360" w:lineRule="auto"/>
        <w:jc w:val="both"/>
      </w:pPr>
      <w:r>
        <w:rPr>
          <w:rFonts w:ascii="Times New Roman" w:hAnsi="Times New Roman"/>
          <w:b/>
        </w:rPr>
        <w:t>32.</w:t>
      </w:r>
      <w:r>
        <w:t xml:space="preserve"> </w:t>
      </w:r>
      <w:r>
        <w:rPr>
          <w:rFonts w:ascii="Times New Roman" w:eastAsia="Times" w:hAnsi="Times New Roman"/>
          <w:lang w:eastAsia="fr-FR"/>
        </w:rPr>
        <w:t xml:space="preserve">le pouvoir judiciaire est exercé par un seul ordre de juridiction composée de la Cour Suprême, des Cours d’appels, des Tribunaux et des Justices de Paix. </w:t>
      </w:r>
    </w:p>
    <w:p w14:paraId="4FA58B5A" w14:textId="77777777" w:rsidR="009C1D22" w:rsidRDefault="000B6C0D">
      <w:pPr>
        <w:spacing w:after="0"/>
        <w:jc w:val="both"/>
      </w:pPr>
      <w:r>
        <w:rPr>
          <w:rFonts w:ascii="Times New Roman" w:eastAsia="Times" w:hAnsi="Times New Roman"/>
          <w:b/>
          <w:bCs/>
          <w:lang w:eastAsia="fr-FR"/>
        </w:rPr>
        <w:t>33.</w:t>
      </w:r>
      <w:r>
        <w:rPr>
          <w:rFonts w:ascii="Times New Roman" w:eastAsia="Times" w:hAnsi="Times New Roman"/>
          <w:bCs/>
          <w:lang w:eastAsia="fr-FR"/>
        </w:rPr>
        <w:t xml:space="preserve"> Le Conseil Supérieur de la Magistrature est présidé par le Président de la Cour Suprême (article 159 de la Constitution).  </w:t>
      </w:r>
      <w:bookmarkStart w:id="33" w:name="_Toc214870361"/>
      <w:bookmarkStart w:id="34" w:name="_Toc328896698"/>
      <w:bookmarkStart w:id="35" w:name="_Toc328916914"/>
      <w:bookmarkStart w:id="36" w:name="_Toc328919695"/>
    </w:p>
    <w:p w14:paraId="1CDFE1C0" w14:textId="77777777" w:rsidR="009C1D22" w:rsidRDefault="000B6C0D">
      <w:pPr>
        <w:pStyle w:val="Heading3"/>
        <w:rPr>
          <w:rFonts w:ascii="Times New Roman" w:hAnsi="Times New Roman"/>
          <w:b/>
          <w:color w:val="auto"/>
          <w:lang w:eastAsia="fr-FR"/>
        </w:rPr>
      </w:pPr>
      <w:r>
        <w:rPr>
          <w:rFonts w:ascii="Times New Roman" w:hAnsi="Times New Roman"/>
          <w:b/>
          <w:color w:val="auto"/>
          <w:lang w:eastAsia="fr-FR"/>
        </w:rPr>
        <w:t>B.4. Le Conseil Constitutionnel</w:t>
      </w:r>
    </w:p>
    <w:p w14:paraId="53E450D3" w14:textId="77777777" w:rsidR="009C1D22" w:rsidRDefault="000B6C0D">
      <w:pPr>
        <w:spacing w:before="100" w:after="0" w:line="360" w:lineRule="auto"/>
        <w:jc w:val="both"/>
      </w:pPr>
      <w:r>
        <w:rPr>
          <w:rFonts w:ascii="Times New Roman" w:eastAsia="Times New Roman" w:hAnsi="Times New Roman"/>
          <w:b/>
          <w:lang w:eastAsia="fr-FR"/>
        </w:rPr>
        <w:t xml:space="preserve">34. </w:t>
      </w:r>
      <w:r>
        <w:rPr>
          <w:rFonts w:ascii="Times New Roman" w:eastAsia="Times New Roman" w:hAnsi="Times New Roman"/>
          <w:lang w:eastAsia="fr-FR"/>
        </w:rPr>
        <w:t>Il fait partie des institutions restaurées après leur dissolution sous le régime de la IV</w:t>
      </w:r>
      <w:r>
        <w:rPr>
          <w:rFonts w:ascii="Times New Roman" w:eastAsia="Times New Roman" w:hAnsi="Times New Roman"/>
          <w:vertAlign w:val="superscript"/>
          <w:lang w:eastAsia="fr-FR"/>
        </w:rPr>
        <w:t>ème</w:t>
      </w:r>
      <w:r>
        <w:rPr>
          <w:rFonts w:ascii="Times New Roman" w:eastAsia="Times New Roman" w:hAnsi="Times New Roman"/>
          <w:lang w:eastAsia="fr-FR"/>
        </w:rPr>
        <w:t xml:space="preserve"> République. Consacrée au titre VII de la Constitution, en ses </w:t>
      </w:r>
      <w:r>
        <w:rPr>
          <w:rFonts w:ascii="Times New Roman" w:eastAsia="Times New Roman" w:hAnsi="Times New Roman"/>
          <w:b/>
          <w:lang w:eastAsia="fr-FR"/>
        </w:rPr>
        <w:t>articles 173 à 183</w:t>
      </w:r>
      <w:r>
        <w:rPr>
          <w:rFonts w:ascii="Times New Roman" w:eastAsia="Times New Roman" w:hAnsi="Times New Roman"/>
          <w:lang w:eastAsia="fr-FR"/>
        </w:rPr>
        <w:t xml:space="preserve">, le Conseil Constitutionnel est juge de la constitutionnalité des lois, traités et accords internationaux. Il connait du contentieux des élections présidentielles, législatives et sénatoriales. Il veille à la régularité du référendum et en proclame les résultats. </w:t>
      </w:r>
    </w:p>
    <w:p w14:paraId="78FD92D4" w14:textId="77777777" w:rsidR="009C1D22" w:rsidRDefault="000B6C0D">
      <w:pPr>
        <w:spacing w:before="100" w:after="0" w:line="360" w:lineRule="auto"/>
        <w:jc w:val="both"/>
        <w:rPr>
          <w:rFonts w:ascii="Times New Roman" w:eastAsia="Times New Roman" w:hAnsi="Times New Roman"/>
          <w:lang w:eastAsia="fr-FR"/>
        </w:rPr>
      </w:pPr>
      <w:r>
        <w:rPr>
          <w:rFonts w:ascii="Times New Roman" w:eastAsia="Times New Roman" w:hAnsi="Times New Roman"/>
          <w:lang w:eastAsia="fr-FR"/>
        </w:rPr>
        <w:t xml:space="preserve">Le Conseil constitutionnel est composé de 9 membres dont 3 magistrats et 6 juristes de haut niveau, nommés par le Président de la République.  Le mandat du Conseil constitutionnel est de 9 ans non renouvelable.  </w:t>
      </w:r>
    </w:p>
    <w:p w14:paraId="32F6C999" w14:textId="77777777" w:rsidR="009C1D22" w:rsidRDefault="000B6C0D">
      <w:pPr>
        <w:spacing w:before="100" w:after="0" w:line="360" w:lineRule="auto"/>
        <w:jc w:val="both"/>
      </w:pPr>
      <w:r>
        <w:rPr>
          <w:rFonts w:ascii="Times New Roman" w:eastAsia="Times New Roman" w:hAnsi="Times New Roman"/>
          <w:b/>
          <w:lang w:eastAsia="fr-FR"/>
        </w:rPr>
        <w:t>35.</w:t>
      </w:r>
      <w:r>
        <w:rPr>
          <w:rFonts w:ascii="Times New Roman" w:eastAsia="Times New Roman" w:hAnsi="Times New Roman"/>
          <w:lang w:eastAsia="fr-FR"/>
        </w:rPr>
        <w:t xml:space="preserve"> L’article 179 dispose que « le Conseil constitutionnel, à la demande du Président de la République, du Premier ministre, du président du Sénat, du président de l’Assemblée nationale ou d’au moins 1/10 des membres de l’Assemblée nationale ou du Sénat, se prononce sur la constitutionnalité d’une loi avant sa promulgation ». </w:t>
      </w:r>
    </w:p>
    <w:p w14:paraId="40A0D2B7" w14:textId="77777777" w:rsidR="009C1D22" w:rsidRDefault="000B6C0D">
      <w:pPr>
        <w:pStyle w:val="Heading3"/>
        <w:rPr>
          <w:rFonts w:ascii="Times New Roman" w:hAnsi="Times New Roman"/>
          <w:b/>
          <w:color w:val="auto"/>
          <w:lang w:eastAsia="fr-FR"/>
        </w:rPr>
      </w:pPr>
      <w:r>
        <w:rPr>
          <w:rFonts w:ascii="Times New Roman" w:hAnsi="Times New Roman"/>
          <w:b/>
          <w:color w:val="auto"/>
          <w:lang w:eastAsia="fr-FR"/>
        </w:rPr>
        <w:t>B. 5. La Cour des comptes</w:t>
      </w:r>
    </w:p>
    <w:p w14:paraId="74C0920A" w14:textId="77777777" w:rsidR="009C1D22" w:rsidRDefault="000B6C0D">
      <w:pPr>
        <w:spacing w:before="100" w:after="0" w:line="360" w:lineRule="auto"/>
        <w:jc w:val="both"/>
      </w:pPr>
      <w:r>
        <w:rPr>
          <w:rFonts w:ascii="Times New Roman" w:eastAsia="Times New Roman" w:hAnsi="Times New Roman"/>
          <w:b/>
          <w:lang w:eastAsia="fr-FR"/>
        </w:rPr>
        <w:t>36</w:t>
      </w:r>
      <w:r>
        <w:rPr>
          <w:rFonts w:ascii="Times New Roman" w:eastAsia="Times New Roman" w:hAnsi="Times New Roman"/>
          <w:lang w:eastAsia="fr-FR"/>
        </w:rPr>
        <w:t>. La Constitution de la V</w:t>
      </w:r>
      <w:r>
        <w:rPr>
          <w:rFonts w:ascii="Times New Roman" w:eastAsia="Times New Roman" w:hAnsi="Times New Roman"/>
          <w:vertAlign w:val="superscript"/>
          <w:lang w:eastAsia="fr-FR"/>
        </w:rPr>
        <w:t>ème</w:t>
      </w:r>
      <w:r>
        <w:rPr>
          <w:rFonts w:ascii="Times New Roman" w:eastAsia="Times New Roman" w:hAnsi="Times New Roman"/>
          <w:lang w:eastAsia="fr-FR"/>
        </w:rPr>
        <w:t xml:space="preserve"> République consacre le titre VIII en ses articles 184 à 189 à la Cour des comptes. Elle est la plus haute juridiction en matière de contrôle de l’exécution du budget de l’Etat. Elle est composée de 21 membres dont 20 Conseillers et un Président, spécialiste du droit budgétaire ou de la comptabilité publique, nommé par décret du Président de la République après avis des Présidents de l’Assemblée et du Sénat, pour un mandat de 6 ans renouvelable une fois. </w:t>
      </w:r>
    </w:p>
    <w:p w14:paraId="1AAF887D" w14:textId="77777777" w:rsidR="009C1D22" w:rsidRDefault="000B6C0D">
      <w:pPr>
        <w:pStyle w:val="Heading3"/>
        <w:rPr>
          <w:rFonts w:ascii="Times New Roman" w:hAnsi="Times New Roman"/>
          <w:b/>
          <w:color w:val="auto"/>
          <w:lang w:eastAsia="fr-FR"/>
        </w:rPr>
      </w:pPr>
      <w:r>
        <w:rPr>
          <w:rFonts w:ascii="Times New Roman" w:hAnsi="Times New Roman"/>
          <w:b/>
          <w:color w:val="auto"/>
          <w:lang w:eastAsia="fr-FR"/>
        </w:rPr>
        <w:t>B.6. La Haute Cour de Justice</w:t>
      </w:r>
    </w:p>
    <w:p w14:paraId="5B13EAD1" w14:textId="77777777" w:rsidR="009C1D22" w:rsidRDefault="000B6C0D">
      <w:pPr>
        <w:spacing w:before="100" w:after="0" w:line="360" w:lineRule="auto"/>
        <w:jc w:val="both"/>
      </w:pPr>
      <w:r>
        <w:rPr>
          <w:rFonts w:ascii="Times New Roman" w:eastAsia="Times New Roman" w:hAnsi="Times New Roman"/>
          <w:b/>
          <w:lang w:eastAsia="fr-FR"/>
        </w:rPr>
        <w:t xml:space="preserve">40. </w:t>
      </w:r>
      <w:r>
        <w:rPr>
          <w:rFonts w:ascii="Times New Roman" w:eastAsia="Times New Roman" w:hAnsi="Times New Roman"/>
          <w:lang w:eastAsia="fr-FR"/>
        </w:rPr>
        <w:t>La Haute Cour de Justice est restaurée dans la constitution de la V</w:t>
      </w:r>
      <w:r>
        <w:rPr>
          <w:rFonts w:ascii="Times New Roman" w:eastAsia="Times New Roman" w:hAnsi="Times New Roman"/>
          <w:vertAlign w:val="superscript"/>
          <w:lang w:eastAsia="fr-FR"/>
        </w:rPr>
        <w:t>ème</w:t>
      </w:r>
      <w:r>
        <w:rPr>
          <w:rFonts w:ascii="Times New Roman" w:eastAsia="Times New Roman" w:hAnsi="Times New Roman"/>
          <w:lang w:eastAsia="fr-FR"/>
        </w:rPr>
        <w:t xml:space="preserve"> République (titre IX, articles 190 à 197). Elle est composée de 15 membres dont 4 députés, 4 sénateurs, 4 membres de la Cour Suprême et 3 membres du Conseil constitutionnel. Les membres de la Haute cour sont élus </w:t>
      </w:r>
      <w:r>
        <w:rPr>
          <w:rFonts w:ascii="Times New Roman" w:eastAsia="Times New Roman" w:hAnsi="Times New Roman"/>
          <w:lang w:eastAsia="fr-FR"/>
        </w:rPr>
        <w:lastRenderedPageBreak/>
        <w:t xml:space="preserve">par leurs pairs au sein de leurs institutions respectives. Elle est compétente pour juger le Président de la République, les Présidents des institutions consacrées par la présente Constitution, les membres du Gouvernement ainsi que leurs complices en cas de Haute trahison. </w:t>
      </w:r>
    </w:p>
    <w:p w14:paraId="262431BD" w14:textId="77777777" w:rsidR="009C1D22" w:rsidRDefault="000B6C0D">
      <w:pPr>
        <w:spacing w:before="100" w:after="0" w:line="360" w:lineRule="auto"/>
        <w:jc w:val="both"/>
      </w:pPr>
      <w:r>
        <w:rPr>
          <w:rFonts w:ascii="Times New Roman" w:eastAsia="Times New Roman" w:hAnsi="Times New Roman"/>
          <w:b/>
          <w:lang w:eastAsia="fr-FR"/>
        </w:rPr>
        <w:t>41</w:t>
      </w:r>
      <w:r>
        <w:rPr>
          <w:rFonts w:ascii="Times New Roman" w:eastAsia="Times New Roman" w:hAnsi="Times New Roman"/>
          <w:lang w:eastAsia="fr-FR"/>
        </w:rPr>
        <w:t xml:space="preserve">. Hors les cas de Haute trahison, les Présidents des institutions consacrées par la Constitution et les membres du Gouvernement sont pénalement responsables de leurs actes devant les juridictions de droit commun. </w:t>
      </w:r>
    </w:p>
    <w:p w14:paraId="5594E305" w14:textId="77777777" w:rsidR="009C1D22" w:rsidRDefault="000B6C0D">
      <w:pPr>
        <w:pStyle w:val="Heading3"/>
        <w:rPr>
          <w:rFonts w:ascii="Times New Roman" w:hAnsi="Times New Roman"/>
          <w:b/>
          <w:color w:val="auto"/>
          <w:lang w:eastAsia="fr-FR"/>
        </w:rPr>
      </w:pPr>
      <w:r>
        <w:rPr>
          <w:rFonts w:ascii="Times New Roman" w:hAnsi="Times New Roman"/>
          <w:b/>
          <w:color w:val="auto"/>
          <w:lang w:eastAsia="fr-FR"/>
        </w:rPr>
        <w:t>B. 7. La justice militaire</w:t>
      </w:r>
    </w:p>
    <w:p w14:paraId="4BD61BF8" w14:textId="77777777" w:rsidR="009C1D22" w:rsidRDefault="000B6C0D">
      <w:pPr>
        <w:spacing w:after="0" w:line="360" w:lineRule="auto"/>
        <w:jc w:val="both"/>
      </w:pPr>
      <w:r>
        <w:rPr>
          <w:rFonts w:ascii="Times New Roman" w:eastAsia="Times" w:hAnsi="Times New Roman"/>
          <w:b/>
          <w:lang w:eastAsia="fr-FR"/>
        </w:rPr>
        <w:t>42.</w:t>
      </w:r>
      <w:r>
        <w:rPr>
          <w:rFonts w:ascii="Times New Roman" w:eastAsia="Times" w:hAnsi="Times New Roman"/>
          <w:lang w:eastAsia="fr-FR"/>
        </w:rPr>
        <w:t xml:space="preserve"> La justice militaire instituée dans la Constitution (articles 198 à 202) est composée des magistrats militaires et comprend la Haute cour militaire, la Cour d’appel militaire et les tribunaux militaires. </w:t>
      </w:r>
    </w:p>
    <w:p w14:paraId="6FFBDB2C" w14:textId="77777777" w:rsidR="009C1D22" w:rsidRDefault="000B6C0D">
      <w:pPr>
        <w:spacing w:after="0" w:line="360" w:lineRule="auto"/>
        <w:jc w:val="both"/>
      </w:pPr>
      <w:r>
        <w:rPr>
          <w:rFonts w:ascii="Times New Roman" w:eastAsia="Times" w:hAnsi="Times New Roman"/>
          <w:b/>
          <w:lang w:eastAsia="fr-FR"/>
        </w:rPr>
        <w:t>43.</w:t>
      </w:r>
      <w:r>
        <w:rPr>
          <w:rFonts w:ascii="Times New Roman" w:eastAsia="Times" w:hAnsi="Times New Roman"/>
          <w:lang w:eastAsia="fr-FR"/>
        </w:rPr>
        <w:t xml:space="preserve"> La Haute cour militaire connait en dernier ressort les décisions rendues par la Cour d’appel et les tribunaux militaires. Elle connait au premier degré toutes les infractions d’atteinte à la sureté de l’Etat et des crimes commis par les militaires quel que soit leur grade. </w:t>
      </w:r>
    </w:p>
    <w:p w14:paraId="2C141E46" w14:textId="77777777" w:rsidR="009C1D22" w:rsidRDefault="000B6C0D">
      <w:pPr>
        <w:pStyle w:val="Heading3"/>
        <w:rPr>
          <w:rFonts w:ascii="Times New Roman" w:hAnsi="Times New Roman"/>
          <w:b/>
          <w:color w:val="auto"/>
          <w:lang w:eastAsia="fr-FR"/>
        </w:rPr>
      </w:pPr>
      <w:r>
        <w:rPr>
          <w:rFonts w:ascii="Times New Roman" w:hAnsi="Times New Roman"/>
          <w:b/>
          <w:color w:val="auto"/>
          <w:lang w:eastAsia="fr-FR"/>
        </w:rPr>
        <w:t>B.8. Le Conseil Economique, Social, Culturel et Environnemental</w:t>
      </w:r>
    </w:p>
    <w:p w14:paraId="1ADA1D80" w14:textId="77777777" w:rsidR="009C1D22" w:rsidRDefault="000B6C0D">
      <w:pPr>
        <w:spacing w:before="100" w:after="0" w:line="360" w:lineRule="auto"/>
        <w:jc w:val="both"/>
      </w:pPr>
      <w:r>
        <w:rPr>
          <w:rFonts w:ascii="Times New Roman" w:eastAsia="Times New Roman" w:hAnsi="Times New Roman"/>
          <w:b/>
          <w:lang w:eastAsia="fr-FR"/>
        </w:rPr>
        <w:t>44.</w:t>
      </w:r>
      <w:r>
        <w:rPr>
          <w:rFonts w:ascii="Times New Roman" w:eastAsia="Times New Roman" w:hAnsi="Times New Roman"/>
          <w:lang w:eastAsia="fr-FR"/>
        </w:rPr>
        <w:t xml:space="preserve"> Institué par la Constitution de 1996 et repris dans la constitution de la V</w:t>
      </w:r>
      <w:r>
        <w:rPr>
          <w:rFonts w:ascii="Times New Roman" w:eastAsia="Times New Roman" w:hAnsi="Times New Roman"/>
          <w:vertAlign w:val="superscript"/>
          <w:lang w:eastAsia="fr-FR"/>
        </w:rPr>
        <w:t>ème</w:t>
      </w:r>
      <w:r>
        <w:rPr>
          <w:rFonts w:ascii="Times New Roman" w:eastAsia="Times New Roman" w:hAnsi="Times New Roman"/>
          <w:lang w:eastAsia="fr-FR"/>
        </w:rPr>
        <w:t xml:space="preserve"> République (titre XI, article 203 à 207), le Conseil Economique, Social, Culturel et Environnemental est un organe consultatif chargé de donner son avis sur les questions à caractère économique, social, culturel et environnemental portées à son examen par le Président de la République ou le Président de l’Assemblée. Il peut procéder sur son propre chef à l’analyse de tout problème du développement économique, social, culturel ou environnemental et soumettre ses conclusions au Président de la République. Il est composé de 21 membres représentant les différentes corporations (monde rural, culturel, personnes handicapées, femmes, syndicats, secteur bancaire, ONG et monde professionnel) dont un Président nommé par décret du Président de la République après avis des Présidents de l’Assemblée Nationale et du Sénat.</w:t>
      </w:r>
    </w:p>
    <w:p w14:paraId="3CAA8893" w14:textId="77777777" w:rsidR="009C1D22" w:rsidRDefault="000B6C0D">
      <w:pPr>
        <w:pStyle w:val="Heading3"/>
      </w:pPr>
      <w:bookmarkStart w:id="37" w:name="_Toc177633285"/>
      <w:r>
        <w:rPr>
          <w:rFonts w:ascii="Times New Roman" w:eastAsia="Times" w:hAnsi="Times New Roman"/>
          <w:b/>
          <w:color w:val="auto"/>
          <w:lang w:eastAsia="fr-FR"/>
        </w:rPr>
        <w:t xml:space="preserve">B. 9. </w:t>
      </w:r>
      <w:r>
        <w:rPr>
          <w:rFonts w:ascii="Times New Roman" w:eastAsia="Times" w:hAnsi="Times New Roman"/>
          <w:b/>
          <w:bCs/>
          <w:color w:val="auto"/>
          <w:lang w:eastAsia="fr-FR"/>
        </w:rPr>
        <w:t xml:space="preserve">La Commission Nationale des Droits de l’Homme </w:t>
      </w:r>
      <w:bookmarkEnd w:id="33"/>
      <w:r>
        <w:rPr>
          <w:rFonts w:ascii="Times New Roman" w:eastAsia="Times" w:hAnsi="Times New Roman"/>
          <w:b/>
          <w:bCs/>
          <w:color w:val="auto"/>
          <w:lang w:eastAsia="fr-FR"/>
        </w:rPr>
        <w:t>(CNDH)</w:t>
      </w:r>
      <w:bookmarkStart w:id="38" w:name="_Toc328896699"/>
      <w:bookmarkStart w:id="39" w:name="_Toc328916915"/>
      <w:bookmarkStart w:id="40" w:name="_Toc328919696"/>
      <w:bookmarkStart w:id="41" w:name="_Toc214870363"/>
      <w:bookmarkEnd w:id="34"/>
      <w:bookmarkEnd w:id="35"/>
      <w:bookmarkEnd w:id="36"/>
      <w:bookmarkEnd w:id="37"/>
    </w:p>
    <w:p w14:paraId="75463768" w14:textId="77777777" w:rsidR="009C1D22" w:rsidRDefault="000B6C0D">
      <w:pPr>
        <w:autoSpaceDE w:val="0"/>
        <w:spacing w:after="0" w:line="360" w:lineRule="auto"/>
        <w:jc w:val="both"/>
      </w:pPr>
      <w:r>
        <w:rPr>
          <w:rFonts w:ascii="Times New Roman" w:eastAsia="Times New Roman" w:hAnsi="Times New Roman"/>
          <w:b/>
          <w:lang w:eastAsia="fr-FR"/>
        </w:rPr>
        <w:t>45.</w:t>
      </w:r>
      <w:r>
        <w:rPr>
          <w:rFonts w:ascii="Times New Roman" w:eastAsia="Times New Roman" w:hAnsi="Times New Roman"/>
          <w:lang w:eastAsia="fr-FR"/>
        </w:rPr>
        <w:t xml:space="preserve"> Créée au départ par </w:t>
      </w:r>
      <w:r>
        <w:rPr>
          <w:rFonts w:ascii="Times New Roman" w:eastAsia="Times" w:hAnsi="Times New Roman"/>
          <w:lang w:eastAsia="fr-FR"/>
        </w:rPr>
        <w:t>la loi N°031/PR/1994 du 30 septembre 1994, dans sa forme inachevée, la Commission Nationale des Droits de l’Homme est rendue conforme aux Principes de Paris par la loi N°028/PR/2018 du 22 Novembre 2018, portant son organisation, ses attributions et son fonctionnement</w:t>
      </w:r>
      <w:r>
        <w:rPr>
          <w:rFonts w:ascii="Times New Roman" w:eastAsia="Times New Roman" w:hAnsi="Times New Roman"/>
          <w:lang w:eastAsia="fr-FR"/>
        </w:rPr>
        <w:t xml:space="preserve">. Elle est érigée au rang des Grandes Institutions de la République et jouit d’une autonomie financière.   </w:t>
      </w:r>
    </w:p>
    <w:p w14:paraId="21C87FFA" w14:textId="77777777" w:rsidR="009C1D22" w:rsidRDefault="000B6C0D">
      <w:pPr>
        <w:autoSpaceDE w:val="0"/>
        <w:spacing w:after="0" w:line="360" w:lineRule="auto"/>
        <w:jc w:val="both"/>
      </w:pPr>
      <w:r>
        <w:rPr>
          <w:rFonts w:ascii="Times New Roman" w:eastAsia="Times New Roman" w:hAnsi="Times New Roman"/>
          <w:b/>
          <w:lang w:eastAsia="fr-FR"/>
        </w:rPr>
        <w:lastRenderedPageBreak/>
        <w:t>46.</w:t>
      </w:r>
      <w:r>
        <w:rPr>
          <w:rFonts w:ascii="Times New Roman" w:eastAsia="Times New Roman" w:hAnsi="Times New Roman"/>
          <w:lang w:eastAsia="fr-FR"/>
        </w:rPr>
        <w:t xml:space="preserve"> Autorité administrative indépendante, la CNDH est Composé de 11 membres élus par leurs pairs. Elle a pour mission de contribuer à la promotion et à la protection des Droits de l’Homme à travers la formulation des avis au Gouvernement sur les questions y relatives, assister le Gouvernement au niveau des institutions nationales et internationales pour toutes les questions relatives aux Droits de l’Homme au Tchad. Elle participe aussi à la révision de la législation et à l’élaboration des nouvelles normes relatives aux Droits de l’Homme. La CNDH procède en toute indépendance à des enquêtes, études dont elle rend public les conclusions dans le seul respect de sa procédure interne.  La CNDH avise le Gouvernement sur la ratification des instruments juridiques internationaux.</w:t>
      </w:r>
      <w:r>
        <w:rPr>
          <w:rFonts w:ascii="Times New Roman" w:eastAsia="Times" w:hAnsi="Times New Roman"/>
          <w:lang w:eastAsia="fr-FR"/>
        </w:rPr>
        <w:t xml:space="preserve"> Elle dispose d’un pouvoir d’auto saisine et peut être saisie par les citoyens pour des cas de violations des Droits de l’Homme.</w:t>
      </w:r>
      <w:r>
        <w:rPr>
          <w:rFonts w:ascii="Times New Roman" w:eastAsia="Times New Roman" w:hAnsi="Times New Roman"/>
          <w:lang w:eastAsia="fr-FR"/>
        </w:rPr>
        <w:t xml:space="preserve"> </w:t>
      </w:r>
    </w:p>
    <w:p w14:paraId="23E26294" w14:textId="77777777" w:rsidR="009C1D22" w:rsidRDefault="000B6C0D">
      <w:pPr>
        <w:pStyle w:val="Heading3"/>
        <w:rPr>
          <w:rFonts w:ascii="Times New Roman" w:hAnsi="Times New Roman"/>
          <w:b/>
          <w:color w:val="auto"/>
          <w:lang w:eastAsia="fr-FR"/>
        </w:rPr>
      </w:pPr>
      <w:bookmarkStart w:id="42" w:name="_Toc129866294"/>
      <w:bookmarkStart w:id="43" w:name="_Toc177633286"/>
      <w:bookmarkEnd w:id="38"/>
      <w:bookmarkEnd w:id="39"/>
      <w:bookmarkEnd w:id="40"/>
      <w:r>
        <w:rPr>
          <w:rFonts w:ascii="Times New Roman" w:hAnsi="Times New Roman"/>
          <w:b/>
          <w:color w:val="auto"/>
          <w:lang w:eastAsia="fr-FR"/>
        </w:rPr>
        <w:t xml:space="preserve">B. </w:t>
      </w:r>
      <w:bookmarkEnd w:id="42"/>
      <w:r>
        <w:rPr>
          <w:rFonts w:ascii="Times New Roman" w:hAnsi="Times New Roman"/>
          <w:b/>
          <w:color w:val="auto"/>
          <w:lang w:eastAsia="fr-FR"/>
        </w:rPr>
        <w:t>10. La Haute Autorité des Médias et de l’Audiovisuelle (HAMA)</w:t>
      </w:r>
      <w:bookmarkEnd w:id="43"/>
    </w:p>
    <w:p w14:paraId="3EEC898E" w14:textId="77777777" w:rsidR="009C1D22" w:rsidRDefault="000B6C0D">
      <w:pPr>
        <w:spacing w:before="100" w:after="0" w:line="360" w:lineRule="auto"/>
        <w:jc w:val="both"/>
      </w:pPr>
      <w:r>
        <w:rPr>
          <w:rFonts w:ascii="Times New Roman" w:eastAsia="Times New Roman" w:hAnsi="Times New Roman"/>
          <w:b/>
          <w:lang w:eastAsia="fr-FR"/>
        </w:rPr>
        <w:t>47.</w:t>
      </w:r>
      <w:r>
        <w:rPr>
          <w:rFonts w:ascii="Times New Roman" w:eastAsia="Times New Roman" w:hAnsi="Times New Roman"/>
          <w:lang w:eastAsia="fr-FR"/>
        </w:rPr>
        <w:t xml:space="preserve"> Le titre XIII de la Constitution de la V</w:t>
      </w:r>
      <w:r>
        <w:rPr>
          <w:rFonts w:ascii="Times New Roman" w:eastAsia="Times New Roman" w:hAnsi="Times New Roman"/>
          <w:vertAlign w:val="superscript"/>
          <w:lang w:eastAsia="fr-FR"/>
        </w:rPr>
        <w:t>ème</w:t>
      </w:r>
      <w:r>
        <w:rPr>
          <w:rFonts w:ascii="Times New Roman" w:eastAsia="Times New Roman" w:hAnsi="Times New Roman"/>
          <w:lang w:eastAsia="fr-FR"/>
        </w:rPr>
        <w:t xml:space="preserve"> République est consacré à la Haute Autorité des Médias et de l’Audiovisuelle. Elle est une autorité administrative indépendante composée de 9 membres dont un président et huit conseillers nommés par décret du Président de la République.  La HAMA a pour mission de réguler les activités relatives à l’information et à la communication et de garantir la liberté d’expression et de communication (articles 16 et 17). </w:t>
      </w:r>
      <w:bookmarkEnd w:id="41"/>
    </w:p>
    <w:p w14:paraId="1365D27F" w14:textId="77777777" w:rsidR="009C1D22" w:rsidRDefault="000B6C0D">
      <w:pPr>
        <w:pStyle w:val="ListParagraph"/>
        <w:autoSpaceDE w:val="0"/>
        <w:spacing w:after="0" w:line="360" w:lineRule="auto"/>
        <w:ind w:left="0"/>
        <w:jc w:val="both"/>
        <w:rPr>
          <w:rFonts w:ascii="Times New Roman" w:hAnsi="Times New Roman"/>
          <w:b/>
          <w:sz w:val="28"/>
        </w:rPr>
      </w:pPr>
      <w:bookmarkStart w:id="44" w:name="_Toc177633292"/>
      <w:r>
        <w:rPr>
          <w:rFonts w:ascii="Times New Roman" w:hAnsi="Times New Roman"/>
          <w:b/>
          <w:sz w:val="28"/>
        </w:rPr>
        <w:t>B.11.  Le Haut conseil des chefferies traditionnelles (HCCT)</w:t>
      </w:r>
      <w:bookmarkEnd w:id="44"/>
      <w:r>
        <w:rPr>
          <w:rFonts w:ascii="Times New Roman" w:hAnsi="Times New Roman"/>
          <w:b/>
          <w:sz w:val="28"/>
        </w:rPr>
        <w:t> </w:t>
      </w:r>
    </w:p>
    <w:p w14:paraId="444917AC" w14:textId="77777777" w:rsidR="009C1D22" w:rsidRDefault="000B6C0D">
      <w:pPr>
        <w:pStyle w:val="ListParagraph"/>
        <w:autoSpaceDE w:val="0"/>
        <w:spacing w:after="0" w:line="360" w:lineRule="auto"/>
        <w:ind w:left="0"/>
        <w:jc w:val="both"/>
      </w:pPr>
      <w:r>
        <w:rPr>
          <w:rFonts w:ascii="Times New Roman" w:eastAsia="Times New Roman" w:hAnsi="Times New Roman"/>
          <w:b/>
          <w:lang w:eastAsia="fr-FR"/>
        </w:rPr>
        <w:t>48</w:t>
      </w:r>
      <w:r>
        <w:rPr>
          <w:rFonts w:ascii="Times New Roman" w:eastAsia="Times New Roman" w:hAnsi="Times New Roman"/>
          <w:lang w:eastAsia="fr-FR"/>
        </w:rPr>
        <w:t>.</w:t>
      </w:r>
      <w:r>
        <w:rPr>
          <w:rFonts w:ascii="Times New Roman" w:hAnsi="Times New Roman"/>
        </w:rPr>
        <w:t xml:space="preserve"> Le Haut conseil des chefferies traditionnelles</w:t>
      </w:r>
      <w:r>
        <w:rPr>
          <w:rFonts w:ascii="Times New Roman" w:eastAsia="Times New Roman" w:hAnsi="Times New Roman"/>
          <w:lang w:eastAsia="fr-FR"/>
        </w:rPr>
        <w:t xml:space="preserve"> est une assemblée consultative qui donne un avis motivé sur la politique de décentralisation, d’aménagement du territoire, des questions relatives aux chefferies traditionnelles et participe au règlement non juridictionnel des conflits </w:t>
      </w:r>
      <w:r>
        <w:rPr>
          <w:rFonts w:ascii="Times New Roman" w:hAnsi="Times New Roman"/>
        </w:rPr>
        <w:t>(</w:t>
      </w:r>
      <w:r>
        <w:rPr>
          <w:rFonts w:ascii="Times New Roman" w:hAnsi="Times New Roman"/>
          <w:b/>
        </w:rPr>
        <w:t>articles 221 à 225 de la Constitution).</w:t>
      </w:r>
      <w:r>
        <w:rPr>
          <w:rFonts w:ascii="Times New Roman" w:eastAsia="Times New Roman" w:hAnsi="Times New Roman"/>
          <w:lang w:eastAsia="fr-FR"/>
        </w:rPr>
        <w:t xml:space="preserve"> Il est composé de 23 membres dont un Président et 22 Conseillers. Le Haut Conseil est composé de sultans et de chefs de canton pour un mandat de 4 ans renouvelable une fois. </w:t>
      </w:r>
    </w:p>
    <w:p w14:paraId="431DEA8A" w14:textId="77777777" w:rsidR="009C1D22" w:rsidRDefault="000B6C0D">
      <w:pPr>
        <w:pStyle w:val="Heading3"/>
        <w:rPr>
          <w:rFonts w:ascii="Times New Roman" w:hAnsi="Times New Roman"/>
          <w:b/>
          <w:color w:val="auto"/>
          <w:lang w:eastAsia="fr-FR"/>
        </w:rPr>
      </w:pPr>
      <w:bookmarkStart w:id="45" w:name="_Toc177633293"/>
      <w:r>
        <w:rPr>
          <w:rFonts w:ascii="Times New Roman" w:hAnsi="Times New Roman"/>
          <w:b/>
          <w:color w:val="auto"/>
          <w:lang w:eastAsia="fr-FR"/>
        </w:rPr>
        <w:t>B.12. Le Médiateur de la République</w:t>
      </w:r>
      <w:bookmarkEnd w:id="45"/>
    </w:p>
    <w:p w14:paraId="6DBB8DCA" w14:textId="77777777" w:rsidR="009C1D22" w:rsidRDefault="000B6C0D">
      <w:pPr>
        <w:spacing w:before="100" w:after="0" w:line="360" w:lineRule="auto"/>
        <w:jc w:val="both"/>
      </w:pPr>
      <w:r>
        <w:rPr>
          <w:rFonts w:ascii="Times New Roman" w:eastAsia="Times New Roman" w:hAnsi="Times New Roman"/>
          <w:b/>
          <w:lang w:eastAsia="fr-FR"/>
        </w:rPr>
        <w:t>49</w:t>
      </w:r>
      <w:r>
        <w:rPr>
          <w:rFonts w:ascii="Times New Roman" w:eastAsia="Times New Roman" w:hAnsi="Times New Roman"/>
          <w:lang w:eastAsia="fr-FR"/>
        </w:rPr>
        <w:t xml:space="preserve">. Cette fonction est instituée par le titre XVI de la Constitution </w:t>
      </w:r>
      <w:r>
        <w:rPr>
          <w:rFonts w:ascii="Times New Roman" w:eastAsia="Times New Roman" w:hAnsi="Times New Roman"/>
          <w:b/>
          <w:lang w:eastAsia="fr-FR"/>
        </w:rPr>
        <w:t>(articles 231 à 235).</w:t>
      </w:r>
      <w:r>
        <w:rPr>
          <w:rFonts w:ascii="Times New Roman" w:eastAsia="Times New Roman" w:hAnsi="Times New Roman"/>
          <w:lang w:eastAsia="fr-FR"/>
        </w:rPr>
        <w:t xml:space="preserve">  Le Médiateur de la République est une autorité administrative indépendante, investie d’une mission de service public de médiation (art 232). Nommé par décret du Président de la République, le Médiateur participe au règlement pacifique des conflits. </w:t>
      </w:r>
    </w:p>
    <w:p w14:paraId="4F3B8088" w14:textId="77777777" w:rsidR="009C1D22" w:rsidRDefault="000B6C0D">
      <w:pPr>
        <w:pStyle w:val="Heading3"/>
        <w:rPr>
          <w:rFonts w:ascii="Times New Roman" w:hAnsi="Times New Roman"/>
          <w:b/>
          <w:color w:val="auto"/>
          <w:lang w:eastAsia="fr-FR"/>
        </w:rPr>
      </w:pPr>
      <w:bookmarkStart w:id="46" w:name="_Toc177633294"/>
      <w:r>
        <w:rPr>
          <w:rFonts w:ascii="Times New Roman" w:hAnsi="Times New Roman"/>
          <w:b/>
          <w:color w:val="auto"/>
          <w:lang w:eastAsia="fr-FR"/>
        </w:rPr>
        <w:lastRenderedPageBreak/>
        <w:t>B.13. L’Agence Nationale de Gestion des Elections (ANGE)</w:t>
      </w:r>
      <w:bookmarkEnd w:id="46"/>
    </w:p>
    <w:p w14:paraId="38BECEE1" w14:textId="77777777" w:rsidR="009C1D22" w:rsidRDefault="000B6C0D">
      <w:pPr>
        <w:spacing w:before="100" w:after="0" w:line="360" w:lineRule="auto"/>
        <w:jc w:val="both"/>
      </w:pPr>
      <w:r>
        <w:rPr>
          <w:rFonts w:ascii="Times New Roman" w:eastAsia="Times New Roman" w:hAnsi="Times New Roman"/>
          <w:b/>
          <w:lang w:eastAsia="fr-FR"/>
        </w:rPr>
        <w:t>50.</w:t>
      </w:r>
      <w:r>
        <w:rPr>
          <w:rFonts w:ascii="Times New Roman" w:eastAsia="Times New Roman" w:hAnsi="Times New Roman"/>
          <w:lang w:eastAsia="fr-FR"/>
        </w:rPr>
        <w:t xml:space="preserve"> Institution nationale, l’ANGE est une structure autonome et indépendante chargée de l’organisation de toutes les élections en toute impartialité, intégrité, transparence et professionnalisme (articles 236 à 240 de la Constitution). </w:t>
      </w:r>
    </w:p>
    <w:p w14:paraId="0B134FAE" w14:textId="77777777" w:rsidR="009C1D22" w:rsidRDefault="000B6C0D">
      <w:pPr>
        <w:pStyle w:val="SingleTxtG"/>
        <w:spacing w:after="0" w:line="360" w:lineRule="auto"/>
        <w:ind w:left="0" w:right="170"/>
        <w:rPr>
          <w:sz w:val="24"/>
          <w:szCs w:val="24"/>
        </w:rPr>
      </w:pPr>
      <w:r>
        <w:rPr>
          <w:b/>
          <w:sz w:val="24"/>
          <w:szCs w:val="24"/>
        </w:rPr>
        <w:t>51.</w:t>
      </w:r>
      <w:r>
        <w:rPr>
          <w:sz w:val="24"/>
          <w:szCs w:val="24"/>
        </w:rPr>
        <w:t xml:space="preserve"> Cependant, Malgré tout ce dispositif, le Tchad fait face aux nombreux défis, liés aux insuffisances des ressources financières et les questions sécuritaires qui secouent les pays limitrophes. Toutefois, le Gouvernement s’attèle à adopter le projet de loi portant protection des droits des travailleurs migrants et les membres de leur famille. </w:t>
      </w:r>
    </w:p>
    <w:p w14:paraId="7EE473B0" w14:textId="77777777" w:rsidR="00A22920" w:rsidRPr="00A22920" w:rsidRDefault="00A22920">
      <w:pPr>
        <w:pStyle w:val="SingleTxtG"/>
        <w:spacing w:after="0" w:line="360" w:lineRule="auto"/>
        <w:ind w:left="0" w:right="170"/>
        <w:rPr>
          <w:sz w:val="14"/>
          <w:szCs w:val="14"/>
        </w:rPr>
      </w:pPr>
    </w:p>
    <w:p w14:paraId="1D3730F5" w14:textId="77777777" w:rsidR="009C1D22" w:rsidRDefault="000B6C0D">
      <w:pPr>
        <w:pStyle w:val="ListParagraph"/>
        <w:numPr>
          <w:ilvl w:val="0"/>
          <w:numId w:val="2"/>
        </w:numPr>
        <w:spacing w:after="0" w:line="360" w:lineRule="auto"/>
        <w:jc w:val="both"/>
        <w:rPr>
          <w:rFonts w:ascii="Times New Roman" w:hAnsi="Times New Roman"/>
          <w:b/>
        </w:rPr>
      </w:pPr>
      <w:bookmarkStart w:id="47" w:name="_Toc177633295"/>
      <w:r>
        <w:rPr>
          <w:rFonts w:ascii="Times New Roman" w:hAnsi="Times New Roman"/>
          <w:b/>
        </w:rPr>
        <w:t>MISE EN ŒUVRE DE LA CONVENTION</w:t>
      </w:r>
      <w:bookmarkEnd w:id="47"/>
    </w:p>
    <w:p w14:paraId="695DF0F5" w14:textId="77777777" w:rsidR="009C1D22" w:rsidRDefault="000B6C0D">
      <w:pPr>
        <w:pStyle w:val="ListParagraph"/>
        <w:numPr>
          <w:ilvl w:val="0"/>
          <w:numId w:val="14"/>
        </w:numPr>
        <w:spacing w:after="0" w:line="360" w:lineRule="auto"/>
        <w:jc w:val="both"/>
        <w:rPr>
          <w:rFonts w:ascii="Times New Roman" w:hAnsi="Times New Roman"/>
          <w:b/>
        </w:rPr>
      </w:pPr>
      <w:bookmarkStart w:id="48" w:name="_Toc177633296"/>
      <w:r>
        <w:rPr>
          <w:rFonts w:ascii="Times New Roman" w:hAnsi="Times New Roman"/>
          <w:b/>
        </w:rPr>
        <w:t>PRINCIPES GENERAUX</w:t>
      </w:r>
      <w:bookmarkEnd w:id="48"/>
    </w:p>
    <w:p w14:paraId="53F1CB8F" w14:textId="77777777" w:rsidR="009C1D22" w:rsidRDefault="000B6C0D">
      <w:pPr>
        <w:pStyle w:val="ListParagraph"/>
        <w:numPr>
          <w:ilvl w:val="0"/>
          <w:numId w:val="15"/>
        </w:numPr>
        <w:spacing w:after="0" w:line="360" w:lineRule="auto"/>
        <w:jc w:val="both"/>
      </w:pPr>
      <w:r>
        <w:rPr>
          <w:rFonts w:ascii="Times New Roman" w:hAnsi="Times New Roman"/>
          <w:b/>
          <w:i/>
        </w:rPr>
        <w:t>La non-discrimination, droit à un recours utile, devoir de l’application de la convention (articles 1, 83, 84)</w:t>
      </w:r>
    </w:p>
    <w:p w14:paraId="7E1AFDA5" w14:textId="77777777" w:rsidR="009C1D22" w:rsidRDefault="000B6C0D">
      <w:pPr>
        <w:spacing w:after="0" w:line="360" w:lineRule="auto"/>
        <w:jc w:val="both"/>
      </w:pPr>
      <w:r>
        <w:rPr>
          <w:rFonts w:ascii="Times New Roman" w:hAnsi="Times New Roman"/>
          <w:b/>
        </w:rPr>
        <w:t>52.</w:t>
      </w:r>
      <w:r>
        <w:rPr>
          <w:rFonts w:ascii="Times New Roman" w:hAnsi="Times New Roman"/>
        </w:rPr>
        <w:t xml:space="preserve"> La non-discrimination constitue un principe garanti par la législation tchadienne.</w:t>
      </w:r>
    </w:p>
    <w:p w14:paraId="6C8194D4" w14:textId="77777777" w:rsidR="009C1D22" w:rsidRDefault="000B6C0D">
      <w:pPr>
        <w:spacing w:after="0" w:line="360" w:lineRule="auto"/>
        <w:jc w:val="both"/>
        <w:rPr>
          <w:rFonts w:ascii="Times New Roman" w:hAnsi="Times New Roman"/>
        </w:rPr>
      </w:pPr>
      <w:r>
        <w:rPr>
          <w:rFonts w:ascii="Times New Roman" w:hAnsi="Times New Roman"/>
        </w:rPr>
        <w:t xml:space="preserve">En effet, les dispositions des articles 14 et 15 de la constitution assurent l’égalité de tous devant la loi et l’obligation de l’Etat d’assurer à tous l’égalité devant la loi sans distinction d’origine, de race, de sexe, de religion, d’opinion politique ou de position sociale. L’article16 de ladite constitution renchérit que : « sous réserve des droits politiques, les étrangers régulièrement admis sur le territoire de la République du Tchad, bénéficient des mêmes droits que les nationaux. Ils sont tenus de se conformer à la constitution, aux lois et règlements de la République ». </w:t>
      </w:r>
    </w:p>
    <w:p w14:paraId="42378CD1" w14:textId="77777777" w:rsidR="009C1D22" w:rsidRDefault="000B6C0D">
      <w:pPr>
        <w:spacing w:after="0" w:line="360" w:lineRule="auto"/>
        <w:jc w:val="both"/>
      </w:pPr>
      <w:r>
        <w:rPr>
          <w:rFonts w:ascii="Times New Roman" w:hAnsi="Times New Roman"/>
          <w:b/>
        </w:rPr>
        <w:t>53.</w:t>
      </w:r>
      <w:r>
        <w:rPr>
          <w:rFonts w:ascii="Times New Roman" w:hAnsi="Times New Roman"/>
        </w:rPr>
        <w:t xml:space="preserve"> Dans le domaine de la Santé, la loi N°006/PR/2002 du 15 avril 2002 portant promotion de la santé de reproduction dispose que </w:t>
      </w:r>
      <w:r>
        <w:rPr>
          <w:rFonts w:ascii="Times New Roman" w:hAnsi="Times New Roman"/>
          <w:i/>
          <w:iCs/>
        </w:rPr>
        <w:t>« tous les individus sont égaux en droit et en dignité en matière de santé de reproduction sans discrimination aucune fondée sur l’âge, le sexe, la fortune, la religion…ou sur toute</w:t>
      </w:r>
      <w:r>
        <w:rPr>
          <w:rFonts w:ascii="Times New Roman" w:hAnsi="Times New Roman"/>
        </w:rPr>
        <w:t xml:space="preserve"> </w:t>
      </w:r>
      <w:r>
        <w:rPr>
          <w:rFonts w:ascii="Times New Roman" w:hAnsi="Times New Roman"/>
          <w:i/>
          <w:iCs/>
        </w:rPr>
        <w:t>autre situation »</w:t>
      </w:r>
      <w:r>
        <w:rPr>
          <w:rFonts w:ascii="Times New Roman" w:hAnsi="Times New Roman"/>
        </w:rPr>
        <w:t>. Cette loi interdit toute discrimination relative aux soins de santé.</w:t>
      </w:r>
    </w:p>
    <w:p w14:paraId="6821F4E1" w14:textId="77777777" w:rsidR="009C1D22" w:rsidRDefault="000B6C0D">
      <w:pPr>
        <w:pStyle w:val="ListParagraph"/>
        <w:numPr>
          <w:ilvl w:val="0"/>
          <w:numId w:val="14"/>
        </w:numPr>
        <w:spacing w:after="0" w:line="360" w:lineRule="auto"/>
        <w:jc w:val="both"/>
        <w:rPr>
          <w:rFonts w:ascii="Times New Roman" w:hAnsi="Times New Roman"/>
          <w:b/>
        </w:rPr>
      </w:pPr>
      <w:bookmarkStart w:id="49" w:name="_Toc177633297"/>
      <w:r>
        <w:rPr>
          <w:rFonts w:ascii="Times New Roman" w:hAnsi="Times New Roman"/>
          <w:b/>
        </w:rPr>
        <w:t>Droits de l’Homme de tous les travailleurs migrants et les membres de leur famille</w:t>
      </w:r>
      <w:bookmarkEnd w:id="49"/>
      <w:r>
        <w:rPr>
          <w:rFonts w:ascii="Times New Roman" w:hAnsi="Times New Roman"/>
          <w:b/>
        </w:rPr>
        <w:t xml:space="preserve"> </w:t>
      </w:r>
    </w:p>
    <w:p w14:paraId="79BC5C76" w14:textId="77777777" w:rsidR="009C1D22" w:rsidRDefault="000B6C0D">
      <w:pPr>
        <w:spacing w:after="0" w:line="360" w:lineRule="auto"/>
        <w:jc w:val="both"/>
      </w:pPr>
      <w:r>
        <w:rPr>
          <w:rFonts w:ascii="Times New Roman" w:hAnsi="Times New Roman"/>
          <w:b/>
        </w:rPr>
        <w:t>54</w:t>
      </w:r>
      <w:r>
        <w:rPr>
          <w:rFonts w:ascii="Times New Roman" w:hAnsi="Times New Roman"/>
        </w:rPr>
        <w:t>. En application de l’article 8 de la Convention relevant le Droit de quitter tout pays, y compris le sien, et d’y retourner. La législation tchadienne garantie cette liberté de circulation à tout individu résidant sur son territoire y compris les travailleurs migrants et les membres de leur famille (l’article 16 de la constitution).</w:t>
      </w:r>
    </w:p>
    <w:p w14:paraId="4A341D51" w14:textId="77777777" w:rsidR="009C1D22" w:rsidRDefault="000B6C0D">
      <w:pPr>
        <w:pStyle w:val="ListParagraph"/>
        <w:numPr>
          <w:ilvl w:val="0"/>
          <w:numId w:val="15"/>
        </w:numPr>
        <w:spacing w:after="0" w:line="360" w:lineRule="auto"/>
        <w:jc w:val="both"/>
      </w:pPr>
      <w:r>
        <w:rPr>
          <w:rFonts w:ascii="Times New Roman" w:hAnsi="Times New Roman"/>
          <w:b/>
          <w:bCs/>
          <w:i/>
        </w:rPr>
        <w:t>Protection contre les abus et la torture (</w:t>
      </w:r>
      <w:r>
        <w:rPr>
          <w:rFonts w:ascii="Times New Roman" w:hAnsi="Times New Roman"/>
          <w:b/>
          <w:i/>
        </w:rPr>
        <w:t>Article 9 et 10)</w:t>
      </w:r>
    </w:p>
    <w:p w14:paraId="4C558F68" w14:textId="77777777" w:rsidR="009C1D22" w:rsidRDefault="000B6C0D">
      <w:pPr>
        <w:spacing w:after="0" w:line="360" w:lineRule="auto"/>
        <w:jc w:val="both"/>
      </w:pPr>
      <w:r>
        <w:rPr>
          <w:rFonts w:ascii="Times New Roman" w:hAnsi="Times New Roman"/>
          <w:b/>
          <w:lang w:val="fr-CA"/>
        </w:rPr>
        <w:lastRenderedPageBreak/>
        <w:t>55.</w:t>
      </w:r>
      <w:r>
        <w:rPr>
          <w:rFonts w:ascii="Times New Roman" w:hAnsi="Times New Roman"/>
          <w:lang w:val="fr-CA"/>
        </w:rPr>
        <w:t xml:space="preserve"> La législation Tchadienne reconnait à tout être humain le droit à la vie, un droit fondamental garanti</w:t>
      </w:r>
      <w:r>
        <w:rPr>
          <w:rFonts w:ascii="Times New Roman" w:hAnsi="Times New Roman"/>
          <w:b/>
          <w:lang w:val="fr-CA"/>
        </w:rPr>
        <w:t xml:space="preserve"> </w:t>
      </w:r>
      <w:r>
        <w:rPr>
          <w:rFonts w:ascii="Times New Roman" w:hAnsi="Times New Roman"/>
          <w:lang w:val="fr-CA"/>
        </w:rPr>
        <w:t>par plusieurs instruments internationaux. L’article 18 de la constitution dispose que :« </w:t>
      </w:r>
      <w:r>
        <w:rPr>
          <w:rFonts w:ascii="Times New Roman" w:hAnsi="Times New Roman"/>
          <w:i/>
          <w:lang w:val="fr-CA"/>
        </w:rPr>
        <w:t>la personne humaine est sacrée et inviolable. Tout individu a droit à la vie, à l’intégrité de sa personne, à la sécurité…</w:t>
      </w:r>
      <w:r>
        <w:rPr>
          <w:rFonts w:ascii="Times New Roman" w:hAnsi="Times New Roman"/>
          <w:lang w:val="fr-CA"/>
        </w:rPr>
        <w:t> » et l’article 19 de poursuivre que « </w:t>
      </w:r>
      <w:r>
        <w:rPr>
          <w:rFonts w:ascii="Times New Roman" w:hAnsi="Times New Roman"/>
          <w:i/>
          <w:lang w:val="fr-CA"/>
        </w:rPr>
        <w:t xml:space="preserve">nul ne peut être soumis, ni à des sévices ou traitements dégradants humiliants, ni à la torture ». </w:t>
      </w:r>
    </w:p>
    <w:p w14:paraId="096B609A" w14:textId="77777777" w:rsidR="009C1D22" w:rsidRDefault="000B6C0D">
      <w:pPr>
        <w:spacing w:after="0" w:line="360" w:lineRule="auto"/>
        <w:jc w:val="both"/>
      </w:pPr>
      <w:r>
        <w:rPr>
          <w:rFonts w:ascii="Times New Roman" w:hAnsi="Times New Roman"/>
          <w:b/>
          <w:lang w:val="fr-CA"/>
        </w:rPr>
        <w:t>56.</w:t>
      </w:r>
      <w:r>
        <w:rPr>
          <w:rFonts w:ascii="Times New Roman" w:hAnsi="Times New Roman"/>
          <w:lang w:val="fr-CA"/>
        </w:rPr>
        <w:t xml:space="preserve"> L’article 323 du code pénal précise que « </w:t>
      </w:r>
      <w:r>
        <w:rPr>
          <w:rFonts w:ascii="Times New Roman" w:eastAsia="Times New Roman" w:hAnsi="Times New Roman"/>
          <w:i/>
          <w:lang w:val="fr-CA"/>
        </w:rPr>
        <w:t>Est puni de l'emprisonnement de vingt (20) à trente (30) ans quiconque, par la torture, cause la mort d'autrui sans intention de la donner.</w:t>
      </w:r>
    </w:p>
    <w:p w14:paraId="7765A2EC" w14:textId="77777777" w:rsidR="009C1D22" w:rsidRDefault="000B6C0D">
      <w:pPr>
        <w:spacing w:after="0" w:line="360" w:lineRule="auto"/>
        <w:jc w:val="both"/>
      </w:pPr>
      <w:r>
        <w:rPr>
          <w:rFonts w:ascii="Times New Roman" w:eastAsia="Times New Roman" w:hAnsi="Times New Roman"/>
          <w:i/>
          <w:lang w:val="fr-CA"/>
        </w:rPr>
        <w:t>La peine est un emprisonnement de dix (10) à vingt (20) ans lorsque la torture cause à la victime la privation permanente de l'usage de tout ou partie d'un membre, d'un organe ou d'un sens.</w:t>
      </w:r>
      <w:r>
        <w:rPr>
          <w:rFonts w:ascii="Times New Roman" w:hAnsi="Times New Roman"/>
          <w:i/>
          <w:lang w:val="fr-CA"/>
        </w:rPr>
        <w:t xml:space="preserve"> </w:t>
      </w:r>
    </w:p>
    <w:p w14:paraId="112833AB" w14:textId="77777777" w:rsidR="009C1D22" w:rsidRDefault="000B6C0D">
      <w:pPr>
        <w:spacing w:after="0" w:line="360" w:lineRule="auto"/>
        <w:jc w:val="both"/>
        <w:rPr>
          <w:rFonts w:ascii="Times New Roman" w:eastAsia="Times New Roman" w:hAnsi="Times New Roman"/>
          <w:i/>
          <w:lang w:val="fr-CA"/>
        </w:rPr>
      </w:pPr>
      <w:r>
        <w:rPr>
          <w:rFonts w:ascii="Times New Roman" w:eastAsia="Times New Roman" w:hAnsi="Times New Roman"/>
          <w:i/>
          <w:lang w:val="fr-CA"/>
        </w:rPr>
        <w:t>La peine est un emprisonnement de cinq (5) à dix (10) ans et une amende de 300 000 à 1 000 000 de francs lorsque la torture cause à la victime une maladie ou une incapacité de travail supérieure à trente (30) jours.</w:t>
      </w:r>
    </w:p>
    <w:p w14:paraId="4E52EB61" w14:textId="77777777" w:rsidR="009C1D22" w:rsidRDefault="000B6C0D">
      <w:pPr>
        <w:spacing w:after="0" w:line="360" w:lineRule="auto"/>
        <w:jc w:val="both"/>
        <w:rPr>
          <w:rFonts w:ascii="Times New Roman" w:eastAsia="Times New Roman" w:hAnsi="Times New Roman"/>
          <w:i/>
          <w:lang w:val="fr-CA"/>
        </w:rPr>
      </w:pPr>
      <w:r>
        <w:rPr>
          <w:rFonts w:ascii="Times New Roman" w:eastAsia="Times New Roman" w:hAnsi="Times New Roman"/>
          <w:i/>
          <w:lang w:val="fr-CA"/>
        </w:rPr>
        <w:t>La peine est un emprisonnement de deux (2) à cinq (5) ans et une amende de 100 000 à 500 000 de francs lorsque la torture cause à la victime soit une maladie ou une incapacité de travail égale ou inférieure à trente (30) jours, soit des douleurs ou des souffrances mentales ou morales.</w:t>
      </w:r>
    </w:p>
    <w:p w14:paraId="5E1CD449" w14:textId="77777777" w:rsidR="009C1D22" w:rsidRDefault="000B6C0D">
      <w:pPr>
        <w:spacing w:after="0" w:line="360" w:lineRule="auto"/>
        <w:jc w:val="both"/>
      </w:pPr>
      <w:r>
        <w:rPr>
          <w:rFonts w:ascii="Times New Roman" w:eastAsia="Times New Roman" w:hAnsi="Times New Roman"/>
          <w:i/>
          <w:lang w:val="fr-CA"/>
        </w:rPr>
        <w:t>Est puni des mêmes peines le fonctionnaire public, autorité traditionnelle ou toute autre personne agissant à titre officiel qui consent tacitement ou expressément, ordonne ou commet d'autres actes constitutifs de peines ou traitements cruels, inhumains ou dégradants qui ne sont pas des actes de torture telle que celle-ci est définie au présent article... </w:t>
      </w:r>
      <w:r>
        <w:rPr>
          <w:rFonts w:ascii="Times New Roman" w:eastAsia="Times New Roman" w:hAnsi="Times New Roman"/>
          <w:lang w:val="fr-CA"/>
        </w:rPr>
        <w:t>».</w:t>
      </w:r>
    </w:p>
    <w:p w14:paraId="1308CB84" w14:textId="77777777" w:rsidR="009C1D22" w:rsidRDefault="000B6C0D">
      <w:pPr>
        <w:pStyle w:val="ListParagraph"/>
        <w:numPr>
          <w:ilvl w:val="0"/>
          <w:numId w:val="15"/>
        </w:numPr>
        <w:spacing w:after="0" w:line="360" w:lineRule="auto"/>
        <w:jc w:val="both"/>
      </w:pPr>
      <w:r>
        <w:rPr>
          <w:rFonts w:ascii="Times New Roman" w:hAnsi="Times New Roman"/>
          <w:b/>
          <w:i/>
        </w:rPr>
        <w:t xml:space="preserve">Interdiction de l’esclavage et du travail forcé (article11) </w:t>
      </w:r>
    </w:p>
    <w:p w14:paraId="53743602" w14:textId="77777777" w:rsidR="009C1D22" w:rsidRDefault="000B6C0D">
      <w:pPr>
        <w:spacing w:after="0" w:line="360" w:lineRule="auto"/>
        <w:jc w:val="both"/>
      </w:pPr>
      <w:r>
        <w:rPr>
          <w:rFonts w:ascii="Times New Roman" w:hAnsi="Times New Roman"/>
          <w:b/>
        </w:rPr>
        <w:t>57.</w:t>
      </w:r>
      <w:r>
        <w:rPr>
          <w:rFonts w:ascii="Times New Roman" w:hAnsi="Times New Roman"/>
        </w:rPr>
        <w:t xml:space="preserve"> Aux termes des mesures prises par l’Etat pour interdire l’esclavagisme et le travail forcé, la constitution en ses articles 20 et 35 disposent respectivement que : « </w:t>
      </w:r>
      <w:r>
        <w:rPr>
          <w:rFonts w:ascii="Times New Roman" w:hAnsi="Times New Roman"/>
          <w:i/>
        </w:rPr>
        <w:t>l’esclavage, la servitude, la traite des êtres humains, le travail forcé, les mutilations génitales féminines, les mariages précoces ainsi que toute les formes de violences   et d’avilissement de l’être humain sont interdits</w:t>
      </w:r>
      <w:r>
        <w:rPr>
          <w:rFonts w:ascii="Times New Roman" w:hAnsi="Times New Roman"/>
        </w:rPr>
        <w:t xml:space="preserve"> ». « </w:t>
      </w:r>
      <w:r>
        <w:rPr>
          <w:rFonts w:ascii="Times New Roman" w:hAnsi="Times New Roman"/>
          <w:i/>
        </w:rPr>
        <w:t>L’Etat reconnait à tous les citoyen le droit au travail. Il garantit au travailleur la juste rétribution de ses services ou de sa production.</w:t>
      </w:r>
    </w:p>
    <w:p w14:paraId="2C48C744" w14:textId="77777777" w:rsidR="009C1D22" w:rsidRDefault="000B6C0D">
      <w:pPr>
        <w:spacing w:after="0" w:line="360" w:lineRule="auto"/>
        <w:jc w:val="both"/>
      </w:pPr>
      <w:r>
        <w:rPr>
          <w:rFonts w:ascii="Times New Roman" w:hAnsi="Times New Roman"/>
          <w:i/>
        </w:rPr>
        <w:t>Nul ne peut être lésé dans son travail en raison de ses origines, de ses opinions, de ses croyances, de son sexe ou de sa situation matrimoniale</w:t>
      </w:r>
      <w:r>
        <w:rPr>
          <w:rFonts w:ascii="Times New Roman" w:hAnsi="Times New Roman"/>
        </w:rPr>
        <w:t xml:space="preserve"> ». </w:t>
      </w:r>
    </w:p>
    <w:p w14:paraId="7F113BB0" w14:textId="77777777" w:rsidR="009C1D22" w:rsidRDefault="000B6C0D">
      <w:pPr>
        <w:spacing w:after="0" w:line="360" w:lineRule="auto"/>
        <w:jc w:val="both"/>
      </w:pPr>
      <w:r>
        <w:rPr>
          <w:rFonts w:ascii="Times New Roman" w:hAnsi="Times New Roman"/>
          <w:b/>
          <w:lang w:val="fr-CA"/>
        </w:rPr>
        <w:t>58.</w:t>
      </w:r>
      <w:r>
        <w:rPr>
          <w:rFonts w:ascii="Times New Roman" w:hAnsi="Times New Roman"/>
          <w:lang w:val="fr-CA"/>
        </w:rPr>
        <w:t xml:space="preserve"> Le législateur tchadien à travers l’article 5 du Code du Travail met en garde contre le travail forcé en ce terme : « le travail forcé ou obligatoire est interdit ». Dans le même sens « … on entend par travail forcé ou obligatoire, tout travail ou service exigé d’un individu sous la menace d’une peine quelconque et pour lequel ledit individu ne s’est pas offert de son plein gré… ».</w:t>
      </w:r>
    </w:p>
    <w:p w14:paraId="532BD3C9" w14:textId="77777777" w:rsidR="009C1D22" w:rsidRDefault="000B6C0D">
      <w:pPr>
        <w:spacing w:after="0" w:line="360" w:lineRule="auto"/>
        <w:jc w:val="both"/>
      </w:pPr>
      <w:r>
        <w:rPr>
          <w:rFonts w:ascii="Times New Roman" w:hAnsi="Times New Roman"/>
          <w:b/>
          <w:lang w:val="fr-CA"/>
        </w:rPr>
        <w:lastRenderedPageBreak/>
        <w:t>59.</w:t>
      </w:r>
      <w:r>
        <w:rPr>
          <w:rFonts w:ascii="Times New Roman" w:hAnsi="Times New Roman"/>
          <w:lang w:val="fr-CA"/>
        </w:rPr>
        <w:t xml:space="preserve"> Ces mesures ont été renforcées par l’Ordonnance N° 006/PR/2018 du 30 mars 2018, portant Lutte Contre la Traite des Personnes en République du Tchad.</w:t>
      </w:r>
    </w:p>
    <w:p w14:paraId="5368A1CE" w14:textId="77777777" w:rsidR="009C1D22" w:rsidRDefault="000B6C0D">
      <w:pPr>
        <w:pStyle w:val="ListParagraph"/>
        <w:numPr>
          <w:ilvl w:val="0"/>
          <w:numId w:val="15"/>
        </w:numPr>
        <w:spacing w:after="0" w:line="360" w:lineRule="auto"/>
        <w:jc w:val="both"/>
      </w:pPr>
      <w:r>
        <w:rPr>
          <w:rFonts w:ascii="Times New Roman" w:hAnsi="Times New Roman"/>
          <w:b/>
          <w:bCs/>
          <w:i/>
        </w:rPr>
        <w:t>La liberté d'association et de rassemblement pacifique</w:t>
      </w:r>
      <w:r>
        <w:rPr>
          <w:rFonts w:ascii="Times New Roman" w:hAnsi="Times New Roman"/>
          <w:b/>
          <w:i/>
        </w:rPr>
        <w:t xml:space="preserve"> (article 12, 13 et 26</w:t>
      </w:r>
      <w:r>
        <w:rPr>
          <w:rFonts w:ascii="Times New Roman" w:hAnsi="Times New Roman"/>
          <w:i/>
        </w:rPr>
        <w:t>)</w:t>
      </w:r>
    </w:p>
    <w:p w14:paraId="7014493B" w14:textId="77777777" w:rsidR="009C1D22" w:rsidRDefault="000B6C0D">
      <w:pPr>
        <w:spacing w:after="0" w:line="360" w:lineRule="auto"/>
        <w:jc w:val="both"/>
      </w:pPr>
      <w:r>
        <w:rPr>
          <w:rFonts w:ascii="Times New Roman" w:hAnsi="Times New Roman"/>
          <w:b/>
        </w:rPr>
        <w:t>60.</w:t>
      </w:r>
      <w:r>
        <w:rPr>
          <w:rFonts w:ascii="Times New Roman" w:hAnsi="Times New Roman"/>
        </w:rPr>
        <w:t xml:space="preserve"> La liberté d’association et de rassemblement pacifique est garantie au Tchad, au même</w:t>
      </w:r>
      <w:r>
        <w:rPr>
          <w:rFonts w:ascii="Times New Roman" w:hAnsi="Times New Roman"/>
        </w:rPr>
        <w:br/>
        <w:t xml:space="preserve">titre que les autres droits et libertés par la constitution en son </w:t>
      </w:r>
      <w:r>
        <w:rPr>
          <w:rFonts w:ascii="Times New Roman" w:hAnsi="Times New Roman"/>
          <w:b/>
          <w:i/>
        </w:rPr>
        <w:t>Titre II : des libertés, des droits fondamentaux et des devoirs</w:t>
      </w:r>
      <w:r>
        <w:rPr>
          <w:rFonts w:ascii="Times New Roman" w:hAnsi="Times New Roman"/>
        </w:rPr>
        <w:t>.</w:t>
      </w:r>
      <w:r>
        <w:rPr>
          <w:rFonts w:ascii="Times New Roman" w:hAnsi="Times New Roman"/>
          <w:b/>
        </w:rPr>
        <w:t xml:space="preserve"> </w:t>
      </w:r>
      <w:r>
        <w:rPr>
          <w:rFonts w:ascii="Times New Roman" w:hAnsi="Times New Roman"/>
        </w:rPr>
        <w:t xml:space="preserve">A titre illustratif l’article 28 dispose que : </w:t>
      </w:r>
      <w:r>
        <w:rPr>
          <w:rFonts w:ascii="Times New Roman" w:hAnsi="Times New Roman"/>
          <w:i/>
          <w:iCs/>
        </w:rPr>
        <w:t>« les libertés d'opinion et d'expression, de communication, de conscience, de religion, de presse, d'association, de réunion, de circulation, de manifestations sont garanties à tous… »</w:t>
      </w:r>
      <w:r>
        <w:rPr>
          <w:rFonts w:ascii="Times New Roman" w:hAnsi="Times New Roman"/>
        </w:rPr>
        <w:t xml:space="preserve">. Ces dispositions sont d’ordre général dont tout individu peut s’en prévaloir indépendamment de son statut. </w:t>
      </w:r>
    </w:p>
    <w:p w14:paraId="554A3DC4" w14:textId="77777777" w:rsidR="009C1D22" w:rsidRDefault="000B6C0D">
      <w:pPr>
        <w:spacing w:after="0" w:line="360" w:lineRule="auto"/>
        <w:jc w:val="both"/>
      </w:pPr>
      <w:r>
        <w:rPr>
          <w:rFonts w:ascii="Times New Roman" w:hAnsi="Times New Roman"/>
          <w:b/>
        </w:rPr>
        <w:t xml:space="preserve">61. </w:t>
      </w:r>
      <w:r>
        <w:rPr>
          <w:rFonts w:ascii="Times New Roman" w:hAnsi="Times New Roman"/>
        </w:rPr>
        <w:t xml:space="preserve">Le Code Pénal réprime l’usage excessif de la force par les agents de sécurité lors des manifestations pacifiques. </w:t>
      </w:r>
    </w:p>
    <w:p w14:paraId="1C30603F" w14:textId="77777777" w:rsidR="009C1D22" w:rsidRDefault="000B6C0D">
      <w:pPr>
        <w:pStyle w:val="ListParagraph"/>
        <w:numPr>
          <w:ilvl w:val="0"/>
          <w:numId w:val="15"/>
        </w:numPr>
        <w:spacing w:after="0" w:line="360" w:lineRule="auto"/>
        <w:jc w:val="both"/>
      </w:pPr>
      <w:r>
        <w:rPr>
          <w:rFonts w:ascii="Times New Roman" w:hAnsi="Times New Roman"/>
          <w:b/>
          <w:i/>
        </w:rPr>
        <w:t>Interdiction de toute immixtion dans la vie privée, détention arbitraire et privation arbitraire des biens (article 14,15, 16, 17 et 24</w:t>
      </w:r>
      <w:r>
        <w:rPr>
          <w:rFonts w:ascii="Times New Roman" w:hAnsi="Times New Roman"/>
          <w:i/>
        </w:rPr>
        <w:t>)</w:t>
      </w:r>
    </w:p>
    <w:p w14:paraId="06E914C7" w14:textId="77777777" w:rsidR="009C1D22" w:rsidRDefault="000B6C0D">
      <w:pPr>
        <w:spacing w:after="0" w:line="360" w:lineRule="auto"/>
        <w:jc w:val="both"/>
      </w:pPr>
      <w:r>
        <w:rPr>
          <w:rFonts w:ascii="Times New Roman" w:hAnsi="Times New Roman"/>
          <w:b/>
        </w:rPr>
        <w:t>62.</w:t>
      </w:r>
      <w:r>
        <w:rPr>
          <w:rFonts w:ascii="Times New Roman" w:hAnsi="Times New Roman"/>
        </w:rPr>
        <w:t xml:space="preserve"> En termes des mesures prises pour le respect de la vie privée, privation des biens et autres, l’article 22 de la Constitution dispose que : « </w:t>
      </w:r>
      <w:r>
        <w:rPr>
          <w:rFonts w:ascii="Times New Roman" w:hAnsi="Times New Roman"/>
          <w:i/>
        </w:rPr>
        <w:t>les arrestations et les détentions illégales et arbitraires sont interdites </w:t>
      </w:r>
      <w:r>
        <w:rPr>
          <w:rFonts w:ascii="Times New Roman" w:hAnsi="Times New Roman"/>
        </w:rPr>
        <w:t>».</w:t>
      </w:r>
    </w:p>
    <w:p w14:paraId="36CEB923" w14:textId="77777777" w:rsidR="009C1D22" w:rsidRDefault="000B6C0D">
      <w:pPr>
        <w:spacing w:after="0" w:line="360" w:lineRule="auto"/>
        <w:jc w:val="both"/>
      </w:pPr>
      <w:r>
        <w:rPr>
          <w:rFonts w:ascii="Times New Roman" w:hAnsi="Times New Roman"/>
          <w:b/>
        </w:rPr>
        <w:t>63.</w:t>
      </w:r>
      <w:r>
        <w:rPr>
          <w:rFonts w:ascii="Times New Roman" w:hAnsi="Times New Roman"/>
        </w:rPr>
        <w:t xml:space="preserve"> </w:t>
      </w:r>
      <w:r>
        <w:rPr>
          <w:rFonts w:ascii="Times New Roman" w:eastAsia="Times New Roman" w:hAnsi="Times New Roman"/>
        </w:rPr>
        <w:t>L’article 172  du Code Pénal énonce  que </w:t>
      </w:r>
      <w:r>
        <w:rPr>
          <w:rFonts w:ascii="Times New Roman" w:eastAsia="Times New Roman" w:hAnsi="Times New Roman"/>
          <w:i/>
        </w:rPr>
        <w:t>: «  Les fonctionnaires chargés de la police administrative ou judiciaire qui auront refusé ou négligé de déférer à une réclamation légale tendant à constater les détentions illégales et arbitraires, soit dans les maisons destinées à la garde des détenus, soit partout ailleurs et qui ne justifieront pas les avoir dénoncées à l'autorité supérieure, seront punis de un (1 ) mois à un (1) an d'emprisonnement et tenus des dommages- intérêts »</w:t>
      </w:r>
      <w:r>
        <w:rPr>
          <w:rFonts w:ascii="Times New Roman" w:eastAsia="Times New Roman" w:hAnsi="Times New Roman"/>
        </w:rPr>
        <w:t>, et l’article 173 poursuit en disant que : « </w:t>
      </w:r>
      <w:r>
        <w:rPr>
          <w:rFonts w:ascii="Times New Roman" w:eastAsia="Times New Roman" w:hAnsi="Times New Roman"/>
          <w:i/>
        </w:rPr>
        <w:t>Les gardiens des établissements pénitentiaires qui auront reçu un prisonnier sans mandat ou jugement, ou ceux qui auront refusé de présenter leurs registres à l'autorité judiciaire seront, comme coupables de détention arbitraire, punis de six (6) mois à deux (2) ans d'emprisonnement et d'une amende de 50 000 à 500 000 francs ».</w:t>
      </w:r>
    </w:p>
    <w:p w14:paraId="33A138F3" w14:textId="77777777" w:rsidR="009C1D22" w:rsidRDefault="000B6C0D">
      <w:pPr>
        <w:spacing w:after="0" w:line="360" w:lineRule="auto"/>
        <w:jc w:val="both"/>
      </w:pPr>
      <w:r>
        <w:rPr>
          <w:rFonts w:ascii="Times New Roman" w:eastAsia="Times New Roman" w:hAnsi="Times New Roman"/>
          <w:b/>
          <w:lang w:val="fr-CA"/>
        </w:rPr>
        <w:t>64.</w:t>
      </w:r>
      <w:r>
        <w:rPr>
          <w:rFonts w:ascii="Times New Roman" w:eastAsia="Times New Roman" w:hAnsi="Times New Roman"/>
          <w:lang w:val="fr-CA"/>
        </w:rPr>
        <w:t xml:space="preserve"> Dans le même sens l’article 25 du code pénal dispose que : « </w:t>
      </w:r>
      <w:r>
        <w:rPr>
          <w:rFonts w:ascii="Times New Roman" w:eastAsia="Times New Roman" w:hAnsi="Times New Roman"/>
          <w:i/>
          <w:lang w:val="fr-CA"/>
        </w:rPr>
        <w:t>Seront punis d'un emprisonnement de cinq (5) à dix (10) ans ceux qui, sans ordre des autorités constituées et hors les cas où la loi ordonne de saisir des prévenus, auront arrêté, détenu ou séquestré des personnes quelconques.</w:t>
      </w:r>
      <w:r>
        <w:rPr>
          <w:rFonts w:ascii="Times New Roman" w:hAnsi="Times New Roman"/>
          <w:b/>
        </w:rPr>
        <w:t xml:space="preserve"> </w:t>
      </w:r>
      <w:r>
        <w:rPr>
          <w:rFonts w:ascii="Times New Roman" w:eastAsia="Times New Roman" w:hAnsi="Times New Roman"/>
          <w:i/>
          <w:lang w:val="fr-CA"/>
        </w:rPr>
        <w:t xml:space="preserve">Quiconque aura </w:t>
      </w:r>
      <w:proofErr w:type="spellStart"/>
      <w:r>
        <w:rPr>
          <w:rFonts w:ascii="Times New Roman" w:eastAsia="Times New Roman" w:hAnsi="Times New Roman"/>
          <w:i/>
          <w:lang w:val="fr-CA"/>
        </w:rPr>
        <w:t>prêtéun</w:t>
      </w:r>
      <w:proofErr w:type="spellEnd"/>
      <w:r>
        <w:rPr>
          <w:rFonts w:ascii="Times New Roman" w:eastAsia="Times New Roman" w:hAnsi="Times New Roman"/>
          <w:i/>
          <w:lang w:val="fr-CA"/>
        </w:rPr>
        <w:t xml:space="preserve"> lieu pour exécuter la détention ou séquestration, subira la même peine.</w:t>
      </w:r>
    </w:p>
    <w:p w14:paraId="4B1295D2" w14:textId="77777777" w:rsidR="009C1D22" w:rsidRDefault="000B6C0D">
      <w:pPr>
        <w:spacing w:after="0" w:line="360" w:lineRule="auto"/>
        <w:ind w:left="38"/>
        <w:jc w:val="both"/>
      </w:pPr>
      <w:r>
        <w:rPr>
          <w:rFonts w:ascii="Times New Roman" w:eastAsia="Times New Roman" w:hAnsi="Times New Roman"/>
          <w:i/>
          <w:lang w:val="fr-CA"/>
        </w:rPr>
        <w:t xml:space="preserve">La peine sera réduite à un emprisonnement de deux (2) à cinq (5) ans si les coupables des faits mentionnés à l'alinéa I ci-dessus, non encore poursuivis de fait, ont rendu la liberté à la personne </w:t>
      </w:r>
      <w:r>
        <w:rPr>
          <w:rFonts w:ascii="Times New Roman" w:eastAsia="Times New Roman" w:hAnsi="Times New Roman"/>
          <w:i/>
          <w:lang w:val="fr-CA"/>
        </w:rPr>
        <w:lastRenderedPageBreak/>
        <w:t>arrêtée, séquestrée ou détenue avant le dixième jour accompli depuis celui de l'arrestation, détention ou séquestration</w:t>
      </w:r>
      <w:r>
        <w:rPr>
          <w:rFonts w:ascii="Times New Roman" w:eastAsia="Times New Roman" w:hAnsi="Times New Roman"/>
          <w:lang w:val="fr-CA"/>
        </w:rPr>
        <w:t> ».</w:t>
      </w:r>
    </w:p>
    <w:p w14:paraId="230A8770" w14:textId="77777777" w:rsidR="009C1D22" w:rsidRDefault="000B6C0D">
      <w:pPr>
        <w:rPr>
          <w:rFonts w:ascii="Times New Roman" w:hAnsi="Times New Roman"/>
          <w:b/>
          <w:i/>
        </w:rPr>
      </w:pPr>
      <w:r>
        <w:rPr>
          <w:rFonts w:ascii="Times New Roman" w:hAnsi="Times New Roman"/>
          <w:b/>
          <w:i/>
        </w:rPr>
        <w:t xml:space="preserve">Droit aux garanties de procédure (articles 16 (§5 à 9), 18 et 19) </w:t>
      </w:r>
    </w:p>
    <w:p w14:paraId="65FA879C" w14:textId="77777777" w:rsidR="009C1D22" w:rsidRDefault="000B6C0D">
      <w:pPr>
        <w:spacing w:after="0" w:line="360" w:lineRule="auto"/>
        <w:jc w:val="both"/>
      </w:pPr>
      <w:r>
        <w:rPr>
          <w:rFonts w:ascii="Times New Roman" w:hAnsi="Times New Roman"/>
          <w:b/>
        </w:rPr>
        <w:t>65.</w:t>
      </w:r>
      <w:r>
        <w:rPr>
          <w:rFonts w:ascii="Times New Roman" w:hAnsi="Times New Roman"/>
        </w:rPr>
        <w:t xml:space="preserve"> En application de l’article 83 de la convention, le droit à un recours utile ou la saisine d’une juridiction est par essence un principe général de droit. Le code de travail en son article</w:t>
      </w:r>
      <w:r>
        <w:rPr>
          <w:rFonts w:ascii="Times New Roman" w:hAnsi="Times New Roman"/>
          <w:b/>
          <w:bCs/>
        </w:rPr>
        <w:t xml:space="preserve"> </w:t>
      </w:r>
      <w:r>
        <w:rPr>
          <w:rFonts w:ascii="Times New Roman" w:hAnsi="Times New Roman"/>
          <w:bCs/>
        </w:rPr>
        <w:t>421 dispose que</w:t>
      </w:r>
      <w:r>
        <w:rPr>
          <w:rFonts w:ascii="Times New Roman" w:hAnsi="Times New Roman"/>
          <w:b/>
          <w:bCs/>
        </w:rPr>
        <w:t> : « </w:t>
      </w:r>
      <w:r>
        <w:rPr>
          <w:rFonts w:ascii="Times New Roman" w:hAnsi="Times New Roman"/>
          <w:i/>
        </w:rPr>
        <w:t>La procédure devant les Tribunaux du Travail et de la Sécurité Sociale et devant la Cour d’Appel est gratuite. En outre, pour l’exécution du jugement et arrêt rendus à leur profit, les travailleurs bénéficient de l’assistance judiciaire</w:t>
      </w:r>
      <w:r>
        <w:rPr>
          <w:rFonts w:ascii="Times New Roman" w:hAnsi="Times New Roman"/>
        </w:rPr>
        <w:t xml:space="preserve">… » et </w:t>
      </w:r>
      <w:r>
        <w:rPr>
          <w:rFonts w:ascii="Times New Roman" w:hAnsi="Times New Roman"/>
          <w:b/>
        </w:rPr>
        <w:t xml:space="preserve">l’article 5 </w:t>
      </w:r>
      <w:r>
        <w:rPr>
          <w:rFonts w:ascii="Times New Roman" w:hAnsi="Times New Roman"/>
        </w:rPr>
        <w:t>de la Loi N° 021</w:t>
      </w:r>
      <w:r>
        <w:rPr>
          <w:rFonts w:ascii="Times New Roman" w:hAnsi="Times New Roman"/>
          <w:b/>
        </w:rPr>
        <w:t>/</w:t>
      </w:r>
      <w:r>
        <w:rPr>
          <w:rStyle w:val="fontstyle01"/>
          <w:rFonts w:ascii="Times New Roman" w:hAnsi="Times New Roman" w:cs="Times New Roman"/>
          <w:color w:val="auto"/>
        </w:rPr>
        <w:t>PR/2019</w:t>
      </w:r>
      <w:r>
        <w:rPr>
          <w:rFonts w:ascii="Times New Roman" w:hAnsi="Times New Roman"/>
        </w:rPr>
        <w:t xml:space="preserve"> </w:t>
      </w:r>
      <w:r>
        <w:rPr>
          <w:rStyle w:val="fontstyle01"/>
          <w:rFonts w:ascii="Times New Roman" w:hAnsi="Times New Roman" w:cs="Times New Roman"/>
          <w:color w:val="auto"/>
        </w:rPr>
        <w:t xml:space="preserve">du 15 avril 2019, </w:t>
      </w:r>
      <w:r>
        <w:rPr>
          <w:rStyle w:val="fontstyle01"/>
          <w:rFonts w:ascii="Times New Roman" w:hAnsi="Times New Roman" w:cs="Times New Roman"/>
          <w:b/>
          <w:color w:val="auto"/>
        </w:rPr>
        <w:t>r</w:t>
      </w:r>
      <w:r>
        <w:rPr>
          <w:rStyle w:val="fontstyle01"/>
          <w:rFonts w:ascii="Times New Roman" w:hAnsi="Times New Roman" w:cs="Times New Roman"/>
          <w:color w:val="auto"/>
        </w:rPr>
        <w:t>égissant l'Aide Juridique et l'Assistance</w:t>
      </w:r>
      <w:r>
        <w:rPr>
          <w:rFonts w:ascii="Times New Roman" w:hAnsi="Times New Roman"/>
        </w:rPr>
        <w:t xml:space="preserve"> </w:t>
      </w:r>
      <w:r>
        <w:rPr>
          <w:rStyle w:val="fontstyle01"/>
          <w:rFonts w:ascii="Times New Roman" w:hAnsi="Times New Roman" w:cs="Times New Roman"/>
          <w:color w:val="auto"/>
        </w:rPr>
        <w:t>Judiciaire vient renchérir en ce sens que : « </w:t>
      </w:r>
      <w:r>
        <w:rPr>
          <w:rStyle w:val="fontstyle01"/>
          <w:rFonts w:ascii="Times New Roman" w:hAnsi="Times New Roman" w:cs="Times New Roman"/>
          <w:b/>
          <w:i/>
          <w:color w:val="auto"/>
        </w:rPr>
        <w:t>l</w:t>
      </w:r>
      <w:r>
        <w:rPr>
          <w:rFonts w:ascii="Times New Roman" w:hAnsi="Times New Roman"/>
          <w:b/>
          <w:i/>
        </w:rPr>
        <w:t>'Aide Juridique est accessible à tous, sans distinction aucune, notamment de nationalité, de sexe, d'âge, de langue, de religion, d'opinion, ou de toute autre considération</w:t>
      </w:r>
      <w:r>
        <w:rPr>
          <w:rFonts w:ascii="Times New Roman" w:hAnsi="Times New Roman"/>
          <w:b/>
        </w:rPr>
        <w:t> </w:t>
      </w:r>
      <w:r>
        <w:rPr>
          <w:rFonts w:ascii="Times New Roman" w:hAnsi="Times New Roman"/>
        </w:rPr>
        <w:t>».</w:t>
      </w:r>
    </w:p>
    <w:p w14:paraId="57316727" w14:textId="77777777" w:rsidR="009C1D22" w:rsidRDefault="000B6C0D">
      <w:pPr>
        <w:pStyle w:val="ListParagraph"/>
        <w:numPr>
          <w:ilvl w:val="0"/>
          <w:numId w:val="15"/>
        </w:numPr>
        <w:spacing w:after="0" w:line="360" w:lineRule="auto"/>
        <w:jc w:val="both"/>
        <w:rPr>
          <w:rFonts w:ascii="Times New Roman" w:hAnsi="Times New Roman"/>
          <w:b/>
          <w:i/>
        </w:rPr>
      </w:pPr>
      <w:r>
        <w:rPr>
          <w:rFonts w:ascii="Times New Roman" w:hAnsi="Times New Roman"/>
          <w:b/>
          <w:i/>
        </w:rPr>
        <w:t xml:space="preserve">Interdiction d’emprisonner un travailleur migrant, de le priver de son autorisation de résidence ou de son permis de travail et de l’expulser pour la seule raison qu’il n’y a pas exécuté une obligation contractuelle (article 20) </w:t>
      </w:r>
    </w:p>
    <w:p w14:paraId="1D4F2A32" w14:textId="77777777" w:rsidR="009C1D22" w:rsidRDefault="000B6C0D">
      <w:pPr>
        <w:autoSpaceDE w:val="0"/>
        <w:spacing w:after="0" w:line="360" w:lineRule="auto"/>
        <w:jc w:val="both"/>
      </w:pPr>
      <w:r>
        <w:rPr>
          <w:rFonts w:ascii="Times New Roman" w:hAnsi="Times New Roman"/>
          <w:b/>
          <w:bCs/>
        </w:rPr>
        <w:t>66.</w:t>
      </w:r>
      <w:r>
        <w:rPr>
          <w:rFonts w:ascii="Times New Roman" w:hAnsi="Times New Roman"/>
          <w:bCs/>
        </w:rPr>
        <w:t xml:space="preserve"> Dans sa politique de promouvoir et de protéger les Droits de l’Homme en général et les droits des travailleurs migrants et les membres de leur famille en particulier, le Gouvernement de la</w:t>
      </w:r>
      <w:r>
        <w:rPr>
          <w:rFonts w:ascii="Times New Roman" w:hAnsi="Times New Roman"/>
          <w:b/>
          <w:bCs/>
        </w:rPr>
        <w:t xml:space="preserve"> </w:t>
      </w:r>
      <w:r>
        <w:rPr>
          <w:rFonts w:ascii="Times New Roman" w:hAnsi="Times New Roman"/>
          <w:bCs/>
        </w:rPr>
        <w:t>Républiqu</w:t>
      </w:r>
      <w:r>
        <w:rPr>
          <w:rFonts w:ascii="Times New Roman" w:hAnsi="Times New Roman"/>
          <w:b/>
          <w:bCs/>
        </w:rPr>
        <w:t>e</w:t>
      </w:r>
      <w:r>
        <w:rPr>
          <w:rFonts w:ascii="Times New Roman" w:hAnsi="Times New Roman"/>
          <w:bCs/>
        </w:rPr>
        <w:t xml:space="preserve"> du Tchad a pris en compte dans l’avant-projet de loi </w:t>
      </w:r>
      <w:r>
        <w:rPr>
          <w:rFonts w:ascii="Times New Roman" w:hAnsi="Times New Roman"/>
        </w:rPr>
        <w:t>portant</w:t>
      </w:r>
      <w:r>
        <w:rPr>
          <w:rFonts w:ascii="Times New Roman" w:hAnsi="Times New Roman"/>
          <w:bCs/>
        </w:rPr>
        <w:t xml:space="preserve"> protection des</w:t>
      </w:r>
      <w:r>
        <w:rPr>
          <w:rFonts w:ascii="Times New Roman" w:hAnsi="Times New Roman"/>
          <w:bCs/>
          <w:strike/>
        </w:rPr>
        <w:t xml:space="preserve"> </w:t>
      </w:r>
      <w:r>
        <w:rPr>
          <w:rFonts w:ascii="Times New Roman" w:hAnsi="Times New Roman"/>
          <w:bCs/>
        </w:rPr>
        <w:t>Droits des Travailleurs Migrants et les membres de leur famille en République du Tchad l’interdiction d’emprisonner un travailleur migrant, de le priver de son autorisation de résidence ou de son permis de travail ni de  l’expulser pour la seule raison qu'il n'a pas exécuté une obligation résultant d'un contrat de travail, à moins que l'exécution de cette obligation ne constitue une condition de l'octroi de cette autorisation ou de ce permis</w:t>
      </w:r>
      <w:r>
        <w:rPr>
          <w:rFonts w:ascii="Times New Roman" w:hAnsi="Times New Roman"/>
        </w:rPr>
        <w:t>.</w:t>
      </w:r>
    </w:p>
    <w:p w14:paraId="011290A4" w14:textId="77777777" w:rsidR="009C1D22" w:rsidRDefault="000B6C0D">
      <w:pPr>
        <w:pStyle w:val="ListParagraph"/>
        <w:numPr>
          <w:ilvl w:val="0"/>
          <w:numId w:val="15"/>
        </w:numPr>
        <w:spacing w:after="0" w:line="360" w:lineRule="auto"/>
        <w:jc w:val="both"/>
      </w:pPr>
      <w:r>
        <w:rPr>
          <w:rFonts w:ascii="Times New Roman" w:hAnsi="Times New Roman"/>
          <w:b/>
          <w:i/>
        </w:rPr>
        <w:t>Protection contre la confiscation et/ou la destruction de pièces d’identité et autres documents, protection contre l’expulsion collective, droit de recours à la protection consulaire ou diplomatique (articles 21, 22 et 23 de la convention</w:t>
      </w:r>
      <w:r>
        <w:rPr>
          <w:rFonts w:ascii="Times New Roman" w:hAnsi="Times New Roman"/>
          <w:i/>
        </w:rPr>
        <w:t>)</w:t>
      </w:r>
    </w:p>
    <w:p w14:paraId="40439A33" w14:textId="77777777" w:rsidR="009C1D22" w:rsidRDefault="000B6C0D">
      <w:pPr>
        <w:spacing w:after="0" w:line="360" w:lineRule="auto"/>
        <w:jc w:val="both"/>
      </w:pPr>
      <w:r>
        <w:rPr>
          <w:rFonts w:ascii="Times New Roman" w:hAnsi="Times New Roman"/>
          <w:b/>
        </w:rPr>
        <w:t>67.</w:t>
      </w:r>
      <w:r>
        <w:rPr>
          <w:rFonts w:ascii="Times New Roman" w:hAnsi="Times New Roman"/>
        </w:rPr>
        <w:t xml:space="preserve"> Dans le souci de respecter ses engagements internationaux, la République du Tchad a déclenché le processus de l’adoption d’une loi portant</w:t>
      </w:r>
      <w:r>
        <w:rPr>
          <w:rFonts w:ascii="Times New Roman" w:hAnsi="Times New Roman"/>
          <w:bCs/>
        </w:rPr>
        <w:t xml:space="preserve"> Protection des</w:t>
      </w:r>
      <w:r>
        <w:rPr>
          <w:rFonts w:ascii="Times New Roman" w:hAnsi="Times New Roman"/>
          <w:bCs/>
          <w:strike/>
        </w:rPr>
        <w:t xml:space="preserve"> </w:t>
      </w:r>
      <w:r>
        <w:rPr>
          <w:rFonts w:ascii="Times New Roman" w:hAnsi="Times New Roman"/>
          <w:bCs/>
        </w:rPr>
        <w:t xml:space="preserve">Droits des Travailleurs Migrants et les membres de leur famille en République du Tchad. Cet avant-projet de loi prend en compte la </w:t>
      </w:r>
      <w:r>
        <w:rPr>
          <w:rFonts w:ascii="Times New Roman" w:hAnsi="Times New Roman"/>
        </w:rPr>
        <w:t>protection contre la confiscation et/ou la destruction de pièces d’identité et autres documents, protection contre l’expulsion collective, droit de recours à la protection consulaire ou diplomatique.</w:t>
      </w:r>
    </w:p>
    <w:p w14:paraId="7C7F8053" w14:textId="77777777" w:rsidR="009C1D22" w:rsidRDefault="000B6C0D">
      <w:pPr>
        <w:pStyle w:val="ListParagraph"/>
        <w:numPr>
          <w:ilvl w:val="0"/>
          <w:numId w:val="15"/>
        </w:numPr>
        <w:spacing w:after="0" w:line="360" w:lineRule="auto"/>
        <w:jc w:val="both"/>
      </w:pPr>
      <w:r>
        <w:rPr>
          <w:rFonts w:ascii="Times New Roman" w:hAnsi="Times New Roman"/>
          <w:b/>
          <w:i/>
        </w:rPr>
        <w:lastRenderedPageBreak/>
        <w:t>Principe de l’égalité de traitement en ce qui concerne : la rémunération et les autres conditions de travail et d’emploi, la sécurité sociale, le droit de recevoir des soins médicaux d’urgence (articles 25, 27 et 28 de la convention</w:t>
      </w:r>
      <w:r>
        <w:rPr>
          <w:rFonts w:ascii="Times New Roman" w:hAnsi="Times New Roman"/>
          <w:b/>
        </w:rPr>
        <w:t xml:space="preserve">) </w:t>
      </w:r>
    </w:p>
    <w:p w14:paraId="426AE7BD" w14:textId="77777777" w:rsidR="009C1D22" w:rsidRDefault="000B6C0D">
      <w:pPr>
        <w:spacing w:after="0" w:line="360" w:lineRule="auto"/>
        <w:jc w:val="both"/>
      </w:pPr>
      <w:r>
        <w:rPr>
          <w:rFonts w:ascii="Times New Roman" w:hAnsi="Times New Roman"/>
          <w:b/>
        </w:rPr>
        <w:t>68.</w:t>
      </w:r>
      <w:r>
        <w:rPr>
          <w:rFonts w:ascii="Times New Roman" w:hAnsi="Times New Roman"/>
        </w:rPr>
        <w:t xml:space="preserve"> En matière de la règlementation d’emploi, c’est le Ministère en charge du Travail qui organise les conditions du travail des étrangers notamment à travers l’Office National pour la Promotion de l’Emploi (ONAPE). Régi par le décret </w:t>
      </w:r>
      <w:r>
        <w:rPr>
          <w:rFonts w:ascii="Times New Roman" w:hAnsi="Times New Roman"/>
          <w:b/>
        </w:rPr>
        <w:t>N°</w:t>
      </w:r>
      <w:r>
        <w:rPr>
          <w:rFonts w:ascii="Times New Roman" w:hAnsi="Times New Roman"/>
        </w:rPr>
        <w:t>471/PR/MFPT/92 du 10 septembre 1992, l’ONAPE est « </w:t>
      </w:r>
      <w:r>
        <w:rPr>
          <w:rFonts w:ascii="Times New Roman" w:hAnsi="Times New Roman"/>
          <w:i/>
        </w:rPr>
        <w:t>chargé de mettre en œuvre la politique nationale en matière d’emploi, d’orientation de placement et de mouvement de main d’œuvre</w:t>
      </w:r>
      <w:r>
        <w:rPr>
          <w:rFonts w:ascii="Times New Roman" w:hAnsi="Times New Roman"/>
        </w:rPr>
        <w:t> ».</w:t>
      </w:r>
    </w:p>
    <w:p w14:paraId="1A49139B" w14:textId="77777777" w:rsidR="009C1D22" w:rsidRDefault="000B6C0D">
      <w:pPr>
        <w:spacing w:after="0" w:line="360" w:lineRule="auto"/>
        <w:jc w:val="both"/>
      </w:pPr>
      <w:r>
        <w:rPr>
          <w:rFonts w:ascii="Times New Roman" w:hAnsi="Times New Roman"/>
          <w:b/>
        </w:rPr>
        <w:t>69</w:t>
      </w:r>
      <w:r>
        <w:rPr>
          <w:rFonts w:ascii="Times New Roman" w:hAnsi="Times New Roman"/>
        </w:rPr>
        <w:t>. Il est chargé également de régler « </w:t>
      </w:r>
      <w:r>
        <w:rPr>
          <w:rFonts w:ascii="Times New Roman" w:hAnsi="Times New Roman"/>
          <w:i/>
        </w:rPr>
        <w:t>en liaison avec les services de l’immigration, les modalités de recrutement de la main d’œuvre étrangère et organise les opérations d’introduction et de rapatriement de cette main d’œuvre </w:t>
      </w:r>
      <w:r>
        <w:rPr>
          <w:rFonts w:ascii="Times New Roman" w:hAnsi="Times New Roman"/>
        </w:rPr>
        <w:t xml:space="preserve">». </w:t>
      </w:r>
    </w:p>
    <w:p w14:paraId="0081E1E7" w14:textId="77777777" w:rsidR="009C1D22" w:rsidRDefault="000B6C0D">
      <w:pPr>
        <w:pStyle w:val="ListParagraph"/>
        <w:numPr>
          <w:ilvl w:val="0"/>
          <w:numId w:val="15"/>
        </w:numPr>
        <w:spacing w:after="0" w:line="360" w:lineRule="auto"/>
        <w:jc w:val="both"/>
        <w:rPr>
          <w:rFonts w:ascii="Times New Roman" w:hAnsi="Times New Roman"/>
          <w:b/>
          <w:i/>
        </w:rPr>
      </w:pPr>
      <w:r>
        <w:rPr>
          <w:rFonts w:ascii="Times New Roman" w:hAnsi="Times New Roman"/>
          <w:b/>
          <w:i/>
        </w:rPr>
        <w:t>Droit de tout enfant d’un travailleur migrant à un nom, à l’enregistrement de sa naissance et à une nationalité, accès à l’éducation sur la base de l’égalité de traitement, respect de l’identité culturelle des travailleurs migrants et des membres de leur famille (articles 29, 30 et 31 de la convention)</w:t>
      </w:r>
    </w:p>
    <w:p w14:paraId="11C3FE10" w14:textId="77777777" w:rsidR="009C1D22" w:rsidRDefault="000B6C0D">
      <w:pPr>
        <w:spacing w:after="0" w:line="360" w:lineRule="auto"/>
        <w:jc w:val="both"/>
      </w:pPr>
      <w:r>
        <w:rPr>
          <w:rFonts w:ascii="Times New Roman" w:hAnsi="Times New Roman"/>
          <w:b/>
        </w:rPr>
        <w:t>70.</w:t>
      </w:r>
      <w:r>
        <w:rPr>
          <w:rFonts w:ascii="Times New Roman" w:hAnsi="Times New Roman"/>
        </w:rPr>
        <w:t xml:space="preserve"> Au Tchad, l’enregistrement des naissances est un droit reconnu à tous les enfants nés sur le territoire national. Pour garantir l'effectivité de ce droit, le Gouvernement de la République du Tchad a pris diverses mesures qui tendent à faciliter l'accès aux formalités d'enregistrement aux habitants de toutes les provinces du Tchad à travers l’Ordonnance N° 002/PR/2020, du 14 février 2020 portant organisation de l’état civil en République du Tchad ratifiée par la Loi N°06/PR/2020 du 29 mai 2020 et le Décret N°3143/PCMT/PMT/MSPI/2022 du 07 Octobre 2022 portant application de l’ordonnance N° 002/PR/2020, du 14 février 2020 portant organisation de l’Etat civil en République du Tchad,  qui dispose en son article 12 que : </w:t>
      </w:r>
      <w:r>
        <w:rPr>
          <w:rFonts w:ascii="Times New Roman" w:hAnsi="Times New Roman"/>
          <w:i/>
          <w:iCs/>
        </w:rPr>
        <w:t xml:space="preserve">« l’enregistrement des faits et actes de l’état civil est gratuit. La délivrance des actes originaux est gratuite … ». </w:t>
      </w:r>
    </w:p>
    <w:p w14:paraId="26F6668F" w14:textId="77777777" w:rsidR="009C1D22" w:rsidRDefault="000B6C0D">
      <w:pPr>
        <w:spacing w:after="0" w:line="360" w:lineRule="auto"/>
        <w:jc w:val="both"/>
      </w:pPr>
      <w:r>
        <w:rPr>
          <w:rFonts w:ascii="Times New Roman" w:hAnsi="Times New Roman"/>
          <w:b/>
        </w:rPr>
        <w:t>71.</w:t>
      </w:r>
      <w:r>
        <w:rPr>
          <w:rFonts w:ascii="Times New Roman" w:hAnsi="Times New Roman"/>
        </w:rPr>
        <w:t xml:space="preserve"> Parallèlement, le Gouvernement continue à renforcer la mise en œuvre du plan</w:t>
      </w:r>
      <w:r>
        <w:rPr>
          <w:rFonts w:ascii="Times New Roman" w:hAnsi="Times New Roman"/>
        </w:rPr>
        <w:br/>
        <w:t>stratégique issu de l’évaluation globale du système d’état civil pour se doter d'un</w:t>
      </w:r>
      <w:r>
        <w:rPr>
          <w:rFonts w:ascii="Times New Roman" w:hAnsi="Times New Roman"/>
        </w:rPr>
        <w:br/>
        <w:t xml:space="preserve">système d'état civil fiable et pérenne à travers la loi N°06/PR/2020 du 29 mai 2020, qui prévoit l'enregistrement à l'état civil de tous les enfants (des nationaux, des ressortissants étrangers nés sur le territoire, des apatrides, des retournés et des réfugiés, les enfants légitimes ou naturels nés au Tchad), aux termes de l’article 12 du Code de nationalité, « sont tchadiens : les enfants nés au Tchad de parents étrangers ; toutefois, ils peuvent, si les deux ascendants ont la même nationalité, </w:t>
      </w:r>
      <w:r>
        <w:rPr>
          <w:rFonts w:ascii="Times New Roman" w:hAnsi="Times New Roman"/>
        </w:rPr>
        <w:lastRenderedPageBreak/>
        <w:t>opter pour cette nationalité ; ce droit d’option ne peut s’exercer que si la législation du pays dont les ascendants sont nationaux le permet ».</w:t>
      </w:r>
    </w:p>
    <w:p w14:paraId="55C94A83" w14:textId="77777777" w:rsidR="009C1D22" w:rsidRDefault="000B6C0D">
      <w:pPr>
        <w:spacing w:after="0" w:line="360" w:lineRule="auto"/>
        <w:jc w:val="both"/>
      </w:pPr>
      <w:r>
        <w:rPr>
          <w:rFonts w:ascii="Times New Roman" w:eastAsia="Tahoma" w:hAnsi="Times New Roman"/>
          <w:b/>
          <w:lang w:eastAsia="fr-SN"/>
        </w:rPr>
        <w:t>72.</w:t>
      </w:r>
      <w:r>
        <w:rPr>
          <w:rFonts w:ascii="Times New Roman" w:eastAsia="Tahoma" w:hAnsi="Times New Roman"/>
          <w:lang w:eastAsia="fr-SN"/>
        </w:rPr>
        <w:t xml:space="preserve"> La loi N° 016/PR</w:t>
      </w:r>
      <w:r>
        <w:rPr>
          <w:rFonts w:ascii="Times New Roman" w:eastAsia="Tahoma" w:hAnsi="Times New Roman"/>
          <w:b/>
          <w:lang w:eastAsia="fr-SN"/>
        </w:rPr>
        <w:t>/</w:t>
      </w:r>
      <w:r>
        <w:rPr>
          <w:rFonts w:ascii="Times New Roman" w:eastAsia="Tahoma" w:hAnsi="Times New Roman"/>
          <w:lang w:eastAsia="fr-SN"/>
        </w:rPr>
        <w:t>2006 du 13 mars 2006</w:t>
      </w:r>
      <w:r>
        <w:rPr>
          <w:rFonts w:ascii="Times New Roman" w:eastAsia="Tahoma" w:hAnsi="Times New Roman"/>
          <w:b/>
          <w:lang w:eastAsia="fr-SN"/>
        </w:rPr>
        <w:t xml:space="preserve"> </w:t>
      </w:r>
      <w:r>
        <w:rPr>
          <w:rFonts w:ascii="Times New Roman" w:eastAsia="Tahoma" w:hAnsi="Times New Roman"/>
          <w:lang w:eastAsia="fr-SN"/>
        </w:rPr>
        <w:t>portant orientation du système éducatif tchadien fixe le cadre juridique et organisationnel général, ainsi que les orientations fondamentales du système éducatif tchadien. Elle dispose que l'éducation est “une priorité absolue”. Cette disposition s’applique aussi aux personnes d’origine étrangère.</w:t>
      </w:r>
    </w:p>
    <w:p w14:paraId="263C5B85" w14:textId="77777777" w:rsidR="009C1D22" w:rsidRDefault="000B6C0D">
      <w:pPr>
        <w:pStyle w:val="ListParagraph"/>
        <w:numPr>
          <w:ilvl w:val="0"/>
          <w:numId w:val="15"/>
        </w:numPr>
        <w:spacing w:after="0" w:line="360" w:lineRule="auto"/>
        <w:jc w:val="both"/>
      </w:pPr>
      <w:r>
        <w:rPr>
          <w:rFonts w:ascii="Times New Roman" w:hAnsi="Times New Roman"/>
          <w:b/>
        </w:rPr>
        <w:t>Droit des travailleurs migrants de transférer leurs gains, leurs économies et leurs effets personnels dans l’Etat d’origine, droit d’être informé des droits que leur confère la Convention et diffusion d’informations (articles 32 et 33</w:t>
      </w:r>
      <w:r>
        <w:rPr>
          <w:rFonts w:ascii="Times New Roman" w:hAnsi="Times New Roman"/>
        </w:rPr>
        <w:t xml:space="preserve">) </w:t>
      </w:r>
    </w:p>
    <w:p w14:paraId="748FC9E4" w14:textId="77777777" w:rsidR="009C1D22" w:rsidRDefault="000B6C0D">
      <w:pPr>
        <w:spacing w:after="0" w:line="360" w:lineRule="auto"/>
        <w:jc w:val="both"/>
      </w:pPr>
      <w:r>
        <w:rPr>
          <w:rFonts w:ascii="Times New Roman" w:hAnsi="Times New Roman"/>
          <w:b/>
        </w:rPr>
        <w:t>73</w:t>
      </w:r>
      <w:r>
        <w:rPr>
          <w:rFonts w:ascii="Times New Roman" w:hAnsi="Times New Roman"/>
        </w:rPr>
        <w:t>. Selon l’article 16 de la Constitution de la Vème République, « </w:t>
      </w:r>
      <w:r>
        <w:rPr>
          <w:rFonts w:ascii="Times New Roman" w:hAnsi="Times New Roman"/>
          <w:bCs/>
          <w:i/>
          <w:szCs w:val="28"/>
        </w:rPr>
        <w:t>sous réserve des droits politiques, les étrangers régulièrement admis sur le territoire de la République du Tchad bénéficient des mêmes droits et libertés que les nationaux dans les limites de la loi. Ils sont tenus de se conformer à la Constitution, aux lois et règlements de la République </w:t>
      </w:r>
      <w:r>
        <w:rPr>
          <w:rFonts w:ascii="Times New Roman" w:hAnsi="Times New Roman"/>
          <w:bCs/>
          <w:i/>
          <w:sz w:val="28"/>
          <w:szCs w:val="28"/>
        </w:rPr>
        <w:t>». </w:t>
      </w:r>
    </w:p>
    <w:p w14:paraId="4B412218" w14:textId="77777777" w:rsidR="009C1D22" w:rsidRDefault="000B6C0D">
      <w:pPr>
        <w:spacing w:after="0" w:line="360" w:lineRule="auto"/>
        <w:jc w:val="both"/>
        <w:rPr>
          <w:rFonts w:ascii="Times New Roman" w:eastAsia="Times New Roman" w:hAnsi="Times New Roman"/>
          <w:bCs/>
          <w:lang w:eastAsia="fr-FR"/>
        </w:rPr>
      </w:pPr>
      <w:r>
        <w:rPr>
          <w:rFonts w:ascii="Times New Roman" w:eastAsia="Times New Roman" w:hAnsi="Times New Roman"/>
          <w:b/>
          <w:bCs/>
          <w:lang w:eastAsia="fr-FR"/>
        </w:rPr>
        <w:t>74.</w:t>
      </w:r>
      <w:r>
        <w:rPr>
          <w:rFonts w:ascii="Times New Roman" w:eastAsia="Times New Roman" w:hAnsi="Times New Roman"/>
          <w:bCs/>
          <w:lang w:eastAsia="fr-FR"/>
        </w:rPr>
        <w:t xml:space="preserve"> De plus</w:t>
      </w:r>
      <w:r>
        <w:rPr>
          <w:rFonts w:ascii="Times New Roman" w:eastAsia="Times New Roman" w:hAnsi="Times New Roman"/>
          <w:b/>
          <w:bCs/>
          <w:lang w:eastAsia="fr-FR"/>
        </w:rPr>
        <w:t>,</w:t>
      </w:r>
      <w:r>
        <w:rPr>
          <w:rFonts w:ascii="Times New Roman" w:eastAsia="Times New Roman" w:hAnsi="Times New Roman"/>
          <w:bCs/>
          <w:lang w:eastAsia="fr-FR"/>
        </w:rPr>
        <w:t xml:space="preserve"> l’avant-projet</w:t>
      </w:r>
      <w:r>
        <w:rPr>
          <w:rFonts w:ascii="Times New Roman" w:hAnsi="Times New Roman"/>
          <w:bCs/>
        </w:rPr>
        <w:t xml:space="preserve"> de loi portant Protection des</w:t>
      </w:r>
      <w:r>
        <w:rPr>
          <w:rFonts w:ascii="Times New Roman" w:hAnsi="Times New Roman"/>
          <w:bCs/>
          <w:strike/>
        </w:rPr>
        <w:t xml:space="preserve"> </w:t>
      </w:r>
      <w:r>
        <w:rPr>
          <w:rFonts w:ascii="Times New Roman" w:hAnsi="Times New Roman"/>
          <w:bCs/>
        </w:rPr>
        <w:t xml:space="preserve">Droits des Travailleurs Migrants et les membres de leur famille en République du Tchad </w:t>
      </w:r>
      <w:r>
        <w:rPr>
          <w:rFonts w:ascii="Times New Roman" w:eastAsia="Times New Roman" w:hAnsi="Times New Roman"/>
          <w:bCs/>
          <w:lang w:eastAsia="fr-FR"/>
        </w:rPr>
        <w:t>reconnait que les travailleurs migrants ont le droit de transférer leurs gains et économies, en particulier les fonds nécessaires à l'entretien de leur famille, de l'Etat d'emploi à leur Etat d'origine ou à tout autre Etat. Ces transferts s'opèrent conformément aux procédures établies par la législation applicable au Tchad.</w:t>
      </w:r>
    </w:p>
    <w:p w14:paraId="1CC5CCB6" w14:textId="77777777" w:rsidR="0025137F" w:rsidRDefault="0025137F">
      <w:pPr>
        <w:spacing w:after="0" w:line="360" w:lineRule="auto"/>
        <w:jc w:val="both"/>
      </w:pPr>
    </w:p>
    <w:p w14:paraId="6B4B1B5C" w14:textId="77777777" w:rsidR="009C1D22" w:rsidRDefault="000B6C0D">
      <w:pPr>
        <w:pStyle w:val="ListParagraph"/>
        <w:numPr>
          <w:ilvl w:val="0"/>
          <w:numId w:val="14"/>
        </w:numPr>
        <w:spacing w:after="0" w:line="360" w:lineRule="auto"/>
        <w:jc w:val="both"/>
      </w:pPr>
      <w:bookmarkStart w:id="50" w:name="_Toc177633298"/>
      <w:r>
        <w:rPr>
          <w:rFonts w:ascii="Times New Roman" w:eastAsia="Times New Roman" w:hAnsi="Times New Roman"/>
          <w:b/>
          <w:lang w:val="fr-CA"/>
        </w:rPr>
        <w:t xml:space="preserve">AUTRES DROITS DES TRAVAILLEURS MIGRANTS ET DES MEMBRES DE LEUR FAMILLE QUI SONT POURVUS DE DOCUMENTS OU EN SITUATION RÉGULIÈRE (Articles </w:t>
      </w:r>
      <w:r>
        <w:rPr>
          <w:rFonts w:ascii="Times New Roman" w:eastAsia="Times New Roman" w:hAnsi="Times New Roman"/>
          <w:b/>
          <w:bCs/>
          <w:lang w:val="fr-CA"/>
        </w:rPr>
        <w:t>36 à 56)</w:t>
      </w:r>
      <w:bookmarkEnd w:id="50"/>
      <w:r>
        <w:rPr>
          <w:rFonts w:ascii="Times New Roman" w:eastAsia="Times New Roman" w:hAnsi="Times New Roman"/>
          <w:bCs/>
          <w:lang w:val="fr-CA"/>
        </w:rPr>
        <w:t xml:space="preserve"> </w:t>
      </w:r>
      <w:r>
        <w:rPr>
          <w:rFonts w:ascii="Times New Roman" w:eastAsia="Times New Roman" w:hAnsi="Times New Roman"/>
          <w:b/>
          <w:lang w:val="fr-CA"/>
        </w:rPr>
        <w:t xml:space="preserve">  </w:t>
      </w:r>
    </w:p>
    <w:p w14:paraId="3B658FEF" w14:textId="77777777" w:rsidR="009C1D22" w:rsidRDefault="009C1D22">
      <w:pPr>
        <w:spacing w:after="0" w:line="360" w:lineRule="auto"/>
        <w:jc w:val="both"/>
        <w:rPr>
          <w:rFonts w:ascii="Times New Roman" w:eastAsia="Times New Roman" w:hAnsi="Times New Roman"/>
          <w:sz w:val="8"/>
          <w:lang w:val="fr-CA"/>
        </w:rPr>
      </w:pPr>
    </w:p>
    <w:p w14:paraId="424F92E0" w14:textId="77777777" w:rsidR="009C1D22" w:rsidRDefault="000B6C0D">
      <w:pPr>
        <w:spacing w:after="0" w:line="360" w:lineRule="auto"/>
        <w:jc w:val="both"/>
      </w:pPr>
      <w:r>
        <w:rPr>
          <w:rFonts w:ascii="Times New Roman" w:eastAsia="Times New Roman" w:hAnsi="Times New Roman"/>
          <w:b/>
          <w:lang w:val="fr-CA"/>
        </w:rPr>
        <w:t>75.</w:t>
      </w:r>
      <w:r>
        <w:rPr>
          <w:rFonts w:ascii="Times New Roman" w:eastAsia="Times New Roman" w:hAnsi="Times New Roman"/>
          <w:lang w:val="fr-CA"/>
        </w:rPr>
        <w:t xml:space="preserve"> Au sens du code du travail, les Tchadiens et les personnes d’origine étrangère ont les mêmes droits en ce qui concerne l’accès à l’emploi. Ainsi, l’article 6 dudit code dispose que : « sous réserve des dispositions expresses du présent code, ou de tout autre texte de nature législative ou réglementaire protégeant les femmes et les enfants ainsi que des dispositions relatives à la condition des étrangers, aucun employeur ne peut prendre en considération le sexe, l’âge ou la nationalité des travailleurs pour arrêter ses décisions en ce qui concerne notamment l’embauchage, la conduite et la répartition du travail, la formation professionnelle, l’avancement, la promotion, la rémunération, l’octroi d’avantages sociaux, la discipline ou la rupture du contrat de travail». </w:t>
      </w:r>
    </w:p>
    <w:p w14:paraId="01C2670F" w14:textId="77777777" w:rsidR="009C1D22" w:rsidRDefault="000B6C0D">
      <w:pPr>
        <w:spacing w:after="0" w:line="360" w:lineRule="auto"/>
        <w:jc w:val="both"/>
      </w:pPr>
      <w:r>
        <w:rPr>
          <w:rFonts w:ascii="Times New Roman" w:eastAsia="Times New Roman" w:hAnsi="Times New Roman"/>
          <w:b/>
          <w:lang w:val="fr-CA"/>
        </w:rPr>
        <w:t>76.</w:t>
      </w:r>
      <w:r>
        <w:rPr>
          <w:rFonts w:ascii="Times New Roman" w:eastAsia="Times New Roman" w:hAnsi="Times New Roman"/>
          <w:lang w:val="fr-CA"/>
        </w:rPr>
        <w:t xml:space="preserve"> Cependant, les travailleurs migrants et les membres de leur famille doivent prendre des mesures nécessaires pour répondre aux exigences légales, notamment </w:t>
      </w:r>
      <w:bookmarkStart w:id="51" w:name="_Hlk176426081"/>
      <w:r>
        <w:rPr>
          <w:rFonts w:ascii="Times New Roman" w:eastAsia="Times New Roman" w:hAnsi="Times New Roman"/>
          <w:lang w:val="fr-CA"/>
        </w:rPr>
        <w:t xml:space="preserve">le décret </w:t>
      </w:r>
      <w:r>
        <w:rPr>
          <w:rFonts w:ascii="Times New Roman" w:eastAsia="Times New Roman" w:hAnsi="Times New Roman"/>
          <w:lang w:val="fr-CA"/>
        </w:rPr>
        <w:lastRenderedPageBreak/>
        <w:t>N</w:t>
      </w:r>
      <w:r>
        <w:rPr>
          <w:rFonts w:ascii="Times New Roman" w:eastAsia="Times New Roman" w:hAnsi="Times New Roman"/>
          <w:b/>
          <w:lang w:val="fr-CA"/>
        </w:rPr>
        <w:t>°</w:t>
      </w:r>
      <w:r>
        <w:rPr>
          <w:rFonts w:ascii="Times New Roman" w:eastAsia="Times New Roman" w:hAnsi="Times New Roman"/>
          <w:lang w:val="fr-CA"/>
        </w:rPr>
        <w:t>0128/PR/PM/MSPI/2024 du 23 Juillet 2024, fixant les conditions d’admission aux séjours des étrangers en république du Tchad</w:t>
      </w:r>
      <w:bookmarkEnd w:id="51"/>
      <w:r>
        <w:rPr>
          <w:rFonts w:ascii="Times New Roman" w:eastAsia="Times New Roman" w:hAnsi="Times New Roman"/>
          <w:lang w:val="fr-CA"/>
        </w:rPr>
        <w:t xml:space="preserve">. Par ailleurs, le Gouvernement tchadien a pris des dispositions légales pour que les travailleurs migrants et les membres de leur famille soient informés des conditions tenant à leur emploi. Ces conditions sont contenues tant dans le code du travail que dans le Décret N°471/PR/MFPT/92 du 10 septembre 1992 relatif à l’ONAPE. Elles sont renforcées par le </w:t>
      </w:r>
      <w:r>
        <w:rPr>
          <w:rFonts w:ascii="Times New Roman" w:hAnsi="Times New Roman"/>
        </w:rPr>
        <w:t>décret N°191/PR/MFPT/96 du 15 Avril 1996 règlementant les conditions d’embauche des étrangers en République du Tchad.</w:t>
      </w:r>
    </w:p>
    <w:p w14:paraId="19F84919" w14:textId="77777777" w:rsidR="009C1D22" w:rsidRDefault="000B6C0D">
      <w:pPr>
        <w:spacing w:after="0" w:line="360" w:lineRule="auto"/>
        <w:jc w:val="both"/>
      </w:pPr>
      <w:r>
        <w:rPr>
          <w:rFonts w:ascii="Times New Roman" w:eastAsia="Times New Roman" w:hAnsi="Times New Roman"/>
          <w:b/>
          <w:lang w:val="fr-CA"/>
        </w:rPr>
        <w:t>77.</w:t>
      </w:r>
      <w:r>
        <w:rPr>
          <w:rFonts w:ascii="Times New Roman" w:eastAsia="Times New Roman" w:hAnsi="Times New Roman"/>
          <w:lang w:val="fr-CA"/>
        </w:rPr>
        <w:t xml:space="preserve"> Dans l’optique de lutter contre la discrimination et conformément à l’article 16 de la constitution tchadienne précédemment cité, les étrangers régulièrement admis sur le territoire de la République du Tchad bénéficient des mêmes droits et libertés que les nationaux. A cet effet, Ils sont tenus simplement de se conformer à la constitution, aux lois et règlements de la République.  Cette disposition constitutionnelle est renforcée par l’avant-projet de Loi portant Protection des Droits de Travailleurs Migrants et les membres de leur famille en République du Tchad.</w:t>
      </w:r>
    </w:p>
    <w:p w14:paraId="651902B9" w14:textId="77777777" w:rsidR="009C1D22" w:rsidRDefault="000B6C0D">
      <w:pPr>
        <w:spacing w:after="0" w:line="360" w:lineRule="auto"/>
        <w:jc w:val="both"/>
      </w:pPr>
      <w:r>
        <w:rPr>
          <w:rFonts w:ascii="Times New Roman" w:eastAsia="Times New Roman" w:hAnsi="Times New Roman"/>
          <w:b/>
          <w:lang w:val="fr-CA"/>
        </w:rPr>
        <w:t>74.</w:t>
      </w:r>
      <w:r>
        <w:rPr>
          <w:rFonts w:ascii="Times New Roman" w:eastAsia="Times New Roman" w:hAnsi="Times New Roman"/>
          <w:lang w:val="fr-CA"/>
        </w:rPr>
        <w:t xml:space="preserve"> La liberté de circuler des travailleurs migrants et des membres de leur famille sur l’ensemble du territoire national est régie par l’article 45 du décret </w:t>
      </w:r>
      <w:bookmarkStart w:id="52" w:name="_Hlk176509823"/>
      <w:r>
        <w:rPr>
          <w:rFonts w:ascii="Times New Roman" w:eastAsia="Times New Roman" w:hAnsi="Times New Roman"/>
          <w:lang w:val="fr-CA"/>
        </w:rPr>
        <w:t>N°0128/PR/PM/MSPI/2024 du 23 Juillet 2024 fixant les conditions d’admission aux séjours des étrangers en République du Tchad</w:t>
      </w:r>
      <w:bookmarkEnd w:id="52"/>
      <w:r>
        <w:rPr>
          <w:rFonts w:ascii="Times New Roman" w:hAnsi="Times New Roman"/>
        </w:rPr>
        <w:t xml:space="preserve">. </w:t>
      </w:r>
    </w:p>
    <w:p w14:paraId="0B8A5E5C" w14:textId="77777777" w:rsidR="009C1D22" w:rsidRDefault="000B6C0D">
      <w:pPr>
        <w:spacing w:after="0" w:line="360" w:lineRule="auto"/>
        <w:jc w:val="both"/>
      </w:pPr>
      <w:r>
        <w:rPr>
          <w:rFonts w:ascii="Times New Roman" w:eastAsia="Times New Roman" w:hAnsi="Times New Roman"/>
          <w:lang w:val="fr-CA"/>
        </w:rPr>
        <w:t xml:space="preserve">Les libertés syndicales sont reconnues dans les articles 29 de la Constitution et 294 du code du travail sans distinction d’aucune sorte. </w:t>
      </w:r>
    </w:p>
    <w:p w14:paraId="56529928" w14:textId="77777777" w:rsidR="009C1D22" w:rsidRDefault="000B6C0D">
      <w:pPr>
        <w:spacing w:after="0" w:line="360" w:lineRule="auto"/>
        <w:jc w:val="both"/>
      </w:pPr>
      <w:r>
        <w:rPr>
          <w:rFonts w:ascii="Times New Roman" w:eastAsia="Times New Roman" w:hAnsi="Times New Roman"/>
          <w:b/>
          <w:lang w:val="fr-CA"/>
        </w:rPr>
        <w:t>75</w:t>
      </w:r>
      <w:r>
        <w:rPr>
          <w:rFonts w:ascii="Times New Roman" w:eastAsia="Times New Roman" w:hAnsi="Times New Roman"/>
          <w:lang w:val="fr-CA"/>
        </w:rPr>
        <w:t>. L’État tchadien a toujours facilité le droit des migrants établis sur son territoire à participer aux affaires publiques de leur État d’origine. Et ce, grâce aux accords bilatéraux avec certains pays. A titre d’exemple, l’on peut citer la jouissance par les réfugiés centrafricains installés au Tchad de leur droit au vote lors des élections présidentielles de 2016. D’autres travailleurs migrants et les membres de leur famille ont toujours participé aux affaires publiques de leur pays d’origine à travers leurs représentations diplomatiques.</w:t>
      </w:r>
    </w:p>
    <w:p w14:paraId="39CA740A" w14:textId="77777777" w:rsidR="009C1D22" w:rsidRDefault="000B6C0D">
      <w:pPr>
        <w:spacing w:after="0" w:line="360" w:lineRule="auto"/>
        <w:jc w:val="both"/>
      </w:pPr>
      <w:r>
        <w:rPr>
          <w:rFonts w:ascii="Times New Roman" w:hAnsi="Times New Roman"/>
          <w:b/>
        </w:rPr>
        <w:t>77.</w:t>
      </w:r>
      <w:r>
        <w:rPr>
          <w:rFonts w:ascii="Times New Roman" w:hAnsi="Times New Roman"/>
        </w:rPr>
        <w:t xml:space="preserve"> Il faut souligner que le cadre institutionnel et légal est favorable aux membres de la famille d’un travailleur migrant décédé ou divorcé. En cas de décès ou de divorce, les membres de la famille du de cujus ou divorcé sont légalement protégés au même titre que les nationaux.</w:t>
      </w:r>
    </w:p>
    <w:p w14:paraId="26D27BAD" w14:textId="77777777" w:rsidR="009C1D22" w:rsidRDefault="000B6C0D">
      <w:pPr>
        <w:spacing w:after="0" w:line="360" w:lineRule="auto"/>
        <w:jc w:val="both"/>
      </w:pPr>
      <w:r>
        <w:rPr>
          <w:rFonts w:ascii="Times New Roman" w:hAnsi="Times New Roman"/>
          <w:b/>
        </w:rPr>
        <w:t>78.</w:t>
      </w:r>
      <w:r>
        <w:rPr>
          <w:rFonts w:ascii="Times New Roman" w:hAnsi="Times New Roman"/>
        </w:rPr>
        <w:t xml:space="preserve"> Les travailleurs migrants légalement installés sur le territoire tchadien et qui ne sont pas autorisés à choisir librement leur activité rémunérée jouissent de leur liberté de circuler. Ils ont le droit de chercher un autre emploi, de participer à des programmes d'intérêt public et de suivre des stages de reconversion pendant la période de validité restant à courir de leur permis de travail dans des conditions fixées par la Loi.</w:t>
      </w:r>
    </w:p>
    <w:p w14:paraId="73DF5FBB" w14:textId="77777777" w:rsidR="009C1D22" w:rsidRDefault="000B6C0D">
      <w:pPr>
        <w:spacing w:after="0" w:line="360" w:lineRule="auto"/>
        <w:jc w:val="both"/>
      </w:pPr>
      <w:r>
        <w:rPr>
          <w:rFonts w:ascii="Times New Roman" w:hAnsi="Times New Roman"/>
          <w:b/>
        </w:rPr>
        <w:lastRenderedPageBreak/>
        <w:t>79.</w:t>
      </w:r>
      <w:r>
        <w:rPr>
          <w:rFonts w:ascii="Times New Roman" w:hAnsi="Times New Roman"/>
        </w:rPr>
        <w:t xml:space="preserve"> Les travailleurs migrants établis au Tchad qui envisagent d’exercer une activité rémunérée ou non, doivent obligatoirement être titulaire d’une carte de séjour et se conformer au code du travail. Cette obligation s’étend aux membres de la famille du travailleur migrant, même si fondamentalement, la loi assure à ceux-ci une protection comme tout autre citoyen</w:t>
      </w:r>
      <w:r>
        <w:rPr>
          <w:rStyle w:val="FootnoteReference"/>
          <w:rFonts w:ascii="Times New Roman" w:hAnsi="Times New Roman"/>
        </w:rPr>
        <w:footnoteReference w:id="6"/>
      </w:r>
      <w:r>
        <w:rPr>
          <w:rFonts w:ascii="Times New Roman" w:hAnsi="Times New Roman"/>
        </w:rPr>
        <w:t>.</w:t>
      </w:r>
    </w:p>
    <w:p w14:paraId="51E3B22C" w14:textId="77777777" w:rsidR="009C1D22" w:rsidRDefault="000B6C0D">
      <w:pPr>
        <w:spacing w:after="0" w:line="360" w:lineRule="auto"/>
        <w:jc w:val="both"/>
        <w:rPr>
          <w:rFonts w:ascii="Times New Roman" w:eastAsia="Times New Roman" w:hAnsi="Times New Roman"/>
          <w:lang w:val="fr-CA"/>
        </w:rPr>
      </w:pPr>
      <w:r>
        <w:rPr>
          <w:rFonts w:ascii="Times New Roman" w:hAnsi="Times New Roman"/>
          <w:b/>
        </w:rPr>
        <w:t>80.</w:t>
      </w:r>
      <w:r>
        <w:rPr>
          <w:rFonts w:ascii="Times New Roman" w:hAnsi="Times New Roman"/>
        </w:rPr>
        <w:t xml:space="preserve"> Au terme de l’article 16 de la constitution, les travailleurs migrants et les membres de leur famille régulièrement admis sur le territoire national bénéficient des mêmes droits et libertés que les nationaux, sous réserve des droits politiques. Ce qui veut dire que l’Etat assure à tous sans distinction fondée sur la race, l’origine ethnique ou religieuse, nationalité…la protection contre la discrimination. Ces derniers ainsi que les membres de leur famille peuvent être sujets à expulsion si les conditions d’installation ne respectent pas les textes en vigueur en République du Tchad conformément au </w:t>
      </w:r>
      <w:bookmarkStart w:id="53" w:name="_Hlk176510261"/>
      <w:r>
        <w:rPr>
          <w:rFonts w:ascii="Times New Roman" w:hAnsi="Times New Roman"/>
        </w:rPr>
        <w:t xml:space="preserve">Décret </w:t>
      </w:r>
      <w:r>
        <w:rPr>
          <w:rFonts w:ascii="Times New Roman" w:eastAsia="Times New Roman" w:hAnsi="Times New Roman"/>
          <w:lang w:val="fr-CA"/>
        </w:rPr>
        <w:t>N</w:t>
      </w:r>
      <w:r>
        <w:rPr>
          <w:rFonts w:ascii="Times New Roman" w:eastAsia="Times New Roman" w:hAnsi="Times New Roman"/>
          <w:b/>
          <w:lang w:val="fr-CA"/>
        </w:rPr>
        <w:t xml:space="preserve">° </w:t>
      </w:r>
      <w:r>
        <w:rPr>
          <w:rFonts w:ascii="Times New Roman" w:eastAsia="Times New Roman" w:hAnsi="Times New Roman"/>
          <w:lang w:val="fr-CA"/>
        </w:rPr>
        <w:t>0128/PR/PM/MSPI/2024 fixant les conditions d’admission aux séjours des étrangers en République du Tchad</w:t>
      </w:r>
      <w:bookmarkEnd w:id="53"/>
      <w:r>
        <w:rPr>
          <w:rFonts w:ascii="Times New Roman" w:eastAsia="Times New Roman" w:hAnsi="Times New Roman"/>
          <w:lang w:val="fr-CA"/>
        </w:rPr>
        <w:t>.</w:t>
      </w:r>
    </w:p>
    <w:p w14:paraId="27371C80" w14:textId="77777777" w:rsidR="0025137F" w:rsidRDefault="0025137F">
      <w:pPr>
        <w:spacing w:after="0" w:line="360" w:lineRule="auto"/>
        <w:jc w:val="both"/>
      </w:pPr>
    </w:p>
    <w:p w14:paraId="084D1E2A" w14:textId="77777777" w:rsidR="009C1D22" w:rsidRDefault="000B6C0D">
      <w:pPr>
        <w:pStyle w:val="ListParagraph"/>
        <w:numPr>
          <w:ilvl w:val="0"/>
          <w:numId w:val="14"/>
        </w:numPr>
        <w:spacing w:after="0"/>
        <w:jc w:val="both"/>
        <w:rPr>
          <w:rFonts w:ascii="Times New Roman" w:eastAsia="Times New Roman" w:hAnsi="Times New Roman"/>
          <w:b/>
          <w:color w:val="000000"/>
          <w:lang w:val="fr-CA"/>
        </w:rPr>
      </w:pPr>
      <w:bookmarkStart w:id="54" w:name="_Toc177633299"/>
      <w:r>
        <w:rPr>
          <w:rFonts w:ascii="Times New Roman" w:eastAsia="Times New Roman" w:hAnsi="Times New Roman"/>
          <w:b/>
          <w:color w:val="000000"/>
          <w:lang w:val="fr-CA"/>
        </w:rPr>
        <w:t>DISPOSITIONS APPLICABLES À DES CATÉGORIES PARTICULIÈRES DE TRAVAILLEURS MIGRANTS ET AUX MEMBRES DE LEUR FAMILLE (article 57 à 63) :</w:t>
      </w:r>
      <w:bookmarkEnd w:id="54"/>
    </w:p>
    <w:p w14:paraId="118AE590" w14:textId="77777777" w:rsidR="009C1D22" w:rsidRDefault="000B6C0D">
      <w:pPr>
        <w:spacing w:before="120" w:after="0" w:line="360" w:lineRule="auto"/>
        <w:jc w:val="both"/>
      </w:pPr>
      <w:r>
        <w:rPr>
          <w:rFonts w:ascii="Times New Roman" w:eastAsia="Times New Roman" w:hAnsi="Times New Roman"/>
          <w:b/>
          <w:color w:val="000000"/>
        </w:rPr>
        <w:t>81.</w:t>
      </w:r>
      <w:r>
        <w:rPr>
          <w:rFonts w:ascii="Times New Roman" w:eastAsia="Times New Roman" w:hAnsi="Times New Roman"/>
          <w:color w:val="000000"/>
        </w:rPr>
        <w:t xml:space="preserve"> L</w:t>
      </w:r>
      <w:r>
        <w:rPr>
          <w:rFonts w:ascii="Times New Roman" w:eastAsia="Times New Roman" w:hAnsi="Times New Roman"/>
          <w:color w:val="000000"/>
          <w:lang w:val="fr-CA"/>
        </w:rPr>
        <w:t xml:space="preserve">es catégories particulières de travailleurs migrants et les membres de leur famille, telles que les travailleurs frontaliers, saisonniers, itinérants, indépendants ou admis à un emploi spécifique, </w:t>
      </w:r>
      <w:r>
        <w:rPr>
          <w:rFonts w:ascii="Times New Roman" w:eastAsia="Times New Roman" w:hAnsi="Times New Roman"/>
          <w:lang w:val="fr-CA"/>
        </w:rPr>
        <w:t>bénéficient de mêmes droits et protection que les nationaux conformément aux dispositions de l’article 16 de la Constitution</w:t>
      </w:r>
      <w:r>
        <w:rPr>
          <w:rFonts w:ascii="Times New Roman" w:hAnsi="Times New Roman"/>
          <w:bCs/>
          <w:i/>
        </w:rPr>
        <w:t xml:space="preserve">. </w:t>
      </w:r>
    </w:p>
    <w:p w14:paraId="1895708D" w14:textId="77777777" w:rsidR="009C1D22" w:rsidRDefault="000B6C0D">
      <w:pPr>
        <w:spacing w:before="120" w:after="0" w:line="360" w:lineRule="auto"/>
        <w:jc w:val="both"/>
      </w:pPr>
      <w:r>
        <w:rPr>
          <w:rFonts w:ascii="Times New Roman" w:hAnsi="Times New Roman"/>
          <w:b/>
          <w:bCs/>
        </w:rPr>
        <w:t>82.</w:t>
      </w:r>
      <w:r>
        <w:rPr>
          <w:rFonts w:ascii="Times New Roman" w:hAnsi="Times New Roman"/>
          <w:bCs/>
        </w:rPr>
        <w:t xml:space="preserve"> En ce qui concerne les droits qui protègent ces catégories, il faut noter que le Tchad a signé et ratifié plusieurs instruments juridiques internationaux tels que spécifiés dans la première partie du présent rapport.</w:t>
      </w:r>
    </w:p>
    <w:p w14:paraId="380B7D48" w14:textId="77777777" w:rsidR="009C1D22" w:rsidRDefault="000B6C0D">
      <w:pPr>
        <w:spacing w:before="120" w:after="0" w:line="360" w:lineRule="auto"/>
        <w:jc w:val="both"/>
      </w:pPr>
      <w:r>
        <w:rPr>
          <w:rFonts w:ascii="Times New Roman" w:eastAsia="Times New Roman" w:hAnsi="Times New Roman"/>
          <w:b/>
          <w:lang w:eastAsia="fr-FR"/>
        </w:rPr>
        <w:t>83.</w:t>
      </w:r>
      <w:r>
        <w:rPr>
          <w:rFonts w:ascii="Times New Roman" w:eastAsia="Times New Roman" w:hAnsi="Times New Roman"/>
          <w:lang w:eastAsia="fr-FR"/>
        </w:rPr>
        <w:t xml:space="preserve"> Pour les travailleurs frontaliers, ils sont des</w:t>
      </w:r>
      <w:r>
        <w:rPr>
          <w:rFonts w:ascii="Times New Roman" w:eastAsia="Times New Roman" w:hAnsi="Times New Roman"/>
          <w:bCs/>
          <w:lang w:eastAsia="fr-FR"/>
        </w:rPr>
        <w:t xml:space="preserve"> migrants qui maintiennent leur résidence habituelle dans un Etat voisin dans lequel ils reviennent en principe chaque jour ou au moins une fois par semaine. Il est à remarquer que l</w:t>
      </w:r>
      <w:r>
        <w:rPr>
          <w:rFonts w:ascii="Times New Roman" w:eastAsia="Century Gothic" w:hAnsi="Times New Roman"/>
        </w:rPr>
        <w:t>a majorité des travailleurs migrants au Tchad provient des pays limitrophes (Cameroun, RCA, Lybie, Soudan, Niger et Nigeria) et plus loin de l’Afrique de l’Ouest (Burkina Faso, Bénin et le Togo). Ceux- ci exercent pour la plupart dans le secteur informel. Il y en a d’autres qui exercent dans le secteur formel parmi lesquels on trouve les ressortissants du Cameroun, Sénégal, Nigéria, Maroc, Algérie et de certains pays de l’Europe et d’Amérique.</w:t>
      </w:r>
    </w:p>
    <w:p w14:paraId="2BD20581" w14:textId="77777777" w:rsidR="009C1D22" w:rsidRDefault="000B6C0D">
      <w:pPr>
        <w:pStyle w:val="Default"/>
        <w:spacing w:line="360" w:lineRule="auto"/>
        <w:jc w:val="both"/>
      </w:pPr>
      <w:r>
        <w:rPr>
          <w:rFonts w:eastAsia="Times New Roman"/>
          <w:bCs/>
          <w:color w:val="auto"/>
        </w:rPr>
        <w:lastRenderedPageBreak/>
        <w:t>Dans la</w:t>
      </w:r>
      <w:r>
        <w:rPr>
          <w:rFonts w:eastAsia="Times New Roman"/>
          <w:color w:val="auto"/>
        </w:rPr>
        <w:t xml:space="preserve"> région du Lac Tchad et particulièrement dans les îles, les personnes originaires du Mali, du Nigéria, du Niger et du Cameroun sont employées dans les activités de la pêche, du commerce, de l’agriculture et de l’élevage.</w:t>
      </w:r>
    </w:p>
    <w:p w14:paraId="3329F13E" w14:textId="77777777" w:rsidR="009C1D22" w:rsidRDefault="000B6C0D">
      <w:pPr>
        <w:spacing w:after="0" w:line="360" w:lineRule="auto"/>
        <w:jc w:val="both"/>
      </w:pPr>
      <w:r>
        <w:rPr>
          <w:rFonts w:ascii="Times New Roman" w:eastAsia="Century Gothic" w:hAnsi="Times New Roman"/>
          <w:b/>
        </w:rPr>
        <w:t>84.</w:t>
      </w:r>
      <w:r>
        <w:rPr>
          <w:rFonts w:ascii="Times New Roman" w:eastAsia="Century Gothic" w:hAnsi="Times New Roman"/>
        </w:rPr>
        <w:t xml:space="preserve"> Les droits des catégories spécifiques des travailleurs migrants sont garantis par la Constitution qui dispose à son article 20 que </w:t>
      </w:r>
      <w:r>
        <w:rPr>
          <w:rFonts w:ascii="Times New Roman" w:hAnsi="Times New Roman"/>
        </w:rPr>
        <w:t>« l’esclavage, la servitude, la traite des êtres humains, le travail forcé … ainsi que toutes les formes de violence et d’avilissement de l’être humain sont interdits ». L’article 21 renchérit que tout individu a droit au libre épanouissement de sa personne dans le respect des droits d’autrui, de bonne mœurs et de l’ordre public.</w:t>
      </w:r>
    </w:p>
    <w:p w14:paraId="6B18A705" w14:textId="77777777" w:rsidR="009C1D22" w:rsidRDefault="009C1D22">
      <w:pPr>
        <w:spacing w:after="0" w:line="360" w:lineRule="auto"/>
        <w:jc w:val="both"/>
        <w:rPr>
          <w:rFonts w:ascii="Times New Roman" w:hAnsi="Times New Roman"/>
          <w:sz w:val="2"/>
        </w:rPr>
      </w:pPr>
    </w:p>
    <w:p w14:paraId="2BCC604E" w14:textId="77777777" w:rsidR="009C1D22" w:rsidRDefault="000B6C0D">
      <w:pPr>
        <w:spacing w:after="0" w:line="360" w:lineRule="auto"/>
        <w:jc w:val="both"/>
      </w:pPr>
      <w:r>
        <w:rPr>
          <w:rFonts w:ascii="Times New Roman" w:hAnsi="Times New Roman"/>
          <w:b/>
          <w:bCs/>
        </w:rPr>
        <w:t>85.</w:t>
      </w:r>
      <w:r>
        <w:rPr>
          <w:rFonts w:ascii="Times New Roman" w:hAnsi="Times New Roman"/>
          <w:bCs/>
        </w:rPr>
        <w:t xml:space="preserve"> Concernant les conditions d’accès à l’emploi</w:t>
      </w:r>
      <w:r>
        <w:rPr>
          <w:rFonts w:ascii="Times New Roman" w:hAnsi="Times New Roman"/>
          <w:b/>
          <w:bCs/>
        </w:rPr>
        <w:t xml:space="preserve"> </w:t>
      </w:r>
      <w:r>
        <w:rPr>
          <w:rFonts w:ascii="Times New Roman" w:hAnsi="Times New Roman"/>
          <w:bCs/>
        </w:rPr>
        <w:t>au Tchad les</w:t>
      </w:r>
      <w:r>
        <w:rPr>
          <w:rFonts w:ascii="Times New Roman" w:hAnsi="Times New Roman"/>
          <w:b/>
          <w:bCs/>
        </w:rPr>
        <w:t xml:space="preserve"> </w:t>
      </w:r>
      <w:r>
        <w:rPr>
          <w:rFonts w:ascii="Times New Roman" w:hAnsi="Times New Roman"/>
          <w:bCs/>
        </w:rPr>
        <w:t>dispositions de la Loi N°038/PR/96 du 11 décembre 1996, portant Code du Travail au Tchad, viennent renforcer l’encadrement en matière de recrutement de la main-d’œuvre étrangère notamment les articles 67 à 72 qui traitent des conditions à remplir et de l’autorisation de travailler à délivrer par l’Office National pour la Promotion de l’Emploi (ONAPE).</w:t>
      </w:r>
    </w:p>
    <w:p w14:paraId="5A9762FB" w14:textId="77777777" w:rsidR="009C1D22" w:rsidRDefault="000B6C0D">
      <w:pPr>
        <w:spacing w:after="0" w:line="360" w:lineRule="auto"/>
        <w:jc w:val="both"/>
      </w:pPr>
      <w:r>
        <w:rPr>
          <w:rFonts w:ascii="Times New Roman" w:hAnsi="Times New Roman"/>
          <w:b/>
          <w:bCs/>
        </w:rPr>
        <w:t>86</w:t>
      </w:r>
      <w:r>
        <w:rPr>
          <w:rFonts w:ascii="Times New Roman" w:hAnsi="Times New Roman"/>
          <w:bCs/>
        </w:rPr>
        <w:t>. Cette disposition est renforcée par l’article 61 alinéa 4 du Décret N°0648/PR/2023 du 25 avril 2023 portant application de la loi 027/PR/2020 du 31 décembre 2020 sur l’Asile au Tchad qui énonce : « …l’accès à l’emploi salarié ou non salarié… »</w:t>
      </w:r>
    </w:p>
    <w:p w14:paraId="7CBD1E6E" w14:textId="77777777" w:rsidR="009C1D22" w:rsidRDefault="000B6C0D">
      <w:pPr>
        <w:spacing w:after="0" w:line="360" w:lineRule="auto"/>
        <w:jc w:val="both"/>
      </w:pPr>
      <w:r>
        <w:rPr>
          <w:rFonts w:ascii="Times New Roman" w:hAnsi="Times New Roman"/>
          <w:b/>
          <w:bCs/>
        </w:rPr>
        <w:t>87.</w:t>
      </w:r>
      <w:r>
        <w:rPr>
          <w:rFonts w:ascii="Times New Roman" w:hAnsi="Times New Roman"/>
          <w:bCs/>
        </w:rPr>
        <w:t xml:space="preserve"> Le Décret N°191/PR/MFPT/96 du 15 avril 1996 revu par le Décret N°289/PR/PM/MFPT//09 du 10 mars 2009, quant à lui, règlemente les conditions d’embauche des travailleurs en République du Tchad. Et aux termes de l’article 2 il est affirmé que : </w:t>
      </w:r>
      <w:r>
        <w:rPr>
          <w:rFonts w:ascii="Times New Roman" w:hAnsi="Times New Roman"/>
          <w:bCs/>
          <w:i/>
        </w:rPr>
        <w:t xml:space="preserve">« La proportion des étrangers pouvant être employés dans les entreprises au Tchad comme salariés est fixée à 2% du total de l’effectif des agents en poste dans ladite entreprise ». </w:t>
      </w:r>
      <w:r>
        <w:rPr>
          <w:rFonts w:ascii="Times New Roman" w:hAnsi="Times New Roman"/>
          <w:bCs/>
        </w:rPr>
        <w:t>Cependant, les entreprises pourraient déroger exceptionnellement à ces règles si leurs activités pourraient être compromises du fait de l’application de ce taux proportionnel et en conformité avec les dispositions de l’article 3 dudit Décret.</w:t>
      </w:r>
    </w:p>
    <w:p w14:paraId="7E456DB3" w14:textId="77777777" w:rsidR="009C1D22" w:rsidRDefault="000B6C0D">
      <w:pPr>
        <w:spacing w:after="0" w:line="360" w:lineRule="auto"/>
        <w:jc w:val="both"/>
      </w:pPr>
      <w:r>
        <w:rPr>
          <w:rFonts w:ascii="Times New Roman" w:hAnsi="Times New Roman"/>
          <w:b/>
        </w:rPr>
        <w:t xml:space="preserve">88. </w:t>
      </w:r>
      <w:r>
        <w:rPr>
          <w:rFonts w:ascii="Times New Roman" w:hAnsi="Times New Roman"/>
        </w:rPr>
        <w:t xml:space="preserve">Il est par contre interdit d’appliquer la discrimination dans le recrutement de la main d’œuvre étrangère conformément à l’article 6 du code de travail qui dispose </w:t>
      </w:r>
      <w:r>
        <w:rPr>
          <w:rFonts w:ascii="Times New Roman" w:hAnsi="Times New Roman"/>
          <w:i/>
          <w:iCs/>
        </w:rPr>
        <w:t>que « Sous réserve des dispositions expresses du présent code, ou de tout autre texte de nature législative ou réglementaire protégeant les femmes et les enfants ainsi que des dispositions relatives à la condition des étrangers, aucun employeur ne peut prendre en considération le sexe, l'âge ou la nationalité des travailleurs pour arrêter ses décisions en ce qui concerne notamment l'embauchage, la conduite et la répartition du travail, la formation professionnelle, l'avancement, la promotion, la rémunération, l'octroi d'avantages sociaux, la discipline ou la rupture du contrat de travail ».</w:t>
      </w:r>
    </w:p>
    <w:p w14:paraId="488E6317" w14:textId="77777777" w:rsidR="009C1D22" w:rsidRDefault="000B6C0D">
      <w:pPr>
        <w:spacing w:before="120" w:after="0" w:line="360" w:lineRule="auto"/>
        <w:jc w:val="both"/>
      </w:pPr>
      <w:r>
        <w:rPr>
          <w:rFonts w:ascii="Times New Roman" w:hAnsi="Times New Roman"/>
          <w:b/>
          <w:iCs/>
        </w:rPr>
        <w:lastRenderedPageBreak/>
        <w:t>89.</w:t>
      </w:r>
      <w:r>
        <w:rPr>
          <w:rFonts w:ascii="Times New Roman" w:hAnsi="Times New Roman"/>
          <w:iCs/>
        </w:rPr>
        <w:t xml:space="preserve"> Pour l’autorisation de séjour et de la libre circulation des catégories ci-dessus citées, </w:t>
      </w:r>
      <w:r>
        <w:rPr>
          <w:rFonts w:ascii="Times New Roman" w:eastAsia="Century Gothic" w:hAnsi="Times New Roman"/>
        </w:rPr>
        <w:t>les traités</w:t>
      </w:r>
      <w:r>
        <w:rPr>
          <w:rStyle w:val="FootnoteReference"/>
          <w:rFonts w:ascii="Times New Roman" w:eastAsia="Century Gothic" w:hAnsi="Times New Roman"/>
        </w:rPr>
        <w:footnoteReference w:id="7"/>
      </w:r>
      <w:r>
        <w:rPr>
          <w:rFonts w:ascii="Times New Roman" w:eastAsia="Century Gothic" w:hAnsi="Times New Roman"/>
        </w:rPr>
        <w:t xml:space="preserve"> de la CEEAC et de la CEMAC prônent la libre circulation des ressortissants des pays membres sur les territoires de la communauté </w:t>
      </w:r>
      <w:r>
        <w:rPr>
          <w:rFonts w:ascii="Times New Roman" w:hAnsi="Times New Roman"/>
          <w:bCs/>
        </w:rPr>
        <w:t>et l’égalité des droits avec les nationaux</w:t>
      </w:r>
      <w:r>
        <w:rPr>
          <w:rFonts w:ascii="Times New Roman" w:eastAsia="Century Gothic" w:hAnsi="Times New Roman"/>
        </w:rPr>
        <w:t xml:space="preserve">. </w:t>
      </w:r>
    </w:p>
    <w:p w14:paraId="4D087F68" w14:textId="77777777" w:rsidR="009C1D22" w:rsidRDefault="000B6C0D">
      <w:pPr>
        <w:spacing w:after="0" w:line="360" w:lineRule="auto"/>
        <w:jc w:val="both"/>
      </w:pPr>
      <w:r>
        <w:rPr>
          <w:rFonts w:ascii="Times New Roman" w:hAnsi="Times New Roman"/>
          <w:b/>
          <w:bCs/>
        </w:rPr>
        <w:t>90.</w:t>
      </w:r>
      <w:r>
        <w:rPr>
          <w:rFonts w:ascii="Times New Roman" w:hAnsi="Times New Roman"/>
          <w:bCs/>
        </w:rPr>
        <w:t xml:space="preserve"> Le Ministère de la Sécurité Publique et de l’Immigration, à travers le Décret N° 0128/PR/PM/MSPI/2024 du 23 juillet 2024 réglemente les conditions d’entrée et de séjour des étrangers au Tchad. Les questions relatives aux Réfugiés sont réglementées par la Commission Nationale d’Accueil de Réinsertion des Réfugiés et des Rapatriés (CNARR) en partenariat avec le Haut-Commissariat des Nations Unies pour les Réfugiés et le Comité International de la Croix-Rouge. La CNARR traite toutes les demandes d’asile faites sur le territoire tchadien conformément à la Convention relative aux Réfugiés et la loi portant Asile en République du Tchad.</w:t>
      </w:r>
    </w:p>
    <w:p w14:paraId="5A0CA1E8" w14:textId="77777777" w:rsidR="009C1D22" w:rsidRDefault="000B6C0D">
      <w:pPr>
        <w:spacing w:before="120" w:after="0" w:line="360" w:lineRule="auto"/>
        <w:jc w:val="both"/>
      </w:pPr>
      <w:r>
        <w:rPr>
          <w:rFonts w:ascii="Times New Roman" w:eastAsia="Century Gothic" w:hAnsi="Times New Roman"/>
          <w:b/>
        </w:rPr>
        <w:t>91.</w:t>
      </w:r>
      <w:r>
        <w:rPr>
          <w:rFonts w:ascii="Times New Roman" w:eastAsia="Century Gothic" w:hAnsi="Times New Roman"/>
        </w:rPr>
        <w:t xml:space="preserve"> Les deux tableaux ci-dessous indiquent bien les conditions de travail au Tchad d’un étranger :</w:t>
      </w:r>
    </w:p>
    <w:p w14:paraId="31AC150D" w14:textId="77777777" w:rsidR="009C1D22" w:rsidRDefault="009C1D22">
      <w:pPr>
        <w:spacing w:before="120" w:after="0" w:line="360" w:lineRule="auto"/>
        <w:jc w:val="both"/>
        <w:rPr>
          <w:rFonts w:ascii="Times New Roman" w:eastAsia="Century Gothic" w:hAnsi="Times New Roman"/>
          <w:b/>
          <w:i/>
          <w:color w:val="0070C0"/>
        </w:rPr>
      </w:pPr>
    </w:p>
    <w:p w14:paraId="31B07069" w14:textId="77777777" w:rsidR="009C1D22" w:rsidRDefault="009C1D22">
      <w:pPr>
        <w:spacing w:before="120" w:after="0" w:line="360" w:lineRule="auto"/>
        <w:jc w:val="both"/>
        <w:rPr>
          <w:rFonts w:ascii="Times New Roman" w:eastAsia="Century Gothic" w:hAnsi="Times New Roman"/>
          <w:b/>
          <w:i/>
          <w:color w:val="0070C0"/>
        </w:rPr>
      </w:pPr>
    </w:p>
    <w:p w14:paraId="58D53A12" w14:textId="77777777" w:rsidR="009C1D22" w:rsidRDefault="009C1D22">
      <w:pPr>
        <w:spacing w:before="120" w:after="0" w:line="360" w:lineRule="auto"/>
        <w:jc w:val="both"/>
        <w:rPr>
          <w:rFonts w:ascii="Times New Roman" w:eastAsia="Century Gothic" w:hAnsi="Times New Roman"/>
          <w:b/>
          <w:i/>
          <w:color w:val="0070C0"/>
        </w:rPr>
      </w:pPr>
    </w:p>
    <w:p w14:paraId="07219AC9" w14:textId="77777777" w:rsidR="009C1D22" w:rsidRDefault="000B6C0D">
      <w:pPr>
        <w:spacing w:before="120" w:after="0" w:line="360" w:lineRule="auto"/>
        <w:jc w:val="both"/>
      </w:pPr>
      <w:r>
        <w:rPr>
          <w:rFonts w:ascii="Times New Roman" w:eastAsia="Century Gothic" w:hAnsi="Times New Roman"/>
          <w:b/>
          <w:i/>
          <w:color w:val="0070C0"/>
        </w:rPr>
        <w:t>Tableau 1  </w:t>
      </w:r>
      <w:r>
        <w:rPr>
          <w:rFonts w:ascii="Times New Roman" w:eastAsia="Century Gothic" w:hAnsi="Times New Roman"/>
          <w:i/>
          <w:color w:val="0070C0"/>
        </w:rPr>
        <w:t xml:space="preserve">  </w:t>
      </w:r>
    </w:p>
    <w:tbl>
      <w:tblPr>
        <w:tblW w:w="9060" w:type="dxa"/>
        <w:tblCellMar>
          <w:left w:w="10" w:type="dxa"/>
          <w:right w:w="10" w:type="dxa"/>
        </w:tblCellMar>
        <w:tblLook w:val="04A0" w:firstRow="1" w:lastRow="0" w:firstColumn="1" w:lastColumn="0" w:noHBand="0" w:noVBand="1"/>
      </w:tblPr>
      <w:tblGrid>
        <w:gridCol w:w="1696"/>
        <w:gridCol w:w="7364"/>
      </w:tblGrid>
      <w:tr w:rsidR="009C1D22" w14:paraId="353511C3" w14:textId="77777777">
        <w:trPr>
          <w:trHeight w:val="43"/>
        </w:trPr>
        <w:tc>
          <w:tcPr>
            <w:tcW w:w="1696" w:type="dxa"/>
            <w:tcBorders>
              <w:top w:val="single" w:sz="12" w:space="0" w:color="0070C0"/>
              <w:left w:val="single" w:sz="12" w:space="0" w:color="0070C0"/>
              <w:bottom w:val="single" w:sz="12" w:space="0" w:color="0070C0"/>
              <w:right w:val="single" w:sz="12" w:space="0" w:color="0070C0"/>
            </w:tcBorders>
            <w:shd w:val="clear" w:color="auto" w:fill="0070C0"/>
            <w:tcMar>
              <w:top w:w="0" w:type="dxa"/>
              <w:left w:w="108" w:type="dxa"/>
              <w:bottom w:w="0" w:type="dxa"/>
              <w:right w:w="108" w:type="dxa"/>
            </w:tcMar>
          </w:tcPr>
          <w:p w14:paraId="2F3BC71E" w14:textId="77777777" w:rsidR="009C1D22" w:rsidRDefault="000B6C0D">
            <w:pPr>
              <w:spacing w:before="120" w:after="0" w:line="360" w:lineRule="auto"/>
              <w:jc w:val="center"/>
              <w:rPr>
                <w:rFonts w:ascii="Times New Roman" w:eastAsia="Century Gothic" w:hAnsi="Times New Roman"/>
                <w:b/>
                <w:color w:val="FFFFFF"/>
              </w:rPr>
            </w:pPr>
            <w:r>
              <w:rPr>
                <w:rFonts w:ascii="Times New Roman" w:eastAsia="Century Gothic" w:hAnsi="Times New Roman"/>
                <w:b/>
                <w:color w:val="FFFFFF"/>
              </w:rPr>
              <w:t>Désignations</w:t>
            </w:r>
          </w:p>
        </w:tc>
        <w:tc>
          <w:tcPr>
            <w:tcW w:w="7364" w:type="dxa"/>
            <w:tcBorders>
              <w:top w:val="single" w:sz="12" w:space="0" w:color="0070C0"/>
              <w:left w:val="single" w:sz="12" w:space="0" w:color="0070C0"/>
              <w:bottom w:val="single" w:sz="12" w:space="0" w:color="0070C0"/>
              <w:right w:val="single" w:sz="12" w:space="0" w:color="0070C0"/>
            </w:tcBorders>
            <w:shd w:val="clear" w:color="auto" w:fill="0070C0"/>
            <w:tcMar>
              <w:top w:w="0" w:type="dxa"/>
              <w:left w:w="108" w:type="dxa"/>
              <w:bottom w:w="0" w:type="dxa"/>
              <w:right w:w="108" w:type="dxa"/>
            </w:tcMar>
          </w:tcPr>
          <w:p w14:paraId="2352A949" w14:textId="77777777" w:rsidR="009C1D22" w:rsidRDefault="000B6C0D">
            <w:pPr>
              <w:spacing w:before="120" w:after="0" w:line="360" w:lineRule="auto"/>
              <w:jc w:val="center"/>
              <w:rPr>
                <w:rFonts w:ascii="Times New Roman" w:eastAsia="Century Gothic" w:hAnsi="Times New Roman"/>
                <w:b/>
                <w:color w:val="FFFFFF"/>
              </w:rPr>
            </w:pPr>
            <w:r>
              <w:rPr>
                <w:rFonts w:ascii="Times New Roman" w:eastAsia="Century Gothic" w:hAnsi="Times New Roman"/>
                <w:b/>
                <w:color w:val="FFFFFF"/>
              </w:rPr>
              <w:t xml:space="preserve">Articles et dispositions réglementaires </w:t>
            </w:r>
          </w:p>
        </w:tc>
      </w:tr>
      <w:tr w:rsidR="009C1D22" w14:paraId="051F2123" w14:textId="77777777">
        <w:tc>
          <w:tcPr>
            <w:tcW w:w="1696" w:type="dxa"/>
            <w:tcBorders>
              <w:top w:val="single" w:sz="12" w:space="0" w:color="0070C0"/>
              <w:left w:val="single" w:sz="12" w:space="0" w:color="0070C0"/>
              <w:bottom w:val="single" w:sz="12" w:space="0" w:color="0070C0"/>
              <w:right w:val="single" w:sz="12" w:space="0" w:color="0070C0"/>
            </w:tcBorders>
            <w:shd w:val="clear" w:color="auto" w:fill="auto"/>
            <w:tcMar>
              <w:top w:w="0" w:type="dxa"/>
              <w:left w:w="108" w:type="dxa"/>
              <w:bottom w:w="0" w:type="dxa"/>
              <w:right w:w="108" w:type="dxa"/>
            </w:tcMar>
          </w:tcPr>
          <w:p w14:paraId="4FF7412D" w14:textId="77777777" w:rsidR="009C1D22" w:rsidRDefault="000B6C0D">
            <w:pPr>
              <w:spacing w:before="120" w:after="0" w:line="360" w:lineRule="auto"/>
            </w:pPr>
            <w:r>
              <w:rPr>
                <w:rFonts w:ascii="Times New Roman" w:hAnsi="Times New Roman"/>
                <w:b/>
                <w:bCs/>
                <w:color w:val="0070C0"/>
              </w:rPr>
              <w:t>Rôles de  l’ONAPE</w:t>
            </w:r>
          </w:p>
        </w:tc>
        <w:tc>
          <w:tcPr>
            <w:tcW w:w="7364" w:type="dxa"/>
            <w:tcBorders>
              <w:top w:val="single" w:sz="12" w:space="0" w:color="0070C0"/>
              <w:left w:val="single" w:sz="12" w:space="0" w:color="0070C0"/>
              <w:bottom w:val="single" w:sz="12" w:space="0" w:color="0070C0"/>
              <w:right w:val="single" w:sz="12" w:space="0" w:color="0070C0"/>
            </w:tcBorders>
            <w:shd w:val="clear" w:color="auto" w:fill="auto"/>
            <w:tcMar>
              <w:top w:w="0" w:type="dxa"/>
              <w:left w:w="108" w:type="dxa"/>
              <w:bottom w:w="0" w:type="dxa"/>
              <w:right w:w="108" w:type="dxa"/>
            </w:tcMar>
          </w:tcPr>
          <w:p w14:paraId="5B8C454B" w14:textId="77777777" w:rsidR="009C1D22" w:rsidRDefault="000B6C0D">
            <w:pPr>
              <w:spacing w:before="120" w:after="0" w:line="360" w:lineRule="auto"/>
              <w:jc w:val="both"/>
            </w:pPr>
            <w:r>
              <w:rPr>
                <w:rFonts w:ascii="Times New Roman" w:eastAsia="Century Gothic" w:hAnsi="Times New Roman"/>
                <w:b/>
              </w:rPr>
              <w:t>Article 493 :</w:t>
            </w:r>
            <w:r>
              <w:rPr>
                <w:rFonts w:ascii="Times New Roman" w:eastAsia="Century Gothic" w:hAnsi="Times New Roman"/>
              </w:rPr>
              <w:t xml:space="preserve"> L'office National pour la Promotion de l'Emploi </w:t>
            </w:r>
            <w:r>
              <w:rPr>
                <w:rFonts w:ascii="Times New Roman" w:eastAsia="Century Gothic" w:hAnsi="Times New Roman"/>
                <w:b/>
              </w:rPr>
              <w:t>règle, en liaison avec les services de l'immigration, les modalités de recrutement de la main-d’œuvre étrangère et organise les opérations d'introduction et de rapatriement de cette main-d’œuvre</w:t>
            </w:r>
            <w:r>
              <w:rPr>
                <w:rFonts w:ascii="Times New Roman" w:eastAsia="Century Gothic" w:hAnsi="Times New Roman"/>
              </w:rPr>
              <w:t xml:space="preserve">. </w:t>
            </w:r>
          </w:p>
          <w:p w14:paraId="2F4B484E" w14:textId="77777777" w:rsidR="009C1D22" w:rsidRDefault="000B6C0D">
            <w:pPr>
              <w:spacing w:before="120" w:after="0" w:line="360" w:lineRule="auto"/>
              <w:jc w:val="both"/>
              <w:rPr>
                <w:rFonts w:ascii="Times New Roman" w:eastAsia="Century Gothic" w:hAnsi="Times New Roman"/>
              </w:rPr>
            </w:pPr>
            <w:r>
              <w:rPr>
                <w:rFonts w:ascii="Times New Roman" w:eastAsia="Century Gothic" w:hAnsi="Times New Roman"/>
              </w:rPr>
              <w:t xml:space="preserve">Il vise, préalablement à tout commencement d'exécution, les contrats de travail qui sont proposés à des travailleurs étrangers. </w:t>
            </w:r>
          </w:p>
          <w:p w14:paraId="7621AE0D" w14:textId="77777777" w:rsidR="009C1D22" w:rsidRDefault="000B6C0D">
            <w:pPr>
              <w:spacing w:before="120" w:after="0" w:line="360" w:lineRule="auto"/>
              <w:jc w:val="both"/>
            </w:pPr>
            <w:r>
              <w:rPr>
                <w:rFonts w:ascii="Times New Roman" w:eastAsia="Century Gothic" w:hAnsi="Times New Roman"/>
                <w:b/>
              </w:rPr>
              <w:t>Une carte de travail est proposée à des travailleurs étrangers</w:t>
            </w:r>
            <w:r>
              <w:rPr>
                <w:rFonts w:ascii="Times New Roman" w:eastAsia="Century Gothic" w:hAnsi="Times New Roman"/>
              </w:rPr>
              <w:t xml:space="preserve"> selon les modalités fixées par décret pris sur proposition du Ministre chargé du Travail et de la Sécurité Sociale.</w:t>
            </w:r>
          </w:p>
        </w:tc>
      </w:tr>
      <w:tr w:rsidR="009C1D22" w14:paraId="71EF2CF4" w14:textId="77777777">
        <w:tc>
          <w:tcPr>
            <w:tcW w:w="1696" w:type="dxa"/>
            <w:vMerge w:val="restart"/>
            <w:tcBorders>
              <w:top w:val="single" w:sz="12" w:space="0" w:color="0070C0"/>
              <w:left w:val="single" w:sz="12" w:space="0" w:color="0070C0"/>
              <w:bottom w:val="single" w:sz="12" w:space="0" w:color="0070C0"/>
              <w:right w:val="single" w:sz="12" w:space="0" w:color="0070C0"/>
            </w:tcBorders>
            <w:shd w:val="clear" w:color="auto" w:fill="auto"/>
            <w:tcMar>
              <w:top w:w="0" w:type="dxa"/>
              <w:left w:w="108" w:type="dxa"/>
              <w:bottom w:w="0" w:type="dxa"/>
              <w:right w:w="108" w:type="dxa"/>
            </w:tcMar>
            <w:vAlign w:val="center"/>
          </w:tcPr>
          <w:p w14:paraId="1646EB4C" w14:textId="77777777" w:rsidR="009C1D22" w:rsidRDefault="000B6C0D">
            <w:pPr>
              <w:spacing w:before="120" w:after="0" w:line="360" w:lineRule="auto"/>
            </w:pPr>
            <w:r>
              <w:rPr>
                <w:rFonts w:ascii="Times New Roman" w:hAnsi="Times New Roman"/>
                <w:b/>
                <w:bCs/>
                <w:color w:val="0070C0"/>
              </w:rPr>
              <w:lastRenderedPageBreak/>
              <w:t>Contrats soumis au visa de l’ONAPE</w:t>
            </w:r>
          </w:p>
        </w:tc>
        <w:tc>
          <w:tcPr>
            <w:tcW w:w="7364" w:type="dxa"/>
            <w:tcBorders>
              <w:top w:val="single" w:sz="12" w:space="0" w:color="0070C0"/>
              <w:left w:val="single" w:sz="12" w:space="0" w:color="0070C0"/>
              <w:bottom w:val="single" w:sz="12" w:space="0" w:color="0070C0"/>
              <w:right w:val="single" w:sz="12" w:space="0" w:color="0070C0"/>
            </w:tcBorders>
            <w:shd w:val="clear" w:color="auto" w:fill="auto"/>
            <w:tcMar>
              <w:top w:w="0" w:type="dxa"/>
              <w:left w:w="108" w:type="dxa"/>
              <w:bottom w:w="0" w:type="dxa"/>
              <w:right w:w="108" w:type="dxa"/>
            </w:tcMar>
          </w:tcPr>
          <w:p w14:paraId="39BD8333" w14:textId="77777777" w:rsidR="009C1D22" w:rsidRDefault="000B6C0D">
            <w:pPr>
              <w:spacing w:before="120" w:after="0" w:line="360" w:lineRule="auto"/>
              <w:jc w:val="both"/>
            </w:pPr>
            <w:r>
              <w:rPr>
                <w:rFonts w:ascii="Times New Roman" w:eastAsia="Century Gothic" w:hAnsi="Times New Roman"/>
                <w:b/>
              </w:rPr>
              <w:t>Article 67 :</w:t>
            </w:r>
            <w:r>
              <w:rPr>
                <w:rFonts w:ascii="Times New Roman" w:eastAsia="Century Gothic" w:hAnsi="Times New Roman"/>
              </w:rPr>
              <w:t xml:space="preserve"> Les contrats cités ci-dessous doivent être passés par écrit et soumis avant tout commencement d'exécution, au visa de l'Office National de la Promotion de l'Emploi :</w:t>
            </w:r>
          </w:p>
          <w:p w14:paraId="365F0508" w14:textId="77777777" w:rsidR="009C1D22" w:rsidRDefault="000B6C0D">
            <w:pPr>
              <w:numPr>
                <w:ilvl w:val="0"/>
                <w:numId w:val="16"/>
              </w:numPr>
              <w:spacing w:before="120" w:after="0" w:line="360" w:lineRule="auto"/>
              <w:jc w:val="both"/>
              <w:rPr>
                <w:rFonts w:ascii="Times New Roman" w:eastAsia="Century Gothic" w:hAnsi="Times New Roman"/>
              </w:rPr>
            </w:pPr>
            <w:r>
              <w:rPr>
                <w:rFonts w:ascii="Times New Roman" w:eastAsia="Century Gothic" w:hAnsi="Times New Roman"/>
              </w:rPr>
              <w:t>contrats conclus avec des travailleurs de nationalité étrangère;</w:t>
            </w:r>
          </w:p>
          <w:p w14:paraId="7650E503" w14:textId="77777777" w:rsidR="009C1D22" w:rsidRDefault="000B6C0D">
            <w:pPr>
              <w:numPr>
                <w:ilvl w:val="0"/>
                <w:numId w:val="16"/>
              </w:numPr>
              <w:spacing w:before="120" w:after="0" w:line="360" w:lineRule="auto"/>
              <w:jc w:val="both"/>
              <w:rPr>
                <w:rFonts w:ascii="Times New Roman" w:eastAsia="Century Gothic" w:hAnsi="Times New Roman"/>
              </w:rPr>
            </w:pPr>
            <w:r>
              <w:rPr>
                <w:rFonts w:ascii="Times New Roman" w:eastAsia="Century Gothic" w:hAnsi="Times New Roman"/>
              </w:rPr>
              <w:t>contrats nécessitant l'installation du travailleur hors du lieu d'embauche;</w:t>
            </w:r>
          </w:p>
          <w:p w14:paraId="186E8D84" w14:textId="77777777" w:rsidR="009C1D22" w:rsidRDefault="000B6C0D">
            <w:pPr>
              <w:numPr>
                <w:ilvl w:val="0"/>
                <w:numId w:val="16"/>
              </w:numPr>
              <w:spacing w:before="120" w:after="0" w:line="360" w:lineRule="auto"/>
              <w:jc w:val="both"/>
              <w:rPr>
                <w:rFonts w:ascii="Times New Roman" w:eastAsia="Century Gothic" w:hAnsi="Times New Roman"/>
              </w:rPr>
            </w:pPr>
            <w:r>
              <w:rPr>
                <w:rFonts w:ascii="Times New Roman" w:eastAsia="Century Gothic" w:hAnsi="Times New Roman"/>
              </w:rPr>
              <w:t>contrats à durée déterminée à terme précis stipulant une durée supérieure à six mois; la durée s'entend renouvellement éventuel compris;</w:t>
            </w:r>
          </w:p>
          <w:p w14:paraId="6437CA4E" w14:textId="77777777" w:rsidR="009C1D22" w:rsidRDefault="000B6C0D">
            <w:pPr>
              <w:numPr>
                <w:ilvl w:val="0"/>
                <w:numId w:val="16"/>
              </w:numPr>
              <w:spacing w:before="120" w:after="0" w:line="360" w:lineRule="auto"/>
              <w:jc w:val="both"/>
              <w:rPr>
                <w:rFonts w:ascii="Times New Roman" w:eastAsia="Century Gothic" w:hAnsi="Times New Roman"/>
              </w:rPr>
            </w:pPr>
            <w:r>
              <w:rPr>
                <w:rFonts w:ascii="Times New Roman" w:eastAsia="Century Gothic" w:hAnsi="Times New Roman"/>
              </w:rPr>
              <w:t xml:space="preserve">Contrats à durée </w:t>
            </w:r>
            <w:proofErr w:type="spellStart"/>
            <w:r>
              <w:rPr>
                <w:rFonts w:ascii="Times New Roman" w:eastAsia="Century Gothic" w:hAnsi="Times New Roman"/>
              </w:rPr>
              <w:t>indeterminate</w:t>
            </w:r>
            <w:proofErr w:type="spellEnd"/>
            <w:r>
              <w:rPr>
                <w:rFonts w:ascii="Times New Roman" w:eastAsia="Century Gothic" w:hAnsi="Times New Roman"/>
              </w:rPr>
              <w:t>.</w:t>
            </w:r>
          </w:p>
          <w:p w14:paraId="4B590BDF" w14:textId="77777777" w:rsidR="009C1D22" w:rsidRDefault="000B6C0D">
            <w:pPr>
              <w:spacing w:after="0" w:line="360" w:lineRule="auto"/>
              <w:jc w:val="both"/>
            </w:pPr>
            <w:r>
              <w:rPr>
                <w:rFonts w:ascii="Times New Roman" w:eastAsia="Century Gothic" w:hAnsi="Times New Roman"/>
                <w:b/>
              </w:rPr>
              <w:t>La visite médicale</w:t>
            </w:r>
            <w:r>
              <w:rPr>
                <w:rFonts w:ascii="Times New Roman" w:eastAsia="Century Gothic" w:hAnsi="Times New Roman"/>
              </w:rPr>
              <w:t xml:space="preserve"> d'embauche prévue par l'article 240 doit être préalable à la conclusion.</w:t>
            </w:r>
          </w:p>
          <w:p w14:paraId="32293551" w14:textId="77777777" w:rsidR="009C1D22" w:rsidRDefault="000B6C0D">
            <w:pPr>
              <w:spacing w:after="0" w:line="360" w:lineRule="auto"/>
              <w:jc w:val="both"/>
            </w:pPr>
            <w:r>
              <w:rPr>
                <w:rFonts w:ascii="Times New Roman" w:eastAsia="Century Gothic" w:hAnsi="Times New Roman"/>
                <w:b/>
              </w:rPr>
              <w:t>Une autorisation</w:t>
            </w:r>
            <w:r>
              <w:rPr>
                <w:rFonts w:ascii="Times New Roman" w:eastAsia="Century Gothic" w:hAnsi="Times New Roman"/>
              </w:rPr>
              <w:t xml:space="preserve"> préalable à l'embauche de tout travailleur étranger doit être sollicitée par l'employeur auprès de l'Office National pour la Promotion de l'Emploi.</w:t>
            </w:r>
          </w:p>
        </w:tc>
      </w:tr>
      <w:tr w:rsidR="009C1D22" w14:paraId="22629223" w14:textId="77777777">
        <w:tc>
          <w:tcPr>
            <w:tcW w:w="1696" w:type="dxa"/>
            <w:vMerge/>
            <w:tcBorders>
              <w:top w:val="single" w:sz="12" w:space="0" w:color="0070C0"/>
              <w:left w:val="single" w:sz="12" w:space="0" w:color="0070C0"/>
              <w:bottom w:val="single" w:sz="12" w:space="0" w:color="0070C0"/>
              <w:right w:val="single" w:sz="12" w:space="0" w:color="0070C0"/>
            </w:tcBorders>
            <w:shd w:val="clear" w:color="auto" w:fill="auto"/>
            <w:tcMar>
              <w:top w:w="0" w:type="dxa"/>
              <w:left w:w="108" w:type="dxa"/>
              <w:bottom w:w="0" w:type="dxa"/>
              <w:right w:w="108" w:type="dxa"/>
            </w:tcMar>
            <w:vAlign w:val="center"/>
          </w:tcPr>
          <w:p w14:paraId="7F9C863F" w14:textId="77777777" w:rsidR="009C1D22" w:rsidRDefault="009C1D22">
            <w:pPr>
              <w:spacing w:before="120" w:after="0" w:line="360" w:lineRule="auto"/>
              <w:jc w:val="both"/>
              <w:rPr>
                <w:rFonts w:ascii="Times New Roman" w:eastAsia="Century Gothic" w:hAnsi="Times New Roman"/>
              </w:rPr>
            </w:pPr>
          </w:p>
        </w:tc>
        <w:tc>
          <w:tcPr>
            <w:tcW w:w="7364" w:type="dxa"/>
            <w:tcBorders>
              <w:top w:val="single" w:sz="12" w:space="0" w:color="0070C0"/>
              <w:left w:val="single" w:sz="12" w:space="0" w:color="0070C0"/>
              <w:bottom w:val="single" w:sz="12" w:space="0" w:color="0070C0"/>
              <w:right w:val="single" w:sz="12" w:space="0" w:color="0070C0"/>
            </w:tcBorders>
            <w:shd w:val="clear" w:color="auto" w:fill="auto"/>
            <w:tcMar>
              <w:top w:w="0" w:type="dxa"/>
              <w:left w:w="108" w:type="dxa"/>
              <w:bottom w:w="0" w:type="dxa"/>
              <w:right w:w="108" w:type="dxa"/>
            </w:tcMar>
          </w:tcPr>
          <w:p w14:paraId="32D71799" w14:textId="77777777" w:rsidR="009C1D22" w:rsidRDefault="000B6C0D">
            <w:pPr>
              <w:spacing w:before="120" w:after="0" w:line="360" w:lineRule="auto"/>
              <w:jc w:val="both"/>
            </w:pPr>
            <w:r>
              <w:rPr>
                <w:rFonts w:ascii="Times New Roman" w:eastAsia="Century Gothic" w:hAnsi="Times New Roman"/>
                <w:b/>
              </w:rPr>
              <w:t>Article 68 :</w:t>
            </w:r>
            <w:r>
              <w:rPr>
                <w:rFonts w:ascii="Times New Roman" w:eastAsia="Century Gothic" w:hAnsi="Times New Roman"/>
              </w:rPr>
              <w:t xml:space="preserve"> L'Office National pour la Promotion de l'Emploi vise les contrats après avoir notamment :</w:t>
            </w:r>
          </w:p>
          <w:p w14:paraId="00B1140A" w14:textId="77777777" w:rsidR="009C1D22" w:rsidRDefault="000B6C0D">
            <w:pPr>
              <w:numPr>
                <w:ilvl w:val="0"/>
                <w:numId w:val="17"/>
              </w:numPr>
              <w:spacing w:before="120" w:after="0" w:line="360" w:lineRule="auto"/>
              <w:jc w:val="both"/>
              <w:rPr>
                <w:rFonts w:ascii="Times New Roman" w:eastAsia="Century Gothic" w:hAnsi="Times New Roman"/>
              </w:rPr>
            </w:pPr>
            <w:r>
              <w:rPr>
                <w:rFonts w:ascii="Times New Roman" w:eastAsia="Century Gothic" w:hAnsi="Times New Roman"/>
              </w:rPr>
              <w:t>constaté leur conformité aux dispositions législatives, réglementaires et conventionnelles ;</w:t>
            </w:r>
          </w:p>
          <w:p w14:paraId="245A73BD" w14:textId="77777777" w:rsidR="009C1D22" w:rsidRDefault="000B6C0D">
            <w:pPr>
              <w:numPr>
                <w:ilvl w:val="0"/>
                <w:numId w:val="17"/>
              </w:numPr>
              <w:spacing w:before="120" w:after="0" w:line="360" w:lineRule="auto"/>
              <w:jc w:val="both"/>
              <w:rPr>
                <w:rFonts w:ascii="Times New Roman" w:eastAsia="Century Gothic" w:hAnsi="Times New Roman"/>
              </w:rPr>
            </w:pPr>
            <w:r>
              <w:rPr>
                <w:rFonts w:ascii="Times New Roman" w:eastAsia="Century Gothic" w:hAnsi="Times New Roman"/>
              </w:rPr>
              <w:t>contrôlé l'identité du travailleur et son libre consentement ;</w:t>
            </w:r>
          </w:p>
          <w:p w14:paraId="3D16E4AA" w14:textId="77777777" w:rsidR="009C1D22" w:rsidRDefault="000B6C0D">
            <w:pPr>
              <w:numPr>
                <w:ilvl w:val="0"/>
                <w:numId w:val="17"/>
              </w:numPr>
              <w:spacing w:before="120" w:after="0" w:line="360" w:lineRule="auto"/>
              <w:jc w:val="both"/>
              <w:rPr>
                <w:rFonts w:ascii="Times New Roman" w:eastAsia="Century Gothic" w:hAnsi="Times New Roman"/>
              </w:rPr>
            </w:pPr>
            <w:r>
              <w:rPr>
                <w:rFonts w:ascii="Times New Roman" w:eastAsia="Century Gothic" w:hAnsi="Times New Roman"/>
              </w:rPr>
              <w:t>vérifié qu'il est libre de tout engagement ;</w:t>
            </w:r>
          </w:p>
          <w:p w14:paraId="324F2C48" w14:textId="77777777" w:rsidR="009C1D22" w:rsidRDefault="000B6C0D">
            <w:pPr>
              <w:numPr>
                <w:ilvl w:val="0"/>
                <w:numId w:val="17"/>
              </w:numPr>
              <w:spacing w:before="120" w:after="0" w:line="360" w:lineRule="auto"/>
              <w:jc w:val="both"/>
              <w:rPr>
                <w:rFonts w:ascii="Times New Roman" w:eastAsia="Century Gothic" w:hAnsi="Times New Roman"/>
              </w:rPr>
            </w:pPr>
            <w:r>
              <w:rPr>
                <w:rFonts w:ascii="Times New Roman" w:eastAsia="Century Gothic" w:hAnsi="Times New Roman"/>
              </w:rPr>
              <w:t>recueilli au besoin l'avis de l'Inspection du Travail et, lorsqu'il s'agit d'un contrat à durée déterminée apprécié les raisons invoquées par l'employeur pour ne pas recourir à un contrat à durée indéterminée.</w:t>
            </w:r>
          </w:p>
        </w:tc>
      </w:tr>
      <w:tr w:rsidR="009C1D22" w14:paraId="00209E13" w14:textId="77777777">
        <w:tc>
          <w:tcPr>
            <w:tcW w:w="1696" w:type="dxa"/>
            <w:vMerge/>
            <w:tcBorders>
              <w:top w:val="single" w:sz="12" w:space="0" w:color="0070C0"/>
              <w:left w:val="single" w:sz="12" w:space="0" w:color="0070C0"/>
              <w:bottom w:val="single" w:sz="12" w:space="0" w:color="0070C0"/>
              <w:right w:val="single" w:sz="12" w:space="0" w:color="0070C0"/>
            </w:tcBorders>
            <w:shd w:val="clear" w:color="auto" w:fill="auto"/>
            <w:tcMar>
              <w:top w:w="0" w:type="dxa"/>
              <w:left w:w="108" w:type="dxa"/>
              <w:bottom w:w="0" w:type="dxa"/>
              <w:right w:w="108" w:type="dxa"/>
            </w:tcMar>
            <w:vAlign w:val="center"/>
          </w:tcPr>
          <w:p w14:paraId="3A8D033C" w14:textId="77777777" w:rsidR="009C1D22" w:rsidRDefault="009C1D22">
            <w:pPr>
              <w:spacing w:before="120" w:after="0" w:line="360" w:lineRule="auto"/>
              <w:jc w:val="both"/>
              <w:rPr>
                <w:rFonts w:ascii="Times New Roman" w:eastAsia="Century Gothic" w:hAnsi="Times New Roman"/>
              </w:rPr>
            </w:pPr>
          </w:p>
        </w:tc>
        <w:tc>
          <w:tcPr>
            <w:tcW w:w="7364" w:type="dxa"/>
            <w:tcBorders>
              <w:top w:val="single" w:sz="12" w:space="0" w:color="0070C0"/>
              <w:left w:val="single" w:sz="12" w:space="0" w:color="0070C0"/>
              <w:bottom w:val="single" w:sz="12" w:space="0" w:color="0070C0"/>
              <w:right w:val="single" w:sz="12" w:space="0" w:color="0070C0"/>
            </w:tcBorders>
            <w:shd w:val="clear" w:color="auto" w:fill="auto"/>
            <w:tcMar>
              <w:top w:w="0" w:type="dxa"/>
              <w:left w:w="108" w:type="dxa"/>
              <w:bottom w:w="0" w:type="dxa"/>
              <w:right w:w="108" w:type="dxa"/>
            </w:tcMar>
          </w:tcPr>
          <w:p w14:paraId="4EC1E951" w14:textId="77777777" w:rsidR="009C1D22" w:rsidRDefault="000B6C0D">
            <w:pPr>
              <w:spacing w:before="120" w:after="0" w:line="360" w:lineRule="auto"/>
              <w:jc w:val="both"/>
            </w:pPr>
            <w:r>
              <w:rPr>
                <w:rFonts w:ascii="Times New Roman" w:eastAsia="Century Gothic" w:hAnsi="Times New Roman"/>
                <w:b/>
              </w:rPr>
              <w:t>Article 70 :</w:t>
            </w:r>
            <w:r>
              <w:rPr>
                <w:rFonts w:ascii="Times New Roman" w:eastAsia="Century Gothic" w:hAnsi="Times New Roman"/>
              </w:rPr>
              <w:t xml:space="preserve"> Tout contrat de travail mentionné à l'article 67 pour lequel un visa n'a pas été accordé est nul de plein droit, selon les dispositions de l'article 71.</w:t>
            </w:r>
          </w:p>
        </w:tc>
      </w:tr>
      <w:tr w:rsidR="009C1D22" w14:paraId="0AF00A0A" w14:textId="77777777">
        <w:tc>
          <w:tcPr>
            <w:tcW w:w="1696" w:type="dxa"/>
            <w:tcBorders>
              <w:top w:val="single" w:sz="12" w:space="0" w:color="0070C0"/>
              <w:left w:val="single" w:sz="12" w:space="0" w:color="0070C0"/>
              <w:bottom w:val="single" w:sz="12" w:space="0" w:color="0070C0"/>
              <w:right w:val="single" w:sz="12" w:space="0" w:color="0070C0"/>
            </w:tcBorders>
            <w:shd w:val="clear" w:color="auto" w:fill="auto"/>
            <w:tcMar>
              <w:top w:w="0" w:type="dxa"/>
              <w:left w:w="108" w:type="dxa"/>
              <w:bottom w:w="0" w:type="dxa"/>
              <w:right w:w="108" w:type="dxa"/>
            </w:tcMar>
          </w:tcPr>
          <w:p w14:paraId="7E5CE39D" w14:textId="77777777" w:rsidR="009C1D22" w:rsidRDefault="000B6C0D">
            <w:pPr>
              <w:spacing w:before="120" w:after="0" w:line="360" w:lineRule="auto"/>
              <w:rPr>
                <w:rFonts w:ascii="Times New Roman" w:hAnsi="Times New Roman"/>
                <w:b/>
                <w:bCs/>
                <w:color w:val="0070C0"/>
              </w:rPr>
            </w:pPr>
            <w:r>
              <w:rPr>
                <w:rFonts w:ascii="Times New Roman" w:hAnsi="Times New Roman"/>
                <w:b/>
                <w:bCs/>
                <w:color w:val="0070C0"/>
              </w:rPr>
              <w:lastRenderedPageBreak/>
              <w:t>Disposition de facilitation d’obtention du visa</w:t>
            </w:r>
          </w:p>
        </w:tc>
        <w:tc>
          <w:tcPr>
            <w:tcW w:w="7364" w:type="dxa"/>
            <w:tcBorders>
              <w:top w:val="single" w:sz="12" w:space="0" w:color="0070C0"/>
              <w:left w:val="single" w:sz="12" w:space="0" w:color="0070C0"/>
              <w:bottom w:val="single" w:sz="12" w:space="0" w:color="0070C0"/>
              <w:right w:val="single" w:sz="12" w:space="0" w:color="0070C0"/>
            </w:tcBorders>
            <w:shd w:val="clear" w:color="auto" w:fill="auto"/>
            <w:tcMar>
              <w:top w:w="0" w:type="dxa"/>
              <w:left w:w="108" w:type="dxa"/>
              <w:bottom w:w="0" w:type="dxa"/>
              <w:right w:w="108" w:type="dxa"/>
            </w:tcMar>
          </w:tcPr>
          <w:p w14:paraId="4C94FE63" w14:textId="77777777" w:rsidR="009C1D22" w:rsidRDefault="000B6C0D">
            <w:pPr>
              <w:spacing w:before="120" w:after="0" w:line="360" w:lineRule="auto"/>
              <w:jc w:val="both"/>
            </w:pPr>
            <w:r>
              <w:rPr>
                <w:rFonts w:ascii="Times New Roman" w:eastAsia="Century Gothic" w:hAnsi="Times New Roman"/>
                <w:b/>
              </w:rPr>
              <w:t>Article 69 :</w:t>
            </w:r>
            <w:r>
              <w:rPr>
                <w:rFonts w:ascii="Times New Roman" w:eastAsia="Century Gothic" w:hAnsi="Times New Roman"/>
              </w:rPr>
              <w:t xml:space="preserve"> </w:t>
            </w:r>
            <w:r>
              <w:rPr>
                <w:rFonts w:ascii="Times New Roman" w:eastAsia="Century Gothic" w:hAnsi="Times New Roman"/>
                <w:b/>
              </w:rPr>
              <w:t>Si l'Office n'a pas fait connaître sa décision dans les trente jours ouvrables qui suivent la réception du contrat et des pièces justificatives, le visa est réputé avoir été accordé</w:t>
            </w:r>
            <w:r>
              <w:rPr>
                <w:rFonts w:ascii="Times New Roman" w:eastAsia="Century Gothic" w:hAnsi="Times New Roman"/>
              </w:rPr>
              <w:t>.</w:t>
            </w:r>
          </w:p>
        </w:tc>
      </w:tr>
    </w:tbl>
    <w:p w14:paraId="35BDCE97" w14:textId="77777777" w:rsidR="009C1D22" w:rsidRDefault="000B6C0D">
      <w:pPr>
        <w:spacing w:before="120" w:after="0" w:line="360" w:lineRule="auto"/>
        <w:jc w:val="both"/>
      </w:pPr>
      <w:r>
        <w:rPr>
          <w:rFonts w:ascii="Times New Roman" w:eastAsia="Century Gothic" w:hAnsi="Times New Roman"/>
          <w:b/>
          <w:color w:val="0070C0"/>
        </w:rPr>
        <w:t>Source :</w:t>
      </w:r>
      <w:r>
        <w:rPr>
          <w:rFonts w:ascii="Times New Roman" w:eastAsia="Century Gothic" w:hAnsi="Times New Roman"/>
          <w:color w:val="0070C0"/>
        </w:rPr>
        <w:t xml:space="preserve"> </w:t>
      </w:r>
      <w:r>
        <w:rPr>
          <w:rFonts w:ascii="Times New Roman" w:eastAsia="Century Gothic" w:hAnsi="Times New Roman"/>
          <w:i/>
          <w:color w:val="0070C0"/>
        </w:rPr>
        <w:t>Loi n°038/PR/96 du 11 décembre 1996 portant Code du Travail</w:t>
      </w:r>
    </w:p>
    <w:p w14:paraId="4DAB5018" w14:textId="77777777" w:rsidR="009C1D22" w:rsidRDefault="009C1D22">
      <w:pPr>
        <w:spacing w:before="120" w:after="0" w:line="360" w:lineRule="auto"/>
        <w:jc w:val="both"/>
      </w:pPr>
    </w:p>
    <w:tbl>
      <w:tblPr>
        <w:tblW w:w="9060" w:type="dxa"/>
        <w:tblCellMar>
          <w:left w:w="10" w:type="dxa"/>
          <w:right w:w="10" w:type="dxa"/>
        </w:tblCellMar>
        <w:tblLook w:val="04A0" w:firstRow="1" w:lastRow="0" w:firstColumn="1" w:lastColumn="0" w:noHBand="0" w:noVBand="1"/>
      </w:tblPr>
      <w:tblGrid>
        <w:gridCol w:w="9060"/>
      </w:tblGrid>
      <w:tr w:rsidR="009C1D22" w14:paraId="733FDA68" w14:textId="77777777">
        <w:trPr>
          <w:trHeight w:val="6333"/>
        </w:trPr>
        <w:tc>
          <w:tcPr>
            <w:tcW w:w="9060" w:type="dxa"/>
            <w:tcBorders>
              <w:top w:val="single" w:sz="12" w:space="0" w:color="0070C0"/>
              <w:left w:val="single" w:sz="12" w:space="0" w:color="0070C0"/>
              <w:bottom w:val="single" w:sz="12" w:space="0" w:color="0070C0"/>
              <w:right w:val="single" w:sz="12" w:space="0" w:color="0070C0"/>
            </w:tcBorders>
            <w:shd w:val="clear" w:color="auto" w:fill="auto"/>
            <w:tcMar>
              <w:top w:w="0" w:type="dxa"/>
              <w:left w:w="108" w:type="dxa"/>
              <w:bottom w:w="0" w:type="dxa"/>
              <w:right w:w="108" w:type="dxa"/>
            </w:tcMar>
          </w:tcPr>
          <w:p w14:paraId="402C8F5F" w14:textId="77777777" w:rsidR="009C1D22" w:rsidRDefault="000B6C0D">
            <w:pPr>
              <w:spacing w:after="0" w:line="360" w:lineRule="auto"/>
              <w:jc w:val="both"/>
            </w:pPr>
            <w:r>
              <w:rPr>
                <w:rFonts w:ascii="Times New Roman" w:eastAsia="Century Gothic" w:hAnsi="Times New Roman"/>
                <w:b/>
              </w:rPr>
              <w:t>Article 24 :</w:t>
            </w:r>
            <w:r>
              <w:rPr>
                <w:rFonts w:ascii="Times New Roman" w:eastAsia="Century Gothic" w:hAnsi="Times New Roman"/>
              </w:rPr>
              <w:t xml:space="preserve"> Tout étranger pour être admis sur le territoire de la </w:t>
            </w:r>
            <w:r>
              <w:rPr>
                <w:rFonts w:ascii="Times New Roman" w:eastAsia="Century Gothic" w:hAnsi="Times New Roman"/>
                <w:lang w:val="fr-CA"/>
              </w:rPr>
              <w:t>R</w:t>
            </w:r>
            <w:proofErr w:type="spellStart"/>
            <w:r>
              <w:rPr>
                <w:rFonts w:ascii="Times New Roman" w:eastAsia="Century Gothic" w:hAnsi="Times New Roman"/>
              </w:rPr>
              <w:t>épublique</w:t>
            </w:r>
            <w:proofErr w:type="spellEnd"/>
            <w:r>
              <w:rPr>
                <w:rFonts w:ascii="Times New Roman" w:eastAsia="Century Gothic" w:hAnsi="Times New Roman"/>
              </w:rPr>
              <w:t xml:space="preserve"> du Tchad doit produire :</w:t>
            </w:r>
          </w:p>
          <w:p w14:paraId="08850383" w14:textId="77777777" w:rsidR="009C1D22" w:rsidRDefault="000B6C0D">
            <w:pPr>
              <w:numPr>
                <w:ilvl w:val="0"/>
                <w:numId w:val="18"/>
              </w:numPr>
              <w:spacing w:after="0" w:line="360" w:lineRule="auto"/>
              <w:jc w:val="both"/>
              <w:rPr>
                <w:rFonts w:ascii="Times New Roman" w:eastAsia="Century Gothic" w:hAnsi="Times New Roman"/>
                <w:lang w:val="fr-CA"/>
              </w:rPr>
            </w:pPr>
            <w:r>
              <w:rPr>
                <w:rFonts w:ascii="Times New Roman" w:eastAsia="Century Gothic" w:hAnsi="Times New Roman"/>
                <w:lang w:val="fr-CA"/>
              </w:rPr>
              <w:t>Un passeport en cours de validité, revêtu de l’un des visas de catégorie 1, 2, 3 ou 4 prévu par la législation en vigueur ;</w:t>
            </w:r>
          </w:p>
          <w:p w14:paraId="71E45D74" w14:textId="77777777" w:rsidR="009C1D22" w:rsidRDefault="000B6C0D">
            <w:pPr>
              <w:numPr>
                <w:ilvl w:val="0"/>
                <w:numId w:val="18"/>
              </w:numPr>
              <w:spacing w:after="0" w:line="360" w:lineRule="auto"/>
              <w:jc w:val="both"/>
              <w:rPr>
                <w:rFonts w:ascii="Times New Roman" w:eastAsia="Century Gothic" w:hAnsi="Times New Roman"/>
                <w:lang w:val="fr-CA"/>
              </w:rPr>
            </w:pPr>
            <w:r>
              <w:rPr>
                <w:rFonts w:ascii="Times New Roman" w:eastAsia="Century Gothic" w:hAnsi="Times New Roman"/>
                <w:lang w:val="fr-CA"/>
              </w:rPr>
              <w:t>Un justificatif d’hébergement sur le territoire tchadien ;</w:t>
            </w:r>
          </w:p>
          <w:p w14:paraId="60E21311" w14:textId="77777777" w:rsidR="009C1D22" w:rsidRDefault="000B6C0D">
            <w:pPr>
              <w:numPr>
                <w:ilvl w:val="0"/>
                <w:numId w:val="18"/>
              </w:numPr>
              <w:spacing w:after="0" w:line="360" w:lineRule="auto"/>
              <w:jc w:val="both"/>
              <w:rPr>
                <w:rFonts w:ascii="Times New Roman" w:eastAsia="Century Gothic" w:hAnsi="Times New Roman"/>
                <w:lang w:val="fr-CA"/>
              </w:rPr>
            </w:pPr>
            <w:r>
              <w:rPr>
                <w:rFonts w:ascii="Times New Roman" w:eastAsia="Century Gothic" w:hAnsi="Times New Roman"/>
                <w:lang w:val="fr-CA"/>
              </w:rPr>
              <w:t xml:space="preserve">Un carnet international de vaccination contre la fièvre jaune. </w:t>
            </w:r>
          </w:p>
          <w:p w14:paraId="5C024A9E" w14:textId="77777777" w:rsidR="009C1D22" w:rsidRDefault="000B6C0D">
            <w:pPr>
              <w:spacing w:after="0" w:line="360" w:lineRule="auto"/>
              <w:ind w:left="360"/>
              <w:jc w:val="both"/>
            </w:pPr>
            <w:r>
              <w:rPr>
                <w:rFonts w:ascii="Times New Roman" w:eastAsia="Century Gothic" w:hAnsi="Times New Roman"/>
                <w:b/>
              </w:rPr>
              <w:t>Article 30</w:t>
            </w:r>
            <w:r>
              <w:rPr>
                <w:rFonts w:ascii="Times New Roman" w:eastAsia="Century Gothic" w:hAnsi="Times New Roman"/>
              </w:rPr>
              <w:t> : en République du Tchad, les visas sont classés en 6 catégories qui sont :</w:t>
            </w:r>
          </w:p>
          <w:p w14:paraId="5EF56843" w14:textId="77777777" w:rsidR="009C1D22" w:rsidRDefault="000B6C0D">
            <w:pPr>
              <w:pStyle w:val="ListParagraph"/>
              <w:numPr>
                <w:ilvl w:val="0"/>
                <w:numId w:val="19"/>
              </w:numPr>
              <w:spacing w:after="0" w:line="360" w:lineRule="auto"/>
              <w:jc w:val="both"/>
              <w:rPr>
                <w:rFonts w:ascii="Times New Roman" w:eastAsia="Century Gothic" w:hAnsi="Times New Roman"/>
              </w:rPr>
            </w:pPr>
            <w:r>
              <w:rPr>
                <w:rFonts w:ascii="Times New Roman" w:eastAsia="Century Gothic" w:hAnsi="Times New Roman"/>
              </w:rPr>
              <w:t>Catégorie 1 : visa de transit sans arrêt ;</w:t>
            </w:r>
          </w:p>
          <w:p w14:paraId="07ADBC84" w14:textId="77777777" w:rsidR="009C1D22" w:rsidRDefault="000B6C0D">
            <w:pPr>
              <w:pStyle w:val="ListParagraph"/>
              <w:numPr>
                <w:ilvl w:val="0"/>
                <w:numId w:val="19"/>
              </w:numPr>
              <w:spacing w:after="0" w:line="360" w:lineRule="auto"/>
              <w:jc w:val="both"/>
              <w:rPr>
                <w:rFonts w:ascii="Times New Roman" w:eastAsia="Century Gothic" w:hAnsi="Times New Roman"/>
              </w:rPr>
            </w:pPr>
            <w:r>
              <w:rPr>
                <w:rFonts w:ascii="Times New Roman" w:eastAsia="Century Gothic" w:hAnsi="Times New Roman"/>
              </w:rPr>
              <w:t>Catégorie 2 : visa de transit avec arrêt avec maximum de 15 jours ;</w:t>
            </w:r>
          </w:p>
          <w:p w14:paraId="2F25D631" w14:textId="77777777" w:rsidR="009C1D22" w:rsidRDefault="000B6C0D">
            <w:pPr>
              <w:pStyle w:val="ListParagraph"/>
              <w:numPr>
                <w:ilvl w:val="0"/>
                <w:numId w:val="19"/>
              </w:numPr>
              <w:spacing w:after="0" w:line="360" w:lineRule="auto"/>
              <w:jc w:val="both"/>
              <w:rPr>
                <w:rFonts w:ascii="Times New Roman" w:eastAsia="Century Gothic" w:hAnsi="Times New Roman"/>
              </w:rPr>
            </w:pPr>
            <w:r>
              <w:rPr>
                <w:rFonts w:ascii="Times New Roman" w:eastAsia="Century Gothic" w:hAnsi="Times New Roman"/>
              </w:rPr>
              <w:t>Catégorie 3 : visa court séjour n’excédant pas 3 mois ;</w:t>
            </w:r>
          </w:p>
          <w:p w14:paraId="5996DF28" w14:textId="77777777" w:rsidR="009C1D22" w:rsidRDefault="000B6C0D">
            <w:pPr>
              <w:pStyle w:val="ListParagraph"/>
              <w:numPr>
                <w:ilvl w:val="0"/>
                <w:numId w:val="19"/>
              </w:numPr>
              <w:spacing w:after="0" w:line="360" w:lineRule="auto"/>
              <w:jc w:val="both"/>
              <w:rPr>
                <w:rFonts w:ascii="Times New Roman" w:eastAsia="Century Gothic" w:hAnsi="Times New Roman"/>
              </w:rPr>
            </w:pPr>
            <w:r>
              <w:rPr>
                <w:rFonts w:ascii="Times New Roman" w:eastAsia="Century Gothic" w:hAnsi="Times New Roman"/>
              </w:rPr>
              <w:t>Catégorie 4 : visa de long séjour n’excédant pas 3 ans ;</w:t>
            </w:r>
          </w:p>
          <w:p w14:paraId="0BFBD4B5" w14:textId="77777777" w:rsidR="009C1D22" w:rsidRDefault="000B6C0D">
            <w:pPr>
              <w:pStyle w:val="ListParagraph"/>
              <w:numPr>
                <w:ilvl w:val="0"/>
                <w:numId w:val="19"/>
              </w:numPr>
              <w:spacing w:after="0" w:line="360" w:lineRule="auto"/>
              <w:jc w:val="both"/>
              <w:rPr>
                <w:rFonts w:ascii="Times New Roman" w:eastAsia="Century Gothic" w:hAnsi="Times New Roman"/>
              </w:rPr>
            </w:pPr>
            <w:r>
              <w:rPr>
                <w:rFonts w:ascii="Times New Roman" w:eastAsia="Century Gothic" w:hAnsi="Times New Roman"/>
              </w:rPr>
              <w:t>Catégorie 5 : visa diplomatique ;</w:t>
            </w:r>
          </w:p>
          <w:p w14:paraId="571BC8B1" w14:textId="77777777" w:rsidR="009C1D22" w:rsidRDefault="000B6C0D">
            <w:pPr>
              <w:pStyle w:val="ListParagraph"/>
              <w:numPr>
                <w:ilvl w:val="0"/>
                <w:numId w:val="19"/>
              </w:numPr>
              <w:spacing w:after="0" w:line="360" w:lineRule="auto"/>
              <w:jc w:val="both"/>
              <w:rPr>
                <w:rFonts w:ascii="Times New Roman" w:eastAsia="Century Gothic" w:hAnsi="Times New Roman"/>
              </w:rPr>
            </w:pPr>
            <w:r>
              <w:rPr>
                <w:rFonts w:ascii="Times New Roman" w:eastAsia="Century Gothic" w:hAnsi="Times New Roman"/>
              </w:rPr>
              <w:t>Catégorie 6 : visa de courtoisie.</w:t>
            </w:r>
          </w:p>
          <w:p w14:paraId="5FEF1D31" w14:textId="77777777" w:rsidR="009C1D22" w:rsidRDefault="000B6C0D">
            <w:pPr>
              <w:spacing w:after="0" w:line="360" w:lineRule="auto"/>
              <w:jc w:val="both"/>
            </w:pPr>
            <w:r>
              <w:rPr>
                <w:rFonts w:ascii="Times New Roman" w:eastAsia="Century Gothic" w:hAnsi="Times New Roman"/>
              </w:rPr>
              <w:t xml:space="preserve">         </w:t>
            </w:r>
            <w:r>
              <w:rPr>
                <w:rFonts w:ascii="Times New Roman" w:eastAsia="Century Gothic" w:hAnsi="Times New Roman"/>
                <w:b/>
              </w:rPr>
              <w:t>Article 45</w:t>
            </w:r>
            <w:r>
              <w:rPr>
                <w:rFonts w:ascii="Times New Roman" w:eastAsia="Century Gothic" w:hAnsi="Times New Roman"/>
              </w:rPr>
              <w:t> : la circulation des étrangers sur l’ensemble de territoire nationale de la République du Tchad n’est soumise à aucune restriction si ceux-ci ont satisfait aux conditions d’entrée et de séjour.</w:t>
            </w:r>
          </w:p>
        </w:tc>
      </w:tr>
    </w:tbl>
    <w:p w14:paraId="73AAC06A" w14:textId="77777777" w:rsidR="009C1D22" w:rsidRDefault="000B6C0D">
      <w:pPr>
        <w:spacing w:before="120" w:after="0" w:line="360" w:lineRule="auto"/>
        <w:jc w:val="both"/>
      </w:pPr>
      <w:r>
        <w:rPr>
          <w:rFonts w:ascii="Times New Roman" w:eastAsia="Century Gothic" w:hAnsi="Times New Roman"/>
          <w:b/>
        </w:rPr>
        <w:t>Tableau 2 :</w:t>
      </w:r>
      <w:r>
        <w:rPr>
          <w:rFonts w:ascii="Times New Roman" w:eastAsia="Century Gothic" w:hAnsi="Times New Roman"/>
        </w:rPr>
        <w:t xml:space="preserve"> Modalités d’admission et séjour des étrangers en Territoire de la République du Tchad</w:t>
      </w:r>
    </w:p>
    <w:p w14:paraId="78A48D6D" w14:textId="77777777" w:rsidR="009C1D22" w:rsidRDefault="000B6C0D">
      <w:pPr>
        <w:spacing w:before="120" w:after="0" w:line="360" w:lineRule="auto"/>
        <w:jc w:val="both"/>
        <w:rPr>
          <w:rFonts w:ascii="Times New Roman" w:hAnsi="Times New Roman"/>
          <w:bCs/>
          <w:i/>
        </w:rPr>
      </w:pPr>
      <w:r>
        <w:rPr>
          <w:rFonts w:ascii="Times New Roman" w:eastAsia="Century Gothic" w:hAnsi="Times New Roman"/>
          <w:b/>
          <w:i/>
        </w:rPr>
        <w:t>Source :</w:t>
      </w:r>
      <w:r>
        <w:rPr>
          <w:rFonts w:ascii="Times New Roman" w:eastAsia="Century Gothic" w:hAnsi="Times New Roman"/>
          <w:i/>
        </w:rPr>
        <w:t xml:space="preserve"> Décret</w:t>
      </w:r>
      <w:r>
        <w:rPr>
          <w:rFonts w:ascii="Times New Roman" w:hAnsi="Times New Roman"/>
          <w:bCs/>
        </w:rPr>
        <w:t xml:space="preserve"> </w:t>
      </w:r>
      <w:r>
        <w:rPr>
          <w:rFonts w:ascii="Times New Roman" w:hAnsi="Times New Roman"/>
          <w:bCs/>
          <w:i/>
        </w:rPr>
        <w:t>N° 0128/PR/PM/MSPI/2024 du 23 juillet 2024.</w:t>
      </w:r>
    </w:p>
    <w:p w14:paraId="5BD29697" w14:textId="77777777" w:rsidR="0025137F" w:rsidRDefault="0025137F">
      <w:pPr>
        <w:spacing w:before="120" w:after="0" w:line="360" w:lineRule="auto"/>
        <w:jc w:val="both"/>
        <w:rPr>
          <w:rFonts w:ascii="Times New Roman" w:hAnsi="Times New Roman"/>
          <w:bCs/>
          <w:i/>
        </w:rPr>
      </w:pPr>
    </w:p>
    <w:p w14:paraId="38E812C5" w14:textId="77777777" w:rsidR="0025137F" w:rsidRDefault="0025137F">
      <w:pPr>
        <w:spacing w:before="120" w:after="0" w:line="360" w:lineRule="auto"/>
        <w:jc w:val="both"/>
        <w:rPr>
          <w:rFonts w:ascii="Times New Roman" w:hAnsi="Times New Roman"/>
          <w:bCs/>
          <w:i/>
        </w:rPr>
      </w:pPr>
    </w:p>
    <w:p w14:paraId="3A24E955" w14:textId="77777777" w:rsidR="0025137F" w:rsidRDefault="0025137F">
      <w:pPr>
        <w:spacing w:before="120" w:after="0" w:line="360" w:lineRule="auto"/>
        <w:jc w:val="both"/>
      </w:pPr>
    </w:p>
    <w:p w14:paraId="35182C95" w14:textId="77777777" w:rsidR="009C1D22" w:rsidRDefault="009C1D22">
      <w:pPr>
        <w:spacing w:after="0" w:line="360" w:lineRule="auto"/>
        <w:jc w:val="both"/>
        <w:rPr>
          <w:rFonts w:ascii="Times New Roman" w:eastAsia="Times New Roman" w:hAnsi="Times New Roman"/>
          <w:b/>
          <w:color w:val="000000"/>
          <w:lang w:val="fr-CA"/>
        </w:rPr>
      </w:pPr>
      <w:bookmarkStart w:id="55" w:name="_Toc177633300"/>
    </w:p>
    <w:p w14:paraId="7B732DA3" w14:textId="77777777" w:rsidR="009C1D22" w:rsidRDefault="000B6C0D">
      <w:pPr>
        <w:pStyle w:val="ListParagraph"/>
        <w:numPr>
          <w:ilvl w:val="0"/>
          <w:numId w:val="14"/>
        </w:numPr>
        <w:spacing w:after="0" w:line="360" w:lineRule="auto"/>
        <w:jc w:val="both"/>
        <w:rPr>
          <w:rFonts w:ascii="Times New Roman" w:eastAsia="Times New Roman" w:hAnsi="Times New Roman"/>
          <w:b/>
          <w:color w:val="000000"/>
          <w:lang w:val="fr-CA"/>
        </w:rPr>
      </w:pPr>
      <w:r>
        <w:rPr>
          <w:rFonts w:ascii="Times New Roman" w:eastAsia="Times New Roman" w:hAnsi="Times New Roman"/>
          <w:b/>
          <w:color w:val="000000"/>
          <w:lang w:val="fr-CA"/>
        </w:rPr>
        <w:lastRenderedPageBreak/>
        <w:t>PROMOTION DE CONDITIONS SAINES, ÉQUITABLES, DIGNES ET LÉGALES EN CE QUI CONCERNE LES    MIGRATIONS INTERNATIONALES DES TRAVAILLEURS MIGRANTS ET DES MEMBRES DE LEUR FAMILLE</w:t>
      </w:r>
      <w:bookmarkEnd w:id="55"/>
    </w:p>
    <w:p w14:paraId="0CAABA6F" w14:textId="77777777" w:rsidR="009C1D22" w:rsidRDefault="000B6C0D">
      <w:pPr>
        <w:spacing w:after="0" w:line="360" w:lineRule="auto"/>
        <w:jc w:val="both"/>
      </w:pPr>
      <w:r>
        <w:rPr>
          <w:rFonts w:ascii="Times New Roman" w:eastAsia="Century Gothic" w:hAnsi="Times New Roman"/>
          <w:b/>
          <w:lang w:val="fr-CA"/>
        </w:rPr>
        <w:t>92.</w:t>
      </w:r>
      <w:r>
        <w:rPr>
          <w:rFonts w:ascii="Times New Roman" w:eastAsia="Century Gothic" w:hAnsi="Times New Roman"/>
          <w:lang w:val="fr-CA"/>
        </w:rPr>
        <w:t xml:space="preserve"> </w:t>
      </w:r>
      <w:r>
        <w:rPr>
          <w:rFonts w:ascii="Times New Roman" w:eastAsia="Century Gothic" w:hAnsi="Times New Roman"/>
        </w:rPr>
        <w:t xml:space="preserve">En matière de promotion de conditions saines, équitables, dignes et légales, une partie des employeurs affirme que les travailleurs migrants sont mieux traités que les nationaux. Certains sont logés, nourris et mieux payés par rapport aux nationaux selon le rapport relatif à la réalisation d’une étude sensible au genre sur les dynamiques et la gouvernance de la migration de la main d’œuvre au Tchad (Août 2023). </w:t>
      </w:r>
    </w:p>
    <w:p w14:paraId="0CBEDD50" w14:textId="77777777" w:rsidR="009C1D22" w:rsidRDefault="000B6C0D">
      <w:pPr>
        <w:spacing w:after="0" w:line="360" w:lineRule="auto"/>
        <w:jc w:val="both"/>
      </w:pPr>
      <w:r>
        <w:rPr>
          <w:rFonts w:ascii="Times New Roman" w:eastAsia="Century Gothic" w:hAnsi="Times New Roman"/>
          <w:b/>
        </w:rPr>
        <w:t>93.</w:t>
      </w:r>
      <w:r>
        <w:rPr>
          <w:rFonts w:ascii="Times New Roman" w:eastAsia="Century Gothic" w:hAnsi="Times New Roman"/>
        </w:rPr>
        <w:t xml:space="preserve"> En matière de coopération internationale dans le domaine de migration internationale, e</w:t>
      </w:r>
      <w:r>
        <w:rPr>
          <w:rFonts w:ascii="Times New Roman" w:hAnsi="Times New Roman"/>
          <w:bCs/>
        </w:rPr>
        <w:t>n date du 22 janvier 2010, le Tchad a signé un accord de coopération avec l’Organisation Internationale pour la Migration (OIM) qui a établi une coopération multiforme.</w:t>
      </w:r>
    </w:p>
    <w:p w14:paraId="113D0741" w14:textId="77777777" w:rsidR="009C1D22" w:rsidRDefault="000B6C0D">
      <w:pPr>
        <w:spacing w:after="0" w:line="360" w:lineRule="auto"/>
        <w:jc w:val="both"/>
        <w:rPr>
          <w:rFonts w:ascii="Times New Roman" w:hAnsi="Times New Roman"/>
        </w:rPr>
      </w:pPr>
      <w:r>
        <w:rPr>
          <w:rFonts w:ascii="Times New Roman" w:hAnsi="Times New Roman"/>
        </w:rPr>
        <w:t>Le Tchad est en coopération continue avec le Haut-Commissariat des Nations Unies aux Droits de l’Homme sur toutes les questions relatives à la promotion et la protection des droits de l’homme.</w:t>
      </w:r>
    </w:p>
    <w:p w14:paraId="6D4BFD23" w14:textId="77777777" w:rsidR="009C1D22" w:rsidRDefault="000B6C0D">
      <w:pPr>
        <w:spacing w:after="0" w:line="360" w:lineRule="auto"/>
        <w:jc w:val="both"/>
      </w:pPr>
      <w:r>
        <w:rPr>
          <w:rFonts w:ascii="Times New Roman" w:hAnsi="Times New Roman"/>
          <w:b/>
          <w:bCs/>
        </w:rPr>
        <w:t>94.</w:t>
      </w:r>
      <w:r>
        <w:rPr>
          <w:rFonts w:ascii="Times New Roman" w:hAnsi="Times New Roman"/>
          <w:bCs/>
        </w:rPr>
        <w:t xml:space="preserve"> Sur le plan régional et sous régional, en matière de protection des migrants, le Tchad a rejoint ses pairs africains en s’impliquant dans l’Union Africaine, la CEA, la CEN-SAD, la CEMAC, la CEEAC. Il est à rappeler que le Tchad étant membre de l’Organisation Commune Africaine et Malgache (OCAM), aujourd’hui disparue, qui était l’un des premiers organismes multilatéraux à faire adopter par ses membres une Convention générale en faveur des travailleurs migrants. La Convention préconisait « </w:t>
      </w:r>
      <w:r>
        <w:rPr>
          <w:rFonts w:ascii="Times New Roman" w:hAnsi="Times New Roman"/>
          <w:bCs/>
          <w:i/>
        </w:rPr>
        <w:t>une liberté de circulation et de résidence des ressortissants de chaque Etat membre sur l’ensemble du territoire communautaire soit l’égalité des droits avec les nationaux. L’esprit de cette Convention a inspiré tous les Traités signés par d’autres institutions régionales telles que la Communauté Economique Africaine (CEA), la Communauté Economique des Etats de l’Afrique Centrale (CEEAC) ou l’Union Economique et Douanière des Etats de l’Afrique Centrale (UEDEAC) qui garantissent une liberté de circulation et de travail ainsi que le libre exercice des activités syndicales »</w:t>
      </w:r>
      <w:r>
        <w:rPr>
          <w:rFonts w:ascii="Times New Roman" w:hAnsi="Times New Roman"/>
          <w:b/>
          <w:bCs/>
          <w:vertAlign w:val="superscript"/>
        </w:rPr>
        <w:footnoteReference w:id="8"/>
      </w:r>
      <w:r>
        <w:rPr>
          <w:rFonts w:ascii="Times New Roman" w:hAnsi="Times New Roman"/>
          <w:bCs/>
        </w:rPr>
        <w:t>.</w:t>
      </w:r>
    </w:p>
    <w:p w14:paraId="4F9D4067" w14:textId="77777777" w:rsidR="009C1D22" w:rsidRDefault="000B6C0D">
      <w:pPr>
        <w:spacing w:after="0" w:line="360" w:lineRule="auto"/>
        <w:jc w:val="both"/>
      </w:pPr>
      <w:r>
        <w:rPr>
          <w:rFonts w:ascii="Times New Roman" w:hAnsi="Times New Roman"/>
          <w:b/>
        </w:rPr>
        <w:t>95.</w:t>
      </w:r>
      <w:r>
        <w:rPr>
          <w:rFonts w:ascii="Times New Roman" w:hAnsi="Times New Roman"/>
        </w:rPr>
        <w:t xml:space="preserve"> </w:t>
      </w:r>
      <w:r>
        <w:rPr>
          <w:rFonts w:ascii="Times New Roman" w:eastAsia="Times New Roman" w:hAnsi="Times New Roman"/>
          <w:lang w:val="fr-CA"/>
        </w:rPr>
        <w:t>Pour</w:t>
      </w:r>
      <w:r>
        <w:rPr>
          <w:rFonts w:ascii="Times New Roman" w:eastAsia="Times New Roman" w:hAnsi="Times New Roman"/>
          <w:b/>
          <w:lang w:val="fr-CA"/>
        </w:rPr>
        <w:t xml:space="preserve"> </w:t>
      </w:r>
      <w:r>
        <w:rPr>
          <w:rFonts w:ascii="Times New Roman" w:eastAsia="Times New Roman" w:hAnsi="Times New Roman"/>
          <w:lang w:val="fr-CA"/>
        </w:rPr>
        <w:t xml:space="preserve">ce qui est de sanctions infligées aux personnes qui auront aidé ou assisté des étrangers à entrer ou séjourner illégalement au Tchad, les dispositions de l’article 62 al 2 du Décret N° </w:t>
      </w:r>
      <w:r>
        <w:rPr>
          <w:rFonts w:ascii="Times New Roman" w:hAnsi="Times New Roman"/>
          <w:bCs/>
        </w:rPr>
        <w:t xml:space="preserve">0128/PR/PM/MSPI/2024 du 23 juillet 2024 fixant les conditions d’entrée et de séjour des étrangers </w:t>
      </w:r>
      <w:r>
        <w:rPr>
          <w:rFonts w:ascii="Times New Roman" w:hAnsi="Times New Roman"/>
          <w:bCs/>
        </w:rPr>
        <w:lastRenderedPageBreak/>
        <w:t>au Tchad</w:t>
      </w:r>
      <w:r>
        <w:rPr>
          <w:rFonts w:ascii="Times New Roman" w:eastAsia="Times New Roman" w:hAnsi="Times New Roman"/>
          <w:lang w:val="fr-CA"/>
        </w:rPr>
        <w:t xml:space="preserve"> prévoient une amende dont le montant sera déterminé par un Arrêté conjoint des Ministres en charge de la Sécurité publique et des Finances.</w:t>
      </w:r>
    </w:p>
    <w:p w14:paraId="5EBC82E3" w14:textId="77777777" w:rsidR="009C1D22" w:rsidRDefault="000B6C0D">
      <w:pPr>
        <w:spacing w:after="0" w:line="360" w:lineRule="auto"/>
        <w:jc w:val="both"/>
        <w:rPr>
          <w:rFonts w:ascii="Times New Roman" w:eastAsia="Times New Roman" w:hAnsi="Times New Roman"/>
          <w:lang w:val="fr-CA"/>
        </w:rPr>
      </w:pPr>
      <w:r>
        <w:rPr>
          <w:rFonts w:ascii="Times New Roman" w:eastAsia="Times New Roman" w:hAnsi="Times New Roman"/>
          <w:lang w:val="fr-CA"/>
        </w:rPr>
        <w:t>Pour les personnes, groupes ou entités qui ont recours à la violence, à la menace ou à l'intimidation contre des travailleurs migrants ou des membres de leur famille en situation irrégulière les dispositions du code pénal relatives à la violence et menace leur sont appliquées.</w:t>
      </w:r>
    </w:p>
    <w:p w14:paraId="00F625A5" w14:textId="77777777" w:rsidR="009C1D22" w:rsidRDefault="000B6C0D">
      <w:pPr>
        <w:autoSpaceDE w:val="0"/>
      </w:pPr>
      <w:r>
        <w:rPr>
          <w:rFonts w:ascii="Times New Roman" w:eastAsia="Times New Roman" w:hAnsi="Times New Roman"/>
          <w:b/>
          <w:lang w:val="fr-CA"/>
        </w:rPr>
        <w:t>96.</w:t>
      </w:r>
      <w:r>
        <w:rPr>
          <w:rFonts w:ascii="Times New Roman" w:eastAsia="Times New Roman" w:hAnsi="Times New Roman"/>
          <w:lang w:val="fr-CA"/>
        </w:rPr>
        <w:t xml:space="preserve"> La législation tchadienne ne fait aucune discrimination entre les personnes vivant sur le territoire national. Mieux, l’avant-projet de loi rappelé ci haut accorde aux </w:t>
      </w:r>
      <w:r>
        <w:rPr>
          <w:rFonts w:ascii="Times New Roman" w:hAnsi="Times New Roman"/>
          <w:bCs/>
        </w:rPr>
        <w:t xml:space="preserve">travailleurs migrants et les membres de leur famille le droit d’accéder : </w:t>
      </w:r>
    </w:p>
    <w:p w14:paraId="7E0EE2FC" w14:textId="77777777" w:rsidR="009C1D22" w:rsidRDefault="000B6C0D">
      <w:pPr>
        <w:pStyle w:val="ListParagraph"/>
        <w:numPr>
          <w:ilvl w:val="0"/>
          <w:numId w:val="20"/>
        </w:numPr>
        <w:autoSpaceDE w:val="0"/>
        <w:spacing w:after="120" w:line="240" w:lineRule="auto"/>
        <w:jc w:val="both"/>
        <w:rPr>
          <w:rFonts w:ascii="Times New Roman" w:hAnsi="Times New Roman"/>
          <w:bCs/>
        </w:rPr>
      </w:pPr>
      <w:r>
        <w:rPr>
          <w:rFonts w:ascii="Times New Roman" w:hAnsi="Times New Roman"/>
          <w:bCs/>
        </w:rPr>
        <w:t>au logement, et la protection contre l'exploitation en matière de loyers ;</w:t>
      </w:r>
    </w:p>
    <w:p w14:paraId="1C26D8A8" w14:textId="77777777" w:rsidR="009C1D22" w:rsidRDefault="000B6C0D">
      <w:pPr>
        <w:pStyle w:val="ListParagraph"/>
        <w:numPr>
          <w:ilvl w:val="0"/>
          <w:numId w:val="20"/>
        </w:numPr>
        <w:autoSpaceDE w:val="0"/>
        <w:spacing w:after="120" w:line="240" w:lineRule="auto"/>
        <w:jc w:val="both"/>
        <w:rPr>
          <w:rFonts w:ascii="Times New Roman" w:hAnsi="Times New Roman"/>
          <w:bCs/>
        </w:rPr>
      </w:pPr>
      <w:r>
        <w:rPr>
          <w:rFonts w:ascii="Times New Roman" w:hAnsi="Times New Roman"/>
          <w:bCs/>
        </w:rPr>
        <w:t xml:space="preserve">aux services sociaux et sanitaires, sous réserve que les conditions requises soient remplies ; </w:t>
      </w:r>
    </w:p>
    <w:p w14:paraId="195274D5" w14:textId="77777777" w:rsidR="009C1D22" w:rsidRDefault="000B6C0D">
      <w:pPr>
        <w:pStyle w:val="ListParagraph"/>
        <w:numPr>
          <w:ilvl w:val="0"/>
          <w:numId w:val="20"/>
        </w:numPr>
        <w:autoSpaceDE w:val="0"/>
        <w:spacing w:after="120" w:line="240" w:lineRule="auto"/>
        <w:jc w:val="both"/>
        <w:rPr>
          <w:rFonts w:ascii="Times New Roman" w:hAnsi="Times New Roman"/>
          <w:bCs/>
        </w:rPr>
      </w:pPr>
      <w:r>
        <w:rPr>
          <w:rFonts w:ascii="Times New Roman" w:hAnsi="Times New Roman"/>
          <w:bCs/>
        </w:rPr>
        <w:t>aux coopératives et entreprises autogérées, sans que leur statut de migrants s'en trouve modifié et sous réserve des règles et règlements des organes concernés.</w:t>
      </w:r>
    </w:p>
    <w:p w14:paraId="0B58D404" w14:textId="77777777" w:rsidR="009C1D22" w:rsidRDefault="000B6C0D">
      <w:pPr>
        <w:spacing w:after="0" w:line="360" w:lineRule="auto"/>
        <w:jc w:val="both"/>
        <w:rPr>
          <w:rFonts w:ascii="Times New Roman" w:eastAsia="Times New Roman" w:hAnsi="Times New Roman"/>
          <w:lang w:val="fr-CA"/>
        </w:rPr>
      </w:pPr>
      <w:r>
        <w:rPr>
          <w:rFonts w:ascii="Times New Roman" w:eastAsia="Times New Roman" w:hAnsi="Times New Roman"/>
          <w:lang w:val="fr-CA"/>
        </w:rPr>
        <w:t xml:space="preserve">      -  Normes de santé, de sécurité et d'hygiène et aux principes inhérents à la dignité humaine </w:t>
      </w:r>
    </w:p>
    <w:p w14:paraId="69CA5F9D" w14:textId="77777777" w:rsidR="009C1D22" w:rsidRDefault="000B6C0D">
      <w:pPr>
        <w:spacing w:after="0" w:line="360" w:lineRule="auto"/>
        <w:jc w:val="both"/>
      </w:pPr>
      <w:r>
        <w:rPr>
          <w:rFonts w:ascii="Times New Roman" w:eastAsia="Times New Roman" w:hAnsi="Times New Roman"/>
          <w:b/>
          <w:lang w:val="fr-CA"/>
        </w:rPr>
        <w:t>97.</w:t>
      </w:r>
      <w:r>
        <w:rPr>
          <w:rFonts w:ascii="Times New Roman" w:eastAsia="Times New Roman" w:hAnsi="Times New Roman"/>
          <w:lang w:val="fr-CA"/>
        </w:rPr>
        <w:t xml:space="preserve"> S’agissant de rapatriement dans l'État d'origine des corps des travailleurs migrants ou des membres de leur famille décédés aucun texte ne fait de restriction. </w:t>
      </w:r>
      <w:permStart w:id="75041044" w:edGrp="everyone"/>
      <w:permEnd w:id="75041044"/>
    </w:p>
    <w:p w14:paraId="13C2F2CA" w14:textId="77777777" w:rsidR="009C1D22" w:rsidRDefault="009C1D22">
      <w:pPr>
        <w:tabs>
          <w:tab w:val="left" w:pos="-218"/>
        </w:tabs>
        <w:spacing w:before="120" w:after="0" w:line="360" w:lineRule="auto"/>
        <w:ind w:left="284"/>
        <w:jc w:val="both"/>
        <w:rPr>
          <w:rFonts w:ascii="Times New Roman" w:eastAsia="Times" w:hAnsi="Times New Roman"/>
          <w:lang w:val="fr-CA" w:eastAsia="fr-FR"/>
        </w:rPr>
      </w:pPr>
    </w:p>
    <w:p w14:paraId="38E8E050" w14:textId="77777777" w:rsidR="009C1D22" w:rsidRDefault="009C1D22"/>
    <w:sectPr w:rsidR="009C1D22" w:rsidSect="00A22920">
      <w:footerReference w:type="default" r:id="rId12"/>
      <w:pgSz w:w="12240" w:h="15840"/>
      <w:pgMar w:top="993"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54D4C" w14:textId="77777777" w:rsidR="00B31B0E" w:rsidRDefault="00B31B0E">
      <w:pPr>
        <w:spacing w:after="0" w:line="240" w:lineRule="auto"/>
      </w:pPr>
      <w:r>
        <w:separator/>
      </w:r>
    </w:p>
  </w:endnote>
  <w:endnote w:type="continuationSeparator" w:id="0">
    <w:p w14:paraId="72335D09" w14:textId="77777777" w:rsidR="00B31B0E" w:rsidRDefault="00B31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9DA4A" w14:textId="77777777" w:rsidR="008405B6" w:rsidRDefault="000B6C0D">
    <w:pPr>
      <w:pStyle w:val="Footer"/>
      <w:pBdr>
        <w:top w:val="single" w:sz="4" w:space="1" w:color="D9D9D9"/>
      </w:pBdr>
      <w:jc w:val="right"/>
    </w:pPr>
    <w:r>
      <w:fldChar w:fldCharType="begin"/>
    </w:r>
    <w:r>
      <w:instrText xml:space="preserve"> PAGE </w:instrText>
    </w:r>
    <w:r>
      <w:fldChar w:fldCharType="separate"/>
    </w:r>
    <w:r w:rsidR="002773BB">
      <w:rPr>
        <w:noProof/>
      </w:rPr>
      <w:t>19</w:t>
    </w:r>
    <w:r>
      <w:fldChar w:fldCharType="end"/>
    </w:r>
    <w:r>
      <w:t xml:space="preserve"> | </w:t>
    </w:r>
    <w:r>
      <w:rPr>
        <w:color w:val="7F7F7F"/>
        <w:spacing w:val="60"/>
      </w:rPr>
      <w:t>Page</w:t>
    </w:r>
  </w:p>
  <w:p w14:paraId="79B82DA8" w14:textId="77777777" w:rsidR="008405B6" w:rsidRDefault="008405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C9200" w14:textId="77777777" w:rsidR="00B31B0E" w:rsidRDefault="00B31B0E">
      <w:pPr>
        <w:spacing w:after="0" w:line="240" w:lineRule="auto"/>
      </w:pPr>
      <w:r>
        <w:rPr>
          <w:color w:val="000000"/>
        </w:rPr>
        <w:separator/>
      </w:r>
    </w:p>
  </w:footnote>
  <w:footnote w:type="continuationSeparator" w:id="0">
    <w:p w14:paraId="4239C92A" w14:textId="77777777" w:rsidR="00B31B0E" w:rsidRDefault="00B31B0E">
      <w:pPr>
        <w:spacing w:after="0" w:line="240" w:lineRule="auto"/>
      </w:pPr>
      <w:r>
        <w:continuationSeparator/>
      </w:r>
    </w:p>
  </w:footnote>
  <w:footnote w:id="1">
    <w:p w14:paraId="3DE72ED1" w14:textId="77777777" w:rsidR="009C1D22" w:rsidRDefault="000B6C0D">
      <w:pPr>
        <w:pStyle w:val="FootnoteText"/>
      </w:pPr>
      <w:r>
        <w:rPr>
          <w:rStyle w:val="FootnoteReference"/>
        </w:rPr>
        <w:footnoteRef/>
      </w:r>
      <w:r>
        <w:t xml:space="preserve">  D’après le classement du Programme des Nations Unies pour le développement (PNUD) 2022.</w:t>
      </w:r>
    </w:p>
  </w:footnote>
  <w:footnote w:id="2">
    <w:p w14:paraId="68FBEA9B" w14:textId="77777777" w:rsidR="009C1D22" w:rsidRDefault="000B6C0D">
      <w:pPr>
        <w:pStyle w:val="FootnoteText"/>
      </w:pPr>
      <w:r>
        <w:rPr>
          <w:rStyle w:val="FootnoteReference"/>
        </w:rPr>
        <w:footnoteRef/>
      </w:r>
      <w:r>
        <w:rPr>
          <w:sz w:val="16"/>
          <w:szCs w:val="16"/>
        </w:rPr>
        <w:t xml:space="preserve"> La Lybie, la RCA, le Cameroun, le Niger, le Nigéria, le Soudan.</w:t>
      </w:r>
    </w:p>
  </w:footnote>
  <w:footnote w:id="3">
    <w:p w14:paraId="23641E9E" w14:textId="77777777" w:rsidR="009C1D22" w:rsidRDefault="000B6C0D">
      <w:r>
        <w:rPr>
          <w:rStyle w:val="FootnoteReference"/>
        </w:rPr>
        <w:footnoteRef/>
      </w:r>
      <w:r>
        <w:t xml:space="preserve"> </w:t>
      </w:r>
      <w:r>
        <w:rPr>
          <w:rFonts w:ascii="Times New Roman" w:hAnsi="Times New Roman"/>
          <w:sz w:val="18"/>
          <w:szCs w:val="18"/>
        </w:rPr>
        <w:t>Rapport trimestriel de l’OIM 2023.</w:t>
      </w:r>
    </w:p>
  </w:footnote>
  <w:footnote w:id="4">
    <w:p w14:paraId="52F752DD" w14:textId="77777777" w:rsidR="009C1D22" w:rsidRDefault="000B6C0D">
      <w:r>
        <w:rPr>
          <w:rStyle w:val="FootnoteReference"/>
        </w:rPr>
        <w:footnoteRef/>
      </w:r>
    </w:p>
  </w:footnote>
  <w:footnote w:id="5">
    <w:p w14:paraId="7532BC5A" w14:textId="77777777" w:rsidR="009C1D22" w:rsidRDefault="000B6C0D">
      <w:pPr>
        <w:pStyle w:val="FootnoteText"/>
      </w:pPr>
      <w:r>
        <w:rPr>
          <w:rStyle w:val="FootnoteReference"/>
        </w:rPr>
        <w:footnoteRef/>
      </w:r>
      <w:r>
        <w:rPr>
          <w:rFonts w:ascii="Times New Roman" w:hAnsi="Times New Roman"/>
          <w:sz w:val="18"/>
          <w:szCs w:val="18"/>
        </w:rPr>
        <w:t xml:space="preserve"> </w:t>
      </w:r>
      <w:r>
        <w:rPr>
          <w:rFonts w:ascii="Times New Roman" w:hAnsi="Times New Roman"/>
          <w:sz w:val="18"/>
          <w:szCs w:val="18"/>
          <w:lang w:val="fr-CA"/>
        </w:rPr>
        <w:t xml:space="preserve">Rapport de UNHCR, portant sur l’analyse des changements et les tendances en matière de déplacement forcé, du 21 juin 2024. </w:t>
      </w:r>
    </w:p>
  </w:footnote>
  <w:footnote w:id="6">
    <w:p w14:paraId="3670C141" w14:textId="77777777" w:rsidR="009C1D22" w:rsidRDefault="000B6C0D">
      <w:pPr>
        <w:pStyle w:val="FootnoteText"/>
      </w:pPr>
      <w:r>
        <w:rPr>
          <w:rStyle w:val="FootnoteReference"/>
        </w:rPr>
        <w:footnoteRef/>
      </w:r>
      <w:r>
        <w:t xml:space="preserve"> </w:t>
      </w:r>
      <w:r>
        <w:rPr>
          <w:rFonts w:ascii="Times New Roman" w:hAnsi="Times New Roman"/>
          <w:sz w:val="24"/>
          <w:szCs w:val="24"/>
        </w:rPr>
        <w:t xml:space="preserve">Décret </w:t>
      </w:r>
      <w:r>
        <w:rPr>
          <w:rFonts w:ascii="Times New Roman" w:eastAsia="Times New Roman" w:hAnsi="Times New Roman"/>
          <w:sz w:val="24"/>
          <w:szCs w:val="24"/>
          <w:lang w:val="fr-CA"/>
        </w:rPr>
        <w:t>N 0128/PR/PM/MSPI/2024 fixant les conditions d’admission aux séjours des étrangers en république du Tchad</w:t>
      </w:r>
    </w:p>
  </w:footnote>
  <w:footnote w:id="7">
    <w:p w14:paraId="1EB2BE7F" w14:textId="77777777" w:rsidR="009C1D22" w:rsidRDefault="000B6C0D">
      <w:pPr>
        <w:pStyle w:val="FootnoteText"/>
      </w:pPr>
      <w:r>
        <w:rPr>
          <w:rStyle w:val="FootnoteReference"/>
        </w:rPr>
        <w:footnoteRef/>
      </w:r>
      <w:r>
        <w:t xml:space="preserve"> Acte additionnel N°01/13-CEMAC-070 U-CCE-SE du 25 juin 2013</w:t>
      </w:r>
    </w:p>
  </w:footnote>
  <w:footnote w:id="8">
    <w:p w14:paraId="4A42C67C" w14:textId="77777777" w:rsidR="009C1D22" w:rsidRDefault="000B6C0D">
      <w:pPr>
        <w:pStyle w:val="FootnoteText"/>
      </w:pPr>
      <w:r>
        <w:rPr>
          <w:rStyle w:val="FootnoteReference"/>
        </w:rPr>
        <w:footnoteRef/>
      </w:r>
      <w:r>
        <w:rPr>
          <w:rFonts w:ascii="Times New Roman" w:hAnsi="Times New Roman"/>
        </w:rPr>
        <w:t xml:space="preserve">Babacar SALL, Migrations de travail et protection des droits humains en Afrique : Les obstacles à la Convention Internationale sur la Protection des Droits de tous les Travailleurs Migrants et des Membres de leur Famille en Afrique subsaharienne, Etudes UNESCO sur les Migrations-N°2, Unesco 2007, pp.17 et </w:t>
      </w:r>
      <w:proofErr w:type="spellStart"/>
      <w:r>
        <w:rPr>
          <w:rFonts w:ascii="Times New Roman" w:hAnsi="Times New Roman"/>
        </w:rPr>
        <w:t>ss</w:t>
      </w:r>
      <w:proofErr w:type="spellEnd"/>
      <w:r>
        <w:rPr>
          <w:rFonts w:ascii="Times New Roman" w:hAnsi="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12C8F"/>
    <w:multiLevelType w:val="multilevel"/>
    <w:tmpl w:val="53C2927E"/>
    <w:lvl w:ilvl="0">
      <w:numFmt w:val="bullet"/>
      <w:lvlText w:val=""/>
      <w:lvlJc w:val="left"/>
      <w:pPr>
        <w:ind w:left="360" w:hanging="360"/>
      </w:pPr>
      <w:rPr>
        <w:rFonts w:ascii="Symbol" w:hAnsi="Symbol"/>
        <w:i w:val="0"/>
        <w:color w:val="auto"/>
        <w:sz w:val="24"/>
        <w:szCs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6D486C"/>
    <w:multiLevelType w:val="multilevel"/>
    <w:tmpl w:val="39D27EFA"/>
    <w:lvl w:ilvl="0">
      <w:numFmt w:val="bullet"/>
      <w:lvlText w:val=""/>
      <w:lvlJc w:val="left"/>
      <w:pPr>
        <w:ind w:left="1142" w:hanging="360"/>
      </w:pPr>
      <w:rPr>
        <w:rFonts w:ascii="Wingdings" w:hAnsi="Wingdings"/>
      </w:rPr>
    </w:lvl>
    <w:lvl w:ilvl="1">
      <w:numFmt w:val="bullet"/>
      <w:lvlText w:val="o"/>
      <w:lvlJc w:val="left"/>
      <w:pPr>
        <w:ind w:left="1862" w:hanging="360"/>
      </w:pPr>
      <w:rPr>
        <w:rFonts w:ascii="Courier New" w:hAnsi="Courier New" w:cs="Courier New"/>
      </w:rPr>
    </w:lvl>
    <w:lvl w:ilvl="2">
      <w:numFmt w:val="bullet"/>
      <w:lvlText w:val=""/>
      <w:lvlJc w:val="left"/>
      <w:pPr>
        <w:ind w:left="2582" w:hanging="360"/>
      </w:pPr>
      <w:rPr>
        <w:rFonts w:ascii="Wingdings" w:hAnsi="Wingdings"/>
      </w:rPr>
    </w:lvl>
    <w:lvl w:ilvl="3">
      <w:numFmt w:val="bullet"/>
      <w:lvlText w:val=""/>
      <w:lvlJc w:val="left"/>
      <w:pPr>
        <w:ind w:left="3302" w:hanging="360"/>
      </w:pPr>
      <w:rPr>
        <w:rFonts w:ascii="Symbol" w:hAnsi="Symbol"/>
      </w:rPr>
    </w:lvl>
    <w:lvl w:ilvl="4">
      <w:numFmt w:val="bullet"/>
      <w:lvlText w:val="o"/>
      <w:lvlJc w:val="left"/>
      <w:pPr>
        <w:ind w:left="4022" w:hanging="360"/>
      </w:pPr>
      <w:rPr>
        <w:rFonts w:ascii="Courier New" w:hAnsi="Courier New" w:cs="Courier New"/>
      </w:rPr>
    </w:lvl>
    <w:lvl w:ilvl="5">
      <w:numFmt w:val="bullet"/>
      <w:lvlText w:val=""/>
      <w:lvlJc w:val="left"/>
      <w:pPr>
        <w:ind w:left="4742" w:hanging="360"/>
      </w:pPr>
      <w:rPr>
        <w:rFonts w:ascii="Wingdings" w:hAnsi="Wingdings"/>
      </w:rPr>
    </w:lvl>
    <w:lvl w:ilvl="6">
      <w:numFmt w:val="bullet"/>
      <w:lvlText w:val=""/>
      <w:lvlJc w:val="left"/>
      <w:pPr>
        <w:ind w:left="5462" w:hanging="360"/>
      </w:pPr>
      <w:rPr>
        <w:rFonts w:ascii="Symbol" w:hAnsi="Symbol"/>
      </w:rPr>
    </w:lvl>
    <w:lvl w:ilvl="7">
      <w:numFmt w:val="bullet"/>
      <w:lvlText w:val="o"/>
      <w:lvlJc w:val="left"/>
      <w:pPr>
        <w:ind w:left="6182" w:hanging="360"/>
      </w:pPr>
      <w:rPr>
        <w:rFonts w:ascii="Courier New" w:hAnsi="Courier New" w:cs="Courier New"/>
      </w:rPr>
    </w:lvl>
    <w:lvl w:ilvl="8">
      <w:numFmt w:val="bullet"/>
      <w:lvlText w:val=""/>
      <w:lvlJc w:val="left"/>
      <w:pPr>
        <w:ind w:left="6902" w:hanging="360"/>
      </w:pPr>
      <w:rPr>
        <w:rFonts w:ascii="Wingdings" w:hAnsi="Wingdings"/>
      </w:rPr>
    </w:lvl>
  </w:abstractNum>
  <w:abstractNum w:abstractNumId="2" w15:restartNumberingAfterBreak="0">
    <w:nsid w:val="213A55A2"/>
    <w:multiLevelType w:val="multilevel"/>
    <w:tmpl w:val="F418FA82"/>
    <w:lvl w:ilvl="0">
      <w:start w:val="1"/>
      <w:numFmt w:val="lowerLetter"/>
      <w:lvlText w:val="%1)"/>
      <w:lvlJc w:val="left"/>
      <w:pPr>
        <w:ind w:left="720" w:hanging="360"/>
      </w:pPr>
      <w:rPr>
        <w:rFonts w:ascii="Times New Roman" w:eastAsia="Times" w:hAnsi="Times New Roman" w:cs="Times New Roman"/>
        <w:b/>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9AB499E"/>
    <w:multiLevelType w:val="multilevel"/>
    <w:tmpl w:val="05B4094C"/>
    <w:lvl w:ilvl="0">
      <w:start w:val="1"/>
      <w:numFmt w:val="upperLetter"/>
      <w:lvlText w:val="%1."/>
      <w:lvlJc w:val="left"/>
      <w:pPr>
        <w:ind w:left="720" w:hanging="360"/>
      </w:pPr>
      <w:rPr>
        <w:rFonts w:ascii="Times New Roman" w:hAnsi="Times New Roman" w:cs="Times New Roman"/>
        <w:b/>
        <w:color w:val="auto"/>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27F7713"/>
    <w:multiLevelType w:val="multilevel"/>
    <w:tmpl w:val="ACB4F7A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EE76ED4"/>
    <w:multiLevelType w:val="multilevel"/>
    <w:tmpl w:val="31421BE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3F69690F"/>
    <w:multiLevelType w:val="multilevel"/>
    <w:tmpl w:val="6590AE6A"/>
    <w:lvl w:ilvl="0">
      <w:start w:val="1"/>
      <w:numFmt w:val="upperLetter"/>
      <w:lvlText w:val="%1."/>
      <w:lvlJc w:val="left"/>
      <w:pPr>
        <w:ind w:left="528" w:hanging="360"/>
      </w:pPr>
    </w:lvl>
    <w:lvl w:ilvl="1">
      <w:start w:val="1"/>
      <w:numFmt w:val="lowerLetter"/>
      <w:lvlText w:val="%2."/>
      <w:lvlJc w:val="left"/>
      <w:pPr>
        <w:ind w:left="1248" w:hanging="360"/>
      </w:pPr>
    </w:lvl>
    <w:lvl w:ilvl="2">
      <w:start w:val="1"/>
      <w:numFmt w:val="lowerRoman"/>
      <w:lvlText w:val="%3."/>
      <w:lvlJc w:val="right"/>
      <w:pPr>
        <w:ind w:left="1968" w:hanging="180"/>
      </w:pPr>
    </w:lvl>
    <w:lvl w:ilvl="3">
      <w:start w:val="1"/>
      <w:numFmt w:val="decimal"/>
      <w:lvlText w:val="%4."/>
      <w:lvlJc w:val="left"/>
      <w:pPr>
        <w:ind w:left="2688" w:hanging="360"/>
      </w:pPr>
    </w:lvl>
    <w:lvl w:ilvl="4">
      <w:start w:val="1"/>
      <w:numFmt w:val="lowerLetter"/>
      <w:lvlText w:val="%5."/>
      <w:lvlJc w:val="left"/>
      <w:pPr>
        <w:ind w:left="3408" w:hanging="360"/>
      </w:pPr>
    </w:lvl>
    <w:lvl w:ilvl="5">
      <w:start w:val="1"/>
      <w:numFmt w:val="lowerRoman"/>
      <w:lvlText w:val="%6."/>
      <w:lvlJc w:val="right"/>
      <w:pPr>
        <w:ind w:left="4128" w:hanging="180"/>
      </w:pPr>
    </w:lvl>
    <w:lvl w:ilvl="6">
      <w:start w:val="1"/>
      <w:numFmt w:val="decimal"/>
      <w:lvlText w:val="%7."/>
      <w:lvlJc w:val="left"/>
      <w:pPr>
        <w:ind w:left="4848" w:hanging="360"/>
      </w:pPr>
    </w:lvl>
    <w:lvl w:ilvl="7">
      <w:start w:val="1"/>
      <w:numFmt w:val="lowerLetter"/>
      <w:lvlText w:val="%8."/>
      <w:lvlJc w:val="left"/>
      <w:pPr>
        <w:ind w:left="5568" w:hanging="360"/>
      </w:pPr>
    </w:lvl>
    <w:lvl w:ilvl="8">
      <w:start w:val="1"/>
      <w:numFmt w:val="lowerRoman"/>
      <w:lvlText w:val="%9."/>
      <w:lvlJc w:val="right"/>
      <w:pPr>
        <w:ind w:left="6288" w:hanging="180"/>
      </w:pPr>
    </w:lvl>
  </w:abstractNum>
  <w:abstractNum w:abstractNumId="7" w15:restartNumberingAfterBreak="0">
    <w:nsid w:val="419239B4"/>
    <w:multiLevelType w:val="multilevel"/>
    <w:tmpl w:val="E272CE1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22E13A0"/>
    <w:multiLevelType w:val="multilevel"/>
    <w:tmpl w:val="3F7CE3AA"/>
    <w:lvl w:ilvl="0">
      <w:start w:val="1"/>
      <w:numFmt w:val="upperLetter"/>
      <w:lvlText w:val="%1."/>
      <w:lvlJc w:val="left"/>
      <w:pPr>
        <w:ind w:left="360" w:hanging="360"/>
      </w:pPr>
      <w:rPr>
        <w:rFonts w:ascii="Times New Roman" w:hAnsi="Times New Roman" w:cs="Times New Roman"/>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360054C"/>
    <w:multiLevelType w:val="multilevel"/>
    <w:tmpl w:val="D2488AC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7141DBF"/>
    <w:multiLevelType w:val="multilevel"/>
    <w:tmpl w:val="C73AA066"/>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7D21978"/>
    <w:multiLevelType w:val="multilevel"/>
    <w:tmpl w:val="874C05E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7DF6CE0"/>
    <w:multiLevelType w:val="multilevel"/>
    <w:tmpl w:val="563830B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8C0227C"/>
    <w:multiLevelType w:val="multilevel"/>
    <w:tmpl w:val="59D0039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58642B73"/>
    <w:multiLevelType w:val="multilevel"/>
    <w:tmpl w:val="1564F3C6"/>
    <w:lvl w:ilvl="0">
      <w:numFmt w:val="bullet"/>
      <w:lvlText w:val="-"/>
      <w:lvlJc w:val="left"/>
      <w:pPr>
        <w:ind w:left="720" w:hanging="360"/>
      </w:pPr>
      <w:rPr>
        <w:rFonts w:ascii="Century Gothic" w:eastAsia="Times New Roman" w:hAnsi="Century Gothic"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16E785A"/>
    <w:multiLevelType w:val="multilevel"/>
    <w:tmpl w:val="EE02603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4432B01"/>
    <w:multiLevelType w:val="multilevel"/>
    <w:tmpl w:val="1CBCA5B4"/>
    <w:lvl w:ilvl="0">
      <w:start w:val="6"/>
      <w:numFmt w:val="decimal"/>
      <w:lvlText w:val="%1."/>
      <w:lvlJc w:val="left"/>
      <w:pPr>
        <w:ind w:left="360" w:hanging="360"/>
      </w:pPr>
      <w:rPr>
        <w:rFonts w:ascii="Times New Roman" w:hAnsi="Times New Roman" w:cs="Times New Roman"/>
        <w:b/>
        <w:color w:val="000000"/>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6BC35A47"/>
    <w:multiLevelType w:val="multilevel"/>
    <w:tmpl w:val="3AA420D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D9F42AF"/>
    <w:multiLevelType w:val="multilevel"/>
    <w:tmpl w:val="009236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73E55A3B"/>
    <w:multiLevelType w:val="multilevel"/>
    <w:tmpl w:val="BEBCDFA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04294708">
    <w:abstractNumId w:val="15"/>
  </w:num>
  <w:num w:numId="2" w16cid:durableId="1958022117">
    <w:abstractNumId w:val="16"/>
  </w:num>
  <w:num w:numId="3" w16cid:durableId="1261641396">
    <w:abstractNumId w:val="6"/>
  </w:num>
  <w:num w:numId="4" w16cid:durableId="1653408212">
    <w:abstractNumId w:val="12"/>
  </w:num>
  <w:num w:numId="5" w16cid:durableId="188297088">
    <w:abstractNumId w:val="4"/>
  </w:num>
  <w:num w:numId="6" w16cid:durableId="356392551">
    <w:abstractNumId w:val="2"/>
  </w:num>
  <w:num w:numId="7" w16cid:durableId="1430009138">
    <w:abstractNumId w:val="19"/>
  </w:num>
  <w:num w:numId="8" w16cid:durableId="1795100783">
    <w:abstractNumId w:val="18"/>
  </w:num>
  <w:num w:numId="9" w16cid:durableId="9070070">
    <w:abstractNumId w:val="9"/>
  </w:num>
  <w:num w:numId="10" w16cid:durableId="511728794">
    <w:abstractNumId w:val="7"/>
  </w:num>
  <w:num w:numId="11" w16cid:durableId="1016343287">
    <w:abstractNumId w:val="11"/>
  </w:num>
  <w:num w:numId="12" w16cid:durableId="380792064">
    <w:abstractNumId w:val="3"/>
  </w:num>
  <w:num w:numId="13" w16cid:durableId="1594245478">
    <w:abstractNumId w:val="0"/>
  </w:num>
  <w:num w:numId="14" w16cid:durableId="553126040">
    <w:abstractNumId w:val="8"/>
  </w:num>
  <w:num w:numId="15" w16cid:durableId="1159418534">
    <w:abstractNumId w:val="10"/>
  </w:num>
  <w:num w:numId="16" w16cid:durableId="417823915">
    <w:abstractNumId w:val="17"/>
  </w:num>
  <w:num w:numId="17" w16cid:durableId="284309806">
    <w:abstractNumId w:val="13"/>
  </w:num>
  <w:num w:numId="18" w16cid:durableId="1502810856">
    <w:abstractNumId w:val="5"/>
  </w:num>
  <w:num w:numId="19" w16cid:durableId="1629898986">
    <w:abstractNumId w:val="1"/>
  </w:num>
  <w:num w:numId="20" w16cid:durableId="22036178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documentProtection w:edit="readOnly" w:formatting="1" w:enforcement="1" w:cryptProviderType="rsaAES" w:cryptAlgorithmClass="hash" w:cryptAlgorithmType="typeAny" w:cryptAlgorithmSid="14" w:cryptSpinCount="100000" w:hash="bzG9soMEBS5LP9iXsuQpSnWIclImEHyl+7g/pN4DSsI3Eu3G/9ki5+nsDkvc+a1wgUtZy/4fewDBA4P4ndxaaw==" w:salt="Rc0ooz6WhUWc/LMLEfKZjw=="/>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6CE2"/>
    <w:rsid w:val="000B6C0D"/>
    <w:rsid w:val="0025137F"/>
    <w:rsid w:val="002773BB"/>
    <w:rsid w:val="002F29F1"/>
    <w:rsid w:val="00456CE2"/>
    <w:rsid w:val="00533A5A"/>
    <w:rsid w:val="008405B6"/>
    <w:rsid w:val="009B5A6F"/>
    <w:rsid w:val="009C1D22"/>
    <w:rsid w:val="00A22920"/>
    <w:rsid w:val="00B31B0E"/>
    <w:rsid w:val="00CE4859"/>
    <w:rsid w:val="00CF1BBC"/>
    <w:rsid w:val="00EF7626"/>
    <w:rsid w:val="00F679B3"/>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32EA3"/>
  <w15:docId w15:val="{D49F26CD-B7D2-4E65-B4A8-544C40077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pPr>
        <w:autoSpaceDN w:val="0"/>
        <w:spacing w:after="160" w:line="242"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276" w:lineRule="auto"/>
    </w:pPr>
    <w:rPr>
      <w:kern w:val="3"/>
      <w:sz w:val="24"/>
      <w:szCs w:val="24"/>
      <w:lang w:val="fr-FR"/>
    </w:rPr>
  </w:style>
  <w:style w:type="paragraph" w:styleId="Heading1">
    <w:name w:val="heading 1"/>
    <w:basedOn w:val="Normal"/>
    <w:next w:val="Normal"/>
    <w:pPr>
      <w:keepNext/>
      <w:keepLines/>
      <w:spacing w:before="360" w:after="80"/>
      <w:outlineLvl w:val="0"/>
    </w:pPr>
    <w:rPr>
      <w:rFonts w:ascii="Calibri Light" w:eastAsia="Times New Roman" w:hAnsi="Calibri Light"/>
      <w:color w:val="2E74B5"/>
      <w:sz w:val="40"/>
      <w:szCs w:val="40"/>
    </w:rPr>
  </w:style>
  <w:style w:type="paragraph" w:styleId="Heading2">
    <w:name w:val="heading 2"/>
    <w:basedOn w:val="Normal"/>
    <w:next w:val="Normal"/>
    <w:pPr>
      <w:keepNext/>
      <w:keepLines/>
      <w:spacing w:before="160" w:after="80"/>
      <w:outlineLvl w:val="1"/>
    </w:pPr>
    <w:rPr>
      <w:rFonts w:ascii="Calibri Light" w:eastAsia="Times New Roman" w:hAnsi="Calibri Light"/>
      <w:color w:val="2E74B5"/>
      <w:sz w:val="32"/>
      <w:szCs w:val="32"/>
    </w:rPr>
  </w:style>
  <w:style w:type="paragraph" w:styleId="Heading3">
    <w:name w:val="heading 3"/>
    <w:basedOn w:val="Normal"/>
    <w:next w:val="Normal"/>
    <w:pPr>
      <w:keepNext/>
      <w:keepLines/>
      <w:spacing w:before="160" w:after="80"/>
      <w:outlineLvl w:val="2"/>
    </w:pPr>
    <w:rPr>
      <w:rFonts w:eastAsia="Times New Roman"/>
      <w:color w:val="2E74B5"/>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re1Car">
    <w:name w:val="Titre 1 Car"/>
    <w:basedOn w:val="DefaultParagraphFont"/>
    <w:rPr>
      <w:rFonts w:ascii="Calibri Light" w:eastAsia="Times New Roman" w:hAnsi="Calibri Light" w:cs="Times New Roman"/>
      <w:color w:val="2E74B5"/>
      <w:kern w:val="3"/>
      <w:sz w:val="40"/>
      <w:szCs w:val="40"/>
      <w:lang w:val="fr-FR"/>
    </w:rPr>
  </w:style>
  <w:style w:type="character" w:customStyle="1" w:styleId="Titre2Car">
    <w:name w:val="Titre 2 Car"/>
    <w:basedOn w:val="DefaultParagraphFont"/>
    <w:rPr>
      <w:rFonts w:ascii="Calibri Light" w:eastAsia="Times New Roman" w:hAnsi="Calibri Light" w:cs="Times New Roman"/>
      <w:color w:val="2E74B5"/>
      <w:kern w:val="3"/>
      <w:sz w:val="32"/>
      <w:szCs w:val="32"/>
      <w:lang w:val="fr-FR"/>
    </w:rPr>
  </w:style>
  <w:style w:type="character" w:customStyle="1" w:styleId="Titre3Car">
    <w:name w:val="Titre 3 Car"/>
    <w:basedOn w:val="DefaultParagraphFont"/>
    <w:rPr>
      <w:rFonts w:eastAsia="Times New Roman" w:cs="Times New Roman"/>
      <w:color w:val="2E74B5"/>
      <w:kern w:val="3"/>
      <w:sz w:val="28"/>
      <w:szCs w:val="28"/>
      <w:lang w:val="fr-FR"/>
    </w:rPr>
  </w:style>
  <w:style w:type="paragraph" w:styleId="ListParagraph">
    <w:name w:val="List Paragraph"/>
    <w:basedOn w:val="Normal"/>
    <w:pPr>
      <w:ind w:left="720"/>
    </w:pPr>
  </w:style>
  <w:style w:type="paragraph" w:styleId="FootnoteText">
    <w:name w:val="footnote text"/>
    <w:basedOn w:val="Normal"/>
    <w:pPr>
      <w:spacing w:after="0" w:line="240" w:lineRule="auto"/>
    </w:pPr>
    <w:rPr>
      <w:sz w:val="20"/>
      <w:szCs w:val="20"/>
    </w:rPr>
  </w:style>
  <w:style w:type="character" w:customStyle="1" w:styleId="NotedebasdepageCar">
    <w:name w:val="Note de bas de page Car"/>
    <w:basedOn w:val="DefaultParagraphFont"/>
    <w:rPr>
      <w:kern w:val="3"/>
      <w:sz w:val="20"/>
      <w:szCs w:val="20"/>
      <w:lang w:val="fr-FR"/>
    </w:rPr>
  </w:style>
  <w:style w:type="character" w:styleId="FootnoteReference">
    <w:name w:val="footnote reference"/>
    <w:basedOn w:val="DefaultParagraphFont"/>
    <w:rPr>
      <w:position w:val="0"/>
      <w:vertAlign w:val="superscript"/>
    </w:rPr>
  </w:style>
  <w:style w:type="character" w:customStyle="1" w:styleId="ParagraphedelisteCar">
    <w:name w:val="Paragraphe de liste Car"/>
    <w:rPr>
      <w:kern w:val="3"/>
      <w:sz w:val="24"/>
      <w:szCs w:val="24"/>
      <w:lang w:val="fr-FR"/>
    </w:rPr>
  </w:style>
  <w:style w:type="paragraph" w:customStyle="1" w:styleId="ftrefCarCar1">
    <w:name w:val="ftref Car Car1"/>
    <w:basedOn w:val="Normal"/>
    <w:pPr>
      <w:spacing w:line="240" w:lineRule="exact"/>
    </w:pPr>
    <w:rPr>
      <w:kern w:val="0"/>
      <w:sz w:val="22"/>
      <w:szCs w:val="22"/>
      <w:vertAlign w:val="superscript"/>
      <w:lang w:val="en-US"/>
    </w:rPr>
  </w:style>
  <w:style w:type="paragraph" w:styleId="TOC1">
    <w:name w:val="toc 1"/>
    <w:basedOn w:val="Normal"/>
    <w:next w:val="Normal"/>
    <w:autoRedefine/>
    <w:pPr>
      <w:spacing w:after="100"/>
    </w:pPr>
    <w:rPr>
      <w:kern w:val="0"/>
      <w:sz w:val="22"/>
      <w:szCs w:val="22"/>
    </w:rPr>
  </w:style>
  <w:style w:type="character" w:styleId="Hyperlink">
    <w:name w:val="Hyperlink"/>
    <w:rPr>
      <w:color w:val="0000FF"/>
      <w:u w:val="single"/>
    </w:rPr>
  </w:style>
  <w:style w:type="paragraph" w:customStyle="1" w:styleId="SingleTxtG">
    <w:name w:val="_ Single Txt_G"/>
    <w:basedOn w:val="Normal"/>
    <w:pPr>
      <w:spacing w:after="120" w:line="240" w:lineRule="atLeast"/>
      <w:ind w:left="1134" w:right="1134"/>
      <w:jc w:val="both"/>
    </w:pPr>
    <w:rPr>
      <w:rFonts w:ascii="Times New Roman" w:eastAsia="Times New Roman" w:hAnsi="Times New Roman"/>
      <w:kern w:val="0"/>
      <w:sz w:val="20"/>
      <w:szCs w:val="20"/>
      <w:lang w:val="fr-CH"/>
    </w:rPr>
  </w:style>
  <w:style w:type="paragraph" w:styleId="TOCHeading">
    <w:name w:val="TOC Heading"/>
    <w:basedOn w:val="Heading1"/>
    <w:next w:val="Normal"/>
    <w:pPr>
      <w:spacing w:before="240" w:after="0" w:line="242" w:lineRule="auto"/>
    </w:pPr>
    <w:rPr>
      <w:kern w:val="0"/>
      <w:sz w:val="32"/>
      <w:szCs w:val="32"/>
      <w:lang w:val="en-US"/>
    </w:rPr>
  </w:style>
  <w:style w:type="paragraph" w:styleId="TOC2">
    <w:name w:val="toc 2"/>
    <w:basedOn w:val="Normal"/>
    <w:next w:val="Normal"/>
    <w:autoRedefine/>
    <w:pPr>
      <w:tabs>
        <w:tab w:val="right" w:leader="dot" w:pos="880"/>
        <w:tab w:val="right" w:leader="dot" w:pos="9016"/>
      </w:tabs>
      <w:spacing w:after="100" w:line="360" w:lineRule="auto"/>
      <w:ind w:left="240"/>
      <w:jc w:val="both"/>
    </w:pPr>
  </w:style>
  <w:style w:type="paragraph" w:styleId="TOC3">
    <w:name w:val="toc 3"/>
    <w:basedOn w:val="Normal"/>
    <w:next w:val="Normal"/>
    <w:autoRedefine/>
    <w:pPr>
      <w:spacing w:after="100"/>
      <w:ind w:left="480"/>
    </w:pPr>
  </w:style>
  <w:style w:type="character" w:customStyle="1" w:styleId="fontstyle01">
    <w:name w:val="fontstyle01"/>
    <w:basedOn w:val="DefaultParagraphFont"/>
    <w:rPr>
      <w:rFonts w:ascii="Helvetica" w:hAnsi="Helvetica" w:cs="Helvetica"/>
      <w:b w:val="0"/>
      <w:bCs w:val="0"/>
      <w:i w:val="0"/>
      <w:iCs w:val="0"/>
      <w:color w:val="000000"/>
      <w:sz w:val="24"/>
      <w:szCs w:val="24"/>
    </w:rPr>
  </w:style>
  <w:style w:type="paragraph" w:customStyle="1" w:styleId="Default">
    <w:name w:val="Default"/>
    <w:pPr>
      <w:suppressAutoHyphens/>
      <w:autoSpaceDE w:val="0"/>
      <w:spacing w:after="0" w:line="240" w:lineRule="auto"/>
    </w:pPr>
    <w:rPr>
      <w:rFonts w:ascii="Times New Roman" w:hAnsi="Times New Roman"/>
      <w:color w:val="000000"/>
      <w:sz w:val="24"/>
      <w:szCs w:val="24"/>
      <w:lang w:val="fr-FR"/>
    </w:rPr>
  </w:style>
  <w:style w:type="paragraph" w:styleId="Header">
    <w:name w:val="header"/>
    <w:basedOn w:val="Normal"/>
    <w:pPr>
      <w:tabs>
        <w:tab w:val="center" w:pos="4680"/>
        <w:tab w:val="right" w:pos="9360"/>
      </w:tabs>
      <w:spacing w:after="0" w:line="240" w:lineRule="auto"/>
    </w:pPr>
  </w:style>
  <w:style w:type="character" w:customStyle="1" w:styleId="En-tteCar">
    <w:name w:val="En-tête Car"/>
    <w:basedOn w:val="DefaultParagraphFont"/>
    <w:rPr>
      <w:kern w:val="3"/>
      <w:sz w:val="24"/>
      <w:szCs w:val="24"/>
      <w:lang w:val="fr-FR"/>
    </w:rPr>
  </w:style>
  <w:style w:type="paragraph" w:styleId="Footer">
    <w:name w:val="footer"/>
    <w:basedOn w:val="Normal"/>
    <w:pPr>
      <w:tabs>
        <w:tab w:val="center" w:pos="4680"/>
        <w:tab w:val="right" w:pos="9360"/>
      </w:tabs>
      <w:spacing w:after="0" w:line="240" w:lineRule="auto"/>
    </w:pPr>
  </w:style>
  <w:style w:type="character" w:customStyle="1" w:styleId="PieddepageCar">
    <w:name w:val="Pied de page Car"/>
    <w:basedOn w:val="DefaultParagraphFont"/>
    <w:rPr>
      <w:kern w:val="3"/>
      <w:sz w:val="24"/>
      <w:szCs w:val="24"/>
      <w:lang w:val="fr-FR"/>
    </w:rPr>
  </w:style>
  <w:style w:type="paragraph" w:styleId="NoSpacing">
    <w:name w:val="No Spacing"/>
    <w:link w:val="NoSpacingChar"/>
    <w:uiPriority w:val="1"/>
    <w:qFormat/>
    <w:rsid w:val="00456CE2"/>
    <w:pPr>
      <w:autoSpaceDN/>
      <w:spacing w:after="0" w:line="240" w:lineRule="auto"/>
      <w:textAlignment w:val="auto"/>
    </w:pPr>
    <w:rPr>
      <w:rFonts w:asciiTheme="minorHAnsi" w:eastAsiaTheme="minorEastAsia" w:hAnsiTheme="minorHAnsi" w:cstheme="minorBidi"/>
      <w:lang w:val="fr-FR" w:eastAsia="fr-FR"/>
    </w:rPr>
  </w:style>
  <w:style w:type="character" w:customStyle="1" w:styleId="NoSpacingChar">
    <w:name w:val="No Spacing Char"/>
    <w:basedOn w:val="DefaultParagraphFont"/>
    <w:link w:val="NoSpacing"/>
    <w:uiPriority w:val="1"/>
    <w:rsid w:val="00456CE2"/>
    <w:rPr>
      <w:rFonts w:asciiTheme="minorHAnsi" w:eastAsiaTheme="minorEastAsia" w:hAnsiTheme="minorHAnsi" w:cstheme="minorBidi"/>
      <w:lang w:val="fr-FR" w:eastAsia="fr-FR"/>
    </w:rPr>
  </w:style>
  <w:style w:type="paragraph" w:styleId="BalloonText">
    <w:name w:val="Balloon Text"/>
    <w:basedOn w:val="Normal"/>
    <w:link w:val="BalloonTextChar"/>
    <w:uiPriority w:val="99"/>
    <w:semiHidden/>
    <w:unhideWhenUsed/>
    <w:rsid w:val="002513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137F"/>
    <w:rPr>
      <w:rFonts w:ascii="Segoe UI" w:hAnsi="Segoe UI" w:cs="Segoe UI"/>
      <w:kern w:val="3"/>
      <w:sz w:val="18"/>
      <w:szCs w:val="18"/>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D\Desktop\RAPPORT%20TRAVAILLEURS%20MIGRANTS.%20VERSION%20FINALE.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2025-04-01T08:47:35+00:00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402BB4-0451-4596-B4D3-4CA2FE150C0C}">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2.xml><?xml version="1.0" encoding="utf-8"?>
<ds:datastoreItem xmlns:ds="http://schemas.openxmlformats.org/officeDocument/2006/customXml" ds:itemID="{9CF5DF88-BB7C-4135-AE0C-A30276D1C073}">
  <ds:schemaRefs>
    <ds:schemaRef ds:uri="http://schemas.microsoft.com/sharepoint/v3/contenttype/forms"/>
  </ds:schemaRefs>
</ds:datastoreItem>
</file>

<file path=customXml/itemProps3.xml><?xml version="1.0" encoding="utf-8"?>
<ds:datastoreItem xmlns:ds="http://schemas.openxmlformats.org/officeDocument/2006/customXml" ds:itemID="{B5AC35B7-BEDA-4E33-ADB6-D41C1C6042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RAPPORT TRAVAILLEURS MIGRANTS. VERSION FINALE</Template>
  <TotalTime>18</TotalTime>
  <Pages>30</Pages>
  <Words>9440</Words>
  <Characters>53814</Characters>
  <Application>Microsoft Office Word</Application>
  <DocSecurity>8</DocSecurity>
  <Lines>448</Lines>
  <Paragraphs>126</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63128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dc:creator>
  <dc:description/>
  <cp:lastModifiedBy>Isabelle Fleche</cp:lastModifiedBy>
  <cp:revision>8</cp:revision>
  <cp:lastPrinted>2025-03-11T12:05:00Z</cp:lastPrinted>
  <dcterms:created xsi:type="dcterms:W3CDTF">2025-03-11T11:57:00Z</dcterms:created>
  <dcterms:modified xsi:type="dcterms:W3CDTF">2025-04-01T09:08:00Z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