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0835A" w14:textId="0767782E" w:rsidR="00390777" w:rsidRPr="009E595E" w:rsidRDefault="00F22EB1" w:rsidP="00390777">
      <w:pPr>
        <w:jc w:val="center"/>
        <w:rPr>
          <w:rFonts w:ascii="Calibri" w:hAnsi="Calibri" w:cs="Calibri"/>
          <w:b/>
          <w:bCs/>
          <w:color w:val="BF4E14" w:themeColor="accent2" w:themeShade="BF"/>
          <w:sz w:val="44"/>
          <w:szCs w:val="44"/>
          <w:lang w:val="en-GB"/>
        </w:rPr>
      </w:pPr>
      <w:r w:rsidRPr="009E595E">
        <w:rPr>
          <w:rFonts w:ascii="Calibri" w:hAnsi="Calibri" w:cs="Calibri"/>
          <w:b/>
          <w:bCs/>
          <w:noProof/>
          <w:color w:val="BF4E14" w:themeColor="accent2" w:themeShade="BF"/>
          <w:sz w:val="44"/>
          <w:szCs w:val="44"/>
          <w:lang w:val="en-GB"/>
        </w:rPr>
        <w:drawing>
          <wp:anchor distT="0" distB="0" distL="114300" distR="114300" simplePos="0" relativeHeight="251656192" behindDoc="0" locked="0" layoutInCell="1" allowOverlap="1" wp14:anchorId="1857AEA9" wp14:editId="499D61AC">
            <wp:simplePos x="0" y="0"/>
            <wp:positionH relativeFrom="margin">
              <wp:align>center</wp:align>
            </wp:positionH>
            <wp:positionV relativeFrom="paragraph">
              <wp:posOffset>0</wp:posOffset>
            </wp:positionV>
            <wp:extent cx="2625725" cy="2625725"/>
            <wp:effectExtent l="0" t="0" r="3175" b="3175"/>
            <wp:wrapTopAndBottom/>
            <wp:docPr id="1947507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5725" cy="2625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F6193D" w14:textId="0155182A" w:rsidR="00390777" w:rsidRPr="009E595E" w:rsidRDefault="00390777" w:rsidP="00390777">
      <w:pPr>
        <w:jc w:val="center"/>
        <w:rPr>
          <w:rFonts w:ascii="Calibri" w:hAnsi="Calibri" w:cs="Calibri"/>
          <w:b/>
          <w:bCs/>
          <w:color w:val="BF4E14" w:themeColor="accent2" w:themeShade="BF"/>
          <w:sz w:val="44"/>
          <w:szCs w:val="44"/>
          <w:lang w:val="en-GB"/>
        </w:rPr>
      </w:pPr>
    </w:p>
    <w:p w14:paraId="4F9A49EE" w14:textId="77777777" w:rsidR="00977AA7" w:rsidRDefault="00390777" w:rsidP="00390777">
      <w:pPr>
        <w:jc w:val="center"/>
        <w:rPr>
          <w:rFonts w:ascii="Calibri" w:hAnsi="Calibri" w:cs="Calibri"/>
          <w:b/>
          <w:bCs/>
          <w:color w:val="153D63" w:themeColor="text2" w:themeTint="E6"/>
          <w:sz w:val="44"/>
          <w:szCs w:val="44"/>
          <w:lang w:val="en-GB"/>
        </w:rPr>
      </w:pPr>
      <w:r w:rsidRPr="003435F7">
        <w:rPr>
          <w:rFonts w:ascii="Calibri" w:hAnsi="Calibri" w:cs="Calibri"/>
          <w:b/>
          <w:bCs/>
          <w:color w:val="153D63" w:themeColor="text2" w:themeTint="E6"/>
          <w:sz w:val="44"/>
          <w:szCs w:val="44"/>
          <w:lang w:val="en-GB"/>
        </w:rPr>
        <w:t xml:space="preserve">Submission </w:t>
      </w:r>
    </w:p>
    <w:p w14:paraId="7EC2601E" w14:textId="77777777" w:rsidR="00B94A8F" w:rsidRPr="00B94A8F" w:rsidRDefault="00390777" w:rsidP="00B94A8F">
      <w:pPr>
        <w:jc w:val="center"/>
        <w:rPr>
          <w:rFonts w:ascii="Calibri" w:hAnsi="Calibri" w:cs="Calibri"/>
          <w:b/>
          <w:bCs/>
          <w:color w:val="153D63" w:themeColor="text2" w:themeTint="E6"/>
          <w:sz w:val="44"/>
          <w:szCs w:val="44"/>
          <w:lang w:val="en-GB"/>
        </w:rPr>
      </w:pPr>
      <w:r w:rsidRPr="003435F7">
        <w:rPr>
          <w:rFonts w:ascii="Calibri" w:hAnsi="Calibri" w:cs="Calibri"/>
          <w:b/>
          <w:bCs/>
          <w:color w:val="153D63" w:themeColor="text2" w:themeTint="E6"/>
          <w:sz w:val="44"/>
          <w:szCs w:val="44"/>
          <w:lang w:val="en-GB"/>
        </w:rPr>
        <w:t xml:space="preserve">to </w:t>
      </w:r>
      <w:r w:rsidR="00B94A8F" w:rsidRPr="00B94A8F">
        <w:rPr>
          <w:rFonts w:ascii="Calibri" w:hAnsi="Calibri" w:cs="Calibri"/>
          <w:b/>
          <w:bCs/>
          <w:color w:val="153D63" w:themeColor="text2" w:themeTint="E6"/>
          <w:sz w:val="44"/>
          <w:szCs w:val="44"/>
          <w:lang w:val="en-GB"/>
        </w:rPr>
        <w:t>the Human Rights Committee</w:t>
      </w:r>
    </w:p>
    <w:p w14:paraId="51D68DE7" w14:textId="349D242D" w:rsidR="00390777" w:rsidRPr="003435F7" w:rsidRDefault="00B94A8F" w:rsidP="00B94A8F">
      <w:pPr>
        <w:jc w:val="center"/>
        <w:rPr>
          <w:rFonts w:ascii="Calibri" w:hAnsi="Calibri" w:cs="Calibri"/>
          <w:b/>
          <w:bCs/>
          <w:color w:val="153D63" w:themeColor="text2" w:themeTint="E6"/>
          <w:sz w:val="44"/>
          <w:szCs w:val="44"/>
          <w:lang w:val="en-GB"/>
        </w:rPr>
      </w:pPr>
      <w:r w:rsidRPr="00B94A8F">
        <w:rPr>
          <w:rFonts w:ascii="Calibri" w:hAnsi="Calibri" w:cs="Calibri"/>
          <w:b/>
          <w:bCs/>
          <w:color w:val="153D63" w:themeColor="text2" w:themeTint="E6"/>
          <w:sz w:val="44"/>
          <w:szCs w:val="44"/>
          <w:lang w:val="en-GB"/>
        </w:rPr>
        <w:t>1</w:t>
      </w:r>
      <w:r>
        <w:rPr>
          <w:rFonts w:ascii="Calibri" w:hAnsi="Calibri" w:cs="Calibri"/>
          <w:b/>
          <w:bCs/>
          <w:color w:val="153D63" w:themeColor="text2" w:themeTint="E6"/>
          <w:sz w:val="44"/>
          <w:szCs w:val="44"/>
          <w:lang w:val="en-GB"/>
        </w:rPr>
        <w:t>42</w:t>
      </w:r>
      <w:r w:rsidRPr="00B94A8F">
        <w:rPr>
          <w:rFonts w:ascii="Calibri" w:hAnsi="Calibri" w:cs="Calibri"/>
          <w:b/>
          <w:bCs/>
          <w:color w:val="153D63" w:themeColor="text2" w:themeTint="E6"/>
          <w:sz w:val="44"/>
          <w:szCs w:val="44"/>
          <w:vertAlign w:val="superscript"/>
          <w:lang w:val="en-GB"/>
        </w:rPr>
        <w:t>nd</w:t>
      </w:r>
      <w:r>
        <w:rPr>
          <w:rFonts w:ascii="Calibri" w:hAnsi="Calibri" w:cs="Calibri"/>
          <w:b/>
          <w:bCs/>
          <w:color w:val="153D63" w:themeColor="text2" w:themeTint="E6"/>
          <w:sz w:val="44"/>
          <w:szCs w:val="44"/>
          <w:lang w:val="en-GB"/>
        </w:rPr>
        <w:t xml:space="preserve"> </w:t>
      </w:r>
      <w:r w:rsidRPr="00B94A8F">
        <w:rPr>
          <w:rFonts w:ascii="Calibri" w:hAnsi="Calibri" w:cs="Calibri"/>
          <w:b/>
          <w:bCs/>
          <w:color w:val="153D63" w:themeColor="text2" w:themeTint="E6"/>
          <w:sz w:val="44"/>
          <w:szCs w:val="44"/>
          <w:lang w:val="en-GB"/>
        </w:rPr>
        <w:t xml:space="preserve">Session </w:t>
      </w:r>
      <w:r w:rsidR="00390777" w:rsidRPr="003435F7">
        <w:rPr>
          <w:rFonts w:ascii="Calibri" w:hAnsi="Calibri" w:cs="Calibri"/>
          <w:b/>
          <w:bCs/>
          <w:color w:val="153D63" w:themeColor="text2" w:themeTint="E6"/>
          <w:sz w:val="44"/>
          <w:szCs w:val="44"/>
          <w:lang w:val="en-GB"/>
        </w:rPr>
        <w:t>(</w:t>
      </w:r>
      <w:r>
        <w:rPr>
          <w:rFonts w:ascii="Calibri" w:hAnsi="Calibri" w:cs="Calibri"/>
          <w:b/>
          <w:bCs/>
          <w:color w:val="153D63" w:themeColor="text2" w:themeTint="E6"/>
          <w:sz w:val="44"/>
          <w:szCs w:val="44"/>
          <w:lang w:val="en-GB"/>
        </w:rPr>
        <w:t>14 Oct.</w:t>
      </w:r>
      <w:r w:rsidR="00390777" w:rsidRPr="003435F7">
        <w:rPr>
          <w:rFonts w:ascii="Calibri" w:hAnsi="Calibri" w:cs="Calibri"/>
          <w:b/>
          <w:bCs/>
          <w:color w:val="153D63" w:themeColor="text2" w:themeTint="E6"/>
          <w:sz w:val="44"/>
          <w:szCs w:val="44"/>
          <w:lang w:val="en-GB"/>
        </w:rPr>
        <w:t xml:space="preserve"> - </w:t>
      </w:r>
      <w:r>
        <w:rPr>
          <w:rFonts w:ascii="Calibri" w:hAnsi="Calibri" w:cs="Calibri"/>
          <w:b/>
          <w:bCs/>
          <w:color w:val="153D63" w:themeColor="text2" w:themeTint="E6"/>
          <w:sz w:val="44"/>
          <w:szCs w:val="44"/>
          <w:lang w:val="en-GB"/>
        </w:rPr>
        <w:t>07</w:t>
      </w:r>
      <w:r w:rsidR="00390777" w:rsidRPr="003435F7">
        <w:rPr>
          <w:rFonts w:ascii="Calibri" w:hAnsi="Calibri" w:cs="Calibri"/>
          <w:b/>
          <w:bCs/>
          <w:color w:val="153D63" w:themeColor="text2" w:themeTint="E6"/>
          <w:sz w:val="44"/>
          <w:szCs w:val="44"/>
          <w:lang w:val="en-GB"/>
        </w:rPr>
        <w:t xml:space="preserve"> </w:t>
      </w:r>
      <w:r>
        <w:rPr>
          <w:rFonts w:ascii="Calibri" w:hAnsi="Calibri" w:cs="Calibri"/>
          <w:b/>
          <w:bCs/>
          <w:color w:val="153D63" w:themeColor="text2" w:themeTint="E6"/>
          <w:sz w:val="44"/>
          <w:szCs w:val="44"/>
          <w:lang w:val="en-GB"/>
        </w:rPr>
        <w:t>Nov.</w:t>
      </w:r>
      <w:r w:rsidR="00390777" w:rsidRPr="003435F7">
        <w:rPr>
          <w:rFonts w:ascii="Calibri" w:hAnsi="Calibri" w:cs="Calibri"/>
          <w:b/>
          <w:bCs/>
          <w:color w:val="153D63" w:themeColor="text2" w:themeTint="E6"/>
          <w:sz w:val="44"/>
          <w:szCs w:val="44"/>
          <w:lang w:val="en-GB"/>
        </w:rPr>
        <w:t xml:space="preserve"> 2024)</w:t>
      </w:r>
    </w:p>
    <w:p w14:paraId="2F0EA6CB" w14:textId="65D7E394" w:rsidR="00390777" w:rsidRPr="003435F7" w:rsidRDefault="00390777" w:rsidP="00390777">
      <w:pPr>
        <w:jc w:val="center"/>
        <w:rPr>
          <w:rFonts w:ascii="Calibri" w:hAnsi="Calibri" w:cs="Calibri"/>
          <w:b/>
          <w:bCs/>
          <w:color w:val="153D63" w:themeColor="text2" w:themeTint="E6"/>
          <w:sz w:val="44"/>
          <w:szCs w:val="44"/>
          <w:lang w:val="en-GB"/>
        </w:rPr>
      </w:pPr>
      <w:r w:rsidRPr="003435F7">
        <w:rPr>
          <w:rFonts w:ascii="Calibri" w:hAnsi="Calibri" w:cs="Calibri"/>
          <w:b/>
          <w:bCs/>
          <w:color w:val="153D63" w:themeColor="text2" w:themeTint="E6"/>
          <w:sz w:val="44"/>
          <w:szCs w:val="44"/>
          <w:lang w:val="en-GB"/>
        </w:rPr>
        <w:t>For the consideration of the</w:t>
      </w:r>
      <w:r w:rsidRPr="009E595E">
        <w:rPr>
          <w:rFonts w:ascii="Calibri" w:hAnsi="Calibri" w:cs="Calibri"/>
          <w:b/>
          <w:bCs/>
          <w:color w:val="002060"/>
          <w:sz w:val="44"/>
          <w:szCs w:val="44"/>
          <w:lang w:val="en-GB"/>
        </w:rPr>
        <w:t xml:space="preserve"> </w:t>
      </w:r>
      <w:r w:rsidRPr="009E595E">
        <w:rPr>
          <w:rFonts w:ascii="Calibri" w:hAnsi="Calibri" w:cs="Calibri"/>
          <w:b/>
          <w:bCs/>
          <w:color w:val="FF0000"/>
          <w:sz w:val="44"/>
          <w:szCs w:val="44"/>
          <w:lang w:val="en-GB"/>
        </w:rPr>
        <w:t>Türkiye</w:t>
      </w:r>
      <w:r w:rsidRPr="003435F7">
        <w:rPr>
          <w:rFonts w:ascii="Calibri" w:hAnsi="Calibri" w:cs="Calibri"/>
          <w:b/>
          <w:bCs/>
          <w:color w:val="153D63" w:themeColor="text2" w:themeTint="E6"/>
          <w:sz w:val="44"/>
          <w:szCs w:val="44"/>
          <w:lang w:val="en-GB"/>
        </w:rPr>
        <w:t>’s</w:t>
      </w:r>
      <w:r w:rsidRPr="009E595E">
        <w:rPr>
          <w:rFonts w:ascii="Calibri" w:hAnsi="Calibri" w:cs="Calibri"/>
          <w:b/>
          <w:bCs/>
          <w:color w:val="002060"/>
          <w:sz w:val="44"/>
          <w:szCs w:val="44"/>
          <w:lang w:val="en-GB"/>
        </w:rPr>
        <w:t xml:space="preserve"> </w:t>
      </w:r>
      <w:r w:rsidR="00B94A8F">
        <w:rPr>
          <w:rFonts w:ascii="Calibri" w:hAnsi="Calibri" w:cs="Calibri"/>
          <w:b/>
          <w:bCs/>
          <w:color w:val="153D63" w:themeColor="text2" w:themeTint="E6"/>
          <w:sz w:val="44"/>
          <w:szCs w:val="44"/>
          <w:lang w:val="en-GB"/>
        </w:rPr>
        <w:t>second</w:t>
      </w:r>
      <w:r w:rsidRPr="003435F7">
        <w:rPr>
          <w:rFonts w:ascii="Calibri" w:hAnsi="Calibri" w:cs="Calibri"/>
          <w:b/>
          <w:bCs/>
          <w:color w:val="153D63" w:themeColor="text2" w:themeTint="E6"/>
          <w:sz w:val="44"/>
          <w:szCs w:val="44"/>
          <w:lang w:val="en-GB"/>
        </w:rPr>
        <w:t xml:space="preserve"> periodic report</w:t>
      </w:r>
    </w:p>
    <w:p w14:paraId="1D8EDC62" w14:textId="77777777" w:rsidR="00390777" w:rsidRDefault="00390777" w:rsidP="00390777">
      <w:pPr>
        <w:rPr>
          <w:rFonts w:ascii="Calibri" w:hAnsi="Calibri" w:cs="Calibri"/>
          <w:b/>
          <w:bCs/>
          <w:color w:val="BF4E14" w:themeColor="accent2" w:themeShade="BF"/>
          <w:sz w:val="44"/>
          <w:szCs w:val="44"/>
          <w:lang w:val="en-GB"/>
        </w:rPr>
      </w:pPr>
    </w:p>
    <w:p w14:paraId="6925E42D" w14:textId="77777777" w:rsidR="00977AA7" w:rsidRPr="009E595E" w:rsidRDefault="00977AA7" w:rsidP="00390777">
      <w:pPr>
        <w:rPr>
          <w:rFonts w:ascii="Calibri" w:hAnsi="Calibri" w:cs="Calibri"/>
          <w:b/>
          <w:bCs/>
          <w:color w:val="BF4E14" w:themeColor="accent2" w:themeShade="BF"/>
          <w:sz w:val="44"/>
          <w:szCs w:val="44"/>
          <w:lang w:val="en-GB"/>
        </w:rPr>
      </w:pPr>
    </w:p>
    <w:p w14:paraId="72A3405C" w14:textId="77777777" w:rsidR="00390777" w:rsidRPr="009E595E" w:rsidRDefault="00390777" w:rsidP="00390777">
      <w:pPr>
        <w:rPr>
          <w:rFonts w:ascii="Calibri" w:hAnsi="Calibri" w:cs="Calibri"/>
          <w:b/>
          <w:bCs/>
          <w:color w:val="BF4E14" w:themeColor="accent2" w:themeShade="BF"/>
          <w:sz w:val="44"/>
          <w:szCs w:val="44"/>
          <w:lang w:val="en-GB"/>
        </w:rPr>
      </w:pPr>
    </w:p>
    <w:p w14:paraId="4E5C2E62" w14:textId="77777777" w:rsidR="00F22EB1" w:rsidRPr="009E595E" w:rsidRDefault="00F22EB1" w:rsidP="00390777">
      <w:pPr>
        <w:rPr>
          <w:rFonts w:ascii="Calibri" w:hAnsi="Calibri" w:cs="Calibri"/>
          <w:b/>
          <w:bCs/>
          <w:color w:val="BF4E14" w:themeColor="accent2" w:themeShade="BF"/>
          <w:sz w:val="44"/>
          <w:szCs w:val="44"/>
          <w:lang w:val="en-GB"/>
        </w:rPr>
      </w:pPr>
    </w:p>
    <w:p w14:paraId="58BA1E7C" w14:textId="77777777" w:rsidR="00F22EB1" w:rsidRPr="009E595E" w:rsidRDefault="00F22EB1" w:rsidP="00390777">
      <w:pPr>
        <w:rPr>
          <w:rFonts w:ascii="Calibri" w:hAnsi="Calibri" w:cs="Calibri"/>
          <w:b/>
          <w:bCs/>
          <w:color w:val="BF4E14" w:themeColor="accent2" w:themeShade="BF"/>
          <w:sz w:val="44"/>
          <w:szCs w:val="44"/>
          <w:lang w:val="en-GB"/>
        </w:rPr>
      </w:pPr>
    </w:p>
    <w:p w14:paraId="35DB342E" w14:textId="313BA791" w:rsidR="00390777" w:rsidRPr="009E595E" w:rsidRDefault="00390777" w:rsidP="00390777">
      <w:pPr>
        <w:jc w:val="center"/>
        <w:rPr>
          <w:rFonts w:ascii="Calibri" w:hAnsi="Calibri" w:cs="Calibri"/>
          <w:color w:val="002060"/>
          <w:sz w:val="44"/>
          <w:szCs w:val="44"/>
          <w:lang w:val="en-GB"/>
        </w:rPr>
      </w:pPr>
      <w:r w:rsidRPr="009E595E">
        <w:rPr>
          <w:rFonts w:ascii="Calibri" w:hAnsi="Calibri" w:cs="Calibri"/>
          <w:color w:val="002060"/>
          <w:sz w:val="44"/>
          <w:szCs w:val="44"/>
          <w:lang w:val="en-GB"/>
        </w:rPr>
        <w:t>Solidarity with Others</w:t>
      </w:r>
    </w:p>
    <w:p w14:paraId="6B52F56E" w14:textId="161FEF8C" w:rsidR="00390777" w:rsidRPr="009E595E" w:rsidRDefault="00B94A8F" w:rsidP="00390777">
      <w:pPr>
        <w:jc w:val="center"/>
        <w:rPr>
          <w:rFonts w:ascii="Calibri" w:hAnsi="Calibri" w:cs="Calibri"/>
          <w:color w:val="002060"/>
          <w:sz w:val="44"/>
          <w:szCs w:val="44"/>
          <w:lang w:val="en-GB"/>
        </w:rPr>
      </w:pPr>
      <w:r>
        <w:rPr>
          <w:rFonts w:ascii="Calibri" w:hAnsi="Calibri" w:cs="Calibri"/>
          <w:color w:val="002060"/>
          <w:sz w:val="44"/>
          <w:szCs w:val="44"/>
          <w:lang w:val="en-GB"/>
        </w:rPr>
        <w:t>September</w:t>
      </w:r>
      <w:r w:rsidR="00390777" w:rsidRPr="009E595E">
        <w:rPr>
          <w:rFonts w:ascii="Calibri" w:hAnsi="Calibri" w:cs="Calibri"/>
          <w:color w:val="002060"/>
          <w:sz w:val="44"/>
          <w:szCs w:val="44"/>
          <w:lang w:val="en-GB"/>
        </w:rPr>
        <w:t xml:space="preserve"> 2024</w:t>
      </w:r>
    </w:p>
    <w:sdt>
      <w:sdtPr>
        <w:rPr>
          <w:rFonts w:ascii="Calibri" w:eastAsiaTheme="minorHAnsi" w:hAnsi="Calibri" w:cs="Calibri"/>
          <w:b w:val="0"/>
          <w:color w:val="auto"/>
          <w:kern w:val="2"/>
          <w:sz w:val="22"/>
          <w:szCs w:val="22"/>
          <w:lang w:val="en-BE"/>
        </w:rPr>
        <w:id w:val="1214858347"/>
        <w:docPartObj>
          <w:docPartGallery w:val="Table of Contents"/>
          <w:docPartUnique/>
        </w:docPartObj>
      </w:sdtPr>
      <w:sdtEndPr>
        <w:rPr>
          <w:bCs/>
          <w:noProof/>
        </w:rPr>
      </w:sdtEndPr>
      <w:sdtContent>
        <w:p w14:paraId="732B0E64" w14:textId="33216BE5" w:rsidR="0034706D" w:rsidRPr="009E595E" w:rsidRDefault="0034706D">
          <w:pPr>
            <w:pStyle w:val="TOCHeading"/>
            <w:rPr>
              <w:rFonts w:ascii="Calibri" w:hAnsi="Calibri" w:cs="Calibri"/>
            </w:rPr>
          </w:pPr>
          <w:r w:rsidRPr="009E595E">
            <w:rPr>
              <w:rFonts w:ascii="Calibri" w:hAnsi="Calibri" w:cs="Calibri"/>
            </w:rPr>
            <w:t>Contents</w:t>
          </w:r>
        </w:p>
        <w:p w14:paraId="3EF9AEA6" w14:textId="77E65FD7" w:rsidR="00962892" w:rsidRDefault="0034706D">
          <w:pPr>
            <w:pStyle w:val="TOC1"/>
            <w:tabs>
              <w:tab w:val="right" w:leader="dot" w:pos="9016"/>
            </w:tabs>
            <w:rPr>
              <w:rFonts w:asciiTheme="minorHAnsi" w:eastAsiaTheme="minorEastAsia" w:hAnsiTheme="minorHAnsi"/>
              <w:noProof/>
              <w:sz w:val="24"/>
              <w:szCs w:val="24"/>
              <w:lang w:val="en-BE" w:eastAsia="en-BE"/>
            </w:rPr>
          </w:pPr>
          <w:r w:rsidRPr="009E595E">
            <w:rPr>
              <w:rFonts w:ascii="Calibri" w:hAnsi="Calibri" w:cs="Calibri"/>
            </w:rPr>
            <w:fldChar w:fldCharType="begin"/>
          </w:r>
          <w:r w:rsidRPr="009E595E">
            <w:rPr>
              <w:rFonts w:ascii="Calibri" w:hAnsi="Calibri" w:cs="Calibri"/>
            </w:rPr>
            <w:instrText xml:space="preserve"> TOC \o "1-3" \h \z \u </w:instrText>
          </w:r>
          <w:r w:rsidRPr="009E595E">
            <w:rPr>
              <w:rFonts w:ascii="Calibri" w:hAnsi="Calibri" w:cs="Calibri"/>
            </w:rPr>
            <w:fldChar w:fldCharType="separate"/>
          </w:r>
          <w:hyperlink w:anchor="_Toc177387339" w:history="1">
            <w:r w:rsidR="00962892" w:rsidRPr="005508D6">
              <w:rPr>
                <w:rStyle w:val="Hyperlink"/>
                <w:noProof/>
              </w:rPr>
              <w:t>Introduction</w:t>
            </w:r>
            <w:r w:rsidR="00962892">
              <w:rPr>
                <w:noProof/>
                <w:webHidden/>
              </w:rPr>
              <w:tab/>
            </w:r>
            <w:r w:rsidR="00962892">
              <w:rPr>
                <w:noProof/>
                <w:webHidden/>
              </w:rPr>
              <w:fldChar w:fldCharType="begin"/>
            </w:r>
            <w:r w:rsidR="00962892">
              <w:rPr>
                <w:noProof/>
                <w:webHidden/>
              </w:rPr>
              <w:instrText xml:space="preserve"> PAGEREF _Toc177387339 \h </w:instrText>
            </w:r>
            <w:r w:rsidR="00962892">
              <w:rPr>
                <w:noProof/>
                <w:webHidden/>
              </w:rPr>
            </w:r>
            <w:r w:rsidR="00962892">
              <w:rPr>
                <w:noProof/>
                <w:webHidden/>
              </w:rPr>
              <w:fldChar w:fldCharType="separate"/>
            </w:r>
            <w:r w:rsidR="00962892">
              <w:rPr>
                <w:noProof/>
                <w:webHidden/>
              </w:rPr>
              <w:t>2</w:t>
            </w:r>
            <w:r w:rsidR="00962892">
              <w:rPr>
                <w:noProof/>
                <w:webHidden/>
              </w:rPr>
              <w:fldChar w:fldCharType="end"/>
            </w:r>
          </w:hyperlink>
        </w:p>
        <w:p w14:paraId="0BADF1B9" w14:textId="5B776F13" w:rsidR="00962892" w:rsidRDefault="00962892">
          <w:pPr>
            <w:pStyle w:val="TOC1"/>
            <w:tabs>
              <w:tab w:val="right" w:leader="dot" w:pos="9016"/>
            </w:tabs>
            <w:rPr>
              <w:rFonts w:asciiTheme="minorHAnsi" w:eastAsiaTheme="minorEastAsia" w:hAnsiTheme="minorHAnsi"/>
              <w:noProof/>
              <w:sz w:val="24"/>
              <w:szCs w:val="24"/>
              <w:lang w:val="en-BE" w:eastAsia="en-BE"/>
            </w:rPr>
          </w:pPr>
          <w:hyperlink w:anchor="_Toc177387340" w:history="1">
            <w:r w:rsidRPr="005508D6">
              <w:rPr>
                <w:rStyle w:val="Hyperlink"/>
                <w:noProof/>
                <w:lang w:val="en-GB"/>
              </w:rPr>
              <w:t>Topics in the LOIPR</w:t>
            </w:r>
            <w:r>
              <w:rPr>
                <w:noProof/>
                <w:webHidden/>
              </w:rPr>
              <w:tab/>
            </w:r>
            <w:r>
              <w:rPr>
                <w:noProof/>
                <w:webHidden/>
              </w:rPr>
              <w:fldChar w:fldCharType="begin"/>
            </w:r>
            <w:r>
              <w:rPr>
                <w:noProof/>
                <w:webHidden/>
              </w:rPr>
              <w:instrText xml:space="preserve"> PAGEREF _Toc177387340 \h </w:instrText>
            </w:r>
            <w:r>
              <w:rPr>
                <w:noProof/>
                <w:webHidden/>
              </w:rPr>
            </w:r>
            <w:r>
              <w:rPr>
                <w:noProof/>
                <w:webHidden/>
              </w:rPr>
              <w:fldChar w:fldCharType="separate"/>
            </w:r>
            <w:r>
              <w:rPr>
                <w:noProof/>
                <w:webHidden/>
              </w:rPr>
              <w:t>3</w:t>
            </w:r>
            <w:r>
              <w:rPr>
                <w:noProof/>
                <w:webHidden/>
              </w:rPr>
              <w:fldChar w:fldCharType="end"/>
            </w:r>
          </w:hyperlink>
        </w:p>
        <w:p w14:paraId="2B1EEA66" w14:textId="2317E799" w:rsidR="00962892" w:rsidRDefault="00962892">
          <w:pPr>
            <w:pStyle w:val="TOC2"/>
            <w:tabs>
              <w:tab w:val="right" w:leader="dot" w:pos="9016"/>
            </w:tabs>
            <w:rPr>
              <w:rFonts w:asciiTheme="minorHAnsi" w:eastAsiaTheme="minorEastAsia" w:hAnsiTheme="minorHAnsi"/>
              <w:noProof/>
              <w:sz w:val="24"/>
              <w:szCs w:val="24"/>
              <w:lang w:val="en-BE" w:eastAsia="en-BE"/>
            </w:rPr>
          </w:pPr>
          <w:hyperlink w:anchor="_Toc177387341" w:history="1">
            <w:r w:rsidRPr="005508D6">
              <w:rPr>
                <w:rStyle w:val="Hyperlink"/>
                <w:noProof/>
                <w:lang w:val="en-GB"/>
              </w:rPr>
              <w:t>Counter-terrorism measures (arts. 2, 4, 6, 7, 9, 14 and 17)</w:t>
            </w:r>
            <w:r>
              <w:rPr>
                <w:noProof/>
                <w:webHidden/>
              </w:rPr>
              <w:tab/>
            </w:r>
            <w:r>
              <w:rPr>
                <w:noProof/>
                <w:webHidden/>
              </w:rPr>
              <w:fldChar w:fldCharType="begin"/>
            </w:r>
            <w:r>
              <w:rPr>
                <w:noProof/>
                <w:webHidden/>
              </w:rPr>
              <w:instrText xml:space="preserve"> PAGEREF _Toc177387341 \h </w:instrText>
            </w:r>
            <w:r>
              <w:rPr>
                <w:noProof/>
                <w:webHidden/>
              </w:rPr>
            </w:r>
            <w:r>
              <w:rPr>
                <w:noProof/>
                <w:webHidden/>
              </w:rPr>
              <w:fldChar w:fldCharType="separate"/>
            </w:r>
            <w:r>
              <w:rPr>
                <w:noProof/>
                <w:webHidden/>
              </w:rPr>
              <w:t>3</w:t>
            </w:r>
            <w:r>
              <w:rPr>
                <w:noProof/>
                <w:webHidden/>
              </w:rPr>
              <w:fldChar w:fldCharType="end"/>
            </w:r>
          </w:hyperlink>
        </w:p>
        <w:p w14:paraId="5C131AA1" w14:textId="5B61C746" w:rsidR="00962892" w:rsidRDefault="00962892">
          <w:pPr>
            <w:pStyle w:val="TOC3"/>
            <w:tabs>
              <w:tab w:val="right" w:leader="dot" w:pos="9016"/>
            </w:tabs>
            <w:rPr>
              <w:rFonts w:asciiTheme="minorHAnsi" w:eastAsiaTheme="minorEastAsia" w:hAnsiTheme="minorHAnsi"/>
              <w:noProof/>
              <w:sz w:val="24"/>
              <w:szCs w:val="24"/>
              <w:lang w:val="en-BE" w:eastAsia="en-BE"/>
            </w:rPr>
          </w:pPr>
          <w:hyperlink w:anchor="_Toc177387342" w:history="1">
            <w:r w:rsidRPr="005508D6">
              <w:rPr>
                <w:rStyle w:val="Hyperlink"/>
                <w:noProof/>
                <w:lang w:val="en-GB"/>
              </w:rPr>
              <w:t>Elaboration on State Party’s responses to LOIPR</w:t>
            </w:r>
            <w:r>
              <w:rPr>
                <w:noProof/>
                <w:webHidden/>
              </w:rPr>
              <w:tab/>
            </w:r>
            <w:r>
              <w:rPr>
                <w:noProof/>
                <w:webHidden/>
              </w:rPr>
              <w:fldChar w:fldCharType="begin"/>
            </w:r>
            <w:r>
              <w:rPr>
                <w:noProof/>
                <w:webHidden/>
              </w:rPr>
              <w:instrText xml:space="preserve"> PAGEREF _Toc177387342 \h </w:instrText>
            </w:r>
            <w:r>
              <w:rPr>
                <w:noProof/>
                <w:webHidden/>
              </w:rPr>
            </w:r>
            <w:r>
              <w:rPr>
                <w:noProof/>
                <w:webHidden/>
              </w:rPr>
              <w:fldChar w:fldCharType="separate"/>
            </w:r>
            <w:r>
              <w:rPr>
                <w:noProof/>
                <w:webHidden/>
              </w:rPr>
              <w:t>3</w:t>
            </w:r>
            <w:r>
              <w:rPr>
                <w:noProof/>
                <w:webHidden/>
              </w:rPr>
              <w:fldChar w:fldCharType="end"/>
            </w:r>
          </w:hyperlink>
        </w:p>
        <w:p w14:paraId="63F16894" w14:textId="0F0C5F0E" w:rsidR="00962892" w:rsidRDefault="00962892">
          <w:pPr>
            <w:pStyle w:val="TOC3"/>
            <w:tabs>
              <w:tab w:val="right" w:leader="dot" w:pos="9016"/>
            </w:tabs>
            <w:rPr>
              <w:rFonts w:asciiTheme="minorHAnsi" w:eastAsiaTheme="minorEastAsia" w:hAnsiTheme="minorHAnsi"/>
              <w:noProof/>
              <w:sz w:val="24"/>
              <w:szCs w:val="24"/>
              <w:lang w:val="en-BE" w:eastAsia="en-BE"/>
            </w:rPr>
          </w:pPr>
          <w:hyperlink w:anchor="_Toc177387343" w:history="1">
            <w:r w:rsidRPr="005508D6">
              <w:rPr>
                <w:rStyle w:val="Hyperlink"/>
                <w:noProof/>
                <w:lang w:val="en-GB"/>
              </w:rPr>
              <w:t>Concerns</w:t>
            </w:r>
            <w:r>
              <w:rPr>
                <w:noProof/>
                <w:webHidden/>
              </w:rPr>
              <w:tab/>
            </w:r>
            <w:r>
              <w:rPr>
                <w:noProof/>
                <w:webHidden/>
              </w:rPr>
              <w:fldChar w:fldCharType="begin"/>
            </w:r>
            <w:r>
              <w:rPr>
                <w:noProof/>
                <w:webHidden/>
              </w:rPr>
              <w:instrText xml:space="preserve"> PAGEREF _Toc177387343 \h </w:instrText>
            </w:r>
            <w:r>
              <w:rPr>
                <w:noProof/>
                <w:webHidden/>
              </w:rPr>
            </w:r>
            <w:r>
              <w:rPr>
                <w:noProof/>
                <w:webHidden/>
              </w:rPr>
              <w:fldChar w:fldCharType="separate"/>
            </w:r>
            <w:r>
              <w:rPr>
                <w:noProof/>
                <w:webHidden/>
              </w:rPr>
              <w:t>11</w:t>
            </w:r>
            <w:r>
              <w:rPr>
                <w:noProof/>
                <w:webHidden/>
              </w:rPr>
              <w:fldChar w:fldCharType="end"/>
            </w:r>
          </w:hyperlink>
        </w:p>
        <w:p w14:paraId="3F45EAA7" w14:textId="46C194E5" w:rsidR="00962892" w:rsidRDefault="00962892">
          <w:pPr>
            <w:pStyle w:val="TOC2"/>
            <w:tabs>
              <w:tab w:val="right" w:leader="dot" w:pos="9016"/>
            </w:tabs>
            <w:rPr>
              <w:rFonts w:asciiTheme="minorHAnsi" w:eastAsiaTheme="minorEastAsia" w:hAnsiTheme="minorHAnsi"/>
              <w:noProof/>
              <w:sz w:val="24"/>
              <w:szCs w:val="24"/>
              <w:lang w:val="en-BE" w:eastAsia="en-BE"/>
            </w:rPr>
          </w:pPr>
          <w:hyperlink w:anchor="_Toc177387344" w:history="1">
            <w:r w:rsidRPr="005508D6">
              <w:rPr>
                <w:rStyle w:val="Hyperlink"/>
                <w:noProof/>
                <w:lang w:val="en-GB"/>
              </w:rPr>
              <w:t>Enforced disappearances and abductions (arts. 6, 9 and 12)</w:t>
            </w:r>
            <w:r>
              <w:rPr>
                <w:noProof/>
                <w:webHidden/>
              </w:rPr>
              <w:tab/>
            </w:r>
            <w:r>
              <w:rPr>
                <w:noProof/>
                <w:webHidden/>
              </w:rPr>
              <w:fldChar w:fldCharType="begin"/>
            </w:r>
            <w:r>
              <w:rPr>
                <w:noProof/>
                <w:webHidden/>
              </w:rPr>
              <w:instrText xml:space="preserve"> PAGEREF _Toc177387344 \h </w:instrText>
            </w:r>
            <w:r>
              <w:rPr>
                <w:noProof/>
                <w:webHidden/>
              </w:rPr>
            </w:r>
            <w:r>
              <w:rPr>
                <w:noProof/>
                <w:webHidden/>
              </w:rPr>
              <w:fldChar w:fldCharType="separate"/>
            </w:r>
            <w:r>
              <w:rPr>
                <w:noProof/>
                <w:webHidden/>
              </w:rPr>
              <w:t>12</w:t>
            </w:r>
            <w:r>
              <w:rPr>
                <w:noProof/>
                <w:webHidden/>
              </w:rPr>
              <w:fldChar w:fldCharType="end"/>
            </w:r>
          </w:hyperlink>
        </w:p>
        <w:p w14:paraId="7847F04A" w14:textId="490450A9" w:rsidR="00962892" w:rsidRDefault="00962892">
          <w:pPr>
            <w:pStyle w:val="TOC3"/>
            <w:tabs>
              <w:tab w:val="right" w:leader="dot" w:pos="9016"/>
            </w:tabs>
            <w:rPr>
              <w:rFonts w:asciiTheme="minorHAnsi" w:eastAsiaTheme="minorEastAsia" w:hAnsiTheme="minorHAnsi"/>
              <w:noProof/>
              <w:sz w:val="24"/>
              <w:szCs w:val="24"/>
              <w:lang w:val="en-BE" w:eastAsia="en-BE"/>
            </w:rPr>
          </w:pPr>
          <w:hyperlink w:anchor="_Toc177387345" w:history="1">
            <w:r w:rsidRPr="005508D6">
              <w:rPr>
                <w:rStyle w:val="Hyperlink"/>
                <w:noProof/>
                <w:lang w:val="en-GB"/>
              </w:rPr>
              <w:t>Elaboration on State Party’s responses to LOIPR</w:t>
            </w:r>
            <w:r>
              <w:rPr>
                <w:noProof/>
                <w:webHidden/>
              </w:rPr>
              <w:tab/>
            </w:r>
            <w:r>
              <w:rPr>
                <w:noProof/>
                <w:webHidden/>
              </w:rPr>
              <w:fldChar w:fldCharType="begin"/>
            </w:r>
            <w:r>
              <w:rPr>
                <w:noProof/>
                <w:webHidden/>
              </w:rPr>
              <w:instrText xml:space="preserve"> PAGEREF _Toc177387345 \h </w:instrText>
            </w:r>
            <w:r>
              <w:rPr>
                <w:noProof/>
                <w:webHidden/>
              </w:rPr>
            </w:r>
            <w:r>
              <w:rPr>
                <w:noProof/>
                <w:webHidden/>
              </w:rPr>
              <w:fldChar w:fldCharType="separate"/>
            </w:r>
            <w:r>
              <w:rPr>
                <w:noProof/>
                <w:webHidden/>
              </w:rPr>
              <w:t>12</w:t>
            </w:r>
            <w:r>
              <w:rPr>
                <w:noProof/>
                <w:webHidden/>
              </w:rPr>
              <w:fldChar w:fldCharType="end"/>
            </w:r>
          </w:hyperlink>
        </w:p>
        <w:p w14:paraId="7ADA4F19" w14:textId="4821F071" w:rsidR="00962892" w:rsidRDefault="00962892">
          <w:pPr>
            <w:pStyle w:val="TOC3"/>
            <w:tabs>
              <w:tab w:val="right" w:leader="dot" w:pos="9016"/>
            </w:tabs>
            <w:rPr>
              <w:rFonts w:asciiTheme="minorHAnsi" w:eastAsiaTheme="minorEastAsia" w:hAnsiTheme="minorHAnsi"/>
              <w:noProof/>
              <w:sz w:val="24"/>
              <w:szCs w:val="24"/>
              <w:lang w:val="en-BE" w:eastAsia="en-BE"/>
            </w:rPr>
          </w:pPr>
          <w:hyperlink w:anchor="_Toc177387346" w:history="1">
            <w:r w:rsidRPr="005508D6">
              <w:rPr>
                <w:rStyle w:val="Hyperlink"/>
                <w:noProof/>
                <w:lang w:val="en-GB"/>
              </w:rPr>
              <w:t>Concerns</w:t>
            </w:r>
            <w:r>
              <w:rPr>
                <w:noProof/>
                <w:webHidden/>
              </w:rPr>
              <w:tab/>
            </w:r>
            <w:r>
              <w:rPr>
                <w:noProof/>
                <w:webHidden/>
              </w:rPr>
              <w:fldChar w:fldCharType="begin"/>
            </w:r>
            <w:r>
              <w:rPr>
                <w:noProof/>
                <w:webHidden/>
              </w:rPr>
              <w:instrText xml:space="preserve"> PAGEREF _Toc177387346 \h </w:instrText>
            </w:r>
            <w:r>
              <w:rPr>
                <w:noProof/>
                <w:webHidden/>
              </w:rPr>
            </w:r>
            <w:r>
              <w:rPr>
                <w:noProof/>
                <w:webHidden/>
              </w:rPr>
              <w:fldChar w:fldCharType="separate"/>
            </w:r>
            <w:r>
              <w:rPr>
                <w:noProof/>
                <w:webHidden/>
              </w:rPr>
              <w:t>17</w:t>
            </w:r>
            <w:r>
              <w:rPr>
                <w:noProof/>
                <w:webHidden/>
              </w:rPr>
              <w:fldChar w:fldCharType="end"/>
            </w:r>
          </w:hyperlink>
        </w:p>
        <w:p w14:paraId="24197AFA" w14:textId="5340781B" w:rsidR="00962892" w:rsidRDefault="00962892">
          <w:pPr>
            <w:pStyle w:val="TOC2"/>
            <w:tabs>
              <w:tab w:val="right" w:leader="dot" w:pos="9016"/>
            </w:tabs>
            <w:rPr>
              <w:rFonts w:asciiTheme="minorHAnsi" w:eastAsiaTheme="minorEastAsia" w:hAnsiTheme="minorHAnsi"/>
              <w:noProof/>
              <w:sz w:val="24"/>
              <w:szCs w:val="24"/>
              <w:lang w:val="en-BE" w:eastAsia="en-BE"/>
            </w:rPr>
          </w:pPr>
          <w:hyperlink w:anchor="_Toc177387347" w:history="1">
            <w:r w:rsidRPr="005508D6">
              <w:rPr>
                <w:rStyle w:val="Hyperlink"/>
                <w:noProof/>
                <w:lang w:val="en-GB"/>
              </w:rPr>
              <w:t>Non-discrimination (arts. 2, 3, 6, 25 and 26)</w:t>
            </w:r>
            <w:r>
              <w:rPr>
                <w:noProof/>
                <w:webHidden/>
              </w:rPr>
              <w:tab/>
            </w:r>
            <w:r>
              <w:rPr>
                <w:noProof/>
                <w:webHidden/>
              </w:rPr>
              <w:fldChar w:fldCharType="begin"/>
            </w:r>
            <w:r>
              <w:rPr>
                <w:noProof/>
                <w:webHidden/>
              </w:rPr>
              <w:instrText xml:space="preserve"> PAGEREF _Toc177387347 \h </w:instrText>
            </w:r>
            <w:r>
              <w:rPr>
                <w:noProof/>
                <w:webHidden/>
              </w:rPr>
            </w:r>
            <w:r>
              <w:rPr>
                <w:noProof/>
                <w:webHidden/>
              </w:rPr>
              <w:fldChar w:fldCharType="separate"/>
            </w:r>
            <w:r>
              <w:rPr>
                <w:noProof/>
                <w:webHidden/>
              </w:rPr>
              <w:t>17</w:t>
            </w:r>
            <w:r>
              <w:rPr>
                <w:noProof/>
                <w:webHidden/>
              </w:rPr>
              <w:fldChar w:fldCharType="end"/>
            </w:r>
          </w:hyperlink>
        </w:p>
        <w:p w14:paraId="008F9D45" w14:textId="03F24A59" w:rsidR="00962892" w:rsidRDefault="00962892">
          <w:pPr>
            <w:pStyle w:val="TOC3"/>
            <w:tabs>
              <w:tab w:val="right" w:leader="dot" w:pos="9016"/>
            </w:tabs>
            <w:rPr>
              <w:rFonts w:asciiTheme="minorHAnsi" w:eastAsiaTheme="minorEastAsia" w:hAnsiTheme="minorHAnsi"/>
              <w:noProof/>
              <w:sz w:val="24"/>
              <w:szCs w:val="24"/>
              <w:lang w:val="en-BE" w:eastAsia="en-BE"/>
            </w:rPr>
          </w:pPr>
          <w:hyperlink w:anchor="_Toc177387348" w:history="1">
            <w:r w:rsidRPr="005508D6">
              <w:rPr>
                <w:rStyle w:val="Hyperlink"/>
                <w:noProof/>
                <w:lang w:val="en-GB"/>
              </w:rPr>
              <w:t>Elaboration on State Party’s responses to LOIPR</w:t>
            </w:r>
            <w:r>
              <w:rPr>
                <w:noProof/>
                <w:webHidden/>
              </w:rPr>
              <w:tab/>
            </w:r>
            <w:r>
              <w:rPr>
                <w:noProof/>
                <w:webHidden/>
              </w:rPr>
              <w:fldChar w:fldCharType="begin"/>
            </w:r>
            <w:r>
              <w:rPr>
                <w:noProof/>
                <w:webHidden/>
              </w:rPr>
              <w:instrText xml:space="preserve"> PAGEREF _Toc177387348 \h </w:instrText>
            </w:r>
            <w:r>
              <w:rPr>
                <w:noProof/>
                <w:webHidden/>
              </w:rPr>
            </w:r>
            <w:r>
              <w:rPr>
                <w:noProof/>
                <w:webHidden/>
              </w:rPr>
              <w:fldChar w:fldCharType="separate"/>
            </w:r>
            <w:r>
              <w:rPr>
                <w:noProof/>
                <w:webHidden/>
              </w:rPr>
              <w:t>17</w:t>
            </w:r>
            <w:r>
              <w:rPr>
                <w:noProof/>
                <w:webHidden/>
              </w:rPr>
              <w:fldChar w:fldCharType="end"/>
            </w:r>
          </w:hyperlink>
        </w:p>
        <w:p w14:paraId="20910861" w14:textId="00759A51" w:rsidR="00962892" w:rsidRDefault="00962892">
          <w:pPr>
            <w:pStyle w:val="TOC3"/>
            <w:tabs>
              <w:tab w:val="right" w:leader="dot" w:pos="9016"/>
            </w:tabs>
            <w:rPr>
              <w:rFonts w:asciiTheme="minorHAnsi" w:eastAsiaTheme="minorEastAsia" w:hAnsiTheme="minorHAnsi"/>
              <w:noProof/>
              <w:sz w:val="24"/>
              <w:szCs w:val="24"/>
              <w:lang w:val="en-BE" w:eastAsia="en-BE"/>
            </w:rPr>
          </w:pPr>
          <w:hyperlink w:anchor="_Toc177387349" w:history="1">
            <w:r w:rsidRPr="005508D6">
              <w:rPr>
                <w:rStyle w:val="Hyperlink"/>
                <w:noProof/>
                <w:lang w:val="en-GB"/>
              </w:rPr>
              <w:t>Concerns</w:t>
            </w:r>
            <w:r>
              <w:rPr>
                <w:noProof/>
                <w:webHidden/>
              </w:rPr>
              <w:tab/>
            </w:r>
            <w:r>
              <w:rPr>
                <w:noProof/>
                <w:webHidden/>
              </w:rPr>
              <w:fldChar w:fldCharType="begin"/>
            </w:r>
            <w:r>
              <w:rPr>
                <w:noProof/>
                <w:webHidden/>
              </w:rPr>
              <w:instrText xml:space="preserve"> PAGEREF _Toc177387349 \h </w:instrText>
            </w:r>
            <w:r>
              <w:rPr>
                <w:noProof/>
                <w:webHidden/>
              </w:rPr>
            </w:r>
            <w:r>
              <w:rPr>
                <w:noProof/>
                <w:webHidden/>
              </w:rPr>
              <w:fldChar w:fldCharType="separate"/>
            </w:r>
            <w:r>
              <w:rPr>
                <w:noProof/>
                <w:webHidden/>
              </w:rPr>
              <w:t>27</w:t>
            </w:r>
            <w:r>
              <w:rPr>
                <w:noProof/>
                <w:webHidden/>
              </w:rPr>
              <w:fldChar w:fldCharType="end"/>
            </w:r>
          </w:hyperlink>
        </w:p>
        <w:p w14:paraId="76FB4070" w14:textId="210CAF2A" w:rsidR="00962892" w:rsidRDefault="00962892">
          <w:pPr>
            <w:pStyle w:val="TOC1"/>
            <w:tabs>
              <w:tab w:val="right" w:leader="dot" w:pos="9016"/>
            </w:tabs>
            <w:rPr>
              <w:rFonts w:asciiTheme="minorHAnsi" w:eastAsiaTheme="minorEastAsia" w:hAnsiTheme="minorHAnsi"/>
              <w:noProof/>
              <w:sz w:val="24"/>
              <w:szCs w:val="24"/>
              <w:lang w:val="en-BE" w:eastAsia="en-BE"/>
            </w:rPr>
          </w:pPr>
          <w:hyperlink w:anchor="_Toc177387350" w:history="1">
            <w:r w:rsidRPr="005508D6">
              <w:rPr>
                <w:rStyle w:val="Hyperlink"/>
                <w:noProof/>
                <w:lang w:val="en-GB"/>
              </w:rPr>
              <w:t>Conclusion</w:t>
            </w:r>
            <w:r>
              <w:rPr>
                <w:noProof/>
                <w:webHidden/>
              </w:rPr>
              <w:tab/>
            </w:r>
            <w:r>
              <w:rPr>
                <w:noProof/>
                <w:webHidden/>
              </w:rPr>
              <w:fldChar w:fldCharType="begin"/>
            </w:r>
            <w:r>
              <w:rPr>
                <w:noProof/>
                <w:webHidden/>
              </w:rPr>
              <w:instrText xml:space="preserve"> PAGEREF _Toc177387350 \h </w:instrText>
            </w:r>
            <w:r>
              <w:rPr>
                <w:noProof/>
                <w:webHidden/>
              </w:rPr>
            </w:r>
            <w:r>
              <w:rPr>
                <w:noProof/>
                <w:webHidden/>
              </w:rPr>
              <w:fldChar w:fldCharType="separate"/>
            </w:r>
            <w:r>
              <w:rPr>
                <w:noProof/>
                <w:webHidden/>
              </w:rPr>
              <w:t>27</w:t>
            </w:r>
            <w:r>
              <w:rPr>
                <w:noProof/>
                <w:webHidden/>
              </w:rPr>
              <w:fldChar w:fldCharType="end"/>
            </w:r>
          </w:hyperlink>
        </w:p>
        <w:p w14:paraId="55D3FE73" w14:textId="1FE3EDCE" w:rsidR="0034706D" w:rsidRPr="009E595E" w:rsidRDefault="0034706D">
          <w:pPr>
            <w:rPr>
              <w:rFonts w:ascii="Calibri" w:hAnsi="Calibri" w:cs="Calibri"/>
            </w:rPr>
          </w:pPr>
          <w:r w:rsidRPr="009E595E">
            <w:rPr>
              <w:rFonts w:ascii="Calibri" w:hAnsi="Calibri" w:cs="Calibri"/>
              <w:b/>
              <w:bCs/>
              <w:noProof/>
            </w:rPr>
            <w:fldChar w:fldCharType="end"/>
          </w:r>
        </w:p>
      </w:sdtContent>
    </w:sdt>
    <w:p w14:paraId="0E47B1D3" w14:textId="1A0B2838" w:rsidR="001931E6" w:rsidRPr="00A34829" w:rsidRDefault="00390777" w:rsidP="00A34829">
      <w:pPr>
        <w:pStyle w:val="Heading1"/>
      </w:pPr>
      <w:bookmarkStart w:id="0" w:name="_Toc177387339"/>
      <w:r w:rsidRPr="00A34829">
        <w:t>Introduction</w:t>
      </w:r>
      <w:bookmarkEnd w:id="0"/>
    </w:p>
    <w:p w14:paraId="06582845" w14:textId="5D257FAA" w:rsidR="00E1502C" w:rsidRPr="00B6180A" w:rsidRDefault="00E1502C" w:rsidP="00A34829">
      <w:pPr>
        <w:rPr>
          <w:lang w:val="en-GB"/>
        </w:rPr>
      </w:pPr>
      <w:r w:rsidRPr="00B6180A">
        <w:rPr>
          <w:lang w:val="en-GB"/>
        </w:rPr>
        <w:t xml:space="preserve">Solidarity with OTHERS thanks the </w:t>
      </w:r>
      <w:r w:rsidR="00B94A8F">
        <w:rPr>
          <w:lang w:val="en-GB"/>
        </w:rPr>
        <w:t>Human Rights Committee</w:t>
      </w:r>
      <w:r w:rsidRPr="00B6180A">
        <w:rPr>
          <w:lang w:val="en-GB"/>
        </w:rPr>
        <w:t xml:space="preserve"> for its engagement with civil society organisations and its openness to cooperation. We are honoured to share with you our reflections on Türkiye, which will be reviewed in the next session under the Convention.</w:t>
      </w:r>
    </w:p>
    <w:p w14:paraId="08664522" w14:textId="1E71E649" w:rsidR="00E1502C" w:rsidRPr="00B6180A" w:rsidRDefault="00E1502C" w:rsidP="00A34829">
      <w:pPr>
        <w:rPr>
          <w:lang w:val="en-GB"/>
        </w:rPr>
      </w:pPr>
      <w:r w:rsidRPr="00B6180A">
        <w:rPr>
          <w:lang w:val="en-GB"/>
        </w:rPr>
        <w:t xml:space="preserve">Solidarity with OTHERS is a non-governmental organization established in Brussels with the aim of defending and promoting human rights in </w:t>
      </w:r>
      <w:r w:rsidR="00B4107D">
        <w:rPr>
          <w:lang w:val="en-GB"/>
        </w:rPr>
        <w:t>Türkiye</w:t>
      </w:r>
      <w:r w:rsidRPr="00B6180A">
        <w:rPr>
          <w:lang w:val="en-GB"/>
        </w:rPr>
        <w:t xml:space="preserve">. Our name reflects our solid commitment to act in solidarity with anyone who has been subjected to injustice and violations in </w:t>
      </w:r>
      <w:r w:rsidR="00B4107D">
        <w:rPr>
          <w:lang w:val="en-GB"/>
        </w:rPr>
        <w:t>Türkiye</w:t>
      </w:r>
      <w:r w:rsidR="00F64102" w:rsidRPr="00B6180A">
        <w:rPr>
          <w:lang w:val="en-GB"/>
        </w:rPr>
        <w:t>,</w:t>
      </w:r>
      <w:r w:rsidRPr="00B6180A">
        <w:rPr>
          <w:lang w:val="en-GB"/>
        </w:rPr>
        <w:t xml:space="preserve"> regardless of race, religious beliefs, social affiliation or political views. </w:t>
      </w:r>
      <w:r w:rsidR="00F47415" w:rsidRPr="00B6180A">
        <w:rPr>
          <w:lang w:val="en-GB"/>
        </w:rPr>
        <w:t>O</w:t>
      </w:r>
      <w:r w:rsidRPr="00B6180A">
        <w:rPr>
          <w:lang w:val="en-GB"/>
        </w:rPr>
        <w:t xml:space="preserve">ur work consists of ensuring that rights violations in </w:t>
      </w:r>
      <w:r w:rsidR="00B4107D">
        <w:rPr>
          <w:lang w:val="en-GB"/>
        </w:rPr>
        <w:t>Türkiye</w:t>
      </w:r>
      <w:r w:rsidRPr="00B6180A">
        <w:rPr>
          <w:lang w:val="en-GB"/>
        </w:rPr>
        <w:t xml:space="preserve"> do not go unnoticed and unrecorded. </w:t>
      </w:r>
      <w:proofErr w:type="gramStart"/>
      <w:r w:rsidRPr="00B6180A">
        <w:rPr>
          <w:lang w:val="en-GB"/>
        </w:rPr>
        <w:t>In order to</w:t>
      </w:r>
      <w:proofErr w:type="gramEnd"/>
      <w:r w:rsidRPr="00B6180A">
        <w:rPr>
          <w:lang w:val="en-GB"/>
        </w:rPr>
        <w:t xml:space="preserve"> accomplish this, we prepare and release reports, fact sheets and newsletters on major human rights issues</w:t>
      </w:r>
      <w:r w:rsidR="00CF6DAC" w:rsidRPr="00B6180A">
        <w:rPr>
          <w:lang w:val="en-GB"/>
        </w:rPr>
        <w:t>.</w:t>
      </w:r>
      <w:r w:rsidRPr="00B6180A">
        <w:rPr>
          <w:lang w:val="en-GB"/>
        </w:rPr>
        <w:t xml:space="preserve"> </w:t>
      </w:r>
    </w:p>
    <w:p w14:paraId="4C92941D" w14:textId="3B9D2FFA" w:rsidR="00BB65A2" w:rsidRPr="00B6180A" w:rsidRDefault="00B94A8F" w:rsidP="00A34829">
      <w:pPr>
        <w:rPr>
          <w:lang w:val="en-GB"/>
        </w:rPr>
      </w:pPr>
      <w:r>
        <w:rPr>
          <w:lang w:val="en-GB"/>
        </w:rPr>
        <w:t>For the consideration of the Türkiye’s second periodic report, w</w:t>
      </w:r>
      <w:r w:rsidR="00BB65A2" w:rsidRPr="00B6180A">
        <w:rPr>
          <w:lang w:val="en-GB"/>
        </w:rPr>
        <w:t xml:space="preserve">e will take attention to the enormous number of reported cases of </w:t>
      </w:r>
      <w:r>
        <w:rPr>
          <w:lang w:val="en-GB"/>
        </w:rPr>
        <w:t>human rights violations</w:t>
      </w:r>
      <w:r w:rsidR="00BB65A2" w:rsidRPr="00B6180A">
        <w:rPr>
          <w:lang w:val="en-GB"/>
        </w:rPr>
        <w:t xml:space="preserve"> that were direct results of the Turkish government's repressive policies at the national level since the 15 July coup attempt. The reported incidents, especially against members of the Gülen movement and people from the Kurdish minority, continue to increase despite the </w:t>
      </w:r>
      <w:r w:rsidR="00BB65A2" w:rsidRPr="00B6180A">
        <w:rPr>
          <w:i/>
          <w:iCs/>
          <w:lang w:val="en-GB"/>
        </w:rPr>
        <w:t>de jure</w:t>
      </w:r>
      <w:r w:rsidR="00BB65A2" w:rsidRPr="00B6180A">
        <w:rPr>
          <w:lang w:val="en-GB"/>
        </w:rPr>
        <w:t xml:space="preserve"> cessation of the state of emergency. </w:t>
      </w:r>
    </w:p>
    <w:p w14:paraId="5F3502AA" w14:textId="40E5F715" w:rsidR="008B50A3" w:rsidRPr="00B6180A" w:rsidRDefault="00387C00" w:rsidP="00A34829">
      <w:pPr>
        <w:rPr>
          <w:lang w:val="en-GB"/>
        </w:rPr>
      </w:pPr>
      <w:r w:rsidRPr="00B6180A">
        <w:rPr>
          <w:lang w:val="en-GB"/>
        </w:rPr>
        <w:t>In this submission,</w:t>
      </w:r>
      <w:r w:rsidR="0093748C" w:rsidRPr="00B6180A">
        <w:rPr>
          <w:lang w:val="en-GB"/>
        </w:rPr>
        <w:t xml:space="preserve"> </w:t>
      </w:r>
    </w:p>
    <w:p w14:paraId="4F39AFB9" w14:textId="5A06252A" w:rsidR="00244C68" w:rsidRPr="00A34829" w:rsidRDefault="00244C68" w:rsidP="00A34829">
      <w:pPr>
        <w:pStyle w:val="ListParagraph"/>
        <w:numPr>
          <w:ilvl w:val="0"/>
          <w:numId w:val="43"/>
        </w:numPr>
        <w:rPr>
          <w:lang w:val="en-GB"/>
        </w:rPr>
      </w:pPr>
      <w:r w:rsidRPr="00A34829">
        <w:rPr>
          <w:lang w:val="en-GB"/>
        </w:rPr>
        <w:lastRenderedPageBreak/>
        <w:t>The State Party's inadequate and unconvincing responses to the questions in the LOIPR</w:t>
      </w:r>
      <w:r w:rsidR="000B11A9" w:rsidRPr="00A34829">
        <w:rPr>
          <w:lang w:val="en-GB"/>
        </w:rPr>
        <w:t xml:space="preserve"> (20</w:t>
      </w:r>
      <w:r w:rsidR="00360EAF" w:rsidRPr="00A34829">
        <w:rPr>
          <w:lang w:val="en-GB"/>
        </w:rPr>
        <w:t>21</w:t>
      </w:r>
      <w:r w:rsidR="000B11A9" w:rsidRPr="00A34829">
        <w:rPr>
          <w:lang w:val="en-GB"/>
        </w:rPr>
        <w:t xml:space="preserve">) </w:t>
      </w:r>
      <w:r w:rsidRPr="00A34829">
        <w:rPr>
          <w:lang w:val="en-GB"/>
        </w:rPr>
        <w:t>will be criticised by providing factual data.</w:t>
      </w:r>
    </w:p>
    <w:p w14:paraId="2B6E9989" w14:textId="414D624E" w:rsidR="007803A1" w:rsidRPr="00A34829" w:rsidRDefault="0093282F" w:rsidP="00A34829">
      <w:pPr>
        <w:pStyle w:val="ListParagraph"/>
        <w:numPr>
          <w:ilvl w:val="0"/>
          <w:numId w:val="43"/>
        </w:numPr>
        <w:rPr>
          <w:lang w:val="en-GB"/>
        </w:rPr>
      </w:pPr>
      <w:r w:rsidRPr="00A34829">
        <w:rPr>
          <w:lang w:val="en-GB"/>
        </w:rPr>
        <w:t>The cases proving the violations of provisions of the ICCPR will be presented.</w:t>
      </w:r>
    </w:p>
    <w:p w14:paraId="0F21E3CC" w14:textId="6EABC88D" w:rsidR="00D33B27" w:rsidRPr="00A34829" w:rsidRDefault="00D33B27" w:rsidP="00A34829">
      <w:pPr>
        <w:pStyle w:val="ListParagraph"/>
        <w:numPr>
          <w:ilvl w:val="0"/>
          <w:numId w:val="43"/>
        </w:numPr>
        <w:rPr>
          <w:lang w:val="en-GB"/>
        </w:rPr>
      </w:pPr>
      <w:r w:rsidRPr="00A34829">
        <w:rPr>
          <w:lang w:val="en-GB"/>
        </w:rPr>
        <w:t xml:space="preserve">Background information about </w:t>
      </w:r>
      <w:r w:rsidR="00EA7087" w:rsidRPr="00A34829">
        <w:rPr>
          <w:lang w:val="en-GB"/>
        </w:rPr>
        <w:t xml:space="preserve">State Party’s crackdown on </w:t>
      </w:r>
      <w:r w:rsidRPr="00A34829">
        <w:rPr>
          <w:lang w:val="en-GB"/>
        </w:rPr>
        <w:t>Gülen movement will be</w:t>
      </w:r>
      <w:r w:rsidR="002166E2" w:rsidRPr="00A34829">
        <w:rPr>
          <w:lang w:val="en-GB"/>
        </w:rPr>
        <w:t xml:space="preserve"> given.</w:t>
      </w:r>
    </w:p>
    <w:p w14:paraId="4EE9C90F" w14:textId="6B525515" w:rsidR="00986D3B" w:rsidRPr="00B6180A" w:rsidRDefault="00E03697" w:rsidP="00A34829">
      <w:pPr>
        <w:rPr>
          <w:lang w:val="en-GB"/>
        </w:rPr>
      </w:pPr>
      <w:r w:rsidRPr="00B6180A">
        <w:rPr>
          <w:lang w:val="en-GB"/>
        </w:rPr>
        <w:t>To keep this submission</w:t>
      </w:r>
      <w:r w:rsidR="00CB26C7" w:rsidRPr="00B6180A">
        <w:rPr>
          <w:lang w:val="en-GB"/>
        </w:rPr>
        <w:t xml:space="preserve"> short and precise,</w:t>
      </w:r>
      <w:r w:rsidR="00DF608B" w:rsidRPr="00B6180A">
        <w:rPr>
          <w:lang w:val="en-GB"/>
        </w:rPr>
        <w:t xml:space="preserve"> only the </w:t>
      </w:r>
      <w:r w:rsidR="00575500" w:rsidRPr="00B6180A">
        <w:rPr>
          <w:lang w:val="en-GB"/>
        </w:rPr>
        <w:t xml:space="preserve">selected </w:t>
      </w:r>
      <w:r w:rsidR="00DF608B" w:rsidRPr="00B6180A">
        <w:rPr>
          <w:lang w:val="en-GB"/>
        </w:rPr>
        <w:t xml:space="preserve">issues </w:t>
      </w:r>
      <w:r w:rsidR="00A65A5D" w:rsidRPr="00B6180A">
        <w:rPr>
          <w:lang w:val="en-GB"/>
        </w:rPr>
        <w:t>that are deemed significant</w:t>
      </w:r>
      <w:r w:rsidR="00575500" w:rsidRPr="00B6180A">
        <w:rPr>
          <w:lang w:val="en-GB"/>
        </w:rPr>
        <w:t xml:space="preserve"> will be </w:t>
      </w:r>
      <w:r w:rsidR="007F1F91" w:rsidRPr="00B6180A">
        <w:rPr>
          <w:lang w:val="en-GB"/>
        </w:rPr>
        <w:t>discussed</w:t>
      </w:r>
      <w:r w:rsidR="00420BAF" w:rsidRPr="00B6180A">
        <w:rPr>
          <w:lang w:val="en-GB"/>
        </w:rPr>
        <w:t>.</w:t>
      </w:r>
      <w:r w:rsidR="00575500" w:rsidRPr="00B6180A">
        <w:rPr>
          <w:lang w:val="en-GB"/>
        </w:rPr>
        <w:t xml:space="preserve"> </w:t>
      </w:r>
    </w:p>
    <w:p w14:paraId="6E82A8B3" w14:textId="3D2B9955" w:rsidR="00B1709B" w:rsidRDefault="00A34829" w:rsidP="00A34829">
      <w:pPr>
        <w:pStyle w:val="Heading1"/>
        <w:rPr>
          <w:lang w:val="en-GB"/>
        </w:rPr>
      </w:pPr>
      <w:bookmarkStart w:id="1" w:name="_Toc177387340"/>
      <w:r>
        <w:rPr>
          <w:lang w:val="en-GB"/>
        </w:rPr>
        <w:t>Topics in the LOIPR</w:t>
      </w:r>
      <w:bookmarkEnd w:id="1"/>
    </w:p>
    <w:p w14:paraId="2DC25952" w14:textId="77777777" w:rsidR="00FA3914" w:rsidRPr="005809D8" w:rsidRDefault="00FA3914" w:rsidP="0093282F">
      <w:pPr>
        <w:pStyle w:val="Heading2"/>
        <w:rPr>
          <w:lang w:val="en-GB"/>
        </w:rPr>
      </w:pPr>
      <w:bookmarkStart w:id="2" w:name="_Toc177387341"/>
      <w:r w:rsidRPr="005809D8">
        <w:rPr>
          <w:lang w:val="en-GB"/>
        </w:rPr>
        <w:t>Counter-terrorism measures (arts. 2, 4, 6, 7, 9, 14 and 17)</w:t>
      </w:r>
      <w:bookmarkEnd w:id="2"/>
    </w:p>
    <w:p w14:paraId="66FE18D0" w14:textId="77777777" w:rsidR="0093282F" w:rsidRDefault="0093282F" w:rsidP="0093282F">
      <w:pPr>
        <w:pStyle w:val="Heading3"/>
        <w:rPr>
          <w:lang w:val="en-GB"/>
        </w:rPr>
      </w:pPr>
      <w:bookmarkStart w:id="3" w:name="_Toc177387342"/>
      <w:r>
        <w:rPr>
          <w:lang w:val="en-GB"/>
        </w:rPr>
        <w:t>Elaboration on State Party’s responses to LOIPR</w:t>
      </w:r>
      <w:bookmarkEnd w:id="3"/>
    </w:p>
    <w:p w14:paraId="1E55EA67" w14:textId="02C6B20D" w:rsidR="00624962" w:rsidRPr="005E07E9" w:rsidRDefault="00624962" w:rsidP="00624962">
      <w:r w:rsidRPr="005E07E9">
        <w:rPr>
          <w:lang w:val="en-GB"/>
        </w:rPr>
        <w:t xml:space="preserve">In para. 6 of the LOIPR, </w:t>
      </w:r>
      <w:r w:rsidRPr="005E07E9">
        <w:t>the state party is requested to address concerns about the definition of terrorism-related offenses, particularly regarding claims that:</w:t>
      </w:r>
    </w:p>
    <w:p w14:paraId="610E32C1" w14:textId="77777777" w:rsidR="00624962" w:rsidRPr="005E07E9" w:rsidRDefault="00624962" w:rsidP="00624962">
      <w:pPr>
        <w:pStyle w:val="ListParagraph"/>
        <w:numPr>
          <w:ilvl w:val="0"/>
          <w:numId w:val="34"/>
        </w:numPr>
      </w:pPr>
      <w:r w:rsidRPr="005E07E9">
        <w:t>The definition of terrorism in the current legal framework is vague and overly broad,</w:t>
      </w:r>
    </w:p>
    <w:p w14:paraId="5082B76C" w14:textId="78BDFEEF" w:rsidR="00FA3914" w:rsidRPr="005E07E9" w:rsidRDefault="00624962" w:rsidP="00624962">
      <w:pPr>
        <w:pStyle w:val="ListParagraph"/>
        <w:numPr>
          <w:ilvl w:val="0"/>
          <w:numId w:val="34"/>
        </w:numPr>
        <w:rPr>
          <w:lang w:val="en-GB"/>
        </w:rPr>
      </w:pPr>
      <w:r w:rsidRPr="005E07E9">
        <w:t>This ambiguity has led to the misuse of these laws to repress the work of human rights defenders and stifle criticism of the Government.</w:t>
      </w:r>
    </w:p>
    <w:p w14:paraId="3C275CF0" w14:textId="77777777" w:rsidR="00624962" w:rsidRPr="005E07E9" w:rsidRDefault="00624962" w:rsidP="00624962">
      <w:pPr>
        <w:rPr>
          <w:b/>
          <w:bCs/>
        </w:rPr>
      </w:pPr>
      <w:r w:rsidRPr="005E07E9">
        <w:rPr>
          <w:b/>
          <w:bCs/>
          <w:lang w:val="en-GB"/>
        </w:rPr>
        <w:t xml:space="preserve">In its response (para. 77), </w:t>
      </w:r>
      <w:r w:rsidRPr="005E07E9">
        <w:rPr>
          <w:b/>
          <w:bCs/>
        </w:rPr>
        <w:t xml:space="preserve">the state party asserts that its counter-terrorism laws are compatible with international and domestic legal standards, with sufficient safeguards to prevent misuse. </w:t>
      </w:r>
    </w:p>
    <w:p w14:paraId="51C5C653" w14:textId="77777777" w:rsidR="00D8069B" w:rsidRPr="00A34829" w:rsidRDefault="00D8069B" w:rsidP="00D8069B">
      <w:r w:rsidRPr="00A34829">
        <w:t>Turkey claims that its counter-terrorism laws are compatible with international and domestic legal standards, with sufficient safeguards to prevent misuse. However, this claim does not hold up when we examine the application of these laws in practice. Turkey’s counter-terrorism laws are not clear, comprehensible, nor foreseeable, leaving them open to significant abuse, both domestically and internationally, as tools for political repression rather than genuine security measures.</w:t>
      </w:r>
    </w:p>
    <w:p w14:paraId="2B563D9D" w14:textId="2703E2B1" w:rsidR="00D8069B" w:rsidRPr="00A34829" w:rsidRDefault="00D8069B" w:rsidP="00D8069B">
      <w:r w:rsidRPr="00A34829">
        <w:t xml:space="preserve">One major flaw in these laws is the lack of clarity in defining key concepts, such as terrorism and terrorism financing. The definitions provided in Law No. 6415 on the Prevention of Financing Terrorism, as well as Law No. 7262, which was ostensibly introduced to prevent the proliferation of weapons of mass destruction, are broad and ambiguous. This vagueness allows for the criminalization of ordinary, lawful activities, such as charitable donations, scholarships, and participation in social events. The May 7, </w:t>
      </w:r>
      <w:proofErr w:type="gramStart"/>
      <w:r w:rsidRPr="00A34829">
        <w:t>2024</w:t>
      </w:r>
      <w:proofErr w:type="gramEnd"/>
      <w:r w:rsidRPr="00A34829">
        <w:t xml:space="preserve"> operation is a striking example of how these laws are </w:t>
      </w:r>
      <w:r w:rsidRPr="00A34829">
        <w:lastRenderedPageBreak/>
        <w:t>applied in arbitrary and unclear ways.</w:t>
      </w:r>
      <w:r w:rsidR="00C50D71">
        <w:rPr>
          <w:rStyle w:val="FootnoteReference"/>
        </w:rPr>
        <w:footnoteReference w:id="1"/>
      </w:r>
      <w:r w:rsidRPr="00A34829">
        <w:t xml:space="preserve"> During this operation, 41 individuals, including 15 minors aged 13 to 17, were detained under terrorism charges for engaging in routine social and educational activities, such as teaching English and organizing social gatherings. These individuals were not involved in any violent acts, yet their actions were framed as part of a terrorist organization's operations simply based on their perceived associations.</w:t>
      </w:r>
    </w:p>
    <w:p w14:paraId="2686733F" w14:textId="193EE353" w:rsidR="00D8069B" w:rsidRPr="00A34829" w:rsidRDefault="00D8069B" w:rsidP="00D8069B">
      <w:r w:rsidRPr="00A34829">
        <w:t>The Yalçınkaya decision by the European Court of Human Rights (ECtHR) highlights this problem of legal ambiguity. The court found that Turkey's broad interpretation of terrorism, particularly in cases involving the mere association with organizations or participation in lawful activities, did not meet the principle of legality.</w:t>
      </w:r>
      <w:r w:rsidR="00C50D71">
        <w:rPr>
          <w:rStyle w:val="FootnoteReference"/>
        </w:rPr>
        <w:footnoteReference w:id="2"/>
      </w:r>
      <w:r w:rsidRPr="00A34829">
        <w:t xml:space="preserve"> This principle requires laws to be precise and accessible, allowing individuals to understand what conduct is criminalized. The ECtHR ruled that simply being a member of a legitimate trade union or organization could not be equated with supporting terrorism, unless there was clear evidence of involvement in violent or criminal acts. Turkey’s failure to provide clear legal definitions in its counter-terrorism laws directly contradicts this international standard.</w:t>
      </w:r>
    </w:p>
    <w:p w14:paraId="0F000F1B" w14:textId="75EACEB0" w:rsidR="00D8069B" w:rsidRPr="00A34829" w:rsidRDefault="00D8069B" w:rsidP="00D8069B">
      <w:r w:rsidRPr="00A34829">
        <w:t xml:space="preserve">The laws are also not comprehensible, both to the </w:t>
      </w:r>
      <w:proofErr w:type="gramStart"/>
      <w:r w:rsidRPr="00A34829">
        <w:t>general public</w:t>
      </w:r>
      <w:proofErr w:type="gramEnd"/>
      <w:r w:rsidRPr="00A34829">
        <w:t xml:space="preserve"> and to those targeted by them. Many individuals detained during the May 7 operation were charged with terrorism without being given access to clear evidence or understanding why their activities—such as organizing homework help or teaching English—were considered terrorist acts.</w:t>
      </w:r>
      <w:r w:rsidR="00C50D71">
        <w:rPr>
          <w:rStyle w:val="FootnoteReference"/>
        </w:rPr>
        <w:footnoteReference w:id="3"/>
      </w:r>
      <w:r w:rsidRPr="00A34829">
        <w:t xml:space="preserve"> The legal reasoning behind these charges is incomprehensible to the accused, as these actions are far removed from any genuine definition of terrorism. The operation targeted minors and university students who were simply engaged in routine educational and social activities, leaving them and their families bewildered as to how these actions could be classified as terrorism. This lack of transparency only deepens the confusion and fear surrounding the application of Turkey’s counter-terrorism laws.</w:t>
      </w:r>
    </w:p>
    <w:p w14:paraId="1C7CE9FC" w14:textId="7EADB40C" w:rsidR="000905FC" w:rsidRPr="00A34829" w:rsidRDefault="00D8069B" w:rsidP="00FA3914">
      <w:pPr>
        <w:rPr>
          <w:lang w:val="en-GB"/>
        </w:rPr>
      </w:pPr>
      <w:r w:rsidRPr="00A34829">
        <w:t xml:space="preserve">The lack of foreseeability in these laws further demonstrates their incompatibility with international legal standards. To comply with the principle of legality, laws must be foreseeable; individuals must be able to predict, based on the law, the consequences of their actions. However, Turkey’s counter-terrorism laws are applied so broadly that individuals cannot reasonably foresee when their actions </w:t>
      </w:r>
      <w:r w:rsidRPr="00A34829">
        <w:lastRenderedPageBreak/>
        <w:t xml:space="preserve">might be criminalized. For example, Law No. 7262 allows for the freezing of </w:t>
      </w:r>
      <w:proofErr w:type="gramStart"/>
      <w:r w:rsidRPr="00A34829">
        <w:t>assets</w:t>
      </w:r>
      <w:proofErr w:type="gramEnd"/>
      <w:r w:rsidRPr="00A34829">
        <w:t xml:space="preserve"> or the prosecution of individuals based on "reasonable grounds," yet this term is not clearly defined, leading to arbitrary enforcement.</w:t>
      </w:r>
      <w:r w:rsidR="00C50D71">
        <w:rPr>
          <w:rStyle w:val="FootnoteReference"/>
        </w:rPr>
        <w:footnoteReference w:id="4"/>
      </w:r>
      <w:r w:rsidRPr="00A34829">
        <w:t xml:space="preserve"> The Yalçınkaya decision emphasized that individuals should be able to understand what </w:t>
      </w:r>
      <w:proofErr w:type="spellStart"/>
      <w:r w:rsidRPr="00A34829">
        <w:t>behavior</w:t>
      </w:r>
      <w:proofErr w:type="spellEnd"/>
      <w:r w:rsidRPr="00A34829">
        <w:t xml:space="preserve"> might lead to criminal charges, but Turkey’s laws, as applied, fail to provide this legal certainty. Individuals engaged in lawful political or social activities, like those in the May 7 operation, are often shocked to find themselves accused of terrorism, as the laws are applied unpredictably.</w:t>
      </w:r>
    </w:p>
    <w:p w14:paraId="58FF93C2" w14:textId="23A0C270" w:rsidR="00624962" w:rsidRPr="005E07E9" w:rsidRDefault="00624962" w:rsidP="00FA3914">
      <w:pPr>
        <w:rPr>
          <w:b/>
          <w:bCs/>
        </w:rPr>
      </w:pPr>
      <w:r w:rsidRPr="005E07E9">
        <w:rPr>
          <w:b/>
          <w:bCs/>
          <w:lang w:val="en-GB"/>
        </w:rPr>
        <w:t xml:space="preserve">In its response (para.78), </w:t>
      </w:r>
      <w:r w:rsidRPr="005E07E9">
        <w:rPr>
          <w:b/>
          <w:bCs/>
        </w:rPr>
        <w:t>the state party is stating that, following amendments to the Anti-Terror Law (ATL) in 2013 and 2019, only statements that legitimize, praise, or encourage the use of force, violence, or intimidation by terrorist organizations are punishable. Expressions of opinion made for criticism or reporting purposes do not constitute a crime.</w:t>
      </w:r>
    </w:p>
    <w:p w14:paraId="302DDA41" w14:textId="39D0A911" w:rsidR="0092320E" w:rsidRPr="00A34829" w:rsidRDefault="00A163A4" w:rsidP="0092320E">
      <w:r w:rsidRPr="00A34829">
        <w:t xml:space="preserve">However, </w:t>
      </w:r>
      <w:r w:rsidR="0092320E" w:rsidRPr="00A34829">
        <w:t xml:space="preserve">state party’s defence, claiming that only statements legitimizing, praising, or encouraging the use of force, violence, or intimidation by terrorist organizations are punishable under the amended Anti-Terror Law (ATL), is contradicted by the findings of the European Court of Human Rights (ECtHR) in </w:t>
      </w:r>
      <w:r w:rsidR="0092320E" w:rsidRPr="00A34829">
        <w:rPr>
          <w:i/>
          <w:iCs/>
        </w:rPr>
        <w:t>Selahattin Demirtaş v. Turkey (No. 2)</w:t>
      </w:r>
      <w:r w:rsidR="0092320E" w:rsidRPr="00A34829">
        <w:t>. The Court's judgment makes it clear that the application of anti-terror laws in Türkiye has extended far beyond statements that explicitly support violence. Instead, the broad and vague interpretation of terrorism-related offenses has been used to criminalize political speech and suppress dissenting voices, including criticism of government policies.</w:t>
      </w:r>
    </w:p>
    <w:p w14:paraId="6A1AB97E" w14:textId="30366209" w:rsidR="0092320E" w:rsidRPr="00A34829" w:rsidRDefault="0092320E" w:rsidP="0092320E">
      <w:r w:rsidRPr="00A34829">
        <w:t xml:space="preserve">In the case of Mr. Demirtaş, his political speeches, which addressed sensitive issues such as Kurdish rights and criticized the government, were not </w:t>
      </w:r>
      <w:proofErr w:type="spellStart"/>
      <w:r w:rsidRPr="00A34829">
        <w:t>analyzed</w:t>
      </w:r>
      <w:proofErr w:type="spellEnd"/>
      <w:r w:rsidRPr="00A34829">
        <w:t xml:space="preserve"> to determine whether they explicitly incited violence or constituted support for terrorism.</w:t>
      </w:r>
      <w:r w:rsidR="00DB4D50">
        <w:rPr>
          <w:rStyle w:val="FootnoteReference"/>
        </w:rPr>
        <w:footnoteReference w:id="5"/>
      </w:r>
      <w:r w:rsidRPr="00A34829">
        <w:t xml:space="preserve"> Rather, they were indiscriminately treated as criminal activity, </w:t>
      </w:r>
      <w:proofErr w:type="gramStart"/>
      <w:r w:rsidRPr="00A34829">
        <w:t>despite the fact that</w:t>
      </w:r>
      <w:proofErr w:type="gramEnd"/>
      <w:r w:rsidRPr="00A34829">
        <w:t xml:space="preserve"> his speeches did not call for violence or terrorism (para. 272). The Court highlighted that the domestic authorities did not examine whether his statements were protected by parliamentary non-liability or whether they fell within the scope of legitimate political discourse. This demonstrates that, contrary to the state's claim, expressions of political opinion, even those made for criticism, are being prosecuted under the guise of anti-terrorism measures.</w:t>
      </w:r>
    </w:p>
    <w:p w14:paraId="1E4AF45C" w14:textId="77777777" w:rsidR="0092320E" w:rsidRPr="00A34829" w:rsidRDefault="0092320E" w:rsidP="0092320E">
      <w:r w:rsidRPr="00A34829">
        <w:t xml:space="preserve">The ECtHR further emphasized that freedom of expression, especially in the political arena, enjoys enhanced protection and that such speech must be </w:t>
      </w:r>
      <w:proofErr w:type="gramStart"/>
      <w:r w:rsidRPr="00A34829">
        <w:t>scrutinized carefully</w:t>
      </w:r>
      <w:proofErr w:type="gramEnd"/>
      <w:r w:rsidRPr="00A34829">
        <w:t xml:space="preserve"> before it can be restricted. The Court noted that the Turkish authorities </w:t>
      </w:r>
      <w:r w:rsidRPr="00A34829">
        <w:lastRenderedPageBreak/>
        <w:t>failed to provide evidence that Mr. Demirtaş’s speeches posed any real threat to public order or encouraged violence (para. 277). Instead, his speeches were deemed criminal without a thorough examination of their content and intent, contradicting Türkiye’s assertion that only expressions that promote violence are punished.</w:t>
      </w:r>
    </w:p>
    <w:p w14:paraId="3C8D423E" w14:textId="77777777" w:rsidR="0092320E" w:rsidRPr="00A34829" w:rsidRDefault="0092320E" w:rsidP="0092320E">
      <w:r w:rsidRPr="00A34829">
        <w:t>Moreover, the Court criticized the Turkish authorities for applying terrorism laws in an overly broad and ambiguous manner, which made it difficult for individuals, including Mr. Demirtaş, to foresee what kind of statements could lead to criminal prosecution (para. 272). This lack of legal clarity allowed the government to use these laws as a tool for political repression, rather than solely for the legitimate purpose of combating terrorism.</w:t>
      </w:r>
    </w:p>
    <w:p w14:paraId="12330FAE" w14:textId="2DFA2DE6" w:rsidR="0092320E" w:rsidRPr="00A34829" w:rsidRDefault="0092320E" w:rsidP="0092320E">
      <w:r w:rsidRPr="00A34829">
        <w:t xml:space="preserve">The Court also concluded that Mr. Demirtaş’s detention was driven by an ulterior motive—to silence his political voice and limit pluralistic debate—rather than by any genuine need to prevent terrorism (para. 424). </w:t>
      </w:r>
    </w:p>
    <w:p w14:paraId="218B7964" w14:textId="21F93B2F" w:rsidR="00AF0BDA" w:rsidRPr="00A34829" w:rsidRDefault="0092320E" w:rsidP="0092320E">
      <w:pPr>
        <w:rPr>
          <w:lang w:val="en-GB"/>
        </w:rPr>
      </w:pPr>
      <w:r w:rsidRPr="00A34829">
        <w:t>Despite the clear and strong judgment from the ECtHR, Türkiye has persistently resisted implementing the Court's decision. The ECtHR ordered the immediate release of Mr. Demirtaş, finding his prolonged pre-trial detention to be politically motivated and in violation of his rights under Articles 5 and 10 of the Convention (para. 439). However, despite these explicit directives, Türkiye has yet to fully comply with the judgment. This resistance to implementing the Court's ruling is not only a violation of Türkiye's obligations under international law, but it also reflects the broader pattern of using anti-terror laws to suppress political opposition and human rights defenders.</w:t>
      </w:r>
    </w:p>
    <w:p w14:paraId="639D31FD" w14:textId="4C83D279" w:rsidR="00AF0BDA" w:rsidRPr="005E07E9" w:rsidRDefault="00A163A4" w:rsidP="00AF0BDA">
      <w:pPr>
        <w:rPr>
          <w:b/>
          <w:bCs/>
        </w:rPr>
      </w:pPr>
      <w:r w:rsidRPr="005E07E9">
        <w:rPr>
          <w:b/>
          <w:bCs/>
          <w:lang w:val="en-GB"/>
        </w:rPr>
        <w:t xml:space="preserve">In its response (para. 79), </w:t>
      </w:r>
      <w:r w:rsidRPr="005E07E9">
        <w:rPr>
          <w:b/>
          <w:bCs/>
        </w:rPr>
        <w:t>the state party explains that Law No. 6415 on the Prevention of the Financing of Terrorism establishes a uniform framework for addressing the crime of financing terrorism by clearly defining its elements and setting out procedures for prevention and asset freezing.</w:t>
      </w:r>
    </w:p>
    <w:p w14:paraId="38F652D0" w14:textId="095098DC" w:rsidR="00750588" w:rsidRPr="00A34829" w:rsidRDefault="00750588" w:rsidP="00750588">
      <w:r w:rsidRPr="00A34829">
        <w:t>Turkey claims that Law No. 6415 on the Prevention of the Financing of Terrorism establishes a uniform framework for addressing the crime of financing terrorism by clearly defining its elements and setting out procedures for prevention and asset freezing. However, in practice, the application of this law, particularly after its amendment by Law No. 7262, demonstrates that the framework is neither clear nor uniformly applied. Instead, it has been used as a tool for political repression, often targeting dissidents and individuals who have no connection to terrorism or violent activities.</w:t>
      </w:r>
      <w:r w:rsidR="00DB4D50">
        <w:rPr>
          <w:rStyle w:val="FootnoteReference"/>
        </w:rPr>
        <w:footnoteReference w:id="6"/>
      </w:r>
    </w:p>
    <w:p w14:paraId="5CD3C549" w14:textId="57081DA5" w:rsidR="00750588" w:rsidRPr="00A34829" w:rsidRDefault="00750588" w:rsidP="00750588">
      <w:r w:rsidRPr="00A34829">
        <w:lastRenderedPageBreak/>
        <w:t xml:space="preserve">The law’s broad and vague definitions have led to the misuse of asset freezing mechanisms, particularly against individuals associated with the Gülen movement, as well as other opposition groups. The April 7, </w:t>
      </w:r>
      <w:proofErr w:type="gramStart"/>
      <w:r w:rsidRPr="00A34829">
        <w:t>2021</w:t>
      </w:r>
      <w:proofErr w:type="gramEnd"/>
      <w:r w:rsidRPr="00A34829">
        <w:t xml:space="preserve"> decision freezing the assets of 377 individuals, including 205 linked to the Gülen movement, provides a stark example of this abuse.</w:t>
      </w:r>
      <w:r w:rsidR="00DB4D50">
        <w:rPr>
          <w:rStyle w:val="FootnoteReference"/>
        </w:rPr>
        <w:footnoteReference w:id="7"/>
      </w:r>
      <w:r w:rsidRPr="00A34829">
        <w:t xml:space="preserve"> These individuals were accused of financing terrorism, yet the evidence against them was based on ordinary and lawful activities, such as donations, scholarships, or participation in charitable events. The decision to freeze their assets was not based on concrete evidence of financing terrorism, such as providing material support for violent acts, but rather on vague claims of association with a so-called terrorist organization.</w:t>
      </w:r>
    </w:p>
    <w:p w14:paraId="4344658D" w14:textId="77777777" w:rsidR="00750588" w:rsidRPr="00A34829" w:rsidRDefault="00750588" w:rsidP="00750588">
      <w:r w:rsidRPr="00A34829">
        <w:t>The Turkish authorities have relied on the ambiguous concept of "reasonable grounds", which is not clearly defined in the law. This vague standard allows for arbitrary and politically motivated asset freezes, often targeting those who oppose the government or are perceived as a threat to its power. The criteria for determining reasonable grounds are opaque, and decisions are often made without transparent or judicial review. The lack of clarity in defining "reasonable grounds" opens the door to discretionary decisions that can easily be abused for political purposes.</w:t>
      </w:r>
    </w:p>
    <w:p w14:paraId="31F89882" w14:textId="77777777" w:rsidR="00750588" w:rsidRPr="00A34829" w:rsidRDefault="00750588" w:rsidP="00750588">
      <w:r w:rsidRPr="00A34829">
        <w:t>Moreover, the administrative process for asset freezing is highly problematic. The decisions are made by a commission that includes government ministries, such as the Ministry of Interior and the Ministry of Justice, and they are then approved by the Ankara Heavy Penal Court. However, the Council of Judges and Prosecutors (HSK), which assigns the courts handling these cases, is heavily influenced by the government, undermining the independence of the judiciary. The individuals targeted by these decisions often lack access to the evidence used against them and face significant difficulties in challenging the asset freezes, as judicial review is limited and largely procedural.</w:t>
      </w:r>
    </w:p>
    <w:p w14:paraId="28FF753D" w14:textId="5F113A39" w:rsidR="00750588" w:rsidRPr="00A34829" w:rsidRDefault="00750588" w:rsidP="00750588">
      <w:r w:rsidRPr="00A34829">
        <w:t>The consequences of these asset freezes extend beyond Turkey’s borders. Many individuals whose assets have been frozen in Turkey face challenges in their daily lives, particularly Turkish nationals living abroad.</w:t>
      </w:r>
      <w:r w:rsidR="00DB4D50">
        <w:rPr>
          <w:rStyle w:val="FootnoteReference"/>
        </w:rPr>
        <w:footnoteReference w:id="8"/>
      </w:r>
      <w:r w:rsidRPr="00A34829">
        <w:t xml:space="preserve"> These individuals are added to financial intelligence databases, such as Refinitiv World-Check, which banks and financial institutions use to screen clients. As a result, these individuals often experience account closures, credit issues, and reputational damage, even though there is no evidence of involvement in terrorism. This transnational impact of Turkey’s asset freezing practices further demonstrates how the framework </w:t>
      </w:r>
      <w:r w:rsidRPr="00A34829">
        <w:lastRenderedPageBreak/>
        <w:t>established by Law No. 6415 is used to suppress dissent and silence critics rather than addressing genuine threats of terrorism financing.</w:t>
      </w:r>
    </w:p>
    <w:p w14:paraId="2C5BEB67" w14:textId="3780E4B9" w:rsidR="00AF0BDA" w:rsidRPr="005E07E9" w:rsidRDefault="00A163A4" w:rsidP="00AF0BDA">
      <w:pPr>
        <w:rPr>
          <w:b/>
          <w:bCs/>
        </w:rPr>
      </w:pPr>
      <w:r w:rsidRPr="005E07E9">
        <w:rPr>
          <w:b/>
          <w:bCs/>
        </w:rPr>
        <w:t>In its response (para 81), The state party states that the provisions related to associations in Law No. 7262 were developed in accordance with both international and national legislation on freedom of association. Since the law came into effect, no association directors or units have been suspended, and no association activities have been halted.</w:t>
      </w:r>
    </w:p>
    <w:p w14:paraId="48C2D90F" w14:textId="77777777" w:rsidR="00844A4E" w:rsidRPr="00A34829" w:rsidRDefault="00844A4E" w:rsidP="00844A4E">
      <w:r w:rsidRPr="00A34829">
        <w:t>Turkey’s claims regarding Law No. 7262, specifically that no association directors or activities have been suspended since its implementation and that the law complies with international and national standards on freedom of association, do not align with the reality of its impact on civil society. While the government asserts that the law has been developed in accordance with these standards, the broad and vague provisions of Law No. 7262 create an environment where the law can be weaponized against non-governmental organizations and civil society actors.</w:t>
      </w:r>
    </w:p>
    <w:p w14:paraId="760DFE78" w14:textId="6DFBDF24" w:rsidR="00844A4E" w:rsidRPr="00A34829" w:rsidRDefault="00844A4E" w:rsidP="00844A4E">
      <w:r w:rsidRPr="00A34829">
        <w:t xml:space="preserve">It is important to recall that during the state of emergency following the coup attempt in 2016, the Turkish government </w:t>
      </w:r>
      <w:proofErr w:type="gramStart"/>
      <w:r w:rsidRPr="00A34829">
        <w:t>closed down</w:t>
      </w:r>
      <w:proofErr w:type="gramEnd"/>
      <w:r w:rsidRPr="00A34829">
        <w:t xml:space="preserve"> hundreds of NGOs, trade unions, and other civil society organizations under emergency decrees.</w:t>
      </w:r>
      <w:r w:rsidR="00DB4D50">
        <w:rPr>
          <w:rStyle w:val="FootnoteReference"/>
        </w:rPr>
        <w:footnoteReference w:id="9"/>
      </w:r>
      <w:r w:rsidRPr="00A34829">
        <w:t xml:space="preserve"> Many of these closures were justified on the grounds of supposed links to terrorism, despite little or no evidence to support such claims. This widespread closure of civil society organizations was a clear violation of international standards on freedom of association, and it severely weakened the space for civil engagement in Turkey.</w:t>
      </w:r>
    </w:p>
    <w:p w14:paraId="11E842A0" w14:textId="77777777" w:rsidR="00844A4E" w:rsidRPr="00A34829" w:rsidRDefault="00844A4E" w:rsidP="00844A4E">
      <w:r w:rsidRPr="00A34829">
        <w:t>The European Court of Human Rights (ECtHR), in its Yalçınkaya judgment, ruled that merely being a member of a trade union or organization that had been closed by emergency decrees does not indicate any connection with terrorism. The Court emphasized that participation in a legitimate trade union, even if that organization was later dissolved by the state, does not amount to evidence of membership in a terrorist organization. This decision underscores the unlawfulness of the state of emergency measures, where thousands of individuals and organizations were unfairly targeted.</w:t>
      </w:r>
    </w:p>
    <w:p w14:paraId="16509F83" w14:textId="77777777" w:rsidR="00844A4E" w:rsidRPr="00A34829" w:rsidRDefault="00844A4E" w:rsidP="00844A4E">
      <w:r w:rsidRPr="00A34829">
        <w:t xml:space="preserve">While the unlawfulness of the state of emergency practices is well documented, Law No. 7262, introduced after the end of the state of emergency, continues to perpetuate similar patterns of suppression under the guise of countering terrorism financing. The law grants the Ministry of Interior extensive powers to suspend individuals involved in civil society organizations and dissolve associations without sufficient judicial oversight. Although the Turkish government claims that no </w:t>
      </w:r>
      <w:r w:rsidRPr="00A34829">
        <w:lastRenderedPageBreak/>
        <w:t>association directors or units have been suspended and no activities halted under the law, the threat remains omnipresent. The law’s vague definitions and broad discretionary powers create a chilling effect on civil society, where organizations that engage in human rights advocacy or criticize government policies operate under the constant fear of being targeted.</w:t>
      </w:r>
    </w:p>
    <w:p w14:paraId="2E041E96" w14:textId="77777777" w:rsidR="00844A4E" w:rsidRPr="00A34829" w:rsidRDefault="00844A4E" w:rsidP="00844A4E">
      <w:r w:rsidRPr="00A34829">
        <w:t>Two concrete examples demonstrate how counter-terrorism laws have been abused to target civil society organizations:</w:t>
      </w:r>
    </w:p>
    <w:p w14:paraId="6F162A98" w14:textId="77777777" w:rsidR="00844A4E" w:rsidRPr="00A34829" w:rsidRDefault="00844A4E" w:rsidP="00844A4E">
      <w:pPr>
        <w:numPr>
          <w:ilvl w:val="0"/>
          <w:numId w:val="37"/>
        </w:numPr>
      </w:pPr>
      <w:r w:rsidRPr="00A34829">
        <w:t xml:space="preserve">DİAYDER Case: In 2021, the Turkish government cracked down on DİAYDER (Religious Scholars Solidarity Association), accusing its members of being involved in activities deemed suspicious by the authorities. Despite limited evidence, several members were arrested, and the organization’s activities were curtailed. DİAYDER was primarily involved in providing community services, and this case is seen as part of a broader effort to silence organizations that operate in politically sensitive areas under the pretext of </w:t>
      </w:r>
      <w:proofErr w:type="gramStart"/>
      <w:r w:rsidRPr="00A34829">
        <w:t>counter-terrorism</w:t>
      </w:r>
      <w:proofErr w:type="gramEnd"/>
      <w:r w:rsidRPr="00A34829">
        <w:t>.</w:t>
      </w:r>
    </w:p>
    <w:p w14:paraId="406CFBB6" w14:textId="77777777" w:rsidR="00844A4E" w:rsidRPr="00A34829" w:rsidRDefault="00844A4E" w:rsidP="00844A4E">
      <w:pPr>
        <w:numPr>
          <w:ilvl w:val="0"/>
          <w:numId w:val="37"/>
        </w:numPr>
      </w:pPr>
      <w:r w:rsidRPr="00A34829">
        <w:t xml:space="preserve">GÖÇİZDER Case: In 2022, the Migration Monitoring Association (GÖÇİZDER), which worked on documenting migration patterns and human rights abuses, particularly in conflict zones, was targeted by the government. Its members were accused of supporting activities </w:t>
      </w:r>
      <w:proofErr w:type="spellStart"/>
      <w:r w:rsidRPr="00A34829">
        <w:t>labeled</w:t>
      </w:r>
      <w:proofErr w:type="spellEnd"/>
      <w:r w:rsidRPr="00A34829">
        <w:t xml:space="preserve"> as dangerous by the authorities, and several were arrested, with the organization effectively shut down. Despite no substantial evidence linking GÖÇİZDER to any illicit activity, the case exemplifies how anti-terror laws are used to suppress organizations that expose human rights violations or challenge the state’s narrative.</w:t>
      </w:r>
    </w:p>
    <w:p w14:paraId="30013D93" w14:textId="77777777" w:rsidR="00844A4E" w:rsidRPr="00A34829" w:rsidRDefault="00844A4E" w:rsidP="00844A4E">
      <w:r w:rsidRPr="00A34829">
        <w:t>These cases show how counter-terrorism laws are routinely applied to civil society organizations working in sensitive areas like minority rights and migration. The arrests and prosecutions reflect the government’s intent to silence critical voices, using broad and vague legal provisions to justify their actions. Even if no formal suspensions have occurred under Law No. 7262, the chilling effect on civil society is evident, with organizations operating under the constant threat of closure or legal action.</w:t>
      </w:r>
    </w:p>
    <w:p w14:paraId="3AA3FCAE" w14:textId="77777777" w:rsidR="00844A4E" w:rsidRPr="00A34829" w:rsidRDefault="00844A4E" w:rsidP="00844A4E">
      <w:r w:rsidRPr="00A34829">
        <w:t>Furthermore, the legacy of arbitrary closures during the state of emergency remains fresh, and many organizations are still recovering from the aftermath. Law No. 7262 exacerbates these challenges by imposing onerous financial reporting and auditing requirements on all non-profits, regardless of their actual risk of engaging in terrorism financing. This burden is particularly heavy for smaller organizations, which struggle to comply with the complex regulatory framework, thereby stifling their ability to operate freely.</w:t>
      </w:r>
    </w:p>
    <w:p w14:paraId="4021759B" w14:textId="77777777" w:rsidR="00844A4E" w:rsidRPr="00A34829" w:rsidRDefault="00844A4E" w:rsidP="00844A4E">
      <w:proofErr w:type="gramStart"/>
      <w:r w:rsidRPr="00A34829">
        <w:lastRenderedPageBreak/>
        <w:t>In light of</w:t>
      </w:r>
      <w:proofErr w:type="gramEnd"/>
      <w:r w:rsidRPr="00A34829">
        <w:t xml:space="preserve"> these considerations, it is clear that Turkey’s claims about the benign and lawful implementation of Law No. 7262 are misleading. The law’s potential for abuse, its vague definitions, and the real threats it poses to freedom of association undermine the very protections the government claims to uphold. While formal suspensions may not have taken place, the broader impact on civil society is undeniable, as the law has already contributed to the erosion of an independent, vibrant civil space in Turkey. The continued use of such laws perpetuates a climate of fear and repression, where civil society organizations are left vulnerable to arbitrary state action.</w:t>
      </w:r>
    </w:p>
    <w:p w14:paraId="41951DDE" w14:textId="0072B27A" w:rsidR="00DE6D03" w:rsidRPr="005E07E9" w:rsidRDefault="00DE6D03" w:rsidP="00AF0BDA">
      <w:pPr>
        <w:rPr>
          <w:b/>
          <w:bCs/>
        </w:rPr>
      </w:pPr>
      <w:r w:rsidRPr="005E07E9">
        <w:rPr>
          <w:b/>
          <w:bCs/>
        </w:rPr>
        <w:t xml:space="preserve">In its response (para 82), the State Party made a reference to its previous communication </w:t>
      </w:r>
      <w:proofErr w:type="spellStart"/>
      <w:r w:rsidRPr="005E07E9">
        <w:rPr>
          <w:b/>
          <w:bCs/>
        </w:rPr>
        <w:t>fro</w:t>
      </w:r>
      <w:proofErr w:type="spellEnd"/>
      <w:r w:rsidRPr="005E07E9">
        <w:rPr>
          <w:b/>
          <w:bCs/>
        </w:rPr>
        <w:t xml:space="preserve"> the UN special procedures (AL TUR 13/202 and OL TUR 3/2021) for detailed information. The referenced document includes the </w:t>
      </w:r>
      <w:r w:rsidR="008F2265" w:rsidRPr="005E07E9">
        <w:rPr>
          <w:b/>
          <w:bCs/>
        </w:rPr>
        <w:t>claim that the definition of terrorism is in line with international standards, stating that it balances both objective and subjective elements, particularly the use of force and violence to achieve political aims.</w:t>
      </w:r>
    </w:p>
    <w:p w14:paraId="4641FB69" w14:textId="77777777" w:rsidR="005D0730" w:rsidRPr="00A34829" w:rsidRDefault="005D0730" w:rsidP="005D0730">
      <w:r w:rsidRPr="00A34829">
        <w:t>Turkey claims that its definition of terrorism balances both objective elements (material acts) and subjective elements (mental intent) in line with international standards. However, the reality is that Turkey’s Anti-Terrorism Law No. 3713 employs a vague and overly broad definition, leading to frequent misuse of both the objective and subjective elements of terrorism charges. The objective elements of terrorism should focus on acts involving force or violence that pose a genuine threat to public safety or national security. However, in Turkey, these elements are often stretched to include non-violent and legal activities, such as peaceful protests, social gatherings, or membership in certain organizations.</w:t>
      </w:r>
    </w:p>
    <w:p w14:paraId="6C56CFB2" w14:textId="77777777" w:rsidR="005D0730" w:rsidRPr="00A34829" w:rsidRDefault="005D0730" w:rsidP="005D0730">
      <w:r w:rsidRPr="00A34829">
        <w:t>Similarly, the subjective elements—which should focus on the intent or purpose behind the actions—are used in a way that assumes guilt based on affiliations or perceived motives, without any concrete evidence of an actual intent to commit terrorism. The broad interpretation of these subjective elements allows the government to prosecute individuals not based on their actions but on their presumed intent, which is often inferred from their social or political activities, even if those activities are entirely peaceful and legal.</w:t>
      </w:r>
    </w:p>
    <w:p w14:paraId="596AD6B9" w14:textId="77777777" w:rsidR="005D0730" w:rsidRPr="00A34829" w:rsidRDefault="005D0730" w:rsidP="005D0730">
      <w:r w:rsidRPr="00A34829">
        <w:t xml:space="preserve">The European Court of Human Rights (ECtHR) addressed these issues in the Yüksel Yalçınkaya v. Turkey case. In its ruling, the Court emphasized that Turkey's broad and vague definition of terrorism does not comply with international legal standards, particularly regarding the balance between objective and subjective elements. The Court found that the Turkish authorities had relied too heavily on subjective interpretations of intent—presuming that individuals were engaged in terrorism based on their affiliations or non-violent activities, without demonstrating a clear link to objective elements such as violent acts. The Yalçınkaya decision ruled that the mere membership or affiliation with an organization, or participation in </w:t>
      </w:r>
      <w:r w:rsidRPr="00A34829">
        <w:lastRenderedPageBreak/>
        <w:t>peaceful activities, does not constitute terrorism without proof of material acts involving violence or intent to use violence. This decision underscored the importance of distinguishing between legitimate political or social activities and actual terrorism-related actions.</w:t>
      </w:r>
    </w:p>
    <w:p w14:paraId="72BC692C" w14:textId="35D73313" w:rsidR="005D0730" w:rsidRPr="00A34829" w:rsidRDefault="005D0730" w:rsidP="005D0730">
      <w:r w:rsidRPr="00A34829">
        <w:t xml:space="preserve">The May 7, </w:t>
      </w:r>
      <w:proofErr w:type="gramStart"/>
      <w:r w:rsidRPr="00A34829">
        <w:t>2024</w:t>
      </w:r>
      <w:proofErr w:type="gramEnd"/>
      <w:r w:rsidRPr="00A34829">
        <w:t xml:space="preserve"> operation in Istanbul serves as a stark example of how Turkey has failed to adhere to the principles outlined in the Yalçınkaya decision. During this operation, 41 individuals, including 15 minors aged between 13 and 17, were detained on terrorism charges </w:t>
      </w:r>
      <w:proofErr w:type="gramStart"/>
      <w:r w:rsidRPr="00A34829">
        <w:t>despite the fact that</w:t>
      </w:r>
      <w:proofErr w:type="gramEnd"/>
      <w:r w:rsidRPr="00A34829">
        <w:t xml:space="preserve"> neither the objective nor the subjective elements of terrorism were met. The charges were based on ordinary social activities, such as university students organizing educational programs for children, teaching English and religious lessons, and participating in social events like bowling.</w:t>
      </w:r>
      <w:r w:rsidR="00DB4D50">
        <w:rPr>
          <w:rStyle w:val="FootnoteReference"/>
        </w:rPr>
        <w:footnoteReference w:id="10"/>
      </w:r>
      <w:r w:rsidRPr="00A34829">
        <w:t xml:space="preserve"> None of these activities involved any form of violence or threat to public safety, which should be a key requirement for the objective elements of terrorism under international standards.</w:t>
      </w:r>
    </w:p>
    <w:p w14:paraId="557A4F80" w14:textId="6CD879EF" w:rsidR="0093282F" w:rsidRPr="00A34829" w:rsidRDefault="005D0730" w:rsidP="0093282F">
      <w:r w:rsidRPr="00A34829">
        <w:t>Furthermore, the subjective elements of the charges were also deeply flawed. The authorities assumed that the individuals had terrorist intent simply because they were involved in these social and educational activities, without any actual evidence of intent to commit acts of terror. This reliance on presumed intent, based on affiliations or peaceful activities, reflects exactly the type of overreach criticized by the ECtHR in the Yalçınkaya case. In both cases, the subjective elements were assumed rather than proven, and no material acts involving force or violence were demonstrated to justify the terrorism charges.</w:t>
      </w:r>
    </w:p>
    <w:p w14:paraId="614AD835" w14:textId="449DF251" w:rsidR="00FA3914" w:rsidRDefault="0093282F" w:rsidP="0093282F">
      <w:pPr>
        <w:pStyle w:val="Heading3"/>
        <w:rPr>
          <w:lang w:val="en-GB"/>
        </w:rPr>
      </w:pPr>
      <w:bookmarkStart w:id="4" w:name="_Toc177387343"/>
      <w:r w:rsidRPr="0093282F">
        <w:rPr>
          <w:lang w:val="en-GB"/>
        </w:rPr>
        <w:t>Concerns</w:t>
      </w:r>
      <w:bookmarkEnd w:id="4"/>
    </w:p>
    <w:p w14:paraId="58932DAB" w14:textId="77777777" w:rsidR="00FA0F4F" w:rsidRPr="00FA0F4F" w:rsidRDefault="00FA0F4F" w:rsidP="00FA0F4F">
      <w:pPr>
        <w:pStyle w:val="ListParagraph"/>
        <w:numPr>
          <w:ilvl w:val="0"/>
          <w:numId w:val="38"/>
        </w:numPr>
        <w:rPr>
          <w:lang w:val="en-GB"/>
        </w:rPr>
      </w:pPr>
      <w:r w:rsidRPr="00FA0F4F">
        <w:rPr>
          <w:lang w:val="en-GB"/>
        </w:rPr>
        <w:t>Solidarity With OTHERS shares its deep concerns about the misuse of Turkey’s counter-terrorism framework, which is overly broad and vague, criminalizing lawful activities such as charitable donations and social events, and allowing for arbitrary prosecutions in violation of international standards.</w:t>
      </w:r>
    </w:p>
    <w:p w14:paraId="214BCB9F" w14:textId="77777777" w:rsidR="00FA0F4F" w:rsidRPr="00FA0F4F" w:rsidRDefault="00FA0F4F" w:rsidP="00FA0F4F">
      <w:pPr>
        <w:pStyle w:val="ListParagraph"/>
        <w:numPr>
          <w:ilvl w:val="0"/>
          <w:numId w:val="38"/>
        </w:numPr>
        <w:rPr>
          <w:lang w:val="en-GB"/>
        </w:rPr>
      </w:pPr>
      <w:r w:rsidRPr="00FA0F4F">
        <w:rPr>
          <w:lang w:val="en-GB"/>
        </w:rPr>
        <w:t>These laws are being applied to silence political opposition and civil society, as evidenced by the targeting of individuals like Selahattin Demirtaş and organizations such as GÖÇİZDER and DİAYDER, with the government using these laws to eliminate critical voices.</w:t>
      </w:r>
    </w:p>
    <w:p w14:paraId="73CF45B6" w14:textId="77777777" w:rsidR="00FA0F4F" w:rsidRPr="00FA0F4F" w:rsidRDefault="00FA0F4F" w:rsidP="00FA0F4F">
      <w:pPr>
        <w:pStyle w:val="ListParagraph"/>
        <w:numPr>
          <w:ilvl w:val="0"/>
          <w:numId w:val="38"/>
        </w:numPr>
        <w:rPr>
          <w:lang w:val="en-GB"/>
        </w:rPr>
      </w:pPr>
      <w:r w:rsidRPr="00FA0F4F">
        <w:rPr>
          <w:lang w:val="en-GB"/>
        </w:rPr>
        <w:t xml:space="preserve">The arbitrary detention of individuals, including minors, under vague terrorism charges, as seen in the May 7, </w:t>
      </w:r>
      <w:proofErr w:type="gramStart"/>
      <w:r w:rsidRPr="00FA0F4F">
        <w:rPr>
          <w:lang w:val="en-GB"/>
        </w:rPr>
        <w:t>2024</w:t>
      </w:r>
      <w:proofErr w:type="gramEnd"/>
      <w:r w:rsidRPr="00FA0F4F">
        <w:rPr>
          <w:lang w:val="en-GB"/>
        </w:rPr>
        <w:t xml:space="preserve"> operation, shows how these laws lack clarity and transparency, leading to unjust detentions for routine social and educational activities.</w:t>
      </w:r>
    </w:p>
    <w:p w14:paraId="71B244BC" w14:textId="6E10EE41" w:rsidR="00FA0F4F" w:rsidRPr="00FA0F4F" w:rsidRDefault="00FA0F4F" w:rsidP="00FA0F4F">
      <w:pPr>
        <w:pStyle w:val="ListParagraph"/>
        <w:numPr>
          <w:ilvl w:val="0"/>
          <w:numId w:val="38"/>
        </w:numPr>
        <w:rPr>
          <w:lang w:val="en-GB"/>
        </w:rPr>
      </w:pPr>
      <w:r w:rsidRPr="00FA0F4F">
        <w:rPr>
          <w:lang w:val="en-GB"/>
        </w:rPr>
        <w:lastRenderedPageBreak/>
        <w:t>Turkey’s counter-terrorism laws violate international standards on freedom of expression and association, as underscored by the European Court of Human Rights in cases like Demirtaş v Türkiye, where peaceful activities have been wrongfully criminalized without any proven link to terrorism.</w:t>
      </w:r>
    </w:p>
    <w:p w14:paraId="131F3512" w14:textId="4C5C5552" w:rsidR="0093282F" w:rsidRPr="00962892" w:rsidRDefault="00FA0F4F" w:rsidP="00847957">
      <w:pPr>
        <w:pStyle w:val="ListParagraph"/>
        <w:numPr>
          <w:ilvl w:val="0"/>
          <w:numId w:val="38"/>
        </w:numPr>
        <w:rPr>
          <w:lang w:val="en-GB"/>
        </w:rPr>
      </w:pPr>
      <w:r w:rsidRPr="00962892">
        <w:rPr>
          <w:lang w:val="en-GB"/>
        </w:rPr>
        <w:t>The misuse of asset freezing under Turkey’s terrorism financing laws has been employed to target dissidents and opposition groups without clear evidence, resulting in severe consequences for individuals who are unfairly branded as terrorists.</w:t>
      </w:r>
    </w:p>
    <w:p w14:paraId="538D3D8D" w14:textId="681EBE32" w:rsidR="0093282F" w:rsidRDefault="00147BA9" w:rsidP="00147BA9">
      <w:pPr>
        <w:pStyle w:val="Heading2"/>
        <w:rPr>
          <w:lang w:val="en-GB"/>
        </w:rPr>
      </w:pPr>
      <w:bookmarkStart w:id="5" w:name="_Toc177387344"/>
      <w:r w:rsidRPr="00147BA9">
        <w:rPr>
          <w:lang w:val="en-GB"/>
        </w:rPr>
        <w:t>Enforced disappearances and abductions (arts. 6, 9 and 12)</w:t>
      </w:r>
      <w:bookmarkEnd w:id="5"/>
    </w:p>
    <w:p w14:paraId="7B20EDBA" w14:textId="77777777" w:rsidR="00147BA9" w:rsidRDefault="00147BA9" w:rsidP="00147BA9">
      <w:pPr>
        <w:pStyle w:val="Heading3"/>
        <w:rPr>
          <w:lang w:val="en-GB"/>
        </w:rPr>
      </w:pPr>
      <w:bookmarkStart w:id="6" w:name="_Toc177387345"/>
      <w:r>
        <w:rPr>
          <w:lang w:val="en-GB"/>
        </w:rPr>
        <w:t>Elaboration on State Party’s responses to LOIPR</w:t>
      </w:r>
      <w:bookmarkEnd w:id="6"/>
    </w:p>
    <w:p w14:paraId="77ADAD73" w14:textId="34FE699D" w:rsidR="000D26C2" w:rsidRDefault="000D26C2" w:rsidP="000D26C2">
      <w:pPr>
        <w:tabs>
          <w:tab w:val="num" w:pos="720"/>
          <w:tab w:val="num" w:pos="1440"/>
        </w:tabs>
      </w:pPr>
      <w:r w:rsidRPr="000D26C2">
        <w:rPr>
          <w:lang w:val="en-GB"/>
        </w:rPr>
        <w:t xml:space="preserve">In para 9 of the LOIPR, </w:t>
      </w:r>
      <w:r w:rsidRPr="000D26C2">
        <w:t>the state party is requested to provide information on reports of abductions of Turkish nationals abroad by state agents after the 2016 attempted coup, including the number of cases and the current whereabouts of all affected individuals.</w:t>
      </w:r>
    </w:p>
    <w:p w14:paraId="3B97E0B0" w14:textId="240B1866" w:rsidR="000D26C2" w:rsidRPr="005E07E9" w:rsidRDefault="000D26C2" w:rsidP="000D26C2">
      <w:pPr>
        <w:tabs>
          <w:tab w:val="num" w:pos="720"/>
          <w:tab w:val="num" w:pos="1440"/>
        </w:tabs>
        <w:rPr>
          <w:b/>
          <w:bCs/>
        </w:rPr>
      </w:pPr>
      <w:r w:rsidRPr="005E07E9">
        <w:rPr>
          <w:b/>
          <w:bCs/>
        </w:rPr>
        <w:t>In its response (para 143), the state party claims that the disappeared individuals are deliberately hiding themselves to avoid arrest and continue illegal activities.</w:t>
      </w:r>
    </w:p>
    <w:p w14:paraId="67A77BDD" w14:textId="77777777" w:rsidR="0086686E" w:rsidRPr="0086686E" w:rsidRDefault="0086686E" w:rsidP="0086686E">
      <w:pPr>
        <w:spacing w:line="259" w:lineRule="auto"/>
      </w:pPr>
      <w:r w:rsidRPr="0086686E">
        <w:t>Turkey’s claim that disappeared individuals are deliberately hiding to avoid arrest and continue illegal activities does not reflect the truth. The pattern of enforced disappearances in Turkey, particularly since the July 2016 coup attempt, demonstrates clear state involvement in the abduction and secret detention of individuals. Many of these individuals have reappeared months later in police custody, revealing a deliberate strategy by Turkish authorities to bypass procedural safeguards, subject detainees to torture, and obtain coerced confessions.</w:t>
      </w:r>
    </w:p>
    <w:p w14:paraId="1F47AA59" w14:textId="177964F3" w:rsidR="0086686E" w:rsidRPr="0086686E" w:rsidRDefault="0086686E" w:rsidP="0086686E">
      <w:pPr>
        <w:spacing w:line="259" w:lineRule="auto"/>
      </w:pPr>
      <w:r w:rsidRPr="0086686E">
        <w:t>Evidence shows that these individuals are not hiding voluntarily but are forcibly disappeared by state agents. For instance, Gökhan Türkmen, who disappeared on February 7, 2019, resurfaced in police custody nine months later. He testified in court on February 10, 2020, that he was abducted by state actors, tortured, and forced to sign false confessions.</w:t>
      </w:r>
      <w:r w:rsidR="00DB4D50">
        <w:rPr>
          <w:rStyle w:val="FootnoteReference"/>
        </w:rPr>
        <w:footnoteReference w:id="11"/>
      </w:r>
      <w:r w:rsidRPr="0086686E">
        <w:t xml:space="preserve"> His family, during his disappearance, had filed numerous complaints with Turkish authorities and the European Court of Human Rights (ECtHR), but Turkish officials failed to investigate his whereabouts. This refutes the </w:t>
      </w:r>
      <w:r w:rsidRPr="0086686E">
        <w:lastRenderedPageBreak/>
        <w:t>claim that Türkmen was hiding; instead, he was held incommunicado in a secret detention facility.</w:t>
      </w:r>
    </w:p>
    <w:p w14:paraId="1B5EE2BD" w14:textId="77777777" w:rsidR="0086686E" w:rsidRPr="0086686E" w:rsidRDefault="0086686E" w:rsidP="0086686E">
      <w:pPr>
        <w:spacing w:line="259" w:lineRule="auto"/>
      </w:pPr>
      <w:r w:rsidRPr="0086686E">
        <w:t>Similarly, four other men – Salim Zeybek, Özgür Kaya, Yasin Ugan, and Erkan Irmak – disappeared in February 2019 and were not seen again until they resurfaced in police custody in July of the same year. Like Türkmen, their families had made multiple inquiries and lodged complaints about their disappearance, but the Turkish government denied any involvement. These men remain silent about their treatment during their disappearance, likely due to the coercive environment in which they were held.</w:t>
      </w:r>
    </w:p>
    <w:p w14:paraId="222D2E4D" w14:textId="77777777" w:rsidR="0086686E" w:rsidRPr="0086686E" w:rsidRDefault="0086686E" w:rsidP="0086686E">
      <w:pPr>
        <w:spacing w:line="259" w:lineRule="auto"/>
      </w:pPr>
      <w:r w:rsidRPr="0086686E">
        <w:t>The reappearance of these men in custody after months of disappearance clearly shows that they were not voluntarily evading arrest. They were subjected to secret detention, which allowed Turkish authorities to deprive them of access to legal representation, a fair trial, and protection from torture. Secret detentions were used to extract forced confessions in a setting shielded from legal scrutiny.</w:t>
      </w:r>
    </w:p>
    <w:p w14:paraId="3A55F7F2" w14:textId="77777777" w:rsidR="0086686E" w:rsidRPr="0086686E" w:rsidRDefault="0086686E" w:rsidP="0086686E">
      <w:pPr>
        <w:spacing w:line="259" w:lineRule="auto"/>
      </w:pPr>
      <w:r w:rsidRPr="0086686E">
        <w:t>In the case of Mustafa Yılmaz, another man who disappeared in February 2019, he resurfaced in October of the same year. Like others, Yılmaz has refrained from discussing the details of his disappearance, suggesting that he was subjected to threats or torture during his secret detention. His reappearance in police custody demonstrates that these disappearances are part of a systematic approach to denying individuals their fundamental rights.</w:t>
      </w:r>
    </w:p>
    <w:p w14:paraId="0F15CCB1" w14:textId="77777777" w:rsidR="0086686E" w:rsidRPr="0086686E" w:rsidRDefault="0086686E" w:rsidP="0086686E">
      <w:pPr>
        <w:spacing w:line="259" w:lineRule="auto"/>
      </w:pPr>
      <w:r w:rsidRPr="0086686E">
        <w:t>Furthermore, the case of Yusuf Bilge Tunç, who disappeared in August 2019, provides additional evidence. Tunç remains missing to this day, and Turkish authorities have failed to provide any information about his fate or whereabouts, despite repeated pleas from his family. His case, along with others, demonstrates the Turkish government's failure to investigate these disappearances and provide transparency.</w:t>
      </w:r>
    </w:p>
    <w:p w14:paraId="525A6A9B" w14:textId="77777777" w:rsidR="0086686E" w:rsidRPr="0086686E" w:rsidRDefault="0086686E" w:rsidP="0086686E">
      <w:pPr>
        <w:spacing w:line="259" w:lineRule="auto"/>
      </w:pPr>
      <w:r w:rsidRPr="0086686E">
        <w:t>These examples highlight a troubling pattern where Turkish law enforcement and intelligence agencies engage in enforced disappearances, not to protect public security or prevent criminal activity, but to deny detainees their rights under the law. Secret detention allows for extended periods of incommunicado detention, during which individuals are subjected to torture, intimidation, and threats to force false confessions or implicate others.</w:t>
      </w:r>
    </w:p>
    <w:p w14:paraId="40F69840" w14:textId="3A0ED0AB" w:rsidR="005B126A" w:rsidRPr="0086686E" w:rsidRDefault="0086686E" w:rsidP="00147BA9">
      <w:r w:rsidRPr="0086686E">
        <w:t xml:space="preserve">Turkey’s claim that these individuals are hiding voluntarily is further undermined by its consistent refusal to investigate enforced disappearance allegations, despite the credible evidence presented by families and human rights organizations. Instead of fulfilling its international legal obligations to prevent enforced </w:t>
      </w:r>
      <w:r w:rsidRPr="0086686E">
        <w:lastRenderedPageBreak/>
        <w:t>disappearances and investigate these cases, Turkey has engaged in a pattern of abductions designed to suppress dissent and avoid granting detainees their fundamental procedural rights.</w:t>
      </w:r>
    </w:p>
    <w:p w14:paraId="20A844F7" w14:textId="05D0336D" w:rsidR="000E4E64" w:rsidRPr="005E07E9" w:rsidRDefault="000E4E64" w:rsidP="00147BA9">
      <w:pPr>
        <w:rPr>
          <w:b/>
          <w:bCs/>
        </w:rPr>
      </w:pPr>
      <w:r w:rsidRPr="005E07E9">
        <w:rPr>
          <w:b/>
          <w:bCs/>
          <w:lang w:val="en-GB"/>
        </w:rPr>
        <w:t xml:space="preserve">In its response (para 144), </w:t>
      </w:r>
      <w:r w:rsidRPr="005E07E9">
        <w:rPr>
          <w:b/>
          <w:bCs/>
        </w:rPr>
        <w:t>the state party provides examples of cases, such as Irmak et al., Zeybek et al., Kaya et al., Okumuş et al., and Tunç et al. vs. Türkiye, where applicants claiming abduction by state officials later withdrew their applications or did not follow up, leading the ECtHR to dismiss or declare these cases inadmissible due to being manifestly ill-founded.</w:t>
      </w:r>
    </w:p>
    <w:p w14:paraId="4F40FC2C" w14:textId="3A2686D5" w:rsidR="00305E8D" w:rsidRPr="00A34829" w:rsidRDefault="00305E8D" w:rsidP="00305E8D">
      <w:r w:rsidRPr="00A34829">
        <w:t>Turkey’s response in para 144, which references cases such as Irmak et al., Zeybek et al., Kaya et al., Okumuş et al., and Tunç et al. vs. Türkiye, is ill-founded and fallacious. The claim that these cases were dismissed or declared inadmissible by the ECtHR due to applicants withdrawing their applications or not following up does not address the core issue—whether the state conducted an effective and independent investigation into the alleged abductions.</w:t>
      </w:r>
    </w:p>
    <w:p w14:paraId="0E4D7FB9" w14:textId="730F7BE8" w:rsidR="00305E8D" w:rsidRPr="00A34829" w:rsidRDefault="00305E8D" w:rsidP="00305E8D">
      <w:r w:rsidRPr="00A34829">
        <w:t>The European Court of Human Rights (ECtHR) does not assess cases solely on the status of the individual or the applicant’s follow-up actions. The primary concern is whether the state has fulfilled its obligations under the European Convention on Human Rights to thoroughly investigate credible allegations of enforced disappearances. The dismissal of a case or its inadmissibility does not imply that the abductions did not occur or that the state's response was sufficient. Turkey’s responsibility to conduct a proper investigation remains regardless of the applicants’ subsequent actions.</w:t>
      </w:r>
    </w:p>
    <w:p w14:paraId="29DC10DF" w14:textId="1DC6DB7E" w:rsidR="00305E8D" w:rsidRPr="00A34829" w:rsidRDefault="00305E8D" w:rsidP="00305E8D">
      <w:r w:rsidRPr="00A34829">
        <w:t>Moreover, in cases like Salim Zeybek, where individuals have reappeared and made statements aligning with the political discourse of the Turkish government, serious concerns arise. The coercive conditions under which these statements were likely made raise doubts about their authenticity. Turkey's documented use of torture, incommunicado detention, and psychological pressure in similar cases suggests that Zeybek, and others in similar situations, may have been forced to retract their previous claims. This undermines the credibility of their statements and highlights the potential use of coercion to suppress dissent.</w:t>
      </w:r>
    </w:p>
    <w:p w14:paraId="10AA9E99" w14:textId="778494E7" w:rsidR="00EE1734" w:rsidRPr="00A34829" w:rsidRDefault="00305E8D" w:rsidP="00147BA9">
      <w:r w:rsidRPr="00A34829">
        <w:t>International bodies, including the Committee against Torture, have repeatedly expressed concerns about Turkey’s use of torture, particularly against political detainees and individuals accused of terrorism. The reappearance of individuals like Zeybek, who later issue statements consistent with state narratives, further indicates the possibility of ill-treatment and coercion during their detention.</w:t>
      </w:r>
    </w:p>
    <w:p w14:paraId="6BD62F4D" w14:textId="0DDBF202" w:rsidR="000E4E64" w:rsidRPr="005E07E9" w:rsidRDefault="000E4E64" w:rsidP="00147BA9">
      <w:pPr>
        <w:rPr>
          <w:b/>
          <w:bCs/>
        </w:rPr>
      </w:pPr>
      <w:r w:rsidRPr="005E07E9">
        <w:rPr>
          <w:b/>
          <w:bCs/>
          <w:lang w:val="en-GB"/>
        </w:rPr>
        <w:t xml:space="preserve">In its response (para 145), </w:t>
      </w:r>
      <w:r w:rsidRPr="005E07E9">
        <w:rPr>
          <w:b/>
          <w:bCs/>
        </w:rPr>
        <w:t>the state party claims that these tactics are deliberate attempts to mislead the international community and misuse international complaints mechanisms.</w:t>
      </w:r>
    </w:p>
    <w:p w14:paraId="6A5317CA" w14:textId="254A4142" w:rsidR="00EE1734" w:rsidRPr="00A34829" w:rsidRDefault="00EE1734" w:rsidP="005E07E9">
      <w:r w:rsidRPr="00A34829">
        <w:lastRenderedPageBreak/>
        <w:t xml:space="preserve">Turkey’s </w:t>
      </w:r>
      <w:proofErr w:type="spellStart"/>
      <w:r w:rsidRPr="00A34829">
        <w:t>defense</w:t>
      </w:r>
      <w:proofErr w:type="spellEnd"/>
      <w:r w:rsidRPr="00A34829">
        <w:t xml:space="preserve"> that "these tactics are deliberate attempts to mislead the international community and misuse international complaints mechanisms" (para 145) is a fallacy and represents an inadequate </w:t>
      </w:r>
      <w:proofErr w:type="spellStart"/>
      <w:r w:rsidRPr="00A34829">
        <w:t>defense</w:t>
      </w:r>
      <w:proofErr w:type="spellEnd"/>
      <w:r w:rsidRPr="00A34829">
        <w:t>. There is concrete data and documented evidence proving Turkey's involvement in illegal abductions and renditions, as outlined in the Concluding Observations of the Committee against Torture.</w:t>
      </w:r>
    </w:p>
    <w:p w14:paraId="10C492CD" w14:textId="77777777" w:rsidR="00EE1734" w:rsidRPr="00EE1734" w:rsidRDefault="00EE1734" w:rsidP="00EE1734">
      <w:pPr>
        <w:spacing w:line="259" w:lineRule="auto"/>
      </w:pPr>
      <w:r w:rsidRPr="00EE1734">
        <w:t xml:space="preserve">Since 2016, Turkey has orchestrated numerous abductions and forced renditions of individuals from at least 27 countries, particularly targeting those accused of links with the </w:t>
      </w:r>
      <w:proofErr w:type="spellStart"/>
      <w:r w:rsidRPr="00EE1734">
        <w:t>Hizmet</w:t>
      </w:r>
      <w:proofErr w:type="spellEnd"/>
      <w:r w:rsidRPr="00EE1734">
        <w:t xml:space="preserve"> (Gülen) Movement. These operations often involve secret detention, where victims are subjected to torture, inhumane treatment, and intense psychological pressure. Turkish officials, including President Erdoğan, have openly admitted these actions, further proving that these are state-sponsored activities designed to suppress dissent abroad.</w:t>
      </w:r>
    </w:p>
    <w:p w14:paraId="604083F5" w14:textId="31657D6C" w:rsidR="00EE1734" w:rsidRPr="00EE1734" w:rsidRDefault="00EE1734" w:rsidP="00EE1734">
      <w:pPr>
        <w:spacing w:line="259" w:lineRule="auto"/>
      </w:pPr>
      <w:r w:rsidRPr="00EE1734">
        <w:t xml:space="preserve">A notable example is the case of Orhan </w:t>
      </w:r>
      <w:proofErr w:type="spellStart"/>
      <w:r w:rsidRPr="00EE1734">
        <w:t>İnandı</w:t>
      </w:r>
      <w:proofErr w:type="spellEnd"/>
      <w:r w:rsidRPr="00EE1734">
        <w:t>, a dual national from Kyrgyzstan and Turkey, who was forcibly abducted from Kyrgyzstan in 2021. He was transported to Turkey and held incommunicado for 37 days in a secret detention facility.</w:t>
      </w:r>
      <w:r w:rsidR="00962892">
        <w:rPr>
          <w:rStyle w:val="FootnoteReference"/>
        </w:rPr>
        <w:footnoteReference w:id="12"/>
      </w:r>
      <w:r w:rsidRPr="00EE1734">
        <w:t xml:space="preserve"> During this period, </w:t>
      </w:r>
      <w:proofErr w:type="spellStart"/>
      <w:r w:rsidRPr="00EE1734">
        <w:t>İnandı</w:t>
      </w:r>
      <w:proofErr w:type="spellEnd"/>
      <w:r w:rsidRPr="00EE1734">
        <w:t xml:space="preserve"> endured severe physical torture, including beatings, threats, and being forced to wear a sack over his head for long periods. He was psychologically broken down through isolation, sleep deprivation, and threats against his family, aimed at coercing him into a false confession. </w:t>
      </w:r>
      <w:proofErr w:type="spellStart"/>
      <w:r w:rsidRPr="00EE1734">
        <w:t>İnandı's</w:t>
      </w:r>
      <w:proofErr w:type="spellEnd"/>
      <w:r w:rsidRPr="00EE1734">
        <w:t xml:space="preserve"> case exemplifies the illegal and brutal methods used in these abductions, methods that are clear violations of international human rights law.</w:t>
      </w:r>
    </w:p>
    <w:p w14:paraId="261344C4" w14:textId="751A3653" w:rsidR="00EE1734" w:rsidRPr="00EE1734" w:rsidRDefault="00EE1734" w:rsidP="00EE1734">
      <w:pPr>
        <w:spacing w:line="259" w:lineRule="auto"/>
      </w:pPr>
      <w:r w:rsidRPr="00EE1734">
        <w:t>Another example is the Kosovo abductions of March 2018, where six Turkish nationals were illegally arrested and rendered to Turkey with the direct involvement of MİT.</w:t>
      </w:r>
      <w:r w:rsidR="00962892">
        <w:rPr>
          <w:rStyle w:val="FootnoteReference"/>
        </w:rPr>
        <w:footnoteReference w:id="13"/>
      </w:r>
      <w:r w:rsidRPr="00EE1734">
        <w:t xml:space="preserve"> The six men were accused of having links to the </w:t>
      </w:r>
      <w:proofErr w:type="spellStart"/>
      <w:r w:rsidRPr="00EE1734">
        <w:t>Hizmet</w:t>
      </w:r>
      <w:proofErr w:type="spellEnd"/>
      <w:r w:rsidRPr="00EE1734">
        <w:t xml:space="preserve"> Movement and were forced to return to Turkey without any legal extradition process. International bodies, including the United Nations, condemned this act, as it violated multiple international legal principles, including the right to due process and protection from torture. The operation led to the dismissal of several high-ranking officials in Kosovo, exposing the collusion between Turkey and local authorities to carry out illegal renditions.</w:t>
      </w:r>
    </w:p>
    <w:p w14:paraId="4C41E938" w14:textId="57AC7348" w:rsidR="00EE1734" w:rsidRPr="00EE1734" w:rsidRDefault="00EE1734" w:rsidP="00EE1734">
      <w:pPr>
        <w:spacing w:line="259" w:lineRule="auto"/>
      </w:pPr>
      <w:r w:rsidRPr="00EE1734">
        <w:lastRenderedPageBreak/>
        <w:t>Moreover, the case of Selahattin Gülen, the nephew of Fethullah Gülen, who was abducted from Kenya in May 2021, further illustrates Turkey’s reliance on extraterritorial operations to capture individuals abroad.</w:t>
      </w:r>
      <w:r w:rsidR="00962892">
        <w:rPr>
          <w:rStyle w:val="FootnoteReference"/>
        </w:rPr>
        <w:footnoteReference w:id="14"/>
      </w:r>
      <w:r w:rsidRPr="00EE1734">
        <w:t xml:space="preserve"> Despite his ongoing asylum process in Kenya, Gülen was forcibly taken and brought back to Turkey by MİT operatives, where he faced charges of terrorism based solely on his familial ties to Fethullah Gülen. His abduction was widely condemned by international organizations as a breach of international law and a clear example of Turkey's disregard for legal processes in other sovereign nations.</w:t>
      </w:r>
    </w:p>
    <w:p w14:paraId="179CF744" w14:textId="77777777" w:rsidR="00EE1734" w:rsidRPr="00EE1734" w:rsidRDefault="00EE1734" w:rsidP="00EE1734">
      <w:pPr>
        <w:spacing w:line="259" w:lineRule="auto"/>
      </w:pPr>
      <w:r w:rsidRPr="00EE1734">
        <w:t>In another instance, Abdullah Bozkurt, an exiled Turkish journalist and a vocal critic of Erdoğan’s government, faced targeted harassment and a failed abduction attempt in Sweden. While Bozkurt managed to avoid being forcibly taken, the case sheds light on Turkey's ongoing transnational repression, which also includes attempts to silence critical voices abroad. Turkey has used tools such as Interpol Red Notices to issue politically motivated arrest warrants for dissidents like Bozkurt, effectively weaponizing international law enforcement agencies to extend its repression across borders.</w:t>
      </w:r>
    </w:p>
    <w:p w14:paraId="7BC6B115" w14:textId="77777777" w:rsidR="00EE1734" w:rsidRPr="00EE1734" w:rsidRDefault="00EE1734" w:rsidP="00EE1734">
      <w:pPr>
        <w:spacing w:line="259" w:lineRule="auto"/>
      </w:pPr>
      <w:r w:rsidRPr="00EE1734">
        <w:t xml:space="preserve">These examples are not isolated incidents but are part of a broader strategy by the Turkish government to suppress opposition beyond its borders. By targeting those affiliated with the </w:t>
      </w:r>
      <w:proofErr w:type="spellStart"/>
      <w:r w:rsidRPr="00EE1734">
        <w:t>Hizmet</w:t>
      </w:r>
      <w:proofErr w:type="spellEnd"/>
      <w:r w:rsidRPr="00EE1734">
        <w:t xml:space="preserve"> Movement, journalists, and human rights defenders, Turkey has created a climate of fear among its diaspora, many of whom now live under the threat of abduction and forced return.</w:t>
      </w:r>
    </w:p>
    <w:p w14:paraId="10847A7A" w14:textId="77777777" w:rsidR="00EE1734" w:rsidRPr="00EE1734" w:rsidRDefault="00EE1734" w:rsidP="00EE1734">
      <w:pPr>
        <w:spacing w:line="259" w:lineRule="auto"/>
      </w:pPr>
      <w:r w:rsidRPr="00EE1734">
        <w:t xml:space="preserve">International bodies, including the European Court of Human Rights (ECtHR), the United Nations Working Group on Arbitrary Detention, and the Committee against Torture, have consistently condemned Turkey’s actions. For instance, in the case of Yüksel Yalçınkaya v. Turkey, the ECtHR ruled that Turkey's use of evidence, such as the </w:t>
      </w:r>
      <w:proofErr w:type="spellStart"/>
      <w:r w:rsidRPr="00EE1734">
        <w:t>ByLock</w:t>
      </w:r>
      <w:proofErr w:type="spellEnd"/>
      <w:r w:rsidRPr="00EE1734">
        <w:t xml:space="preserve"> messaging app, to convict individuals of terrorism lacked legal basis and violated fair trial standards. Despite these rulings, Turkey continues its campaign, asserting unfounded claims of terrorism while disregarding international norms and legal protections.</w:t>
      </w:r>
    </w:p>
    <w:p w14:paraId="455B59EF" w14:textId="77777777" w:rsidR="00EE1734" w:rsidRPr="00EE1734" w:rsidRDefault="00EE1734" w:rsidP="00EE1734">
      <w:pPr>
        <w:spacing w:line="259" w:lineRule="auto"/>
      </w:pPr>
      <w:r w:rsidRPr="00EE1734">
        <w:t xml:space="preserve">These abductions, renditions, and forced returns clearly violate fundamental human rights principles, including the prohibition of torture, the right to a fair trial, and the protection from arbitrary detention. Turkey's </w:t>
      </w:r>
      <w:proofErr w:type="spellStart"/>
      <w:r w:rsidRPr="00EE1734">
        <w:t>defense</w:t>
      </w:r>
      <w:proofErr w:type="spellEnd"/>
      <w:r w:rsidRPr="00EE1734">
        <w:t xml:space="preserve">, claiming that international mechanisms are being misused, is clearly unfounded. The </w:t>
      </w:r>
      <w:r w:rsidRPr="00EE1734">
        <w:lastRenderedPageBreak/>
        <w:t>overwhelming evidence of systematic abuse, corroborated by credible international organizations and legal bodies, proves that Turkey's actions are deliberate violations of international law.</w:t>
      </w:r>
    </w:p>
    <w:p w14:paraId="5C9607D4" w14:textId="77777777" w:rsidR="00EE1734" w:rsidRPr="00EE1734" w:rsidRDefault="00EE1734" w:rsidP="00EE1734">
      <w:pPr>
        <w:spacing w:line="259" w:lineRule="auto"/>
      </w:pPr>
      <w:r w:rsidRPr="00EE1734">
        <w:t xml:space="preserve">Moreover, by using transnational repression methods such as Interpol Red Notices, asset freeze decisions, and wanted lists, it is the state party that is intentionally abusing international systems designed to fight terrorism. These mechanisms, intended to combat real threats, are being weaponized by Turkey to target political dissidents, exiles, and human rights defenders under the guise of </w:t>
      </w:r>
      <w:proofErr w:type="gramStart"/>
      <w:r w:rsidRPr="00EE1734">
        <w:t>counter-terrorism</w:t>
      </w:r>
      <w:proofErr w:type="gramEnd"/>
      <w:r w:rsidRPr="00EE1734">
        <w:t>. This clear manipulation of international systems demonstrates that it is not the victims or their advocates who are abusing international mechanisms, but rather Turkey itself that is misusing these tools to further its repressive agenda.</w:t>
      </w:r>
    </w:p>
    <w:p w14:paraId="55F6D806" w14:textId="79CA310C" w:rsidR="00147BA9" w:rsidRPr="00A34829" w:rsidRDefault="00147BA9" w:rsidP="00147BA9">
      <w:pPr>
        <w:pStyle w:val="Heading3"/>
        <w:rPr>
          <w:lang w:val="en-GB"/>
        </w:rPr>
      </w:pPr>
      <w:bookmarkStart w:id="7" w:name="_Toc177387346"/>
      <w:r w:rsidRPr="00A34829">
        <w:rPr>
          <w:lang w:val="en-GB"/>
        </w:rPr>
        <w:t>Concerns</w:t>
      </w:r>
      <w:bookmarkEnd w:id="7"/>
    </w:p>
    <w:p w14:paraId="31C91D3E" w14:textId="72F7818B" w:rsidR="00305E8D" w:rsidRPr="00A34829" w:rsidRDefault="00305E8D" w:rsidP="00305E8D">
      <w:pPr>
        <w:pStyle w:val="ListParagraph"/>
        <w:numPr>
          <w:ilvl w:val="0"/>
          <w:numId w:val="39"/>
        </w:numPr>
      </w:pPr>
      <w:r w:rsidRPr="00A34829">
        <w:t xml:space="preserve">Solidarity With OTHERS has the concern that Turkey’s use of enforced disappearances since the 2016 coup attempt violates international human </w:t>
      </w:r>
      <w:proofErr w:type="gramStart"/>
      <w:r w:rsidRPr="00A34829">
        <w:t>rights law, and</w:t>
      </w:r>
      <w:proofErr w:type="gramEnd"/>
      <w:r w:rsidRPr="00A34829">
        <w:t xml:space="preserve"> demands that the Turkish government immediately cease this practice and ensure accountability for those responsible.</w:t>
      </w:r>
    </w:p>
    <w:p w14:paraId="0B73A965" w14:textId="55D4FE07" w:rsidR="00305E8D" w:rsidRPr="00A34829" w:rsidRDefault="00305E8D" w:rsidP="00305E8D">
      <w:pPr>
        <w:pStyle w:val="ListParagraph"/>
        <w:numPr>
          <w:ilvl w:val="0"/>
          <w:numId w:val="39"/>
        </w:numPr>
      </w:pPr>
      <w:r w:rsidRPr="00A34829">
        <w:t xml:space="preserve">Solidarity With OTHERS has the concern that Turkey is engaging in illegal extraterritorial abductions, disregarding legal extradition processes, and demands that all abducted individuals be immediately </w:t>
      </w:r>
      <w:proofErr w:type="gramStart"/>
      <w:r w:rsidRPr="00A34829">
        <w:t>released</w:t>
      </w:r>
      <w:proofErr w:type="gramEnd"/>
      <w:r w:rsidRPr="00A34829">
        <w:t xml:space="preserve"> and that Turkey halt such operations abroad.</w:t>
      </w:r>
    </w:p>
    <w:p w14:paraId="304F008A" w14:textId="0B26D71D" w:rsidR="0093282F" w:rsidRPr="005E07E9" w:rsidRDefault="00305E8D" w:rsidP="0093282F">
      <w:pPr>
        <w:pStyle w:val="ListParagraph"/>
        <w:numPr>
          <w:ilvl w:val="0"/>
          <w:numId w:val="39"/>
        </w:numPr>
      </w:pPr>
      <w:r w:rsidRPr="00A34829">
        <w:t xml:space="preserve">Solidarity With OTHERS has the concern that Turkey is abusing international mechanisms like Interpol Red Notices and asset freezes to target political </w:t>
      </w:r>
      <w:proofErr w:type="gramStart"/>
      <w:r w:rsidRPr="00A34829">
        <w:t>dissidents, and</w:t>
      </w:r>
      <w:proofErr w:type="gramEnd"/>
      <w:r w:rsidRPr="00A34829">
        <w:t xml:space="preserve"> demands that international bodies investigate and prevent the misuse of these tools for political repression.</w:t>
      </w:r>
    </w:p>
    <w:p w14:paraId="474178D7" w14:textId="1DA1B6AE" w:rsidR="005B126A" w:rsidRDefault="00190F67" w:rsidP="00190F67">
      <w:pPr>
        <w:pStyle w:val="Heading2"/>
        <w:rPr>
          <w:lang w:val="en-GB"/>
        </w:rPr>
      </w:pPr>
      <w:bookmarkStart w:id="8" w:name="_Toc177387347"/>
      <w:r w:rsidRPr="00190F67">
        <w:rPr>
          <w:lang w:val="en-GB"/>
        </w:rPr>
        <w:t>Non-discrimination (arts. 2, 3, 6, 25 and 26)</w:t>
      </w:r>
      <w:bookmarkEnd w:id="8"/>
    </w:p>
    <w:p w14:paraId="7CD18F12" w14:textId="77777777" w:rsidR="00190F67" w:rsidRDefault="00190F67" w:rsidP="00190F67">
      <w:pPr>
        <w:pStyle w:val="Heading3"/>
        <w:rPr>
          <w:lang w:val="en-GB"/>
        </w:rPr>
      </w:pPr>
      <w:bookmarkStart w:id="9" w:name="_Toc177387348"/>
      <w:r>
        <w:rPr>
          <w:lang w:val="en-GB"/>
        </w:rPr>
        <w:t>Elaboration on State Party’s responses to LOIPR</w:t>
      </w:r>
      <w:bookmarkEnd w:id="9"/>
    </w:p>
    <w:p w14:paraId="7F629562" w14:textId="01F1849F" w:rsidR="00D11F14" w:rsidRPr="00D11F14" w:rsidRDefault="00D11F14" w:rsidP="00D11F14">
      <w:r w:rsidRPr="00D11F14">
        <w:rPr>
          <w:lang w:val="en-GB"/>
        </w:rPr>
        <w:t xml:space="preserve">In para 3 of the LIOPR, </w:t>
      </w:r>
      <w:r w:rsidRPr="00D11F14">
        <w:t>the state party is requested to provide information on:</w:t>
      </w:r>
    </w:p>
    <w:p w14:paraId="1DEFDD17" w14:textId="527576FC" w:rsidR="00D11F14" w:rsidRPr="00D11F14" w:rsidRDefault="00D11F14" w:rsidP="00D11F14">
      <w:pPr>
        <w:pStyle w:val="ListParagraph"/>
        <w:numPr>
          <w:ilvl w:val="0"/>
          <w:numId w:val="36"/>
        </w:numPr>
      </w:pPr>
      <w:r w:rsidRPr="00D11F14">
        <w:t>Measures to curb hate speech by individuals, media, and political figures, particularly targeting groups like ethnic Kurds or people based on their sexual orientation or gender identity.</w:t>
      </w:r>
    </w:p>
    <w:p w14:paraId="67E512DE" w14:textId="41E07DA8" w:rsidR="00305E8D" w:rsidRPr="00305E8D" w:rsidRDefault="00D11F14" w:rsidP="00190F67">
      <w:pPr>
        <w:pStyle w:val="ListParagraph"/>
        <w:numPr>
          <w:ilvl w:val="0"/>
          <w:numId w:val="36"/>
        </w:numPr>
        <w:rPr>
          <w:lang w:val="en-GB"/>
        </w:rPr>
      </w:pPr>
      <w:r w:rsidRPr="00D11F14">
        <w:t>Actions taken to address hate crimes, including potential reforms of the Criminal Code to make discriminatory motives aggravating factors in violent acts</w:t>
      </w:r>
    </w:p>
    <w:p w14:paraId="1A3C9898" w14:textId="0F20C174" w:rsidR="003A317B" w:rsidRPr="0049268A" w:rsidRDefault="00305E8D" w:rsidP="003A317B">
      <w:pPr>
        <w:rPr>
          <w:lang w:val="en-GB"/>
        </w:rPr>
      </w:pPr>
      <w:r>
        <w:rPr>
          <w:lang w:val="en-GB"/>
        </w:rPr>
        <w:t xml:space="preserve">State Party doesn’t regard the hate speech targeting </w:t>
      </w:r>
      <w:r w:rsidR="003A317B">
        <w:rPr>
          <w:lang w:val="en-GB"/>
        </w:rPr>
        <w:t>Gülen movement followers and their relatives.</w:t>
      </w:r>
      <w:r w:rsidR="0049268A">
        <w:rPr>
          <w:lang w:val="en-GB"/>
        </w:rPr>
        <w:t xml:space="preserve"> </w:t>
      </w:r>
      <w:r w:rsidR="003A317B" w:rsidRPr="003A317B">
        <w:rPr>
          <w:lang w:val="en-US"/>
        </w:rPr>
        <w:t>Reports from organizations like Human Rights Watch</w:t>
      </w:r>
      <w:r w:rsidR="003A317B" w:rsidRPr="003A317B">
        <w:rPr>
          <w:vertAlign w:val="superscript"/>
          <w:lang w:val="en-US"/>
        </w:rPr>
        <w:footnoteReference w:id="15"/>
      </w:r>
      <w:r w:rsidR="003A317B" w:rsidRPr="003A317B">
        <w:rPr>
          <w:lang w:val="en-US"/>
        </w:rPr>
        <w:t xml:space="preserve"> and </w:t>
      </w:r>
      <w:r w:rsidR="003A317B" w:rsidRPr="003A317B">
        <w:rPr>
          <w:lang w:val="en-US"/>
        </w:rPr>
        <w:lastRenderedPageBreak/>
        <w:t>Amnesty International</w:t>
      </w:r>
      <w:r w:rsidR="003A317B" w:rsidRPr="003A317B">
        <w:rPr>
          <w:vertAlign w:val="superscript"/>
          <w:lang w:val="en-US"/>
        </w:rPr>
        <w:footnoteReference w:id="16"/>
      </w:r>
      <w:r w:rsidR="003A317B" w:rsidRPr="003A317B">
        <w:rPr>
          <w:lang w:val="en-US"/>
        </w:rPr>
        <w:t xml:space="preserve"> indicate a troubling correlation between the prevalence of hate speech and the rise in instances of torture and ill-treatment. Political leaders have often used incendiary language to delegitimize and demonize the group, which has been echoed and amplified by both state-controlled and independent media. The impact of hate speech extends beyond mere words; it actively contributes to systemic human rights abuses</w:t>
      </w:r>
      <w:r w:rsidR="003A317B" w:rsidRPr="003A317B">
        <w:rPr>
          <w:vertAlign w:val="superscript"/>
          <w:lang w:val="en-US"/>
        </w:rPr>
        <w:footnoteReference w:id="17"/>
      </w:r>
      <w:r w:rsidR="003A317B" w:rsidRPr="003A317B">
        <w:rPr>
          <w:lang w:val="en-US"/>
        </w:rPr>
        <w:t>. As highlighted by the United Nations' strategic frameworks</w:t>
      </w:r>
      <w:r w:rsidR="003A317B" w:rsidRPr="003A317B">
        <w:rPr>
          <w:vertAlign w:val="superscript"/>
          <w:lang w:val="en-US"/>
        </w:rPr>
        <w:footnoteReference w:id="18"/>
      </w:r>
      <w:r w:rsidR="003A317B" w:rsidRPr="003A317B">
        <w:rPr>
          <w:lang w:val="en-US"/>
        </w:rPr>
        <w:t xml:space="preserve">, hate speech is a precursor to more severe forms of violence, including torture. </w:t>
      </w:r>
    </w:p>
    <w:p w14:paraId="7D619540" w14:textId="2A2BE2C3" w:rsidR="003A317B" w:rsidRPr="003A317B" w:rsidRDefault="003A317B" w:rsidP="003A317B">
      <w:pPr>
        <w:rPr>
          <w:lang w:val="en-US"/>
        </w:rPr>
      </w:pPr>
      <w:r w:rsidRPr="003A317B">
        <w:rPr>
          <w:lang w:val="en-US"/>
        </w:rPr>
        <w:t>The Turkish government's crackdown on the Gülen movement indeed exemplifies many stages of the Pyramid of Hate</w:t>
      </w:r>
      <w:r w:rsidRPr="003A317B">
        <w:rPr>
          <w:vertAlign w:val="superscript"/>
          <w:lang w:val="en-US"/>
        </w:rPr>
        <w:footnoteReference w:id="19"/>
      </w:r>
      <w:r w:rsidRPr="003A317B">
        <w:rPr>
          <w:lang w:val="en-US"/>
        </w:rPr>
        <w:t>, an analytical framework developed by the Anti-Defamation League (ADL) to describe escalating levels of hate incidents. Since the failed coup attempt in July 2016, the Turkish government, led by President Recep Tayyip Erdoğan, has targeted the Gülen movement extensively, leading to severe human rights violations that closely align with the steps of the Pyramid of Hate.</w:t>
      </w:r>
    </w:p>
    <w:p w14:paraId="41CE1EC6" w14:textId="57DD0738" w:rsidR="003A317B" w:rsidRPr="003A317B" w:rsidRDefault="003A317B" w:rsidP="003A317B">
      <w:pPr>
        <w:rPr>
          <w:lang w:val="en-US"/>
        </w:rPr>
      </w:pPr>
      <w:r w:rsidRPr="003A317B">
        <w:rPr>
          <w:lang w:val="en-US"/>
        </w:rPr>
        <w:t>At the base level, the crackdown began with widespread bias and stereotyping, branding the movement as a terrorist organization and its members as traitors. This initial phase involved an extensive media campaign orchestrated by the Turkish government</w:t>
      </w:r>
      <w:r w:rsidRPr="003A317B">
        <w:rPr>
          <w:vertAlign w:val="superscript"/>
          <w:lang w:val="en-US"/>
        </w:rPr>
        <w:footnoteReference w:id="20"/>
      </w:r>
      <w:r w:rsidRPr="003A317B">
        <w:rPr>
          <w:lang w:val="en-US"/>
        </w:rPr>
        <w:t>, which painted the members of Gülen movement as the architects of the failed coup attempt in July 2016. This campaign effectively dehumanized members of the movement, fostering a societal narrative that justified subsequent hate crimes and discriminatory actions. Public statements from government officials and pro-government media labeled Gülen movement supporters as "enemies of the state" and "terrorists" under ‘’</w:t>
      </w:r>
      <w:r w:rsidRPr="003A317B">
        <w:rPr>
          <w:lang w:val="tr-TR"/>
        </w:rPr>
        <w:t>FETÖ’’</w:t>
      </w:r>
      <w:r w:rsidRPr="003A317B">
        <w:rPr>
          <w:vertAlign w:val="superscript"/>
          <w:lang w:val="tr-TR"/>
        </w:rPr>
        <w:footnoteReference w:id="21"/>
      </w:r>
      <w:r w:rsidRPr="003A317B">
        <w:rPr>
          <w:lang w:val="tr-TR"/>
        </w:rPr>
        <w:t xml:space="preserve"> </w:t>
      </w:r>
      <w:proofErr w:type="spellStart"/>
      <w:r w:rsidRPr="003A317B">
        <w:rPr>
          <w:lang w:val="tr-TR"/>
        </w:rPr>
        <w:t>label</w:t>
      </w:r>
      <w:proofErr w:type="spellEnd"/>
      <w:r w:rsidRPr="003A317B">
        <w:rPr>
          <w:lang w:val="en-US"/>
        </w:rPr>
        <w:t xml:space="preserve"> creating a </w:t>
      </w:r>
      <w:r w:rsidRPr="003A317B">
        <w:rPr>
          <w:lang w:val="en-US"/>
        </w:rPr>
        <w:lastRenderedPageBreak/>
        <w:t>hostile environment that paved the way for mass arrests</w:t>
      </w:r>
      <w:r w:rsidRPr="003A317B">
        <w:rPr>
          <w:vertAlign w:val="superscript"/>
          <w:lang w:val="en-US"/>
        </w:rPr>
        <w:footnoteReference w:id="22"/>
      </w:r>
      <w:r w:rsidRPr="003A317B">
        <w:rPr>
          <w:lang w:val="en-US"/>
        </w:rPr>
        <w:t>, job dismissals</w:t>
      </w:r>
      <w:r w:rsidRPr="003A317B">
        <w:rPr>
          <w:vertAlign w:val="superscript"/>
          <w:lang w:val="en-US"/>
        </w:rPr>
        <w:footnoteReference w:id="23"/>
      </w:r>
      <w:r w:rsidRPr="003A317B">
        <w:rPr>
          <w:lang w:val="en-US"/>
        </w:rPr>
        <w:t>, and social ostracization of those affiliated with the movement. Such rhetoric not only intensified public animosity but also legitimized severe human rights violations under the guise of national security.</w:t>
      </w:r>
    </w:p>
    <w:p w14:paraId="7F5F5860" w14:textId="556AD2EC" w:rsidR="003A317B" w:rsidRPr="003A317B" w:rsidRDefault="003A317B" w:rsidP="003A317B">
      <w:pPr>
        <w:rPr>
          <w:lang w:val="en-US"/>
        </w:rPr>
      </w:pPr>
      <w:r w:rsidRPr="003A317B">
        <w:rPr>
          <w:lang w:val="en-US"/>
        </w:rPr>
        <w:t>Furthermore, the direct connection between hate speech and torture is also evident in the psychological impact on victims and their communities</w:t>
      </w:r>
      <w:r w:rsidRPr="003A317B">
        <w:rPr>
          <w:vertAlign w:val="superscript"/>
          <w:lang w:val="en-US"/>
        </w:rPr>
        <w:footnoteReference w:id="24"/>
      </w:r>
      <w:r w:rsidRPr="003A317B">
        <w:rPr>
          <w:lang w:val="en-US"/>
        </w:rPr>
        <w:t>. The stress and fear generated by hate speech create an environment where individuals are more likely to experience and report mental health issues, further exacerbating their vulnerability.</w:t>
      </w:r>
      <w:r w:rsidRPr="003A317B">
        <w:rPr>
          <w:vertAlign w:val="superscript"/>
          <w:lang w:val="en-US"/>
        </w:rPr>
        <w:footnoteReference w:id="25"/>
      </w:r>
      <w:r w:rsidRPr="003A317B">
        <w:rPr>
          <w:lang w:val="en-US"/>
        </w:rPr>
        <w:t xml:space="preserve"> This psychological toll is compounded by the physical risks, creating a comprehensive environment of torture that permeates the daily lives of targeted community. Addressing hate speech, therefore, is not only about preventing physical acts of violence but also about safeguarding the mental well-being and human dignity of all individuals.</w:t>
      </w:r>
    </w:p>
    <w:p w14:paraId="54FC53FC" w14:textId="7E2A90EE" w:rsidR="003A317B" w:rsidRPr="003A317B" w:rsidRDefault="003A317B" w:rsidP="003A317B">
      <w:pPr>
        <w:rPr>
          <w:lang w:val="en-US"/>
        </w:rPr>
      </w:pPr>
      <w:r w:rsidRPr="003A317B">
        <w:rPr>
          <w:lang w:val="en-US"/>
        </w:rPr>
        <w:t>The next level, acts of violence, became evident through documented cases of torture, inhumane treatment, and enforced disappearances. Many detainees reported severe mistreatment, including</w:t>
      </w:r>
      <w:r>
        <w:rPr>
          <w:lang w:val="en-US"/>
        </w:rPr>
        <w:t xml:space="preserve"> </w:t>
      </w:r>
      <w:r w:rsidRPr="003A317B">
        <w:rPr>
          <w:lang w:val="en-US"/>
        </w:rPr>
        <w:t>beatings, electroshock, and threats of sexual violence</w:t>
      </w:r>
      <w:r w:rsidRPr="003A317B">
        <w:rPr>
          <w:vertAlign w:val="superscript"/>
          <w:lang w:val="en-US"/>
        </w:rPr>
        <w:footnoteReference w:id="26"/>
      </w:r>
      <w:r w:rsidRPr="003A317B">
        <w:rPr>
          <w:lang w:val="en-US"/>
        </w:rPr>
        <w:t>. The escalation continued with violence against individuals such as arbitrary arrests and extrajudicial killings. Notably, the state has also engaged in transnational repression, abducting and forcibly returning Gülen supporters from other countries</w:t>
      </w:r>
      <w:r w:rsidRPr="003A317B">
        <w:rPr>
          <w:vertAlign w:val="superscript"/>
          <w:lang w:val="en-US"/>
        </w:rPr>
        <w:footnoteReference w:id="27"/>
      </w:r>
      <w:r w:rsidRPr="003A317B">
        <w:rPr>
          <w:lang w:val="en-US"/>
        </w:rPr>
        <w:t>.</w:t>
      </w:r>
    </w:p>
    <w:p w14:paraId="7213C5E8" w14:textId="1DD9E246" w:rsidR="003A317B" w:rsidRPr="003A317B" w:rsidRDefault="003A317B" w:rsidP="003A317B">
      <w:pPr>
        <w:rPr>
          <w:lang w:val="en-US"/>
        </w:rPr>
      </w:pPr>
      <w:r w:rsidRPr="003A317B">
        <w:rPr>
          <w:lang w:val="en-US"/>
        </w:rPr>
        <w:lastRenderedPageBreak/>
        <w:t>While it cannot be categorized as a genocide in the traditional sense, some experts argue that the systematic persecution and efforts to eradicate the movement's presence constitute a form of "social genocide."</w:t>
      </w:r>
      <w:r w:rsidRPr="003A317B">
        <w:rPr>
          <w:vertAlign w:val="superscript"/>
          <w:lang w:val="en-US"/>
        </w:rPr>
        <w:footnoteReference w:id="28"/>
      </w:r>
    </w:p>
    <w:p w14:paraId="7283823D" w14:textId="09DCE79C" w:rsidR="003A317B" w:rsidRPr="0049268A" w:rsidRDefault="003A317B" w:rsidP="0049268A">
      <w:pPr>
        <w:rPr>
          <w:b/>
          <w:bCs/>
          <w:lang w:val="en-US"/>
        </w:rPr>
      </w:pPr>
      <w:bookmarkStart w:id="10" w:name="_Toc168473466"/>
      <w:r w:rsidRPr="0049268A">
        <w:rPr>
          <w:b/>
          <w:bCs/>
          <w:lang w:val="en-US"/>
        </w:rPr>
        <w:t>‘FETÖ’ Hate Speech</w:t>
      </w:r>
      <w:bookmarkEnd w:id="10"/>
    </w:p>
    <w:p w14:paraId="36D628D8" w14:textId="1F65D245" w:rsidR="003A317B" w:rsidRPr="003A317B" w:rsidRDefault="003A317B" w:rsidP="003A317B">
      <w:pPr>
        <w:rPr>
          <w:lang w:val="en-US"/>
        </w:rPr>
      </w:pPr>
      <w:r w:rsidRPr="003A317B">
        <w:rPr>
          <w:lang w:val="en-US"/>
        </w:rPr>
        <w:t>The use of the term "</w:t>
      </w:r>
      <w:proofErr w:type="spellStart"/>
      <w:r w:rsidRPr="003A317B">
        <w:rPr>
          <w:lang w:val="en-US"/>
        </w:rPr>
        <w:t>Fetö</w:t>
      </w:r>
      <w:proofErr w:type="spellEnd"/>
      <w:r w:rsidRPr="003A317B">
        <w:rPr>
          <w:lang w:val="en-US"/>
        </w:rPr>
        <w:t>" to refer to the Gulen movement should be considered hate speech because it is a highly negative and pejorative term that demonizes the movement and its members. The term is used as an abbreviation of "</w:t>
      </w:r>
      <w:proofErr w:type="spellStart"/>
      <w:r w:rsidRPr="003A317B">
        <w:rPr>
          <w:lang w:val="en-US"/>
        </w:rPr>
        <w:t>Fethullahist</w:t>
      </w:r>
      <w:proofErr w:type="spellEnd"/>
      <w:r w:rsidRPr="003A317B">
        <w:rPr>
          <w:lang w:val="en-US"/>
        </w:rPr>
        <w:t xml:space="preserve"> Terrorist Organization," and implies that the movement is a criminal and violent organization. </w:t>
      </w:r>
    </w:p>
    <w:p w14:paraId="6A812E32" w14:textId="1EC6990A" w:rsidR="003A317B" w:rsidRPr="003A317B" w:rsidRDefault="003A317B" w:rsidP="003A317B">
      <w:pPr>
        <w:rPr>
          <w:lang w:val="en-US"/>
        </w:rPr>
      </w:pPr>
      <w:r w:rsidRPr="003A317B">
        <w:rPr>
          <w:lang w:val="en-US"/>
        </w:rPr>
        <w:t>On the other hand, in the context of the ongoing human rights violations and restriction of freedom of expression in Türkiye, it is important to note that the term "</w:t>
      </w:r>
      <w:proofErr w:type="spellStart"/>
      <w:r w:rsidRPr="003A317B">
        <w:rPr>
          <w:lang w:val="en-US"/>
        </w:rPr>
        <w:t>Fetö</w:t>
      </w:r>
      <w:proofErr w:type="spellEnd"/>
      <w:r w:rsidRPr="003A317B">
        <w:rPr>
          <w:lang w:val="en-US"/>
        </w:rPr>
        <w:t xml:space="preserve">" which is used to describe the Gülen movement, is not a legal and legitimate term used by courts to describe an alleged terrorist organization. This term has turned into a hate speech used in all areas of life, including political debates, personal feuds, and even in daily conversations. It has been weaponized by the government and its supporters to silence dissent, justify repression and discrimination against individuals and groups who are perceived to be associated with the movement. The use of this term has resulted in the stigmatization of individuals and groups and has led to serious human rights violations. The UN should take this into consideration when assessing the situation in Türkiye. </w:t>
      </w:r>
    </w:p>
    <w:p w14:paraId="78D620E2" w14:textId="77777777" w:rsidR="003A317B" w:rsidRPr="003A317B" w:rsidRDefault="003A317B" w:rsidP="003A317B">
      <w:pPr>
        <w:rPr>
          <w:lang w:val="en-US"/>
        </w:rPr>
      </w:pPr>
      <w:r w:rsidRPr="003A317B">
        <w:rPr>
          <w:lang w:val="en-US"/>
        </w:rPr>
        <w:t>Furthermore, the use of the term "</w:t>
      </w:r>
      <w:proofErr w:type="spellStart"/>
      <w:r w:rsidRPr="003A317B">
        <w:rPr>
          <w:lang w:val="en-US"/>
        </w:rPr>
        <w:t>Fetö</w:t>
      </w:r>
      <w:proofErr w:type="spellEnd"/>
      <w:r w:rsidRPr="003A317B">
        <w:rPr>
          <w:lang w:val="en-US"/>
        </w:rPr>
        <w:t>" has been weaponized as a tool for hate speech, being used to justify discrimination, stigmatization and violence against individuals and groups associated with the movement. This has led to a climate of fear, censorship and repression, and has had a detrimental impact on the enjoyment of human rights, including the rights to freedom of expression, peaceful assembly, and association.</w:t>
      </w:r>
    </w:p>
    <w:p w14:paraId="4343FC75" w14:textId="2040675A" w:rsidR="003A317B" w:rsidRPr="003A317B" w:rsidRDefault="003A317B" w:rsidP="003A317B">
      <w:pPr>
        <w:rPr>
          <w:lang w:val="en-US"/>
        </w:rPr>
      </w:pPr>
      <w:r w:rsidRPr="003A317B">
        <w:rPr>
          <w:lang w:val="en-US"/>
        </w:rPr>
        <w:t>In addition, the use of the term "</w:t>
      </w:r>
      <w:proofErr w:type="spellStart"/>
      <w:r w:rsidRPr="003A317B">
        <w:rPr>
          <w:lang w:val="en-US"/>
        </w:rPr>
        <w:t>Fetö</w:t>
      </w:r>
      <w:proofErr w:type="spellEnd"/>
      <w:r w:rsidRPr="003A317B">
        <w:rPr>
          <w:lang w:val="en-US"/>
        </w:rPr>
        <w:t>" has been used to justify the violation of the rights of the families of those targeted, including the right to education, work, and property, and has led to the forced displacement of many individuals and families. As noted in the Northern Justice Watch report</w:t>
      </w:r>
      <w:r w:rsidRPr="003A317B">
        <w:rPr>
          <w:vertAlign w:val="superscript"/>
          <w:lang w:val="en-US"/>
        </w:rPr>
        <w:footnoteReference w:id="29"/>
      </w:r>
      <w:r w:rsidRPr="003A317B">
        <w:rPr>
          <w:lang w:val="en-US"/>
        </w:rPr>
        <w:t xml:space="preserve">, this stigmatization has extended beyond Türkiye, affecting the diaspora in countries like Canada, where individuals associated with the </w:t>
      </w:r>
      <w:proofErr w:type="spellStart"/>
      <w:r w:rsidRPr="003A317B">
        <w:rPr>
          <w:lang w:val="en-US"/>
        </w:rPr>
        <w:t>Hizmet</w:t>
      </w:r>
      <w:proofErr w:type="spellEnd"/>
      <w:r w:rsidRPr="003A317B">
        <w:rPr>
          <w:lang w:val="en-US"/>
        </w:rPr>
        <w:t xml:space="preserve"> movement have faced discrimination and social </w:t>
      </w:r>
      <w:r w:rsidRPr="003A317B">
        <w:rPr>
          <w:lang w:val="en-US"/>
        </w:rPr>
        <w:lastRenderedPageBreak/>
        <w:t>ostracism. This international dimension of hate speech underscores the widespread and damaging effects of the "</w:t>
      </w:r>
      <w:proofErr w:type="spellStart"/>
      <w:r w:rsidRPr="003A317B">
        <w:rPr>
          <w:lang w:val="en-US"/>
        </w:rPr>
        <w:t>Fetö</w:t>
      </w:r>
      <w:proofErr w:type="spellEnd"/>
      <w:r w:rsidRPr="003A317B">
        <w:rPr>
          <w:lang w:val="en-US"/>
        </w:rPr>
        <w:t>" label.</w:t>
      </w:r>
    </w:p>
    <w:p w14:paraId="2C4F0C02" w14:textId="7967D21B" w:rsidR="003A317B" w:rsidRPr="0049268A" w:rsidRDefault="003A317B" w:rsidP="0049268A">
      <w:pPr>
        <w:rPr>
          <w:b/>
          <w:bCs/>
          <w:lang w:val="en-US"/>
        </w:rPr>
      </w:pPr>
      <w:bookmarkStart w:id="11" w:name="_Toc168473468"/>
      <w:r w:rsidRPr="0049268A">
        <w:rPr>
          <w:b/>
          <w:bCs/>
          <w:lang w:val="en-US"/>
        </w:rPr>
        <w:t>Hate Campaigns Originating from Politics</w:t>
      </w:r>
      <w:bookmarkEnd w:id="11"/>
    </w:p>
    <w:p w14:paraId="77720048" w14:textId="4735E1B0" w:rsidR="003A317B" w:rsidRPr="003A317B" w:rsidRDefault="003A317B" w:rsidP="003A317B">
      <w:pPr>
        <w:rPr>
          <w:lang w:val="en-US"/>
        </w:rPr>
      </w:pPr>
      <w:r w:rsidRPr="003A317B">
        <w:rPr>
          <w:lang w:val="en-US"/>
        </w:rPr>
        <w:t>The role of political leaders in perpetuating hate speech and fostering an environment of discrimination and violence in Türkiye between 2020 and 2024 has been significant. Both ruling and opposition party leaders have engaged in rhetoric that targets minority groups, particularly the Gulen movement, contributing to a culture of hostility and intolerance.</w:t>
      </w:r>
    </w:p>
    <w:p w14:paraId="6DE97568" w14:textId="524BF654" w:rsidR="003A317B" w:rsidRPr="003A317B" w:rsidRDefault="003A317B" w:rsidP="003A317B">
      <w:pPr>
        <w:rPr>
          <w:lang w:val="en-US"/>
        </w:rPr>
      </w:pPr>
      <w:r w:rsidRPr="003A317B">
        <w:rPr>
          <w:lang w:val="en-US"/>
        </w:rPr>
        <w:t>According to the Hrant Dink Foundation's "Hate Speech and Discrimination in the Turkish Media 2020" report</w:t>
      </w:r>
      <w:r w:rsidRPr="003A317B">
        <w:rPr>
          <w:vertAlign w:val="superscript"/>
          <w:lang w:val="en-US"/>
        </w:rPr>
        <w:footnoteReference w:id="30"/>
      </w:r>
      <w:r w:rsidRPr="003A317B">
        <w:rPr>
          <w:lang w:val="en-US"/>
        </w:rPr>
        <w:t>, political leaders frequently use derogatory and inflammatory language to describe these groups, framing them as threats to national security and social cohesion. This framing not only legitimizes but also encourages discriminatory and violent behaviors against these minorities.</w:t>
      </w:r>
    </w:p>
    <w:p w14:paraId="6745CF99" w14:textId="77777777" w:rsidR="0049268A" w:rsidRDefault="003A317B" w:rsidP="0049268A">
      <w:pPr>
        <w:rPr>
          <w:lang w:val="en-US"/>
        </w:rPr>
      </w:pPr>
      <w:r w:rsidRPr="003A317B">
        <w:rPr>
          <w:lang w:val="en-US"/>
        </w:rPr>
        <w:t>The Council of Europe has also raised concerns about the role of political leaders in spreading hate speech. In its 2022 "Annual Report of the Secretary General: State of Democracy, Human Rights, and the Rule of Law,"</w:t>
      </w:r>
      <w:r w:rsidRPr="003A317B">
        <w:rPr>
          <w:vertAlign w:val="superscript"/>
          <w:lang w:val="en-US"/>
        </w:rPr>
        <w:footnoteReference w:id="31"/>
      </w:r>
      <w:r w:rsidRPr="003A317B">
        <w:rPr>
          <w:lang w:val="en-US"/>
        </w:rPr>
        <w:t xml:space="preserve"> the Council emphasizes that political leaders in Türkiye have frequently used hate speech to stigmatize and demonize minority groups, creating an environment that fosters violence and discrimination.</w:t>
      </w:r>
    </w:p>
    <w:p w14:paraId="3CE6FEFA" w14:textId="4C865E6C" w:rsidR="003A317B" w:rsidRPr="0049268A" w:rsidRDefault="003A317B" w:rsidP="0049268A">
      <w:pPr>
        <w:rPr>
          <w:i/>
          <w:iCs/>
          <w:lang w:val="en-US"/>
        </w:rPr>
      </w:pPr>
      <w:bookmarkStart w:id="12" w:name="_Toc168473469"/>
      <w:r w:rsidRPr="0049268A">
        <w:rPr>
          <w:i/>
          <w:iCs/>
          <w:lang w:val="en-US"/>
        </w:rPr>
        <w:t>Examples of ‘FETÖ’ Hate Speech by Ruling and Opposition Party Leaders</w:t>
      </w:r>
      <w:bookmarkEnd w:id="12"/>
    </w:p>
    <w:p w14:paraId="4FB53423" w14:textId="77777777" w:rsidR="003A317B" w:rsidRPr="003A317B" w:rsidRDefault="003A317B" w:rsidP="003A317B">
      <w:pPr>
        <w:rPr>
          <w:lang w:val="en-US"/>
        </w:rPr>
      </w:pPr>
      <w:r w:rsidRPr="003A317B">
        <w:rPr>
          <w:lang w:val="en-US"/>
        </w:rPr>
        <w:t xml:space="preserve">While providing a comprehensive list of examples of ‘FETÖ’ hate speech in Türkiye exceeds the scope of this report, some examples of hate speech are presented below. </w:t>
      </w:r>
    </w:p>
    <w:p w14:paraId="11EE40F7" w14:textId="1211F8C9" w:rsidR="003A317B" w:rsidRPr="003A317B" w:rsidRDefault="003A317B" w:rsidP="003A317B">
      <w:pPr>
        <w:rPr>
          <w:lang w:val="fr-BE"/>
        </w:rPr>
      </w:pPr>
      <w:r w:rsidRPr="003A317B">
        <w:rPr>
          <w:lang w:val="en-US"/>
        </w:rPr>
        <w:t>On 1 October 2023</w:t>
      </w:r>
      <w:r w:rsidRPr="003A317B">
        <w:rPr>
          <w:vertAlign w:val="superscript"/>
          <w:lang w:val="en-US"/>
        </w:rPr>
        <w:footnoteReference w:id="32"/>
      </w:r>
      <w:r w:rsidRPr="003A317B">
        <w:rPr>
          <w:lang w:val="en-US"/>
        </w:rPr>
        <w:t xml:space="preserve">, Recep Tayyip Erdogan, President of The Republic of Türkiye, in his Grand Assembly Speech said that </w:t>
      </w:r>
      <w:r w:rsidRPr="003A317B">
        <w:rPr>
          <w:i/>
          <w:iCs/>
          <w:lang w:val="en-US"/>
        </w:rPr>
        <w:t>“FETÖ” scoundrels will not benefit from this decision</w:t>
      </w:r>
      <w:r w:rsidRPr="003A317B">
        <w:rPr>
          <w:lang w:val="en-US"/>
        </w:rPr>
        <w:t xml:space="preserve">-by referring to the Grand Chamber Yüksel </w:t>
      </w:r>
      <w:proofErr w:type="spellStart"/>
      <w:r w:rsidRPr="003A317B">
        <w:rPr>
          <w:lang w:val="en-US"/>
        </w:rPr>
        <w:t>Yalçinkaya</w:t>
      </w:r>
      <w:proofErr w:type="spellEnd"/>
      <w:r w:rsidRPr="003A317B">
        <w:rPr>
          <w:lang w:val="en-US"/>
        </w:rPr>
        <w:t xml:space="preserve"> v. Türkiye judgment of ECHR</w:t>
      </w:r>
      <w:r w:rsidRPr="003A317B">
        <w:rPr>
          <w:vertAlign w:val="superscript"/>
          <w:lang w:val="en-US"/>
        </w:rPr>
        <w:footnoteReference w:id="33"/>
      </w:r>
      <w:r w:rsidRPr="003A317B">
        <w:rPr>
          <w:lang w:val="en-US"/>
        </w:rPr>
        <w:t xml:space="preserve">. </w:t>
      </w:r>
      <w:r w:rsidRPr="003A317B">
        <w:rPr>
          <w:lang w:val="fr-BE"/>
        </w:rPr>
        <w:t>(</w:t>
      </w:r>
      <w:proofErr w:type="gramStart"/>
      <w:r w:rsidRPr="003A317B">
        <w:rPr>
          <w:lang w:val="fr-BE"/>
        </w:rPr>
        <w:t>source</w:t>
      </w:r>
      <w:proofErr w:type="gramEnd"/>
      <w:r w:rsidRPr="003A317B">
        <w:rPr>
          <w:lang w:val="fr-BE"/>
        </w:rPr>
        <w:t xml:space="preserve"> : </w:t>
      </w:r>
      <w:hyperlink r:id="rId12" w:history="1">
        <w:r w:rsidRPr="003A317B">
          <w:rPr>
            <w:rStyle w:val="Hyperlink"/>
            <w:lang w:val="fr-BE"/>
          </w:rPr>
          <w:t>https://www.youtube.com/live/CWvgtan_t0Q?si=qX3JZE4uo_zRdCVL&amp;t=3320</w:t>
        </w:r>
      </w:hyperlink>
      <w:r w:rsidRPr="003A317B">
        <w:rPr>
          <w:lang w:val="fr-BE"/>
        </w:rPr>
        <w:t xml:space="preserve"> )</w:t>
      </w:r>
    </w:p>
    <w:p w14:paraId="7C3F0BCF" w14:textId="77777777" w:rsidR="003A317B" w:rsidRPr="003A317B" w:rsidRDefault="003A317B" w:rsidP="003A317B">
      <w:pPr>
        <w:rPr>
          <w:lang w:val="en-US"/>
        </w:rPr>
      </w:pPr>
      <w:r w:rsidRPr="003A317B">
        <w:rPr>
          <w:lang w:val="en-US"/>
        </w:rPr>
        <w:lastRenderedPageBreak/>
        <w:t>On 26 April 2024</w:t>
      </w:r>
      <w:r w:rsidRPr="003A317B">
        <w:rPr>
          <w:vertAlign w:val="superscript"/>
          <w:lang w:val="en-US"/>
        </w:rPr>
        <w:footnoteReference w:id="34"/>
      </w:r>
      <w:r w:rsidRPr="003A317B">
        <w:rPr>
          <w:lang w:val="en-US"/>
        </w:rPr>
        <w:t xml:space="preserve">, Ali Yerlikaya, Minister of Interior, in his X post said that </w:t>
      </w:r>
      <w:r w:rsidRPr="003A317B">
        <w:rPr>
          <w:i/>
          <w:iCs/>
          <w:lang w:val="en-US"/>
        </w:rPr>
        <w:t>we will not tolerate ‘’FETÖ’’ members</w:t>
      </w:r>
      <w:r w:rsidRPr="003A317B">
        <w:rPr>
          <w:lang w:val="en-US"/>
        </w:rPr>
        <w:t xml:space="preserve">. </w:t>
      </w:r>
      <w:proofErr w:type="gramStart"/>
      <w:r w:rsidRPr="003A317B">
        <w:rPr>
          <w:lang w:val="en-US"/>
        </w:rPr>
        <w:t>( source</w:t>
      </w:r>
      <w:proofErr w:type="gramEnd"/>
      <w:r w:rsidRPr="003A317B">
        <w:rPr>
          <w:lang w:val="en-US"/>
        </w:rPr>
        <w:t xml:space="preserve"> : </w:t>
      </w:r>
      <w:hyperlink r:id="rId13" w:history="1">
        <w:r w:rsidRPr="003A317B">
          <w:rPr>
            <w:rStyle w:val="Hyperlink"/>
            <w:lang w:val="en-US"/>
          </w:rPr>
          <w:t>https://twitter.com/AliYerlikaya/status/1783029575976394804</w:t>
        </w:r>
      </w:hyperlink>
      <w:r w:rsidRPr="003A317B">
        <w:rPr>
          <w:lang w:val="en-US"/>
        </w:rPr>
        <w:t xml:space="preserve"> ) </w:t>
      </w:r>
    </w:p>
    <w:p w14:paraId="17460371" w14:textId="3EB53F57" w:rsidR="003A317B" w:rsidRPr="003A317B" w:rsidRDefault="003A317B" w:rsidP="0049268A">
      <w:pPr>
        <w:rPr>
          <w:lang w:val="en-US"/>
        </w:rPr>
      </w:pPr>
      <w:r w:rsidRPr="003A317B">
        <w:rPr>
          <w:lang w:val="en-US"/>
        </w:rPr>
        <w:t>On 17 December 2023</w:t>
      </w:r>
      <w:r w:rsidRPr="003A317B">
        <w:rPr>
          <w:vertAlign w:val="superscript"/>
          <w:lang w:val="en-US"/>
        </w:rPr>
        <w:footnoteReference w:id="35"/>
      </w:r>
      <w:r w:rsidRPr="003A317B">
        <w:rPr>
          <w:lang w:val="en-US"/>
        </w:rPr>
        <w:t>, Y</w:t>
      </w:r>
      <w:proofErr w:type="spellStart"/>
      <w:r w:rsidRPr="003A317B">
        <w:rPr>
          <w:lang w:val="tr-TR"/>
        </w:rPr>
        <w:t>ılmaz</w:t>
      </w:r>
      <w:proofErr w:type="spellEnd"/>
      <w:r w:rsidRPr="003A317B">
        <w:rPr>
          <w:lang w:val="tr-TR"/>
        </w:rPr>
        <w:t xml:space="preserve"> Tunç, </w:t>
      </w:r>
      <w:r w:rsidRPr="003A317B">
        <w:rPr>
          <w:lang w:val="en-US"/>
        </w:rPr>
        <w:t xml:space="preserve">Minister of Justice, in his statement said that </w:t>
      </w:r>
      <w:r w:rsidRPr="003A317B">
        <w:rPr>
          <w:i/>
          <w:iCs/>
          <w:lang w:val="en-US"/>
        </w:rPr>
        <w:t>December 17-25 was a treacherous coup attempt targeting the government and the national will by members of FETO, which has been insidiously nesting in our state</w:t>
      </w:r>
      <w:r w:rsidRPr="003A317B">
        <w:rPr>
          <w:lang w:val="en-US"/>
        </w:rPr>
        <w:t xml:space="preserve">. </w:t>
      </w:r>
      <w:proofErr w:type="gramStart"/>
      <w:r w:rsidRPr="003A317B">
        <w:rPr>
          <w:lang w:val="en-US"/>
        </w:rPr>
        <w:t>( source</w:t>
      </w:r>
      <w:proofErr w:type="gramEnd"/>
      <w:r w:rsidRPr="003A317B">
        <w:rPr>
          <w:lang w:val="en-US"/>
        </w:rPr>
        <w:t xml:space="preserve"> : </w:t>
      </w:r>
      <w:hyperlink r:id="rId14" w:history="1">
        <w:r w:rsidRPr="003A317B">
          <w:rPr>
            <w:rStyle w:val="Hyperlink"/>
            <w:lang w:val="en-US"/>
          </w:rPr>
          <w:t>https://twitter.com/yilmaztunc/status/1736323275750363397</w:t>
        </w:r>
      </w:hyperlink>
      <w:r w:rsidRPr="003A317B">
        <w:rPr>
          <w:lang w:val="en-US"/>
        </w:rPr>
        <w:t xml:space="preserve"> ) </w:t>
      </w:r>
    </w:p>
    <w:p w14:paraId="3742C667" w14:textId="6DDFC2FD" w:rsidR="003A317B" w:rsidRPr="0049268A" w:rsidRDefault="003A317B" w:rsidP="0049268A">
      <w:pPr>
        <w:rPr>
          <w:b/>
          <w:bCs/>
          <w:lang w:val="en-US"/>
        </w:rPr>
      </w:pPr>
      <w:bookmarkStart w:id="13" w:name="_Toc168473470"/>
      <w:r w:rsidRPr="0049268A">
        <w:rPr>
          <w:b/>
          <w:bCs/>
          <w:lang w:val="en-US"/>
        </w:rPr>
        <w:t>Hate Campaign Distributed by Traditional and Social Media</w:t>
      </w:r>
      <w:bookmarkEnd w:id="13"/>
    </w:p>
    <w:p w14:paraId="17C23217" w14:textId="77777777" w:rsidR="003A317B" w:rsidRPr="003A317B" w:rsidRDefault="003A317B" w:rsidP="003A317B">
      <w:pPr>
        <w:rPr>
          <w:lang w:val="en-US"/>
        </w:rPr>
      </w:pPr>
      <w:r w:rsidRPr="003A317B">
        <w:rPr>
          <w:lang w:val="en-US"/>
        </w:rPr>
        <w:t>The ruling party</w:t>
      </w:r>
      <w:proofErr w:type="gramStart"/>
      <w:r w:rsidRPr="003A317B">
        <w:rPr>
          <w:lang w:val="en-US"/>
        </w:rPr>
        <w:t>, in particular, has</w:t>
      </w:r>
      <w:proofErr w:type="gramEnd"/>
      <w:r w:rsidRPr="003A317B">
        <w:rPr>
          <w:lang w:val="en-US"/>
        </w:rPr>
        <w:t xml:space="preserve"> been documented as using state-controlled media to spread its narrative. Human Rights Watch's report, "Türkiye's Hostages: Free Speech and the Judiciary in Türkiye,"</w:t>
      </w:r>
      <w:r w:rsidRPr="003A317B">
        <w:rPr>
          <w:vertAlign w:val="superscript"/>
          <w:lang w:val="en-US"/>
        </w:rPr>
        <w:footnoteReference w:id="36"/>
      </w:r>
      <w:r w:rsidRPr="003A317B">
        <w:rPr>
          <w:lang w:val="en-US"/>
        </w:rPr>
        <w:t xml:space="preserve"> details how government officials have utilized media platforms to broadcast hate speech, which labels members of the Gulen movement as terrorists. This strategy is not only aimed at discrediting political opposition but also at rallying public support by appealing to nationalist sentiments.</w:t>
      </w:r>
    </w:p>
    <w:p w14:paraId="47F841E6" w14:textId="1094FCDC" w:rsidR="003A317B" w:rsidRPr="003A317B" w:rsidRDefault="003A317B" w:rsidP="0049268A">
      <w:pPr>
        <w:rPr>
          <w:lang w:val="en-US"/>
        </w:rPr>
      </w:pPr>
      <w:r w:rsidRPr="003A317B">
        <w:rPr>
          <w:lang w:val="en-US"/>
        </w:rPr>
        <w:t>Research by Kamil Yilmaz provides further insight into the dynamics of hate speech on social media. In his study, "Hate Speech Predicts Engagement on Social Media: A Case Study from Türkiye,"</w:t>
      </w:r>
      <w:r w:rsidRPr="003A317B">
        <w:rPr>
          <w:vertAlign w:val="superscript"/>
          <w:lang w:val="en-US"/>
        </w:rPr>
        <w:footnoteReference w:id="37"/>
      </w:r>
      <w:r w:rsidRPr="003A317B">
        <w:rPr>
          <w:lang w:val="en-US"/>
        </w:rPr>
        <w:t xml:space="preserve"> Yilmaz analyzes how political leaders’ posts containing ‘’</w:t>
      </w:r>
      <w:proofErr w:type="spellStart"/>
      <w:r w:rsidRPr="003A317B">
        <w:rPr>
          <w:lang w:val="en-US"/>
        </w:rPr>
        <w:t>FETÖ’’hate</w:t>
      </w:r>
      <w:proofErr w:type="spellEnd"/>
      <w:r w:rsidRPr="003A317B">
        <w:rPr>
          <w:lang w:val="en-US"/>
        </w:rPr>
        <w:t xml:space="preserve"> speech </w:t>
      </w:r>
      <w:proofErr w:type="gramStart"/>
      <w:r w:rsidRPr="003A317B">
        <w:rPr>
          <w:lang w:val="en-US"/>
        </w:rPr>
        <w:t>tend</w:t>
      </w:r>
      <w:proofErr w:type="gramEnd"/>
      <w:r w:rsidRPr="003A317B">
        <w:rPr>
          <w:lang w:val="en-US"/>
        </w:rPr>
        <w:t xml:space="preserve"> to generate higher levels of engagement compared to neutral or positive content. This finding is significant as it indicates that hate speech not only spreads rapidly on social media but also attracts more attention and interaction, thereby reinforcing and amplifying its reach.</w:t>
      </w:r>
    </w:p>
    <w:p w14:paraId="4A098C90" w14:textId="3572B775" w:rsidR="003A317B" w:rsidRPr="0049268A" w:rsidRDefault="003A317B" w:rsidP="0049268A">
      <w:pPr>
        <w:rPr>
          <w:i/>
          <w:iCs/>
          <w:lang w:val="tr-TR"/>
        </w:rPr>
      </w:pPr>
      <w:bookmarkStart w:id="14" w:name="_Toc168473471"/>
      <w:r w:rsidRPr="0049268A">
        <w:rPr>
          <w:i/>
          <w:iCs/>
          <w:lang w:val="en-US"/>
        </w:rPr>
        <w:t>Examples of ‘’FET</w:t>
      </w:r>
      <w:r w:rsidRPr="0049268A">
        <w:rPr>
          <w:i/>
          <w:iCs/>
          <w:lang w:val="tr-TR"/>
        </w:rPr>
        <w:t xml:space="preserve">Ö’’ </w:t>
      </w:r>
      <w:proofErr w:type="spellStart"/>
      <w:r w:rsidRPr="0049268A">
        <w:rPr>
          <w:i/>
          <w:iCs/>
          <w:lang w:val="tr-TR"/>
        </w:rPr>
        <w:t>Hate</w:t>
      </w:r>
      <w:proofErr w:type="spellEnd"/>
      <w:r w:rsidRPr="0049268A">
        <w:rPr>
          <w:i/>
          <w:iCs/>
          <w:lang w:val="tr-TR"/>
        </w:rPr>
        <w:t xml:space="preserve"> Speech Distributed </w:t>
      </w:r>
      <w:proofErr w:type="spellStart"/>
      <w:r w:rsidRPr="0049268A">
        <w:rPr>
          <w:i/>
          <w:iCs/>
          <w:lang w:val="tr-TR"/>
        </w:rPr>
        <w:t>by</w:t>
      </w:r>
      <w:proofErr w:type="spellEnd"/>
      <w:r w:rsidRPr="0049268A">
        <w:rPr>
          <w:i/>
          <w:iCs/>
          <w:lang w:val="tr-TR"/>
        </w:rPr>
        <w:t xml:space="preserve"> Media</w:t>
      </w:r>
      <w:bookmarkEnd w:id="14"/>
    </w:p>
    <w:p w14:paraId="60B744F5" w14:textId="7191678E" w:rsidR="003A317B" w:rsidRPr="003A317B" w:rsidRDefault="003A317B" w:rsidP="003A317B">
      <w:pPr>
        <w:rPr>
          <w:lang w:val="en-US"/>
        </w:rPr>
      </w:pPr>
      <w:r w:rsidRPr="003A317B">
        <w:rPr>
          <w:lang w:val="en-US"/>
        </w:rPr>
        <w:t xml:space="preserve">While providing a comprehensive list of examples of ‘FETÖ’ hate speech in Türkiye exceeds the scope of this report, some examples of hate speech are presented below. </w:t>
      </w:r>
    </w:p>
    <w:p w14:paraId="71DD42F8" w14:textId="77777777" w:rsidR="003A317B" w:rsidRPr="003A317B" w:rsidRDefault="003A317B" w:rsidP="003A317B">
      <w:pPr>
        <w:rPr>
          <w:lang w:val="en-US"/>
        </w:rPr>
      </w:pPr>
      <w:r w:rsidRPr="003A317B">
        <w:rPr>
          <w:lang w:val="en-US"/>
        </w:rPr>
        <w:t>On 6 May 2024</w:t>
      </w:r>
      <w:r w:rsidRPr="003A317B">
        <w:rPr>
          <w:vertAlign w:val="superscript"/>
          <w:lang w:val="en-US"/>
        </w:rPr>
        <w:footnoteReference w:id="38"/>
      </w:r>
      <w:r w:rsidRPr="003A317B">
        <w:rPr>
          <w:lang w:val="en-US"/>
        </w:rPr>
        <w:t xml:space="preserve">, on X account </w:t>
      </w:r>
      <w:proofErr w:type="gramStart"/>
      <w:r w:rsidRPr="003A317B">
        <w:rPr>
          <w:lang w:val="en-US"/>
        </w:rPr>
        <w:t>of  Yeni</w:t>
      </w:r>
      <w:proofErr w:type="gramEnd"/>
      <w:r w:rsidRPr="003A317B">
        <w:rPr>
          <w:lang w:val="en-US"/>
        </w:rPr>
        <w:t xml:space="preserve"> Şafak Media Outlet, a post stated that </w:t>
      </w:r>
      <w:r w:rsidRPr="003A317B">
        <w:rPr>
          <w:i/>
          <w:iCs/>
          <w:lang w:val="en-US"/>
        </w:rPr>
        <w:t xml:space="preserve">“FETO’’ fugitive terrorist </w:t>
      </w:r>
      <w:proofErr w:type="spellStart"/>
      <w:r w:rsidRPr="003A317B">
        <w:rPr>
          <w:i/>
          <w:iCs/>
          <w:lang w:val="en-US"/>
        </w:rPr>
        <w:t>Adem</w:t>
      </w:r>
      <w:proofErr w:type="spellEnd"/>
      <w:r w:rsidRPr="003A317B">
        <w:rPr>
          <w:i/>
          <w:iCs/>
          <w:lang w:val="en-US"/>
        </w:rPr>
        <w:t xml:space="preserve"> Yavuz Arslan targets the heroes of July 15 with lies and slander</w:t>
      </w:r>
      <w:r w:rsidRPr="003A317B">
        <w:rPr>
          <w:lang w:val="en-US"/>
        </w:rPr>
        <w:t xml:space="preserve">. </w:t>
      </w:r>
      <w:proofErr w:type="gramStart"/>
      <w:r w:rsidRPr="003A317B">
        <w:rPr>
          <w:lang w:val="en-US"/>
        </w:rPr>
        <w:t>( source</w:t>
      </w:r>
      <w:proofErr w:type="gramEnd"/>
      <w:r w:rsidRPr="003A317B">
        <w:rPr>
          <w:lang w:val="en-US"/>
        </w:rPr>
        <w:t xml:space="preserve"> : </w:t>
      </w:r>
      <w:hyperlink r:id="rId15" w:history="1">
        <w:r w:rsidRPr="003A317B">
          <w:rPr>
            <w:rStyle w:val="Hyperlink"/>
            <w:lang w:val="en-US"/>
          </w:rPr>
          <w:t>https://twitter.com/yenisafak/status/1787374172408037494</w:t>
        </w:r>
      </w:hyperlink>
      <w:r w:rsidRPr="003A317B">
        <w:rPr>
          <w:lang w:val="en-US"/>
        </w:rPr>
        <w:t xml:space="preserve"> ) </w:t>
      </w:r>
    </w:p>
    <w:p w14:paraId="78DF5E9E" w14:textId="77777777" w:rsidR="003A317B" w:rsidRPr="003A317B" w:rsidRDefault="003A317B" w:rsidP="003A317B">
      <w:pPr>
        <w:rPr>
          <w:lang w:val="en-US"/>
        </w:rPr>
      </w:pPr>
      <w:r w:rsidRPr="003A317B">
        <w:rPr>
          <w:lang w:val="en-US"/>
        </w:rPr>
        <w:lastRenderedPageBreak/>
        <w:t>On 25 April 2024</w:t>
      </w:r>
      <w:r w:rsidRPr="003A317B">
        <w:rPr>
          <w:vertAlign w:val="superscript"/>
          <w:lang w:val="en-US"/>
        </w:rPr>
        <w:footnoteReference w:id="39"/>
      </w:r>
      <w:r w:rsidRPr="003A317B">
        <w:rPr>
          <w:lang w:val="en-US"/>
        </w:rPr>
        <w:t xml:space="preserve">, Nedim Şener, journalist, on his X post said that </w:t>
      </w:r>
      <w:r w:rsidRPr="003A317B">
        <w:rPr>
          <w:i/>
          <w:iCs/>
          <w:lang w:val="en-US"/>
        </w:rPr>
        <w:t>either you finish the ‘’FETÖ ‘’ or the ‘’</w:t>
      </w:r>
      <w:proofErr w:type="gramStart"/>
      <w:r w:rsidRPr="003A317B">
        <w:rPr>
          <w:i/>
          <w:iCs/>
          <w:lang w:val="en-US"/>
        </w:rPr>
        <w:t>FETÖ‘</w:t>
      </w:r>
      <w:proofErr w:type="gramEnd"/>
      <w:r w:rsidRPr="003A317B">
        <w:rPr>
          <w:i/>
          <w:iCs/>
          <w:lang w:val="en-US"/>
        </w:rPr>
        <w:t>’ will finish you</w:t>
      </w:r>
      <w:r w:rsidRPr="003A317B">
        <w:rPr>
          <w:lang w:val="en-US"/>
        </w:rPr>
        <w:t xml:space="preserve">. </w:t>
      </w:r>
      <w:proofErr w:type="gramStart"/>
      <w:r w:rsidRPr="003A317B">
        <w:rPr>
          <w:lang w:val="en-US"/>
        </w:rPr>
        <w:t>( source</w:t>
      </w:r>
      <w:proofErr w:type="gramEnd"/>
      <w:r w:rsidRPr="003A317B">
        <w:rPr>
          <w:lang w:val="en-US"/>
        </w:rPr>
        <w:t xml:space="preserve"> :  </w:t>
      </w:r>
      <w:hyperlink r:id="rId16" w:history="1">
        <w:r w:rsidRPr="003A317B">
          <w:rPr>
            <w:rStyle w:val="Hyperlink"/>
            <w:lang w:val="en-US"/>
          </w:rPr>
          <w:t>https://twitter.com/nedimsener2010/status/1783474440854016307</w:t>
        </w:r>
      </w:hyperlink>
      <w:r w:rsidRPr="003A317B">
        <w:rPr>
          <w:lang w:val="en-US"/>
        </w:rPr>
        <w:t xml:space="preserve"> )</w:t>
      </w:r>
    </w:p>
    <w:p w14:paraId="70AFEFC0" w14:textId="7C103BEF" w:rsidR="003A317B" w:rsidRPr="003A317B" w:rsidRDefault="003A317B" w:rsidP="003A317B">
      <w:pPr>
        <w:rPr>
          <w:lang w:val="en-US"/>
        </w:rPr>
      </w:pPr>
      <w:r>
        <w:rPr>
          <w:lang w:val="en-US"/>
        </w:rPr>
        <w:t>O</w:t>
      </w:r>
      <w:r w:rsidRPr="003A317B">
        <w:rPr>
          <w:lang w:val="en-US"/>
        </w:rPr>
        <w:t>n 15 December 2023</w:t>
      </w:r>
      <w:r w:rsidRPr="003A317B">
        <w:rPr>
          <w:vertAlign w:val="superscript"/>
          <w:lang w:val="en-US"/>
        </w:rPr>
        <w:footnoteReference w:id="40"/>
      </w:r>
      <w:r w:rsidRPr="003A317B">
        <w:rPr>
          <w:lang w:val="en-US"/>
        </w:rPr>
        <w:t xml:space="preserve">, </w:t>
      </w:r>
      <w:r w:rsidRPr="003A317B">
        <w:rPr>
          <w:lang w:val="tr-TR"/>
        </w:rPr>
        <w:t xml:space="preserve">İbrahim Karagül, </w:t>
      </w:r>
      <w:proofErr w:type="spellStart"/>
      <w:r w:rsidRPr="003A317B">
        <w:rPr>
          <w:lang w:val="tr-TR"/>
        </w:rPr>
        <w:t>journalist</w:t>
      </w:r>
      <w:proofErr w:type="spellEnd"/>
      <w:r w:rsidRPr="003A317B">
        <w:rPr>
          <w:lang w:val="tr-TR"/>
        </w:rPr>
        <w:t xml:space="preserve">, </w:t>
      </w:r>
      <w:r w:rsidRPr="003A317B">
        <w:rPr>
          <w:lang w:val="en-US"/>
        </w:rPr>
        <w:t xml:space="preserve">on his X post said that </w:t>
      </w:r>
      <w:r w:rsidRPr="003A317B">
        <w:rPr>
          <w:i/>
          <w:iCs/>
          <w:lang w:val="en-US"/>
        </w:rPr>
        <w:t xml:space="preserve">Ugur </w:t>
      </w:r>
      <w:proofErr w:type="spellStart"/>
      <w:r w:rsidRPr="003A317B">
        <w:rPr>
          <w:i/>
          <w:iCs/>
          <w:lang w:val="en-US"/>
        </w:rPr>
        <w:t>Mumcu</w:t>
      </w:r>
      <w:proofErr w:type="spellEnd"/>
      <w:r w:rsidRPr="003A317B">
        <w:rPr>
          <w:i/>
          <w:iCs/>
          <w:lang w:val="en-US"/>
        </w:rPr>
        <w:t xml:space="preserve"> was killed by the Mossad. ‘’</w:t>
      </w:r>
      <w:proofErr w:type="gramStart"/>
      <w:r w:rsidRPr="003A317B">
        <w:rPr>
          <w:i/>
          <w:iCs/>
          <w:lang w:val="en-US"/>
        </w:rPr>
        <w:t>FETÖ’’</w:t>
      </w:r>
      <w:proofErr w:type="gramEnd"/>
      <w:r w:rsidRPr="003A317B">
        <w:rPr>
          <w:i/>
          <w:iCs/>
          <w:lang w:val="en-US"/>
        </w:rPr>
        <w:t xml:space="preserve"> members provided logistical support. Israel</w:t>
      </w:r>
      <w:proofErr w:type="gramStart"/>
      <w:r w:rsidRPr="003A317B">
        <w:rPr>
          <w:i/>
          <w:iCs/>
          <w:lang w:val="en-US"/>
        </w:rPr>
        <w:t>-‘</w:t>
      </w:r>
      <w:proofErr w:type="gramEnd"/>
      <w:r w:rsidRPr="003A317B">
        <w:rPr>
          <w:i/>
          <w:iCs/>
          <w:lang w:val="en-US"/>
        </w:rPr>
        <w:t>’FETÖ’’-PKK was the same front then and today</w:t>
      </w:r>
      <w:r w:rsidRPr="003A317B">
        <w:rPr>
          <w:lang w:val="en-US"/>
        </w:rPr>
        <w:t xml:space="preserve">. </w:t>
      </w:r>
      <w:proofErr w:type="gramStart"/>
      <w:r w:rsidRPr="003A317B">
        <w:rPr>
          <w:lang w:val="fr-BE"/>
        </w:rPr>
        <w:t>( source</w:t>
      </w:r>
      <w:proofErr w:type="gramEnd"/>
      <w:r w:rsidRPr="003A317B">
        <w:rPr>
          <w:lang w:val="fr-BE"/>
        </w:rPr>
        <w:t xml:space="preserve"> : </w:t>
      </w:r>
      <w:hyperlink r:id="rId17" w:history="1">
        <w:r w:rsidRPr="003A317B">
          <w:rPr>
            <w:rStyle w:val="Hyperlink"/>
            <w:lang w:val="fr-BE"/>
          </w:rPr>
          <w:t>https://twitter.com/ibrahimkaragul/status/1735612975375847621</w:t>
        </w:r>
      </w:hyperlink>
      <w:r w:rsidRPr="003A317B">
        <w:rPr>
          <w:lang w:val="fr-BE"/>
        </w:rPr>
        <w:t xml:space="preserve"> )   </w:t>
      </w:r>
    </w:p>
    <w:p w14:paraId="214BF395" w14:textId="5F75D549" w:rsidR="003A317B" w:rsidRPr="0049268A" w:rsidRDefault="003A317B" w:rsidP="0049268A">
      <w:pPr>
        <w:rPr>
          <w:b/>
          <w:bCs/>
          <w:lang w:val="en-US"/>
        </w:rPr>
      </w:pPr>
      <w:bookmarkStart w:id="15" w:name="_Toc168473472"/>
      <w:r w:rsidRPr="0049268A">
        <w:rPr>
          <w:b/>
          <w:bCs/>
          <w:lang w:val="en-US"/>
        </w:rPr>
        <w:t xml:space="preserve">The Effect of Decree </w:t>
      </w:r>
      <w:proofErr w:type="gramStart"/>
      <w:r w:rsidRPr="0049268A">
        <w:rPr>
          <w:b/>
          <w:bCs/>
          <w:lang w:val="en-US"/>
        </w:rPr>
        <w:t>Laws :</w:t>
      </w:r>
      <w:proofErr w:type="gramEnd"/>
      <w:r w:rsidRPr="0049268A">
        <w:rPr>
          <w:b/>
          <w:bCs/>
          <w:lang w:val="en-US"/>
        </w:rPr>
        <w:t xml:space="preserve"> Ongoing Discrimination Against Victims in Public and Private Sectors</w:t>
      </w:r>
      <w:bookmarkEnd w:id="15"/>
    </w:p>
    <w:p w14:paraId="3320663C" w14:textId="77777777" w:rsidR="003A317B" w:rsidRPr="003A317B" w:rsidRDefault="003A317B" w:rsidP="003A317B">
      <w:pPr>
        <w:rPr>
          <w:lang w:val="en-US"/>
        </w:rPr>
      </w:pPr>
      <w:r w:rsidRPr="003A317B">
        <w:rPr>
          <w:lang w:val="en-US"/>
        </w:rPr>
        <w:t>The series of decree laws enacted</w:t>
      </w:r>
      <w:r w:rsidRPr="003A317B">
        <w:rPr>
          <w:vertAlign w:val="superscript"/>
          <w:lang w:val="en-US"/>
        </w:rPr>
        <w:footnoteReference w:id="41"/>
      </w:r>
      <w:r w:rsidRPr="003A317B">
        <w:rPr>
          <w:lang w:val="en-US"/>
        </w:rPr>
        <w:t xml:space="preserve"> following the 2016 coup attempt in Türkiye have had profound and long-lasting effects, particularly on individuals accused of affiliations with the Gulen movement. These laws have facilitated widespread purges across various sectors, resulting in the dismissal of tens of thousands of public and private sector employees. The impact of these decree laws continues to perpetuate discrimination against these individuals, severely affecting their employment prospects and economic stability.</w:t>
      </w:r>
    </w:p>
    <w:p w14:paraId="1A270D05" w14:textId="7C88D31F" w:rsidR="003A317B" w:rsidRPr="003A317B" w:rsidRDefault="003A317B" w:rsidP="003A317B">
      <w:pPr>
        <w:rPr>
          <w:lang w:val="en-US"/>
        </w:rPr>
      </w:pPr>
      <w:r w:rsidRPr="003A317B">
        <w:rPr>
          <w:lang w:val="en-US"/>
        </w:rPr>
        <w:t>A comprehensive report by Human Rights Watch titled "Purged Beyond Return: No Remedy for Türkiye's Dismissed Workers"</w:t>
      </w:r>
      <w:r w:rsidRPr="003A317B">
        <w:rPr>
          <w:vertAlign w:val="superscript"/>
          <w:lang w:val="en-US"/>
        </w:rPr>
        <w:footnoteReference w:id="42"/>
      </w:r>
      <w:r w:rsidRPr="003A317B">
        <w:rPr>
          <w:lang w:val="en-US"/>
        </w:rPr>
        <w:t xml:space="preserve"> highlights the extensive scale of these dismissals and the subsequent hardships faced by the victims. The decree laws not only led to immediate job losses but also imposed restrictions that prevent dismissed individuals from securing new employment, particularly in public institutions. Many have been blacklisted, making it nearly impossible to find work in their fields of </w:t>
      </w:r>
      <w:proofErr w:type="spellStart"/>
      <w:proofErr w:type="gramStart"/>
      <w:r w:rsidRPr="003A317B">
        <w:rPr>
          <w:lang w:val="en-US"/>
        </w:rPr>
        <w:t>expertise.The</w:t>
      </w:r>
      <w:proofErr w:type="spellEnd"/>
      <w:proofErr w:type="gramEnd"/>
      <w:r w:rsidRPr="003A317B">
        <w:rPr>
          <w:lang w:val="en-US"/>
        </w:rPr>
        <w:t xml:space="preserve"> European Commission's 2021 report on Türkiye's progress towards EU accession</w:t>
      </w:r>
      <w:r w:rsidRPr="003A317B">
        <w:rPr>
          <w:vertAlign w:val="superscript"/>
          <w:lang w:val="en-US"/>
        </w:rPr>
        <w:footnoteReference w:id="43"/>
      </w:r>
      <w:r w:rsidRPr="003A317B">
        <w:rPr>
          <w:lang w:val="en-US"/>
        </w:rPr>
        <w:t xml:space="preserve"> also emphasizes the ongoing discrimination </w:t>
      </w:r>
      <w:r w:rsidRPr="003A317B">
        <w:rPr>
          <w:lang w:val="en-US"/>
        </w:rPr>
        <w:lastRenderedPageBreak/>
        <w:t>against victims of the decree laws. It notes that the purges have created a climate of fear and uncertainty, where even those not directly targeted are hesitant to associate with dismissed individuals, fearing repercussions. This societal ostracization further entrenches the economic marginalization of the victims.</w:t>
      </w:r>
    </w:p>
    <w:p w14:paraId="14ED47D1" w14:textId="281855E8" w:rsidR="003A317B" w:rsidRPr="0049268A" w:rsidRDefault="003A317B" w:rsidP="0049268A">
      <w:pPr>
        <w:rPr>
          <w:i/>
          <w:iCs/>
          <w:lang w:val="en-US"/>
        </w:rPr>
      </w:pPr>
      <w:bookmarkStart w:id="16" w:name="_Toc168473473"/>
      <w:r w:rsidRPr="0049268A">
        <w:rPr>
          <w:i/>
          <w:iCs/>
          <w:lang w:val="en-US"/>
        </w:rPr>
        <w:t>Discrimination Cases in Public Sector</w:t>
      </w:r>
      <w:bookmarkEnd w:id="16"/>
      <w:r w:rsidRPr="0049268A">
        <w:rPr>
          <w:i/>
          <w:iCs/>
          <w:lang w:val="en-US"/>
        </w:rPr>
        <w:t xml:space="preserve"> </w:t>
      </w:r>
    </w:p>
    <w:p w14:paraId="1868D754" w14:textId="77777777" w:rsidR="003A317B" w:rsidRPr="003A317B" w:rsidRDefault="003A317B" w:rsidP="003A317B">
      <w:pPr>
        <w:rPr>
          <w:lang w:val="en-US"/>
        </w:rPr>
      </w:pPr>
      <w:r w:rsidRPr="003A317B">
        <w:rPr>
          <w:lang w:val="en-US"/>
        </w:rPr>
        <w:t xml:space="preserve">While providing a comprehensive list of examples of hate crime and discrimination cases targeting the members of Gulen movement and its perceived members in Türkiye exceeds the scope of this report, some examples of hate speech are presented below. </w:t>
      </w:r>
    </w:p>
    <w:p w14:paraId="3071DCDB" w14:textId="77777777" w:rsidR="003A317B" w:rsidRPr="003A317B" w:rsidRDefault="003A317B" w:rsidP="003A317B">
      <w:pPr>
        <w:rPr>
          <w:lang w:val="fr-BE"/>
        </w:rPr>
      </w:pPr>
      <w:r w:rsidRPr="003A317B">
        <w:rPr>
          <w:lang w:val="en-US"/>
        </w:rPr>
        <w:t>On 20 August 2023</w:t>
      </w:r>
      <w:r w:rsidRPr="003A317B">
        <w:rPr>
          <w:vertAlign w:val="superscript"/>
          <w:lang w:val="en-US"/>
        </w:rPr>
        <w:footnoteReference w:id="44"/>
      </w:r>
      <w:r w:rsidRPr="003A317B">
        <w:rPr>
          <w:lang w:val="en-US"/>
        </w:rPr>
        <w:t xml:space="preserve">, Ankara University faculty member Assoc. Prof. Dr. Mustafa Kemal Coşkun, who was dismissed with a state of emergency decree-KHK and reinstated after a court ruling, was not given a room by the faculty administration on the ground that his perceived affiliation to Gulen movement. </w:t>
      </w:r>
      <w:proofErr w:type="gramStart"/>
      <w:r w:rsidRPr="003A317B">
        <w:rPr>
          <w:lang w:val="fr-BE"/>
        </w:rPr>
        <w:t>( source</w:t>
      </w:r>
      <w:proofErr w:type="gramEnd"/>
      <w:r w:rsidRPr="003A317B">
        <w:rPr>
          <w:lang w:val="fr-BE"/>
        </w:rPr>
        <w:t xml:space="preserve"> : </w:t>
      </w:r>
      <w:hyperlink r:id="rId18" w:history="1">
        <w:r w:rsidRPr="003A317B">
          <w:rPr>
            <w:rStyle w:val="Hyperlink"/>
            <w:lang w:val="fr-BE"/>
          </w:rPr>
          <w:t>https://kronos36.news/tr/goreve-iade-edilen-khkli-akademisyene-fakulte-yonetimi-oda-vermedi/</w:t>
        </w:r>
      </w:hyperlink>
      <w:r w:rsidRPr="003A317B">
        <w:rPr>
          <w:lang w:val="fr-BE"/>
        </w:rPr>
        <w:t xml:space="preserve"> )</w:t>
      </w:r>
    </w:p>
    <w:p w14:paraId="70AAB577" w14:textId="3A6C61AD" w:rsidR="003A317B" w:rsidRPr="003A317B" w:rsidRDefault="003A317B" w:rsidP="003A317B">
      <w:pPr>
        <w:rPr>
          <w:rFonts w:eastAsiaTheme="majorEastAsia" w:cstheme="majorBidi"/>
          <w:color w:val="0F4761" w:themeColor="accent1" w:themeShade="BF"/>
          <w:sz w:val="28"/>
          <w:szCs w:val="28"/>
          <w:lang w:val="fr-BE"/>
        </w:rPr>
      </w:pPr>
      <w:r w:rsidRPr="003A317B">
        <w:rPr>
          <w:lang w:val="en-US"/>
        </w:rPr>
        <w:t>On 15 August 2023</w:t>
      </w:r>
      <w:r w:rsidRPr="003A317B">
        <w:rPr>
          <w:vertAlign w:val="superscript"/>
          <w:lang w:val="en-US"/>
        </w:rPr>
        <w:footnoteReference w:id="45"/>
      </w:r>
      <w:r w:rsidRPr="003A317B">
        <w:rPr>
          <w:lang w:val="en-US"/>
        </w:rPr>
        <w:t xml:space="preserve">, </w:t>
      </w:r>
      <w:proofErr w:type="spellStart"/>
      <w:r w:rsidRPr="003A317B">
        <w:rPr>
          <w:lang w:val="en-US"/>
        </w:rPr>
        <w:t>Yenimahalle</w:t>
      </w:r>
      <w:proofErr w:type="spellEnd"/>
      <w:r w:rsidRPr="003A317B">
        <w:rPr>
          <w:lang w:val="en-US"/>
        </w:rPr>
        <w:t xml:space="preserve"> District Job Placement Agency branch (İŞKUR) rejected the job application of an earthquake survivor who was dismissed with a state of emergency decree on the grounds that he was “dismissed with a state of emergency decree”. </w:t>
      </w:r>
      <w:proofErr w:type="gramStart"/>
      <w:r w:rsidRPr="003A317B">
        <w:rPr>
          <w:lang w:val="en-US"/>
        </w:rPr>
        <w:t>( source</w:t>
      </w:r>
      <w:proofErr w:type="gramEnd"/>
      <w:r w:rsidRPr="003A317B">
        <w:rPr>
          <w:lang w:val="en-US"/>
        </w:rPr>
        <w:t xml:space="preserve"> : </w:t>
      </w:r>
      <w:hyperlink r:id="rId19" w:history="1">
        <w:r w:rsidRPr="003A317B">
          <w:rPr>
            <w:rStyle w:val="Hyperlink"/>
            <w:lang w:val="en-US"/>
          </w:rPr>
          <w:t>https://x.com/boldmedya/status/1691541820251987968</w:t>
        </w:r>
      </w:hyperlink>
      <w:r w:rsidRPr="003A317B">
        <w:rPr>
          <w:lang w:val="en-US"/>
        </w:rPr>
        <w:t xml:space="preserve"> )</w:t>
      </w:r>
    </w:p>
    <w:p w14:paraId="600086FF" w14:textId="688DD378" w:rsidR="003A317B" w:rsidRPr="0049268A" w:rsidRDefault="003A317B" w:rsidP="0049268A">
      <w:pPr>
        <w:rPr>
          <w:i/>
          <w:iCs/>
          <w:lang w:val="en-US"/>
        </w:rPr>
      </w:pPr>
      <w:bookmarkStart w:id="17" w:name="_Toc168473474"/>
      <w:r w:rsidRPr="0049268A">
        <w:rPr>
          <w:i/>
          <w:iCs/>
          <w:lang w:val="en-US"/>
        </w:rPr>
        <w:t>Discrimination Cases in Private Sector</w:t>
      </w:r>
      <w:bookmarkEnd w:id="17"/>
      <w:r w:rsidRPr="0049268A">
        <w:rPr>
          <w:i/>
          <w:iCs/>
          <w:lang w:val="en-US"/>
        </w:rPr>
        <w:t xml:space="preserve"> </w:t>
      </w:r>
    </w:p>
    <w:p w14:paraId="5085476B" w14:textId="77777777" w:rsidR="003A317B" w:rsidRPr="003A317B" w:rsidRDefault="003A317B" w:rsidP="003A317B">
      <w:pPr>
        <w:rPr>
          <w:lang w:val="en-US"/>
        </w:rPr>
      </w:pPr>
      <w:r w:rsidRPr="003A317B">
        <w:rPr>
          <w:lang w:val="en-US"/>
        </w:rPr>
        <w:t xml:space="preserve">While providing a comprehensive list of examples of hate crime and discrimination cases targeting the members of Gulen movement and its perceived members in Türkiye exceeds the scope of this report, some examples of hate speech are presented below. </w:t>
      </w:r>
    </w:p>
    <w:p w14:paraId="5894CA82" w14:textId="77777777" w:rsidR="003A317B" w:rsidRPr="003A317B" w:rsidRDefault="003A317B" w:rsidP="003A317B">
      <w:pPr>
        <w:rPr>
          <w:lang w:val="en-US"/>
        </w:rPr>
      </w:pPr>
      <w:r w:rsidRPr="003A317B">
        <w:rPr>
          <w:lang w:val="en-US"/>
        </w:rPr>
        <w:t>On 28 December 2023</w:t>
      </w:r>
      <w:r w:rsidRPr="003A317B">
        <w:rPr>
          <w:vertAlign w:val="superscript"/>
          <w:lang w:val="en-US"/>
        </w:rPr>
        <w:footnoteReference w:id="46"/>
      </w:r>
      <w:r w:rsidRPr="003A317B">
        <w:rPr>
          <w:lang w:val="en-US"/>
        </w:rPr>
        <w:t xml:space="preserve">, a person who applied for a job at Türkiye </w:t>
      </w:r>
      <w:proofErr w:type="spellStart"/>
      <w:r w:rsidRPr="003A317B">
        <w:rPr>
          <w:lang w:val="en-US"/>
        </w:rPr>
        <w:t>Finans</w:t>
      </w:r>
      <w:proofErr w:type="spellEnd"/>
      <w:r w:rsidRPr="003A317B">
        <w:rPr>
          <w:lang w:val="en-US"/>
        </w:rPr>
        <w:t xml:space="preserve"> </w:t>
      </w:r>
      <w:proofErr w:type="spellStart"/>
      <w:r w:rsidRPr="003A317B">
        <w:rPr>
          <w:lang w:val="en-US"/>
        </w:rPr>
        <w:t>Katılım</w:t>
      </w:r>
      <w:proofErr w:type="spellEnd"/>
      <w:r w:rsidRPr="003A317B">
        <w:rPr>
          <w:lang w:val="en-US"/>
        </w:rPr>
        <w:t xml:space="preserve"> Bank was not hired on the grounds that he had previously worked at Bank Asya</w:t>
      </w:r>
      <w:r w:rsidRPr="003A317B">
        <w:rPr>
          <w:vertAlign w:val="superscript"/>
          <w:lang w:val="en-US"/>
        </w:rPr>
        <w:footnoteReference w:id="47"/>
      </w:r>
      <w:r w:rsidRPr="003A317B">
        <w:rPr>
          <w:lang w:val="en-US"/>
        </w:rPr>
        <w:t xml:space="preserve">, although there was no investigation process against him. </w:t>
      </w:r>
      <w:proofErr w:type="gramStart"/>
      <w:r w:rsidRPr="003A317B">
        <w:rPr>
          <w:lang w:val="en-US"/>
        </w:rPr>
        <w:t>( source</w:t>
      </w:r>
      <w:proofErr w:type="gramEnd"/>
      <w:r w:rsidRPr="003A317B">
        <w:rPr>
          <w:lang w:val="en-US"/>
        </w:rPr>
        <w:t xml:space="preserve"> : </w:t>
      </w:r>
      <w:hyperlink r:id="rId20" w:history="1">
        <w:r w:rsidRPr="003A317B">
          <w:rPr>
            <w:rStyle w:val="Hyperlink"/>
            <w:lang w:val="en-US"/>
          </w:rPr>
          <w:t>https://x.com/yakinplann/status/1740357207823405134</w:t>
        </w:r>
      </w:hyperlink>
      <w:r w:rsidRPr="003A317B">
        <w:rPr>
          <w:lang w:val="en-US"/>
        </w:rPr>
        <w:t xml:space="preserve"> )</w:t>
      </w:r>
    </w:p>
    <w:p w14:paraId="7B605F81" w14:textId="1B1B2EA9" w:rsidR="003A317B" w:rsidRPr="003A317B" w:rsidRDefault="003A317B" w:rsidP="0049268A">
      <w:pPr>
        <w:rPr>
          <w:lang w:val="fr-BE"/>
        </w:rPr>
      </w:pPr>
      <w:r w:rsidRPr="003A317B">
        <w:rPr>
          <w:lang w:val="en-US"/>
        </w:rPr>
        <w:lastRenderedPageBreak/>
        <w:t>On 28 January 2021</w:t>
      </w:r>
      <w:r w:rsidRPr="003A317B">
        <w:rPr>
          <w:vertAlign w:val="superscript"/>
          <w:lang w:val="en-US"/>
        </w:rPr>
        <w:footnoteReference w:id="48"/>
      </w:r>
      <w:r w:rsidRPr="003A317B">
        <w:rPr>
          <w:lang w:val="en-US"/>
        </w:rPr>
        <w:t xml:space="preserve">, cash aid given to Ayşe Dabak, who was dismissed from her job with a decree law decree KHK, because her house was severely damaged in the Izmir earthquake, was blocked by </w:t>
      </w:r>
      <w:proofErr w:type="spellStart"/>
      <w:r w:rsidRPr="003A317B">
        <w:rPr>
          <w:lang w:val="en-US"/>
        </w:rPr>
        <w:t>Vakıf</w:t>
      </w:r>
      <w:proofErr w:type="spellEnd"/>
      <w:r w:rsidRPr="003A317B">
        <w:rPr>
          <w:lang w:val="en-US"/>
        </w:rPr>
        <w:t xml:space="preserve"> Bank Izmir Branch on the grounds that ‘your name is on the banned list’.  </w:t>
      </w:r>
      <w:proofErr w:type="gramStart"/>
      <w:r w:rsidRPr="003A317B">
        <w:rPr>
          <w:lang w:val="fr-BE"/>
        </w:rPr>
        <w:t>( source</w:t>
      </w:r>
      <w:proofErr w:type="gramEnd"/>
      <w:r w:rsidRPr="003A317B">
        <w:rPr>
          <w:lang w:val="fr-BE"/>
        </w:rPr>
        <w:t xml:space="preserve"> : </w:t>
      </w:r>
      <w:hyperlink r:id="rId21" w:history="1">
        <w:r w:rsidRPr="003A317B">
          <w:rPr>
            <w:rStyle w:val="Hyperlink"/>
            <w:lang w:val="fr-BE"/>
          </w:rPr>
          <w:t>https://aktifhaber.com/gundem/vakifbank-khkli-isme-yapilan-deprem-yardimini-isminiz-yasakli-diye-bloke-etti-h155860.html</w:t>
        </w:r>
      </w:hyperlink>
      <w:r w:rsidRPr="003A317B">
        <w:rPr>
          <w:lang w:val="fr-BE"/>
        </w:rPr>
        <w:t xml:space="preserve"> )</w:t>
      </w:r>
    </w:p>
    <w:p w14:paraId="0F244852" w14:textId="43411AD0" w:rsidR="003A317B" w:rsidRPr="0049268A" w:rsidRDefault="003A317B" w:rsidP="0049268A">
      <w:pPr>
        <w:rPr>
          <w:b/>
          <w:bCs/>
          <w:lang w:val="en-US"/>
        </w:rPr>
      </w:pPr>
      <w:bookmarkStart w:id="18" w:name="_Toc168473475"/>
      <w:r w:rsidRPr="0049268A">
        <w:rPr>
          <w:b/>
          <w:bCs/>
          <w:lang w:val="en-US"/>
        </w:rPr>
        <w:t>Potential For Spread Beyond Türkiye</w:t>
      </w:r>
      <w:bookmarkEnd w:id="18"/>
    </w:p>
    <w:p w14:paraId="289A9C62" w14:textId="3A0A83DB" w:rsidR="003A317B" w:rsidRPr="003A317B" w:rsidRDefault="003A317B" w:rsidP="0049268A">
      <w:pPr>
        <w:rPr>
          <w:lang w:val="en-US"/>
        </w:rPr>
      </w:pPr>
      <w:r w:rsidRPr="003A317B">
        <w:rPr>
          <w:lang w:val="en-US"/>
        </w:rPr>
        <w:t>The patterns of hate speech and discrimination that have been prevalent in Türkiye from 2020 to 2024, particularly targeting the Gulen movement, hold the potential to spread beyond the country's borders. This potential is driven by several factors, including the global nature of media and social media, the diaspora communities, and the geopolitical influence of Türkiye.</w:t>
      </w:r>
    </w:p>
    <w:p w14:paraId="706A76BE" w14:textId="34361D9F" w:rsidR="003A317B" w:rsidRPr="003A317B" w:rsidRDefault="003A317B" w:rsidP="0049268A">
      <w:pPr>
        <w:rPr>
          <w:lang w:val="en-US"/>
        </w:rPr>
      </w:pPr>
      <w:r w:rsidRPr="003A317B">
        <w:rPr>
          <w:lang w:val="en-US"/>
        </w:rPr>
        <w:t xml:space="preserve">Some examples of hate speech, hate crime and discrimination targeting Gulen movement and its members have been seen beyond Türkiye such as in EU member states, in USA and in Indonesia. These examples are as </w:t>
      </w:r>
      <w:proofErr w:type="gramStart"/>
      <w:r w:rsidRPr="003A317B">
        <w:rPr>
          <w:lang w:val="en-US"/>
        </w:rPr>
        <w:t>following :</w:t>
      </w:r>
      <w:proofErr w:type="gramEnd"/>
      <w:r w:rsidRPr="003A317B">
        <w:rPr>
          <w:lang w:val="en-US"/>
        </w:rPr>
        <w:t xml:space="preserve"> </w:t>
      </w:r>
    </w:p>
    <w:p w14:paraId="07FF1BC0" w14:textId="1749EF66" w:rsidR="003A317B" w:rsidRPr="0049268A" w:rsidRDefault="003A317B" w:rsidP="0049268A">
      <w:pPr>
        <w:rPr>
          <w:i/>
          <w:iCs/>
          <w:lang w:val="en-US"/>
        </w:rPr>
      </w:pPr>
      <w:bookmarkStart w:id="19" w:name="_Toc168473476"/>
      <w:r w:rsidRPr="0049268A">
        <w:rPr>
          <w:i/>
          <w:iCs/>
          <w:lang w:val="en-US"/>
        </w:rPr>
        <w:t xml:space="preserve">Hate crime and discrimination </w:t>
      </w:r>
      <w:proofErr w:type="gramStart"/>
      <w:r w:rsidRPr="0049268A">
        <w:rPr>
          <w:i/>
          <w:iCs/>
          <w:lang w:val="en-US"/>
        </w:rPr>
        <w:t>examples :</w:t>
      </w:r>
      <w:bookmarkEnd w:id="19"/>
      <w:proofErr w:type="gramEnd"/>
      <w:r w:rsidRPr="0049268A">
        <w:rPr>
          <w:i/>
          <w:iCs/>
          <w:lang w:val="en-US"/>
        </w:rPr>
        <w:t xml:space="preserve"> </w:t>
      </w:r>
    </w:p>
    <w:p w14:paraId="66EFACDE" w14:textId="650191E8" w:rsidR="003A317B" w:rsidRPr="003A317B" w:rsidRDefault="003A317B" w:rsidP="0049268A">
      <w:pPr>
        <w:rPr>
          <w:lang w:val="en-US"/>
        </w:rPr>
      </w:pPr>
      <w:r w:rsidRPr="003A317B">
        <w:rPr>
          <w:lang w:val="en-US"/>
        </w:rPr>
        <w:t>On 28 July 2023</w:t>
      </w:r>
      <w:r w:rsidRPr="003A317B">
        <w:rPr>
          <w:vertAlign w:val="superscript"/>
          <w:lang w:val="en-US"/>
        </w:rPr>
        <w:footnoteReference w:id="49"/>
      </w:r>
      <w:r w:rsidRPr="003A317B">
        <w:rPr>
          <w:lang w:val="en-US"/>
        </w:rPr>
        <w:t xml:space="preserve">, to renew his company’s communication subscription agreement, Mr. Melik goes to the employees of the O2 company, who have opened a stand in the Media Markt store in the Kauf Park Eiche shopping center in Berlin. There is also a person of Turkish origin among the employees. Mr. Melik requests this person to renew the contract. The officer asks Mr. Melik for his ID. Realizing that the ID is not a citizen’s ID but the identity of an immigrant with a residence permit, the officer insults Mr. Melik in Turkish so that his German colleagues do not understand, on the grounds that he is affiliated with the Gülen movement, and the officer does not renew his contract. </w:t>
      </w:r>
      <w:proofErr w:type="gramStart"/>
      <w:r w:rsidRPr="003A317B">
        <w:rPr>
          <w:lang w:val="en-US"/>
        </w:rPr>
        <w:t>( source</w:t>
      </w:r>
      <w:proofErr w:type="gramEnd"/>
      <w:r w:rsidRPr="003A317B">
        <w:rPr>
          <w:lang w:val="en-US"/>
        </w:rPr>
        <w:t xml:space="preserve"> : from the victim by reporting via hatemonitoring.com : </w:t>
      </w:r>
      <w:hyperlink r:id="rId22" w:history="1">
        <w:r w:rsidRPr="003A317B">
          <w:rPr>
            <w:rStyle w:val="Hyperlink"/>
            <w:lang w:val="en-US"/>
          </w:rPr>
          <w:t>https://hatemonitoring.com/s-a/</w:t>
        </w:r>
      </w:hyperlink>
      <w:r w:rsidRPr="003A317B">
        <w:rPr>
          <w:lang w:val="en-US"/>
        </w:rPr>
        <w:t xml:space="preserve"> )</w:t>
      </w:r>
    </w:p>
    <w:p w14:paraId="6C7E5392" w14:textId="151D4A34" w:rsidR="003A317B" w:rsidRPr="003A317B" w:rsidRDefault="003A317B" w:rsidP="0049268A">
      <w:pPr>
        <w:rPr>
          <w:lang w:val="en-US"/>
        </w:rPr>
      </w:pPr>
      <w:r w:rsidRPr="003A317B">
        <w:rPr>
          <w:lang w:val="en-US"/>
        </w:rPr>
        <w:t>On 1 May 2022</w:t>
      </w:r>
      <w:r w:rsidRPr="003A317B">
        <w:rPr>
          <w:vertAlign w:val="superscript"/>
          <w:lang w:val="en-US"/>
        </w:rPr>
        <w:footnoteReference w:id="50"/>
      </w:r>
      <w:r w:rsidRPr="003A317B">
        <w:rPr>
          <w:lang w:val="en-US"/>
        </w:rPr>
        <w:t xml:space="preserve">, Ramazan Yılmazer who has been living in Germany for 41 years went to a restaurant to have dinner with his daughter and son-in-law. Upon his entry in the restaurant Yılmazer </w:t>
      </w:r>
      <w:proofErr w:type="gramStart"/>
      <w:r w:rsidRPr="003A317B">
        <w:rPr>
          <w:lang w:val="en-US"/>
        </w:rPr>
        <w:t>asked :</w:t>
      </w:r>
      <w:proofErr w:type="gramEnd"/>
      <w:r w:rsidRPr="003A317B">
        <w:rPr>
          <w:lang w:val="en-US"/>
        </w:rPr>
        <w:t xml:space="preserve"> ‘A person named </w:t>
      </w:r>
      <w:proofErr w:type="spellStart"/>
      <w:r w:rsidRPr="003A317B">
        <w:rPr>
          <w:lang w:val="en-US"/>
        </w:rPr>
        <w:t>Yetiş</w:t>
      </w:r>
      <w:proofErr w:type="spellEnd"/>
      <w:r w:rsidRPr="003A317B">
        <w:rPr>
          <w:lang w:val="en-US"/>
        </w:rPr>
        <w:t xml:space="preserve"> wrote that he started working here, is he still going on ?’. The restaurant owner </w:t>
      </w:r>
      <w:proofErr w:type="gramStart"/>
      <w:r w:rsidRPr="003A317B">
        <w:rPr>
          <w:lang w:val="en-US"/>
        </w:rPr>
        <w:t>responded :</w:t>
      </w:r>
      <w:proofErr w:type="gramEnd"/>
      <w:r w:rsidRPr="003A317B">
        <w:rPr>
          <w:lang w:val="en-US"/>
        </w:rPr>
        <w:t xml:space="preserve"> ‘’ I fired all of them. The guy was a member of ‘FETÖ’, as you guess he was a terrorist. I have nothing to do with such people.’’ Yılmazer </w:t>
      </w:r>
      <w:proofErr w:type="gramStart"/>
      <w:r w:rsidRPr="003A317B">
        <w:rPr>
          <w:lang w:val="en-US"/>
        </w:rPr>
        <w:t>replied :</w:t>
      </w:r>
      <w:proofErr w:type="gramEnd"/>
      <w:r w:rsidRPr="003A317B">
        <w:rPr>
          <w:lang w:val="en-US"/>
        </w:rPr>
        <w:t xml:space="preserve"> ‘I don’t know you but I have known those people for 30 years. Did they assault you; did they attack you with a gun? How can you talk like that?’. Upon this, the perpetrator and his relatives insulted and assaulted the victim on the ground that he is a member of Gülen movement, saying </w:t>
      </w:r>
      <w:r w:rsidRPr="003A317B">
        <w:rPr>
          <w:lang w:val="en-US"/>
        </w:rPr>
        <w:lastRenderedPageBreak/>
        <w:t xml:space="preserve">‘so you are one of them’. Yılmazer, who had a broken tooth as a result of the attack and received a medical report from the hospital and lodged a complaint against the perpetrator R.Y. ( source : </w:t>
      </w:r>
      <w:hyperlink r:id="rId23" w:history="1">
        <w:r w:rsidRPr="003A317B">
          <w:rPr>
            <w:rStyle w:val="Hyperlink"/>
            <w:lang w:val="en-US"/>
          </w:rPr>
          <w:t>https://kronos36.news/tr/turkiyedeki-gulen-cemaati-nefreti-almanyaya-tasindi-terorist-deyip-darp-etti/</w:t>
        </w:r>
      </w:hyperlink>
      <w:r w:rsidRPr="003A317B">
        <w:rPr>
          <w:lang w:val="en-US"/>
        </w:rPr>
        <w:t xml:space="preserve"> ) </w:t>
      </w:r>
    </w:p>
    <w:p w14:paraId="0053CA3E" w14:textId="1FB45A86" w:rsidR="003A317B" w:rsidRPr="003A317B" w:rsidRDefault="003A317B" w:rsidP="0049268A">
      <w:pPr>
        <w:rPr>
          <w:lang w:val="en-US"/>
        </w:rPr>
      </w:pPr>
      <w:proofErr w:type="gramStart"/>
      <w:r w:rsidRPr="003A317B">
        <w:rPr>
          <w:lang w:val="en-US"/>
        </w:rPr>
        <w:t>On</w:t>
      </w:r>
      <w:proofErr w:type="gramEnd"/>
      <w:r w:rsidRPr="003A317B">
        <w:rPr>
          <w:lang w:val="en-US"/>
        </w:rPr>
        <w:t xml:space="preserve"> July 2016, an attempt was made to burn down the </w:t>
      </w:r>
      <w:proofErr w:type="spellStart"/>
      <w:r w:rsidRPr="003A317B">
        <w:rPr>
          <w:lang w:val="en-US"/>
        </w:rPr>
        <w:t>Lucerna</w:t>
      </w:r>
      <w:proofErr w:type="spellEnd"/>
      <w:r w:rsidRPr="003A317B">
        <w:rPr>
          <w:lang w:val="en-US"/>
        </w:rPr>
        <w:t xml:space="preserve"> school in Antwerp</w:t>
      </w:r>
      <w:r w:rsidRPr="003A317B">
        <w:rPr>
          <w:vertAlign w:val="superscript"/>
          <w:lang w:val="en-US"/>
        </w:rPr>
        <w:footnoteReference w:id="51"/>
      </w:r>
      <w:r w:rsidRPr="003A317B">
        <w:rPr>
          <w:lang w:val="en-US"/>
        </w:rPr>
        <w:t xml:space="preserve">, which Gülen movement volunteers made significant contributions to establishing. </w:t>
      </w:r>
      <w:proofErr w:type="gramStart"/>
      <w:r w:rsidRPr="003A317B">
        <w:rPr>
          <w:lang w:val="en-US"/>
        </w:rPr>
        <w:t>( source</w:t>
      </w:r>
      <w:proofErr w:type="gramEnd"/>
      <w:r w:rsidRPr="003A317B">
        <w:rPr>
          <w:lang w:val="en-US"/>
        </w:rPr>
        <w:t xml:space="preserve">  : </w:t>
      </w:r>
      <w:hyperlink r:id="rId24" w:history="1">
        <w:r w:rsidRPr="003A317B">
          <w:rPr>
            <w:rStyle w:val="Hyperlink"/>
            <w:lang w:val="en-US"/>
          </w:rPr>
          <w:t>https://hizmetpurge.wordpress.com/2016/08/23/500/</w:t>
        </w:r>
      </w:hyperlink>
      <w:r w:rsidRPr="003A317B">
        <w:rPr>
          <w:lang w:val="en-US"/>
        </w:rPr>
        <w:t xml:space="preserve"> )</w:t>
      </w:r>
    </w:p>
    <w:p w14:paraId="29825955" w14:textId="77777777" w:rsidR="003A317B" w:rsidRPr="003A317B" w:rsidRDefault="003A317B" w:rsidP="0049268A">
      <w:pPr>
        <w:rPr>
          <w:lang w:val="en-US"/>
        </w:rPr>
      </w:pPr>
      <w:proofErr w:type="gramStart"/>
      <w:r w:rsidRPr="003A317B">
        <w:rPr>
          <w:lang w:val="en-US"/>
        </w:rPr>
        <w:t>On</w:t>
      </w:r>
      <w:proofErr w:type="gramEnd"/>
      <w:r w:rsidRPr="003A317B">
        <w:rPr>
          <w:lang w:val="en-US"/>
        </w:rPr>
        <w:t xml:space="preserve"> July 2016, the building and window of Vuslat Ghent office</w:t>
      </w:r>
      <w:r w:rsidRPr="003A317B">
        <w:rPr>
          <w:vertAlign w:val="superscript"/>
          <w:lang w:val="en-US"/>
        </w:rPr>
        <w:footnoteReference w:id="52"/>
      </w:r>
      <w:r w:rsidRPr="003A317B">
        <w:rPr>
          <w:lang w:val="en-US"/>
        </w:rPr>
        <w:t xml:space="preserve"> were stoned by unidentified people and the window of the office was broken. </w:t>
      </w:r>
      <w:proofErr w:type="gramStart"/>
      <w:r w:rsidRPr="003A317B">
        <w:rPr>
          <w:lang w:val="en-US"/>
        </w:rPr>
        <w:t>( source</w:t>
      </w:r>
      <w:proofErr w:type="gramEnd"/>
      <w:r w:rsidRPr="003A317B">
        <w:rPr>
          <w:lang w:val="en-US"/>
        </w:rPr>
        <w:t xml:space="preserve"> : </w:t>
      </w:r>
      <w:hyperlink r:id="rId25" w:history="1">
        <w:r w:rsidRPr="003A317B">
          <w:rPr>
            <w:rStyle w:val="Hyperlink"/>
            <w:lang w:val="en-US"/>
          </w:rPr>
          <w:t>https://hizmetpurge.wordpress.com/2016/08/23/512/</w:t>
        </w:r>
      </w:hyperlink>
      <w:r w:rsidRPr="003A317B">
        <w:rPr>
          <w:lang w:val="en-US"/>
        </w:rPr>
        <w:t xml:space="preserve"> ) </w:t>
      </w:r>
    </w:p>
    <w:p w14:paraId="08A9DD30" w14:textId="4BCAC7A7" w:rsidR="003A317B" w:rsidRPr="0049268A" w:rsidRDefault="003A317B" w:rsidP="0049268A">
      <w:pPr>
        <w:rPr>
          <w:i/>
          <w:iCs/>
          <w:lang w:val="tr-TR"/>
        </w:rPr>
      </w:pPr>
      <w:bookmarkStart w:id="20" w:name="_Toc168473477"/>
      <w:r w:rsidRPr="0049268A">
        <w:rPr>
          <w:i/>
          <w:iCs/>
          <w:lang w:val="en-US"/>
        </w:rPr>
        <w:t>Examples of ‘’F</w:t>
      </w:r>
      <w:r w:rsidRPr="0049268A">
        <w:rPr>
          <w:i/>
          <w:iCs/>
          <w:lang w:val="tr-TR"/>
        </w:rPr>
        <w:t xml:space="preserve">ETÖ’’ </w:t>
      </w:r>
      <w:proofErr w:type="spellStart"/>
      <w:r w:rsidRPr="0049268A">
        <w:rPr>
          <w:i/>
          <w:iCs/>
          <w:lang w:val="tr-TR"/>
        </w:rPr>
        <w:t>Hate</w:t>
      </w:r>
      <w:proofErr w:type="spellEnd"/>
      <w:r w:rsidRPr="0049268A">
        <w:rPr>
          <w:i/>
          <w:iCs/>
          <w:lang w:val="tr-TR"/>
        </w:rPr>
        <w:t xml:space="preserve"> Speech</w:t>
      </w:r>
      <w:bookmarkEnd w:id="20"/>
      <w:r w:rsidRPr="0049268A">
        <w:rPr>
          <w:i/>
          <w:iCs/>
          <w:lang w:val="tr-TR"/>
        </w:rPr>
        <w:t xml:space="preserve"> </w:t>
      </w:r>
    </w:p>
    <w:p w14:paraId="24426B1C" w14:textId="77777777" w:rsidR="003A317B" w:rsidRPr="003A317B" w:rsidRDefault="003A317B" w:rsidP="0049268A">
      <w:pPr>
        <w:rPr>
          <w:lang w:val="fr-BE"/>
        </w:rPr>
      </w:pPr>
      <w:r w:rsidRPr="003A317B">
        <w:rPr>
          <w:lang w:val="en-US"/>
        </w:rPr>
        <w:t>On 21 January 2023</w:t>
      </w:r>
      <w:r w:rsidRPr="003A317B">
        <w:rPr>
          <w:vertAlign w:val="superscript"/>
          <w:lang w:val="en-US"/>
        </w:rPr>
        <w:footnoteReference w:id="53"/>
      </w:r>
      <w:r w:rsidRPr="003A317B">
        <w:rPr>
          <w:lang w:val="en-US"/>
        </w:rPr>
        <w:t xml:space="preserve">, Köksal Kuş, Union of European Democrats (UID) Chairman, in his statement said that the fact that they [Germany] do not recognize ‘’FETÖ’’ members does not mean much to us… They [‘’FETÖ’’ members] are especially effective in the press and social media and they spread them,” “While answering the question asked by our citizens about terrorist organizations, we see that they may have misinterpreted it, perhaps exceeding its purpose,” and “They will resort to all kinds of ways to provoke the elections. Recently, we </w:t>
      </w:r>
      <w:proofErr w:type="gramStart"/>
      <w:r w:rsidRPr="003A317B">
        <w:rPr>
          <w:lang w:val="en-US"/>
        </w:rPr>
        <w:t>see</w:t>
      </w:r>
      <w:proofErr w:type="gramEnd"/>
      <w:r w:rsidRPr="003A317B">
        <w:rPr>
          <w:lang w:val="en-US"/>
        </w:rPr>
        <w:t xml:space="preserve"> that some groups have taken action to provoke the elections and that ‘’FETÖ’’ members are behind these incidents. They are especially effective in the press and social </w:t>
      </w:r>
      <w:proofErr w:type="gramStart"/>
      <w:r w:rsidRPr="003A317B">
        <w:rPr>
          <w:lang w:val="en-US"/>
        </w:rPr>
        <w:t>media</w:t>
      </w:r>
      <w:proofErr w:type="gramEnd"/>
      <w:r w:rsidRPr="003A317B">
        <w:rPr>
          <w:lang w:val="en-US"/>
        </w:rPr>
        <w:t xml:space="preserve"> and they spread them.” </w:t>
      </w:r>
      <w:proofErr w:type="gramStart"/>
      <w:r w:rsidRPr="003A317B">
        <w:rPr>
          <w:lang w:val="fr-BE"/>
        </w:rPr>
        <w:t>( source</w:t>
      </w:r>
      <w:proofErr w:type="gramEnd"/>
      <w:r w:rsidRPr="003A317B">
        <w:rPr>
          <w:lang w:val="fr-BE"/>
        </w:rPr>
        <w:t xml:space="preserve"> : </w:t>
      </w:r>
      <w:hyperlink r:id="rId26" w:history="1">
        <w:r w:rsidRPr="003A317B">
          <w:rPr>
            <w:rStyle w:val="Hyperlink"/>
            <w:lang w:val="fr-BE"/>
          </w:rPr>
          <w:t>https://kronos36.news/tr/akpnin-avrupa-kolunun-baskani-koksal-kus-almanyanin-teror-orgutu-tanimamasi-bir-sey-ifade-etmez/</w:t>
        </w:r>
      </w:hyperlink>
      <w:r w:rsidRPr="003A317B">
        <w:rPr>
          <w:lang w:val="fr-BE"/>
        </w:rPr>
        <w:t xml:space="preserve"> ) </w:t>
      </w:r>
    </w:p>
    <w:p w14:paraId="4B3A85A5" w14:textId="77777777" w:rsidR="003A317B" w:rsidRPr="003A317B" w:rsidRDefault="003A317B" w:rsidP="0049268A">
      <w:pPr>
        <w:rPr>
          <w:lang w:val="fr-BE"/>
        </w:rPr>
      </w:pPr>
      <w:r w:rsidRPr="003A317B">
        <w:rPr>
          <w:lang w:val="en-US"/>
        </w:rPr>
        <w:t>On 27 January 2023</w:t>
      </w:r>
      <w:r w:rsidRPr="003A317B">
        <w:rPr>
          <w:vertAlign w:val="superscript"/>
          <w:lang w:val="en-US"/>
        </w:rPr>
        <w:footnoteReference w:id="54"/>
      </w:r>
      <w:r w:rsidRPr="003A317B">
        <w:rPr>
          <w:lang w:val="en-US"/>
        </w:rPr>
        <w:t xml:space="preserve">, Abdurrahman </w:t>
      </w:r>
      <w:r w:rsidRPr="003A317B">
        <w:rPr>
          <w:lang w:val="tr-TR"/>
        </w:rPr>
        <w:t xml:space="preserve">Şimşek, </w:t>
      </w:r>
      <w:proofErr w:type="spellStart"/>
      <w:r w:rsidRPr="003A317B">
        <w:rPr>
          <w:lang w:val="tr-TR"/>
        </w:rPr>
        <w:t>journalist</w:t>
      </w:r>
      <w:proofErr w:type="spellEnd"/>
      <w:r w:rsidRPr="003A317B">
        <w:rPr>
          <w:lang w:val="tr-TR"/>
        </w:rPr>
        <w:t xml:space="preserve">, in his </w:t>
      </w:r>
      <w:proofErr w:type="spellStart"/>
      <w:r w:rsidRPr="003A317B">
        <w:rPr>
          <w:lang w:val="tr-TR"/>
        </w:rPr>
        <w:t>news</w:t>
      </w:r>
      <w:proofErr w:type="spellEnd"/>
      <w:r w:rsidRPr="003A317B">
        <w:rPr>
          <w:lang w:val="tr-TR"/>
        </w:rPr>
        <w:t xml:space="preserve"> </w:t>
      </w:r>
      <w:proofErr w:type="spellStart"/>
      <w:r w:rsidRPr="003A317B">
        <w:rPr>
          <w:lang w:val="tr-TR"/>
        </w:rPr>
        <w:t>said</w:t>
      </w:r>
      <w:proofErr w:type="spellEnd"/>
      <w:r w:rsidRPr="003A317B">
        <w:rPr>
          <w:lang w:val="tr-TR"/>
        </w:rPr>
        <w:t xml:space="preserve"> </w:t>
      </w:r>
      <w:proofErr w:type="spellStart"/>
      <w:r w:rsidRPr="003A317B">
        <w:rPr>
          <w:lang w:val="tr-TR"/>
        </w:rPr>
        <w:t>that</w:t>
      </w:r>
      <w:proofErr w:type="spellEnd"/>
      <w:r w:rsidRPr="003A317B">
        <w:rPr>
          <w:lang w:val="tr-TR"/>
        </w:rPr>
        <w:t xml:space="preserve"> “</w:t>
      </w:r>
      <w:proofErr w:type="spellStart"/>
      <w:r w:rsidRPr="003A317B">
        <w:rPr>
          <w:lang w:val="tr-TR"/>
        </w:rPr>
        <w:t>FETÖ’s</w:t>
      </w:r>
      <w:proofErr w:type="spellEnd"/>
      <w:r w:rsidRPr="003A317B">
        <w:rPr>
          <w:lang w:val="tr-TR"/>
        </w:rPr>
        <w:t xml:space="preserve">'' </w:t>
      </w:r>
      <w:proofErr w:type="spellStart"/>
      <w:r w:rsidRPr="003A317B">
        <w:rPr>
          <w:lang w:val="tr-TR"/>
        </w:rPr>
        <w:t>corruptor</w:t>
      </w:r>
      <w:proofErr w:type="spellEnd"/>
      <w:r w:rsidRPr="003A317B">
        <w:rPr>
          <w:lang w:val="tr-TR"/>
        </w:rPr>
        <w:t xml:space="preserve"> of </w:t>
      </w:r>
      <w:proofErr w:type="spellStart"/>
      <w:r w:rsidRPr="003A317B">
        <w:rPr>
          <w:lang w:val="tr-TR"/>
        </w:rPr>
        <w:t>religion</w:t>
      </w:r>
      <w:proofErr w:type="spellEnd"/>
      <w:r w:rsidRPr="003A317B">
        <w:rPr>
          <w:lang w:val="tr-TR"/>
        </w:rPr>
        <w:t xml:space="preserve">, </w:t>
      </w:r>
      <w:proofErr w:type="spellStart"/>
      <w:r w:rsidRPr="003A317B">
        <w:rPr>
          <w:lang w:val="tr-TR"/>
        </w:rPr>
        <w:t>treasonous</w:t>
      </w:r>
      <w:proofErr w:type="spellEnd"/>
      <w:r w:rsidRPr="003A317B">
        <w:rPr>
          <w:lang w:val="tr-TR"/>
        </w:rPr>
        <w:t xml:space="preserve"> </w:t>
      </w:r>
      <w:proofErr w:type="spellStart"/>
      <w:r w:rsidRPr="003A317B">
        <w:rPr>
          <w:lang w:val="tr-TR"/>
        </w:rPr>
        <w:t>projects</w:t>
      </w:r>
      <w:proofErr w:type="spellEnd"/>
      <w:r w:rsidRPr="003A317B">
        <w:rPr>
          <w:lang w:val="tr-TR"/>
        </w:rPr>
        <w:t xml:space="preserve">, </w:t>
      </w:r>
      <w:proofErr w:type="spellStart"/>
      <w:r w:rsidRPr="003A317B">
        <w:rPr>
          <w:lang w:val="tr-TR"/>
        </w:rPr>
        <w:t>subcontracted</w:t>
      </w:r>
      <w:proofErr w:type="spellEnd"/>
      <w:r w:rsidRPr="003A317B">
        <w:rPr>
          <w:lang w:val="tr-TR"/>
        </w:rPr>
        <w:t xml:space="preserve"> </w:t>
      </w:r>
      <w:proofErr w:type="spellStart"/>
      <w:r w:rsidRPr="003A317B">
        <w:rPr>
          <w:lang w:val="tr-TR"/>
        </w:rPr>
        <w:t>by</w:t>
      </w:r>
      <w:proofErr w:type="spellEnd"/>
      <w:r w:rsidRPr="003A317B">
        <w:rPr>
          <w:lang w:val="tr-TR"/>
        </w:rPr>
        <w:t xml:space="preserve"> ''FETÖ'', </w:t>
      </w:r>
      <w:proofErr w:type="spellStart"/>
      <w:r w:rsidRPr="003A317B">
        <w:rPr>
          <w:lang w:val="tr-TR"/>
        </w:rPr>
        <w:t>Vatican-based</w:t>
      </w:r>
      <w:proofErr w:type="spellEnd"/>
      <w:r w:rsidRPr="003A317B">
        <w:rPr>
          <w:lang w:val="tr-TR"/>
        </w:rPr>
        <w:t xml:space="preserve">, </w:t>
      </w:r>
      <w:proofErr w:type="spellStart"/>
      <w:r w:rsidRPr="003A317B">
        <w:rPr>
          <w:lang w:val="tr-TR"/>
        </w:rPr>
        <w:t>umbrella</w:t>
      </w:r>
      <w:proofErr w:type="spellEnd"/>
      <w:r w:rsidRPr="003A317B">
        <w:rPr>
          <w:lang w:val="tr-TR"/>
        </w:rPr>
        <w:t xml:space="preserve"> </w:t>
      </w:r>
      <w:proofErr w:type="spellStart"/>
      <w:r w:rsidRPr="003A317B">
        <w:rPr>
          <w:lang w:val="tr-TR"/>
        </w:rPr>
        <w:t>religion</w:t>
      </w:r>
      <w:proofErr w:type="spellEnd"/>
      <w:r w:rsidRPr="003A317B">
        <w:rPr>
          <w:lang w:val="tr-TR"/>
        </w:rPr>
        <w:t>, ''</w:t>
      </w:r>
      <w:proofErr w:type="spellStart"/>
      <w:r w:rsidRPr="003A317B">
        <w:rPr>
          <w:lang w:val="tr-TR"/>
        </w:rPr>
        <w:t>FETÖ’s</w:t>
      </w:r>
      <w:proofErr w:type="spellEnd"/>
      <w:r w:rsidRPr="003A317B">
        <w:rPr>
          <w:lang w:val="tr-TR"/>
        </w:rPr>
        <w:t xml:space="preserve">'' </w:t>
      </w:r>
      <w:proofErr w:type="spellStart"/>
      <w:r w:rsidRPr="003A317B">
        <w:rPr>
          <w:lang w:val="tr-TR"/>
        </w:rPr>
        <w:t>mastermind</w:t>
      </w:r>
      <w:proofErr w:type="spellEnd"/>
      <w:r w:rsidRPr="003A317B">
        <w:rPr>
          <w:lang w:val="tr-TR"/>
        </w:rPr>
        <w:t xml:space="preserve">, </w:t>
      </w:r>
      <w:proofErr w:type="spellStart"/>
      <w:r w:rsidRPr="003A317B">
        <w:rPr>
          <w:lang w:val="tr-TR"/>
        </w:rPr>
        <w:t>the</w:t>
      </w:r>
      <w:proofErr w:type="spellEnd"/>
      <w:r w:rsidRPr="003A317B">
        <w:rPr>
          <w:lang w:val="tr-TR"/>
        </w:rPr>
        <w:t xml:space="preserve"> </w:t>
      </w:r>
      <w:proofErr w:type="spellStart"/>
      <w:r w:rsidRPr="003A317B">
        <w:rPr>
          <w:lang w:val="tr-TR"/>
        </w:rPr>
        <w:t>project</w:t>
      </w:r>
      <w:proofErr w:type="spellEnd"/>
      <w:r w:rsidRPr="003A317B">
        <w:rPr>
          <w:lang w:val="tr-TR"/>
        </w:rPr>
        <w:t xml:space="preserve"> </w:t>
      </w:r>
      <w:proofErr w:type="spellStart"/>
      <w:r w:rsidRPr="003A317B">
        <w:rPr>
          <w:lang w:val="tr-TR"/>
        </w:rPr>
        <w:t>to</w:t>
      </w:r>
      <w:proofErr w:type="spellEnd"/>
      <w:r w:rsidRPr="003A317B">
        <w:rPr>
          <w:lang w:val="tr-TR"/>
        </w:rPr>
        <w:t xml:space="preserve"> </w:t>
      </w:r>
      <w:proofErr w:type="spellStart"/>
      <w:r w:rsidRPr="003A317B">
        <w:rPr>
          <w:lang w:val="tr-TR"/>
        </w:rPr>
        <w:t>destroy</w:t>
      </w:r>
      <w:proofErr w:type="spellEnd"/>
      <w:r w:rsidRPr="003A317B">
        <w:rPr>
          <w:lang w:val="tr-TR"/>
        </w:rPr>
        <w:t xml:space="preserve"> </w:t>
      </w:r>
      <w:proofErr w:type="spellStart"/>
      <w:r w:rsidRPr="003A317B">
        <w:rPr>
          <w:lang w:val="tr-TR"/>
        </w:rPr>
        <w:t>religion</w:t>
      </w:r>
      <w:proofErr w:type="spellEnd"/>
      <w:r w:rsidRPr="003A317B">
        <w:rPr>
          <w:lang w:val="tr-TR"/>
        </w:rPr>
        <w:t xml:space="preserve">, a </w:t>
      </w:r>
      <w:proofErr w:type="spellStart"/>
      <w:r w:rsidRPr="003A317B">
        <w:rPr>
          <w:lang w:val="tr-TR"/>
        </w:rPr>
        <w:t>fugitive</w:t>
      </w:r>
      <w:proofErr w:type="spellEnd"/>
      <w:r w:rsidRPr="003A317B">
        <w:rPr>
          <w:lang w:val="tr-TR"/>
        </w:rPr>
        <w:t xml:space="preserve"> of </w:t>
      </w:r>
      <w:proofErr w:type="spellStart"/>
      <w:r w:rsidRPr="003A317B">
        <w:rPr>
          <w:lang w:val="tr-TR"/>
        </w:rPr>
        <w:t>the</w:t>
      </w:r>
      <w:proofErr w:type="spellEnd"/>
      <w:r w:rsidRPr="003A317B">
        <w:rPr>
          <w:lang w:val="tr-TR"/>
        </w:rPr>
        <w:t xml:space="preserve"> </w:t>
      </w:r>
      <w:proofErr w:type="spellStart"/>
      <w:r w:rsidRPr="003A317B">
        <w:rPr>
          <w:lang w:val="tr-TR"/>
        </w:rPr>
        <w:t>organization</w:t>
      </w:r>
      <w:proofErr w:type="spellEnd"/>
      <w:r w:rsidRPr="003A317B">
        <w:rPr>
          <w:lang w:val="tr-TR"/>
        </w:rPr>
        <w:t xml:space="preserve">, ''FETÖ'' </w:t>
      </w:r>
      <w:proofErr w:type="spellStart"/>
      <w:r w:rsidRPr="003A317B">
        <w:rPr>
          <w:lang w:val="tr-TR"/>
        </w:rPr>
        <w:t>members</w:t>
      </w:r>
      <w:proofErr w:type="spellEnd"/>
      <w:r w:rsidRPr="003A317B">
        <w:rPr>
          <w:lang w:val="tr-TR"/>
        </w:rPr>
        <w:t xml:space="preserve">.” </w:t>
      </w:r>
      <w:proofErr w:type="gramStart"/>
      <w:r w:rsidRPr="003A317B">
        <w:rPr>
          <w:lang w:val="fr-BE"/>
        </w:rPr>
        <w:t>( source</w:t>
      </w:r>
      <w:proofErr w:type="gramEnd"/>
      <w:r w:rsidRPr="003A317B">
        <w:rPr>
          <w:lang w:val="fr-BE"/>
        </w:rPr>
        <w:t xml:space="preserve"> : </w:t>
      </w:r>
      <w:hyperlink r:id="rId27" w:history="1">
        <w:r w:rsidRPr="003A317B">
          <w:rPr>
            <w:rStyle w:val="Hyperlink"/>
            <w:lang w:val="fr-BE"/>
          </w:rPr>
          <w:t>https://www.sabah.com.tr/galeri/gundem/son-dakika-iste-fetonun-din-bozguncusu-sabah-celal-findiki-buldu</w:t>
        </w:r>
      </w:hyperlink>
      <w:r w:rsidRPr="003A317B">
        <w:rPr>
          <w:lang w:val="fr-BE"/>
        </w:rPr>
        <w:t xml:space="preserve"> ) </w:t>
      </w:r>
    </w:p>
    <w:p w14:paraId="2868F679" w14:textId="4B404561" w:rsidR="003A317B" w:rsidRPr="003A317B" w:rsidRDefault="003A317B" w:rsidP="0049268A">
      <w:pPr>
        <w:rPr>
          <w:lang w:val="en-US"/>
        </w:rPr>
      </w:pPr>
      <w:r w:rsidRPr="003A317B">
        <w:rPr>
          <w:lang w:val="en-US"/>
        </w:rPr>
        <w:t>On 14 June 2023</w:t>
      </w:r>
      <w:r w:rsidRPr="003A317B">
        <w:rPr>
          <w:vertAlign w:val="superscript"/>
          <w:lang w:val="en-US"/>
        </w:rPr>
        <w:footnoteReference w:id="55"/>
      </w:r>
      <w:r w:rsidRPr="003A317B">
        <w:rPr>
          <w:lang w:val="en-US"/>
        </w:rPr>
        <w:t xml:space="preserve">, Suat </w:t>
      </w:r>
      <w:proofErr w:type="spellStart"/>
      <w:r w:rsidRPr="003A317B">
        <w:rPr>
          <w:lang w:val="en-US"/>
        </w:rPr>
        <w:t>Bezeng</w:t>
      </w:r>
      <w:proofErr w:type="spellEnd"/>
      <w:r w:rsidRPr="003A317B">
        <w:rPr>
          <w:lang w:val="en-US"/>
        </w:rPr>
        <w:t xml:space="preserve">, Editor-in-Chief of </w:t>
      </w:r>
      <w:proofErr w:type="spellStart"/>
      <w:r w:rsidRPr="003A317B">
        <w:rPr>
          <w:lang w:val="en-US"/>
        </w:rPr>
        <w:t>Aktif</w:t>
      </w:r>
      <w:proofErr w:type="spellEnd"/>
      <w:r w:rsidRPr="003A317B">
        <w:rPr>
          <w:lang w:val="en-US"/>
        </w:rPr>
        <w:t xml:space="preserve"> TV and Chairman of the Board of Directors of </w:t>
      </w:r>
      <w:proofErr w:type="spellStart"/>
      <w:r w:rsidRPr="003A317B">
        <w:rPr>
          <w:lang w:val="en-US"/>
        </w:rPr>
        <w:t>Aktif</w:t>
      </w:r>
      <w:proofErr w:type="spellEnd"/>
      <w:r w:rsidRPr="003A317B">
        <w:rPr>
          <w:lang w:val="en-US"/>
        </w:rPr>
        <w:t xml:space="preserve"> Media, in his X post said that to whom did the Minister of Justice hand over the usurped powers of the Islamic Council of Belgium? Look, officially they are not ashamed to reveal their names! I have been saying this for </w:t>
      </w:r>
      <w:r w:rsidRPr="003A317B">
        <w:rPr>
          <w:lang w:val="en-US"/>
        </w:rPr>
        <w:lastRenderedPageBreak/>
        <w:t>months. Of course, they handed it over to ‘’</w:t>
      </w:r>
      <w:proofErr w:type="gramStart"/>
      <w:r w:rsidRPr="003A317B">
        <w:rPr>
          <w:lang w:val="en-US"/>
        </w:rPr>
        <w:t>FETÖ’’</w:t>
      </w:r>
      <w:proofErr w:type="gramEnd"/>
      <w:r w:rsidRPr="003A317B">
        <w:rPr>
          <w:lang w:val="en-US"/>
        </w:rPr>
        <w:t xml:space="preserve">, why? Because ‘’FETÖ’’ embraces LGBT people. O ‘’FETÖ’’ clowns, let’s see who will go to the mosques you are responsible for? Who will take you for a man and accept the imam you appointed? Let’s see if you can admit LGBTI people into the mosques. Let’s see if you can appoint a woman imam. Let’s see if you can afford it. The ones you take shelter behind (the ones you sit on) will not save you. You will drown with the saliva hanging from your mouth!” </w:t>
      </w:r>
      <w:proofErr w:type="gramStart"/>
      <w:r w:rsidRPr="003A317B">
        <w:rPr>
          <w:lang w:val="en-US"/>
        </w:rPr>
        <w:t>( source</w:t>
      </w:r>
      <w:proofErr w:type="gramEnd"/>
      <w:r w:rsidRPr="003A317B">
        <w:rPr>
          <w:lang w:val="en-US"/>
        </w:rPr>
        <w:t xml:space="preserve"> : </w:t>
      </w:r>
      <w:hyperlink r:id="rId28" w:history="1">
        <w:r w:rsidRPr="003A317B">
          <w:rPr>
            <w:rStyle w:val="Hyperlink"/>
            <w:lang w:val="en-US"/>
          </w:rPr>
          <w:t>https://twitter.com/suatbezeng/status/1669079314640388097</w:t>
        </w:r>
      </w:hyperlink>
      <w:r w:rsidRPr="003A317B">
        <w:rPr>
          <w:lang w:val="en-US"/>
        </w:rPr>
        <w:t xml:space="preserve"> ) </w:t>
      </w:r>
    </w:p>
    <w:p w14:paraId="4D09C312" w14:textId="7BB26730" w:rsidR="003A317B" w:rsidRPr="003A317B" w:rsidRDefault="003A317B" w:rsidP="0049268A">
      <w:pPr>
        <w:rPr>
          <w:lang w:val="en-US"/>
        </w:rPr>
      </w:pPr>
      <w:r w:rsidRPr="003A317B">
        <w:rPr>
          <w:lang w:val="en-US"/>
        </w:rPr>
        <w:t>On 22 June 2023</w:t>
      </w:r>
      <w:r w:rsidRPr="003A317B">
        <w:rPr>
          <w:vertAlign w:val="superscript"/>
          <w:lang w:val="en-US"/>
        </w:rPr>
        <w:footnoteReference w:id="56"/>
      </w:r>
      <w:r w:rsidRPr="003A317B">
        <w:rPr>
          <w:lang w:val="en-US"/>
        </w:rPr>
        <w:t xml:space="preserve">, </w:t>
      </w:r>
      <w:proofErr w:type="spellStart"/>
      <w:r w:rsidRPr="003A317B">
        <w:rPr>
          <w:lang w:val="en-US"/>
        </w:rPr>
        <w:t>Oktan</w:t>
      </w:r>
      <w:proofErr w:type="spellEnd"/>
      <w:r w:rsidRPr="003A317B">
        <w:rPr>
          <w:lang w:val="en-US"/>
        </w:rPr>
        <w:t xml:space="preserve"> </w:t>
      </w:r>
      <w:proofErr w:type="spellStart"/>
      <w:r w:rsidRPr="003A317B">
        <w:rPr>
          <w:lang w:val="en-US"/>
        </w:rPr>
        <w:t>Erdikmen</w:t>
      </w:r>
      <w:proofErr w:type="spellEnd"/>
      <w:r w:rsidRPr="003A317B">
        <w:rPr>
          <w:lang w:val="en-US"/>
        </w:rPr>
        <w:t>, Turkish-origin journalist, in his news said that The Federal Office for the Protection of the Constitution has published its 2022 report</w:t>
      </w:r>
      <w:r w:rsidRPr="003A317B">
        <w:rPr>
          <w:vertAlign w:val="superscript"/>
          <w:lang w:val="en-US"/>
        </w:rPr>
        <w:footnoteReference w:id="57"/>
      </w:r>
      <w:r w:rsidRPr="003A317B">
        <w:rPr>
          <w:lang w:val="en-US"/>
        </w:rPr>
        <w:t xml:space="preserve">. The report mentions Türkiye. Türkiye is listed among the countries involved in espionage activities in Germany, along with Russia, China, Iran, and North Korea. It is noted that there is a particular focus on organizations such as the PKK and </w:t>
      </w:r>
    </w:p>
    <w:p w14:paraId="6DD3EA47" w14:textId="062D8B2F" w:rsidR="003A317B" w:rsidRPr="003A317B" w:rsidRDefault="003A317B" w:rsidP="0049268A">
      <w:pPr>
        <w:rPr>
          <w:lang w:val="fr-BE"/>
        </w:rPr>
      </w:pPr>
      <w:r w:rsidRPr="003A317B">
        <w:rPr>
          <w:lang w:val="en-US"/>
        </w:rPr>
        <w:t xml:space="preserve">''FETÖ''. </w:t>
      </w:r>
      <w:proofErr w:type="gramStart"/>
      <w:r w:rsidRPr="003A317B">
        <w:rPr>
          <w:lang w:val="fr-BE"/>
        </w:rPr>
        <w:t>( source</w:t>
      </w:r>
      <w:proofErr w:type="gramEnd"/>
      <w:r w:rsidRPr="003A317B">
        <w:rPr>
          <w:lang w:val="fr-BE"/>
        </w:rPr>
        <w:t xml:space="preserve"> : </w:t>
      </w:r>
      <w:hyperlink r:id="rId29" w:history="1">
        <w:r w:rsidRPr="003A317B">
          <w:rPr>
            <w:rStyle w:val="Hyperlink"/>
            <w:lang w:val="fr-BE"/>
          </w:rPr>
          <w:t>https://boldmedya.com/2023/06/22/almanyada-turk-asilli-gazetecinin-nefret-soylemi-tepki-cekti/</w:t>
        </w:r>
      </w:hyperlink>
      <w:r w:rsidRPr="003A317B">
        <w:rPr>
          <w:lang w:val="fr-BE"/>
        </w:rPr>
        <w:t xml:space="preserve"> ) </w:t>
      </w:r>
    </w:p>
    <w:p w14:paraId="2E14685F" w14:textId="5A11C33C" w:rsidR="00190F67" w:rsidRDefault="00190F67" w:rsidP="00190F67">
      <w:pPr>
        <w:pStyle w:val="Heading3"/>
        <w:rPr>
          <w:lang w:val="en-GB"/>
        </w:rPr>
      </w:pPr>
      <w:bookmarkStart w:id="21" w:name="_Toc177387349"/>
      <w:r>
        <w:rPr>
          <w:lang w:val="en-GB"/>
        </w:rPr>
        <w:t>Concerns</w:t>
      </w:r>
      <w:bookmarkEnd w:id="21"/>
    </w:p>
    <w:p w14:paraId="3072E6A5" w14:textId="77777777" w:rsidR="00A34829" w:rsidRPr="00A34829" w:rsidRDefault="00A34829" w:rsidP="00A34829">
      <w:r w:rsidRPr="00A34829">
        <w:rPr>
          <w:b/>
          <w:bCs/>
        </w:rPr>
        <w:t>Solidarity With OTHERS</w:t>
      </w:r>
      <w:r w:rsidRPr="00A34829">
        <w:t xml:space="preserve"> is concerned about the weaponization of the term "FETÖ" as hate speech by political leaders and media, which has resulted in widespread discrimination, social ostracization, and severe human rights violations, including arbitrary arrests, torture, and the denial of basic freedoms for individuals associated with the Gülen movement.</w:t>
      </w:r>
    </w:p>
    <w:p w14:paraId="43072561" w14:textId="77777777" w:rsidR="00A34829" w:rsidRPr="00A34829" w:rsidRDefault="00A34829" w:rsidP="00A34829">
      <w:r w:rsidRPr="00A34829">
        <w:rPr>
          <w:b/>
          <w:bCs/>
        </w:rPr>
        <w:t>Solidarity With OTHERS</w:t>
      </w:r>
      <w:r w:rsidRPr="00A34829">
        <w:t xml:space="preserve"> is also alarmed by the spread of hate speech targeting the Gülen movement beyond Turkey's borders, contributing to hate crimes and discrimination in the diaspora, while fostering a climate of fear and repression that impacts the movement’s members and their families globally.</w:t>
      </w:r>
    </w:p>
    <w:p w14:paraId="733ECA3C" w14:textId="06426111" w:rsidR="00176F3F" w:rsidRDefault="00C50D71" w:rsidP="00C50D71">
      <w:pPr>
        <w:pStyle w:val="Heading1"/>
        <w:rPr>
          <w:lang w:val="en-GB"/>
        </w:rPr>
      </w:pPr>
      <w:bookmarkStart w:id="22" w:name="_Toc177387350"/>
      <w:r>
        <w:rPr>
          <w:lang w:val="en-GB"/>
        </w:rPr>
        <w:t>Conclusion</w:t>
      </w:r>
      <w:bookmarkEnd w:id="22"/>
    </w:p>
    <w:p w14:paraId="2AA4C0D0" w14:textId="5A85A318" w:rsidR="00C50D71" w:rsidRDefault="00C50D71" w:rsidP="00C50D71">
      <w:pPr>
        <w:rPr>
          <w:lang w:val="en-GB"/>
        </w:rPr>
      </w:pPr>
      <w:r w:rsidRPr="00C50D71">
        <w:rPr>
          <w:lang w:val="en-GB"/>
        </w:rPr>
        <w:t xml:space="preserve">In conclusion, Solidarity with OTHERS strongly urges the Human Rights Committee to address the grave concerns highlighted throughout this submission. The misuse of counter-terrorism laws, enforced disappearances, extrajudicial abductions, and systemic hate speech have led to widespread human rights violations in Turkey, particularly against members of the Gülen movement and other minority groups. These actions, which blatantly disregard international human rights standards, contribute to a repressive climate that silences dissent and erodes fundamental freedoms. The Turkish government must be held accountable for its violations, and </w:t>
      </w:r>
      <w:r w:rsidRPr="00C50D71">
        <w:rPr>
          <w:lang w:val="en-GB"/>
        </w:rPr>
        <w:lastRenderedPageBreak/>
        <w:t>immediate actions are required to restore justice, protect vulnerable populations, and uphold the rule of law. We call on the international community to ensure that Turkey complies with its obligations under international law and ceases its ongoing suppression of civil society.</w:t>
      </w:r>
    </w:p>
    <w:p w14:paraId="3EEECF36" w14:textId="595D2B7B" w:rsidR="00C50D71" w:rsidRPr="00C50D71" w:rsidRDefault="00C50D71" w:rsidP="00C50D71">
      <w:pPr>
        <w:ind w:firstLine="360"/>
        <w:rPr>
          <w:b/>
          <w:bCs/>
          <w:i/>
          <w:iCs/>
          <w:color w:val="215E99" w:themeColor="text2" w:themeTint="BF"/>
          <w:lang w:val="en-GB"/>
        </w:rPr>
      </w:pPr>
      <w:r w:rsidRPr="00C50D71">
        <w:rPr>
          <w:b/>
          <w:bCs/>
          <w:i/>
          <w:iCs/>
          <w:color w:val="215E99" w:themeColor="text2" w:themeTint="BF"/>
          <w:lang w:val="en-GB"/>
        </w:rPr>
        <w:t xml:space="preserve">Summary of Concerns: </w:t>
      </w:r>
    </w:p>
    <w:p w14:paraId="4808895D" w14:textId="668FCE88" w:rsidR="00C50D71" w:rsidRPr="00C50D71" w:rsidRDefault="00C50D71" w:rsidP="00C50D71">
      <w:pPr>
        <w:pStyle w:val="ListParagraph"/>
        <w:numPr>
          <w:ilvl w:val="0"/>
          <w:numId w:val="36"/>
        </w:numPr>
        <w:rPr>
          <w:lang w:val="en-BE"/>
        </w:rPr>
      </w:pPr>
      <w:r w:rsidRPr="00C50D71">
        <w:rPr>
          <w:lang w:val="en-BE"/>
        </w:rPr>
        <w:t>The misuse of Turkey’s counter-terrorism framework, which is overly broad and vague, criminalizes lawful activities and allows for arbitrary prosecutions in violation of international standards.</w:t>
      </w:r>
    </w:p>
    <w:p w14:paraId="0A8A9838" w14:textId="2264F3A8" w:rsidR="00C50D71" w:rsidRPr="00C50D71" w:rsidRDefault="00C50D71" w:rsidP="00C50D71">
      <w:pPr>
        <w:pStyle w:val="ListParagraph"/>
        <w:numPr>
          <w:ilvl w:val="0"/>
          <w:numId w:val="36"/>
        </w:numPr>
        <w:rPr>
          <w:lang w:val="en-BE"/>
        </w:rPr>
      </w:pPr>
      <w:r w:rsidRPr="00C50D71">
        <w:rPr>
          <w:lang w:val="en-BE"/>
        </w:rPr>
        <w:t>Turkey’s counter-terrorism laws are being applied to silence political opposition and civil society, targeting individuals like Selahattin Demirtaş and organizations such as GÖÇİZDER and DİAYDER.</w:t>
      </w:r>
    </w:p>
    <w:p w14:paraId="01FE513F" w14:textId="79937F14" w:rsidR="00C50D71" w:rsidRPr="00C50D71" w:rsidRDefault="00C50D71" w:rsidP="00C50D71">
      <w:pPr>
        <w:pStyle w:val="ListParagraph"/>
        <w:numPr>
          <w:ilvl w:val="0"/>
          <w:numId w:val="36"/>
        </w:numPr>
        <w:rPr>
          <w:lang w:val="en-BE"/>
        </w:rPr>
      </w:pPr>
      <w:r w:rsidRPr="00C50D71">
        <w:rPr>
          <w:lang w:val="en-BE"/>
        </w:rPr>
        <w:t xml:space="preserve">The arbitrary detention of individuals, including minors, under vague terrorism charges, as seen in the May 7, </w:t>
      </w:r>
      <w:proofErr w:type="gramStart"/>
      <w:r w:rsidRPr="00C50D71">
        <w:rPr>
          <w:lang w:val="en-BE"/>
        </w:rPr>
        <w:t>2024</w:t>
      </w:r>
      <w:proofErr w:type="gramEnd"/>
      <w:r w:rsidRPr="00C50D71">
        <w:rPr>
          <w:lang w:val="en-BE"/>
        </w:rPr>
        <w:t xml:space="preserve"> operation, shows how these laws lack clarity and transparency, leading to unjust detentions for routine social and educational activities.</w:t>
      </w:r>
    </w:p>
    <w:p w14:paraId="147F9A82" w14:textId="44B7D6DE" w:rsidR="00C50D71" w:rsidRPr="00C50D71" w:rsidRDefault="00C50D71" w:rsidP="00C50D71">
      <w:pPr>
        <w:pStyle w:val="ListParagraph"/>
        <w:numPr>
          <w:ilvl w:val="0"/>
          <w:numId w:val="36"/>
        </w:numPr>
        <w:rPr>
          <w:lang w:val="en-BE"/>
        </w:rPr>
      </w:pPr>
      <w:r w:rsidRPr="00C50D71">
        <w:rPr>
          <w:lang w:val="en-BE"/>
        </w:rPr>
        <w:t xml:space="preserve">Turkey’s counter-terrorism laws violate international standards on freedom of expression and association, as underscored by the European Court of Human Rights in cases like </w:t>
      </w:r>
      <w:r w:rsidRPr="00C50D71">
        <w:rPr>
          <w:i/>
          <w:iCs/>
          <w:lang w:val="en-BE"/>
        </w:rPr>
        <w:t>Demirtaş v. Turkey</w:t>
      </w:r>
      <w:r w:rsidRPr="00C50D71">
        <w:rPr>
          <w:lang w:val="en-BE"/>
        </w:rPr>
        <w:t>, where peaceful activities have been wrongfully criminalized.</w:t>
      </w:r>
    </w:p>
    <w:p w14:paraId="7E571EAE" w14:textId="4F1D1AE4" w:rsidR="00C50D71" w:rsidRPr="00C50D71" w:rsidRDefault="00C50D71" w:rsidP="00C50D71">
      <w:pPr>
        <w:pStyle w:val="ListParagraph"/>
        <w:numPr>
          <w:ilvl w:val="0"/>
          <w:numId w:val="36"/>
        </w:numPr>
        <w:rPr>
          <w:lang w:val="en-BE"/>
        </w:rPr>
      </w:pPr>
      <w:r w:rsidRPr="00C50D71">
        <w:rPr>
          <w:lang w:val="en-BE"/>
        </w:rPr>
        <w:t>The misuse of asset freezing under Turkey’s terrorism financing laws has been employed to target dissidents and opposition groups without clear evidence, resulting in severe consequences for individuals unfairly branded as terrorists.</w:t>
      </w:r>
    </w:p>
    <w:p w14:paraId="6F40E58E" w14:textId="15D05017" w:rsidR="00C50D71" w:rsidRPr="00C50D71" w:rsidRDefault="00C50D71" w:rsidP="00C50D71">
      <w:pPr>
        <w:pStyle w:val="ListParagraph"/>
        <w:numPr>
          <w:ilvl w:val="0"/>
          <w:numId w:val="36"/>
        </w:numPr>
        <w:rPr>
          <w:lang w:val="en-BE"/>
        </w:rPr>
      </w:pPr>
      <w:r w:rsidRPr="00C50D71">
        <w:rPr>
          <w:lang w:val="en-BE"/>
        </w:rPr>
        <w:t>Turkey’s use of enforced disappearances since the 2016 coup attempt violates international human rights law, and there is a demand for the immediate cessation of this practice and accountability for those responsible.</w:t>
      </w:r>
    </w:p>
    <w:p w14:paraId="27B36B9A" w14:textId="09F0A61B" w:rsidR="00C50D71" w:rsidRPr="00C50D71" w:rsidRDefault="00C50D71" w:rsidP="00C50D71">
      <w:pPr>
        <w:pStyle w:val="ListParagraph"/>
        <w:numPr>
          <w:ilvl w:val="0"/>
          <w:numId w:val="36"/>
        </w:numPr>
        <w:rPr>
          <w:lang w:val="en-BE"/>
        </w:rPr>
      </w:pPr>
      <w:r w:rsidRPr="00C50D71">
        <w:rPr>
          <w:lang w:val="en-BE"/>
        </w:rPr>
        <w:t>Turkey is engaging in illegal extraterritorial abductions, disregarding legal extradition processes, and must release all abducted individuals and halt such operations abroad.</w:t>
      </w:r>
    </w:p>
    <w:p w14:paraId="2933C5E5" w14:textId="0F2053FF" w:rsidR="00C50D71" w:rsidRPr="00C50D71" w:rsidRDefault="00C50D71" w:rsidP="00C50D71">
      <w:pPr>
        <w:pStyle w:val="ListParagraph"/>
        <w:numPr>
          <w:ilvl w:val="0"/>
          <w:numId w:val="36"/>
        </w:numPr>
        <w:rPr>
          <w:lang w:val="en-BE"/>
        </w:rPr>
      </w:pPr>
      <w:r w:rsidRPr="00C50D71">
        <w:rPr>
          <w:lang w:val="en-BE"/>
        </w:rPr>
        <w:t>The abuse of international mechanisms like Interpol Red Notices and asset freezes by Turkey to target political dissidents is concerning, and international bodies are called to investigate and prevent the misuse of these tools for political repression.</w:t>
      </w:r>
    </w:p>
    <w:p w14:paraId="423B9897" w14:textId="096138F5" w:rsidR="00C50D71" w:rsidRPr="00C50D71" w:rsidRDefault="00C50D71" w:rsidP="00C50D71">
      <w:pPr>
        <w:pStyle w:val="ListParagraph"/>
        <w:numPr>
          <w:ilvl w:val="0"/>
          <w:numId w:val="36"/>
        </w:numPr>
        <w:rPr>
          <w:lang w:val="en-BE"/>
        </w:rPr>
      </w:pPr>
      <w:r w:rsidRPr="00C50D71">
        <w:rPr>
          <w:lang w:val="en-BE"/>
        </w:rPr>
        <w:t>The weaponization of the term "FETÖ" as hate speech by political leaders and media has resulted in widespread discrimination, social ostracization, and severe human rights violations, including arbitrary arrests, torture, and denial of basic freedoms for individuals associated with the Gülen movement.</w:t>
      </w:r>
    </w:p>
    <w:p w14:paraId="215BD9A1" w14:textId="511D7063" w:rsidR="00C50D71" w:rsidRPr="00C50D71" w:rsidRDefault="00C50D71" w:rsidP="00C50D71">
      <w:pPr>
        <w:pStyle w:val="ListParagraph"/>
        <w:numPr>
          <w:ilvl w:val="0"/>
          <w:numId w:val="36"/>
        </w:numPr>
        <w:rPr>
          <w:lang w:val="en-GB"/>
        </w:rPr>
      </w:pPr>
      <w:r w:rsidRPr="00C50D71">
        <w:rPr>
          <w:lang w:val="en-BE"/>
        </w:rPr>
        <w:t xml:space="preserve">The spread of hate speech targeting the Gülen movement beyond Turkey's borders is contributing to hate crimes and discrimination in the diaspora, </w:t>
      </w:r>
      <w:r w:rsidRPr="00C50D71">
        <w:rPr>
          <w:lang w:val="en-BE"/>
        </w:rPr>
        <w:lastRenderedPageBreak/>
        <w:t>fostering a climate of fear and repression that affects the movement’s members and their families globally.</w:t>
      </w:r>
    </w:p>
    <w:sectPr w:rsidR="00C50D71" w:rsidRPr="00C50D71" w:rsidSect="002D4723">
      <w:headerReference w:type="default" r:id="rId30"/>
      <w:footerReference w:type="defaul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CE8A88" w14:textId="77777777" w:rsidR="008B7554" w:rsidRDefault="008B7554" w:rsidP="006669DA">
      <w:pPr>
        <w:spacing w:after="0"/>
      </w:pPr>
      <w:r>
        <w:separator/>
      </w:r>
    </w:p>
  </w:endnote>
  <w:endnote w:type="continuationSeparator" w:id="0">
    <w:p w14:paraId="6E7E7C7F" w14:textId="77777777" w:rsidR="008B7554" w:rsidRDefault="008B7554" w:rsidP="006669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3433553"/>
      <w:docPartObj>
        <w:docPartGallery w:val="Page Numbers (Bottom of Page)"/>
        <w:docPartUnique/>
      </w:docPartObj>
    </w:sdtPr>
    <w:sdtEndPr>
      <w:rPr>
        <w:noProof/>
      </w:rPr>
    </w:sdtEndPr>
    <w:sdtContent>
      <w:p w14:paraId="55905141" w14:textId="649C9676" w:rsidR="00760ED7" w:rsidRDefault="00760E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DCC38B" w14:textId="77777777" w:rsidR="00760ED7" w:rsidRDefault="00760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C44165" w14:textId="77777777" w:rsidR="008B7554" w:rsidRDefault="008B7554" w:rsidP="006669DA">
      <w:pPr>
        <w:spacing w:after="0"/>
      </w:pPr>
      <w:r>
        <w:separator/>
      </w:r>
    </w:p>
  </w:footnote>
  <w:footnote w:type="continuationSeparator" w:id="0">
    <w:p w14:paraId="3165077E" w14:textId="77777777" w:rsidR="008B7554" w:rsidRDefault="008B7554" w:rsidP="006669DA">
      <w:pPr>
        <w:spacing w:after="0"/>
      </w:pPr>
      <w:r>
        <w:continuationSeparator/>
      </w:r>
    </w:p>
  </w:footnote>
  <w:footnote w:id="1">
    <w:p w14:paraId="5B1C7664" w14:textId="63824FDE" w:rsidR="00C50D71" w:rsidRPr="00C50D71" w:rsidRDefault="00C50D71">
      <w:pPr>
        <w:pStyle w:val="FootnoteText"/>
      </w:pPr>
      <w:r>
        <w:rPr>
          <w:rStyle w:val="FootnoteReference"/>
        </w:rPr>
        <w:footnoteRef/>
      </w:r>
      <w:r>
        <w:t xml:space="preserve"> </w:t>
      </w:r>
      <w:r w:rsidRPr="00344E27">
        <w:t>An Atta</w:t>
      </w:r>
      <w:r>
        <w:t>c</w:t>
      </w:r>
      <w:r w:rsidRPr="00344E27">
        <w:t xml:space="preserve">k </w:t>
      </w:r>
      <w:r>
        <w:t xml:space="preserve">on the Future, Solidarity with Others, </w:t>
      </w:r>
      <w:hyperlink r:id="rId1" w:history="1">
        <w:r w:rsidRPr="006A1CF1">
          <w:rPr>
            <w:rStyle w:val="Hyperlink"/>
          </w:rPr>
          <w:t>https://www.solidaritywithothers.com/_files/ugd/b886b2_e725982b64ac4ed4a9ca200af61f676c.pdf</w:t>
        </w:r>
      </w:hyperlink>
      <w:r w:rsidRPr="00344E27">
        <w:t xml:space="preserve"> </w:t>
      </w:r>
    </w:p>
  </w:footnote>
  <w:footnote w:id="2">
    <w:p w14:paraId="1CA39B4E" w14:textId="737F4E46" w:rsidR="00C50D71" w:rsidRPr="00C50D71" w:rsidRDefault="00C50D71">
      <w:pPr>
        <w:pStyle w:val="FootnoteText"/>
        <w:rPr>
          <w:lang w:val="tr-TR"/>
        </w:rPr>
      </w:pPr>
      <w:r>
        <w:rPr>
          <w:rStyle w:val="FootnoteReference"/>
        </w:rPr>
        <w:footnoteRef/>
      </w:r>
      <w:r>
        <w:t xml:space="preserve"> </w:t>
      </w:r>
      <w:r w:rsidRPr="00C50D71">
        <w:t>Yüksel Yalçınkaya and Others v Turkey App no 15669/20 (ECtHR, 8 July 2022)</w:t>
      </w:r>
      <w:r>
        <w:t xml:space="preserve"> </w:t>
      </w:r>
      <w:hyperlink r:id="rId2" w:anchor="{%22fulltext%22:[%22yal%C3%A7%C4%B1nkaya%22],%22documentcollectionid2%22:[%22GRANDCHAMBER%22,%22CHAMBER%22],%22itemid%22:[%22001-227636%22]}" w:history="1">
        <w:r w:rsidRPr="00C50D71">
          <w:rPr>
            <w:rStyle w:val="Hyperlink"/>
          </w:rPr>
          <w:t>accessible here</w:t>
        </w:r>
      </w:hyperlink>
      <w:r>
        <w:t>.</w:t>
      </w:r>
    </w:p>
  </w:footnote>
  <w:footnote w:id="3">
    <w:p w14:paraId="4C081F10" w14:textId="53AE4B14" w:rsidR="00C50D71" w:rsidRPr="00C50D71" w:rsidRDefault="00C50D71" w:rsidP="00C50D71">
      <w:pPr>
        <w:pStyle w:val="FootnoteText"/>
        <w:rPr>
          <w:lang w:val="tr-TR"/>
        </w:rPr>
      </w:pPr>
      <w:r>
        <w:rPr>
          <w:rStyle w:val="FootnoteReference"/>
        </w:rPr>
        <w:footnoteRef/>
      </w:r>
      <w:r>
        <w:t xml:space="preserve"> </w:t>
      </w:r>
      <w:r>
        <w:t>Deadly Threat to Human Rights: Turkey’s Definition of 'Terrorism'</w:t>
      </w:r>
      <w:r>
        <w:t xml:space="preserve">, Solidarity With Others, </w:t>
      </w:r>
      <w:hyperlink r:id="rId3" w:history="1">
        <w:r w:rsidRPr="007135FD">
          <w:rPr>
            <w:rStyle w:val="Hyperlink"/>
          </w:rPr>
          <w:t>https://www.solidaritywithothers.com/_files/ugd/b886b2_63952de2d3b041df8925ebd4105be909.pdf</w:t>
        </w:r>
      </w:hyperlink>
      <w:r>
        <w:t xml:space="preserve"> </w:t>
      </w:r>
    </w:p>
  </w:footnote>
  <w:footnote w:id="4">
    <w:p w14:paraId="219F45B4" w14:textId="6B718FFC" w:rsidR="00C50D71" w:rsidRPr="00C50D71" w:rsidRDefault="00C50D71">
      <w:pPr>
        <w:pStyle w:val="FootnoteText"/>
        <w:rPr>
          <w:lang w:val="tr-TR"/>
        </w:rPr>
      </w:pPr>
      <w:r>
        <w:rPr>
          <w:rStyle w:val="FootnoteReference"/>
        </w:rPr>
        <w:footnoteRef/>
      </w:r>
      <w:r>
        <w:t xml:space="preserve"> </w:t>
      </w:r>
      <w:proofErr w:type="spellStart"/>
      <w:r>
        <w:rPr>
          <w:lang w:val="tr-TR"/>
        </w:rPr>
        <w:t>Weaponizing</w:t>
      </w:r>
      <w:proofErr w:type="spellEnd"/>
      <w:r>
        <w:rPr>
          <w:lang w:val="tr-TR"/>
        </w:rPr>
        <w:t xml:space="preserve"> Counter-</w:t>
      </w:r>
      <w:proofErr w:type="spellStart"/>
      <w:r>
        <w:rPr>
          <w:lang w:val="tr-TR"/>
        </w:rPr>
        <w:t>terrorism</w:t>
      </w:r>
      <w:proofErr w:type="spellEnd"/>
      <w:r>
        <w:rPr>
          <w:lang w:val="tr-TR"/>
        </w:rPr>
        <w:t xml:space="preserve">, </w:t>
      </w:r>
      <w:proofErr w:type="spellStart"/>
      <w:r>
        <w:rPr>
          <w:lang w:val="tr-TR"/>
        </w:rPr>
        <w:t>Amnesty</w:t>
      </w:r>
      <w:proofErr w:type="spellEnd"/>
      <w:r>
        <w:rPr>
          <w:lang w:val="tr-TR"/>
        </w:rPr>
        <w:t xml:space="preserve"> International, </w:t>
      </w:r>
      <w:hyperlink r:id="rId4" w:history="1">
        <w:r w:rsidRPr="007135FD">
          <w:rPr>
            <w:rStyle w:val="Hyperlink"/>
            <w:lang w:val="tr-TR"/>
          </w:rPr>
          <w:t>https://www.solidaritywithothers.com/_files/ugd/b886b2_63952de2d3b041df8925ebd4105be909.pdf</w:t>
        </w:r>
      </w:hyperlink>
      <w:r>
        <w:rPr>
          <w:lang w:val="tr-TR"/>
        </w:rPr>
        <w:t xml:space="preserve"> </w:t>
      </w:r>
    </w:p>
  </w:footnote>
  <w:footnote w:id="5">
    <w:p w14:paraId="315BADA4" w14:textId="477C5EE0" w:rsidR="00DB4D50" w:rsidRPr="00DB4D50" w:rsidRDefault="00DB4D50">
      <w:pPr>
        <w:pStyle w:val="FootnoteText"/>
        <w:rPr>
          <w:lang w:val="tr-TR"/>
        </w:rPr>
      </w:pPr>
      <w:r>
        <w:rPr>
          <w:rStyle w:val="FootnoteReference"/>
        </w:rPr>
        <w:footnoteRef/>
      </w:r>
      <w:r>
        <w:t xml:space="preserve"> </w:t>
      </w:r>
      <w:r w:rsidRPr="00DB4D50">
        <w:t xml:space="preserve">Selahattin Demirtaş v Turkey (No 2) App no 14305/17 </w:t>
      </w:r>
      <w:hyperlink r:id="rId5" w:anchor="{%22itemid%22:[%22001-207173%22]}" w:history="1">
        <w:r w:rsidRPr="00DB4D50">
          <w:rPr>
            <w:rStyle w:val="Hyperlink"/>
          </w:rPr>
          <w:t>accessible here</w:t>
        </w:r>
      </w:hyperlink>
      <w:r>
        <w:t xml:space="preserve">. </w:t>
      </w:r>
    </w:p>
  </w:footnote>
  <w:footnote w:id="6">
    <w:p w14:paraId="7404EF75" w14:textId="4C183077" w:rsidR="00DB4D50" w:rsidRPr="00DB4D50" w:rsidRDefault="00DB4D50">
      <w:pPr>
        <w:pStyle w:val="FootnoteText"/>
        <w:rPr>
          <w:lang w:val="tr-TR"/>
        </w:rPr>
      </w:pPr>
      <w:r>
        <w:rPr>
          <w:rStyle w:val="FootnoteReference"/>
        </w:rPr>
        <w:footnoteRef/>
      </w:r>
      <w:r>
        <w:t xml:space="preserve"> </w:t>
      </w:r>
      <w:proofErr w:type="spellStart"/>
      <w:r>
        <w:rPr>
          <w:lang w:val="tr-TR"/>
        </w:rPr>
        <w:t>Weaponizing</w:t>
      </w:r>
      <w:proofErr w:type="spellEnd"/>
      <w:r>
        <w:rPr>
          <w:lang w:val="tr-TR"/>
        </w:rPr>
        <w:t xml:space="preserve"> Counter-</w:t>
      </w:r>
      <w:proofErr w:type="spellStart"/>
      <w:r>
        <w:rPr>
          <w:lang w:val="tr-TR"/>
        </w:rPr>
        <w:t>terrorism</w:t>
      </w:r>
      <w:proofErr w:type="spellEnd"/>
      <w:r>
        <w:rPr>
          <w:lang w:val="tr-TR"/>
        </w:rPr>
        <w:t xml:space="preserve">, </w:t>
      </w:r>
      <w:proofErr w:type="spellStart"/>
      <w:r>
        <w:rPr>
          <w:lang w:val="tr-TR"/>
        </w:rPr>
        <w:t>Amnesty</w:t>
      </w:r>
      <w:proofErr w:type="spellEnd"/>
      <w:r>
        <w:rPr>
          <w:lang w:val="tr-TR"/>
        </w:rPr>
        <w:t xml:space="preserve"> International, </w:t>
      </w:r>
      <w:hyperlink r:id="rId6" w:history="1">
        <w:r w:rsidRPr="007135FD">
          <w:rPr>
            <w:rStyle w:val="Hyperlink"/>
            <w:lang w:val="tr-TR"/>
          </w:rPr>
          <w:t>https://www.solidaritywithothers.com/_files/ugd/b886b2_63952de2d3b041df8925ebd4105be909.pdf</w:t>
        </w:r>
      </w:hyperlink>
    </w:p>
  </w:footnote>
  <w:footnote w:id="7">
    <w:p w14:paraId="6D6629AA" w14:textId="13F953D1" w:rsidR="00DB4D50" w:rsidRPr="00DB4D50" w:rsidRDefault="00DB4D50">
      <w:pPr>
        <w:pStyle w:val="FootnoteText"/>
        <w:rPr>
          <w:lang w:val="tr-TR"/>
        </w:rPr>
      </w:pPr>
      <w:r>
        <w:rPr>
          <w:rStyle w:val="FootnoteReference"/>
        </w:rPr>
        <w:footnoteRef/>
      </w:r>
      <w:r>
        <w:t xml:space="preserve"> </w:t>
      </w:r>
      <w:r w:rsidRPr="00DB4D50">
        <w:t>National and transnational financial repression on Turkish dissidents</w:t>
      </w:r>
      <w:r>
        <w:t xml:space="preserve">, Solidarity with Others, </w:t>
      </w:r>
      <w:hyperlink r:id="rId7" w:history="1">
        <w:r w:rsidRPr="007135FD">
          <w:rPr>
            <w:rStyle w:val="Hyperlink"/>
          </w:rPr>
          <w:t>https://www.solidaritywithothers.com/_files/ugd/b886b2_dba6827108374a778be3d63006eaceef.pdf</w:t>
        </w:r>
      </w:hyperlink>
      <w:r>
        <w:t xml:space="preserve"> </w:t>
      </w:r>
    </w:p>
  </w:footnote>
  <w:footnote w:id="8">
    <w:p w14:paraId="32F3953B" w14:textId="6A9B96FA" w:rsidR="00DB4D50" w:rsidRPr="00DB4D50" w:rsidRDefault="00DB4D50">
      <w:pPr>
        <w:pStyle w:val="FootnoteText"/>
        <w:rPr>
          <w:lang w:val="tr-TR"/>
        </w:rPr>
      </w:pPr>
      <w:r>
        <w:rPr>
          <w:rStyle w:val="FootnoteReference"/>
        </w:rPr>
        <w:footnoteRef/>
      </w:r>
      <w:r>
        <w:t xml:space="preserve"> </w:t>
      </w:r>
      <w:proofErr w:type="spellStart"/>
      <w:r>
        <w:rPr>
          <w:lang w:val="tr-TR"/>
        </w:rPr>
        <w:t>Ibid</w:t>
      </w:r>
      <w:proofErr w:type="spellEnd"/>
      <w:r>
        <w:rPr>
          <w:lang w:val="tr-TR"/>
        </w:rPr>
        <w:t>.</w:t>
      </w:r>
    </w:p>
  </w:footnote>
  <w:footnote w:id="9">
    <w:p w14:paraId="72AC5E9D" w14:textId="38948C4D" w:rsidR="00DB4D50" w:rsidRPr="00DB4D50" w:rsidRDefault="00DB4D50" w:rsidP="00DB4D50">
      <w:pPr>
        <w:pStyle w:val="FootnoteText"/>
        <w:rPr>
          <w:lang w:val="tr-TR"/>
        </w:rPr>
      </w:pPr>
      <w:r>
        <w:rPr>
          <w:rStyle w:val="FootnoteReference"/>
        </w:rPr>
        <w:footnoteRef/>
      </w:r>
      <w:r>
        <w:t xml:space="preserve"> </w:t>
      </w:r>
      <w:r>
        <w:t>Administrative Measures, Counterterrorism, and Lawlessness:</w:t>
      </w:r>
      <w:r>
        <w:t xml:space="preserve"> </w:t>
      </w:r>
      <w:r>
        <w:t>Confronting the Turmoil in Turkey</w:t>
      </w:r>
      <w:r>
        <w:t xml:space="preserve">, Solidarity With Others, </w:t>
      </w:r>
      <w:hyperlink r:id="rId8" w:history="1">
        <w:r w:rsidRPr="007135FD">
          <w:rPr>
            <w:rStyle w:val="Hyperlink"/>
          </w:rPr>
          <w:t>https://www.solidaritywithothers.com/_files/ugd/b886b2_4592e718f95545c8a0041e927124f1d2.pdf</w:t>
        </w:r>
      </w:hyperlink>
      <w:r>
        <w:t xml:space="preserve"> </w:t>
      </w:r>
    </w:p>
  </w:footnote>
  <w:footnote w:id="10">
    <w:p w14:paraId="1BCF3639" w14:textId="59867D15" w:rsidR="00DB4D50" w:rsidRPr="00DB4D50" w:rsidRDefault="00DB4D50">
      <w:pPr>
        <w:pStyle w:val="FootnoteText"/>
        <w:rPr>
          <w:lang w:val="tr-TR"/>
        </w:rPr>
      </w:pPr>
      <w:r>
        <w:rPr>
          <w:rStyle w:val="FootnoteReference"/>
        </w:rPr>
        <w:footnoteRef/>
      </w:r>
      <w:r>
        <w:t xml:space="preserve"> </w:t>
      </w:r>
      <w:r>
        <w:t xml:space="preserve">Deadly Threat to Human Rights: Turkey’s Definition of 'Terrorism', Solidarity With Others, </w:t>
      </w:r>
      <w:hyperlink r:id="rId9" w:history="1">
        <w:r w:rsidRPr="007135FD">
          <w:rPr>
            <w:rStyle w:val="Hyperlink"/>
          </w:rPr>
          <w:t>https://www.solidaritywithothers.com/_files/ugd/b886b2_63952de2d3b041df8925ebd4105be909.pdf</w:t>
        </w:r>
      </w:hyperlink>
    </w:p>
  </w:footnote>
  <w:footnote w:id="11">
    <w:p w14:paraId="27227B59" w14:textId="1CC8A8BB" w:rsidR="00DB4D50" w:rsidRPr="00DB4D50" w:rsidRDefault="00DB4D50">
      <w:pPr>
        <w:pStyle w:val="FootnoteText"/>
        <w:rPr>
          <w:lang w:val="tr-TR"/>
        </w:rPr>
      </w:pPr>
      <w:r>
        <w:rPr>
          <w:rStyle w:val="FootnoteReference"/>
        </w:rPr>
        <w:footnoteRef/>
      </w:r>
      <w:r>
        <w:t xml:space="preserve"> </w:t>
      </w:r>
      <w:r w:rsidRPr="00DB4D50">
        <w:t>Turkey: Enforced Disappearances, Torture</w:t>
      </w:r>
      <w:r>
        <w:t xml:space="preserve">, Human Rights Watch, </w:t>
      </w:r>
      <w:hyperlink r:id="rId10" w:history="1">
        <w:r w:rsidRPr="007135FD">
          <w:rPr>
            <w:rStyle w:val="Hyperlink"/>
          </w:rPr>
          <w:t>https://www.hrw.org/news/2020/04/29/turkey-enforced-disappearances-torture</w:t>
        </w:r>
      </w:hyperlink>
      <w:r>
        <w:t xml:space="preserve"> </w:t>
      </w:r>
    </w:p>
  </w:footnote>
  <w:footnote w:id="12">
    <w:p w14:paraId="1D896C75" w14:textId="653D20A5" w:rsidR="00962892" w:rsidRPr="00962892" w:rsidRDefault="00962892" w:rsidP="00962892">
      <w:pPr>
        <w:pStyle w:val="FootnoteText"/>
        <w:rPr>
          <w:lang w:val="tr-TR"/>
        </w:rPr>
      </w:pPr>
      <w:r>
        <w:rPr>
          <w:rStyle w:val="FootnoteReference"/>
        </w:rPr>
        <w:footnoteRef/>
      </w:r>
      <w:r>
        <w:t xml:space="preserve"> </w:t>
      </w:r>
      <w:r>
        <w:t>“We Will Find You”</w:t>
      </w:r>
      <w:r>
        <w:t xml:space="preserve"> </w:t>
      </w:r>
      <w:r>
        <w:t>A Global Look at How Governments Repress Nationals Abroad</w:t>
      </w:r>
      <w:r>
        <w:t xml:space="preserve">, Human Rights Watch </w:t>
      </w:r>
      <w:hyperlink r:id="rId11" w:history="1">
        <w:r w:rsidRPr="007135FD">
          <w:rPr>
            <w:rStyle w:val="Hyperlink"/>
          </w:rPr>
          <w:t>https://www.hrw.org/report/2024/02/22/we-will-find-you/global-look-how-governments-repress-nationals-abroad</w:t>
        </w:r>
      </w:hyperlink>
      <w:r>
        <w:t xml:space="preserve"> </w:t>
      </w:r>
    </w:p>
  </w:footnote>
  <w:footnote w:id="13">
    <w:p w14:paraId="09A30CEF" w14:textId="117BDBD0" w:rsidR="00962892" w:rsidRPr="00962892" w:rsidRDefault="00962892">
      <w:pPr>
        <w:pStyle w:val="FootnoteText"/>
        <w:rPr>
          <w:lang w:val="tr-TR"/>
        </w:rPr>
      </w:pPr>
      <w:r>
        <w:rPr>
          <w:rStyle w:val="FootnoteReference"/>
        </w:rPr>
        <w:footnoteRef/>
      </w:r>
      <w:r>
        <w:t xml:space="preserve"> </w:t>
      </w:r>
      <w:r w:rsidRPr="00962892">
        <w:t>Six Turks arrested in Kosovo over Gulen links extradited to Turkey</w:t>
      </w:r>
      <w:r>
        <w:t xml:space="preserve">, Reuters, </w:t>
      </w:r>
      <w:hyperlink r:id="rId12" w:history="1">
        <w:r w:rsidRPr="007135FD">
          <w:rPr>
            <w:rStyle w:val="Hyperlink"/>
          </w:rPr>
          <w:t>https://www.reuters.com/article/world/six-turks-arrested-in-kosovo-over-gulen-links-extradited-to-turkey-anadolu-idUSKBN1H5213/</w:t>
        </w:r>
      </w:hyperlink>
      <w:r>
        <w:t xml:space="preserve"> </w:t>
      </w:r>
    </w:p>
  </w:footnote>
  <w:footnote w:id="14">
    <w:p w14:paraId="0DCF7E41" w14:textId="5C81D000" w:rsidR="00962892" w:rsidRPr="00962892" w:rsidRDefault="00962892">
      <w:pPr>
        <w:pStyle w:val="FootnoteText"/>
        <w:rPr>
          <w:lang w:val="tr-TR"/>
        </w:rPr>
      </w:pPr>
      <w:r>
        <w:rPr>
          <w:rStyle w:val="FootnoteReference"/>
        </w:rPr>
        <w:footnoteRef/>
      </w:r>
      <w:r>
        <w:t xml:space="preserve"> </w:t>
      </w:r>
      <w:r w:rsidRPr="00962892">
        <w:t>Top court upholds jail sentence for Gülen’s nephew abducted from Kenya</w:t>
      </w:r>
      <w:r>
        <w:t xml:space="preserve">, Stockholm </w:t>
      </w:r>
      <w:proofErr w:type="spellStart"/>
      <w:r>
        <w:t>center</w:t>
      </w:r>
      <w:proofErr w:type="spellEnd"/>
      <w:r>
        <w:t xml:space="preserve"> for freedom, </w:t>
      </w:r>
      <w:hyperlink r:id="rId13" w:history="1">
        <w:r w:rsidRPr="007135FD">
          <w:rPr>
            <w:rStyle w:val="Hyperlink"/>
          </w:rPr>
          <w:t>https://stockholmcf.org/top-court-upholds-jail-sentence-for-gulens-nephew-abducted-from-kenya/</w:t>
        </w:r>
      </w:hyperlink>
      <w:r>
        <w:t xml:space="preserve"> </w:t>
      </w:r>
    </w:p>
  </w:footnote>
  <w:footnote w:id="15">
    <w:p w14:paraId="381D7075" w14:textId="77777777" w:rsidR="003A317B" w:rsidRPr="00503531" w:rsidRDefault="003A317B" w:rsidP="003A317B">
      <w:pPr>
        <w:pStyle w:val="FootnoteText"/>
        <w:rPr>
          <w:rFonts w:ascii="Times New Roman" w:hAnsi="Times New Roman" w:cs="Times New Roman"/>
          <w:lang w:val="en-US"/>
        </w:rPr>
      </w:pPr>
      <w:r>
        <w:rPr>
          <w:rStyle w:val="FootnoteReference"/>
        </w:rPr>
        <w:footnoteRef/>
      </w:r>
      <w:r w:rsidRPr="008D5F45">
        <w:rPr>
          <w:lang w:val="en-US"/>
        </w:rPr>
        <w:t xml:space="preserve"> </w:t>
      </w:r>
      <w:hyperlink r:id="rId14" w:history="1">
        <w:r w:rsidRPr="00503531">
          <w:rPr>
            <w:rStyle w:val="Hyperlink"/>
            <w:rFonts w:ascii="Times New Roman" w:hAnsi="Times New Roman" w:cs="Times New Roman"/>
            <w:lang w:val="en-US"/>
          </w:rPr>
          <w:t>https://www.hrw.org/world-report/2024</w:t>
        </w:r>
      </w:hyperlink>
      <w:r w:rsidRPr="00503531">
        <w:rPr>
          <w:rFonts w:ascii="Times New Roman" w:hAnsi="Times New Roman" w:cs="Times New Roman"/>
          <w:lang w:val="en-US"/>
        </w:rPr>
        <w:t xml:space="preserve"> , </w:t>
      </w:r>
      <w:hyperlink r:id="rId15" w:history="1">
        <w:r w:rsidRPr="00503531">
          <w:rPr>
            <w:rStyle w:val="Hyperlink"/>
            <w:rFonts w:ascii="Times New Roman" w:hAnsi="Times New Roman" w:cs="Times New Roman"/>
            <w:lang w:val="en-US"/>
          </w:rPr>
          <w:t>https://www.hrw.org/world-report/2024</w:t>
        </w:r>
      </w:hyperlink>
      <w:r w:rsidRPr="00503531">
        <w:rPr>
          <w:rFonts w:ascii="Times New Roman" w:hAnsi="Times New Roman" w:cs="Times New Roman"/>
          <w:lang w:val="en-US"/>
        </w:rPr>
        <w:t xml:space="preserve"> </w:t>
      </w:r>
    </w:p>
  </w:footnote>
  <w:footnote w:id="16">
    <w:p w14:paraId="5C701ABC" w14:textId="77777777" w:rsidR="003A317B" w:rsidRPr="00503531" w:rsidRDefault="003A317B" w:rsidP="003A317B">
      <w:pPr>
        <w:pStyle w:val="FootnoteText"/>
        <w:rPr>
          <w:rFonts w:ascii="Times New Roman" w:hAnsi="Times New Roman" w:cs="Times New Roman"/>
          <w:lang w:val="en-US"/>
        </w:rPr>
      </w:pPr>
      <w:r w:rsidRPr="00503531">
        <w:rPr>
          <w:rStyle w:val="FootnoteReference"/>
          <w:rFonts w:ascii="Times New Roman" w:hAnsi="Times New Roman" w:cs="Times New Roman"/>
        </w:rPr>
        <w:footnoteRef/>
      </w:r>
      <w:r w:rsidRPr="00503531">
        <w:rPr>
          <w:rFonts w:ascii="Times New Roman" w:hAnsi="Times New Roman" w:cs="Times New Roman"/>
          <w:lang w:val="en-US"/>
        </w:rPr>
        <w:t xml:space="preserve"> </w:t>
      </w:r>
      <w:hyperlink r:id="rId16" w:history="1">
        <w:r w:rsidRPr="00503531">
          <w:rPr>
            <w:rStyle w:val="Hyperlink"/>
            <w:rFonts w:ascii="Times New Roman" w:hAnsi="Times New Roman" w:cs="Times New Roman"/>
            <w:lang w:val="en-US"/>
          </w:rPr>
          <w:t>https://www.amnestyusa.org/countries/india/</w:t>
        </w:r>
      </w:hyperlink>
      <w:r w:rsidRPr="00503531">
        <w:rPr>
          <w:rFonts w:ascii="Times New Roman" w:hAnsi="Times New Roman" w:cs="Times New Roman"/>
          <w:lang w:val="en-US"/>
        </w:rPr>
        <w:t xml:space="preserve"> , </w:t>
      </w:r>
      <w:hyperlink r:id="rId17" w:history="1">
        <w:r w:rsidRPr="00503531">
          <w:rPr>
            <w:rStyle w:val="Hyperlink"/>
            <w:rFonts w:ascii="Times New Roman" w:hAnsi="Times New Roman" w:cs="Times New Roman"/>
            <w:lang w:val="en-US"/>
          </w:rPr>
          <w:t>https://www.amnesty.org.au/ethiopia-sweeping-emergency-powers-and-alarming-rise-in-online-hate-speech-as-tigray-conflict-escalates/</w:t>
        </w:r>
      </w:hyperlink>
      <w:r w:rsidRPr="00503531">
        <w:rPr>
          <w:rFonts w:ascii="Times New Roman" w:hAnsi="Times New Roman" w:cs="Times New Roman"/>
          <w:lang w:val="en-US"/>
        </w:rPr>
        <w:t xml:space="preserve"> </w:t>
      </w:r>
    </w:p>
  </w:footnote>
  <w:footnote w:id="17">
    <w:p w14:paraId="53BE7D28" w14:textId="77777777" w:rsidR="003A317B" w:rsidRPr="002C1E13" w:rsidRDefault="003A317B" w:rsidP="003A317B">
      <w:pPr>
        <w:pStyle w:val="FootnoteText"/>
        <w:rPr>
          <w:lang w:val="en-US"/>
        </w:rPr>
      </w:pPr>
      <w:r>
        <w:rPr>
          <w:rStyle w:val="FootnoteReference"/>
        </w:rPr>
        <w:footnoteRef/>
      </w:r>
      <w:r w:rsidRPr="002C1E13">
        <w:rPr>
          <w:lang w:val="en-US"/>
        </w:rPr>
        <w:t xml:space="preserve"> </w:t>
      </w:r>
      <w:r>
        <w:rPr>
          <w:lang w:val="en-US"/>
        </w:rPr>
        <w:t xml:space="preserve">It is available </w:t>
      </w:r>
      <w:hyperlink r:id="rId18" w:history="1">
        <w:r w:rsidRPr="002C1E13">
          <w:rPr>
            <w:rStyle w:val="Hyperlink"/>
            <w:lang w:val="en-US"/>
          </w:rPr>
          <w:t>here the communication</w:t>
        </w:r>
      </w:hyperlink>
      <w:r>
        <w:rPr>
          <w:lang w:val="en-US"/>
        </w:rPr>
        <w:t xml:space="preserve"> submitted to the Office of the Prosecutor of the International Criminal Court by </w:t>
      </w:r>
      <w:r w:rsidRPr="002C1E13">
        <w:rPr>
          <w:lang w:val="en-US"/>
        </w:rPr>
        <w:t>The International Federation for Human Rights (FIDH)</w:t>
      </w:r>
      <w:r>
        <w:rPr>
          <w:lang w:val="en-US"/>
        </w:rPr>
        <w:t xml:space="preserve"> </w:t>
      </w:r>
      <w:r w:rsidRPr="002C1E13">
        <w:rPr>
          <w:lang w:val="en-US"/>
        </w:rPr>
        <w:t>drawing the Court’s attention to the criminal nature of hate speech in Russian media that has fueled international crimes in Ukraine, and seeking to compel the Prosecutor’s Office to apply for arrest warrants.</w:t>
      </w:r>
      <w:r>
        <w:rPr>
          <w:lang w:val="en-US"/>
        </w:rPr>
        <w:t xml:space="preserve"> </w:t>
      </w:r>
    </w:p>
  </w:footnote>
  <w:footnote w:id="18">
    <w:p w14:paraId="4DD43FB9" w14:textId="77777777" w:rsidR="003A317B" w:rsidRPr="008D5F45" w:rsidRDefault="003A317B" w:rsidP="003A317B">
      <w:pPr>
        <w:pStyle w:val="FootnoteText"/>
        <w:rPr>
          <w:lang w:val="en-US"/>
        </w:rPr>
      </w:pPr>
      <w:r>
        <w:rPr>
          <w:rStyle w:val="FootnoteReference"/>
        </w:rPr>
        <w:footnoteRef/>
      </w:r>
      <w:r w:rsidRPr="008D5F45">
        <w:rPr>
          <w:lang w:val="en-US"/>
        </w:rPr>
        <w:t xml:space="preserve"> </w:t>
      </w:r>
      <w:r>
        <w:rPr>
          <w:lang w:val="en-US"/>
        </w:rPr>
        <w:t xml:space="preserve">UN Strategy and Plan of Action is available </w:t>
      </w:r>
      <w:hyperlink r:id="rId19" w:history="1">
        <w:r w:rsidRPr="000B6D8A">
          <w:rPr>
            <w:rStyle w:val="Hyperlink"/>
            <w:lang w:val="en-US"/>
          </w:rPr>
          <w:t>here</w:t>
        </w:r>
      </w:hyperlink>
    </w:p>
  </w:footnote>
  <w:footnote w:id="19">
    <w:p w14:paraId="629D6E07" w14:textId="77777777" w:rsidR="003A317B" w:rsidRPr="00A20D5F" w:rsidRDefault="003A317B" w:rsidP="003A317B">
      <w:pPr>
        <w:pStyle w:val="FootnoteText"/>
        <w:rPr>
          <w:lang w:val="en-US"/>
        </w:rPr>
      </w:pPr>
      <w:r>
        <w:rPr>
          <w:rStyle w:val="FootnoteReference"/>
        </w:rPr>
        <w:footnoteRef/>
      </w:r>
      <w:r w:rsidRPr="00A20D5F">
        <w:rPr>
          <w:lang w:val="en-US"/>
        </w:rPr>
        <w:t xml:space="preserve"> </w:t>
      </w:r>
      <w:hyperlink r:id="rId20" w:anchor=":~:text=URL%3A%20https%3A%2F%2Fwww.adl.org%2Fresources%2Ftools,100" w:history="1">
        <w:r w:rsidRPr="00F351F7">
          <w:rPr>
            <w:rStyle w:val="Hyperlink"/>
            <w:lang w:val="en-US"/>
          </w:rPr>
          <w:t>https://www.adl.org/resources/tools-and-strategies/pyramid-hate studentedition#:~:text=URL%3A%20https%3A%2F%2Fwww.adl.org%2Fresources%2Ftools,100</w:t>
        </w:r>
      </w:hyperlink>
      <w:r>
        <w:rPr>
          <w:lang w:val="en-US"/>
        </w:rPr>
        <w:t xml:space="preserve"> , </w:t>
      </w:r>
      <w:hyperlink r:id="rId21" w:history="1">
        <w:r w:rsidRPr="00F351F7">
          <w:rPr>
            <w:rStyle w:val="Hyperlink"/>
            <w:lang w:val="en-US"/>
          </w:rPr>
          <w:t>https://ccej-sfu.ca/teaching/pyramid-of-hate/</w:t>
        </w:r>
      </w:hyperlink>
      <w:r>
        <w:rPr>
          <w:lang w:val="en-US"/>
        </w:rPr>
        <w:t xml:space="preserve"> </w:t>
      </w:r>
    </w:p>
  </w:footnote>
  <w:footnote w:id="20">
    <w:p w14:paraId="4C92E9DE" w14:textId="77777777" w:rsidR="003A317B" w:rsidRDefault="003A317B" w:rsidP="003A317B">
      <w:pPr>
        <w:pStyle w:val="FootnoteText"/>
        <w:rPr>
          <w:rFonts w:ascii="Times New Roman" w:hAnsi="Times New Roman" w:cs="Times New Roman"/>
          <w:lang w:val="en-US"/>
        </w:rPr>
      </w:pPr>
      <w:r>
        <w:rPr>
          <w:rStyle w:val="FootnoteReference"/>
        </w:rPr>
        <w:footnoteRef/>
      </w:r>
      <w:r w:rsidRPr="00A20D5F">
        <w:rPr>
          <w:lang w:val="en-US"/>
        </w:rPr>
        <w:t xml:space="preserve"> </w:t>
      </w:r>
      <w:r>
        <w:rPr>
          <w:lang w:val="en-US"/>
        </w:rPr>
        <w:t xml:space="preserve">For texts containing hate speech on Turkish media between 2016 and </w:t>
      </w:r>
      <w:proofErr w:type="gramStart"/>
      <w:r>
        <w:rPr>
          <w:lang w:val="en-US"/>
        </w:rPr>
        <w:t>2020 :</w:t>
      </w:r>
      <w:proofErr w:type="gramEnd"/>
      <w:r>
        <w:rPr>
          <w:lang w:val="en-US"/>
        </w:rPr>
        <w:t xml:space="preserve">  </w:t>
      </w:r>
      <w:hyperlink r:id="rId22" w:history="1">
        <w:r w:rsidRPr="00BA661D">
          <w:rPr>
            <w:rStyle w:val="Hyperlink"/>
            <w:rFonts w:ascii="Times New Roman" w:hAnsi="Times New Roman" w:cs="Times New Roman"/>
            <w:lang w:val="en-US"/>
          </w:rPr>
          <w:t>https://en.nefretsucu.com/</w:t>
        </w:r>
      </w:hyperlink>
      <w:r w:rsidRPr="00A20D5F">
        <w:rPr>
          <w:rFonts w:ascii="Times New Roman" w:hAnsi="Times New Roman" w:cs="Times New Roman"/>
          <w:lang w:val="en-US"/>
        </w:rPr>
        <w:t xml:space="preserve"> </w:t>
      </w:r>
    </w:p>
    <w:p w14:paraId="3B22D5FF" w14:textId="77777777" w:rsidR="003A317B" w:rsidRPr="00A20D5F" w:rsidRDefault="003A317B" w:rsidP="003A317B">
      <w:pPr>
        <w:pStyle w:val="FootnoteText"/>
        <w:rPr>
          <w:lang w:val="en-US"/>
        </w:rPr>
      </w:pPr>
      <w:r>
        <w:rPr>
          <w:rFonts w:ascii="Times New Roman" w:hAnsi="Times New Roman" w:cs="Times New Roman"/>
          <w:lang w:val="en-US"/>
        </w:rPr>
        <w:t xml:space="preserve">For statistics by </w:t>
      </w:r>
      <w:proofErr w:type="gramStart"/>
      <w:r>
        <w:rPr>
          <w:rFonts w:ascii="Times New Roman" w:hAnsi="Times New Roman" w:cs="Times New Roman"/>
          <w:lang w:val="en-US"/>
        </w:rPr>
        <w:t>years :</w:t>
      </w:r>
      <w:proofErr w:type="gramEnd"/>
      <w:r>
        <w:rPr>
          <w:rFonts w:ascii="Times New Roman" w:hAnsi="Times New Roman" w:cs="Times New Roman"/>
          <w:lang w:val="en-US"/>
        </w:rPr>
        <w:t xml:space="preserve"> </w:t>
      </w:r>
      <w:hyperlink r:id="rId23" w:history="1">
        <w:r w:rsidRPr="009C2A2A">
          <w:rPr>
            <w:rStyle w:val="Hyperlink"/>
            <w:rFonts w:ascii="Times New Roman" w:hAnsi="Times New Roman" w:cs="Times New Roman"/>
            <w:lang w:val="en-US"/>
          </w:rPr>
          <w:t>https://en.nefretsucu.com/statistics</w:t>
        </w:r>
      </w:hyperlink>
      <w:r>
        <w:rPr>
          <w:rFonts w:ascii="Times New Roman" w:hAnsi="Times New Roman" w:cs="Times New Roman"/>
          <w:lang w:val="en-US"/>
        </w:rPr>
        <w:t xml:space="preserve"> </w:t>
      </w:r>
    </w:p>
  </w:footnote>
  <w:footnote w:id="21">
    <w:p w14:paraId="42786424" w14:textId="77777777" w:rsidR="003A317B" w:rsidRPr="00B343CC" w:rsidRDefault="003A317B" w:rsidP="003A317B">
      <w:pPr>
        <w:pStyle w:val="FootnoteText"/>
        <w:rPr>
          <w:lang w:val="en-US"/>
        </w:rPr>
      </w:pPr>
      <w:r>
        <w:rPr>
          <w:rStyle w:val="FootnoteReference"/>
        </w:rPr>
        <w:footnoteRef/>
      </w:r>
      <w:r w:rsidRPr="00C8406B">
        <w:rPr>
          <w:lang w:val="en-US"/>
        </w:rPr>
        <w:t xml:space="preserve"> </w:t>
      </w:r>
      <w:r>
        <w:rPr>
          <w:lang w:val="en-US"/>
        </w:rPr>
        <w:t xml:space="preserve">Detailed information is under the next title </w:t>
      </w:r>
      <w:proofErr w:type="gramStart"/>
      <w:r>
        <w:rPr>
          <w:lang w:val="en-US"/>
        </w:rPr>
        <w:t>of  ‘</w:t>
      </w:r>
      <w:proofErr w:type="gramEnd"/>
      <w:r>
        <w:rPr>
          <w:lang w:val="en-US"/>
        </w:rPr>
        <w:t>’FET</w:t>
      </w:r>
      <w:r>
        <w:rPr>
          <w:lang w:val="tr-TR"/>
        </w:rPr>
        <w:t>Ö</w:t>
      </w:r>
      <w:r w:rsidRPr="00B343CC">
        <w:rPr>
          <w:lang w:val="en-US"/>
        </w:rPr>
        <w:t xml:space="preserve">’’ </w:t>
      </w:r>
      <w:r>
        <w:rPr>
          <w:lang w:val="en-US"/>
        </w:rPr>
        <w:t xml:space="preserve">Hate Speech </w:t>
      </w:r>
    </w:p>
  </w:footnote>
  <w:footnote w:id="22">
    <w:p w14:paraId="1FA67E04" w14:textId="77777777" w:rsidR="003A317B" w:rsidRPr="0092070B" w:rsidRDefault="003A317B" w:rsidP="003A317B">
      <w:pPr>
        <w:pStyle w:val="FootnoteText"/>
        <w:rPr>
          <w:lang w:val="tr-TR"/>
        </w:rPr>
      </w:pPr>
      <w:r>
        <w:rPr>
          <w:rStyle w:val="FootnoteReference"/>
        </w:rPr>
        <w:footnoteRef/>
      </w:r>
      <w:r>
        <w:rPr>
          <w:lang w:val="en-US"/>
        </w:rPr>
        <w:t xml:space="preserve">For UK Home Office report : </w:t>
      </w:r>
      <w:r w:rsidRPr="00C8406B">
        <w:rPr>
          <w:lang w:val="en-US"/>
        </w:rPr>
        <w:t xml:space="preserve"> </w:t>
      </w:r>
      <w:hyperlink r:id="rId24" w:history="1">
        <w:r w:rsidRPr="00F351F7">
          <w:rPr>
            <w:rStyle w:val="Hyperlink"/>
            <w:lang w:val="en-US"/>
          </w:rPr>
          <w:t>https://www.gov.uk/government/publications/turkey-country-policy-and-information-notes/country-policy-and-information-note-gulenist-movement-turkey-february-2022-accessible-version</w:t>
        </w:r>
      </w:hyperlink>
      <w:r>
        <w:rPr>
          <w:lang w:val="en-US"/>
        </w:rPr>
        <w:t xml:space="preserve"> , for US Department of State country report on Terrorism 2021 </w:t>
      </w:r>
      <w:hyperlink r:id="rId25" w:history="1">
        <w:r w:rsidRPr="00F351F7">
          <w:rPr>
            <w:rStyle w:val="Hyperlink"/>
            <w:lang w:val="en-US"/>
          </w:rPr>
          <w:t>https://www.state.gov/reports/country-reports-on-terrorism-2021/turkiye</w:t>
        </w:r>
      </w:hyperlink>
      <w:r>
        <w:rPr>
          <w:lang w:val="en-US"/>
        </w:rPr>
        <w:t xml:space="preserve"> </w:t>
      </w:r>
    </w:p>
  </w:footnote>
  <w:footnote w:id="23">
    <w:p w14:paraId="513D1720" w14:textId="77777777" w:rsidR="003A317B" w:rsidRPr="00B343CC" w:rsidRDefault="003A317B" w:rsidP="003A317B">
      <w:pPr>
        <w:pStyle w:val="FootnoteText"/>
        <w:rPr>
          <w:lang w:val="en-US"/>
        </w:rPr>
      </w:pPr>
      <w:r>
        <w:rPr>
          <w:rStyle w:val="FootnoteReference"/>
        </w:rPr>
        <w:footnoteRef/>
      </w:r>
      <w:r w:rsidRPr="00B343CC">
        <w:rPr>
          <w:lang w:val="en-US"/>
        </w:rPr>
        <w:t xml:space="preserve"> </w:t>
      </w:r>
      <w:r>
        <w:rPr>
          <w:lang w:val="en-US"/>
        </w:rPr>
        <w:t xml:space="preserve">For US Department of State </w:t>
      </w:r>
      <w:r w:rsidRPr="00564C46">
        <w:rPr>
          <w:lang w:val="en-US"/>
        </w:rPr>
        <w:t>2021 Country Reports on Human Rights Practices</w:t>
      </w:r>
      <w:r>
        <w:rPr>
          <w:lang w:val="en-US"/>
        </w:rPr>
        <w:t xml:space="preserve"> </w:t>
      </w:r>
      <w:r w:rsidRPr="00564C46">
        <w:rPr>
          <w:lang w:val="en-US"/>
        </w:rPr>
        <w:t>Turkey</w:t>
      </w:r>
      <w:r>
        <w:rPr>
          <w:lang w:val="en-US"/>
        </w:rPr>
        <w:t xml:space="preserve"> : </w:t>
      </w:r>
      <w:hyperlink r:id="rId26" w:history="1">
        <w:r w:rsidRPr="00F351F7">
          <w:rPr>
            <w:rStyle w:val="Hyperlink"/>
            <w:lang w:val="en-US"/>
          </w:rPr>
          <w:t>https://www.state.gov/reports/2021-country-reports-on-human-rights-practices/turkey/</w:t>
        </w:r>
      </w:hyperlink>
      <w:r>
        <w:rPr>
          <w:lang w:val="en-US"/>
        </w:rPr>
        <w:t xml:space="preserve">  , </w:t>
      </w:r>
      <w:hyperlink r:id="rId27" w:history="1">
        <w:r w:rsidRPr="00F351F7">
          <w:rPr>
            <w:rStyle w:val="Hyperlink"/>
            <w:lang w:val="en-US"/>
          </w:rPr>
          <w:t>https://www.dw.com/en/turkey-lifts-state-of-emergency-but-fear-of-repression-lingers/a-44711201</w:t>
        </w:r>
      </w:hyperlink>
      <w:r>
        <w:rPr>
          <w:lang w:val="en-US"/>
        </w:rPr>
        <w:t xml:space="preserve"> </w:t>
      </w:r>
    </w:p>
  </w:footnote>
  <w:footnote w:id="24">
    <w:p w14:paraId="2FACFEE4" w14:textId="77777777" w:rsidR="003A317B" w:rsidRPr="0059035B" w:rsidRDefault="003A317B" w:rsidP="003A317B">
      <w:pPr>
        <w:pStyle w:val="FootnoteText"/>
        <w:rPr>
          <w:lang w:val="en-US"/>
        </w:rPr>
      </w:pPr>
      <w:r>
        <w:rPr>
          <w:rStyle w:val="FootnoteReference"/>
        </w:rPr>
        <w:footnoteRef/>
      </w:r>
      <w:r w:rsidRPr="0059035B">
        <w:rPr>
          <w:lang w:val="en-US"/>
        </w:rPr>
        <w:t xml:space="preserve"> </w:t>
      </w:r>
      <w:r w:rsidRPr="00CB1582">
        <w:rPr>
          <w:rFonts w:ascii="Times New Roman" w:hAnsi="Times New Roman" w:cs="Times New Roman"/>
          <w:color w:val="0D0D0D"/>
          <w:shd w:val="clear" w:color="auto" w:fill="FFFFFF"/>
          <w:lang w:val="en-US"/>
        </w:rPr>
        <w:t>Special Rapporteur Report on psychological torture and ill-treatment</w:t>
      </w:r>
      <w:r>
        <w:rPr>
          <w:rFonts w:ascii="Times New Roman" w:hAnsi="Times New Roman" w:cs="Times New Roman"/>
          <w:color w:val="0D0D0D"/>
          <w:shd w:val="clear" w:color="auto" w:fill="FFFFFF"/>
          <w:lang w:val="en-US"/>
        </w:rPr>
        <w:t xml:space="preserve"> : </w:t>
      </w:r>
      <w:hyperlink r:id="rId28" w:history="1">
        <w:r w:rsidRPr="00F351F7">
          <w:rPr>
            <w:rStyle w:val="Hyperlink"/>
            <w:rFonts w:ascii="Times New Roman" w:hAnsi="Times New Roman" w:cs="Times New Roman"/>
            <w:shd w:val="clear" w:color="auto" w:fill="FFFFFF"/>
            <w:lang w:val="en-US"/>
          </w:rPr>
          <w:t>https://documents.un.org/doc/undoc/gen/g20/070/73/pdf/g2007073.pdf?token=7qu9F6I9YNQjOTXnvd&amp;fe=true</w:t>
        </w:r>
      </w:hyperlink>
      <w:r>
        <w:rPr>
          <w:rFonts w:ascii="Times New Roman" w:hAnsi="Times New Roman" w:cs="Times New Roman"/>
          <w:color w:val="0D0D0D"/>
          <w:shd w:val="clear" w:color="auto" w:fill="FFFFFF"/>
          <w:lang w:val="en-US"/>
        </w:rPr>
        <w:t xml:space="preserve"> </w:t>
      </w:r>
    </w:p>
  </w:footnote>
  <w:footnote w:id="25">
    <w:p w14:paraId="1ABB499F" w14:textId="77777777" w:rsidR="003A317B" w:rsidRPr="00711A82" w:rsidRDefault="003A317B" w:rsidP="003A317B">
      <w:pPr>
        <w:pStyle w:val="FootnoteText"/>
        <w:rPr>
          <w:lang w:val="en-US"/>
        </w:rPr>
      </w:pPr>
      <w:r>
        <w:rPr>
          <w:rStyle w:val="FootnoteReference"/>
        </w:rPr>
        <w:footnoteRef/>
      </w:r>
      <w:r w:rsidRPr="00711A82">
        <w:rPr>
          <w:lang w:val="en-US"/>
        </w:rPr>
        <w:t xml:space="preserve"> </w:t>
      </w:r>
      <w:r w:rsidRPr="00CB62E0">
        <w:rPr>
          <w:lang w:val="en-US"/>
        </w:rPr>
        <w:t>Countering Effects of the “FET</w:t>
      </w:r>
      <w:r>
        <w:rPr>
          <w:lang w:val="tr-TR"/>
        </w:rPr>
        <w:t>Ö</w:t>
      </w:r>
      <w:r w:rsidRPr="00CB62E0">
        <w:rPr>
          <w:lang w:val="en-US"/>
        </w:rPr>
        <w:t xml:space="preserve">” Label Against the </w:t>
      </w:r>
      <w:proofErr w:type="spellStart"/>
      <w:r w:rsidRPr="00CB62E0">
        <w:rPr>
          <w:lang w:val="en-US"/>
        </w:rPr>
        <w:t>Hizmet</w:t>
      </w:r>
      <w:proofErr w:type="spellEnd"/>
      <w:r>
        <w:rPr>
          <w:lang w:val="en-US"/>
        </w:rPr>
        <w:t>/Gulen Movement</w:t>
      </w:r>
      <w:r w:rsidRPr="00CB62E0">
        <w:rPr>
          <w:lang w:val="en-US"/>
        </w:rPr>
        <w:t xml:space="preserve"> People Living in Canada</w:t>
      </w:r>
      <w:r>
        <w:rPr>
          <w:lang w:val="en-US"/>
        </w:rPr>
        <w:t xml:space="preserve"> : </w:t>
      </w:r>
      <w:hyperlink r:id="rId29" w:history="1">
        <w:r w:rsidRPr="00BA661D">
          <w:rPr>
            <w:rStyle w:val="Hyperlink"/>
            <w:rFonts w:ascii="Times New Roman" w:hAnsi="Times New Roman" w:cs="Times New Roman"/>
            <w:lang w:val="en-US"/>
          </w:rPr>
          <w:t>https://northernjusticewatch.org/2024/02/23/countering-effects-of-the-feto-label-against-the-hizmet-people-living-in-canada/</w:t>
        </w:r>
      </w:hyperlink>
      <w:r>
        <w:rPr>
          <w:lang w:val="en-US"/>
        </w:rPr>
        <w:t xml:space="preserve"> </w:t>
      </w:r>
    </w:p>
  </w:footnote>
  <w:footnote w:id="26">
    <w:p w14:paraId="1E04159B" w14:textId="77777777" w:rsidR="003A317B" w:rsidRPr="00A20D5F" w:rsidRDefault="003A317B" w:rsidP="003A317B">
      <w:pPr>
        <w:pStyle w:val="FootnoteText"/>
        <w:rPr>
          <w:lang w:val="en-US"/>
        </w:rPr>
      </w:pPr>
      <w:r>
        <w:rPr>
          <w:rStyle w:val="FootnoteReference"/>
        </w:rPr>
        <w:footnoteRef/>
      </w:r>
      <w:r w:rsidRPr="00A20D5F">
        <w:rPr>
          <w:lang w:val="en-US"/>
        </w:rPr>
        <w:t xml:space="preserve"> </w:t>
      </w:r>
      <w:hyperlink r:id="rId30" w:history="1">
        <w:r w:rsidRPr="00F351F7">
          <w:rPr>
            <w:rStyle w:val="Hyperlink"/>
            <w:lang w:val="en-US"/>
          </w:rPr>
          <w:t>https://stockholmcf.org/uk-home-office-report-highlights-persecution-of-gulen-movement-in-turkey/</w:t>
        </w:r>
      </w:hyperlink>
      <w:r>
        <w:rPr>
          <w:lang w:val="en-US"/>
        </w:rPr>
        <w:t xml:space="preserve"> </w:t>
      </w:r>
    </w:p>
  </w:footnote>
  <w:footnote w:id="27">
    <w:p w14:paraId="1DBDA1AB" w14:textId="77777777" w:rsidR="003A317B" w:rsidRPr="00CF467D" w:rsidRDefault="003A317B" w:rsidP="003A317B">
      <w:pPr>
        <w:pStyle w:val="FootnoteText"/>
        <w:rPr>
          <w:lang w:val="en-US"/>
        </w:rPr>
      </w:pPr>
      <w:r>
        <w:rPr>
          <w:rStyle w:val="FootnoteReference"/>
        </w:rPr>
        <w:footnoteRef/>
      </w:r>
      <w:r w:rsidRPr="00CF467D">
        <w:rPr>
          <w:lang w:val="en-US"/>
        </w:rPr>
        <w:t xml:space="preserve"> UK Home Office Report : </w:t>
      </w:r>
      <w:hyperlink r:id="rId31" w:history="1">
        <w:r w:rsidRPr="00F351F7">
          <w:rPr>
            <w:rStyle w:val="Hyperlink"/>
            <w:lang w:val="en-US"/>
          </w:rPr>
          <w:t>https://www.gov.uk/government/publications/turkey-country-policy-and-information-notes/country-policy-and-information-note-gulenist-movement-turkey-february-2022-accessible-version</w:t>
        </w:r>
      </w:hyperlink>
      <w:r>
        <w:rPr>
          <w:lang w:val="en-US"/>
        </w:rPr>
        <w:t xml:space="preserve"> </w:t>
      </w:r>
    </w:p>
  </w:footnote>
  <w:footnote w:id="28">
    <w:p w14:paraId="0EEFE61B" w14:textId="77777777" w:rsidR="003A317B" w:rsidRPr="00E027F9" w:rsidRDefault="003A317B" w:rsidP="003A317B">
      <w:pPr>
        <w:pStyle w:val="FootnoteText"/>
        <w:rPr>
          <w:lang w:val="en-US"/>
        </w:rPr>
      </w:pPr>
      <w:r>
        <w:rPr>
          <w:rStyle w:val="FootnoteReference"/>
        </w:rPr>
        <w:footnoteRef/>
      </w:r>
      <w:r w:rsidRPr="00E027F9">
        <w:rPr>
          <w:lang w:val="en-US"/>
        </w:rPr>
        <w:t xml:space="preserve"> Turkic Educators And Students Breaking Their Silence:</w:t>
      </w:r>
      <w:r>
        <w:rPr>
          <w:lang w:val="en-US"/>
        </w:rPr>
        <w:t xml:space="preserve"> </w:t>
      </w:r>
      <w:r w:rsidRPr="00E027F9">
        <w:rPr>
          <w:lang w:val="en-US"/>
        </w:rPr>
        <w:t xml:space="preserve">An Oral History Of A Tangled Web Of Political Power </w:t>
      </w:r>
      <w:r>
        <w:rPr>
          <w:lang w:val="en-US"/>
        </w:rPr>
        <w:t>b</w:t>
      </w:r>
      <w:r w:rsidRPr="00E027F9">
        <w:rPr>
          <w:lang w:val="en-US"/>
        </w:rPr>
        <w:t>y Kari L. O’Rourke</w:t>
      </w:r>
      <w:r>
        <w:rPr>
          <w:lang w:val="en-US"/>
        </w:rPr>
        <w:t xml:space="preserve"> : </w:t>
      </w:r>
      <w:hyperlink r:id="rId32" w:history="1">
        <w:r w:rsidRPr="00F351F7">
          <w:rPr>
            <w:rStyle w:val="Hyperlink"/>
            <w:lang w:val="en-US"/>
          </w:rPr>
          <w:t>https://mospace.umsystem.edu/xmlui/bitstream/handle/10355/97761/ORourke_umkc_0134D_12079.pdf?sequence=1&amp;isAllowed=y</w:t>
        </w:r>
      </w:hyperlink>
      <w:r>
        <w:rPr>
          <w:lang w:val="en-US"/>
        </w:rPr>
        <w:t xml:space="preserve"> </w:t>
      </w:r>
    </w:p>
  </w:footnote>
  <w:footnote w:id="29">
    <w:p w14:paraId="245B4A24" w14:textId="77777777" w:rsidR="003A317B" w:rsidRPr="00AA38A3" w:rsidRDefault="003A317B" w:rsidP="003A317B">
      <w:pPr>
        <w:pStyle w:val="FootnoteText"/>
        <w:rPr>
          <w:lang w:val="en-US"/>
        </w:rPr>
      </w:pPr>
      <w:r>
        <w:rPr>
          <w:rStyle w:val="FootnoteReference"/>
        </w:rPr>
        <w:footnoteRef/>
      </w:r>
      <w:r w:rsidRPr="00AA38A3">
        <w:rPr>
          <w:lang w:val="en-US"/>
        </w:rPr>
        <w:t xml:space="preserve"> </w:t>
      </w:r>
      <w:hyperlink r:id="rId33" w:history="1">
        <w:r w:rsidRPr="00711A82">
          <w:rPr>
            <w:rStyle w:val="Hyperlink"/>
            <w:rFonts w:ascii="Times New Roman" w:hAnsi="Times New Roman" w:cs="Times New Roman"/>
            <w:lang w:val="en-US"/>
          </w:rPr>
          <w:t>https://northernjusticewatch.org/2024/02/23/countering-effects-of-the-feto-label-against-the-hizmet-people-living-in-canada/</w:t>
        </w:r>
      </w:hyperlink>
      <w:r>
        <w:rPr>
          <w:rStyle w:val="Hyperlink"/>
          <w:rFonts w:ascii="Times New Roman" w:hAnsi="Times New Roman" w:cs="Times New Roman"/>
          <w:lang w:val="en-US"/>
        </w:rPr>
        <w:t xml:space="preserve"> </w:t>
      </w:r>
    </w:p>
  </w:footnote>
  <w:footnote w:id="30">
    <w:p w14:paraId="5D38009F" w14:textId="77777777" w:rsidR="003A317B" w:rsidRPr="00711A82" w:rsidRDefault="003A317B" w:rsidP="003A317B">
      <w:pPr>
        <w:pStyle w:val="FootnoteText"/>
        <w:rPr>
          <w:lang w:val="en-US"/>
        </w:rPr>
      </w:pPr>
      <w:r>
        <w:rPr>
          <w:rStyle w:val="FootnoteReference"/>
        </w:rPr>
        <w:footnoteRef/>
      </w:r>
      <w:r w:rsidRPr="00711A82">
        <w:rPr>
          <w:lang w:val="en-US"/>
        </w:rPr>
        <w:t xml:space="preserve"> </w:t>
      </w:r>
      <w:r>
        <w:rPr>
          <w:lang w:val="en-US"/>
        </w:rPr>
        <w:t xml:space="preserve">Report is available via </w:t>
      </w:r>
      <w:hyperlink r:id="rId34" w:history="1">
        <w:r w:rsidRPr="00BA661D">
          <w:rPr>
            <w:rStyle w:val="Hyperlink"/>
            <w:lang w:val="en-US"/>
          </w:rPr>
          <w:t>https://hrantdink.org/en/asulis/activities/projects/media-watch-on-hate-speech/3979-on-the-edge-of-elections-how-was-the-discriminatory-discourse-in-politicians-statements-reflected-in-the-press</w:t>
        </w:r>
      </w:hyperlink>
      <w:r>
        <w:rPr>
          <w:lang w:val="en-US"/>
        </w:rPr>
        <w:t xml:space="preserve"> </w:t>
      </w:r>
    </w:p>
  </w:footnote>
  <w:footnote w:id="31">
    <w:p w14:paraId="487CC0C8" w14:textId="77777777" w:rsidR="003A317B" w:rsidRPr="00711A82" w:rsidRDefault="003A317B" w:rsidP="003A317B">
      <w:pPr>
        <w:pStyle w:val="FootnoteText"/>
        <w:rPr>
          <w:lang w:val="en-US"/>
        </w:rPr>
      </w:pPr>
      <w:r>
        <w:rPr>
          <w:rStyle w:val="FootnoteReference"/>
        </w:rPr>
        <w:footnoteRef/>
      </w:r>
      <w:r w:rsidRPr="00711A82">
        <w:rPr>
          <w:lang w:val="en-US"/>
        </w:rPr>
        <w:t xml:space="preserve"> </w:t>
      </w:r>
      <w:hyperlink r:id="rId35" w:history="1">
        <w:r w:rsidRPr="00F351F7">
          <w:rPr>
            <w:rStyle w:val="Hyperlink"/>
            <w:lang w:val="en-US"/>
          </w:rPr>
          <w:t>https://www.coe.int/en/web/secretary-general/report-2023</w:t>
        </w:r>
      </w:hyperlink>
      <w:r>
        <w:rPr>
          <w:lang w:val="en-US"/>
        </w:rPr>
        <w:t xml:space="preserve"> </w:t>
      </w:r>
    </w:p>
  </w:footnote>
  <w:footnote w:id="32">
    <w:p w14:paraId="74FC9D82" w14:textId="77777777" w:rsidR="003A317B" w:rsidRPr="00C8406B" w:rsidRDefault="003A317B" w:rsidP="003A317B">
      <w:pPr>
        <w:pStyle w:val="FootnoteText"/>
        <w:rPr>
          <w:lang w:val="en-US"/>
        </w:rPr>
      </w:pPr>
      <w:r>
        <w:rPr>
          <w:rStyle w:val="FootnoteReference"/>
        </w:rPr>
        <w:footnoteRef/>
      </w:r>
      <w:r w:rsidRPr="00C8406B">
        <w:rPr>
          <w:lang w:val="en-US"/>
        </w:rPr>
        <w:t xml:space="preserve"> </w:t>
      </w:r>
      <w:hyperlink r:id="rId36" w:history="1">
        <w:r w:rsidRPr="00083915">
          <w:rPr>
            <w:rStyle w:val="Hyperlink"/>
            <w:lang w:val="en-US"/>
          </w:rPr>
          <w:t>https://hatemonitoring.com/grand-assembly-speech-of-president-recep-tayyip-erdogan/</w:t>
        </w:r>
      </w:hyperlink>
      <w:r>
        <w:rPr>
          <w:lang w:val="en-US"/>
        </w:rPr>
        <w:t xml:space="preserve">  </w:t>
      </w:r>
    </w:p>
  </w:footnote>
  <w:footnote w:id="33">
    <w:p w14:paraId="1A3370CD" w14:textId="77777777" w:rsidR="003A317B" w:rsidRPr="00A20D5F" w:rsidRDefault="003A317B" w:rsidP="003A317B">
      <w:pPr>
        <w:pStyle w:val="FootnoteText"/>
        <w:rPr>
          <w:lang w:val="en-US"/>
        </w:rPr>
      </w:pPr>
      <w:r>
        <w:rPr>
          <w:rStyle w:val="FootnoteReference"/>
        </w:rPr>
        <w:footnoteRef/>
      </w:r>
      <w:r w:rsidRPr="00A20D5F">
        <w:rPr>
          <w:lang w:val="en-US"/>
        </w:rPr>
        <w:t xml:space="preserve"> </w:t>
      </w:r>
      <w:hyperlink r:id="rId37" w:anchor="{%22tabview%22:[%22document%22],%22itemid%22:[%22002-14187%22]}" w:history="1">
        <w:r w:rsidRPr="00083915">
          <w:rPr>
            <w:rStyle w:val="Hyperlink"/>
            <w:lang w:val="en-US"/>
          </w:rPr>
          <w:t>https://hudoc.echr.coe.int/fre#{%22tabview%22:[%22document%22],%22itemid%22:[%22002-14187%22]}</w:t>
        </w:r>
      </w:hyperlink>
      <w:r>
        <w:rPr>
          <w:lang w:val="en-US"/>
        </w:rPr>
        <w:t xml:space="preserve"> </w:t>
      </w:r>
    </w:p>
  </w:footnote>
  <w:footnote w:id="34">
    <w:p w14:paraId="427B2397" w14:textId="77777777" w:rsidR="003A317B" w:rsidRPr="00C8406B" w:rsidRDefault="003A317B" w:rsidP="003A317B">
      <w:pPr>
        <w:pStyle w:val="FootnoteText"/>
        <w:rPr>
          <w:lang w:val="en-US"/>
        </w:rPr>
      </w:pPr>
      <w:r>
        <w:rPr>
          <w:rStyle w:val="FootnoteReference"/>
        </w:rPr>
        <w:footnoteRef/>
      </w:r>
      <w:r w:rsidRPr="00C8406B">
        <w:rPr>
          <w:lang w:val="en-US"/>
        </w:rPr>
        <w:t xml:space="preserve"> </w:t>
      </w:r>
      <w:hyperlink r:id="rId38" w:history="1">
        <w:r w:rsidRPr="00083915">
          <w:rPr>
            <w:rStyle w:val="Hyperlink"/>
            <w:lang w:val="en-US"/>
          </w:rPr>
          <w:t>https://hatemonitoring.com/statements-of-ali-yerlikaya/</w:t>
        </w:r>
      </w:hyperlink>
      <w:r>
        <w:rPr>
          <w:lang w:val="en-US"/>
        </w:rPr>
        <w:t xml:space="preserve">  </w:t>
      </w:r>
    </w:p>
  </w:footnote>
  <w:footnote w:id="35">
    <w:p w14:paraId="5CC9B12B" w14:textId="77777777" w:rsidR="003A317B" w:rsidRPr="00C8406B" w:rsidRDefault="003A317B" w:rsidP="003A317B">
      <w:pPr>
        <w:pStyle w:val="FootnoteText"/>
        <w:rPr>
          <w:lang w:val="en-US"/>
        </w:rPr>
      </w:pPr>
      <w:r>
        <w:rPr>
          <w:rStyle w:val="FootnoteReference"/>
        </w:rPr>
        <w:footnoteRef/>
      </w:r>
      <w:r w:rsidRPr="00C8406B">
        <w:rPr>
          <w:lang w:val="en-US"/>
        </w:rPr>
        <w:t xml:space="preserve"> </w:t>
      </w:r>
      <w:hyperlink r:id="rId39" w:history="1">
        <w:r w:rsidRPr="00083915">
          <w:rPr>
            <w:rStyle w:val="Hyperlink"/>
            <w:lang w:val="en-US"/>
          </w:rPr>
          <w:t>https://hatemonitoring.com/x-post-of-yilmaz-tunc/</w:t>
        </w:r>
      </w:hyperlink>
      <w:r>
        <w:rPr>
          <w:lang w:val="en-US"/>
        </w:rPr>
        <w:t xml:space="preserve"> </w:t>
      </w:r>
    </w:p>
  </w:footnote>
  <w:footnote w:id="36">
    <w:p w14:paraId="7E3E09BE" w14:textId="77777777" w:rsidR="003A317B" w:rsidRPr="00711A82" w:rsidRDefault="003A317B" w:rsidP="003A317B">
      <w:pPr>
        <w:pStyle w:val="FootnoteText"/>
        <w:rPr>
          <w:lang w:val="en-US"/>
        </w:rPr>
      </w:pPr>
      <w:r>
        <w:rPr>
          <w:rStyle w:val="FootnoteReference"/>
        </w:rPr>
        <w:footnoteRef/>
      </w:r>
      <w:r w:rsidRPr="00711A82">
        <w:rPr>
          <w:lang w:val="en-US"/>
        </w:rPr>
        <w:t xml:space="preserve"> </w:t>
      </w:r>
      <w:hyperlink r:id="rId40" w:history="1">
        <w:r w:rsidRPr="00083915">
          <w:rPr>
            <w:rStyle w:val="Hyperlink"/>
            <w:lang w:val="en-US"/>
          </w:rPr>
          <w:t>https://www.hrw.org/news/2020/10/14/turkey-press-freedom-under-attack</w:t>
        </w:r>
      </w:hyperlink>
      <w:r>
        <w:rPr>
          <w:lang w:val="en-US"/>
        </w:rPr>
        <w:t xml:space="preserve"> </w:t>
      </w:r>
    </w:p>
  </w:footnote>
  <w:footnote w:id="37">
    <w:p w14:paraId="2D08C0B3" w14:textId="77777777" w:rsidR="003A317B" w:rsidRPr="00E97C8B" w:rsidRDefault="003A317B" w:rsidP="003A317B">
      <w:pPr>
        <w:pStyle w:val="FootnoteText"/>
        <w:rPr>
          <w:lang w:val="en-US"/>
        </w:rPr>
      </w:pPr>
      <w:r>
        <w:rPr>
          <w:rStyle w:val="FootnoteReference"/>
        </w:rPr>
        <w:footnoteRef/>
      </w:r>
      <w:r w:rsidRPr="00E97C8B">
        <w:rPr>
          <w:lang w:val="en-US"/>
        </w:rPr>
        <w:t xml:space="preserve"> </w:t>
      </w:r>
      <w:hyperlink r:id="rId41" w:history="1">
        <w:r w:rsidRPr="00BA661D">
          <w:rPr>
            <w:rStyle w:val="Hyperlink"/>
            <w:lang w:val="en-US"/>
          </w:rPr>
          <w:t>https://cronfa.swansea.ac.uk/Record/cronfa65074</w:t>
        </w:r>
      </w:hyperlink>
      <w:r>
        <w:rPr>
          <w:lang w:val="en-US"/>
        </w:rPr>
        <w:t xml:space="preserve"> </w:t>
      </w:r>
    </w:p>
  </w:footnote>
  <w:footnote w:id="38">
    <w:p w14:paraId="43D56479" w14:textId="77777777" w:rsidR="003A317B" w:rsidRPr="00C8406B" w:rsidRDefault="003A317B" w:rsidP="003A317B">
      <w:pPr>
        <w:pStyle w:val="FootnoteText"/>
        <w:rPr>
          <w:lang w:val="en-US"/>
        </w:rPr>
      </w:pPr>
      <w:r>
        <w:rPr>
          <w:rStyle w:val="FootnoteReference"/>
        </w:rPr>
        <w:footnoteRef/>
      </w:r>
      <w:r w:rsidRPr="00C8406B">
        <w:rPr>
          <w:lang w:val="en-US"/>
        </w:rPr>
        <w:t xml:space="preserve"> </w:t>
      </w:r>
      <w:hyperlink r:id="rId42" w:history="1">
        <w:r w:rsidRPr="00083915">
          <w:rPr>
            <w:rStyle w:val="Hyperlink"/>
            <w:lang w:val="en-US"/>
          </w:rPr>
          <w:t>https://hatemonitoring.com/post-of-yeni-safak-media-outlet/</w:t>
        </w:r>
      </w:hyperlink>
      <w:r>
        <w:rPr>
          <w:lang w:val="en-US"/>
        </w:rPr>
        <w:t xml:space="preserve"> </w:t>
      </w:r>
    </w:p>
  </w:footnote>
  <w:footnote w:id="39">
    <w:p w14:paraId="6C7C60CD" w14:textId="77777777" w:rsidR="003A317B" w:rsidRPr="00C8406B" w:rsidRDefault="003A317B" w:rsidP="003A317B">
      <w:pPr>
        <w:pStyle w:val="FootnoteText"/>
        <w:rPr>
          <w:lang w:val="en-US"/>
        </w:rPr>
      </w:pPr>
      <w:r>
        <w:rPr>
          <w:rStyle w:val="FootnoteReference"/>
        </w:rPr>
        <w:footnoteRef/>
      </w:r>
      <w:r w:rsidRPr="00C8406B">
        <w:rPr>
          <w:lang w:val="en-US"/>
        </w:rPr>
        <w:t xml:space="preserve"> </w:t>
      </w:r>
      <w:hyperlink r:id="rId43" w:history="1">
        <w:r w:rsidRPr="00083915">
          <w:rPr>
            <w:rStyle w:val="Hyperlink"/>
            <w:lang w:val="en-US"/>
          </w:rPr>
          <w:t>https://hatemonitoring.com/statements-of-nedim-sener/</w:t>
        </w:r>
      </w:hyperlink>
      <w:r>
        <w:rPr>
          <w:lang w:val="en-US"/>
        </w:rPr>
        <w:t xml:space="preserve"> </w:t>
      </w:r>
    </w:p>
  </w:footnote>
  <w:footnote w:id="40">
    <w:p w14:paraId="17FCB54E" w14:textId="77777777" w:rsidR="003A317B" w:rsidRPr="00C8406B" w:rsidRDefault="003A317B" w:rsidP="003A317B">
      <w:pPr>
        <w:pStyle w:val="FootnoteText"/>
        <w:rPr>
          <w:lang w:val="en-US"/>
        </w:rPr>
      </w:pPr>
      <w:r>
        <w:rPr>
          <w:rStyle w:val="FootnoteReference"/>
        </w:rPr>
        <w:footnoteRef/>
      </w:r>
      <w:r w:rsidRPr="00C8406B">
        <w:rPr>
          <w:lang w:val="en-US"/>
        </w:rPr>
        <w:t xml:space="preserve"> </w:t>
      </w:r>
      <w:hyperlink r:id="rId44" w:history="1">
        <w:r w:rsidRPr="00083915">
          <w:rPr>
            <w:rStyle w:val="Hyperlink"/>
            <w:lang w:val="en-US"/>
          </w:rPr>
          <w:t>https://hatemonitoring.com/x-post-of-ibrahim-karagul/</w:t>
        </w:r>
      </w:hyperlink>
      <w:r>
        <w:rPr>
          <w:lang w:val="en-US"/>
        </w:rPr>
        <w:t xml:space="preserve"> </w:t>
      </w:r>
    </w:p>
  </w:footnote>
  <w:footnote w:id="41">
    <w:p w14:paraId="194FF333" w14:textId="77777777" w:rsidR="003A317B" w:rsidRPr="00874172" w:rsidRDefault="003A317B" w:rsidP="003A317B">
      <w:pPr>
        <w:pStyle w:val="FootnoteText"/>
        <w:rPr>
          <w:lang w:val="en-US"/>
        </w:rPr>
      </w:pPr>
      <w:r>
        <w:rPr>
          <w:rStyle w:val="FootnoteReference"/>
        </w:rPr>
        <w:footnoteRef/>
      </w:r>
      <w:r w:rsidRPr="00E116FC">
        <w:rPr>
          <w:lang w:val="tr-TR"/>
        </w:rPr>
        <w:t xml:space="preserve"> </w:t>
      </w:r>
      <w:r w:rsidRPr="00874172">
        <w:rPr>
          <w:lang w:val="en-US"/>
        </w:rPr>
        <w:t xml:space="preserve">Venice Commission, Opinion on the Provisions of the Emergency Decree Law N° 674 of 1 September 2016 which concern the exercise of local democracy In Turkey, available </w:t>
      </w:r>
      <w:hyperlink r:id="rId45" w:history="1">
        <w:r w:rsidRPr="00874172">
          <w:rPr>
            <w:rStyle w:val="Hyperlink"/>
            <w:lang w:val="en-US"/>
          </w:rPr>
          <w:t>here</w:t>
        </w:r>
      </w:hyperlink>
      <w:r w:rsidRPr="00874172">
        <w:rPr>
          <w:lang w:val="en-US"/>
        </w:rPr>
        <w:t xml:space="preserve"> ; Venice Commission, Opinion on the amendments to the Constitution adopted by the Grand National Assembly on 21 January 2017 and to be submitted to a National Referendum on 16 April 2017, CDL-AD(2017)005, 10-11 March 2017, available </w:t>
      </w:r>
      <w:hyperlink r:id="rId46" w:history="1">
        <w:r w:rsidRPr="00874172">
          <w:rPr>
            <w:rStyle w:val="Hyperlink"/>
            <w:lang w:val="en-US"/>
          </w:rPr>
          <w:t>here</w:t>
        </w:r>
      </w:hyperlink>
      <w:r w:rsidRPr="00874172">
        <w:rPr>
          <w:lang w:val="en-US"/>
        </w:rPr>
        <w:t xml:space="preserve">; Council of Europe Commissioner for Human Rights, Situation in Turkey, available </w:t>
      </w:r>
      <w:hyperlink r:id="rId47" w:history="1">
        <w:r w:rsidRPr="0087332D">
          <w:rPr>
            <w:rStyle w:val="Hyperlink"/>
            <w:lang w:val="en-US"/>
          </w:rPr>
          <w:t>here</w:t>
        </w:r>
      </w:hyperlink>
      <w:r w:rsidRPr="00874172">
        <w:rPr>
          <w:lang w:val="en-US"/>
        </w:rPr>
        <w:t xml:space="preserve">; Parliamentary Assembly of the Council of Europe, Allegations of systemic torture and inhuman or degrading treatment or punishment in places of detention in Europe, recitals 6, 9 and 10, available </w:t>
      </w:r>
      <w:hyperlink r:id="rId48" w:history="1">
        <w:r w:rsidRPr="0087332D">
          <w:rPr>
            <w:rStyle w:val="Hyperlink"/>
            <w:lang w:val="en-US"/>
          </w:rPr>
          <w:t>here</w:t>
        </w:r>
      </w:hyperlink>
      <w:r w:rsidRPr="00874172">
        <w:rPr>
          <w:lang w:val="en-US"/>
        </w:rPr>
        <w:t xml:space="preserve">; according to European Court of Human Rights’ (ECtHR) 2023 statistics Turkey topped the list of countries with cases awaiting judgment with 23,397 applications, corresponding to 34.2 percent of the total, available </w:t>
      </w:r>
      <w:hyperlink r:id="rId49" w:history="1">
        <w:r w:rsidRPr="0087332D">
          <w:rPr>
            <w:rStyle w:val="Hyperlink"/>
            <w:lang w:val="en-US"/>
          </w:rPr>
          <w:t>here</w:t>
        </w:r>
      </w:hyperlink>
      <w:r w:rsidRPr="00874172">
        <w:rPr>
          <w:lang w:val="en-US"/>
        </w:rPr>
        <w:t>.</w:t>
      </w:r>
      <w:r>
        <w:rPr>
          <w:lang w:val="en-US"/>
        </w:rPr>
        <w:t xml:space="preserve"> </w:t>
      </w:r>
    </w:p>
  </w:footnote>
  <w:footnote w:id="42">
    <w:p w14:paraId="2B31B8C8" w14:textId="77777777" w:rsidR="003A317B" w:rsidRPr="00E116FC" w:rsidRDefault="003A317B" w:rsidP="003A317B">
      <w:pPr>
        <w:pStyle w:val="FootnoteText"/>
        <w:rPr>
          <w:lang w:val="tr-TR"/>
        </w:rPr>
      </w:pPr>
      <w:r>
        <w:rPr>
          <w:rStyle w:val="FootnoteReference"/>
        </w:rPr>
        <w:footnoteRef/>
      </w:r>
      <w:r w:rsidRPr="00E116FC">
        <w:rPr>
          <w:lang w:val="tr-TR"/>
        </w:rPr>
        <w:t xml:space="preserve"> </w:t>
      </w:r>
      <w:r>
        <w:rPr>
          <w:lang w:val="tr-TR"/>
        </w:rPr>
        <w:t xml:space="preserve">Report is </w:t>
      </w:r>
      <w:proofErr w:type="spellStart"/>
      <w:r>
        <w:rPr>
          <w:lang w:val="tr-TR"/>
        </w:rPr>
        <w:t>available</w:t>
      </w:r>
      <w:proofErr w:type="spellEnd"/>
      <w:r>
        <w:rPr>
          <w:lang w:val="tr-TR"/>
        </w:rPr>
        <w:t xml:space="preserve"> </w:t>
      </w:r>
      <w:proofErr w:type="spellStart"/>
      <w:r>
        <w:rPr>
          <w:lang w:val="tr-TR"/>
        </w:rPr>
        <w:t>via</w:t>
      </w:r>
      <w:proofErr w:type="spellEnd"/>
      <w:r>
        <w:rPr>
          <w:lang w:val="tr-TR"/>
        </w:rPr>
        <w:t xml:space="preserve"> </w:t>
      </w:r>
      <w:hyperlink r:id="rId50" w:history="1">
        <w:r w:rsidRPr="00BA661D">
          <w:rPr>
            <w:rStyle w:val="Hyperlink"/>
            <w:lang w:val="tr-TR"/>
          </w:rPr>
          <w:t>https://www.amnesty.org/en/documents/eur44/9210/2018/en/</w:t>
        </w:r>
      </w:hyperlink>
      <w:r>
        <w:rPr>
          <w:lang w:val="tr-TR"/>
        </w:rPr>
        <w:t xml:space="preserve"> </w:t>
      </w:r>
    </w:p>
  </w:footnote>
  <w:footnote w:id="43">
    <w:p w14:paraId="2D8A8E8C" w14:textId="77777777" w:rsidR="003A317B" w:rsidRPr="00E116FC" w:rsidRDefault="003A317B" w:rsidP="003A317B">
      <w:pPr>
        <w:pStyle w:val="FootnoteText"/>
        <w:rPr>
          <w:lang w:val="tr-TR"/>
        </w:rPr>
      </w:pPr>
      <w:r>
        <w:rPr>
          <w:rStyle w:val="FootnoteReference"/>
        </w:rPr>
        <w:footnoteRef/>
      </w:r>
      <w:r w:rsidRPr="00E116FC">
        <w:rPr>
          <w:lang w:val="tr-TR"/>
        </w:rPr>
        <w:t xml:space="preserve"> </w:t>
      </w:r>
      <w:r>
        <w:rPr>
          <w:lang w:val="tr-TR"/>
        </w:rPr>
        <w:t xml:space="preserve">Report is </w:t>
      </w:r>
      <w:proofErr w:type="spellStart"/>
      <w:r>
        <w:rPr>
          <w:lang w:val="tr-TR"/>
        </w:rPr>
        <w:t>available</w:t>
      </w:r>
      <w:proofErr w:type="spellEnd"/>
      <w:r>
        <w:rPr>
          <w:lang w:val="tr-TR"/>
        </w:rPr>
        <w:t xml:space="preserve"> </w:t>
      </w:r>
      <w:proofErr w:type="spellStart"/>
      <w:r>
        <w:rPr>
          <w:lang w:val="tr-TR"/>
        </w:rPr>
        <w:t>via</w:t>
      </w:r>
      <w:proofErr w:type="spellEnd"/>
      <w:r>
        <w:rPr>
          <w:lang w:val="tr-TR"/>
        </w:rPr>
        <w:t xml:space="preserve"> </w:t>
      </w:r>
      <w:hyperlink r:id="rId51" w:history="1">
        <w:r w:rsidRPr="00BA661D">
          <w:rPr>
            <w:rStyle w:val="Hyperlink"/>
            <w:lang w:val="tr-TR"/>
          </w:rPr>
          <w:t>https://www.ab.gov.tr/siteimages/birimler/kpb/turkey-report-2021-v2.pdf</w:t>
        </w:r>
      </w:hyperlink>
      <w:r>
        <w:rPr>
          <w:lang w:val="tr-TR"/>
        </w:rPr>
        <w:t xml:space="preserve"> </w:t>
      </w:r>
    </w:p>
  </w:footnote>
  <w:footnote w:id="44">
    <w:p w14:paraId="378B6C0C" w14:textId="77777777" w:rsidR="003A317B" w:rsidRPr="00E116FC" w:rsidRDefault="003A317B" w:rsidP="003A317B">
      <w:pPr>
        <w:pStyle w:val="FootnoteText"/>
        <w:rPr>
          <w:lang w:val="tr-TR"/>
        </w:rPr>
      </w:pPr>
      <w:r>
        <w:rPr>
          <w:rStyle w:val="FootnoteReference"/>
        </w:rPr>
        <w:footnoteRef/>
      </w:r>
      <w:r w:rsidRPr="00E116FC">
        <w:rPr>
          <w:lang w:val="tr-TR"/>
        </w:rPr>
        <w:t xml:space="preserve"> </w:t>
      </w:r>
      <w:hyperlink r:id="rId52" w:history="1">
        <w:r w:rsidRPr="00E116FC">
          <w:rPr>
            <w:rStyle w:val="Hyperlink"/>
            <w:lang w:val="tr-TR"/>
          </w:rPr>
          <w:t>https://hatemonitoring.com/ankara-university-2/</w:t>
        </w:r>
      </w:hyperlink>
      <w:r w:rsidRPr="00E116FC">
        <w:rPr>
          <w:lang w:val="tr-TR"/>
        </w:rPr>
        <w:t xml:space="preserve"> </w:t>
      </w:r>
    </w:p>
  </w:footnote>
  <w:footnote w:id="45">
    <w:p w14:paraId="7ABCE45E" w14:textId="77777777" w:rsidR="003A317B" w:rsidRPr="0035134F" w:rsidRDefault="003A317B" w:rsidP="003A317B">
      <w:pPr>
        <w:pStyle w:val="FootnoteText"/>
        <w:rPr>
          <w:lang w:val="tr-TR"/>
        </w:rPr>
      </w:pPr>
      <w:r>
        <w:rPr>
          <w:rStyle w:val="FootnoteReference"/>
        </w:rPr>
        <w:footnoteRef/>
      </w:r>
      <w:r w:rsidRPr="0035134F">
        <w:rPr>
          <w:lang w:val="tr-TR"/>
        </w:rPr>
        <w:t xml:space="preserve"> </w:t>
      </w:r>
      <w:hyperlink r:id="rId53" w:history="1">
        <w:r w:rsidRPr="0035134F">
          <w:rPr>
            <w:rStyle w:val="Hyperlink"/>
            <w:lang w:val="tr-TR"/>
          </w:rPr>
          <w:t>https://hatemonitoring.com/yenimahalle-district-job-placement-agency-iskur/</w:t>
        </w:r>
      </w:hyperlink>
      <w:r w:rsidRPr="0035134F">
        <w:rPr>
          <w:lang w:val="tr-TR"/>
        </w:rPr>
        <w:t xml:space="preserve"> </w:t>
      </w:r>
    </w:p>
  </w:footnote>
  <w:footnote w:id="46">
    <w:p w14:paraId="4ED8A5D8" w14:textId="77777777" w:rsidR="003A317B" w:rsidRPr="007B1F06" w:rsidRDefault="003A317B" w:rsidP="003A317B">
      <w:pPr>
        <w:pStyle w:val="FootnoteText"/>
        <w:rPr>
          <w:lang w:val="tr-TR"/>
        </w:rPr>
      </w:pPr>
      <w:r>
        <w:rPr>
          <w:rStyle w:val="FootnoteReference"/>
        </w:rPr>
        <w:footnoteRef/>
      </w:r>
      <w:r w:rsidRPr="007B1F06">
        <w:rPr>
          <w:lang w:val="tr-TR"/>
        </w:rPr>
        <w:t xml:space="preserve"> </w:t>
      </w:r>
      <w:hyperlink r:id="rId54" w:history="1">
        <w:r w:rsidRPr="00083915">
          <w:rPr>
            <w:rStyle w:val="Hyperlink"/>
            <w:lang w:val="tr-TR"/>
          </w:rPr>
          <w:t>https://hatemonitoring.com/turkiye-finans-katilim-bankasi-s-a/</w:t>
        </w:r>
      </w:hyperlink>
      <w:r>
        <w:rPr>
          <w:lang w:val="tr-TR"/>
        </w:rPr>
        <w:t xml:space="preserve"> </w:t>
      </w:r>
    </w:p>
  </w:footnote>
  <w:footnote w:id="47">
    <w:p w14:paraId="685F3299" w14:textId="77777777" w:rsidR="003A317B" w:rsidRPr="0035134F" w:rsidRDefault="003A317B" w:rsidP="003A317B">
      <w:pPr>
        <w:pStyle w:val="FootnoteText"/>
        <w:rPr>
          <w:lang w:val="tr-TR"/>
        </w:rPr>
      </w:pPr>
      <w:r>
        <w:rPr>
          <w:rStyle w:val="FootnoteReference"/>
        </w:rPr>
        <w:footnoteRef/>
      </w:r>
      <w:r w:rsidRPr="0035134F">
        <w:rPr>
          <w:lang w:val="tr-TR"/>
        </w:rPr>
        <w:t xml:space="preserve"> </w:t>
      </w:r>
      <w:proofErr w:type="spellStart"/>
      <w:r w:rsidRPr="00940D59">
        <w:rPr>
          <w:lang w:val="tr-TR"/>
        </w:rPr>
        <w:t>The</w:t>
      </w:r>
      <w:proofErr w:type="spellEnd"/>
      <w:r w:rsidRPr="00940D59">
        <w:rPr>
          <w:lang w:val="tr-TR"/>
        </w:rPr>
        <w:t xml:space="preserve"> bank </w:t>
      </w:r>
      <w:proofErr w:type="spellStart"/>
      <w:r w:rsidRPr="00940D59">
        <w:rPr>
          <w:lang w:val="tr-TR"/>
        </w:rPr>
        <w:t>was</w:t>
      </w:r>
      <w:proofErr w:type="spellEnd"/>
      <w:r w:rsidRPr="00940D59">
        <w:rPr>
          <w:lang w:val="tr-TR"/>
        </w:rPr>
        <w:t xml:space="preserve"> </w:t>
      </w:r>
      <w:proofErr w:type="spellStart"/>
      <w:r w:rsidRPr="00940D59">
        <w:rPr>
          <w:lang w:val="tr-TR"/>
        </w:rPr>
        <w:t>notable</w:t>
      </w:r>
      <w:proofErr w:type="spellEnd"/>
      <w:r w:rsidRPr="00940D59">
        <w:rPr>
          <w:lang w:val="tr-TR"/>
        </w:rPr>
        <w:t xml:space="preserve"> </w:t>
      </w:r>
      <w:proofErr w:type="spellStart"/>
      <w:r w:rsidRPr="00940D59">
        <w:rPr>
          <w:lang w:val="tr-TR"/>
        </w:rPr>
        <w:t>for</w:t>
      </w:r>
      <w:proofErr w:type="spellEnd"/>
      <w:r w:rsidRPr="00940D59">
        <w:rPr>
          <w:lang w:val="tr-TR"/>
        </w:rPr>
        <w:t xml:space="preserve"> </w:t>
      </w:r>
      <w:proofErr w:type="spellStart"/>
      <w:r w:rsidRPr="00940D59">
        <w:rPr>
          <w:lang w:val="tr-TR"/>
        </w:rPr>
        <w:t>its</w:t>
      </w:r>
      <w:proofErr w:type="spellEnd"/>
      <w:r w:rsidRPr="00940D59">
        <w:rPr>
          <w:lang w:val="tr-TR"/>
        </w:rPr>
        <w:t xml:space="preserve"> </w:t>
      </w:r>
      <w:proofErr w:type="spellStart"/>
      <w:r w:rsidRPr="00940D59">
        <w:rPr>
          <w:lang w:val="tr-TR"/>
        </w:rPr>
        <w:t>rapid</w:t>
      </w:r>
      <w:proofErr w:type="spellEnd"/>
      <w:r w:rsidRPr="00940D59">
        <w:rPr>
          <w:lang w:val="tr-TR"/>
        </w:rPr>
        <w:t xml:space="preserve"> </w:t>
      </w:r>
      <w:proofErr w:type="spellStart"/>
      <w:r w:rsidRPr="00940D59">
        <w:rPr>
          <w:lang w:val="tr-TR"/>
        </w:rPr>
        <w:t>growth</w:t>
      </w:r>
      <w:proofErr w:type="spellEnd"/>
      <w:r w:rsidRPr="00940D59">
        <w:rPr>
          <w:lang w:val="tr-TR"/>
        </w:rPr>
        <w:t xml:space="preserve"> </w:t>
      </w:r>
      <w:proofErr w:type="spellStart"/>
      <w:r w:rsidRPr="00940D59">
        <w:rPr>
          <w:lang w:val="tr-TR"/>
        </w:rPr>
        <w:t>and</w:t>
      </w:r>
      <w:proofErr w:type="spellEnd"/>
      <w:r w:rsidRPr="00940D59">
        <w:rPr>
          <w:lang w:val="tr-TR"/>
        </w:rPr>
        <w:t xml:space="preserve"> </w:t>
      </w:r>
      <w:proofErr w:type="spellStart"/>
      <w:r w:rsidRPr="00940D59">
        <w:rPr>
          <w:lang w:val="tr-TR"/>
        </w:rPr>
        <w:t>extensive</w:t>
      </w:r>
      <w:proofErr w:type="spellEnd"/>
      <w:r w:rsidRPr="00940D59">
        <w:rPr>
          <w:lang w:val="tr-TR"/>
        </w:rPr>
        <w:t xml:space="preserve"> network of </w:t>
      </w:r>
      <w:proofErr w:type="spellStart"/>
      <w:r w:rsidRPr="00940D59">
        <w:rPr>
          <w:lang w:val="tr-TR"/>
        </w:rPr>
        <w:t>branches</w:t>
      </w:r>
      <w:proofErr w:type="spellEnd"/>
      <w:r w:rsidRPr="00940D59">
        <w:rPr>
          <w:lang w:val="tr-TR"/>
        </w:rPr>
        <w:t xml:space="preserve"> </w:t>
      </w:r>
      <w:proofErr w:type="spellStart"/>
      <w:r w:rsidRPr="00940D59">
        <w:rPr>
          <w:lang w:val="tr-TR"/>
        </w:rPr>
        <w:t>across</w:t>
      </w:r>
      <w:proofErr w:type="spellEnd"/>
      <w:r w:rsidRPr="00940D59">
        <w:rPr>
          <w:lang w:val="tr-TR"/>
        </w:rPr>
        <w:t xml:space="preserve"> </w:t>
      </w:r>
      <w:proofErr w:type="spellStart"/>
      <w:r w:rsidRPr="00940D59">
        <w:rPr>
          <w:lang w:val="tr-TR"/>
        </w:rPr>
        <w:t>Turkey</w:t>
      </w:r>
      <w:proofErr w:type="spellEnd"/>
      <w:r w:rsidRPr="00940D59">
        <w:rPr>
          <w:lang w:val="tr-TR"/>
        </w:rPr>
        <w:t xml:space="preserve">. </w:t>
      </w:r>
      <w:proofErr w:type="spellStart"/>
      <w:r w:rsidRPr="00940D59">
        <w:rPr>
          <w:lang w:val="tr-TR"/>
        </w:rPr>
        <w:t>However</w:t>
      </w:r>
      <w:proofErr w:type="spellEnd"/>
      <w:r w:rsidRPr="00940D59">
        <w:rPr>
          <w:lang w:val="tr-TR"/>
        </w:rPr>
        <w:t xml:space="preserve">, it </w:t>
      </w:r>
      <w:proofErr w:type="spellStart"/>
      <w:r w:rsidRPr="00940D59">
        <w:rPr>
          <w:lang w:val="tr-TR"/>
        </w:rPr>
        <w:t>became</w:t>
      </w:r>
      <w:proofErr w:type="spellEnd"/>
      <w:r w:rsidRPr="00940D59">
        <w:rPr>
          <w:lang w:val="tr-TR"/>
        </w:rPr>
        <w:t xml:space="preserve"> </w:t>
      </w:r>
      <w:proofErr w:type="spellStart"/>
      <w:r w:rsidRPr="00940D59">
        <w:rPr>
          <w:lang w:val="tr-TR"/>
        </w:rPr>
        <w:t>embroiled</w:t>
      </w:r>
      <w:proofErr w:type="spellEnd"/>
      <w:r w:rsidRPr="00940D59">
        <w:rPr>
          <w:lang w:val="tr-TR"/>
        </w:rPr>
        <w:t xml:space="preserve"> in </w:t>
      </w:r>
      <w:proofErr w:type="spellStart"/>
      <w:r w:rsidRPr="00940D59">
        <w:rPr>
          <w:lang w:val="tr-TR"/>
        </w:rPr>
        <w:t>controversy</w:t>
      </w:r>
      <w:proofErr w:type="spellEnd"/>
      <w:r w:rsidRPr="00940D59">
        <w:rPr>
          <w:lang w:val="tr-TR"/>
        </w:rPr>
        <w:t xml:space="preserve"> </w:t>
      </w:r>
      <w:proofErr w:type="spellStart"/>
      <w:r w:rsidRPr="00940D59">
        <w:rPr>
          <w:lang w:val="tr-TR"/>
        </w:rPr>
        <w:t>due</w:t>
      </w:r>
      <w:proofErr w:type="spellEnd"/>
      <w:r w:rsidRPr="00940D59">
        <w:rPr>
          <w:lang w:val="tr-TR"/>
        </w:rPr>
        <w:t xml:space="preserve"> </w:t>
      </w:r>
      <w:proofErr w:type="spellStart"/>
      <w:r w:rsidRPr="00940D59">
        <w:rPr>
          <w:lang w:val="tr-TR"/>
        </w:rPr>
        <w:t>to</w:t>
      </w:r>
      <w:proofErr w:type="spellEnd"/>
      <w:r w:rsidRPr="00940D59">
        <w:rPr>
          <w:lang w:val="tr-TR"/>
        </w:rPr>
        <w:t xml:space="preserve"> </w:t>
      </w:r>
      <w:proofErr w:type="spellStart"/>
      <w:r w:rsidRPr="00940D59">
        <w:rPr>
          <w:lang w:val="tr-TR"/>
        </w:rPr>
        <w:t>its</w:t>
      </w:r>
      <w:proofErr w:type="spellEnd"/>
      <w:r w:rsidRPr="00940D59">
        <w:rPr>
          <w:lang w:val="tr-TR"/>
        </w:rPr>
        <w:t xml:space="preserve"> </w:t>
      </w:r>
      <w:proofErr w:type="spellStart"/>
      <w:r w:rsidRPr="00940D59">
        <w:rPr>
          <w:lang w:val="tr-TR"/>
        </w:rPr>
        <w:t>alleged</w:t>
      </w:r>
      <w:proofErr w:type="spellEnd"/>
      <w:r w:rsidRPr="00940D59">
        <w:rPr>
          <w:lang w:val="tr-TR"/>
        </w:rPr>
        <w:t xml:space="preserve"> </w:t>
      </w:r>
      <w:proofErr w:type="spellStart"/>
      <w:r w:rsidRPr="00940D59">
        <w:rPr>
          <w:lang w:val="tr-TR"/>
        </w:rPr>
        <w:t>connections</w:t>
      </w:r>
      <w:proofErr w:type="spellEnd"/>
      <w:r w:rsidRPr="00940D59">
        <w:rPr>
          <w:lang w:val="tr-TR"/>
        </w:rPr>
        <w:t xml:space="preserve"> </w:t>
      </w:r>
      <w:proofErr w:type="spellStart"/>
      <w:r w:rsidRPr="00940D59">
        <w:rPr>
          <w:lang w:val="tr-TR"/>
        </w:rPr>
        <w:t>with</w:t>
      </w:r>
      <w:proofErr w:type="spellEnd"/>
      <w:r w:rsidRPr="00940D59">
        <w:rPr>
          <w:lang w:val="tr-TR"/>
        </w:rPr>
        <w:t xml:space="preserve"> </w:t>
      </w:r>
      <w:proofErr w:type="spellStart"/>
      <w:r w:rsidRPr="00940D59">
        <w:rPr>
          <w:lang w:val="tr-TR"/>
        </w:rPr>
        <w:t>the</w:t>
      </w:r>
      <w:proofErr w:type="spellEnd"/>
      <w:r w:rsidRPr="00940D59">
        <w:rPr>
          <w:lang w:val="tr-TR"/>
        </w:rPr>
        <w:t xml:space="preserve"> Gülen </w:t>
      </w:r>
      <w:proofErr w:type="spellStart"/>
      <w:r w:rsidRPr="00940D59">
        <w:rPr>
          <w:lang w:val="tr-TR"/>
        </w:rPr>
        <w:t>movement</w:t>
      </w:r>
      <w:proofErr w:type="spellEnd"/>
      <w:r w:rsidRPr="00940D59">
        <w:rPr>
          <w:lang w:val="tr-TR"/>
        </w:rPr>
        <w:t xml:space="preserve">, </w:t>
      </w:r>
      <w:proofErr w:type="spellStart"/>
      <w:r w:rsidRPr="00940D59">
        <w:rPr>
          <w:lang w:val="tr-TR"/>
        </w:rPr>
        <w:t>which</w:t>
      </w:r>
      <w:proofErr w:type="spellEnd"/>
      <w:r w:rsidRPr="00940D59">
        <w:rPr>
          <w:lang w:val="tr-TR"/>
        </w:rPr>
        <w:t xml:space="preserve"> </w:t>
      </w:r>
      <w:proofErr w:type="spellStart"/>
      <w:r w:rsidRPr="00940D59">
        <w:rPr>
          <w:lang w:val="tr-TR"/>
        </w:rPr>
        <w:t>was</w:t>
      </w:r>
      <w:proofErr w:type="spellEnd"/>
      <w:r w:rsidRPr="00940D59">
        <w:rPr>
          <w:lang w:val="tr-TR"/>
        </w:rPr>
        <w:t xml:space="preserve"> </w:t>
      </w:r>
      <w:proofErr w:type="spellStart"/>
      <w:r w:rsidRPr="00940D59">
        <w:rPr>
          <w:lang w:val="tr-TR"/>
        </w:rPr>
        <w:t>accused</w:t>
      </w:r>
      <w:proofErr w:type="spellEnd"/>
      <w:r w:rsidRPr="00940D59">
        <w:rPr>
          <w:lang w:val="tr-TR"/>
        </w:rPr>
        <w:t xml:space="preserve"> </w:t>
      </w:r>
      <w:proofErr w:type="spellStart"/>
      <w:r w:rsidRPr="00940D59">
        <w:rPr>
          <w:lang w:val="tr-TR"/>
        </w:rPr>
        <w:t>by</w:t>
      </w:r>
      <w:proofErr w:type="spellEnd"/>
      <w:r w:rsidRPr="00940D59">
        <w:rPr>
          <w:lang w:val="tr-TR"/>
        </w:rPr>
        <w:t xml:space="preserve"> </w:t>
      </w:r>
      <w:proofErr w:type="spellStart"/>
      <w:r w:rsidRPr="00940D59">
        <w:rPr>
          <w:lang w:val="tr-TR"/>
        </w:rPr>
        <w:t>the</w:t>
      </w:r>
      <w:proofErr w:type="spellEnd"/>
      <w:r w:rsidRPr="00940D59">
        <w:rPr>
          <w:lang w:val="tr-TR"/>
        </w:rPr>
        <w:t xml:space="preserve"> </w:t>
      </w:r>
      <w:proofErr w:type="spellStart"/>
      <w:r w:rsidRPr="00940D59">
        <w:rPr>
          <w:lang w:val="tr-TR"/>
        </w:rPr>
        <w:t>Turkish</w:t>
      </w:r>
      <w:proofErr w:type="spellEnd"/>
      <w:r w:rsidRPr="00940D59">
        <w:rPr>
          <w:lang w:val="tr-TR"/>
        </w:rPr>
        <w:t xml:space="preserve"> </w:t>
      </w:r>
      <w:proofErr w:type="spellStart"/>
      <w:r w:rsidRPr="00940D59">
        <w:rPr>
          <w:lang w:val="tr-TR"/>
        </w:rPr>
        <w:t>government</w:t>
      </w:r>
      <w:proofErr w:type="spellEnd"/>
      <w:r w:rsidRPr="00940D59">
        <w:rPr>
          <w:lang w:val="tr-TR"/>
        </w:rPr>
        <w:t xml:space="preserve"> of </w:t>
      </w:r>
      <w:proofErr w:type="spellStart"/>
      <w:r w:rsidRPr="00940D59">
        <w:rPr>
          <w:lang w:val="tr-TR"/>
        </w:rPr>
        <w:t>orchestrating</w:t>
      </w:r>
      <w:proofErr w:type="spellEnd"/>
      <w:r w:rsidRPr="00940D59">
        <w:rPr>
          <w:lang w:val="tr-TR"/>
        </w:rPr>
        <w:t xml:space="preserve"> </w:t>
      </w:r>
      <w:proofErr w:type="spellStart"/>
      <w:r w:rsidRPr="00940D59">
        <w:rPr>
          <w:lang w:val="tr-TR"/>
        </w:rPr>
        <w:t>the</w:t>
      </w:r>
      <w:proofErr w:type="spellEnd"/>
      <w:r w:rsidRPr="00940D59">
        <w:rPr>
          <w:lang w:val="tr-TR"/>
        </w:rPr>
        <w:t xml:space="preserve"> </w:t>
      </w:r>
      <w:proofErr w:type="spellStart"/>
      <w:r w:rsidRPr="00940D59">
        <w:rPr>
          <w:lang w:val="tr-TR"/>
        </w:rPr>
        <w:t>failed</w:t>
      </w:r>
      <w:proofErr w:type="spellEnd"/>
      <w:r w:rsidRPr="00940D59">
        <w:rPr>
          <w:lang w:val="tr-TR"/>
        </w:rPr>
        <w:t xml:space="preserve"> </w:t>
      </w:r>
      <w:proofErr w:type="spellStart"/>
      <w:r w:rsidRPr="00940D59">
        <w:rPr>
          <w:lang w:val="tr-TR"/>
        </w:rPr>
        <w:t>coup</w:t>
      </w:r>
      <w:proofErr w:type="spellEnd"/>
      <w:r w:rsidRPr="00940D59">
        <w:rPr>
          <w:lang w:val="tr-TR"/>
        </w:rPr>
        <w:t xml:space="preserve"> </w:t>
      </w:r>
      <w:proofErr w:type="spellStart"/>
      <w:r w:rsidRPr="00940D59">
        <w:rPr>
          <w:lang w:val="tr-TR"/>
        </w:rPr>
        <w:t>attempt</w:t>
      </w:r>
      <w:proofErr w:type="spellEnd"/>
      <w:r w:rsidRPr="00940D59">
        <w:rPr>
          <w:lang w:val="tr-TR"/>
        </w:rPr>
        <w:t xml:space="preserve"> in </w:t>
      </w:r>
      <w:proofErr w:type="spellStart"/>
      <w:r w:rsidRPr="00940D59">
        <w:rPr>
          <w:lang w:val="tr-TR"/>
        </w:rPr>
        <w:t>July</w:t>
      </w:r>
      <w:proofErr w:type="spellEnd"/>
      <w:r w:rsidRPr="00940D59">
        <w:rPr>
          <w:lang w:val="tr-TR"/>
        </w:rPr>
        <w:t xml:space="preserve"> 2016.</w:t>
      </w:r>
    </w:p>
  </w:footnote>
  <w:footnote w:id="48">
    <w:p w14:paraId="2724FD56" w14:textId="77777777" w:rsidR="003A317B" w:rsidRPr="0035134F" w:rsidRDefault="003A317B" w:rsidP="003A317B">
      <w:pPr>
        <w:pStyle w:val="FootnoteText"/>
        <w:rPr>
          <w:lang w:val="tr-TR"/>
        </w:rPr>
      </w:pPr>
      <w:r>
        <w:rPr>
          <w:rStyle w:val="FootnoteReference"/>
        </w:rPr>
        <w:footnoteRef/>
      </w:r>
      <w:r w:rsidRPr="0035134F">
        <w:rPr>
          <w:lang w:val="tr-TR"/>
        </w:rPr>
        <w:t xml:space="preserve"> </w:t>
      </w:r>
      <w:hyperlink r:id="rId55" w:history="1">
        <w:r w:rsidRPr="0035134F">
          <w:rPr>
            <w:rStyle w:val="Hyperlink"/>
            <w:lang w:val="tr-TR"/>
          </w:rPr>
          <w:t>https://hatemonitoring.com/vakif-bank-izmir-branch/</w:t>
        </w:r>
      </w:hyperlink>
      <w:r w:rsidRPr="0035134F">
        <w:rPr>
          <w:lang w:val="tr-TR"/>
        </w:rPr>
        <w:t xml:space="preserve"> </w:t>
      </w:r>
    </w:p>
  </w:footnote>
  <w:footnote w:id="49">
    <w:p w14:paraId="11629B4A" w14:textId="77777777" w:rsidR="003A317B" w:rsidRPr="0035134F" w:rsidRDefault="003A317B" w:rsidP="003A317B">
      <w:pPr>
        <w:pStyle w:val="FootnoteText"/>
        <w:rPr>
          <w:lang w:val="tr-TR"/>
        </w:rPr>
      </w:pPr>
      <w:r>
        <w:rPr>
          <w:rStyle w:val="FootnoteReference"/>
        </w:rPr>
        <w:footnoteRef/>
      </w:r>
      <w:r w:rsidRPr="0035134F">
        <w:rPr>
          <w:lang w:val="tr-TR"/>
        </w:rPr>
        <w:t xml:space="preserve"> </w:t>
      </w:r>
      <w:hyperlink r:id="rId56" w:history="1">
        <w:r w:rsidRPr="0035134F">
          <w:rPr>
            <w:rStyle w:val="Hyperlink"/>
            <w:lang w:val="tr-TR"/>
          </w:rPr>
          <w:t>https://hatemonitoring.com/s-a/</w:t>
        </w:r>
      </w:hyperlink>
      <w:r w:rsidRPr="0035134F">
        <w:rPr>
          <w:lang w:val="tr-TR"/>
        </w:rPr>
        <w:t xml:space="preserve"> </w:t>
      </w:r>
    </w:p>
  </w:footnote>
  <w:footnote w:id="50">
    <w:p w14:paraId="0EEC22F4" w14:textId="77777777" w:rsidR="003A317B" w:rsidRPr="0035134F" w:rsidRDefault="003A317B" w:rsidP="003A317B">
      <w:pPr>
        <w:pStyle w:val="FootnoteText"/>
        <w:rPr>
          <w:lang w:val="tr-TR"/>
        </w:rPr>
      </w:pPr>
      <w:r>
        <w:rPr>
          <w:rStyle w:val="FootnoteReference"/>
        </w:rPr>
        <w:footnoteRef/>
      </w:r>
      <w:r w:rsidRPr="0035134F">
        <w:rPr>
          <w:lang w:val="tr-TR"/>
        </w:rPr>
        <w:t xml:space="preserve"> </w:t>
      </w:r>
      <w:hyperlink r:id="rId57" w:history="1">
        <w:r w:rsidRPr="0035134F">
          <w:rPr>
            <w:rStyle w:val="Hyperlink"/>
            <w:lang w:val="tr-TR"/>
          </w:rPr>
          <w:t>https://hatemonitoring.com/rifat-yilmaz/</w:t>
        </w:r>
      </w:hyperlink>
      <w:r w:rsidRPr="0035134F">
        <w:rPr>
          <w:lang w:val="tr-TR"/>
        </w:rPr>
        <w:t xml:space="preserve"> </w:t>
      </w:r>
    </w:p>
  </w:footnote>
  <w:footnote w:id="51">
    <w:p w14:paraId="14059F8B" w14:textId="77777777" w:rsidR="003A317B" w:rsidRPr="0035134F" w:rsidRDefault="003A317B" w:rsidP="003A317B">
      <w:pPr>
        <w:pStyle w:val="FootnoteText"/>
        <w:rPr>
          <w:lang w:val="tr-TR"/>
        </w:rPr>
      </w:pPr>
      <w:r>
        <w:rPr>
          <w:rStyle w:val="FootnoteReference"/>
        </w:rPr>
        <w:footnoteRef/>
      </w:r>
      <w:r w:rsidRPr="0035134F">
        <w:rPr>
          <w:lang w:val="tr-TR"/>
        </w:rPr>
        <w:t xml:space="preserve"> </w:t>
      </w:r>
      <w:hyperlink r:id="rId58" w:history="1">
        <w:r w:rsidRPr="0035134F">
          <w:rPr>
            <w:rStyle w:val="Hyperlink"/>
            <w:lang w:val="tr-TR"/>
          </w:rPr>
          <w:t>https://hatemonitoring.com/unidentified-3/</w:t>
        </w:r>
      </w:hyperlink>
      <w:r w:rsidRPr="0035134F">
        <w:rPr>
          <w:lang w:val="tr-TR"/>
        </w:rPr>
        <w:t xml:space="preserve"> </w:t>
      </w:r>
    </w:p>
  </w:footnote>
  <w:footnote w:id="52">
    <w:p w14:paraId="36C6541D" w14:textId="77777777" w:rsidR="003A317B" w:rsidRPr="0035134F" w:rsidRDefault="003A317B" w:rsidP="003A317B">
      <w:pPr>
        <w:pStyle w:val="FootnoteText"/>
        <w:rPr>
          <w:lang w:val="tr-TR"/>
        </w:rPr>
      </w:pPr>
      <w:r>
        <w:rPr>
          <w:rStyle w:val="FootnoteReference"/>
        </w:rPr>
        <w:footnoteRef/>
      </w:r>
      <w:r w:rsidRPr="0035134F">
        <w:rPr>
          <w:lang w:val="tr-TR"/>
        </w:rPr>
        <w:t xml:space="preserve"> </w:t>
      </w:r>
      <w:hyperlink r:id="rId59" w:history="1">
        <w:r w:rsidRPr="0035134F">
          <w:rPr>
            <w:rStyle w:val="Hyperlink"/>
            <w:lang w:val="tr-TR"/>
          </w:rPr>
          <w:t>https://hatemonitoring.com/unidentified/</w:t>
        </w:r>
      </w:hyperlink>
      <w:r w:rsidRPr="0035134F">
        <w:rPr>
          <w:lang w:val="tr-TR"/>
        </w:rPr>
        <w:t xml:space="preserve"> </w:t>
      </w:r>
    </w:p>
  </w:footnote>
  <w:footnote w:id="53">
    <w:p w14:paraId="5C387346" w14:textId="77777777" w:rsidR="003A317B" w:rsidRPr="0035134F" w:rsidRDefault="003A317B" w:rsidP="003A317B">
      <w:pPr>
        <w:pStyle w:val="FootnoteText"/>
        <w:rPr>
          <w:lang w:val="tr-TR"/>
        </w:rPr>
      </w:pPr>
      <w:r>
        <w:rPr>
          <w:rStyle w:val="FootnoteReference"/>
        </w:rPr>
        <w:footnoteRef/>
      </w:r>
      <w:r w:rsidRPr="0035134F">
        <w:rPr>
          <w:lang w:val="tr-TR"/>
        </w:rPr>
        <w:t xml:space="preserve"> </w:t>
      </w:r>
      <w:hyperlink r:id="rId60" w:history="1">
        <w:r w:rsidRPr="0035134F">
          <w:rPr>
            <w:rStyle w:val="Hyperlink"/>
            <w:lang w:val="tr-TR"/>
          </w:rPr>
          <w:t>https://hatemonitoring.com/koksal-kuss-statement/</w:t>
        </w:r>
      </w:hyperlink>
      <w:r w:rsidRPr="0035134F">
        <w:rPr>
          <w:lang w:val="tr-TR"/>
        </w:rPr>
        <w:t xml:space="preserve"> </w:t>
      </w:r>
    </w:p>
  </w:footnote>
  <w:footnote w:id="54">
    <w:p w14:paraId="7CAB35DE" w14:textId="77777777" w:rsidR="003A317B" w:rsidRPr="0035134F" w:rsidRDefault="003A317B" w:rsidP="003A317B">
      <w:pPr>
        <w:pStyle w:val="FootnoteText"/>
        <w:rPr>
          <w:lang w:val="tr-TR"/>
        </w:rPr>
      </w:pPr>
      <w:r>
        <w:rPr>
          <w:rStyle w:val="FootnoteReference"/>
        </w:rPr>
        <w:footnoteRef/>
      </w:r>
      <w:r w:rsidRPr="0035134F">
        <w:rPr>
          <w:lang w:val="tr-TR"/>
        </w:rPr>
        <w:t xml:space="preserve"> </w:t>
      </w:r>
      <w:hyperlink r:id="rId61" w:history="1">
        <w:r w:rsidRPr="0035134F">
          <w:rPr>
            <w:rStyle w:val="Hyperlink"/>
            <w:lang w:val="tr-TR"/>
          </w:rPr>
          <w:t>https://hatemonitoring.com/report-of-sabah-newspaper/</w:t>
        </w:r>
      </w:hyperlink>
      <w:r w:rsidRPr="0035134F">
        <w:rPr>
          <w:lang w:val="tr-TR"/>
        </w:rPr>
        <w:t xml:space="preserve"> </w:t>
      </w:r>
    </w:p>
  </w:footnote>
  <w:footnote w:id="55">
    <w:p w14:paraId="4F3E8600" w14:textId="77777777" w:rsidR="003A317B" w:rsidRPr="0035134F" w:rsidRDefault="003A317B" w:rsidP="003A317B">
      <w:pPr>
        <w:pStyle w:val="FootnoteText"/>
        <w:rPr>
          <w:lang w:val="tr-TR"/>
        </w:rPr>
      </w:pPr>
      <w:r>
        <w:rPr>
          <w:rStyle w:val="FootnoteReference"/>
        </w:rPr>
        <w:footnoteRef/>
      </w:r>
      <w:r w:rsidRPr="0035134F">
        <w:rPr>
          <w:lang w:val="tr-TR"/>
        </w:rPr>
        <w:t xml:space="preserve"> </w:t>
      </w:r>
      <w:hyperlink r:id="rId62" w:history="1">
        <w:r w:rsidRPr="0035134F">
          <w:rPr>
            <w:rStyle w:val="Hyperlink"/>
            <w:lang w:val="tr-TR"/>
          </w:rPr>
          <w:t>https://hatemonitoring.com/suat-bezengs-twitter-post/</w:t>
        </w:r>
      </w:hyperlink>
      <w:r w:rsidRPr="0035134F">
        <w:rPr>
          <w:lang w:val="tr-TR"/>
        </w:rPr>
        <w:t xml:space="preserve"> </w:t>
      </w:r>
    </w:p>
  </w:footnote>
  <w:footnote w:id="56">
    <w:p w14:paraId="2CA78DAF" w14:textId="77777777" w:rsidR="003A317B" w:rsidRPr="0035134F" w:rsidRDefault="003A317B" w:rsidP="003A317B">
      <w:pPr>
        <w:pStyle w:val="FootnoteText"/>
        <w:rPr>
          <w:lang w:val="tr-TR"/>
        </w:rPr>
      </w:pPr>
      <w:r>
        <w:rPr>
          <w:rStyle w:val="FootnoteReference"/>
        </w:rPr>
        <w:footnoteRef/>
      </w:r>
      <w:r w:rsidRPr="0035134F">
        <w:rPr>
          <w:lang w:val="tr-TR"/>
        </w:rPr>
        <w:t xml:space="preserve"> </w:t>
      </w:r>
      <w:hyperlink r:id="rId63" w:history="1">
        <w:r w:rsidRPr="0035134F">
          <w:rPr>
            <w:rStyle w:val="Hyperlink"/>
            <w:lang w:val="tr-TR"/>
          </w:rPr>
          <w:t>https://hatemonitoring.com/oktan-erdikmens-statement-2/</w:t>
        </w:r>
      </w:hyperlink>
      <w:r w:rsidRPr="0035134F">
        <w:rPr>
          <w:lang w:val="tr-TR"/>
        </w:rPr>
        <w:t xml:space="preserve"> </w:t>
      </w:r>
    </w:p>
  </w:footnote>
  <w:footnote w:id="57">
    <w:p w14:paraId="32F34AB1" w14:textId="77777777" w:rsidR="003A317B" w:rsidRPr="004F04CB" w:rsidRDefault="003A317B" w:rsidP="003A317B">
      <w:pPr>
        <w:pStyle w:val="FootnoteText"/>
        <w:rPr>
          <w:lang w:val="en-US"/>
        </w:rPr>
      </w:pPr>
      <w:r>
        <w:rPr>
          <w:rStyle w:val="FootnoteReference"/>
        </w:rPr>
        <w:footnoteRef/>
      </w:r>
      <w:r w:rsidRPr="004F04CB">
        <w:rPr>
          <w:lang w:val="en-US"/>
        </w:rPr>
        <w:t xml:space="preserve"> </w:t>
      </w:r>
      <w:r w:rsidRPr="004F04CB">
        <w:rPr>
          <w:rFonts w:ascii="Times New Roman" w:hAnsi="Times New Roman" w:cs="Times New Roman"/>
          <w:lang w:val="en-US"/>
        </w:rPr>
        <w:t xml:space="preserve">Disinformation: Gulen movement hasn’t </w:t>
      </w:r>
      <w:r>
        <w:rPr>
          <w:rFonts w:ascii="Times New Roman" w:hAnsi="Times New Roman" w:cs="Times New Roman"/>
          <w:lang w:val="en-US"/>
        </w:rPr>
        <w:t xml:space="preserve">been listed an extremist group in Germany. The mentioned report is available </w:t>
      </w:r>
      <w:hyperlink r:id="rId64" w:history="1">
        <w:r>
          <w:rPr>
            <w:rStyle w:val="Hyperlink"/>
            <w:rFonts w:ascii="Times New Roman" w:hAnsi="Times New Roman" w:cs="Times New Roman"/>
            <w:lang w:val="en-US"/>
          </w:rPr>
          <w:t>here</w:t>
        </w:r>
      </w:hyperlink>
      <w:r>
        <w:rPr>
          <w:rFonts w:ascii="Times New Roman" w:hAnsi="Times New Roman" w:cs="Times New Roman"/>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26A8B" w14:textId="20CB0A67" w:rsidR="00977AA7" w:rsidRDefault="00977AA7">
    <w:pPr>
      <w:pStyle w:val="Header"/>
    </w:pPr>
    <w:r>
      <w:rPr>
        <w:noProof/>
      </w:rPr>
      <w:drawing>
        <wp:anchor distT="0" distB="0" distL="114300" distR="114300" simplePos="0" relativeHeight="251660288" behindDoc="0" locked="0" layoutInCell="1" allowOverlap="1" wp14:anchorId="00F9B06B" wp14:editId="27B12AC3">
          <wp:simplePos x="0" y="0"/>
          <wp:positionH relativeFrom="column">
            <wp:posOffset>5105840</wp:posOffset>
          </wp:positionH>
          <wp:positionV relativeFrom="paragraph">
            <wp:posOffset>-206771</wp:posOffset>
          </wp:positionV>
          <wp:extent cx="1168107" cy="391519"/>
          <wp:effectExtent l="0" t="0" r="0" b="8890"/>
          <wp:wrapNone/>
          <wp:docPr id="1441552048" name="Picture 3" descr="A logo with colorful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52048" name="Picture 3" descr="A logo with colorful dots&#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8815" t="23626" r="7309" b="26632"/>
                  <a:stretch/>
                </pic:blipFill>
                <pic:spPr bwMode="auto">
                  <a:xfrm>
                    <a:off x="0" y="0"/>
                    <a:ext cx="1168107" cy="39151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B2476"/>
    <w:multiLevelType w:val="hybridMultilevel"/>
    <w:tmpl w:val="C714F6C6"/>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3B77F1"/>
    <w:multiLevelType w:val="hybridMultilevel"/>
    <w:tmpl w:val="62F485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677281B"/>
    <w:multiLevelType w:val="hybridMultilevel"/>
    <w:tmpl w:val="7C9AC0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206AE8"/>
    <w:multiLevelType w:val="multilevel"/>
    <w:tmpl w:val="3C20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42232"/>
    <w:multiLevelType w:val="hybridMultilevel"/>
    <w:tmpl w:val="B198C5BC"/>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1940927"/>
    <w:multiLevelType w:val="hybridMultilevel"/>
    <w:tmpl w:val="B4CEF75C"/>
    <w:lvl w:ilvl="0" w:tplc="8F5E82B2">
      <w:start w:val="4"/>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7B77E38"/>
    <w:multiLevelType w:val="hybridMultilevel"/>
    <w:tmpl w:val="E282111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7D45763"/>
    <w:multiLevelType w:val="hybridMultilevel"/>
    <w:tmpl w:val="64CECC42"/>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8" w15:restartNumberingAfterBreak="0">
    <w:nsid w:val="1944711E"/>
    <w:multiLevelType w:val="hybridMultilevel"/>
    <w:tmpl w:val="4192D008"/>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755A77"/>
    <w:multiLevelType w:val="hybridMultilevel"/>
    <w:tmpl w:val="A05C70A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1DBF5850"/>
    <w:multiLevelType w:val="hybridMultilevel"/>
    <w:tmpl w:val="9552DB2C"/>
    <w:lvl w:ilvl="0" w:tplc="64EAD73E">
      <w:start w:val="2"/>
      <w:numFmt w:val="lowerLetter"/>
      <w:lvlText w:val="%1."/>
      <w:lvlJc w:val="left"/>
      <w:pPr>
        <w:ind w:left="144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1E3F1892"/>
    <w:multiLevelType w:val="hybridMultilevel"/>
    <w:tmpl w:val="B0B249CA"/>
    <w:lvl w:ilvl="0" w:tplc="9A52B11A">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1EC46CF6"/>
    <w:multiLevelType w:val="hybridMultilevel"/>
    <w:tmpl w:val="5A0E28DA"/>
    <w:lvl w:ilvl="0" w:tplc="66AE8E8E">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8905392"/>
    <w:multiLevelType w:val="hybridMultilevel"/>
    <w:tmpl w:val="B5CCC7B6"/>
    <w:lvl w:ilvl="0" w:tplc="DBD658BE">
      <w:start w:val="5"/>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294613E7"/>
    <w:multiLevelType w:val="multilevel"/>
    <w:tmpl w:val="815C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A32E27"/>
    <w:multiLevelType w:val="hybridMultilevel"/>
    <w:tmpl w:val="AD0644C4"/>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31D622FB"/>
    <w:multiLevelType w:val="hybridMultilevel"/>
    <w:tmpl w:val="F7AADB82"/>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4B00A88"/>
    <w:multiLevelType w:val="hybridMultilevel"/>
    <w:tmpl w:val="43766CD0"/>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8" w15:restartNumberingAfterBreak="0">
    <w:nsid w:val="37A627CB"/>
    <w:multiLevelType w:val="hybridMultilevel"/>
    <w:tmpl w:val="41A2567A"/>
    <w:lvl w:ilvl="0" w:tplc="3C448C4A">
      <w:start w:val="2"/>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AE6443E"/>
    <w:multiLevelType w:val="hybridMultilevel"/>
    <w:tmpl w:val="7D42D8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3C3C08EC"/>
    <w:multiLevelType w:val="hybridMultilevel"/>
    <w:tmpl w:val="1D0E1E54"/>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0360BBA"/>
    <w:multiLevelType w:val="multilevel"/>
    <w:tmpl w:val="1A86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C223C3"/>
    <w:multiLevelType w:val="hybridMultilevel"/>
    <w:tmpl w:val="2320DF2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45D37C29"/>
    <w:multiLevelType w:val="hybridMultilevel"/>
    <w:tmpl w:val="72DE1016"/>
    <w:lvl w:ilvl="0" w:tplc="E544EDC6">
      <w:start w:val="1"/>
      <w:numFmt w:val="decimal"/>
      <w:lvlText w:val="%1)"/>
      <w:lvlJc w:val="left"/>
      <w:pPr>
        <w:ind w:left="1080" w:hanging="36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476D67B0"/>
    <w:multiLevelType w:val="hybridMultilevel"/>
    <w:tmpl w:val="2B9A1658"/>
    <w:lvl w:ilvl="0" w:tplc="0804EC5C">
      <w:start w:val="3"/>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CBE5F8A"/>
    <w:multiLevelType w:val="multilevel"/>
    <w:tmpl w:val="FBFEF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8185F"/>
    <w:multiLevelType w:val="hybridMultilevel"/>
    <w:tmpl w:val="FF644C9C"/>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597E0E40"/>
    <w:multiLevelType w:val="hybridMultilevel"/>
    <w:tmpl w:val="C5B8DF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AF947C0"/>
    <w:multiLevelType w:val="hybridMultilevel"/>
    <w:tmpl w:val="94F0269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5B301B72"/>
    <w:multiLevelType w:val="hybridMultilevel"/>
    <w:tmpl w:val="2E8ABC6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5F79757E"/>
    <w:multiLevelType w:val="hybridMultilevel"/>
    <w:tmpl w:val="7C9AC038"/>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601A03C6"/>
    <w:multiLevelType w:val="hybridMultilevel"/>
    <w:tmpl w:val="BFFE042A"/>
    <w:lvl w:ilvl="0" w:tplc="3BC43588">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613A41F0"/>
    <w:multiLevelType w:val="hybridMultilevel"/>
    <w:tmpl w:val="8E3AC508"/>
    <w:lvl w:ilvl="0" w:tplc="2A5EA550">
      <w:start w:val="2"/>
      <w:numFmt w:val="lowerLetter"/>
      <w:lvlText w:val="%1."/>
      <w:lvlJc w:val="left"/>
      <w:pPr>
        <w:ind w:left="144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64BC4973"/>
    <w:multiLevelType w:val="hybridMultilevel"/>
    <w:tmpl w:val="10E47F4E"/>
    <w:lvl w:ilvl="0" w:tplc="F89E7744">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663D1112"/>
    <w:multiLevelType w:val="hybridMultilevel"/>
    <w:tmpl w:val="1A2693D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6AFC1986"/>
    <w:multiLevelType w:val="multilevel"/>
    <w:tmpl w:val="DB643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89035D"/>
    <w:multiLevelType w:val="hybridMultilevel"/>
    <w:tmpl w:val="693449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7325158A"/>
    <w:multiLevelType w:val="hybridMultilevel"/>
    <w:tmpl w:val="286613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73D0370C"/>
    <w:multiLevelType w:val="hybridMultilevel"/>
    <w:tmpl w:val="17080D8E"/>
    <w:lvl w:ilvl="0" w:tplc="4DECDEEE">
      <w:start w:val="1"/>
      <w:numFmt w:val="decimal"/>
      <w:lvlText w:val="%1)"/>
      <w:lvlJc w:val="left"/>
      <w:pPr>
        <w:ind w:left="720" w:hanging="360"/>
      </w:pPr>
      <w:rPr>
        <w:rFonts w:hint="default"/>
        <w:color w:val="BF4E14" w:themeColor="accent2" w:themeShade="BF"/>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75F04108"/>
    <w:multiLevelType w:val="multilevel"/>
    <w:tmpl w:val="07B27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EC05F1"/>
    <w:multiLevelType w:val="hybridMultilevel"/>
    <w:tmpl w:val="CC9629CC"/>
    <w:lvl w:ilvl="0" w:tplc="24D6989A">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786E6094"/>
    <w:multiLevelType w:val="hybridMultilevel"/>
    <w:tmpl w:val="58E4B530"/>
    <w:lvl w:ilvl="0" w:tplc="7884E8D2">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7B7F7903"/>
    <w:multiLevelType w:val="hybridMultilevel"/>
    <w:tmpl w:val="80D259A4"/>
    <w:lvl w:ilvl="0" w:tplc="D04ECE34">
      <w:start w:val="3"/>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7BE42BC2"/>
    <w:multiLevelType w:val="hybridMultilevel"/>
    <w:tmpl w:val="C254B40A"/>
    <w:lvl w:ilvl="0" w:tplc="5616F2B6">
      <w:start w:val="1"/>
      <w:numFmt w:val="lowerLetter"/>
      <w:lvlText w:val="%1."/>
      <w:lvlJc w:val="left"/>
      <w:pPr>
        <w:ind w:left="144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234924067">
    <w:abstractNumId w:val="23"/>
  </w:num>
  <w:num w:numId="2" w16cid:durableId="11763604">
    <w:abstractNumId w:val="40"/>
  </w:num>
  <w:num w:numId="3" w16cid:durableId="444007218">
    <w:abstractNumId w:val="11"/>
  </w:num>
  <w:num w:numId="4" w16cid:durableId="61487734">
    <w:abstractNumId w:val="16"/>
  </w:num>
  <w:num w:numId="5" w16cid:durableId="1816330832">
    <w:abstractNumId w:val="34"/>
  </w:num>
  <w:num w:numId="6" w16cid:durableId="1146510500">
    <w:abstractNumId w:val="3"/>
  </w:num>
  <w:num w:numId="7" w16cid:durableId="721638348">
    <w:abstractNumId w:val="21"/>
  </w:num>
  <w:num w:numId="8" w16cid:durableId="753938207">
    <w:abstractNumId w:val="39"/>
  </w:num>
  <w:num w:numId="9" w16cid:durableId="1668050739">
    <w:abstractNumId w:val="19"/>
  </w:num>
  <w:num w:numId="10" w16cid:durableId="1705062053">
    <w:abstractNumId w:val="8"/>
  </w:num>
  <w:num w:numId="11" w16cid:durableId="431826856">
    <w:abstractNumId w:val="20"/>
  </w:num>
  <w:num w:numId="12" w16cid:durableId="297810189">
    <w:abstractNumId w:val="0"/>
  </w:num>
  <w:num w:numId="13" w16cid:durableId="113671107">
    <w:abstractNumId w:val="41"/>
  </w:num>
  <w:num w:numId="14" w16cid:durableId="1650747411">
    <w:abstractNumId w:val="26"/>
  </w:num>
  <w:num w:numId="15" w16cid:durableId="954286070">
    <w:abstractNumId w:val="33"/>
  </w:num>
  <w:num w:numId="16" w16cid:durableId="70465697">
    <w:abstractNumId w:val="12"/>
  </w:num>
  <w:num w:numId="17" w16cid:durableId="119694355">
    <w:abstractNumId w:val="38"/>
  </w:num>
  <w:num w:numId="18" w16cid:durableId="526530075">
    <w:abstractNumId w:val="15"/>
  </w:num>
  <w:num w:numId="19" w16cid:durableId="448205706">
    <w:abstractNumId w:val="4"/>
  </w:num>
  <w:num w:numId="20" w16cid:durableId="1443308835">
    <w:abstractNumId w:val="36"/>
  </w:num>
  <w:num w:numId="21" w16cid:durableId="252058352">
    <w:abstractNumId w:val="22"/>
  </w:num>
  <w:num w:numId="22" w16cid:durableId="1484005383">
    <w:abstractNumId w:val="28"/>
  </w:num>
  <w:num w:numId="23" w16cid:durableId="551814883">
    <w:abstractNumId w:val="30"/>
  </w:num>
  <w:num w:numId="24" w16cid:durableId="1481000212">
    <w:abstractNumId w:val="2"/>
  </w:num>
  <w:num w:numId="25" w16cid:durableId="2020501089">
    <w:abstractNumId w:val="31"/>
  </w:num>
  <w:num w:numId="26" w16cid:durableId="1025208538">
    <w:abstractNumId w:val="18"/>
  </w:num>
  <w:num w:numId="27" w16cid:durableId="41254767">
    <w:abstractNumId w:val="10"/>
  </w:num>
  <w:num w:numId="28" w16cid:durableId="1762023826">
    <w:abstractNumId w:val="43"/>
  </w:num>
  <w:num w:numId="29" w16cid:durableId="622618380">
    <w:abstractNumId w:val="42"/>
  </w:num>
  <w:num w:numId="30" w16cid:durableId="861430876">
    <w:abstractNumId w:val="32"/>
  </w:num>
  <w:num w:numId="31" w16cid:durableId="433942810">
    <w:abstractNumId w:val="24"/>
  </w:num>
  <w:num w:numId="32" w16cid:durableId="1053189787">
    <w:abstractNumId w:val="5"/>
  </w:num>
  <w:num w:numId="33" w16cid:durableId="1782147510">
    <w:abstractNumId w:val="13"/>
  </w:num>
  <w:num w:numId="34" w16cid:durableId="374087713">
    <w:abstractNumId w:val="27"/>
  </w:num>
  <w:num w:numId="35" w16cid:durableId="647325456">
    <w:abstractNumId w:val="35"/>
  </w:num>
  <w:num w:numId="36" w16cid:durableId="796263136">
    <w:abstractNumId w:val="37"/>
  </w:num>
  <w:num w:numId="37" w16cid:durableId="337661952">
    <w:abstractNumId w:val="14"/>
  </w:num>
  <w:num w:numId="38" w16cid:durableId="82995167">
    <w:abstractNumId w:val="6"/>
  </w:num>
  <w:num w:numId="39" w16cid:durableId="1854683828">
    <w:abstractNumId w:val="29"/>
  </w:num>
  <w:num w:numId="40" w16cid:durableId="1217475170">
    <w:abstractNumId w:val="7"/>
  </w:num>
  <w:num w:numId="41" w16cid:durableId="1319378542">
    <w:abstractNumId w:val="17"/>
  </w:num>
  <w:num w:numId="42" w16cid:durableId="1123773313">
    <w:abstractNumId w:val="25"/>
  </w:num>
  <w:num w:numId="43" w16cid:durableId="1596405520">
    <w:abstractNumId w:val="9"/>
  </w:num>
  <w:num w:numId="44" w16cid:durableId="1953055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EF0"/>
    <w:rsid w:val="00004978"/>
    <w:rsid w:val="00011DE7"/>
    <w:rsid w:val="00014D9C"/>
    <w:rsid w:val="00014DF9"/>
    <w:rsid w:val="000166BD"/>
    <w:rsid w:val="00017F63"/>
    <w:rsid w:val="0002365C"/>
    <w:rsid w:val="00023D1C"/>
    <w:rsid w:val="00033036"/>
    <w:rsid w:val="000332A8"/>
    <w:rsid w:val="00036B05"/>
    <w:rsid w:val="0003768A"/>
    <w:rsid w:val="00037F9B"/>
    <w:rsid w:val="000422E8"/>
    <w:rsid w:val="00056D17"/>
    <w:rsid w:val="0006047B"/>
    <w:rsid w:val="00064A21"/>
    <w:rsid w:val="0008001F"/>
    <w:rsid w:val="000848B8"/>
    <w:rsid w:val="000905FC"/>
    <w:rsid w:val="000A00EE"/>
    <w:rsid w:val="000A04F5"/>
    <w:rsid w:val="000B11A9"/>
    <w:rsid w:val="000B12B7"/>
    <w:rsid w:val="000B4345"/>
    <w:rsid w:val="000C1578"/>
    <w:rsid w:val="000C7692"/>
    <w:rsid w:val="000D187B"/>
    <w:rsid w:val="000D26C2"/>
    <w:rsid w:val="000D2D6B"/>
    <w:rsid w:val="000D6742"/>
    <w:rsid w:val="000E4E64"/>
    <w:rsid w:val="000E7134"/>
    <w:rsid w:val="000F2954"/>
    <w:rsid w:val="000F2C26"/>
    <w:rsid w:val="000F39AD"/>
    <w:rsid w:val="000F4781"/>
    <w:rsid w:val="000F69C2"/>
    <w:rsid w:val="00102273"/>
    <w:rsid w:val="00102F4F"/>
    <w:rsid w:val="0012074C"/>
    <w:rsid w:val="00130C16"/>
    <w:rsid w:val="00134325"/>
    <w:rsid w:val="00134527"/>
    <w:rsid w:val="00143136"/>
    <w:rsid w:val="00146843"/>
    <w:rsid w:val="00146A52"/>
    <w:rsid w:val="00147BA9"/>
    <w:rsid w:val="00147C37"/>
    <w:rsid w:val="0015027C"/>
    <w:rsid w:val="001512BC"/>
    <w:rsid w:val="00151A49"/>
    <w:rsid w:val="00160056"/>
    <w:rsid w:val="001607E3"/>
    <w:rsid w:val="00164EFF"/>
    <w:rsid w:val="00167372"/>
    <w:rsid w:val="00172A39"/>
    <w:rsid w:val="00176F3F"/>
    <w:rsid w:val="00180D9A"/>
    <w:rsid w:val="00183593"/>
    <w:rsid w:val="00190F67"/>
    <w:rsid w:val="001914C3"/>
    <w:rsid w:val="00192304"/>
    <w:rsid w:val="001931E6"/>
    <w:rsid w:val="00196A6F"/>
    <w:rsid w:val="001A07A8"/>
    <w:rsid w:val="001A4CBD"/>
    <w:rsid w:val="001A6FCE"/>
    <w:rsid w:val="001A784B"/>
    <w:rsid w:val="001A7DC3"/>
    <w:rsid w:val="001B0130"/>
    <w:rsid w:val="001B0E8B"/>
    <w:rsid w:val="001B1870"/>
    <w:rsid w:val="001B2466"/>
    <w:rsid w:val="001B7026"/>
    <w:rsid w:val="001B7BE7"/>
    <w:rsid w:val="001C0800"/>
    <w:rsid w:val="001C3BAC"/>
    <w:rsid w:val="001C4CF1"/>
    <w:rsid w:val="001D2890"/>
    <w:rsid w:val="001D73C4"/>
    <w:rsid w:val="001E362D"/>
    <w:rsid w:val="001F010A"/>
    <w:rsid w:val="001F2FC7"/>
    <w:rsid w:val="001F3D3E"/>
    <w:rsid w:val="001F3E79"/>
    <w:rsid w:val="001F5258"/>
    <w:rsid w:val="002018F6"/>
    <w:rsid w:val="00206FB6"/>
    <w:rsid w:val="00207668"/>
    <w:rsid w:val="002166E2"/>
    <w:rsid w:val="00217023"/>
    <w:rsid w:val="002209F9"/>
    <w:rsid w:val="00226623"/>
    <w:rsid w:val="00232857"/>
    <w:rsid w:val="0023571E"/>
    <w:rsid w:val="002372F0"/>
    <w:rsid w:val="002372F2"/>
    <w:rsid w:val="00244C68"/>
    <w:rsid w:val="002465C3"/>
    <w:rsid w:val="00253140"/>
    <w:rsid w:val="00261BC0"/>
    <w:rsid w:val="00264CFE"/>
    <w:rsid w:val="002654A5"/>
    <w:rsid w:val="00267C9E"/>
    <w:rsid w:val="00270F94"/>
    <w:rsid w:val="00271818"/>
    <w:rsid w:val="00272499"/>
    <w:rsid w:val="00272DAF"/>
    <w:rsid w:val="00280CD3"/>
    <w:rsid w:val="00281774"/>
    <w:rsid w:val="0028352F"/>
    <w:rsid w:val="002849DC"/>
    <w:rsid w:val="00290FB0"/>
    <w:rsid w:val="0029492A"/>
    <w:rsid w:val="00294D9B"/>
    <w:rsid w:val="002A5D1E"/>
    <w:rsid w:val="002B488F"/>
    <w:rsid w:val="002B4CF6"/>
    <w:rsid w:val="002B63DD"/>
    <w:rsid w:val="002C0303"/>
    <w:rsid w:val="002D44FB"/>
    <w:rsid w:val="002D4723"/>
    <w:rsid w:val="002E2376"/>
    <w:rsid w:val="002E3509"/>
    <w:rsid w:val="002E38EE"/>
    <w:rsid w:val="002E5810"/>
    <w:rsid w:val="002F06BA"/>
    <w:rsid w:val="002F36CF"/>
    <w:rsid w:val="002F456C"/>
    <w:rsid w:val="002F5AAA"/>
    <w:rsid w:val="0030424D"/>
    <w:rsid w:val="00304723"/>
    <w:rsid w:val="00305E8D"/>
    <w:rsid w:val="00330EDE"/>
    <w:rsid w:val="00333F91"/>
    <w:rsid w:val="00336593"/>
    <w:rsid w:val="003435F7"/>
    <w:rsid w:val="0034706D"/>
    <w:rsid w:val="00351F2B"/>
    <w:rsid w:val="00357078"/>
    <w:rsid w:val="00360719"/>
    <w:rsid w:val="00360EAF"/>
    <w:rsid w:val="00374509"/>
    <w:rsid w:val="00387C00"/>
    <w:rsid w:val="00390777"/>
    <w:rsid w:val="003A317B"/>
    <w:rsid w:val="003B0F7B"/>
    <w:rsid w:val="003B2E9F"/>
    <w:rsid w:val="003C05BA"/>
    <w:rsid w:val="003C14A4"/>
    <w:rsid w:val="003C21CC"/>
    <w:rsid w:val="003C3D51"/>
    <w:rsid w:val="003C4D19"/>
    <w:rsid w:val="003C4E86"/>
    <w:rsid w:val="003C7809"/>
    <w:rsid w:val="003D72B5"/>
    <w:rsid w:val="003E51C1"/>
    <w:rsid w:val="003E5DC7"/>
    <w:rsid w:val="003E6049"/>
    <w:rsid w:val="003F06B2"/>
    <w:rsid w:val="003F3DCE"/>
    <w:rsid w:val="004003FF"/>
    <w:rsid w:val="00400FDD"/>
    <w:rsid w:val="00403CEB"/>
    <w:rsid w:val="00407E7A"/>
    <w:rsid w:val="00420BAF"/>
    <w:rsid w:val="00424814"/>
    <w:rsid w:val="004251D5"/>
    <w:rsid w:val="00432B38"/>
    <w:rsid w:val="004338DF"/>
    <w:rsid w:val="0043709B"/>
    <w:rsid w:val="0043785C"/>
    <w:rsid w:val="004444EC"/>
    <w:rsid w:val="0045377A"/>
    <w:rsid w:val="00453A82"/>
    <w:rsid w:val="0045549E"/>
    <w:rsid w:val="00455606"/>
    <w:rsid w:val="00462C95"/>
    <w:rsid w:val="00463B97"/>
    <w:rsid w:val="00465F13"/>
    <w:rsid w:val="004714DC"/>
    <w:rsid w:val="00474F2F"/>
    <w:rsid w:val="00475E12"/>
    <w:rsid w:val="00477686"/>
    <w:rsid w:val="00477FAF"/>
    <w:rsid w:val="00480E34"/>
    <w:rsid w:val="00483D9C"/>
    <w:rsid w:val="0048486B"/>
    <w:rsid w:val="004923DA"/>
    <w:rsid w:val="0049268A"/>
    <w:rsid w:val="00492D0F"/>
    <w:rsid w:val="00496040"/>
    <w:rsid w:val="00497354"/>
    <w:rsid w:val="004A0EC5"/>
    <w:rsid w:val="004A10C0"/>
    <w:rsid w:val="004A1DBA"/>
    <w:rsid w:val="004A1F50"/>
    <w:rsid w:val="004A2586"/>
    <w:rsid w:val="004A3606"/>
    <w:rsid w:val="004B00A9"/>
    <w:rsid w:val="004B207D"/>
    <w:rsid w:val="004B46BD"/>
    <w:rsid w:val="004B733C"/>
    <w:rsid w:val="004B77C9"/>
    <w:rsid w:val="004C3364"/>
    <w:rsid w:val="004C42AC"/>
    <w:rsid w:val="004C43BE"/>
    <w:rsid w:val="004C7EEF"/>
    <w:rsid w:val="004E51F4"/>
    <w:rsid w:val="004F06FE"/>
    <w:rsid w:val="004F6D99"/>
    <w:rsid w:val="004F77C6"/>
    <w:rsid w:val="004F7F3E"/>
    <w:rsid w:val="005010C2"/>
    <w:rsid w:val="00504C1E"/>
    <w:rsid w:val="005073A4"/>
    <w:rsid w:val="00507542"/>
    <w:rsid w:val="005118A3"/>
    <w:rsid w:val="00512E4C"/>
    <w:rsid w:val="00530DC7"/>
    <w:rsid w:val="005358BD"/>
    <w:rsid w:val="00535EB1"/>
    <w:rsid w:val="00545776"/>
    <w:rsid w:val="005536E2"/>
    <w:rsid w:val="00561FD5"/>
    <w:rsid w:val="00571B7C"/>
    <w:rsid w:val="0057401B"/>
    <w:rsid w:val="00575500"/>
    <w:rsid w:val="00576AD8"/>
    <w:rsid w:val="00577312"/>
    <w:rsid w:val="0057775C"/>
    <w:rsid w:val="00577FCF"/>
    <w:rsid w:val="005809D8"/>
    <w:rsid w:val="00581A4A"/>
    <w:rsid w:val="005874A0"/>
    <w:rsid w:val="00591552"/>
    <w:rsid w:val="00595183"/>
    <w:rsid w:val="005A678C"/>
    <w:rsid w:val="005A7A38"/>
    <w:rsid w:val="005A7F19"/>
    <w:rsid w:val="005B126A"/>
    <w:rsid w:val="005B50FF"/>
    <w:rsid w:val="005C23A4"/>
    <w:rsid w:val="005C567C"/>
    <w:rsid w:val="005C5A30"/>
    <w:rsid w:val="005C60E3"/>
    <w:rsid w:val="005D0174"/>
    <w:rsid w:val="005D0730"/>
    <w:rsid w:val="005D1E76"/>
    <w:rsid w:val="005D6732"/>
    <w:rsid w:val="005D6FB8"/>
    <w:rsid w:val="005D7264"/>
    <w:rsid w:val="005E07E9"/>
    <w:rsid w:val="006035F5"/>
    <w:rsid w:val="006048A0"/>
    <w:rsid w:val="00610906"/>
    <w:rsid w:val="0061314D"/>
    <w:rsid w:val="006235B1"/>
    <w:rsid w:val="00623A40"/>
    <w:rsid w:val="006242EE"/>
    <w:rsid w:val="00624962"/>
    <w:rsid w:val="00625D01"/>
    <w:rsid w:val="00627214"/>
    <w:rsid w:val="006276C8"/>
    <w:rsid w:val="0062778F"/>
    <w:rsid w:val="00634E5E"/>
    <w:rsid w:val="00637D34"/>
    <w:rsid w:val="00640348"/>
    <w:rsid w:val="0064515A"/>
    <w:rsid w:val="00651188"/>
    <w:rsid w:val="006549FD"/>
    <w:rsid w:val="0065638C"/>
    <w:rsid w:val="00656EF4"/>
    <w:rsid w:val="00656FE2"/>
    <w:rsid w:val="006609ED"/>
    <w:rsid w:val="006613D7"/>
    <w:rsid w:val="00663FFA"/>
    <w:rsid w:val="00664290"/>
    <w:rsid w:val="006669DA"/>
    <w:rsid w:val="006708FB"/>
    <w:rsid w:val="0067277C"/>
    <w:rsid w:val="00672A1F"/>
    <w:rsid w:val="006736F1"/>
    <w:rsid w:val="00681EC1"/>
    <w:rsid w:val="006958E2"/>
    <w:rsid w:val="006964CF"/>
    <w:rsid w:val="0069664F"/>
    <w:rsid w:val="00697D86"/>
    <w:rsid w:val="006A0668"/>
    <w:rsid w:val="006A07BB"/>
    <w:rsid w:val="006A0A7F"/>
    <w:rsid w:val="006A2EB2"/>
    <w:rsid w:val="006A4891"/>
    <w:rsid w:val="006C7685"/>
    <w:rsid w:val="006D2128"/>
    <w:rsid w:val="006D6BF6"/>
    <w:rsid w:val="006D7096"/>
    <w:rsid w:val="006E5752"/>
    <w:rsid w:val="00705E11"/>
    <w:rsid w:val="007066D2"/>
    <w:rsid w:val="00707DEE"/>
    <w:rsid w:val="00712617"/>
    <w:rsid w:val="007134BF"/>
    <w:rsid w:val="0071435E"/>
    <w:rsid w:val="00714C24"/>
    <w:rsid w:val="00715786"/>
    <w:rsid w:val="00715967"/>
    <w:rsid w:val="00717BB6"/>
    <w:rsid w:val="007210D2"/>
    <w:rsid w:val="007248ED"/>
    <w:rsid w:val="00731CA1"/>
    <w:rsid w:val="00731DEC"/>
    <w:rsid w:val="007327F0"/>
    <w:rsid w:val="00733372"/>
    <w:rsid w:val="00734C78"/>
    <w:rsid w:val="00734FD8"/>
    <w:rsid w:val="00750588"/>
    <w:rsid w:val="00751F78"/>
    <w:rsid w:val="007541F4"/>
    <w:rsid w:val="00754BEE"/>
    <w:rsid w:val="0075529A"/>
    <w:rsid w:val="00760ED7"/>
    <w:rsid w:val="007768B2"/>
    <w:rsid w:val="00777251"/>
    <w:rsid w:val="00777C29"/>
    <w:rsid w:val="007803A1"/>
    <w:rsid w:val="00792C93"/>
    <w:rsid w:val="00794792"/>
    <w:rsid w:val="007A7843"/>
    <w:rsid w:val="007B78D1"/>
    <w:rsid w:val="007C2535"/>
    <w:rsid w:val="007C2AFB"/>
    <w:rsid w:val="007C3213"/>
    <w:rsid w:val="007C65B2"/>
    <w:rsid w:val="007D078F"/>
    <w:rsid w:val="007D5A47"/>
    <w:rsid w:val="007F199F"/>
    <w:rsid w:val="007F1F91"/>
    <w:rsid w:val="007F757E"/>
    <w:rsid w:val="008047BB"/>
    <w:rsid w:val="008129CC"/>
    <w:rsid w:val="00813875"/>
    <w:rsid w:val="008206CA"/>
    <w:rsid w:val="0082138A"/>
    <w:rsid w:val="00823E42"/>
    <w:rsid w:val="008244FB"/>
    <w:rsid w:val="00824FDD"/>
    <w:rsid w:val="00836963"/>
    <w:rsid w:val="00836CEB"/>
    <w:rsid w:val="00844A4E"/>
    <w:rsid w:val="00845504"/>
    <w:rsid w:val="00851740"/>
    <w:rsid w:val="00851DE7"/>
    <w:rsid w:val="008544EF"/>
    <w:rsid w:val="0086686E"/>
    <w:rsid w:val="00873BA8"/>
    <w:rsid w:val="0087751F"/>
    <w:rsid w:val="00877D5A"/>
    <w:rsid w:val="00882082"/>
    <w:rsid w:val="008852A3"/>
    <w:rsid w:val="0088787A"/>
    <w:rsid w:val="00891AAF"/>
    <w:rsid w:val="00891BC0"/>
    <w:rsid w:val="008A60A5"/>
    <w:rsid w:val="008A6555"/>
    <w:rsid w:val="008B0C1B"/>
    <w:rsid w:val="008B200F"/>
    <w:rsid w:val="008B3AC4"/>
    <w:rsid w:val="008B50A3"/>
    <w:rsid w:val="008B6620"/>
    <w:rsid w:val="008B7554"/>
    <w:rsid w:val="008B79CA"/>
    <w:rsid w:val="008C2585"/>
    <w:rsid w:val="008C41E6"/>
    <w:rsid w:val="008C4476"/>
    <w:rsid w:val="008C4983"/>
    <w:rsid w:val="008C54AF"/>
    <w:rsid w:val="008C6EDB"/>
    <w:rsid w:val="008D0A8E"/>
    <w:rsid w:val="008D5606"/>
    <w:rsid w:val="008D5B21"/>
    <w:rsid w:val="008D6388"/>
    <w:rsid w:val="008D71A7"/>
    <w:rsid w:val="008E192D"/>
    <w:rsid w:val="008E346E"/>
    <w:rsid w:val="008E43CD"/>
    <w:rsid w:val="008E5C04"/>
    <w:rsid w:val="008E7B1F"/>
    <w:rsid w:val="008F09BF"/>
    <w:rsid w:val="008F2265"/>
    <w:rsid w:val="008F410B"/>
    <w:rsid w:val="00904A16"/>
    <w:rsid w:val="00910909"/>
    <w:rsid w:val="00915763"/>
    <w:rsid w:val="00920AB3"/>
    <w:rsid w:val="0092320E"/>
    <w:rsid w:val="009252C0"/>
    <w:rsid w:val="00927531"/>
    <w:rsid w:val="0093282F"/>
    <w:rsid w:val="0093748C"/>
    <w:rsid w:val="00937F4D"/>
    <w:rsid w:val="009410AD"/>
    <w:rsid w:val="00942286"/>
    <w:rsid w:val="009426CD"/>
    <w:rsid w:val="0094533F"/>
    <w:rsid w:val="00951C16"/>
    <w:rsid w:val="00951E89"/>
    <w:rsid w:val="00952337"/>
    <w:rsid w:val="00952874"/>
    <w:rsid w:val="00954F88"/>
    <w:rsid w:val="00957F5A"/>
    <w:rsid w:val="00962892"/>
    <w:rsid w:val="00971B56"/>
    <w:rsid w:val="009722B2"/>
    <w:rsid w:val="009738F1"/>
    <w:rsid w:val="00973F76"/>
    <w:rsid w:val="00974341"/>
    <w:rsid w:val="00974530"/>
    <w:rsid w:val="00977AA7"/>
    <w:rsid w:val="00983620"/>
    <w:rsid w:val="00986D3B"/>
    <w:rsid w:val="009919F6"/>
    <w:rsid w:val="00994EC4"/>
    <w:rsid w:val="009961CF"/>
    <w:rsid w:val="009A1DBA"/>
    <w:rsid w:val="009A4B2F"/>
    <w:rsid w:val="009B3DDE"/>
    <w:rsid w:val="009B6186"/>
    <w:rsid w:val="009B702E"/>
    <w:rsid w:val="009C001F"/>
    <w:rsid w:val="009C687A"/>
    <w:rsid w:val="009C7879"/>
    <w:rsid w:val="009D066D"/>
    <w:rsid w:val="009D1008"/>
    <w:rsid w:val="009D1F8B"/>
    <w:rsid w:val="009E2932"/>
    <w:rsid w:val="009E595E"/>
    <w:rsid w:val="009F2BE8"/>
    <w:rsid w:val="009F75F8"/>
    <w:rsid w:val="00A044B0"/>
    <w:rsid w:val="00A12FF6"/>
    <w:rsid w:val="00A151AF"/>
    <w:rsid w:val="00A163A4"/>
    <w:rsid w:val="00A17B5C"/>
    <w:rsid w:val="00A322D2"/>
    <w:rsid w:val="00A34829"/>
    <w:rsid w:val="00A35F40"/>
    <w:rsid w:val="00A37AC0"/>
    <w:rsid w:val="00A44EA2"/>
    <w:rsid w:val="00A4664A"/>
    <w:rsid w:val="00A4669F"/>
    <w:rsid w:val="00A511F5"/>
    <w:rsid w:val="00A526EB"/>
    <w:rsid w:val="00A52BC3"/>
    <w:rsid w:val="00A551D3"/>
    <w:rsid w:val="00A559D8"/>
    <w:rsid w:val="00A579EB"/>
    <w:rsid w:val="00A60A6A"/>
    <w:rsid w:val="00A62E01"/>
    <w:rsid w:val="00A63D72"/>
    <w:rsid w:val="00A65A5D"/>
    <w:rsid w:val="00A70172"/>
    <w:rsid w:val="00A717CD"/>
    <w:rsid w:val="00A72A51"/>
    <w:rsid w:val="00A77757"/>
    <w:rsid w:val="00A8628B"/>
    <w:rsid w:val="00A90195"/>
    <w:rsid w:val="00A90DC8"/>
    <w:rsid w:val="00AA1D27"/>
    <w:rsid w:val="00AA2DFB"/>
    <w:rsid w:val="00AA5D7F"/>
    <w:rsid w:val="00AA6ADC"/>
    <w:rsid w:val="00AB316D"/>
    <w:rsid w:val="00AB7060"/>
    <w:rsid w:val="00AC106B"/>
    <w:rsid w:val="00AC4576"/>
    <w:rsid w:val="00AC5864"/>
    <w:rsid w:val="00AC6261"/>
    <w:rsid w:val="00AC7ACF"/>
    <w:rsid w:val="00AC7B65"/>
    <w:rsid w:val="00AD032B"/>
    <w:rsid w:val="00AD52AC"/>
    <w:rsid w:val="00AD57EC"/>
    <w:rsid w:val="00AE1760"/>
    <w:rsid w:val="00AE2680"/>
    <w:rsid w:val="00AF0BDA"/>
    <w:rsid w:val="00B00215"/>
    <w:rsid w:val="00B0027F"/>
    <w:rsid w:val="00B010A7"/>
    <w:rsid w:val="00B02572"/>
    <w:rsid w:val="00B140B2"/>
    <w:rsid w:val="00B140EB"/>
    <w:rsid w:val="00B16554"/>
    <w:rsid w:val="00B1709B"/>
    <w:rsid w:val="00B20A9A"/>
    <w:rsid w:val="00B20E43"/>
    <w:rsid w:val="00B21385"/>
    <w:rsid w:val="00B24D4F"/>
    <w:rsid w:val="00B26CED"/>
    <w:rsid w:val="00B30EE0"/>
    <w:rsid w:val="00B36FDF"/>
    <w:rsid w:val="00B4107D"/>
    <w:rsid w:val="00B415BF"/>
    <w:rsid w:val="00B436DC"/>
    <w:rsid w:val="00B45B98"/>
    <w:rsid w:val="00B52148"/>
    <w:rsid w:val="00B54C97"/>
    <w:rsid w:val="00B60D37"/>
    <w:rsid w:val="00B612B8"/>
    <w:rsid w:val="00B613B2"/>
    <w:rsid w:val="00B6180A"/>
    <w:rsid w:val="00B70F3B"/>
    <w:rsid w:val="00B76736"/>
    <w:rsid w:val="00B833D0"/>
    <w:rsid w:val="00B86B1F"/>
    <w:rsid w:val="00B87290"/>
    <w:rsid w:val="00B9045C"/>
    <w:rsid w:val="00B94A8F"/>
    <w:rsid w:val="00B94E60"/>
    <w:rsid w:val="00B95FB1"/>
    <w:rsid w:val="00BA3D3B"/>
    <w:rsid w:val="00BA41CD"/>
    <w:rsid w:val="00BA4545"/>
    <w:rsid w:val="00BA64CB"/>
    <w:rsid w:val="00BA74B6"/>
    <w:rsid w:val="00BB17B6"/>
    <w:rsid w:val="00BB2FBB"/>
    <w:rsid w:val="00BB434C"/>
    <w:rsid w:val="00BB61F0"/>
    <w:rsid w:val="00BB65A2"/>
    <w:rsid w:val="00BC07C0"/>
    <w:rsid w:val="00BC1EE7"/>
    <w:rsid w:val="00BC32C8"/>
    <w:rsid w:val="00BC3675"/>
    <w:rsid w:val="00BC3823"/>
    <w:rsid w:val="00BD3152"/>
    <w:rsid w:val="00BD494D"/>
    <w:rsid w:val="00BE16EC"/>
    <w:rsid w:val="00BE549B"/>
    <w:rsid w:val="00BF39D4"/>
    <w:rsid w:val="00C04730"/>
    <w:rsid w:val="00C04EE2"/>
    <w:rsid w:val="00C05D13"/>
    <w:rsid w:val="00C07B3F"/>
    <w:rsid w:val="00C120E6"/>
    <w:rsid w:val="00C12C4D"/>
    <w:rsid w:val="00C16228"/>
    <w:rsid w:val="00C25127"/>
    <w:rsid w:val="00C25A07"/>
    <w:rsid w:val="00C273AC"/>
    <w:rsid w:val="00C3105F"/>
    <w:rsid w:val="00C32D55"/>
    <w:rsid w:val="00C33AE2"/>
    <w:rsid w:val="00C3608B"/>
    <w:rsid w:val="00C37B9E"/>
    <w:rsid w:val="00C4010A"/>
    <w:rsid w:val="00C461DC"/>
    <w:rsid w:val="00C50672"/>
    <w:rsid w:val="00C50D71"/>
    <w:rsid w:val="00C5438F"/>
    <w:rsid w:val="00C552E2"/>
    <w:rsid w:val="00C57815"/>
    <w:rsid w:val="00C84AB2"/>
    <w:rsid w:val="00C84F12"/>
    <w:rsid w:val="00C90591"/>
    <w:rsid w:val="00C91398"/>
    <w:rsid w:val="00C91CF0"/>
    <w:rsid w:val="00C96913"/>
    <w:rsid w:val="00CA1B56"/>
    <w:rsid w:val="00CA47F5"/>
    <w:rsid w:val="00CA58B6"/>
    <w:rsid w:val="00CA6EDB"/>
    <w:rsid w:val="00CB011E"/>
    <w:rsid w:val="00CB26C7"/>
    <w:rsid w:val="00CB7E41"/>
    <w:rsid w:val="00CC5B2A"/>
    <w:rsid w:val="00CD1181"/>
    <w:rsid w:val="00CD612D"/>
    <w:rsid w:val="00CD70A5"/>
    <w:rsid w:val="00CF0FE0"/>
    <w:rsid w:val="00CF2D0B"/>
    <w:rsid w:val="00CF602B"/>
    <w:rsid w:val="00CF67D9"/>
    <w:rsid w:val="00CF6DAC"/>
    <w:rsid w:val="00CF7702"/>
    <w:rsid w:val="00D01E47"/>
    <w:rsid w:val="00D11F14"/>
    <w:rsid w:val="00D12A24"/>
    <w:rsid w:val="00D13F2A"/>
    <w:rsid w:val="00D140F6"/>
    <w:rsid w:val="00D16E0A"/>
    <w:rsid w:val="00D27E62"/>
    <w:rsid w:val="00D3361F"/>
    <w:rsid w:val="00D33B27"/>
    <w:rsid w:val="00D3514E"/>
    <w:rsid w:val="00D356FE"/>
    <w:rsid w:val="00D36FFF"/>
    <w:rsid w:val="00D37145"/>
    <w:rsid w:val="00D42E54"/>
    <w:rsid w:val="00D54F50"/>
    <w:rsid w:val="00D562F1"/>
    <w:rsid w:val="00D60E66"/>
    <w:rsid w:val="00D62B4A"/>
    <w:rsid w:val="00D65918"/>
    <w:rsid w:val="00D7096B"/>
    <w:rsid w:val="00D7251A"/>
    <w:rsid w:val="00D8069B"/>
    <w:rsid w:val="00D8772C"/>
    <w:rsid w:val="00D87A99"/>
    <w:rsid w:val="00D87D36"/>
    <w:rsid w:val="00D92488"/>
    <w:rsid w:val="00D93545"/>
    <w:rsid w:val="00DA68B5"/>
    <w:rsid w:val="00DA7EF0"/>
    <w:rsid w:val="00DB2E56"/>
    <w:rsid w:val="00DB384D"/>
    <w:rsid w:val="00DB4D50"/>
    <w:rsid w:val="00DC03A6"/>
    <w:rsid w:val="00DC38F6"/>
    <w:rsid w:val="00DC7480"/>
    <w:rsid w:val="00DD1BDB"/>
    <w:rsid w:val="00DE00BA"/>
    <w:rsid w:val="00DE4355"/>
    <w:rsid w:val="00DE6D03"/>
    <w:rsid w:val="00DF2F18"/>
    <w:rsid w:val="00DF608B"/>
    <w:rsid w:val="00DF6A92"/>
    <w:rsid w:val="00E0267B"/>
    <w:rsid w:val="00E02981"/>
    <w:rsid w:val="00E03697"/>
    <w:rsid w:val="00E04FE5"/>
    <w:rsid w:val="00E06147"/>
    <w:rsid w:val="00E12625"/>
    <w:rsid w:val="00E1502C"/>
    <w:rsid w:val="00E171FA"/>
    <w:rsid w:val="00E22C09"/>
    <w:rsid w:val="00E2312A"/>
    <w:rsid w:val="00E24A66"/>
    <w:rsid w:val="00E25E03"/>
    <w:rsid w:val="00E30618"/>
    <w:rsid w:val="00E332CF"/>
    <w:rsid w:val="00E42FAD"/>
    <w:rsid w:val="00E517F3"/>
    <w:rsid w:val="00E52CB2"/>
    <w:rsid w:val="00E57381"/>
    <w:rsid w:val="00E65CA2"/>
    <w:rsid w:val="00E726DB"/>
    <w:rsid w:val="00E74243"/>
    <w:rsid w:val="00E74703"/>
    <w:rsid w:val="00E76015"/>
    <w:rsid w:val="00E76A34"/>
    <w:rsid w:val="00E7775B"/>
    <w:rsid w:val="00EA7087"/>
    <w:rsid w:val="00EB5FEB"/>
    <w:rsid w:val="00EB7CCA"/>
    <w:rsid w:val="00EC04B4"/>
    <w:rsid w:val="00EC264D"/>
    <w:rsid w:val="00EC50DF"/>
    <w:rsid w:val="00ED2865"/>
    <w:rsid w:val="00ED544D"/>
    <w:rsid w:val="00EE1734"/>
    <w:rsid w:val="00EE2471"/>
    <w:rsid w:val="00EE3D18"/>
    <w:rsid w:val="00EE40E2"/>
    <w:rsid w:val="00EF1781"/>
    <w:rsid w:val="00EF2D22"/>
    <w:rsid w:val="00EF5DA3"/>
    <w:rsid w:val="00EF6068"/>
    <w:rsid w:val="00F00509"/>
    <w:rsid w:val="00F16239"/>
    <w:rsid w:val="00F214CB"/>
    <w:rsid w:val="00F22EB1"/>
    <w:rsid w:val="00F2300F"/>
    <w:rsid w:val="00F278DB"/>
    <w:rsid w:val="00F31BF2"/>
    <w:rsid w:val="00F353B9"/>
    <w:rsid w:val="00F42B45"/>
    <w:rsid w:val="00F47415"/>
    <w:rsid w:val="00F6105D"/>
    <w:rsid w:val="00F64102"/>
    <w:rsid w:val="00F670B3"/>
    <w:rsid w:val="00F743F2"/>
    <w:rsid w:val="00F8140F"/>
    <w:rsid w:val="00F83995"/>
    <w:rsid w:val="00F83EF8"/>
    <w:rsid w:val="00F85969"/>
    <w:rsid w:val="00F874DC"/>
    <w:rsid w:val="00F94719"/>
    <w:rsid w:val="00FA02F2"/>
    <w:rsid w:val="00FA0F4F"/>
    <w:rsid w:val="00FA3914"/>
    <w:rsid w:val="00FA588E"/>
    <w:rsid w:val="00FB69E5"/>
    <w:rsid w:val="00FB7B63"/>
    <w:rsid w:val="00FC0C86"/>
    <w:rsid w:val="00FC77C7"/>
    <w:rsid w:val="00FD274D"/>
    <w:rsid w:val="00FD41AF"/>
    <w:rsid w:val="00FD7BFE"/>
    <w:rsid w:val="00FE37A2"/>
    <w:rsid w:val="00FE4B87"/>
    <w:rsid w:val="00FF012E"/>
    <w:rsid w:val="00FF0EDA"/>
    <w:rsid w:val="00FF418B"/>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9054C"/>
  <w15:docId w15:val="{11B97DE1-6F53-459E-A0F8-5A681117A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829"/>
    <w:pPr>
      <w:spacing w:line="240" w:lineRule="auto"/>
      <w:jc w:val="both"/>
    </w:pPr>
    <w:rPr>
      <w:rFonts w:ascii="Poppins" w:hAnsi="Poppins"/>
    </w:rPr>
  </w:style>
  <w:style w:type="paragraph" w:styleId="Heading1">
    <w:name w:val="heading 1"/>
    <w:basedOn w:val="Normal"/>
    <w:next w:val="Normal"/>
    <w:link w:val="Heading1Char"/>
    <w:uiPriority w:val="9"/>
    <w:qFormat/>
    <w:rsid w:val="00A34829"/>
    <w:pPr>
      <w:keepNext/>
      <w:keepLines/>
      <w:spacing w:before="360" w:after="80"/>
      <w:outlineLvl w:val="0"/>
    </w:pPr>
    <w:rPr>
      <w:rFonts w:eastAsiaTheme="majorEastAsia" w:cstheme="majorBidi"/>
      <w:b/>
      <w:color w:val="BF4E14" w:themeColor="accent2" w:themeShade="BF"/>
      <w:sz w:val="40"/>
      <w:szCs w:val="40"/>
    </w:rPr>
  </w:style>
  <w:style w:type="paragraph" w:styleId="Heading2">
    <w:name w:val="heading 2"/>
    <w:basedOn w:val="Normal"/>
    <w:next w:val="Normal"/>
    <w:link w:val="Heading2Char"/>
    <w:uiPriority w:val="9"/>
    <w:unhideWhenUsed/>
    <w:qFormat/>
    <w:rsid w:val="00A34829"/>
    <w:pPr>
      <w:keepNext/>
      <w:keepLines/>
      <w:spacing w:before="160" w:after="80"/>
      <w:outlineLvl w:val="1"/>
    </w:pPr>
    <w:rPr>
      <w:rFonts w:eastAsiaTheme="majorEastAsia" w:cstheme="majorBidi"/>
      <w:color w:val="BF4E14" w:themeColor="accent2" w:themeShade="BF"/>
      <w:sz w:val="32"/>
      <w:szCs w:val="32"/>
    </w:rPr>
  </w:style>
  <w:style w:type="paragraph" w:styleId="Heading3">
    <w:name w:val="heading 3"/>
    <w:basedOn w:val="Normal"/>
    <w:next w:val="Normal"/>
    <w:link w:val="Heading3Char"/>
    <w:uiPriority w:val="9"/>
    <w:unhideWhenUsed/>
    <w:qFormat/>
    <w:rsid w:val="00DA7E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A7E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E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E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E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E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E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829"/>
    <w:rPr>
      <w:rFonts w:ascii="Poppins" w:eastAsiaTheme="majorEastAsia" w:hAnsi="Poppins" w:cstheme="majorBidi"/>
      <w:b/>
      <w:color w:val="BF4E14" w:themeColor="accent2" w:themeShade="BF"/>
      <w:sz w:val="40"/>
      <w:szCs w:val="40"/>
    </w:rPr>
  </w:style>
  <w:style w:type="character" w:customStyle="1" w:styleId="Heading2Char">
    <w:name w:val="Heading 2 Char"/>
    <w:basedOn w:val="DefaultParagraphFont"/>
    <w:link w:val="Heading2"/>
    <w:uiPriority w:val="9"/>
    <w:rsid w:val="00A34829"/>
    <w:rPr>
      <w:rFonts w:ascii="Poppins" w:eastAsiaTheme="majorEastAsia" w:hAnsi="Poppins" w:cstheme="majorBidi"/>
      <w:color w:val="BF4E14" w:themeColor="accent2" w:themeShade="BF"/>
      <w:sz w:val="32"/>
      <w:szCs w:val="32"/>
    </w:rPr>
  </w:style>
  <w:style w:type="character" w:customStyle="1" w:styleId="Heading3Char">
    <w:name w:val="Heading 3 Char"/>
    <w:basedOn w:val="DefaultParagraphFont"/>
    <w:link w:val="Heading3"/>
    <w:uiPriority w:val="9"/>
    <w:rsid w:val="00DA7E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A7E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E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EF0"/>
    <w:rPr>
      <w:rFonts w:eastAsiaTheme="majorEastAsia" w:cstheme="majorBidi"/>
      <w:color w:val="272727" w:themeColor="text1" w:themeTint="D8"/>
    </w:rPr>
  </w:style>
  <w:style w:type="paragraph" w:styleId="Title">
    <w:name w:val="Title"/>
    <w:basedOn w:val="Normal"/>
    <w:next w:val="Normal"/>
    <w:link w:val="TitleChar"/>
    <w:uiPriority w:val="10"/>
    <w:qFormat/>
    <w:rsid w:val="00DA7EF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E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EF0"/>
    <w:pPr>
      <w:spacing w:before="160"/>
      <w:jc w:val="center"/>
    </w:pPr>
    <w:rPr>
      <w:i/>
      <w:iCs/>
      <w:color w:val="404040" w:themeColor="text1" w:themeTint="BF"/>
    </w:rPr>
  </w:style>
  <w:style w:type="character" w:customStyle="1" w:styleId="QuoteChar">
    <w:name w:val="Quote Char"/>
    <w:basedOn w:val="DefaultParagraphFont"/>
    <w:link w:val="Quote"/>
    <w:uiPriority w:val="29"/>
    <w:rsid w:val="00DA7EF0"/>
    <w:rPr>
      <w:i/>
      <w:iCs/>
      <w:color w:val="404040" w:themeColor="text1" w:themeTint="BF"/>
    </w:rPr>
  </w:style>
  <w:style w:type="paragraph" w:styleId="ListParagraph">
    <w:name w:val="List Paragraph"/>
    <w:basedOn w:val="Normal"/>
    <w:uiPriority w:val="34"/>
    <w:qFormat/>
    <w:rsid w:val="00DA7EF0"/>
    <w:pPr>
      <w:ind w:left="720"/>
      <w:contextualSpacing/>
    </w:pPr>
  </w:style>
  <w:style w:type="character" w:styleId="IntenseEmphasis">
    <w:name w:val="Intense Emphasis"/>
    <w:basedOn w:val="DefaultParagraphFont"/>
    <w:uiPriority w:val="21"/>
    <w:qFormat/>
    <w:rsid w:val="00DA7EF0"/>
    <w:rPr>
      <w:i/>
      <w:iCs/>
      <w:color w:val="0F4761" w:themeColor="accent1" w:themeShade="BF"/>
    </w:rPr>
  </w:style>
  <w:style w:type="paragraph" w:styleId="IntenseQuote">
    <w:name w:val="Intense Quote"/>
    <w:basedOn w:val="Normal"/>
    <w:next w:val="Normal"/>
    <w:link w:val="IntenseQuoteChar"/>
    <w:uiPriority w:val="30"/>
    <w:qFormat/>
    <w:rsid w:val="00DA7E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EF0"/>
    <w:rPr>
      <w:i/>
      <w:iCs/>
      <w:color w:val="0F4761" w:themeColor="accent1" w:themeShade="BF"/>
    </w:rPr>
  </w:style>
  <w:style w:type="character" w:styleId="IntenseReference">
    <w:name w:val="Intense Reference"/>
    <w:basedOn w:val="DefaultParagraphFont"/>
    <w:uiPriority w:val="32"/>
    <w:qFormat/>
    <w:rsid w:val="00DA7EF0"/>
    <w:rPr>
      <w:b/>
      <w:bCs/>
      <w:smallCaps/>
      <w:color w:val="0F4761" w:themeColor="accent1" w:themeShade="BF"/>
      <w:spacing w:val="5"/>
    </w:rPr>
  </w:style>
  <w:style w:type="paragraph" w:styleId="FootnoteText">
    <w:name w:val="footnote text"/>
    <w:basedOn w:val="Normal"/>
    <w:link w:val="FootnoteTextChar"/>
    <w:uiPriority w:val="99"/>
    <w:unhideWhenUsed/>
    <w:rsid w:val="006669DA"/>
    <w:pPr>
      <w:spacing w:after="0"/>
    </w:pPr>
    <w:rPr>
      <w:sz w:val="20"/>
      <w:szCs w:val="20"/>
    </w:rPr>
  </w:style>
  <w:style w:type="character" w:customStyle="1" w:styleId="FootnoteTextChar">
    <w:name w:val="Footnote Text Char"/>
    <w:basedOn w:val="DefaultParagraphFont"/>
    <w:link w:val="FootnoteText"/>
    <w:uiPriority w:val="99"/>
    <w:rsid w:val="006669DA"/>
    <w:rPr>
      <w:sz w:val="20"/>
      <w:szCs w:val="20"/>
    </w:rPr>
  </w:style>
  <w:style w:type="character" w:styleId="FootnoteReference">
    <w:name w:val="footnote reference"/>
    <w:basedOn w:val="DefaultParagraphFont"/>
    <w:uiPriority w:val="99"/>
    <w:unhideWhenUsed/>
    <w:rsid w:val="006669DA"/>
    <w:rPr>
      <w:vertAlign w:val="superscript"/>
    </w:rPr>
  </w:style>
  <w:style w:type="character" w:styleId="Hyperlink">
    <w:name w:val="Hyperlink"/>
    <w:basedOn w:val="DefaultParagraphFont"/>
    <w:uiPriority w:val="99"/>
    <w:unhideWhenUsed/>
    <w:rsid w:val="006669DA"/>
    <w:rPr>
      <w:color w:val="467886" w:themeColor="hyperlink"/>
      <w:u w:val="single"/>
    </w:rPr>
  </w:style>
  <w:style w:type="character" w:styleId="UnresolvedMention">
    <w:name w:val="Unresolved Mention"/>
    <w:basedOn w:val="DefaultParagraphFont"/>
    <w:uiPriority w:val="99"/>
    <w:semiHidden/>
    <w:unhideWhenUsed/>
    <w:rsid w:val="006669DA"/>
    <w:rPr>
      <w:color w:val="605E5C"/>
      <w:shd w:val="clear" w:color="auto" w:fill="E1DFDD"/>
    </w:rPr>
  </w:style>
  <w:style w:type="character" w:styleId="FollowedHyperlink">
    <w:name w:val="FollowedHyperlink"/>
    <w:basedOn w:val="DefaultParagraphFont"/>
    <w:uiPriority w:val="99"/>
    <w:semiHidden/>
    <w:unhideWhenUsed/>
    <w:rsid w:val="00FB69E5"/>
    <w:rPr>
      <w:color w:val="96607D" w:themeColor="followedHyperlink"/>
      <w:u w:val="single"/>
    </w:rPr>
  </w:style>
  <w:style w:type="paragraph" w:styleId="TOCHeading">
    <w:name w:val="TOC Heading"/>
    <w:basedOn w:val="Heading1"/>
    <w:next w:val="Normal"/>
    <w:uiPriority w:val="39"/>
    <w:unhideWhenUsed/>
    <w:qFormat/>
    <w:rsid w:val="0034706D"/>
    <w:pPr>
      <w:spacing w:before="240" w:after="0"/>
      <w:outlineLvl w:val="9"/>
    </w:pPr>
    <w:rPr>
      <w:kern w:val="0"/>
      <w:sz w:val="32"/>
      <w:szCs w:val="32"/>
      <w:lang w:val="en-US"/>
    </w:rPr>
  </w:style>
  <w:style w:type="paragraph" w:styleId="TOC1">
    <w:name w:val="toc 1"/>
    <w:basedOn w:val="Normal"/>
    <w:next w:val="Normal"/>
    <w:autoRedefine/>
    <w:uiPriority w:val="39"/>
    <w:unhideWhenUsed/>
    <w:rsid w:val="0008001F"/>
    <w:pPr>
      <w:spacing w:after="100"/>
    </w:pPr>
  </w:style>
  <w:style w:type="paragraph" w:styleId="TOC2">
    <w:name w:val="toc 2"/>
    <w:basedOn w:val="Normal"/>
    <w:next w:val="Normal"/>
    <w:autoRedefine/>
    <w:uiPriority w:val="39"/>
    <w:unhideWhenUsed/>
    <w:rsid w:val="0008001F"/>
    <w:pPr>
      <w:spacing w:after="100"/>
      <w:ind w:left="220"/>
    </w:pPr>
  </w:style>
  <w:style w:type="paragraph" w:styleId="TOC3">
    <w:name w:val="toc 3"/>
    <w:basedOn w:val="Normal"/>
    <w:next w:val="Normal"/>
    <w:autoRedefine/>
    <w:uiPriority w:val="39"/>
    <w:unhideWhenUsed/>
    <w:rsid w:val="0008001F"/>
    <w:pPr>
      <w:spacing w:after="100"/>
      <w:ind w:left="440"/>
    </w:pPr>
  </w:style>
  <w:style w:type="paragraph" w:styleId="Header">
    <w:name w:val="header"/>
    <w:basedOn w:val="Normal"/>
    <w:link w:val="HeaderChar"/>
    <w:uiPriority w:val="99"/>
    <w:unhideWhenUsed/>
    <w:rsid w:val="00760ED7"/>
    <w:pPr>
      <w:tabs>
        <w:tab w:val="center" w:pos="4513"/>
        <w:tab w:val="right" w:pos="9026"/>
      </w:tabs>
      <w:spacing w:after="0"/>
    </w:pPr>
  </w:style>
  <w:style w:type="character" w:customStyle="1" w:styleId="HeaderChar">
    <w:name w:val="Header Char"/>
    <w:basedOn w:val="DefaultParagraphFont"/>
    <w:link w:val="Header"/>
    <w:uiPriority w:val="99"/>
    <w:rsid w:val="00760ED7"/>
  </w:style>
  <w:style w:type="paragraph" w:styleId="Footer">
    <w:name w:val="footer"/>
    <w:basedOn w:val="Normal"/>
    <w:link w:val="FooterChar"/>
    <w:uiPriority w:val="99"/>
    <w:unhideWhenUsed/>
    <w:rsid w:val="00760ED7"/>
    <w:pPr>
      <w:tabs>
        <w:tab w:val="center" w:pos="4513"/>
        <w:tab w:val="right" w:pos="9026"/>
      </w:tabs>
      <w:spacing w:after="0"/>
    </w:pPr>
  </w:style>
  <w:style w:type="character" w:customStyle="1" w:styleId="FooterChar">
    <w:name w:val="Footer Char"/>
    <w:basedOn w:val="DefaultParagraphFont"/>
    <w:link w:val="Footer"/>
    <w:uiPriority w:val="99"/>
    <w:rsid w:val="00760ED7"/>
  </w:style>
  <w:style w:type="character" w:styleId="LineNumber">
    <w:name w:val="line number"/>
    <w:basedOn w:val="DefaultParagraphFont"/>
    <w:uiPriority w:val="99"/>
    <w:semiHidden/>
    <w:unhideWhenUsed/>
    <w:rsid w:val="00B6180A"/>
  </w:style>
  <w:style w:type="paragraph" w:styleId="NormalWeb">
    <w:name w:val="Normal (Web)"/>
    <w:basedOn w:val="Normal"/>
    <w:uiPriority w:val="99"/>
    <w:semiHidden/>
    <w:unhideWhenUsed/>
    <w:rsid w:val="000D26C2"/>
    <w:rPr>
      <w:rFonts w:ascii="Times New Roman" w:hAnsi="Times New Roman" w:cs="Times New Roman"/>
      <w:sz w:val="24"/>
      <w:szCs w:val="24"/>
    </w:rPr>
  </w:style>
  <w:style w:type="paragraph" w:styleId="NoSpacing">
    <w:name w:val="No Spacing"/>
    <w:uiPriority w:val="1"/>
    <w:qFormat/>
    <w:rsid w:val="003A31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52706">
      <w:bodyDiv w:val="1"/>
      <w:marLeft w:val="0"/>
      <w:marRight w:val="0"/>
      <w:marTop w:val="0"/>
      <w:marBottom w:val="0"/>
      <w:divBdr>
        <w:top w:val="none" w:sz="0" w:space="0" w:color="auto"/>
        <w:left w:val="none" w:sz="0" w:space="0" w:color="auto"/>
        <w:bottom w:val="none" w:sz="0" w:space="0" w:color="auto"/>
        <w:right w:val="none" w:sz="0" w:space="0" w:color="auto"/>
      </w:divBdr>
      <w:divsChild>
        <w:div w:id="688025111">
          <w:marLeft w:val="0"/>
          <w:marRight w:val="0"/>
          <w:marTop w:val="0"/>
          <w:marBottom w:val="0"/>
          <w:divBdr>
            <w:top w:val="none" w:sz="0" w:space="0" w:color="auto"/>
            <w:left w:val="none" w:sz="0" w:space="0" w:color="auto"/>
            <w:bottom w:val="none" w:sz="0" w:space="0" w:color="auto"/>
            <w:right w:val="none" w:sz="0" w:space="0" w:color="auto"/>
          </w:divBdr>
          <w:divsChild>
            <w:div w:id="956790306">
              <w:marLeft w:val="0"/>
              <w:marRight w:val="0"/>
              <w:marTop w:val="0"/>
              <w:marBottom w:val="0"/>
              <w:divBdr>
                <w:top w:val="none" w:sz="0" w:space="0" w:color="auto"/>
                <w:left w:val="none" w:sz="0" w:space="0" w:color="auto"/>
                <w:bottom w:val="none" w:sz="0" w:space="0" w:color="auto"/>
                <w:right w:val="none" w:sz="0" w:space="0" w:color="auto"/>
              </w:divBdr>
              <w:divsChild>
                <w:div w:id="926886176">
                  <w:marLeft w:val="0"/>
                  <w:marRight w:val="0"/>
                  <w:marTop w:val="0"/>
                  <w:marBottom w:val="0"/>
                  <w:divBdr>
                    <w:top w:val="none" w:sz="0" w:space="0" w:color="auto"/>
                    <w:left w:val="none" w:sz="0" w:space="0" w:color="auto"/>
                    <w:bottom w:val="none" w:sz="0" w:space="0" w:color="auto"/>
                    <w:right w:val="none" w:sz="0" w:space="0" w:color="auto"/>
                  </w:divBdr>
                  <w:divsChild>
                    <w:div w:id="1861895644">
                      <w:marLeft w:val="0"/>
                      <w:marRight w:val="0"/>
                      <w:marTop w:val="0"/>
                      <w:marBottom w:val="0"/>
                      <w:divBdr>
                        <w:top w:val="none" w:sz="0" w:space="0" w:color="auto"/>
                        <w:left w:val="none" w:sz="0" w:space="0" w:color="auto"/>
                        <w:bottom w:val="none" w:sz="0" w:space="0" w:color="auto"/>
                        <w:right w:val="none" w:sz="0" w:space="0" w:color="auto"/>
                      </w:divBdr>
                      <w:divsChild>
                        <w:div w:id="952631979">
                          <w:marLeft w:val="0"/>
                          <w:marRight w:val="0"/>
                          <w:marTop w:val="0"/>
                          <w:marBottom w:val="0"/>
                          <w:divBdr>
                            <w:top w:val="none" w:sz="0" w:space="0" w:color="auto"/>
                            <w:left w:val="none" w:sz="0" w:space="0" w:color="auto"/>
                            <w:bottom w:val="none" w:sz="0" w:space="0" w:color="auto"/>
                            <w:right w:val="none" w:sz="0" w:space="0" w:color="auto"/>
                          </w:divBdr>
                          <w:divsChild>
                            <w:div w:id="67476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68103">
      <w:bodyDiv w:val="1"/>
      <w:marLeft w:val="0"/>
      <w:marRight w:val="0"/>
      <w:marTop w:val="0"/>
      <w:marBottom w:val="0"/>
      <w:divBdr>
        <w:top w:val="none" w:sz="0" w:space="0" w:color="auto"/>
        <w:left w:val="none" w:sz="0" w:space="0" w:color="auto"/>
        <w:bottom w:val="none" w:sz="0" w:space="0" w:color="auto"/>
        <w:right w:val="none" w:sz="0" w:space="0" w:color="auto"/>
      </w:divBdr>
      <w:divsChild>
        <w:div w:id="59641720">
          <w:marLeft w:val="0"/>
          <w:marRight w:val="0"/>
          <w:marTop w:val="0"/>
          <w:marBottom w:val="0"/>
          <w:divBdr>
            <w:top w:val="none" w:sz="0" w:space="0" w:color="auto"/>
            <w:left w:val="none" w:sz="0" w:space="0" w:color="auto"/>
            <w:bottom w:val="none" w:sz="0" w:space="0" w:color="auto"/>
            <w:right w:val="none" w:sz="0" w:space="0" w:color="auto"/>
          </w:divBdr>
          <w:divsChild>
            <w:div w:id="1998074607">
              <w:marLeft w:val="0"/>
              <w:marRight w:val="0"/>
              <w:marTop w:val="0"/>
              <w:marBottom w:val="0"/>
              <w:divBdr>
                <w:top w:val="none" w:sz="0" w:space="0" w:color="auto"/>
                <w:left w:val="none" w:sz="0" w:space="0" w:color="auto"/>
                <w:bottom w:val="none" w:sz="0" w:space="0" w:color="auto"/>
                <w:right w:val="none" w:sz="0" w:space="0" w:color="auto"/>
              </w:divBdr>
              <w:divsChild>
                <w:div w:id="1510758766">
                  <w:marLeft w:val="0"/>
                  <w:marRight w:val="0"/>
                  <w:marTop w:val="0"/>
                  <w:marBottom w:val="0"/>
                  <w:divBdr>
                    <w:top w:val="none" w:sz="0" w:space="0" w:color="auto"/>
                    <w:left w:val="none" w:sz="0" w:space="0" w:color="auto"/>
                    <w:bottom w:val="none" w:sz="0" w:space="0" w:color="auto"/>
                    <w:right w:val="none" w:sz="0" w:space="0" w:color="auto"/>
                  </w:divBdr>
                  <w:divsChild>
                    <w:div w:id="77678773">
                      <w:marLeft w:val="0"/>
                      <w:marRight w:val="0"/>
                      <w:marTop w:val="0"/>
                      <w:marBottom w:val="0"/>
                      <w:divBdr>
                        <w:top w:val="none" w:sz="0" w:space="0" w:color="auto"/>
                        <w:left w:val="none" w:sz="0" w:space="0" w:color="auto"/>
                        <w:bottom w:val="none" w:sz="0" w:space="0" w:color="auto"/>
                        <w:right w:val="none" w:sz="0" w:space="0" w:color="auto"/>
                      </w:divBdr>
                      <w:divsChild>
                        <w:div w:id="2048751841">
                          <w:marLeft w:val="0"/>
                          <w:marRight w:val="0"/>
                          <w:marTop w:val="0"/>
                          <w:marBottom w:val="0"/>
                          <w:divBdr>
                            <w:top w:val="none" w:sz="0" w:space="0" w:color="auto"/>
                            <w:left w:val="none" w:sz="0" w:space="0" w:color="auto"/>
                            <w:bottom w:val="none" w:sz="0" w:space="0" w:color="auto"/>
                            <w:right w:val="none" w:sz="0" w:space="0" w:color="auto"/>
                          </w:divBdr>
                          <w:divsChild>
                            <w:div w:id="67326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72689">
      <w:bodyDiv w:val="1"/>
      <w:marLeft w:val="0"/>
      <w:marRight w:val="0"/>
      <w:marTop w:val="0"/>
      <w:marBottom w:val="0"/>
      <w:divBdr>
        <w:top w:val="none" w:sz="0" w:space="0" w:color="auto"/>
        <w:left w:val="none" w:sz="0" w:space="0" w:color="auto"/>
        <w:bottom w:val="none" w:sz="0" w:space="0" w:color="auto"/>
        <w:right w:val="none" w:sz="0" w:space="0" w:color="auto"/>
      </w:divBdr>
      <w:divsChild>
        <w:div w:id="429156166">
          <w:marLeft w:val="0"/>
          <w:marRight w:val="0"/>
          <w:marTop w:val="0"/>
          <w:marBottom w:val="0"/>
          <w:divBdr>
            <w:top w:val="none" w:sz="0" w:space="0" w:color="auto"/>
            <w:left w:val="none" w:sz="0" w:space="0" w:color="auto"/>
            <w:bottom w:val="none" w:sz="0" w:space="0" w:color="auto"/>
            <w:right w:val="none" w:sz="0" w:space="0" w:color="auto"/>
          </w:divBdr>
          <w:divsChild>
            <w:div w:id="1194004452">
              <w:marLeft w:val="0"/>
              <w:marRight w:val="0"/>
              <w:marTop w:val="0"/>
              <w:marBottom w:val="0"/>
              <w:divBdr>
                <w:top w:val="none" w:sz="0" w:space="0" w:color="auto"/>
                <w:left w:val="none" w:sz="0" w:space="0" w:color="auto"/>
                <w:bottom w:val="none" w:sz="0" w:space="0" w:color="auto"/>
                <w:right w:val="none" w:sz="0" w:space="0" w:color="auto"/>
              </w:divBdr>
              <w:divsChild>
                <w:div w:id="1563786474">
                  <w:marLeft w:val="0"/>
                  <w:marRight w:val="0"/>
                  <w:marTop w:val="0"/>
                  <w:marBottom w:val="0"/>
                  <w:divBdr>
                    <w:top w:val="none" w:sz="0" w:space="0" w:color="auto"/>
                    <w:left w:val="none" w:sz="0" w:space="0" w:color="auto"/>
                    <w:bottom w:val="none" w:sz="0" w:space="0" w:color="auto"/>
                    <w:right w:val="none" w:sz="0" w:space="0" w:color="auto"/>
                  </w:divBdr>
                  <w:divsChild>
                    <w:div w:id="1038166688">
                      <w:marLeft w:val="0"/>
                      <w:marRight w:val="0"/>
                      <w:marTop w:val="0"/>
                      <w:marBottom w:val="0"/>
                      <w:divBdr>
                        <w:top w:val="none" w:sz="0" w:space="0" w:color="auto"/>
                        <w:left w:val="none" w:sz="0" w:space="0" w:color="auto"/>
                        <w:bottom w:val="none" w:sz="0" w:space="0" w:color="auto"/>
                        <w:right w:val="none" w:sz="0" w:space="0" w:color="auto"/>
                      </w:divBdr>
                      <w:divsChild>
                        <w:div w:id="1851413308">
                          <w:marLeft w:val="0"/>
                          <w:marRight w:val="0"/>
                          <w:marTop w:val="0"/>
                          <w:marBottom w:val="0"/>
                          <w:divBdr>
                            <w:top w:val="none" w:sz="0" w:space="0" w:color="auto"/>
                            <w:left w:val="none" w:sz="0" w:space="0" w:color="auto"/>
                            <w:bottom w:val="none" w:sz="0" w:space="0" w:color="auto"/>
                            <w:right w:val="none" w:sz="0" w:space="0" w:color="auto"/>
                          </w:divBdr>
                          <w:divsChild>
                            <w:div w:id="25186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08669">
      <w:bodyDiv w:val="1"/>
      <w:marLeft w:val="0"/>
      <w:marRight w:val="0"/>
      <w:marTop w:val="0"/>
      <w:marBottom w:val="0"/>
      <w:divBdr>
        <w:top w:val="none" w:sz="0" w:space="0" w:color="auto"/>
        <w:left w:val="none" w:sz="0" w:space="0" w:color="auto"/>
        <w:bottom w:val="none" w:sz="0" w:space="0" w:color="auto"/>
        <w:right w:val="none" w:sz="0" w:space="0" w:color="auto"/>
      </w:divBdr>
    </w:div>
    <w:div w:id="164983159">
      <w:bodyDiv w:val="1"/>
      <w:marLeft w:val="0"/>
      <w:marRight w:val="0"/>
      <w:marTop w:val="0"/>
      <w:marBottom w:val="0"/>
      <w:divBdr>
        <w:top w:val="none" w:sz="0" w:space="0" w:color="auto"/>
        <w:left w:val="none" w:sz="0" w:space="0" w:color="auto"/>
        <w:bottom w:val="none" w:sz="0" w:space="0" w:color="auto"/>
        <w:right w:val="none" w:sz="0" w:space="0" w:color="auto"/>
      </w:divBdr>
      <w:divsChild>
        <w:div w:id="216743403">
          <w:marLeft w:val="0"/>
          <w:marRight w:val="0"/>
          <w:marTop w:val="0"/>
          <w:marBottom w:val="0"/>
          <w:divBdr>
            <w:top w:val="none" w:sz="0" w:space="0" w:color="auto"/>
            <w:left w:val="none" w:sz="0" w:space="0" w:color="auto"/>
            <w:bottom w:val="none" w:sz="0" w:space="0" w:color="auto"/>
            <w:right w:val="none" w:sz="0" w:space="0" w:color="auto"/>
          </w:divBdr>
          <w:divsChild>
            <w:div w:id="1869829660">
              <w:marLeft w:val="0"/>
              <w:marRight w:val="0"/>
              <w:marTop w:val="0"/>
              <w:marBottom w:val="0"/>
              <w:divBdr>
                <w:top w:val="none" w:sz="0" w:space="0" w:color="auto"/>
                <w:left w:val="none" w:sz="0" w:space="0" w:color="auto"/>
                <w:bottom w:val="none" w:sz="0" w:space="0" w:color="auto"/>
                <w:right w:val="none" w:sz="0" w:space="0" w:color="auto"/>
              </w:divBdr>
              <w:divsChild>
                <w:div w:id="2085256614">
                  <w:marLeft w:val="0"/>
                  <w:marRight w:val="0"/>
                  <w:marTop w:val="0"/>
                  <w:marBottom w:val="0"/>
                  <w:divBdr>
                    <w:top w:val="none" w:sz="0" w:space="0" w:color="auto"/>
                    <w:left w:val="none" w:sz="0" w:space="0" w:color="auto"/>
                    <w:bottom w:val="none" w:sz="0" w:space="0" w:color="auto"/>
                    <w:right w:val="none" w:sz="0" w:space="0" w:color="auto"/>
                  </w:divBdr>
                  <w:divsChild>
                    <w:div w:id="98096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71909">
          <w:marLeft w:val="0"/>
          <w:marRight w:val="0"/>
          <w:marTop w:val="0"/>
          <w:marBottom w:val="0"/>
          <w:divBdr>
            <w:top w:val="none" w:sz="0" w:space="0" w:color="auto"/>
            <w:left w:val="none" w:sz="0" w:space="0" w:color="auto"/>
            <w:bottom w:val="none" w:sz="0" w:space="0" w:color="auto"/>
            <w:right w:val="none" w:sz="0" w:space="0" w:color="auto"/>
          </w:divBdr>
          <w:divsChild>
            <w:div w:id="2105951032">
              <w:marLeft w:val="0"/>
              <w:marRight w:val="0"/>
              <w:marTop w:val="0"/>
              <w:marBottom w:val="0"/>
              <w:divBdr>
                <w:top w:val="none" w:sz="0" w:space="0" w:color="auto"/>
                <w:left w:val="none" w:sz="0" w:space="0" w:color="auto"/>
                <w:bottom w:val="none" w:sz="0" w:space="0" w:color="auto"/>
                <w:right w:val="none" w:sz="0" w:space="0" w:color="auto"/>
              </w:divBdr>
              <w:divsChild>
                <w:div w:id="1218316705">
                  <w:marLeft w:val="0"/>
                  <w:marRight w:val="0"/>
                  <w:marTop w:val="0"/>
                  <w:marBottom w:val="0"/>
                  <w:divBdr>
                    <w:top w:val="none" w:sz="0" w:space="0" w:color="auto"/>
                    <w:left w:val="none" w:sz="0" w:space="0" w:color="auto"/>
                    <w:bottom w:val="none" w:sz="0" w:space="0" w:color="auto"/>
                    <w:right w:val="none" w:sz="0" w:space="0" w:color="auto"/>
                  </w:divBdr>
                  <w:divsChild>
                    <w:div w:id="21244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266393">
      <w:bodyDiv w:val="1"/>
      <w:marLeft w:val="0"/>
      <w:marRight w:val="0"/>
      <w:marTop w:val="0"/>
      <w:marBottom w:val="0"/>
      <w:divBdr>
        <w:top w:val="none" w:sz="0" w:space="0" w:color="auto"/>
        <w:left w:val="none" w:sz="0" w:space="0" w:color="auto"/>
        <w:bottom w:val="none" w:sz="0" w:space="0" w:color="auto"/>
        <w:right w:val="none" w:sz="0" w:space="0" w:color="auto"/>
      </w:divBdr>
    </w:div>
    <w:div w:id="246883334">
      <w:bodyDiv w:val="1"/>
      <w:marLeft w:val="0"/>
      <w:marRight w:val="0"/>
      <w:marTop w:val="0"/>
      <w:marBottom w:val="0"/>
      <w:divBdr>
        <w:top w:val="none" w:sz="0" w:space="0" w:color="auto"/>
        <w:left w:val="none" w:sz="0" w:space="0" w:color="auto"/>
        <w:bottom w:val="none" w:sz="0" w:space="0" w:color="auto"/>
        <w:right w:val="none" w:sz="0" w:space="0" w:color="auto"/>
      </w:divBdr>
    </w:div>
    <w:div w:id="331301869">
      <w:bodyDiv w:val="1"/>
      <w:marLeft w:val="0"/>
      <w:marRight w:val="0"/>
      <w:marTop w:val="0"/>
      <w:marBottom w:val="0"/>
      <w:divBdr>
        <w:top w:val="none" w:sz="0" w:space="0" w:color="auto"/>
        <w:left w:val="none" w:sz="0" w:space="0" w:color="auto"/>
        <w:bottom w:val="none" w:sz="0" w:space="0" w:color="auto"/>
        <w:right w:val="none" w:sz="0" w:space="0" w:color="auto"/>
      </w:divBdr>
    </w:div>
    <w:div w:id="438336909">
      <w:bodyDiv w:val="1"/>
      <w:marLeft w:val="0"/>
      <w:marRight w:val="0"/>
      <w:marTop w:val="0"/>
      <w:marBottom w:val="0"/>
      <w:divBdr>
        <w:top w:val="none" w:sz="0" w:space="0" w:color="auto"/>
        <w:left w:val="none" w:sz="0" w:space="0" w:color="auto"/>
        <w:bottom w:val="none" w:sz="0" w:space="0" w:color="auto"/>
        <w:right w:val="none" w:sz="0" w:space="0" w:color="auto"/>
      </w:divBdr>
    </w:div>
    <w:div w:id="452747956">
      <w:bodyDiv w:val="1"/>
      <w:marLeft w:val="0"/>
      <w:marRight w:val="0"/>
      <w:marTop w:val="0"/>
      <w:marBottom w:val="0"/>
      <w:divBdr>
        <w:top w:val="none" w:sz="0" w:space="0" w:color="auto"/>
        <w:left w:val="none" w:sz="0" w:space="0" w:color="auto"/>
        <w:bottom w:val="none" w:sz="0" w:space="0" w:color="auto"/>
        <w:right w:val="none" w:sz="0" w:space="0" w:color="auto"/>
      </w:divBdr>
      <w:divsChild>
        <w:div w:id="1628663168">
          <w:marLeft w:val="0"/>
          <w:marRight w:val="0"/>
          <w:marTop w:val="0"/>
          <w:marBottom w:val="0"/>
          <w:divBdr>
            <w:top w:val="none" w:sz="0" w:space="0" w:color="auto"/>
            <w:left w:val="none" w:sz="0" w:space="0" w:color="auto"/>
            <w:bottom w:val="none" w:sz="0" w:space="0" w:color="auto"/>
            <w:right w:val="none" w:sz="0" w:space="0" w:color="auto"/>
          </w:divBdr>
        </w:div>
        <w:div w:id="2125617305">
          <w:marLeft w:val="0"/>
          <w:marRight w:val="0"/>
          <w:marTop w:val="0"/>
          <w:marBottom w:val="0"/>
          <w:divBdr>
            <w:top w:val="none" w:sz="0" w:space="0" w:color="auto"/>
            <w:left w:val="none" w:sz="0" w:space="0" w:color="auto"/>
            <w:bottom w:val="none" w:sz="0" w:space="0" w:color="auto"/>
            <w:right w:val="none" w:sz="0" w:space="0" w:color="auto"/>
          </w:divBdr>
          <w:divsChild>
            <w:div w:id="113789317">
              <w:marLeft w:val="0"/>
              <w:marRight w:val="0"/>
              <w:marTop w:val="0"/>
              <w:marBottom w:val="0"/>
              <w:divBdr>
                <w:top w:val="none" w:sz="0" w:space="0" w:color="auto"/>
                <w:left w:val="none" w:sz="0" w:space="0" w:color="auto"/>
                <w:bottom w:val="none" w:sz="0" w:space="0" w:color="auto"/>
                <w:right w:val="none" w:sz="0" w:space="0" w:color="auto"/>
              </w:divBdr>
              <w:divsChild>
                <w:div w:id="1873609958">
                  <w:marLeft w:val="0"/>
                  <w:marRight w:val="0"/>
                  <w:marTop w:val="555"/>
                  <w:marBottom w:val="0"/>
                  <w:divBdr>
                    <w:top w:val="none" w:sz="0" w:space="0" w:color="auto"/>
                    <w:left w:val="none" w:sz="0" w:space="0" w:color="auto"/>
                    <w:bottom w:val="none" w:sz="0" w:space="0" w:color="auto"/>
                    <w:right w:val="none" w:sz="0" w:space="0" w:color="auto"/>
                  </w:divBdr>
                </w:div>
              </w:divsChild>
            </w:div>
          </w:divsChild>
        </w:div>
      </w:divsChild>
    </w:div>
    <w:div w:id="493030056">
      <w:bodyDiv w:val="1"/>
      <w:marLeft w:val="0"/>
      <w:marRight w:val="0"/>
      <w:marTop w:val="0"/>
      <w:marBottom w:val="0"/>
      <w:divBdr>
        <w:top w:val="none" w:sz="0" w:space="0" w:color="auto"/>
        <w:left w:val="none" w:sz="0" w:space="0" w:color="auto"/>
        <w:bottom w:val="none" w:sz="0" w:space="0" w:color="auto"/>
        <w:right w:val="none" w:sz="0" w:space="0" w:color="auto"/>
      </w:divBdr>
    </w:div>
    <w:div w:id="583883814">
      <w:bodyDiv w:val="1"/>
      <w:marLeft w:val="0"/>
      <w:marRight w:val="0"/>
      <w:marTop w:val="0"/>
      <w:marBottom w:val="0"/>
      <w:divBdr>
        <w:top w:val="none" w:sz="0" w:space="0" w:color="auto"/>
        <w:left w:val="none" w:sz="0" w:space="0" w:color="auto"/>
        <w:bottom w:val="none" w:sz="0" w:space="0" w:color="auto"/>
        <w:right w:val="none" w:sz="0" w:space="0" w:color="auto"/>
      </w:divBdr>
    </w:div>
    <w:div w:id="700663193">
      <w:bodyDiv w:val="1"/>
      <w:marLeft w:val="0"/>
      <w:marRight w:val="0"/>
      <w:marTop w:val="0"/>
      <w:marBottom w:val="0"/>
      <w:divBdr>
        <w:top w:val="none" w:sz="0" w:space="0" w:color="auto"/>
        <w:left w:val="none" w:sz="0" w:space="0" w:color="auto"/>
        <w:bottom w:val="none" w:sz="0" w:space="0" w:color="auto"/>
        <w:right w:val="none" w:sz="0" w:space="0" w:color="auto"/>
      </w:divBdr>
    </w:div>
    <w:div w:id="736561343">
      <w:bodyDiv w:val="1"/>
      <w:marLeft w:val="0"/>
      <w:marRight w:val="0"/>
      <w:marTop w:val="0"/>
      <w:marBottom w:val="0"/>
      <w:divBdr>
        <w:top w:val="none" w:sz="0" w:space="0" w:color="auto"/>
        <w:left w:val="none" w:sz="0" w:space="0" w:color="auto"/>
        <w:bottom w:val="none" w:sz="0" w:space="0" w:color="auto"/>
        <w:right w:val="none" w:sz="0" w:space="0" w:color="auto"/>
      </w:divBdr>
    </w:div>
    <w:div w:id="839544641">
      <w:bodyDiv w:val="1"/>
      <w:marLeft w:val="0"/>
      <w:marRight w:val="0"/>
      <w:marTop w:val="0"/>
      <w:marBottom w:val="0"/>
      <w:divBdr>
        <w:top w:val="none" w:sz="0" w:space="0" w:color="auto"/>
        <w:left w:val="none" w:sz="0" w:space="0" w:color="auto"/>
        <w:bottom w:val="none" w:sz="0" w:space="0" w:color="auto"/>
        <w:right w:val="none" w:sz="0" w:space="0" w:color="auto"/>
      </w:divBdr>
      <w:divsChild>
        <w:div w:id="935553355">
          <w:marLeft w:val="0"/>
          <w:marRight w:val="0"/>
          <w:marTop w:val="0"/>
          <w:marBottom w:val="0"/>
          <w:divBdr>
            <w:top w:val="none" w:sz="0" w:space="0" w:color="auto"/>
            <w:left w:val="none" w:sz="0" w:space="0" w:color="auto"/>
            <w:bottom w:val="none" w:sz="0" w:space="0" w:color="auto"/>
            <w:right w:val="none" w:sz="0" w:space="0" w:color="auto"/>
          </w:divBdr>
          <w:divsChild>
            <w:div w:id="156728707">
              <w:marLeft w:val="0"/>
              <w:marRight w:val="0"/>
              <w:marTop w:val="0"/>
              <w:marBottom w:val="0"/>
              <w:divBdr>
                <w:top w:val="none" w:sz="0" w:space="0" w:color="auto"/>
                <w:left w:val="none" w:sz="0" w:space="0" w:color="auto"/>
                <w:bottom w:val="none" w:sz="0" w:space="0" w:color="auto"/>
                <w:right w:val="none" w:sz="0" w:space="0" w:color="auto"/>
              </w:divBdr>
              <w:divsChild>
                <w:div w:id="1315451554">
                  <w:marLeft w:val="0"/>
                  <w:marRight w:val="0"/>
                  <w:marTop w:val="0"/>
                  <w:marBottom w:val="0"/>
                  <w:divBdr>
                    <w:top w:val="none" w:sz="0" w:space="0" w:color="auto"/>
                    <w:left w:val="none" w:sz="0" w:space="0" w:color="auto"/>
                    <w:bottom w:val="none" w:sz="0" w:space="0" w:color="auto"/>
                    <w:right w:val="none" w:sz="0" w:space="0" w:color="auto"/>
                  </w:divBdr>
                  <w:divsChild>
                    <w:div w:id="12698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84183">
          <w:marLeft w:val="0"/>
          <w:marRight w:val="0"/>
          <w:marTop w:val="0"/>
          <w:marBottom w:val="0"/>
          <w:divBdr>
            <w:top w:val="none" w:sz="0" w:space="0" w:color="auto"/>
            <w:left w:val="none" w:sz="0" w:space="0" w:color="auto"/>
            <w:bottom w:val="none" w:sz="0" w:space="0" w:color="auto"/>
            <w:right w:val="none" w:sz="0" w:space="0" w:color="auto"/>
          </w:divBdr>
          <w:divsChild>
            <w:div w:id="256402465">
              <w:marLeft w:val="0"/>
              <w:marRight w:val="0"/>
              <w:marTop w:val="0"/>
              <w:marBottom w:val="0"/>
              <w:divBdr>
                <w:top w:val="none" w:sz="0" w:space="0" w:color="auto"/>
                <w:left w:val="none" w:sz="0" w:space="0" w:color="auto"/>
                <w:bottom w:val="none" w:sz="0" w:space="0" w:color="auto"/>
                <w:right w:val="none" w:sz="0" w:space="0" w:color="auto"/>
              </w:divBdr>
              <w:divsChild>
                <w:div w:id="782916164">
                  <w:marLeft w:val="0"/>
                  <w:marRight w:val="0"/>
                  <w:marTop w:val="0"/>
                  <w:marBottom w:val="0"/>
                  <w:divBdr>
                    <w:top w:val="none" w:sz="0" w:space="0" w:color="auto"/>
                    <w:left w:val="none" w:sz="0" w:space="0" w:color="auto"/>
                    <w:bottom w:val="none" w:sz="0" w:space="0" w:color="auto"/>
                    <w:right w:val="none" w:sz="0" w:space="0" w:color="auto"/>
                  </w:divBdr>
                  <w:divsChild>
                    <w:div w:id="45849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136421">
      <w:bodyDiv w:val="1"/>
      <w:marLeft w:val="0"/>
      <w:marRight w:val="0"/>
      <w:marTop w:val="0"/>
      <w:marBottom w:val="0"/>
      <w:divBdr>
        <w:top w:val="none" w:sz="0" w:space="0" w:color="auto"/>
        <w:left w:val="none" w:sz="0" w:space="0" w:color="auto"/>
        <w:bottom w:val="none" w:sz="0" w:space="0" w:color="auto"/>
        <w:right w:val="none" w:sz="0" w:space="0" w:color="auto"/>
      </w:divBdr>
    </w:div>
    <w:div w:id="1031417027">
      <w:bodyDiv w:val="1"/>
      <w:marLeft w:val="0"/>
      <w:marRight w:val="0"/>
      <w:marTop w:val="0"/>
      <w:marBottom w:val="0"/>
      <w:divBdr>
        <w:top w:val="none" w:sz="0" w:space="0" w:color="auto"/>
        <w:left w:val="none" w:sz="0" w:space="0" w:color="auto"/>
        <w:bottom w:val="none" w:sz="0" w:space="0" w:color="auto"/>
        <w:right w:val="none" w:sz="0" w:space="0" w:color="auto"/>
      </w:divBdr>
      <w:divsChild>
        <w:div w:id="1931309526">
          <w:marLeft w:val="0"/>
          <w:marRight w:val="0"/>
          <w:marTop w:val="0"/>
          <w:marBottom w:val="0"/>
          <w:divBdr>
            <w:top w:val="none" w:sz="0" w:space="0" w:color="auto"/>
            <w:left w:val="none" w:sz="0" w:space="0" w:color="auto"/>
            <w:bottom w:val="none" w:sz="0" w:space="0" w:color="auto"/>
            <w:right w:val="none" w:sz="0" w:space="0" w:color="auto"/>
          </w:divBdr>
          <w:divsChild>
            <w:div w:id="1966619145">
              <w:marLeft w:val="0"/>
              <w:marRight w:val="0"/>
              <w:marTop w:val="0"/>
              <w:marBottom w:val="0"/>
              <w:divBdr>
                <w:top w:val="none" w:sz="0" w:space="0" w:color="auto"/>
                <w:left w:val="none" w:sz="0" w:space="0" w:color="auto"/>
                <w:bottom w:val="none" w:sz="0" w:space="0" w:color="auto"/>
                <w:right w:val="none" w:sz="0" w:space="0" w:color="auto"/>
              </w:divBdr>
              <w:divsChild>
                <w:div w:id="1756392979">
                  <w:marLeft w:val="0"/>
                  <w:marRight w:val="0"/>
                  <w:marTop w:val="0"/>
                  <w:marBottom w:val="0"/>
                  <w:divBdr>
                    <w:top w:val="none" w:sz="0" w:space="0" w:color="auto"/>
                    <w:left w:val="none" w:sz="0" w:space="0" w:color="auto"/>
                    <w:bottom w:val="none" w:sz="0" w:space="0" w:color="auto"/>
                    <w:right w:val="none" w:sz="0" w:space="0" w:color="auto"/>
                  </w:divBdr>
                  <w:divsChild>
                    <w:div w:id="2127310907">
                      <w:marLeft w:val="0"/>
                      <w:marRight w:val="0"/>
                      <w:marTop w:val="0"/>
                      <w:marBottom w:val="0"/>
                      <w:divBdr>
                        <w:top w:val="none" w:sz="0" w:space="0" w:color="auto"/>
                        <w:left w:val="none" w:sz="0" w:space="0" w:color="auto"/>
                        <w:bottom w:val="none" w:sz="0" w:space="0" w:color="auto"/>
                        <w:right w:val="none" w:sz="0" w:space="0" w:color="auto"/>
                      </w:divBdr>
                      <w:divsChild>
                        <w:div w:id="805926506">
                          <w:marLeft w:val="0"/>
                          <w:marRight w:val="0"/>
                          <w:marTop w:val="0"/>
                          <w:marBottom w:val="0"/>
                          <w:divBdr>
                            <w:top w:val="none" w:sz="0" w:space="0" w:color="auto"/>
                            <w:left w:val="none" w:sz="0" w:space="0" w:color="auto"/>
                            <w:bottom w:val="none" w:sz="0" w:space="0" w:color="auto"/>
                            <w:right w:val="none" w:sz="0" w:space="0" w:color="auto"/>
                          </w:divBdr>
                          <w:divsChild>
                            <w:div w:id="56407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4675688">
      <w:bodyDiv w:val="1"/>
      <w:marLeft w:val="0"/>
      <w:marRight w:val="0"/>
      <w:marTop w:val="0"/>
      <w:marBottom w:val="0"/>
      <w:divBdr>
        <w:top w:val="none" w:sz="0" w:space="0" w:color="auto"/>
        <w:left w:val="none" w:sz="0" w:space="0" w:color="auto"/>
        <w:bottom w:val="none" w:sz="0" w:space="0" w:color="auto"/>
        <w:right w:val="none" w:sz="0" w:space="0" w:color="auto"/>
      </w:divBdr>
    </w:div>
    <w:div w:id="1051228755">
      <w:bodyDiv w:val="1"/>
      <w:marLeft w:val="0"/>
      <w:marRight w:val="0"/>
      <w:marTop w:val="0"/>
      <w:marBottom w:val="0"/>
      <w:divBdr>
        <w:top w:val="none" w:sz="0" w:space="0" w:color="auto"/>
        <w:left w:val="none" w:sz="0" w:space="0" w:color="auto"/>
        <w:bottom w:val="none" w:sz="0" w:space="0" w:color="auto"/>
        <w:right w:val="none" w:sz="0" w:space="0" w:color="auto"/>
      </w:divBdr>
    </w:div>
    <w:div w:id="1126850925">
      <w:bodyDiv w:val="1"/>
      <w:marLeft w:val="0"/>
      <w:marRight w:val="0"/>
      <w:marTop w:val="0"/>
      <w:marBottom w:val="0"/>
      <w:divBdr>
        <w:top w:val="none" w:sz="0" w:space="0" w:color="auto"/>
        <w:left w:val="none" w:sz="0" w:space="0" w:color="auto"/>
        <w:bottom w:val="none" w:sz="0" w:space="0" w:color="auto"/>
        <w:right w:val="none" w:sz="0" w:space="0" w:color="auto"/>
      </w:divBdr>
      <w:divsChild>
        <w:div w:id="1753773773">
          <w:marLeft w:val="0"/>
          <w:marRight w:val="0"/>
          <w:marTop w:val="0"/>
          <w:marBottom w:val="0"/>
          <w:divBdr>
            <w:top w:val="none" w:sz="0" w:space="0" w:color="auto"/>
            <w:left w:val="none" w:sz="0" w:space="0" w:color="auto"/>
            <w:bottom w:val="none" w:sz="0" w:space="0" w:color="auto"/>
            <w:right w:val="none" w:sz="0" w:space="0" w:color="auto"/>
          </w:divBdr>
          <w:divsChild>
            <w:div w:id="1437407340">
              <w:marLeft w:val="0"/>
              <w:marRight w:val="0"/>
              <w:marTop w:val="0"/>
              <w:marBottom w:val="0"/>
              <w:divBdr>
                <w:top w:val="none" w:sz="0" w:space="0" w:color="auto"/>
                <w:left w:val="none" w:sz="0" w:space="0" w:color="auto"/>
                <w:bottom w:val="none" w:sz="0" w:space="0" w:color="auto"/>
                <w:right w:val="none" w:sz="0" w:space="0" w:color="auto"/>
              </w:divBdr>
              <w:divsChild>
                <w:div w:id="209726159">
                  <w:marLeft w:val="0"/>
                  <w:marRight w:val="0"/>
                  <w:marTop w:val="0"/>
                  <w:marBottom w:val="0"/>
                  <w:divBdr>
                    <w:top w:val="none" w:sz="0" w:space="0" w:color="auto"/>
                    <w:left w:val="none" w:sz="0" w:space="0" w:color="auto"/>
                    <w:bottom w:val="none" w:sz="0" w:space="0" w:color="auto"/>
                    <w:right w:val="none" w:sz="0" w:space="0" w:color="auto"/>
                  </w:divBdr>
                  <w:divsChild>
                    <w:div w:id="412161870">
                      <w:marLeft w:val="0"/>
                      <w:marRight w:val="0"/>
                      <w:marTop w:val="0"/>
                      <w:marBottom w:val="0"/>
                      <w:divBdr>
                        <w:top w:val="none" w:sz="0" w:space="0" w:color="auto"/>
                        <w:left w:val="none" w:sz="0" w:space="0" w:color="auto"/>
                        <w:bottom w:val="none" w:sz="0" w:space="0" w:color="auto"/>
                        <w:right w:val="none" w:sz="0" w:space="0" w:color="auto"/>
                      </w:divBdr>
                      <w:divsChild>
                        <w:div w:id="1565723739">
                          <w:marLeft w:val="0"/>
                          <w:marRight w:val="0"/>
                          <w:marTop w:val="0"/>
                          <w:marBottom w:val="0"/>
                          <w:divBdr>
                            <w:top w:val="none" w:sz="0" w:space="0" w:color="auto"/>
                            <w:left w:val="none" w:sz="0" w:space="0" w:color="auto"/>
                            <w:bottom w:val="none" w:sz="0" w:space="0" w:color="auto"/>
                            <w:right w:val="none" w:sz="0" w:space="0" w:color="auto"/>
                          </w:divBdr>
                          <w:divsChild>
                            <w:div w:id="417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089546">
      <w:bodyDiv w:val="1"/>
      <w:marLeft w:val="0"/>
      <w:marRight w:val="0"/>
      <w:marTop w:val="0"/>
      <w:marBottom w:val="0"/>
      <w:divBdr>
        <w:top w:val="none" w:sz="0" w:space="0" w:color="auto"/>
        <w:left w:val="none" w:sz="0" w:space="0" w:color="auto"/>
        <w:bottom w:val="none" w:sz="0" w:space="0" w:color="auto"/>
        <w:right w:val="none" w:sz="0" w:space="0" w:color="auto"/>
      </w:divBdr>
      <w:divsChild>
        <w:div w:id="1784611118">
          <w:marLeft w:val="0"/>
          <w:marRight w:val="0"/>
          <w:marTop w:val="0"/>
          <w:marBottom w:val="0"/>
          <w:divBdr>
            <w:top w:val="none" w:sz="0" w:space="0" w:color="auto"/>
            <w:left w:val="none" w:sz="0" w:space="0" w:color="auto"/>
            <w:bottom w:val="none" w:sz="0" w:space="0" w:color="auto"/>
            <w:right w:val="none" w:sz="0" w:space="0" w:color="auto"/>
          </w:divBdr>
          <w:divsChild>
            <w:div w:id="2079866233">
              <w:marLeft w:val="0"/>
              <w:marRight w:val="0"/>
              <w:marTop w:val="0"/>
              <w:marBottom w:val="0"/>
              <w:divBdr>
                <w:top w:val="none" w:sz="0" w:space="0" w:color="auto"/>
                <w:left w:val="none" w:sz="0" w:space="0" w:color="auto"/>
                <w:bottom w:val="none" w:sz="0" w:space="0" w:color="auto"/>
                <w:right w:val="none" w:sz="0" w:space="0" w:color="auto"/>
              </w:divBdr>
              <w:divsChild>
                <w:div w:id="895700737">
                  <w:marLeft w:val="0"/>
                  <w:marRight w:val="0"/>
                  <w:marTop w:val="0"/>
                  <w:marBottom w:val="0"/>
                  <w:divBdr>
                    <w:top w:val="none" w:sz="0" w:space="0" w:color="auto"/>
                    <w:left w:val="none" w:sz="0" w:space="0" w:color="auto"/>
                    <w:bottom w:val="none" w:sz="0" w:space="0" w:color="auto"/>
                    <w:right w:val="none" w:sz="0" w:space="0" w:color="auto"/>
                  </w:divBdr>
                  <w:divsChild>
                    <w:div w:id="1586762177">
                      <w:marLeft w:val="0"/>
                      <w:marRight w:val="0"/>
                      <w:marTop w:val="0"/>
                      <w:marBottom w:val="0"/>
                      <w:divBdr>
                        <w:top w:val="none" w:sz="0" w:space="0" w:color="auto"/>
                        <w:left w:val="none" w:sz="0" w:space="0" w:color="auto"/>
                        <w:bottom w:val="none" w:sz="0" w:space="0" w:color="auto"/>
                        <w:right w:val="none" w:sz="0" w:space="0" w:color="auto"/>
                      </w:divBdr>
                      <w:divsChild>
                        <w:div w:id="325088320">
                          <w:marLeft w:val="0"/>
                          <w:marRight w:val="0"/>
                          <w:marTop w:val="0"/>
                          <w:marBottom w:val="0"/>
                          <w:divBdr>
                            <w:top w:val="none" w:sz="0" w:space="0" w:color="auto"/>
                            <w:left w:val="none" w:sz="0" w:space="0" w:color="auto"/>
                            <w:bottom w:val="none" w:sz="0" w:space="0" w:color="auto"/>
                            <w:right w:val="none" w:sz="0" w:space="0" w:color="auto"/>
                          </w:divBdr>
                          <w:divsChild>
                            <w:div w:id="66062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219198">
      <w:bodyDiv w:val="1"/>
      <w:marLeft w:val="0"/>
      <w:marRight w:val="0"/>
      <w:marTop w:val="0"/>
      <w:marBottom w:val="0"/>
      <w:divBdr>
        <w:top w:val="none" w:sz="0" w:space="0" w:color="auto"/>
        <w:left w:val="none" w:sz="0" w:space="0" w:color="auto"/>
        <w:bottom w:val="none" w:sz="0" w:space="0" w:color="auto"/>
        <w:right w:val="none" w:sz="0" w:space="0" w:color="auto"/>
      </w:divBdr>
    </w:div>
    <w:div w:id="1691375513">
      <w:bodyDiv w:val="1"/>
      <w:marLeft w:val="0"/>
      <w:marRight w:val="0"/>
      <w:marTop w:val="0"/>
      <w:marBottom w:val="0"/>
      <w:divBdr>
        <w:top w:val="none" w:sz="0" w:space="0" w:color="auto"/>
        <w:left w:val="none" w:sz="0" w:space="0" w:color="auto"/>
        <w:bottom w:val="none" w:sz="0" w:space="0" w:color="auto"/>
        <w:right w:val="none" w:sz="0" w:space="0" w:color="auto"/>
      </w:divBdr>
      <w:divsChild>
        <w:div w:id="1902792292">
          <w:marLeft w:val="0"/>
          <w:marRight w:val="0"/>
          <w:marTop w:val="0"/>
          <w:marBottom w:val="0"/>
          <w:divBdr>
            <w:top w:val="none" w:sz="0" w:space="0" w:color="auto"/>
            <w:left w:val="none" w:sz="0" w:space="0" w:color="auto"/>
            <w:bottom w:val="none" w:sz="0" w:space="0" w:color="auto"/>
            <w:right w:val="none" w:sz="0" w:space="0" w:color="auto"/>
          </w:divBdr>
          <w:divsChild>
            <w:div w:id="1585452413">
              <w:marLeft w:val="0"/>
              <w:marRight w:val="0"/>
              <w:marTop w:val="0"/>
              <w:marBottom w:val="0"/>
              <w:divBdr>
                <w:top w:val="none" w:sz="0" w:space="0" w:color="auto"/>
                <w:left w:val="none" w:sz="0" w:space="0" w:color="auto"/>
                <w:bottom w:val="none" w:sz="0" w:space="0" w:color="auto"/>
                <w:right w:val="none" w:sz="0" w:space="0" w:color="auto"/>
              </w:divBdr>
              <w:divsChild>
                <w:div w:id="410781058">
                  <w:marLeft w:val="0"/>
                  <w:marRight w:val="0"/>
                  <w:marTop w:val="0"/>
                  <w:marBottom w:val="0"/>
                  <w:divBdr>
                    <w:top w:val="none" w:sz="0" w:space="0" w:color="auto"/>
                    <w:left w:val="none" w:sz="0" w:space="0" w:color="auto"/>
                    <w:bottom w:val="none" w:sz="0" w:space="0" w:color="auto"/>
                    <w:right w:val="none" w:sz="0" w:space="0" w:color="auto"/>
                  </w:divBdr>
                  <w:divsChild>
                    <w:div w:id="1083378276">
                      <w:marLeft w:val="0"/>
                      <w:marRight w:val="0"/>
                      <w:marTop w:val="0"/>
                      <w:marBottom w:val="0"/>
                      <w:divBdr>
                        <w:top w:val="none" w:sz="0" w:space="0" w:color="auto"/>
                        <w:left w:val="none" w:sz="0" w:space="0" w:color="auto"/>
                        <w:bottom w:val="none" w:sz="0" w:space="0" w:color="auto"/>
                        <w:right w:val="none" w:sz="0" w:space="0" w:color="auto"/>
                      </w:divBdr>
                      <w:divsChild>
                        <w:div w:id="1011832109">
                          <w:marLeft w:val="0"/>
                          <w:marRight w:val="0"/>
                          <w:marTop w:val="0"/>
                          <w:marBottom w:val="0"/>
                          <w:divBdr>
                            <w:top w:val="none" w:sz="0" w:space="0" w:color="auto"/>
                            <w:left w:val="none" w:sz="0" w:space="0" w:color="auto"/>
                            <w:bottom w:val="none" w:sz="0" w:space="0" w:color="auto"/>
                            <w:right w:val="none" w:sz="0" w:space="0" w:color="auto"/>
                          </w:divBdr>
                          <w:divsChild>
                            <w:div w:id="119708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936094">
      <w:bodyDiv w:val="1"/>
      <w:marLeft w:val="0"/>
      <w:marRight w:val="0"/>
      <w:marTop w:val="0"/>
      <w:marBottom w:val="0"/>
      <w:divBdr>
        <w:top w:val="none" w:sz="0" w:space="0" w:color="auto"/>
        <w:left w:val="none" w:sz="0" w:space="0" w:color="auto"/>
        <w:bottom w:val="none" w:sz="0" w:space="0" w:color="auto"/>
        <w:right w:val="none" w:sz="0" w:space="0" w:color="auto"/>
      </w:divBdr>
      <w:divsChild>
        <w:div w:id="1675448995">
          <w:marLeft w:val="0"/>
          <w:marRight w:val="0"/>
          <w:marTop w:val="0"/>
          <w:marBottom w:val="0"/>
          <w:divBdr>
            <w:top w:val="none" w:sz="0" w:space="0" w:color="auto"/>
            <w:left w:val="none" w:sz="0" w:space="0" w:color="auto"/>
            <w:bottom w:val="none" w:sz="0" w:space="0" w:color="auto"/>
            <w:right w:val="none" w:sz="0" w:space="0" w:color="auto"/>
          </w:divBdr>
          <w:divsChild>
            <w:div w:id="607465918">
              <w:marLeft w:val="0"/>
              <w:marRight w:val="0"/>
              <w:marTop w:val="0"/>
              <w:marBottom w:val="0"/>
              <w:divBdr>
                <w:top w:val="none" w:sz="0" w:space="0" w:color="auto"/>
                <w:left w:val="none" w:sz="0" w:space="0" w:color="auto"/>
                <w:bottom w:val="none" w:sz="0" w:space="0" w:color="auto"/>
                <w:right w:val="none" w:sz="0" w:space="0" w:color="auto"/>
              </w:divBdr>
              <w:divsChild>
                <w:div w:id="1665623762">
                  <w:marLeft w:val="0"/>
                  <w:marRight w:val="0"/>
                  <w:marTop w:val="0"/>
                  <w:marBottom w:val="0"/>
                  <w:divBdr>
                    <w:top w:val="none" w:sz="0" w:space="0" w:color="auto"/>
                    <w:left w:val="none" w:sz="0" w:space="0" w:color="auto"/>
                    <w:bottom w:val="none" w:sz="0" w:space="0" w:color="auto"/>
                    <w:right w:val="none" w:sz="0" w:space="0" w:color="auto"/>
                  </w:divBdr>
                  <w:divsChild>
                    <w:div w:id="1591230961">
                      <w:marLeft w:val="0"/>
                      <w:marRight w:val="0"/>
                      <w:marTop w:val="0"/>
                      <w:marBottom w:val="0"/>
                      <w:divBdr>
                        <w:top w:val="none" w:sz="0" w:space="0" w:color="auto"/>
                        <w:left w:val="none" w:sz="0" w:space="0" w:color="auto"/>
                        <w:bottom w:val="none" w:sz="0" w:space="0" w:color="auto"/>
                        <w:right w:val="none" w:sz="0" w:space="0" w:color="auto"/>
                      </w:divBdr>
                      <w:divsChild>
                        <w:div w:id="245379581">
                          <w:marLeft w:val="0"/>
                          <w:marRight w:val="0"/>
                          <w:marTop w:val="0"/>
                          <w:marBottom w:val="0"/>
                          <w:divBdr>
                            <w:top w:val="none" w:sz="0" w:space="0" w:color="auto"/>
                            <w:left w:val="none" w:sz="0" w:space="0" w:color="auto"/>
                            <w:bottom w:val="none" w:sz="0" w:space="0" w:color="auto"/>
                            <w:right w:val="none" w:sz="0" w:space="0" w:color="auto"/>
                          </w:divBdr>
                          <w:divsChild>
                            <w:div w:id="4250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6318854">
      <w:bodyDiv w:val="1"/>
      <w:marLeft w:val="0"/>
      <w:marRight w:val="0"/>
      <w:marTop w:val="0"/>
      <w:marBottom w:val="0"/>
      <w:divBdr>
        <w:top w:val="none" w:sz="0" w:space="0" w:color="auto"/>
        <w:left w:val="none" w:sz="0" w:space="0" w:color="auto"/>
        <w:bottom w:val="none" w:sz="0" w:space="0" w:color="auto"/>
        <w:right w:val="none" w:sz="0" w:space="0" w:color="auto"/>
      </w:divBdr>
    </w:div>
    <w:div w:id="1834491712">
      <w:bodyDiv w:val="1"/>
      <w:marLeft w:val="0"/>
      <w:marRight w:val="0"/>
      <w:marTop w:val="0"/>
      <w:marBottom w:val="0"/>
      <w:divBdr>
        <w:top w:val="none" w:sz="0" w:space="0" w:color="auto"/>
        <w:left w:val="none" w:sz="0" w:space="0" w:color="auto"/>
        <w:bottom w:val="none" w:sz="0" w:space="0" w:color="auto"/>
        <w:right w:val="none" w:sz="0" w:space="0" w:color="auto"/>
      </w:divBdr>
      <w:divsChild>
        <w:div w:id="618335990">
          <w:marLeft w:val="0"/>
          <w:marRight w:val="0"/>
          <w:marTop w:val="0"/>
          <w:marBottom w:val="0"/>
          <w:divBdr>
            <w:top w:val="none" w:sz="0" w:space="0" w:color="auto"/>
            <w:left w:val="none" w:sz="0" w:space="0" w:color="auto"/>
            <w:bottom w:val="none" w:sz="0" w:space="0" w:color="auto"/>
            <w:right w:val="none" w:sz="0" w:space="0" w:color="auto"/>
          </w:divBdr>
          <w:divsChild>
            <w:div w:id="1737048456">
              <w:marLeft w:val="0"/>
              <w:marRight w:val="0"/>
              <w:marTop w:val="0"/>
              <w:marBottom w:val="0"/>
              <w:divBdr>
                <w:top w:val="none" w:sz="0" w:space="0" w:color="auto"/>
                <w:left w:val="none" w:sz="0" w:space="0" w:color="auto"/>
                <w:bottom w:val="none" w:sz="0" w:space="0" w:color="auto"/>
                <w:right w:val="none" w:sz="0" w:space="0" w:color="auto"/>
              </w:divBdr>
              <w:divsChild>
                <w:div w:id="1743023561">
                  <w:marLeft w:val="0"/>
                  <w:marRight w:val="0"/>
                  <w:marTop w:val="0"/>
                  <w:marBottom w:val="0"/>
                  <w:divBdr>
                    <w:top w:val="none" w:sz="0" w:space="0" w:color="auto"/>
                    <w:left w:val="none" w:sz="0" w:space="0" w:color="auto"/>
                    <w:bottom w:val="none" w:sz="0" w:space="0" w:color="auto"/>
                    <w:right w:val="none" w:sz="0" w:space="0" w:color="auto"/>
                  </w:divBdr>
                  <w:divsChild>
                    <w:div w:id="1072318241">
                      <w:marLeft w:val="0"/>
                      <w:marRight w:val="0"/>
                      <w:marTop w:val="0"/>
                      <w:marBottom w:val="0"/>
                      <w:divBdr>
                        <w:top w:val="none" w:sz="0" w:space="0" w:color="auto"/>
                        <w:left w:val="none" w:sz="0" w:space="0" w:color="auto"/>
                        <w:bottom w:val="none" w:sz="0" w:space="0" w:color="auto"/>
                        <w:right w:val="none" w:sz="0" w:space="0" w:color="auto"/>
                      </w:divBdr>
                      <w:divsChild>
                        <w:div w:id="1557466732">
                          <w:marLeft w:val="0"/>
                          <w:marRight w:val="0"/>
                          <w:marTop w:val="0"/>
                          <w:marBottom w:val="0"/>
                          <w:divBdr>
                            <w:top w:val="none" w:sz="0" w:space="0" w:color="auto"/>
                            <w:left w:val="none" w:sz="0" w:space="0" w:color="auto"/>
                            <w:bottom w:val="none" w:sz="0" w:space="0" w:color="auto"/>
                            <w:right w:val="none" w:sz="0" w:space="0" w:color="auto"/>
                          </w:divBdr>
                          <w:divsChild>
                            <w:div w:id="123963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401465">
      <w:bodyDiv w:val="1"/>
      <w:marLeft w:val="0"/>
      <w:marRight w:val="0"/>
      <w:marTop w:val="0"/>
      <w:marBottom w:val="0"/>
      <w:divBdr>
        <w:top w:val="none" w:sz="0" w:space="0" w:color="auto"/>
        <w:left w:val="none" w:sz="0" w:space="0" w:color="auto"/>
        <w:bottom w:val="none" w:sz="0" w:space="0" w:color="auto"/>
        <w:right w:val="none" w:sz="0" w:space="0" w:color="auto"/>
      </w:divBdr>
      <w:divsChild>
        <w:div w:id="22368089">
          <w:marLeft w:val="0"/>
          <w:marRight w:val="0"/>
          <w:marTop w:val="0"/>
          <w:marBottom w:val="0"/>
          <w:divBdr>
            <w:top w:val="none" w:sz="0" w:space="0" w:color="auto"/>
            <w:left w:val="none" w:sz="0" w:space="0" w:color="auto"/>
            <w:bottom w:val="none" w:sz="0" w:space="0" w:color="auto"/>
            <w:right w:val="none" w:sz="0" w:space="0" w:color="auto"/>
          </w:divBdr>
        </w:div>
        <w:div w:id="2062288445">
          <w:marLeft w:val="0"/>
          <w:marRight w:val="0"/>
          <w:marTop w:val="0"/>
          <w:marBottom w:val="0"/>
          <w:divBdr>
            <w:top w:val="none" w:sz="0" w:space="0" w:color="auto"/>
            <w:left w:val="none" w:sz="0" w:space="0" w:color="auto"/>
            <w:bottom w:val="none" w:sz="0" w:space="0" w:color="auto"/>
            <w:right w:val="none" w:sz="0" w:space="0" w:color="auto"/>
          </w:divBdr>
          <w:divsChild>
            <w:div w:id="19014642">
              <w:marLeft w:val="0"/>
              <w:marRight w:val="0"/>
              <w:marTop w:val="0"/>
              <w:marBottom w:val="0"/>
              <w:divBdr>
                <w:top w:val="none" w:sz="0" w:space="0" w:color="auto"/>
                <w:left w:val="none" w:sz="0" w:space="0" w:color="auto"/>
                <w:bottom w:val="none" w:sz="0" w:space="0" w:color="auto"/>
                <w:right w:val="none" w:sz="0" w:space="0" w:color="auto"/>
              </w:divBdr>
              <w:divsChild>
                <w:div w:id="842933744">
                  <w:marLeft w:val="0"/>
                  <w:marRight w:val="0"/>
                  <w:marTop w:val="555"/>
                  <w:marBottom w:val="0"/>
                  <w:divBdr>
                    <w:top w:val="none" w:sz="0" w:space="0" w:color="auto"/>
                    <w:left w:val="none" w:sz="0" w:space="0" w:color="auto"/>
                    <w:bottom w:val="none" w:sz="0" w:space="0" w:color="auto"/>
                    <w:right w:val="none" w:sz="0" w:space="0" w:color="auto"/>
                  </w:divBdr>
                </w:div>
              </w:divsChild>
            </w:div>
          </w:divsChild>
        </w:div>
      </w:divsChild>
    </w:div>
    <w:div w:id="1878855759">
      <w:bodyDiv w:val="1"/>
      <w:marLeft w:val="0"/>
      <w:marRight w:val="0"/>
      <w:marTop w:val="0"/>
      <w:marBottom w:val="0"/>
      <w:divBdr>
        <w:top w:val="none" w:sz="0" w:space="0" w:color="auto"/>
        <w:left w:val="none" w:sz="0" w:space="0" w:color="auto"/>
        <w:bottom w:val="none" w:sz="0" w:space="0" w:color="auto"/>
        <w:right w:val="none" w:sz="0" w:space="0" w:color="auto"/>
      </w:divBdr>
      <w:divsChild>
        <w:div w:id="1713840146">
          <w:marLeft w:val="0"/>
          <w:marRight w:val="0"/>
          <w:marTop w:val="0"/>
          <w:marBottom w:val="0"/>
          <w:divBdr>
            <w:top w:val="none" w:sz="0" w:space="0" w:color="auto"/>
            <w:left w:val="none" w:sz="0" w:space="0" w:color="auto"/>
            <w:bottom w:val="none" w:sz="0" w:space="0" w:color="auto"/>
            <w:right w:val="none" w:sz="0" w:space="0" w:color="auto"/>
          </w:divBdr>
          <w:divsChild>
            <w:div w:id="285892627">
              <w:marLeft w:val="0"/>
              <w:marRight w:val="0"/>
              <w:marTop w:val="0"/>
              <w:marBottom w:val="0"/>
              <w:divBdr>
                <w:top w:val="none" w:sz="0" w:space="0" w:color="auto"/>
                <w:left w:val="none" w:sz="0" w:space="0" w:color="auto"/>
                <w:bottom w:val="none" w:sz="0" w:space="0" w:color="auto"/>
                <w:right w:val="none" w:sz="0" w:space="0" w:color="auto"/>
              </w:divBdr>
              <w:divsChild>
                <w:div w:id="1304702836">
                  <w:marLeft w:val="0"/>
                  <w:marRight w:val="0"/>
                  <w:marTop w:val="0"/>
                  <w:marBottom w:val="0"/>
                  <w:divBdr>
                    <w:top w:val="none" w:sz="0" w:space="0" w:color="auto"/>
                    <w:left w:val="none" w:sz="0" w:space="0" w:color="auto"/>
                    <w:bottom w:val="none" w:sz="0" w:space="0" w:color="auto"/>
                    <w:right w:val="none" w:sz="0" w:space="0" w:color="auto"/>
                  </w:divBdr>
                  <w:divsChild>
                    <w:div w:id="2023316835">
                      <w:marLeft w:val="0"/>
                      <w:marRight w:val="0"/>
                      <w:marTop w:val="0"/>
                      <w:marBottom w:val="0"/>
                      <w:divBdr>
                        <w:top w:val="none" w:sz="0" w:space="0" w:color="auto"/>
                        <w:left w:val="none" w:sz="0" w:space="0" w:color="auto"/>
                        <w:bottom w:val="none" w:sz="0" w:space="0" w:color="auto"/>
                        <w:right w:val="none" w:sz="0" w:space="0" w:color="auto"/>
                      </w:divBdr>
                      <w:divsChild>
                        <w:div w:id="400103339">
                          <w:marLeft w:val="0"/>
                          <w:marRight w:val="0"/>
                          <w:marTop w:val="0"/>
                          <w:marBottom w:val="0"/>
                          <w:divBdr>
                            <w:top w:val="none" w:sz="0" w:space="0" w:color="auto"/>
                            <w:left w:val="none" w:sz="0" w:space="0" w:color="auto"/>
                            <w:bottom w:val="none" w:sz="0" w:space="0" w:color="auto"/>
                            <w:right w:val="none" w:sz="0" w:space="0" w:color="auto"/>
                          </w:divBdr>
                          <w:divsChild>
                            <w:div w:id="149699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466364">
      <w:bodyDiv w:val="1"/>
      <w:marLeft w:val="0"/>
      <w:marRight w:val="0"/>
      <w:marTop w:val="0"/>
      <w:marBottom w:val="0"/>
      <w:divBdr>
        <w:top w:val="none" w:sz="0" w:space="0" w:color="auto"/>
        <w:left w:val="none" w:sz="0" w:space="0" w:color="auto"/>
        <w:bottom w:val="none" w:sz="0" w:space="0" w:color="auto"/>
        <w:right w:val="none" w:sz="0" w:space="0" w:color="auto"/>
      </w:divBdr>
    </w:div>
    <w:div w:id="20430507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witter.com/AliYerlikaya/status/1783029575976394804" TargetMode="External"/><Relationship Id="rId18" Type="http://schemas.openxmlformats.org/officeDocument/2006/relationships/hyperlink" Target="https://kronos36.news/tr/goreve-iade-edilen-khkli-akademisyene-fakulte-yonetimi-oda-vermedi/" TargetMode="External"/><Relationship Id="rId26" Type="http://schemas.openxmlformats.org/officeDocument/2006/relationships/hyperlink" Target="https://kronos36.news/tr/akpnin-avrupa-kolunun-baskani-koksal-kus-almanyanin-teror-orgutu-tanimamasi-bir-sey-ifade-etmez/" TargetMode="External"/><Relationship Id="rId3" Type="http://schemas.openxmlformats.org/officeDocument/2006/relationships/customXml" Target="../customXml/item3.xml"/><Relationship Id="rId21" Type="http://schemas.openxmlformats.org/officeDocument/2006/relationships/hyperlink" Target="https://aktifhaber.com/gundem/vakifbank-khkli-isme-yapilan-deprem-yardimini-isminiz-yasakli-diye-bloke-etti-h155860.html" TargetMode="External"/><Relationship Id="rId7" Type="http://schemas.openxmlformats.org/officeDocument/2006/relationships/settings" Target="settings.xml"/><Relationship Id="rId12" Type="http://schemas.openxmlformats.org/officeDocument/2006/relationships/hyperlink" Target="https://www.youtube.com/live/CWvgtan_t0Q?si=qX3JZE4uo_zRdCVL&amp;t=3320" TargetMode="External"/><Relationship Id="rId17" Type="http://schemas.openxmlformats.org/officeDocument/2006/relationships/hyperlink" Target="https://twitter.com/ibrahimkaragul/status/1735612975375847621" TargetMode="External"/><Relationship Id="rId25" Type="http://schemas.openxmlformats.org/officeDocument/2006/relationships/hyperlink" Target="https://hizmetpurge.wordpress.com/2016/08/23/512/"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witter.com/nedimsener2010/status/1783474440854016307" TargetMode="External"/><Relationship Id="rId20" Type="http://schemas.openxmlformats.org/officeDocument/2006/relationships/hyperlink" Target="https://x.com/yakinplann/status/1740357207823405134" TargetMode="External"/><Relationship Id="rId29" Type="http://schemas.openxmlformats.org/officeDocument/2006/relationships/hyperlink" Target="https://boldmedya.com/2023/06/22/almanyada-turk-asilli-gazetecinin-nefret-soylemi-tepki-cekt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izmetpurge.wordpress.com/2016/08/23/500/"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witter.com/yenisafak/status/1787374172408037494" TargetMode="External"/><Relationship Id="rId23" Type="http://schemas.openxmlformats.org/officeDocument/2006/relationships/hyperlink" Target="https://kronos36.news/tr/turkiyedeki-gulen-cemaati-nefreti-almanyaya-tasindi-terorist-deyip-darp-etti/" TargetMode="External"/><Relationship Id="rId28" Type="http://schemas.openxmlformats.org/officeDocument/2006/relationships/hyperlink" Target="https://twitter.com/suatbezeng/status/1669079314640388097" TargetMode="External"/><Relationship Id="rId10" Type="http://schemas.openxmlformats.org/officeDocument/2006/relationships/endnotes" Target="endnotes.xml"/><Relationship Id="rId19" Type="http://schemas.openxmlformats.org/officeDocument/2006/relationships/hyperlink" Target="https://x.com/boldmedya/status/1691541820251987968"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witter.com/yilmaztunc/status/1736323275750363397" TargetMode="External"/><Relationship Id="rId22" Type="http://schemas.openxmlformats.org/officeDocument/2006/relationships/hyperlink" Target="https://hatemonitoring.com/s-a/" TargetMode="External"/><Relationship Id="rId27" Type="http://schemas.openxmlformats.org/officeDocument/2006/relationships/hyperlink" Target="https://www.sabah.com.tr/galeri/gundem/son-dakika-iste-fetonun-din-bozguncusu-sabah-celal-findiki-buldu" TargetMode="External"/><Relationship Id="rId30" Type="http://schemas.openxmlformats.org/officeDocument/2006/relationships/header" Target="header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3" Type="http://schemas.openxmlformats.org/officeDocument/2006/relationships/hyperlink" Target="https://stockholmcf.org/top-court-upholds-jail-sentence-for-gulens-nephew-abducted-from-kenya/" TargetMode="External"/><Relationship Id="rId18" Type="http://schemas.openxmlformats.org/officeDocument/2006/relationships/hyperlink" Target="https://www.fidh.org/en/region/europe-central-asia/ukraine/medvedev-solovyov-simonyan-and-other-top-russian-propagandists?var_mode=calcul" TargetMode="External"/><Relationship Id="rId26" Type="http://schemas.openxmlformats.org/officeDocument/2006/relationships/hyperlink" Target="https://www.state.gov/reports/2021-country-reports-on-human-rights-practices/turkey/" TargetMode="External"/><Relationship Id="rId39" Type="http://schemas.openxmlformats.org/officeDocument/2006/relationships/hyperlink" Target="https://hatemonitoring.com/x-post-of-yilmaz-tunc/" TargetMode="External"/><Relationship Id="rId21" Type="http://schemas.openxmlformats.org/officeDocument/2006/relationships/hyperlink" Target="https://ccej-sfu.ca/teaching/pyramid-of-hate/" TargetMode="External"/><Relationship Id="rId34" Type="http://schemas.openxmlformats.org/officeDocument/2006/relationships/hyperlink" Target="https://hrantdink.org/en/asulis/activities/projects/media-watch-on-hate-speech/3979-on-the-edge-of-elections-how-was-the-discriminatory-discourse-in-politicians-statements-reflected-in-the-press" TargetMode="External"/><Relationship Id="rId42" Type="http://schemas.openxmlformats.org/officeDocument/2006/relationships/hyperlink" Target="https://hatemonitoring.com/post-of-yeni-safak-media-outlet/" TargetMode="External"/><Relationship Id="rId47" Type="http://schemas.openxmlformats.org/officeDocument/2006/relationships/hyperlink" Target="http://www.coe.int/en/web/commissioner/-/situation-in-turkey" TargetMode="External"/><Relationship Id="rId50" Type="http://schemas.openxmlformats.org/officeDocument/2006/relationships/hyperlink" Target="https://www.amnesty.org/en/documents/eur44/9210/2018/en/" TargetMode="External"/><Relationship Id="rId55" Type="http://schemas.openxmlformats.org/officeDocument/2006/relationships/hyperlink" Target="https://hatemonitoring.com/vakif-bank-izmir-branch/" TargetMode="External"/><Relationship Id="rId63" Type="http://schemas.openxmlformats.org/officeDocument/2006/relationships/hyperlink" Target="https://hatemonitoring.com/oktan-erdikmens-statement-2/" TargetMode="External"/><Relationship Id="rId7" Type="http://schemas.openxmlformats.org/officeDocument/2006/relationships/hyperlink" Target="https://www.solidaritywithothers.com/_files/ugd/b886b2_dba6827108374a778be3d63006eaceef.pdf" TargetMode="External"/><Relationship Id="rId2" Type="http://schemas.openxmlformats.org/officeDocument/2006/relationships/hyperlink" Target="https://hudoc.echr.coe.int/eng" TargetMode="External"/><Relationship Id="rId16" Type="http://schemas.openxmlformats.org/officeDocument/2006/relationships/hyperlink" Target="https://www.amnestyusa.org/countries/india/" TargetMode="External"/><Relationship Id="rId29" Type="http://schemas.openxmlformats.org/officeDocument/2006/relationships/hyperlink" Target="https://northernjusticewatch.org/2024/02/23/countering-effects-of-the-feto-label-against-the-hizmet-people-living-in-canada/" TargetMode="External"/><Relationship Id="rId11" Type="http://schemas.openxmlformats.org/officeDocument/2006/relationships/hyperlink" Target="https://www.hrw.org/report/2024/02/22/we-will-find-you/global-look-how-governments-repress-nationals-abroad" TargetMode="External"/><Relationship Id="rId24" Type="http://schemas.openxmlformats.org/officeDocument/2006/relationships/hyperlink" Target="https://www.gov.uk/government/publications/turkey-country-policy-and-information-notes/country-policy-and-information-note-gulenist-movement-turkey-february-2022-accessible-version" TargetMode="External"/><Relationship Id="rId32" Type="http://schemas.openxmlformats.org/officeDocument/2006/relationships/hyperlink" Target="https://mospace.umsystem.edu/xmlui/bitstream/handle/10355/97761/ORourke_umkc_0134D_12079.pdf?sequence=1&amp;isAllowed=y" TargetMode="External"/><Relationship Id="rId37" Type="http://schemas.openxmlformats.org/officeDocument/2006/relationships/hyperlink" Target="https://hudoc.echr.coe.int/fre" TargetMode="External"/><Relationship Id="rId40" Type="http://schemas.openxmlformats.org/officeDocument/2006/relationships/hyperlink" Target="https://www.hrw.org/news/2020/10/14/turkey-press-freedom-under-attack" TargetMode="External"/><Relationship Id="rId45" Type="http://schemas.openxmlformats.org/officeDocument/2006/relationships/hyperlink" Target="https://www.venice.coe.int/webforms/documents/?pdf=CDL-AD(2017)021-e" TargetMode="External"/><Relationship Id="rId53" Type="http://schemas.openxmlformats.org/officeDocument/2006/relationships/hyperlink" Target="https://hatemonitoring.com/yenimahalle-district-job-placement-agency-iskur/" TargetMode="External"/><Relationship Id="rId58" Type="http://schemas.openxmlformats.org/officeDocument/2006/relationships/hyperlink" Target="https://hatemonitoring.com/unidentified-3/" TargetMode="External"/><Relationship Id="rId5" Type="http://schemas.openxmlformats.org/officeDocument/2006/relationships/hyperlink" Target="https://hudoc.echr.coe.int/fre" TargetMode="External"/><Relationship Id="rId61" Type="http://schemas.openxmlformats.org/officeDocument/2006/relationships/hyperlink" Target="https://hatemonitoring.com/report-of-sabah-newspaper/" TargetMode="External"/><Relationship Id="rId19" Type="http://schemas.openxmlformats.org/officeDocument/2006/relationships/hyperlink" Target="https://www.un.org/en/genocideprevention/documents/advising-and-mobilizing/Action_plan_on_hate_speech_EN.pdf" TargetMode="External"/><Relationship Id="rId14" Type="http://schemas.openxmlformats.org/officeDocument/2006/relationships/hyperlink" Target="https://www.hrw.org/world-report/2024" TargetMode="External"/><Relationship Id="rId22" Type="http://schemas.openxmlformats.org/officeDocument/2006/relationships/hyperlink" Target="https://en.nefretsucu.com/" TargetMode="External"/><Relationship Id="rId27" Type="http://schemas.openxmlformats.org/officeDocument/2006/relationships/hyperlink" Target="https://www.dw.com/en/turkey-lifts-state-of-emergency-but-fear-of-repression-lingers/a-44711201" TargetMode="External"/><Relationship Id="rId30" Type="http://schemas.openxmlformats.org/officeDocument/2006/relationships/hyperlink" Target="https://stockholmcf.org/uk-home-office-report-highlights-persecution-of-gulen-movement-in-turkey/" TargetMode="External"/><Relationship Id="rId35" Type="http://schemas.openxmlformats.org/officeDocument/2006/relationships/hyperlink" Target="https://www.coe.int/en/web/secretary-general/report-2023" TargetMode="External"/><Relationship Id="rId43" Type="http://schemas.openxmlformats.org/officeDocument/2006/relationships/hyperlink" Target="https://hatemonitoring.com/statements-of-nedim-sener/" TargetMode="External"/><Relationship Id="rId48" Type="http://schemas.openxmlformats.org/officeDocument/2006/relationships/hyperlink" Target="https://pace.coe.int/pdf/b6e8895486c3627450be256da53a536ccbb4b25d62312ea0033f10f6f3ad54cb/res.%202528.pdf" TargetMode="External"/><Relationship Id="rId56" Type="http://schemas.openxmlformats.org/officeDocument/2006/relationships/hyperlink" Target="https://hatemonitoring.com/s-a/" TargetMode="External"/><Relationship Id="rId64" Type="http://schemas.openxmlformats.org/officeDocument/2006/relationships/hyperlink" Target="https://www.verfassungsschutz.de/SharedDocs/publikationen/EN/reports-on-the-protection-of-the-constitution/2023-06-brief-summary-2022-report-on-the-protection-of-the-constitution.pdf?__blob=publicationFile&amp;v=2" TargetMode="External"/><Relationship Id="rId8" Type="http://schemas.openxmlformats.org/officeDocument/2006/relationships/hyperlink" Target="https://www.solidaritywithothers.com/_files/ugd/b886b2_4592e718f95545c8a0041e927124f1d2.pdf" TargetMode="External"/><Relationship Id="rId51" Type="http://schemas.openxmlformats.org/officeDocument/2006/relationships/hyperlink" Target="https://www.ab.gov.tr/siteimages/birimler/kpb/turkey-report-2021-v2.pdf" TargetMode="External"/><Relationship Id="rId3" Type="http://schemas.openxmlformats.org/officeDocument/2006/relationships/hyperlink" Target="https://www.solidaritywithothers.com/_files/ugd/b886b2_63952de2d3b041df8925ebd4105be909.pdf" TargetMode="External"/><Relationship Id="rId12" Type="http://schemas.openxmlformats.org/officeDocument/2006/relationships/hyperlink" Target="https://www.reuters.com/article/world/six-turks-arrested-in-kosovo-over-gulen-links-extradited-to-turkey-anadolu-idUSKBN1H5213/" TargetMode="External"/><Relationship Id="rId17" Type="http://schemas.openxmlformats.org/officeDocument/2006/relationships/hyperlink" Target="https://www.amnesty.org.au/ethiopia-sweeping-emergency-powers-and-alarming-rise-in-online-hate-speech-as-tigray-conflict-escalates/" TargetMode="External"/><Relationship Id="rId25" Type="http://schemas.openxmlformats.org/officeDocument/2006/relationships/hyperlink" Target="https://www.state.gov/reports/country-reports-on-terrorism-2021/turkiye" TargetMode="External"/><Relationship Id="rId33" Type="http://schemas.openxmlformats.org/officeDocument/2006/relationships/hyperlink" Target="https://northernjusticewatch.org/2024/02/23/countering-effects-of-the-feto-label-against-the-hizmet-people-living-in-canada/" TargetMode="External"/><Relationship Id="rId38" Type="http://schemas.openxmlformats.org/officeDocument/2006/relationships/hyperlink" Target="https://hatemonitoring.com/statements-of-ali-yerlikaya/" TargetMode="External"/><Relationship Id="rId46" Type="http://schemas.openxmlformats.org/officeDocument/2006/relationships/hyperlink" Target="https://www.venice.coe.int/webforms/documents/?pdf=CDL-AD(2017)005-e" TargetMode="External"/><Relationship Id="rId59" Type="http://schemas.openxmlformats.org/officeDocument/2006/relationships/hyperlink" Target="https://hatemonitoring.com/unidentified/" TargetMode="External"/><Relationship Id="rId20" Type="http://schemas.openxmlformats.org/officeDocument/2006/relationships/hyperlink" Target="https://www.adl.org/resources/tools-and-strategies/pyramid-hate%20studentedition" TargetMode="External"/><Relationship Id="rId41" Type="http://schemas.openxmlformats.org/officeDocument/2006/relationships/hyperlink" Target="https://cronfa.swansea.ac.uk/Record/cronfa65074" TargetMode="External"/><Relationship Id="rId54" Type="http://schemas.openxmlformats.org/officeDocument/2006/relationships/hyperlink" Target="https://hatemonitoring.com/turkiye-finans-katilim-bankasi-s-a/" TargetMode="External"/><Relationship Id="rId62" Type="http://schemas.openxmlformats.org/officeDocument/2006/relationships/hyperlink" Target="https://hatemonitoring.com/suat-bezengs-twitter-post/" TargetMode="External"/><Relationship Id="rId1" Type="http://schemas.openxmlformats.org/officeDocument/2006/relationships/hyperlink" Target="https://www.solidaritywithothers.com/_files/ugd/b886b2_e725982b64ac4ed4a9ca200af61f676c.pdf" TargetMode="External"/><Relationship Id="rId6" Type="http://schemas.openxmlformats.org/officeDocument/2006/relationships/hyperlink" Target="https://www.solidaritywithothers.com/_files/ugd/b886b2_63952de2d3b041df8925ebd4105be909.pdf" TargetMode="External"/><Relationship Id="rId15" Type="http://schemas.openxmlformats.org/officeDocument/2006/relationships/hyperlink" Target="https://www.hrw.org/world-report/2024" TargetMode="External"/><Relationship Id="rId23" Type="http://schemas.openxmlformats.org/officeDocument/2006/relationships/hyperlink" Target="https://en.nefretsucu.com/statistics" TargetMode="External"/><Relationship Id="rId28" Type="http://schemas.openxmlformats.org/officeDocument/2006/relationships/hyperlink" Target="https://documents.un.org/doc/undoc/gen/g20/070/73/pdf/g2007073.pdf?token=7qu9F6I9YNQjOTXnvd&amp;fe=true" TargetMode="External"/><Relationship Id="rId36" Type="http://schemas.openxmlformats.org/officeDocument/2006/relationships/hyperlink" Target="https://hatemonitoring.com/grand-assembly-speech-of-president-recep-tayyip-erdogan/" TargetMode="External"/><Relationship Id="rId49" Type="http://schemas.openxmlformats.org/officeDocument/2006/relationships/hyperlink" Target="https://www.echr.coe.int/documents/d/echr/annual-report-2023-eng" TargetMode="External"/><Relationship Id="rId57" Type="http://schemas.openxmlformats.org/officeDocument/2006/relationships/hyperlink" Target="https://hatemonitoring.com/rifat-yilmaz/" TargetMode="External"/><Relationship Id="rId10" Type="http://schemas.openxmlformats.org/officeDocument/2006/relationships/hyperlink" Target="https://www.hrw.org/news/2020/04/29/turkey-enforced-disappearances-torture" TargetMode="External"/><Relationship Id="rId31" Type="http://schemas.openxmlformats.org/officeDocument/2006/relationships/hyperlink" Target="https://www.gov.uk/government/publications/turkey-country-policy-and-information-notes/country-policy-and-information-note-gulenist-movement-turkey-february-2022-accessible-version" TargetMode="External"/><Relationship Id="rId44" Type="http://schemas.openxmlformats.org/officeDocument/2006/relationships/hyperlink" Target="https://hatemonitoring.com/x-post-of-ibrahim-karagul/" TargetMode="External"/><Relationship Id="rId52" Type="http://schemas.openxmlformats.org/officeDocument/2006/relationships/hyperlink" Target="https://hatemonitoring.com/ankara-university-2/" TargetMode="External"/><Relationship Id="rId60" Type="http://schemas.openxmlformats.org/officeDocument/2006/relationships/hyperlink" Target="https://hatemonitoring.com/koksal-kuss-statement/" TargetMode="External"/><Relationship Id="rId4" Type="http://schemas.openxmlformats.org/officeDocument/2006/relationships/hyperlink" Target="https://www.solidaritywithothers.com/_files/ugd/b886b2_63952de2d3b041df8925ebd4105be909.pdf" TargetMode="External"/><Relationship Id="rId9" Type="http://schemas.openxmlformats.org/officeDocument/2006/relationships/hyperlink" Target="https://www.solidaritywithothers.com/_files/ugd/b886b2_63952de2d3b041df8925ebd4105be9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2024-09-16T13:10:18+00:00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91134F-97E4-4A6A-AB68-4480DDFE72A1}">
  <ds:schemaRefs>
    <ds:schemaRef ds:uri="http://schemas.microsoft.com/office/2006/metadata/properties"/>
    <ds:schemaRef ds:uri="http://schemas.microsoft.com/office/infopath/2007/PartnerControls"/>
    <ds:schemaRef ds:uri="c5745db5-ffe8-4ac7-ab4c-baac1749759a"/>
  </ds:schemaRefs>
</ds:datastoreItem>
</file>

<file path=customXml/itemProps2.xml><?xml version="1.0" encoding="utf-8"?>
<ds:datastoreItem xmlns:ds="http://schemas.openxmlformats.org/officeDocument/2006/customXml" ds:itemID="{01507D53-7D5D-498F-BBC3-C6D46E935FD8}">
  <ds:schemaRefs>
    <ds:schemaRef ds:uri="http://schemas.openxmlformats.org/officeDocument/2006/bibliography"/>
  </ds:schemaRefs>
</ds:datastoreItem>
</file>

<file path=customXml/itemProps3.xml><?xml version="1.0" encoding="utf-8"?>
<ds:datastoreItem xmlns:ds="http://schemas.openxmlformats.org/officeDocument/2006/customXml" ds:itemID="{0332AA47-EBF6-4BEF-AADC-D0B148B2BC9E}"/>
</file>

<file path=customXml/itemProps4.xml><?xml version="1.0" encoding="utf-8"?>
<ds:datastoreItem xmlns:ds="http://schemas.openxmlformats.org/officeDocument/2006/customXml" ds:itemID="{C14EEBB8-BC33-4F63-B28A-23065AB9A4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29</Pages>
  <Words>9839</Words>
  <Characters>56084</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Can Sanli</dc:creator>
  <cp:keywords/>
  <dc:description/>
  <cp:lastModifiedBy>Ali Can Sanli</cp:lastModifiedBy>
  <cp:revision>19</cp:revision>
  <cp:lastPrinted>2024-06-05T10:42:00Z</cp:lastPrinted>
  <dcterms:created xsi:type="dcterms:W3CDTF">2024-06-05T10:40:00Z</dcterms:created>
  <dcterms:modified xsi:type="dcterms:W3CDTF">2024-09-16T11:55:00Z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0x01010017E4765690717E469856CA036EE88DBD</vt:lpwstr>
  </property>
</Properties>
</file>